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10.xml" ContentType="application/vnd.ms-office.chartcolorstyle+xml"/>
  <Override PartName="/word/charts/colors11.xml" ContentType="application/vnd.ms-office.chartcolorstyle+xml"/>
  <Override PartName="/word/charts/colors12.xml" ContentType="application/vnd.ms-office.chartcolorstyle+xml"/>
  <Override PartName="/word/charts/colors13.xml" ContentType="application/vnd.ms-office.chartcolorstyle+xml"/>
  <Override PartName="/word/charts/colors14.xml" ContentType="application/vnd.ms-office.chartcolorstyle+xml"/>
  <Override PartName="/word/charts/colors15.xml" ContentType="application/vnd.ms-office.chartcolorstyle+xml"/>
  <Override PartName="/word/charts/colors16.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colors9.xml" ContentType="application/vnd.ms-office.chartcolorstyle+xml"/>
  <Override PartName="/word/charts/style1.xml" ContentType="application/vnd.ms-office.chartstyle+xml"/>
  <Override PartName="/word/charts/style10.xml" ContentType="application/vnd.ms-office.chartstyle+xml"/>
  <Override PartName="/word/charts/style11.xml" ContentType="application/vnd.ms-office.chartstyle+xml"/>
  <Override PartName="/word/charts/style12.xml" ContentType="application/vnd.ms-office.chartstyle+xml"/>
  <Override PartName="/word/charts/style13.xml" ContentType="application/vnd.ms-office.chartstyle+xml"/>
  <Override PartName="/word/charts/style14.xml" ContentType="application/vnd.ms-office.chartstyle+xml"/>
  <Override PartName="/word/charts/style15.xml" ContentType="application/vnd.ms-office.chartstyle+xml"/>
  <Override PartName="/word/charts/style16.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charts/style9.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292CAC">
      <w:pPr>
        <w:spacing w:line="360" w:lineRule="auto"/>
        <w:jc w:val="center"/>
        <w:rPr>
          <w:rFonts w:ascii="黑体" w:eastAsia="黑体"/>
          <w:sz w:val="32"/>
          <w:szCs w:val="32"/>
        </w:rPr>
      </w:pPr>
      <w:r>
        <w:rPr>
          <w:rFonts w:hint="eastAsia" w:ascii="黑体" w:eastAsia="黑体"/>
          <w:sz w:val="32"/>
          <w:szCs w:val="32"/>
        </w:rPr>
        <w:t>国家标准《</w:t>
      </w:r>
      <w:r>
        <w:rPr>
          <w:rFonts w:hint="eastAsia" w:ascii="黑体" w:hAnsi="宋体" w:eastAsia="黑体"/>
          <w:sz w:val="32"/>
          <w:szCs w:val="32"/>
        </w:rPr>
        <w:t>覆合用铜及铜合金带材</w:t>
      </w:r>
      <w:r>
        <w:rPr>
          <w:rFonts w:hint="eastAsia" w:ascii="黑体" w:eastAsia="黑体"/>
          <w:sz w:val="32"/>
          <w:szCs w:val="32"/>
        </w:rPr>
        <w:t>》（讨论稿）</w:t>
      </w:r>
    </w:p>
    <w:p w14:paraId="471E44B4">
      <w:pPr>
        <w:spacing w:line="360" w:lineRule="auto"/>
        <w:jc w:val="center"/>
        <w:rPr>
          <w:rFonts w:ascii="黑体" w:eastAsia="黑体"/>
          <w:sz w:val="32"/>
          <w:szCs w:val="32"/>
        </w:rPr>
      </w:pPr>
      <w:r>
        <w:rPr>
          <w:rFonts w:hint="eastAsia" w:ascii="黑体" w:eastAsia="黑体"/>
          <w:sz w:val="32"/>
          <w:szCs w:val="32"/>
        </w:rPr>
        <w:t>编制说明</w:t>
      </w:r>
      <w:bookmarkStart w:id="0" w:name="编制说明2"/>
      <w:bookmarkEnd w:id="0"/>
    </w:p>
    <w:p w14:paraId="1CE88B05">
      <w:pPr>
        <w:pStyle w:val="19"/>
        <w:spacing w:before="120" w:beforeLines="50" w:beforeAutospacing="0" w:after="120" w:afterLines="50" w:afterAutospacing="0" w:line="360" w:lineRule="auto"/>
        <w:jc w:val="both"/>
        <w:rPr>
          <w:rFonts w:ascii="黑体" w:eastAsia="黑体" w:cs="Arial"/>
        </w:rPr>
      </w:pPr>
      <w:r>
        <w:rPr>
          <w:rFonts w:hint="eastAsia" w:ascii="黑体" w:eastAsia="黑体" w:cs="Arial"/>
        </w:rPr>
        <w:t>一、工作简况</w:t>
      </w:r>
    </w:p>
    <w:p w14:paraId="06A3711E">
      <w:pPr>
        <w:pStyle w:val="19"/>
        <w:spacing w:before="120" w:beforeLines="50" w:beforeAutospacing="0" w:after="120" w:afterLines="50" w:afterAutospacing="0" w:line="360" w:lineRule="auto"/>
        <w:jc w:val="both"/>
        <w:rPr>
          <w:rFonts w:ascii="黑体" w:eastAsia="黑体" w:cs="Arial"/>
        </w:rPr>
      </w:pPr>
      <w:bookmarkStart w:id="1" w:name="OLE_LINK12"/>
      <w:bookmarkStart w:id="2" w:name="OLE_LINK15"/>
      <w:r>
        <w:rPr>
          <w:rFonts w:hint="eastAsia" w:ascii="黑体" w:eastAsia="黑体" w:cs="Arial"/>
        </w:rPr>
        <w:t>1.1任务来源</w:t>
      </w:r>
    </w:p>
    <w:p w14:paraId="5EE51844">
      <w:pPr>
        <w:spacing w:line="360" w:lineRule="auto"/>
        <w:ind w:firstLine="480" w:firstLineChars="200"/>
        <w:rPr>
          <w:rFonts w:cs="Arial"/>
          <w:color w:val="auto"/>
          <w:szCs w:val="24"/>
        </w:rPr>
      </w:pPr>
      <w:r>
        <w:rPr>
          <w:rFonts w:hint="eastAsia"/>
          <w:color w:val="auto"/>
          <w:szCs w:val="24"/>
        </w:rPr>
        <w:t>根据国标委发〔2025〕**号《</w:t>
      </w:r>
      <w:r>
        <w:rPr>
          <w:rFonts w:hint="eastAsia"/>
          <w:color w:val="auto"/>
          <w:szCs w:val="24"/>
          <w:shd w:val="clear" w:color="auto" w:fill="FFFFFF"/>
        </w:rPr>
        <w:t>国家标准化管理委员会关于下达2025年</w:t>
      </w:r>
      <w:r>
        <w:rPr>
          <w:color w:val="auto"/>
          <w:szCs w:val="24"/>
          <w:shd w:val="clear" w:color="auto" w:fill="FFFFFF"/>
        </w:rPr>
        <w:t>第</w:t>
      </w:r>
      <w:r>
        <w:rPr>
          <w:rFonts w:hint="eastAsia"/>
          <w:color w:val="auto"/>
          <w:szCs w:val="24"/>
          <w:shd w:val="clear" w:color="auto" w:fill="FFFFFF"/>
        </w:rPr>
        <w:t>**</w:t>
      </w:r>
      <w:r>
        <w:rPr>
          <w:color w:val="auto"/>
          <w:szCs w:val="24"/>
          <w:shd w:val="clear" w:color="auto" w:fill="FFFFFF"/>
        </w:rPr>
        <w:t>批</w:t>
      </w:r>
      <w:r>
        <w:rPr>
          <w:rFonts w:hint="eastAsia"/>
          <w:color w:val="auto"/>
          <w:szCs w:val="24"/>
          <w:shd w:val="clear" w:color="auto" w:fill="FFFFFF"/>
        </w:rPr>
        <w:t>推荐性</w:t>
      </w:r>
      <w:r>
        <w:rPr>
          <w:color w:val="auto"/>
          <w:szCs w:val="24"/>
          <w:shd w:val="clear" w:color="auto" w:fill="FFFFFF"/>
        </w:rPr>
        <w:t>国家标准计划</w:t>
      </w:r>
      <w:r>
        <w:rPr>
          <w:rFonts w:hint="eastAsia"/>
          <w:color w:val="auto"/>
          <w:szCs w:val="24"/>
          <w:shd w:val="clear" w:color="auto" w:fill="FFFFFF"/>
        </w:rPr>
        <w:t>*****</w:t>
      </w:r>
      <w:r>
        <w:rPr>
          <w:color w:val="auto"/>
          <w:szCs w:val="24"/>
          <w:shd w:val="clear" w:color="auto" w:fill="FFFFFF"/>
        </w:rPr>
        <w:t>的通知</w:t>
      </w:r>
      <w:r>
        <w:rPr>
          <w:rFonts w:hint="eastAsia"/>
          <w:color w:val="auto"/>
          <w:szCs w:val="24"/>
        </w:rPr>
        <w:t>》，</w:t>
      </w:r>
      <w:r>
        <w:rPr>
          <w:rFonts w:hint="eastAsia"/>
          <w:bCs/>
          <w:color w:val="auto"/>
          <w:szCs w:val="24"/>
        </w:rPr>
        <w:t>其中国家标准</w:t>
      </w:r>
      <w:r>
        <w:rPr>
          <w:rFonts w:hint="eastAsia"/>
          <w:color w:val="auto"/>
          <w:szCs w:val="24"/>
        </w:rPr>
        <w:t>《覆合用铜带》</w:t>
      </w:r>
      <w:r>
        <w:rPr>
          <w:rFonts w:hint="eastAsia"/>
          <w:bCs/>
          <w:color w:val="auto"/>
          <w:szCs w:val="24"/>
        </w:rPr>
        <w:t>（</w:t>
      </w:r>
      <w:r>
        <w:rPr>
          <w:rFonts w:hint="eastAsia"/>
          <w:color w:val="auto"/>
          <w:szCs w:val="24"/>
        </w:rPr>
        <w:t>项目编号</w:t>
      </w:r>
      <w:r>
        <w:rPr>
          <w:rFonts w:hint="eastAsia"/>
          <w:color w:val="auto"/>
          <w:spacing w:val="-20"/>
          <w:szCs w:val="24"/>
        </w:rPr>
        <w:t>“</w:t>
      </w:r>
      <w:r>
        <w:rPr>
          <w:rFonts w:hint="eastAsia" w:ascii="宋体" w:hAnsi="宋体"/>
          <w:bCs/>
          <w:color w:val="auto"/>
          <w:szCs w:val="24"/>
        </w:rPr>
        <w:t>****</w:t>
      </w:r>
      <w:r>
        <w:rPr>
          <w:rFonts w:hint="eastAsia"/>
          <w:color w:val="auto"/>
          <w:spacing w:val="-20"/>
          <w:szCs w:val="24"/>
        </w:rPr>
        <w:t>”</w:t>
      </w:r>
      <w:r>
        <w:rPr>
          <w:rFonts w:hint="eastAsia"/>
          <w:color w:val="auto"/>
          <w:szCs w:val="24"/>
        </w:rPr>
        <w:t>）由</w:t>
      </w:r>
      <w:r>
        <w:rPr>
          <w:rFonts w:hint="eastAsia" w:asciiTheme="majorEastAsia" w:hAnsiTheme="majorEastAsia" w:eastAsiaTheme="majorEastAsia" w:cstheme="majorEastAsia"/>
          <w:color w:val="auto"/>
          <w:szCs w:val="24"/>
        </w:rPr>
        <w:t>中铝洛阳铜加工有限公司、浙江松发覆合新材料有限公司、阜阳市产品质量监督检验所、欧锟科技温州有限分公司、铜陵有色金属集团股份有限公司金威铜业分公司</w:t>
      </w:r>
      <w:r>
        <w:rPr>
          <w:rFonts w:hint="eastAsia"/>
          <w:color w:val="auto"/>
          <w:szCs w:val="24"/>
        </w:rPr>
        <w:t>等负责起草，完成年限为***年***月。</w:t>
      </w:r>
    </w:p>
    <w:p w14:paraId="1155DB8A">
      <w:pPr>
        <w:pStyle w:val="19"/>
        <w:spacing w:before="120" w:beforeLines="50" w:beforeAutospacing="0" w:after="120" w:afterLines="50" w:afterAutospacing="0" w:line="360" w:lineRule="auto"/>
        <w:jc w:val="both"/>
        <w:rPr>
          <w:rFonts w:hAnsi="黑体" w:cs="Arial"/>
        </w:rPr>
      </w:pPr>
      <w:r>
        <w:rPr>
          <w:rFonts w:ascii="黑体" w:hAnsi="黑体" w:eastAsia="黑体" w:cs="Arial"/>
        </w:rPr>
        <w:t>1.2立项目的和意义</w:t>
      </w:r>
    </w:p>
    <w:p w14:paraId="1617B46A">
      <w:pPr>
        <w:spacing w:line="360" w:lineRule="auto"/>
        <w:ind w:firstLine="480" w:firstLineChars="200"/>
        <w:rPr>
          <w:szCs w:val="24"/>
        </w:rPr>
      </w:pPr>
      <w:r>
        <w:rPr>
          <w:rFonts w:hint="eastAsia"/>
          <w:szCs w:val="24"/>
        </w:rPr>
        <w:t>新材料是体现一个国家创新能力的核心和基础,是实现产业结构优化升级和提升装备制造业水平的保证，是支撑制造业强国的三大基础之一。《中国制造2025》将新材料、新一代信息技术、节能与新能源汽车等产业作为重点发展领域。</w:t>
      </w:r>
    </w:p>
    <w:p w14:paraId="6D660797">
      <w:pPr>
        <w:spacing w:line="360" w:lineRule="auto"/>
        <w:ind w:firstLine="480" w:firstLineChars="200"/>
        <w:rPr>
          <w:rFonts w:ascii="宋体" w:hAnsi="宋体"/>
          <w:szCs w:val="21"/>
        </w:rPr>
      </w:pPr>
      <w:r>
        <w:rPr>
          <w:rFonts w:hint="eastAsia"/>
          <w:szCs w:val="24"/>
        </w:rPr>
        <w:t>覆合铜带是将铜和铝、钢等减速材料通过原子间的冶金结合形成不可分割的整体，集合了各金属组元的优势性能于一体。如</w:t>
      </w:r>
      <w:r>
        <w:rPr>
          <w:rFonts w:hint="eastAsia" w:ascii="宋体" w:hAnsi="宋体"/>
          <w:szCs w:val="21"/>
        </w:rPr>
        <w:t>铜铝覆合箔层压板带具有电阻小、热阻小散热性好机械加工容易电磁拼蔽性好板材平整、尺寸稳定和刚性好等优点，可广泛用于汽车、摩托车、电视机和电子元器件等行业的印制电路制作。铜铝覆合板作供电部位的导电板和铜铝覆合母线排的过渡接头，表面不会过热和拉弧，使导线性能稳定。提高铅材表面处理质量，避免了发热，减少了电能损耗；铜铝覆合板制成的导电板寿命更长，维修更换量减少，且价格低廉。铜铝覆合板作为建筑物的母线来替代铜排，可以大量节省铜材，其用量大、成本低。用于平板太阳能热水器行业，具有传热性能好，集热效率高，耐压性能强，使用寿命长，耐腐蚀，加工工艺简单，节省渡铬液等优点。铜铝覆合板带替代纯铜用在装饰行业，既发挥了纯铜的装饰效果，具有相比铝板密度更小，强度高，价格低廉的优点，应用广泛，产品形貌种类繁多，规格覆盖范围较广，同时具有广阔的市场前景。铜钢覆合材料通过焊接、轧制等工艺将铜与钢的性能优势有机融合，兼具铜的高导电、高导热性，以及钢的高强度、高刚性和低成本特性，是一种性能互补的新型功能材料。其界面结合强度高（剪切强度可达150MPa以上），在高低温循环、振动冲击下不易分层，且加工性良好，可进行切割、冲压等常规加工，具耐腐蚀性与经济性。在应用上较广泛：电力行业中，用于高压开关触头、变压器引线等，平衡导电效率与机械负荷；轨道交通与新能源汽车领域，作为接触网滑板、电池汇流排，满足耐磨导电与轻量化需求；热交换系统里，是散热器、冷却器的核心材料，依托铜层导热与钢层支撑提升散热效率；建筑领域用于防雷接地体和装饰板材，兼顾防腐与结构强度；机械制造与化工行业中，作为耐磨导电部件和轻度腐蚀环境下的连接件；新能源领域则应用于储能电池连接片、光伏逆变器母排，适配高可靠性与低成本要求。这种材料正逐步替代纯铜或纯钢，成为高端制造的关键材料，应用场景还在向HKHT等领域拓展。</w:t>
      </w:r>
    </w:p>
    <w:p w14:paraId="4945ECDF">
      <w:pPr>
        <w:spacing w:line="360" w:lineRule="auto"/>
        <w:ind w:firstLine="480" w:firstLineChars="200"/>
        <w:rPr>
          <w:szCs w:val="24"/>
        </w:rPr>
      </w:pPr>
      <w:r>
        <w:rPr>
          <w:rFonts w:hint="eastAsia"/>
          <w:szCs w:val="24"/>
        </w:rPr>
        <w:t>在全球碳中和、绿色转型的背景下，新能源行业得到快速发展，据工信部数据，2020年全球储能电池需求369.8GWh，到2025年储能电池需求将达到449GWh，成长空间大。铜铝覆合材料成为新能源行业升级换代的基础原材料，是散热元件、动力电池板的最佳选择，在新能源汽车、新能源风光发电及储能、通信、轨道交通等领域得到广泛应用，需求不断上升。铜铝覆合材料可以用于制造太阳能电池板，风力发电机组和电动汽车电池等设备，不仅能提高新能源设备的能量转化率，还能提高其稳定性和可靠性，延长其使用寿命。新能源行业的高能量密度、高功率密度电池的需求，对铜铝覆合用铜材提出来新的要求。GB/T26015-2010《覆合用铜带》该标准于2010年制定，2011年10月出版发行，至今已有14年，该标准在实施过程规范市场，引导产品高品质质量发展，并起到积极的带动作用。随着近年来市场的高速发展，产品的迭代更新，新产品的应用，客户要求的逐步提高及铜铝覆合材料工艺的优化和完善，产品性能参数的不断提高，现行的覆合用铜带规格范围，仅适用于电线电缆行业制造铜包铝、铜包钢线缆用铜带，其技术指标并不适用制作铜铝覆合带用，因此，为了保证该标准的适用性和先进性，规范市场产品标准，为覆合材料更能满足生产、客户要求以及市场需求，更好的规范市场并引领产品生产起到推动作用。另外，原标准中仅有紫铜带材，而在建筑、装饰、碳刷结构件、JG等领域用铜钢覆合材料生产用常用的H65、H62等黄铜带材并未涉及。</w:t>
      </w:r>
    </w:p>
    <w:p w14:paraId="49C0E0B1">
      <w:pPr>
        <w:spacing w:line="360" w:lineRule="auto"/>
        <w:ind w:firstLine="480" w:firstLineChars="200"/>
        <w:rPr>
          <w:szCs w:val="24"/>
        </w:rPr>
      </w:pPr>
      <w:r>
        <w:rPr>
          <w:rFonts w:hint="eastAsia"/>
          <w:szCs w:val="24"/>
        </w:rPr>
        <w:t>为适应市场的需要，提高产品的竞争能力，需要尽快修订该标准。通过对覆合用铜带标准的修订，增加行业近年发展的相关材料的技术要求，提高标准的适用性，对于促进我国覆合用铜带的发展具有重要意义。</w:t>
      </w:r>
    </w:p>
    <w:bookmarkEnd w:id="1"/>
    <w:bookmarkEnd w:id="2"/>
    <w:p w14:paraId="2044E46C">
      <w:pPr>
        <w:pStyle w:val="19"/>
        <w:spacing w:before="120" w:beforeLines="50" w:beforeAutospacing="0" w:after="120" w:afterLines="50" w:afterAutospacing="0" w:line="360" w:lineRule="auto"/>
        <w:jc w:val="both"/>
        <w:rPr>
          <w:rFonts w:hAnsi="黑体" w:cs="Arial"/>
        </w:rPr>
      </w:pPr>
      <w:bookmarkStart w:id="3" w:name="OLE_LINK3"/>
      <w:bookmarkStart w:id="4" w:name="OLE_LINK4"/>
      <w:bookmarkStart w:id="5" w:name="OLE_LINK16"/>
      <w:bookmarkStart w:id="6" w:name="OLE_LINK19"/>
      <w:r>
        <w:rPr>
          <w:rFonts w:ascii="黑体" w:hAnsi="黑体" w:eastAsia="黑体" w:cs="Arial"/>
        </w:rPr>
        <w:t>1.3</w:t>
      </w:r>
      <w:r>
        <w:rPr>
          <w:rFonts w:hint="eastAsia" w:ascii="黑体" w:hAnsi="黑体" w:eastAsia="黑体" w:cs="Arial"/>
        </w:rPr>
        <w:t>主要参加单位和工作成员</w:t>
      </w:r>
      <w:r>
        <w:rPr>
          <w:rFonts w:hint="eastAsia" w:ascii="黑体" w:eastAsia="黑体" w:cs="Arial"/>
        </w:rPr>
        <w:t>所作工作</w:t>
      </w:r>
    </w:p>
    <w:bookmarkEnd w:id="3"/>
    <w:bookmarkEnd w:id="4"/>
    <w:p w14:paraId="52E41D1A">
      <w:pPr>
        <w:spacing w:line="360" w:lineRule="auto"/>
        <w:ind w:firstLine="482" w:firstLineChars="200"/>
        <w:rPr>
          <w:bCs/>
          <w:szCs w:val="24"/>
        </w:rPr>
      </w:pPr>
      <w:r>
        <w:rPr>
          <w:rFonts w:hint="eastAsia" w:cs="宋体" w:asciiTheme="minorEastAsia" w:hAnsiTheme="minorEastAsia" w:eastAsiaTheme="minorEastAsia"/>
          <w:b/>
          <w:szCs w:val="24"/>
        </w:rPr>
        <w:t>中铝洛阳铜加工有限公司</w:t>
      </w:r>
      <w:r>
        <w:rPr>
          <w:rFonts w:hint="eastAsia" w:cs="宋体" w:asciiTheme="minorEastAsia" w:hAnsiTheme="minorEastAsia" w:eastAsiaTheme="minorEastAsia"/>
          <w:szCs w:val="24"/>
        </w:rPr>
        <w:t>是综合性有色金属加工企业，拥有铜及铜合金高精度电子</w:t>
      </w:r>
      <w:r>
        <w:rPr>
          <w:rFonts w:hint="eastAsia" w:asciiTheme="minorEastAsia" w:hAnsiTheme="minorEastAsia" w:eastAsiaTheme="minorEastAsia"/>
          <w:szCs w:val="24"/>
        </w:rPr>
        <w:t>带、大管大棒、弥散强化无氧铜、宽厚板等多条生产线，产品涉及铜及铜合金板、带、箔、管、棒、型材，广泛应用于电子信息通讯、新能源、汽车、海洋工程、轨道交通等领域。</w:t>
      </w:r>
      <w:r>
        <w:rPr>
          <w:rFonts w:hint="eastAsia"/>
          <w:szCs w:val="24"/>
        </w:rPr>
        <w:t>拥有国家级企业技术中心、国家实验室认证认可监督管理委员会认可的实验室、中国有色金属工业重金属加工材质检站、河南省铜镁材料和加工技术工程研究中心、中铝集团高性能铜板带加工技术重点实验室、有色行业铜及铜合金材料与加工工程技术研究中心。先后从德国、美国、法国、日本、英国、意大利等十二个国家引进了</w:t>
      </w:r>
      <w:r>
        <w:rPr>
          <w:szCs w:val="24"/>
        </w:rPr>
        <w:t>80</w:t>
      </w:r>
      <w:r>
        <w:rPr>
          <w:rFonts w:hint="eastAsia"/>
          <w:szCs w:val="24"/>
        </w:rPr>
        <w:t>台</w:t>
      </w:r>
      <w:r>
        <w:rPr>
          <w:szCs w:val="24"/>
        </w:rPr>
        <w:t>(</w:t>
      </w:r>
      <w:r>
        <w:rPr>
          <w:rFonts w:hint="eastAsia"/>
          <w:szCs w:val="24"/>
        </w:rPr>
        <w:t>套</w:t>
      </w:r>
      <w:r>
        <w:rPr>
          <w:szCs w:val="24"/>
        </w:rPr>
        <w:t>)</w:t>
      </w:r>
      <w:r>
        <w:rPr>
          <w:rFonts w:hint="eastAsia"/>
          <w:szCs w:val="24"/>
        </w:rPr>
        <w:t>先进的设备和检测仪器，为有色金属产品的研制和生产打下了坚实的基础。</w:t>
      </w:r>
      <w:r>
        <w:rPr>
          <w:rFonts w:hint="eastAsia" w:asciiTheme="minorEastAsia" w:hAnsiTheme="minorEastAsia" w:eastAsiaTheme="minorEastAsia"/>
          <w:szCs w:val="24"/>
        </w:rPr>
        <w:t>公司拥有一支高素质的科研技术研发队伍，具备丰富的生产技术经验和技术能力。铜及铜合金板带箔材</w:t>
      </w:r>
      <w:r>
        <w:rPr>
          <w:rFonts w:hint="eastAsia" w:asciiTheme="minorEastAsia" w:hAnsiTheme="minorEastAsia" w:eastAsiaTheme="minorEastAsia"/>
          <w:bCs/>
          <w:szCs w:val="24"/>
        </w:rPr>
        <w:t>生产</w:t>
      </w:r>
      <w:r>
        <w:rPr>
          <w:rFonts w:hint="eastAsia" w:asciiTheme="minorEastAsia" w:hAnsiTheme="minorEastAsia" w:eastAsiaTheme="minorEastAsia"/>
          <w:szCs w:val="24"/>
        </w:rPr>
        <w:t>技术成熟</w:t>
      </w:r>
      <w:r>
        <w:rPr>
          <w:rFonts w:hint="eastAsia"/>
          <w:szCs w:val="24"/>
        </w:rPr>
        <w:t>，</w:t>
      </w:r>
      <w:r>
        <w:rPr>
          <w:rFonts w:hint="eastAsia"/>
          <w:bCs/>
          <w:szCs w:val="24"/>
        </w:rPr>
        <w:t>产品质量稳定、性能满足用户使用要求，有较好的技术基础和能力。</w:t>
      </w:r>
    </w:p>
    <w:p w14:paraId="7B9DDCBC">
      <w:pPr>
        <w:spacing w:line="360" w:lineRule="auto"/>
        <w:ind w:firstLine="482" w:firstLineChars="200"/>
        <w:rPr>
          <w:rFonts w:asciiTheme="majorEastAsia" w:hAnsiTheme="majorEastAsia" w:eastAsiaTheme="majorEastAsia" w:cstheme="majorEastAsia"/>
          <w:b/>
          <w:szCs w:val="24"/>
        </w:rPr>
      </w:pPr>
      <w:r>
        <w:rPr>
          <w:rFonts w:asciiTheme="majorEastAsia" w:hAnsiTheme="majorEastAsia" w:eastAsiaTheme="majorEastAsia" w:cstheme="majorEastAsia"/>
          <w:b/>
          <w:szCs w:val="24"/>
        </w:rPr>
        <w:t>浙江松发复合新材料有限公司</w:t>
      </w:r>
    </w:p>
    <w:p w14:paraId="62966667">
      <w:pPr>
        <w:spacing w:line="360" w:lineRule="auto"/>
        <w:ind w:firstLine="482" w:firstLineChars="200"/>
        <w:rPr>
          <w:rFonts w:asciiTheme="majorEastAsia" w:hAnsiTheme="majorEastAsia" w:eastAsiaTheme="majorEastAsia" w:cstheme="majorEastAsia"/>
          <w:b/>
          <w:szCs w:val="24"/>
        </w:rPr>
      </w:pPr>
      <w:r>
        <w:rPr>
          <w:rFonts w:asciiTheme="majorEastAsia" w:hAnsiTheme="majorEastAsia" w:eastAsiaTheme="majorEastAsia" w:cstheme="majorEastAsia"/>
          <w:b/>
          <w:szCs w:val="24"/>
        </w:rPr>
        <w:t>阜阳市产品质量监督检验所</w:t>
      </w:r>
    </w:p>
    <w:p w14:paraId="190549EF">
      <w:pPr>
        <w:spacing w:line="360" w:lineRule="auto"/>
        <w:ind w:firstLine="482" w:firstLineChars="200"/>
        <w:rPr>
          <w:rFonts w:asciiTheme="majorEastAsia" w:hAnsiTheme="majorEastAsia" w:eastAsiaTheme="majorEastAsia" w:cstheme="majorEastAsia"/>
          <w:b/>
          <w:szCs w:val="24"/>
        </w:rPr>
      </w:pPr>
      <w:r>
        <w:rPr>
          <w:rFonts w:asciiTheme="majorEastAsia" w:hAnsiTheme="majorEastAsia" w:eastAsiaTheme="majorEastAsia" w:cstheme="majorEastAsia"/>
          <w:b/>
          <w:szCs w:val="24"/>
        </w:rPr>
        <w:t>欧锟科技温州有限分公司</w:t>
      </w:r>
    </w:p>
    <w:p w14:paraId="667B1DC8">
      <w:pPr>
        <w:spacing w:line="360" w:lineRule="auto"/>
        <w:ind w:firstLine="482" w:firstLineChars="200"/>
        <w:rPr>
          <w:szCs w:val="24"/>
        </w:rPr>
      </w:pPr>
      <w:r>
        <w:rPr>
          <w:rFonts w:hint="eastAsia" w:ascii="宋体" w:hAnsi="宋体" w:cs="宋体"/>
          <w:b/>
        </w:rPr>
        <w:t>铜陵有色金属集团股份有限公司金威铜业分公司</w:t>
      </w:r>
      <w:r>
        <w:rPr>
          <w:rFonts w:hint="eastAsia" w:ascii="宋体" w:hAnsi="宋体" w:cs="宋体"/>
          <w:szCs w:val="24"/>
        </w:rPr>
        <w:t>(以下简称“金威铜业”或“公司”)是铜陵有色金属集团股份有限公司的下属分公司。金威铜业总投资21 亿元，占地450余亩，专业化生产黄铜、紫铜、框架材、磷青铜、锌白铜等各系列高精度铜及铜合金板带材产品，年设计产能10万吨。产品广泛应用于电子信息通讯、新能源、汽车、海洋工程、轨道交通、军工、机电、仪器仪表、日用五金、装饰等领域。公司先后从德国、美国、法国、日本、意大利等多个国家引进了先进的设备和检测仪器。项目采用先进成熟的熔铸和压延生产工艺，配备国际一流的自动控制系统，产品最大宽度为1250mm,最小厚度为0. 05mm，产品具有高附加值、高科技含量。目前，公司拥有获国家知识产权局授权专利18项，包括发明专利7项、实用新型专利11项，多项科技项目获得安徽省、铜陵市科技成果奖；公司主导或参与起草国家、行业和地方标准近20项。公司拥有-支高素质的科研技术研发队伍，具备丰富的生产技术经验和技术能力。铜及铜合金板带箔材生产技术成熟，产品质量稳定、性能满足用户使用要求。尤其是德国引进世界先进的全连续铸造的无氧铜炉生产线具备年产6万吨无氧铜铸锭的生产能力，满足国内各行业的市场需求。</w:t>
      </w:r>
    </w:p>
    <w:p w14:paraId="0492DAAA">
      <w:pPr>
        <w:pStyle w:val="28"/>
        <w:spacing w:line="360" w:lineRule="auto"/>
        <w:ind w:firstLine="0" w:firstLineChars="0"/>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表 </w:t>
      </w:r>
      <w:r>
        <w:rPr>
          <w:rFonts w:hint="eastAsia" w:asciiTheme="minorEastAsia" w:hAnsiTheme="minorEastAsia" w:eastAsiaTheme="minorEastAsia"/>
          <w:sz w:val="24"/>
          <w:szCs w:val="24"/>
        </w:rPr>
        <w:fldChar w:fldCharType="begin"/>
      </w:r>
      <w:r>
        <w:rPr>
          <w:rFonts w:hint="eastAsia" w:asciiTheme="minorEastAsia" w:hAnsiTheme="minorEastAsia" w:eastAsiaTheme="minorEastAsia"/>
          <w:sz w:val="24"/>
          <w:szCs w:val="24"/>
        </w:rPr>
        <w:instrText xml:space="preserve"> SEQ 表 \* ARABIC </w:instrText>
      </w:r>
      <w:r>
        <w:rPr>
          <w:rFonts w:hint="eastAsia" w:asciiTheme="minorEastAsia" w:hAnsiTheme="minorEastAsia" w:eastAsiaTheme="minorEastAsia"/>
          <w:sz w:val="24"/>
          <w:szCs w:val="24"/>
        </w:rPr>
        <w:fldChar w:fldCharType="separate"/>
      </w:r>
      <w:r>
        <w:rPr>
          <w:rFonts w:asciiTheme="minorEastAsia" w:hAnsiTheme="minorEastAsia" w:eastAsiaTheme="minorEastAsia"/>
          <w:sz w:val="24"/>
          <w:szCs w:val="24"/>
        </w:rPr>
        <w:t>1</w:t>
      </w:r>
      <w:r>
        <w:rPr>
          <w:rFonts w:hint="eastAsia" w:asciiTheme="minorEastAsia" w:hAnsiTheme="minorEastAsia" w:eastAsiaTheme="minorEastAsia"/>
          <w:sz w:val="24"/>
          <w:szCs w:val="24"/>
        </w:rPr>
        <w:fldChar w:fldCharType="end"/>
      </w:r>
      <w:r>
        <w:rPr>
          <w:rFonts w:hint="eastAsia" w:asciiTheme="minorEastAsia" w:hAnsiTheme="minorEastAsia" w:eastAsiaTheme="minorEastAsia"/>
          <w:sz w:val="24"/>
          <w:szCs w:val="24"/>
        </w:rPr>
        <w:t xml:space="preserve">   标准编制组成员及职责</w:t>
      </w:r>
    </w:p>
    <w:tbl>
      <w:tblPr>
        <w:tblStyle w:val="21"/>
        <w:tblW w:w="933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57" w:type="dxa"/>
          <w:left w:w="108" w:type="dxa"/>
          <w:bottom w:w="57" w:type="dxa"/>
          <w:right w:w="108" w:type="dxa"/>
        </w:tblCellMar>
      </w:tblPr>
      <w:tblGrid>
        <w:gridCol w:w="821"/>
        <w:gridCol w:w="996"/>
        <w:gridCol w:w="7521"/>
      </w:tblGrid>
      <w:tr w14:paraId="25F338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522" w:hRule="atLeast"/>
          <w:jc w:val="center"/>
        </w:trPr>
        <w:tc>
          <w:tcPr>
            <w:tcW w:w="821" w:type="dxa"/>
            <w:tcBorders>
              <w:bottom w:val="single" w:color="auto" w:sz="8" w:space="0"/>
            </w:tcBorders>
            <w:noWrap/>
            <w:tcMar>
              <w:top w:w="0" w:type="dxa"/>
              <w:left w:w="108" w:type="dxa"/>
              <w:bottom w:w="0" w:type="dxa"/>
              <w:right w:w="108" w:type="dxa"/>
            </w:tcMar>
            <w:vAlign w:val="center"/>
          </w:tcPr>
          <w:p w14:paraId="64D0603E">
            <w:pPr>
              <w:pStyle w:val="28"/>
              <w:widowControl w:val="0"/>
              <w:ind w:firstLine="0" w:firstLineChars="0"/>
              <w:jc w:val="center"/>
              <w:rPr>
                <w:rFonts w:hAnsi="宋体"/>
                <w:sz w:val="24"/>
                <w:szCs w:val="24"/>
              </w:rPr>
            </w:pPr>
            <w:r>
              <w:rPr>
                <w:rFonts w:hint="eastAsia" w:hAnsi="宋体"/>
                <w:sz w:val="24"/>
                <w:szCs w:val="24"/>
              </w:rPr>
              <w:t>序号</w:t>
            </w:r>
          </w:p>
        </w:tc>
        <w:tc>
          <w:tcPr>
            <w:tcW w:w="996" w:type="dxa"/>
            <w:tcBorders>
              <w:bottom w:val="single" w:color="auto" w:sz="8" w:space="0"/>
            </w:tcBorders>
            <w:noWrap/>
            <w:tcMar>
              <w:top w:w="0" w:type="dxa"/>
              <w:left w:w="108" w:type="dxa"/>
              <w:bottom w:w="0" w:type="dxa"/>
              <w:right w:w="108" w:type="dxa"/>
            </w:tcMar>
            <w:vAlign w:val="center"/>
          </w:tcPr>
          <w:p w14:paraId="7AA52C08">
            <w:pPr>
              <w:pStyle w:val="28"/>
              <w:widowControl w:val="0"/>
              <w:ind w:firstLine="0" w:firstLineChars="0"/>
              <w:jc w:val="center"/>
              <w:rPr>
                <w:rFonts w:hAnsi="宋体"/>
                <w:sz w:val="24"/>
                <w:szCs w:val="24"/>
              </w:rPr>
            </w:pPr>
            <w:r>
              <w:rPr>
                <w:rFonts w:hint="eastAsia" w:hAnsi="宋体"/>
                <w:sz w:val="24"/>
                <w:szCs w:val="24"/>
              </w:rPr>
              <w:t>起草人</w:t>
            </w:r>
          </w:p>
        </w:tc>
        <w:tc>
          <w:tcPr>
            <w:tcW w:w="7521" w:type="dxa"/>
            <w:tcBorders>
              <w:bottom w:val="single" w:color="auto" w:sz="8" w:space="0"/>
            </w:tcBorders>
            <w:noWrap/>
            <w:tcMar>
              <w:top w:w="0" w:type="dxa"/>
              <w:left w:w="108" w:type="dxa"/>
              <w:bottom w:w="0" w:type="dxa"/>
              <w:right w:w="108" w:type="dxa"/>
            </w:tcMar>
            <w:vAlign w:val="center"/>
          </w:tcPr>
          <w:p w14:paraId="78BEA042">
            <w:pPr>
              <w:pStyle w:val="28"/>
              <w:widowControl w:val="0"/>
              <w:ind w:firstLine="480"/>
              <w:jc w:val="center"/>
              <w:rPr>
                <w:rFonts w:hAnsi="宋体"/>
                <w:sz w:val="24"/>
                <w:szCs w:val="24"/>
              </w:rPr>
            </w:pPr>
            <w:r>
              <w:rPr>
                <w:rFonts w:hint="eastAsia" w:hAnsi="宋体"/>
                <w:sz w:val="24"/>
                <w:szCs w:val="24"/>
              </w:rPr>
              <w:t>职责及分工</w:t>
            </w:r>
          </w:p>
        </w:tc>
      </w:tr>
      <w:tr w14:paraId="75C31D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660" w:hRule="atLeast"/>
          <w:jc w:val="center"/>
        </w:trPr>
        <w:tc>
          <w:tcPr>
            <w:tcW w:w="821" w:type="dxa"/>
            <w:tcBorders>
              <w:bottom w:val="single" w:color="auto" w:sz="8" w:space="0"/>
            </w:tcBorders>
            <w:noWrap/>
            <w:tcMar>
              <w:top w:w="0" w:type="dxa"/>
              <w:left w:w="108" w:type="dxa"/>
              <w:bottom w:w="0" w:type="dxa"/>
              <w:right w:w="108" w:type="dxa"/>
            </w:tcMar>
            <w:vAlign w:val="center"/>
          </w:tcPr>
          <w:p w14:paraId="5853C6FA">
            <w:pPr>
              <w:pStyle w:val="28"/>
              <w:widowControl w:val="0"/>
              <w:ind w:firstLine="0" w:firstLineChars="0"/>
              <w:jc w:val="center"/>
              <w:rPr>
                <w:rFonts w:hAnsi="宋体"/>
                <w:sz w:val="24"/>
                <w:szCs w:val="24"/>
              </w:rPr>
            </w:pPr>
            <w:r>
              <w:rPr>
                <w:rFonts w:hAnsi="宋体"/>
                <w:sz w:val="24"/>
                <w:szCs w:val="24"/>
              </w:rPr>
              <w:t>1</w:t>
            </w:r>
          </w:p>
        </w:tc>
        <w:tc>
          <w:tcPr>
            <w:tcW w:w="996" w:type="dxa"/>
            <w:tcBorders>
              <w:bottom w:val="single" w:color="auto" w:sz="8" w:space="0"/>
            </w:tcBorders>
            <w:noWrap/>
            <w:tcMar>
              <w:top w:w="0" w:type="dxa"/>
              <w:left w:w="108" w:type="dxa"/>
              <w:bottom w:w="0" w:type="dxa"/>
              <w:right w:w="108" w:type="dxa"/>
            </w:tcMar>
            <w:vAlign w:val="center"/>
          </w:tcPr>
          <w:p w14:paraId="206A06AB">
            <w:pPr>
              <w:pStyle w:val="28"/>
              <w:ind w:firstLine="0" w:firstLineChars="0"/>
              <w:jc w:val="center"/>
              <w:rPr>
                <w:rFonts w:hAnsi="宋体"/>
                <w:sz w:val="24"/>
                <w:szCs w:val="24"/>
              </w:rPr>
            </w:pPr>
            <w:r>
              <w:rPr>
                <w:rFonts w:hint="eastAsia" w:hAnsi="宋体"/>
                <w:sz w:val="24"/>
                <w:szCs w:val="24"/>
              </w:rPr>
              <w:t>***</w:t>
            </w:r>
          </w:p>
        </w:tc>
        <w:tc>
          <w:tcPr>
            <w:tcW w:w="7521" w:type="dxa"/>
            <w:tcBorders>
              <w:bottom w:val="single" w:color="auto" w:sz="8" w:space="0"/>
            </w:tcBorders>
            <w:noWrap/>
            <w:tcMar>
              <w:top w:w="0" w:type="dxa"/>
              <w:left w:w="108" w:type="dxa"/>
              <w:bottom w:w="0" w:type="dxa"/>
              <w:right w:w="108" w:type="dxa"/>
            </w:tcMar>
            <w:vAlign w:val="center"/>
          </w:tcPr>
          <w:p w14:paraId="6CD12036">
            <w:pPr>
              <w:pStyle w:val="28"/>
              <w:ind w:firstLine="0" w:firstLineChars="0"/>
              <w:jc w:val="left"/>
              <w:rPr>
                <w:rFonts w:hAnsi="宋体"/>
                <w:sz w:val="24"/>
                <w:szCs w:val="24"/>
              </w:rPr>
            </w:pPr>
            <w:r>
              <w:rPr>
                <w:rFonts w:hint="eastAsia" w:hAnsi="宋体"/>
                <w:sz w:val="24"/>
                <w:szCs w:val="24"/>
              </w:rPr>
              <w:t>标准执笔人；负责标准编制过程中各方案得编制，负责各种文件的编制；负责指标的汇总计算及指标确定</w:t>
            </w:r>
          </w:p>
        </w:tc>
      </w:tr>
      <w:tr w14:paraId="286C18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522" w:hRule="atLeast"/>
          <w:jc w:val="center"/>
        </w:trPr>
        <w:tc>
          <w:tcPr>
            <w:tcW w:w="821" w:type="dxa"/>
            <w:tcBorders>
              <w:bottom w:val="single" w:color="auto" w:sz="8" w:space="0"/>
            </w:tcBorders>
            <w:noWrap/>
            <w:tcMar>
              <w:top w:w="0" w:type="dxa"/>
              <w:left w:w="108" w:type="dxa"/>
              <w:bottom w:w="0" w:type="dxa"/>
              <w:right w:w="108" w:type="dxa"/>
            </w:tcMar>
            <w:vAlign w:val="center"/>
          </w:tcPr>
          <w:p w14:paraId="522782AC">
            <w:pPr>
              <w:pStyle w:val="28"/>
              <w:widowControl w:val="0"/>
              <w:ind w:firstLine="0" w:firstLineChars="0"/>
              <w:jc w:val="center"/>
              <w:rPr>
                <w:rFonts w:hAnsi="宋体"/>
                <w:sz w:val="24"/>
                <w:szCs w:val="24"/>
              </w:rPr>
            </w:pPr>
            <w:r>
              <w:rPr>
                <w:rFonts w:hAnsi="宋体"/>
                <w:sz w:val="24"/>
                <w:szCs w:val="24"/>
              </w:rPr>
              <w:t>2</w:t>
            </w:r>
          </w:p>
        </w:tc>
        <w:tc>
          <w:tcPr>
            <w:tcW w:w="996" w:type="dxa"/>
            <w:tcBorders>
              <w:bottom w:val="single" w:color="auto" w:sz="8" w:space="0"/>
            </w:tcBorders>
            <w:noWrap/>
            <w:tcMar>
              <w:top w:w="0" w:type="dxa"/>
              <w:left w:w="108" w:type="dxa"/>
              <w:bottom w:w="0" w:type="dxa"/>
              <w:right w:w="108" w:type="dxa"/>
            </w:tcMar>
            <w:vAlign w:val="center"/>
          </w:tcPr>
          <w:p w14:paraId="1A02AB70">
            <w:pPr>
              <w:pStyle w:val="28"/>
              <w:ind w:firstLine="0" w:firstLineChars="0"/>
              <w:jc w:val="center"/>
              <w:rPr>
                <w:sz w:val="24"/>
                <w:szCs w:val="24"/>
              </w:rPr>
            </w:pPr>
            <w:r>
              <w:rPr>
                <w:rFonts w:hint="eastAsia" w:hAnsi="宋体"/>
                <w:sz w:val="24"/>
                <w:szCs w:val="24"/>
              </w:rPr>
              <w:t>***</w:t>
            </w:r>
          </w:p>
        </w:tc>
        <w:tc>
          <w:tcPr>
            <w:tcW w:w="7521" w:type="dxa"/>
            <w:tcBorders>
              <w:bottom w:val="single" w:color="auto" w:sz="8" w:space="0"/>
            </w:tcBorders>
            <w:noWrap/>
            <w:tcMar>
              <w:top w:w="0" w:type="dxa"/>
              <w:left w:w="108" w:type="dxa"/>
              <w:bottom w:w="0" w:type="dxa"/>
              <w:right w:w="108" w:type="dxa"/>
            </w:tcMar>
            <w:vAlign w:val="center"/>
          </w:tcPr>
          <w:p w14:paraId="5B41F1EC">
            <w:pPr>
              <w:pStyle w:val="28"/>
              <w:ind w:firstLine="0" w:firstLineChars="0"/>
              <w:jc w:val="left"/>
              <w:rPr>
                <w:rFonts w:hAnsi="宋体"/>
                <w:sz w:val="24"/>
                <w:szCs w:val="24"/>
              </w:rPr>
            </w:pPr>
            <w:r>
              <w:rPr>
                <w:rFonts w:hint="eastAsia" w:hAnsi="宋体"/>
                <w:sz w:val="24"/>
                <w:szCs w:val="24"/>
              </w:rPr>
              <w:t>负责标准协调管理；负责标准指标的审查和确定。</w:t>
            </w:r>
          </w:p>
        </w:tc>
      </w:tr>
      <w:tr w14:paraId="4F1834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522" w:hRule="atLeast"/>
          <w:jc w:val="center"/>
        </w:trPr>
        <w:tc>
          <w:tcPr>
            <w:tcW w:w="821" w:type="dxa"/>
            <w:noWrap/>
            <w:tcMar>
              <w:top w:w="0" w:type="dxa"/>
              <w:left w:w="108" w:type="dxa"/>
              <w:bottom w:w="0" w:type="dxa"/>
              <w:right w:w="108" w:type="dxa"/>
            </w:tcMar>
            <w:vAlign w:val="center"/>
          </w:tcPr>
          <w:p w14:paraId="6D8A9E23">
            <w:pPr>
              <w:pStyle w:val="28"/>
              <w:widowControl w:val="0"/>
              <w:ind w:firstLine="0" w:firstLineChars="0"/>
              <w:jc w:val="center"/>
              <w:rPr>
                <w:rFonts w:hAnsi="宋体"/>
                <w:sz w:val="24"/>
                <w:szCs w:val="24"/>
              </w:rPr>
            </w:pPr>
            <w:r>
              <w:rPr>
                <w:rFonts w:hAnsi="宋体"/>
                <w:sz w:val="24"/>
                <w:szCs w:val="24"/>
              </w:rPr>
              <w:t>3</w:t>
            </w:r>
          </w:p>
        </w:tc>
        <w:tc>
          <w:tcPr>
            <w:tcW w:w="996" w:type="dxa"/>
            <w:noWrap/>
            <w:tcMar>
              <w:top w:w="0" w:type="dxa"/>
              <w:left w:w="108" w:type="dxa"/>
              <w:bottom w:w="0" w:type="dxa"/>
              <w:right w:w="108" w:type="dxa"/>
            </w:tcMar>
            <w:vAlign w:val="center"/>
          </w:tcPr>
          <w:p w14:paraId="5B14CD7B">
            <w:pPr>
              <w:autoSpaceDE w:val="0"/>
              <w:autoSpaceDN w:val="0"/>
              <w:adjustRightInd/>
              <w:spacing w:line="240" w:lineRule="auto"/>
              <w:jc w:val="center"/>
              <w:textAlignment w:val="auto"/>
              <w:rPr>
                <w:rFonts w:hAnsi="宋体"/>
                <w:szCs w:val="24"/>
              </w:rPr>
            </w:pPr>
            <w:r>
              <w:rPr>
                <w:rFonts w:hint="eastAsia" w:hAnsi="宋体"/>
                <w:szCs w:val="24"/>
              </w:rPr>
              <w:t>***</w:t>
            </w:r>
          </w:p>
        </w:tc>
        <w:tc>
          <w:tcPr>
            <w:tcW w:w="7521" w:type="dxa"/>
            <w:noWrap/>
            <w:tcMar>
              <w:top w:w="0" w:type="dxa"/>
              <w:left w:w="108" w:type="dxa"/>
              <w:bottom w:w="0" w:type="dxa"/>
              <w:right w:w="108" w:type="dxa"/>
            </w:tcMar>
            <w:vAlign w:val="center"/>
          </w:tcPr>
          <w:p w14:paraId="4855E166">
            <w:pPr>
              <w:pStyle w:val="28"/>
              <w:ind w:firstLine="0" w:firstLineChars="0"/>
              <w:jc w:val="left"/>
              <w:rPr>
                <w:rFonts w:hAnsi="宋体"/>
                <w:sz w:val="24"/>
                <w:szCs w:val="24"/>
              </w:rPr>
            </w:pPr>
            <w:r>
              <w:rPr>
                <w:rFonts w:hint="eastAsia" w:hAnsi="宋体"/>
                <w:sz w:val="24"/>
                <w:szCs w:val="24"/>
              </w:rPr>
              <w:t>负责洛阳铜加工覆合带产品数据归集和验证，参与标准指标的讨论与确定</w:t>
            </w:r>
          </w:p>
        </w:tc>
      </w:tr>
      <w:tr w14:paraId="1CFED0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95" w:hRule="atLeast"/>
          <w:jc w:val="center"/>
        </w:trPr>
        <w:tc>
          <w:tcPr>
            <w:tcW w:w="821" w:type="dxa"/>
            <w:noWrap/>
            <w:tcMar>
              <w:top w:w="0" w:type="dxa"/>
              <w:left w:w="108" w:type="dxa"/>
              <w:bottom w:w="0" w:type="dxa"/>
              <w:right w:w="108" w:type="dxa"/>
            </w:tcMar>
            <w:vAlign w:val="center"/>
          </w:tcPr>
          <w:p w14:paraId="42321729">
            <w:pPr>
              <w:pStyle w:val="28"/>
              <w:widowControl w:val="0"/>
              <w:ind w:firstLine="0" w:firstLineChars="0"/>
              <w:jc w:val="center"/>
              <w:rPr>
                <w:rFonts w:hAnsi="宋体"/>
                <w:sz w:val="24"/>
                <w:szCs w:val="24"/>
              </w:rPr>
            </w:pPr>
            <w:r>
              <w:rPr>
                <w:rFonts w:hint="eastAsia" w:hAnsi="宋体"/>
                <w:sz w:val="24"/>
                <w:szCs w:val="24"/>
              </w:rPr>
              <w:t>4</w:t>
            </w:r>
          </w:p>
        </w:tc>
        <w:tc>
          <w:tcPr>
            <w:tcW w:w="996" w:type="dxa"/>
            <w:noWrap/>
            <w:tcMar>
              <w:top w:w="0" w:type="dxa"/>
              <w:left w:w="108" w:type="dxa"/>
              <w:bottom w:w="0" w:type="dxa"/>
              <w:right w:w="108" w:type="dxa"/>
            </w:tcMar>
            <w:vAlign w:val="center"/>
          </w:tcPr>
          <w:p w14:paraId="046499BD">
            <w:pPr>
              <w:autoSpaceDE w:val="0"/>
              <w:autoSpaceDN w:val="0"/>
              <w:adjustRightInd/>
              <w:spacing w:line="240" w:lineRule="auto"/>
              <w:jc w:val="center"/>
              <w:textAlignment w:val="auto"/>
              <w:rPr>
                <w:rFonts w:hAnsi="宋体"/>
                <w:szCs w:val="24"/>
              </w:rPr>
            </w:pPr>
            <w:r>
              <w:rPr>
                <w:rFonts w:hint="eastAsia" w:hAnsi="宋体"/>
                <w:szCs w:val="24"/>
              </w:rPr>
              <w:t>***</w:t>
            </w:r>
          </w:p>
        </w:tc>
        <w:tc>
          <w:tcPr>
            <w:tcW w:w="7521" w:type="dxa"/>
            <w:noWrap/>
            <w:tcMar>
              <w:top w:w="0" w:type="dxa"/>
              <w:left w:w="108" w:type="dxa"/>
              <w:bottom w:w="0" w:type="dxa"/>
              <w:right w:w="108" w:type="dxa"/>
            </w:tcMar>
            <w:vAlign w:val="center"/>
          </w:tcPr>
          <w:p w14:paraId="12AA0D0E">
            <w:pPr>
              <w:pStyle w:val="28"/>
              <w:widowControl w:val="0"/>
              <w:ind w:firstLine="0" w:firstLineChars="0"/>
              <w:jc w:val="left"/>
              <w:rPr>
                <w:sz w:val="24"/>
                <w:szCs w:val="24"/>
              </w:rPr>
            </w:pPr>
            <w:r>
              <w:rPr>
                <w:rFonts w:hint="eastAsia" w:hAnsi="宋体"/>
                <w:sz w:val="24"/>
                <w:szCs w:val="24"/>
              </w:rPr>
              <w:t>负责</w:t>
            </w:r>
            <w:r>
              <w:rPr>
                <w:rFonts w:hint="eastAsia" w:hAnsi="宋体" w:cstheme="majorEastAsia"/>
                <w:sz w:val="24"/>
                <w:szCs w:val="24"/>
              </w:rPr>
              <w:t>***有限公司</w:t>
            </w:r>
            <w:r>
              <w:rPr>
                <w:rFonts w:hint="eastAsia" w:hAnsi="宋体"/>
                <w:sz w:val="24"/>
                <w:szCs w:val="24"/>
              </w:rPr>
              <w:t>产品数据的归集和指标验证，指标确定</w:t>
            </w:r>
          </w:p>
        </w:tc>
      </w:tr>
      <w:tr w14:paraId="523DEA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511" w:hRule="atLeast"/>
          <w:jc w:val="center"/>
        </w:trPr>
        <w:tc>
          <w:tcPr>
            <w:tcW w:w="821" w:type="dxa"/>
            <w:noWrap/>
            <w:tcMar>
              <w:top w:w="0" w:type="dxa"/>
              <w:left w:w="108" w:type="dxa"/>
              <w:bottom w:w="0" w:type="dxa"/>
              <w:right w:w="108" w:type="dxa"/>
            </w:tcMar>
            <w:vAlign w:val="center"/>
          </w:tcPr>
          <w:p w14:paraId="24773941">
            <w:pPr>
              <w:pStyle w:val="28"/>
              <w:widowControl w:val="0"/>
              <w:ind w:firstLine="0" w:firstLineChars="0"/>
              <w:jc w:val="center"/>
              <w:rPr>
                <w:rFonts w:hAnsi="宋体"/>
                <w:sz w:val="24"/>
                <w:szCs w:val="24"/>
              </w:rPr>
            </w:pPr>
            <w:r>
              <w:rPr>
                <w:rFonts w:hint="eastAsia" w:hAnsi="宋体"/>
                <w:sz w:val="24"/>
                <w:szCs w:val="24"/>
              </w:rPr>
              <w:t>5</w:t>
            </w:r>
          </w:p>
        </w:tc>
        <w:tc>
          <w:tcPr>
            <w:tcW w:w="996" w:type="dxa"/>
            <w:noWrap/>
            <w:tcMar>
              <w:top w:w="0" w:type="dxa"/>
              <w:left w:w="108" w:type="dxa"/>
              <w:bottom w:w="0" w:type="dxa"/>
              <w:right w:w="108" w:type="dxa"/>
            </w:tcMar>
            <w:vAlign w:val="center"/>
          </w:tcPr>
          <w:p w14:paraId="0255CBB4">
            <w:pPr>
              <w:autoSpaceDE w:val="0"/>
              <w:autoSpaceDN w:val="0"/>
              <w:adjustRightInd/>
              <w:spacing w:line="240" w:lineRule="auto"/>
              <w:jc w:val="center"/>
              <w:textAlignment w:val="auto"/>
              <w:rPr>
                <w:szCs w:val="24"/>
              </w:rPr>
            </w:pPr>
            <w:r>
              <w:rPr>
                <w:rFonts w:hint="eastAsia" w:hAnsi="宋体"/>
                <w:szCs w:val="24"/>
              </w:rPr>
              <w:t>***</w:t>
            </w:r>
          </w:p>
        </w:tc>
        <w:tc>
          <w:tcPr>
            <w:tcW w:w="7521" w:type="dxa"/>
            <w:noWrap/>
            <w:tcMar>
              <w:top w:w="0" w:type="dxa"/>
              <w:left w:w="108" w:type="dxa"/>
              <w:bottom w:w="0" w:type="dxa"/>
              <w:right w:w="108" w:type="dxa"/>
            </w:tcMar>
            <w:vAlign w:val="center"/>
          </w:tcPr>
          <w:p w14:paraId="6C2E7F13">
            <w:pPr>
              <w:pStyle w:val="28"/>
              <w:widowControl w:val="0"/>
              <w:ind w:firstLine="0" w:firstLineChars="0"/>
              <w:jc w:val="left"/>
              <w:rPr>
                <w:rFonts w:hAnsi="宋体"/>
                <w:sz w:val="24"/>
                <w:szCs w:val="24"/>
              </w:rPr>
            </w:pPr>
            <w:r>
              <w:rPr>
                <w:rFonts w:hint="eastAsia" w:hAnsi="宋体"/>
                <w:sz w:val="24"/>
                <w:szCs w:val="24"/>
              </w:rPr>
              <w:t>负责</w:t>
            </w:r>
            <w:r>
              <w:rPr>
                <w:rFonts w:hint="eastAsia" w:hAnsi="宋体" w:cstheme="majorEastAsia"/>
                <w:sz w:val="24"/>
                <w:szCs w:val="24"/>
              </w:rPr>
              <w:t>***公司</w:t>
            </w:r>
            <w:r>
              <w:rPr>
                <w:rFonts w:hint="eastAsia" w:hAnsi="宋体"/>
                <w:sz w:val="24"/>
                <w:szCs w:val="24"/>
              </w:rPr>
              <w:t>产品数据的归集和指标验证，指标确定</w:t>
            </w:r>
          </w:p>
        </w:tc>
      </w:tr>
      <w:tr w14:paraId="190C76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95" w:hRule="atLeast"/>
          <w:jc w:val="center"/>
        </w:trPr>
        <w:tc>
          <w:tcPr>
            <w:tcW w:w="821" w:type="dxa"/>
            <w:noWrap/>
            <w:tcMar>
              <w:top w:w="0" w:type="dxa"/>
              <w:left w:w="108" w:type="dxa"/>
              <w:bottom w:w="0" w:type="dxa"/>
              <w:right w:w="108" w:type="dxa"/>
            </w:tcMar>
            <w:vAlign w:val="center"/>
          </w:tcPr>
          <w:p w14:paraId="1DCA73F6">
            <w:pPr>
              <w:pStyle w:val="28"/>
              <w:widowControl w:val="0"/>
              <w:ind w:firstLine="0" w:firstLineChars="0"/>
              <w:jc w:val="center"/>
              <w:rPr>
                <w:rFonts w:hAnsi="宋体"/>
                <w:sz w:val="24"/>
                <w:szCs w:val="24"/>
              </w:rPr>
            </w:pPr>
            <w:r>
              <w:rPr>
                <w:rFonts w:hint="eastAsia" w:hAnsi="宋体"/>
                <w:sz w:val="24"/>
                <w:szCs w:val="24"/>
              </w:rPr>
              <w:t>6</w:t>
            </w:r>
          </w:p>
        </w:tc>
        <w:tc>
          <w:tcPr>
            <w:tcW w:w="996" w:type="dxa"/>
            <w:noWrap/>
            <w:tcMar>
              <w:top w:w="0" w:type="dxa"/>
              <w:left w:w="108" w:type="dxa"/>
              <w:bottom w:w="0" w:type="dxa"/>
              <w:right w:w="108" w:type="dxa"/>
            </w:tcMar>
            <w:vAlign w:val="center"/>
          </w:tcPr>
          <w:p w14:paraId="16C05568">
            <w:pPr>
              <w:autoSpaceDE w:val="0"/>
              <w:autoSpaceDN w:val="0"/>
              <w:adjustRightInd/>
              <w:spacing w:line="240" w:lineRule="auto"/>
              <w:jc w:val="center"/>
              <w:textAlignment w:val="auto"/>
              <w:rPr>
                <w:szCs w:val="24"/>
              </w:rPr>
            </w:pPr>
            <w:r>
              <w:rPr>
                <w:rFonts w:hint="eastAsia" w:hAnsi="宋体"/>
                <w:szCs w:val="24"/>
              </w:rPr>
              <w:t>***</w:t>
            </w:r>
          </w:p>
        </w:tc>
        <w:tc>
          <w:tcPr>
            <w:tcW w:w="7521" w:type="dxa"/>
            <w:noWrap/>
            <w:tcMar>
              <w:top w:w="0" w:type="dxa"/>
              <w:left w:w="108" w:type="dxa"/>
              <w:bottom w:w="0" w:type="dxa"/>
              <w:right w:w="108" w:type="dxa"/>
            </w:tcMar>
            <w:vAlign w:val="center"/>
          </w:tcPr>
          <w:p w14:paraId="73C53FB0">
            <w:pPr>
              <w:pStyle w:val="28"/>
              <w:widowControl w:val="0"/>
              <w:ind w:firstLine="0" w:firstLineChars="0"/>
              <w:jc w:val="left"/>
              <w:rPr>
                <w:rFonts w:hAnsi="宋体"/>
                <w:sz w:val="24"/>
                <w:szCs w:val="24"/>
              </w:rPr>
            </w:pPr>
            <w:r>
              <w:rPr>
                <w:rFonts w:hint="eastAsia" w:hAnsi="宋体"/>
                <w:sz w:val="24"/>
                <w:szCs w:val="24"/>
              </w:rPr>
              <w:t>负责</w:t>
            </w:r>
            <w:r>
              <w:rPr>
                <w:rFonts w:hint="eastAsia" w:hAnsi="宋体" w:cstheme="majorEastAsia"/>
                <w:sz w:val="24"/>
                <w:szCs w:val="24"/>
              </w:rPr>
              <w:t>***有限公司</w:t>
            </w:r>
            <w:r>
              <w:rPr>
                <w:rFonts w:hint="eastAsia" w:hAnsi="宋体"/>
                <w:sz w:val="24"/>
                <w:szCs w:val="24"/>
              </w:rPr>
              <w:t>产品数据的归集和指标验证，指标确定</w:t>
            </w:r>
          </w:p>
        </w:tc>
      </w:tr>
      <w:tr w14:paraId="3724A2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95" w:hRule="atLeast"/>
          <w:jc w:val="center"/>
        </w:trPr>
        <w:tc>
          <w:tcPr>
            <w:tcW w:w="821" w:type="dxa"/>
            <w:noWrap/>
            <w:tcMar>
              <w:top w:w="0" w:type="dxa"/>
              <w:left w:w="108" w:type="dxa"/>
              <w:bottom w:w="0" w:type="dxa"/>
              <w:right w:w="108" w:type="dxa"/>
            </w:tcMar>
            <w:vAlign w:val="center"/>
          </w:tcPr>
          <w:p w14:paraId="0FE75A08">
            <w:pPr>
              <w:pStyle w:val="28"/>
              <w:widowControl w:val="0"/>
              <w:ind w:firstLine="0" w:firstLineChars="0"/>
              <w:jc w:val="center"/>
              <w:rPr>
                <w:rFonts w:hAnsi="宋体"/>
                <w:sz w:val="24"/>
                <w:szCs w:val="24"/>
              </w:rPr>
            </w:pPr>
            <w:r>
              <w:rPr>
                <w:rFonts w:hint="eastAsia" w:hAnsi="宋体"/>
                <w:sz w:val="24"/>
                <w:szCs w:val="24"/>
              </w:rPr>
              <w:t>7</w:t>
            </w:r>
          </w:p>
        </w:tc>
        <w:tc>
          <w:tcPr>
            <w:tcW w:w="996" w:type="dxa"/>
            <w:noWrap/>
            <w:tcMar>
              <w:top w:w="0" w:type="dxa"/>
              <w:left w:w="108" w:type="dxa"/>
              <w:bottom w:w="0" w:type="dxa"/>
              <w:right w:w="108" w:type="dxa"/>
            </w:tcMar>
            <w:vAlign w:val="center"/>
          </w:tcPr>
          <w:p w14:paraId="39333805">
            <w:pPr>
              <w:autoSpaceDE w:val="0"/>
              <w:autoSpaceDN w:val="0"/>
              <w:adjustRightInd/>
              <w:spacing w:line="240" w:lineRule="auto"/>
              <w:jc w:val="center"/>
              <w:textAlignment w:val="auto"/>
              <w:rPr>
                <w:rFonts w:hAnsi="宋体"/>
                <w:szCs w:val="24"/>
              </w:rPr>
            </w:pPr>
            <w:r>
              <w:rPr>
                <w:rFonts w:hint="eastAsia" w:hAnsi="宋体"/>
                <w:szCs w:val="24"/>
              </w:rPr>
              <w:t>***</w:t>
            </w:r>
          </w:p>
        </w:tc>
        <w:tc>
          <w:tcPr>
            <w:tcW w:w="7521" w:type="dxa"/>
            <w:noWrap/>
            <w:tcMar>
              <w:top w:w="0" w:type="dxa"/>
              <w:left w:w="108" w:type="dxa"/>
              <w:bottom w:w="0" w:type="dxa"/>
              <w:right w:w="108" w:type="dxa"/>
            </w:tcMar>
            <w:vAlign w:val="center"/>
          </w:tcPr>
          <w:p w14:paraId="7253916B">
            <w:pPr>
              <w:pStyle w:val="28"/>
              <w:widowControl w:val="0"/>
              <w:ind w:firstLine="0" w:firstLineChars="0"/>
              <w:jc w:val="left"/>
              <w:rPr>
                <w:rFonts w:hAnsi="宋体"/>
                <w:sz w:val="24"/>
                <w:szCs w:val="24"/>
              </w:rPr>
            </w:pPr>
            <w:r>
              <w:rPr>
                <w:rFonts w:hint="eastAsia" w:hAnsi="宋体"/>
                <w:sz w:val="24"/>
                <w:szCs w:val="24"/>
              </w:rPr>
              <w:t>负责</w:t>
            </w:r>
            <w:r>
              <w:rPr>
                <w:rFonts w:hint="eastAsia" w:hAnsi="宋体" w:cstheme="majorEastAsia"/>
                <w:sz w:val="24"/>
                <w:szCs w:val="24"/>
              </w:rPr>
              <w:t>***有限公司</w:t>
            </w:r>
            <w:r>
              <w:rPr>
                <w:rFonts w:hint="eastAsia" w:hAnsi="宋体"/>
                <w:sz w:val="24"/>
                <w:szCs w:val="24"/>
              </w:rPr>
              <w:t>产品数据的归集和指标验证，指标确定</w:t>
            </w:r>
          </w:p>
        </w:tc>
      </w:tr>
      <w:tr w14:paraId="0F0A6B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57" w:type="dxa"/>
            <w:left w:w="108" w:type="dxa"/>
            <w:bottom w:w="57" w:type="dxa"/>
            <w:right w:w="108" w:type="dxa"/>
          </w:tblCellMar>
        </w:tblPrEx>
        <w:trPr>
          <w:trHeight w:val="495" w:hRule="atLeast"/>
          <w:jc w:val="center"/>
        </w:trPr>
        <w:tc>
          <w:tcPr>
            <w:tcW w:w="821" w:type="dxa"/>
            <w:noWrap/>
            <w:tcMar>
              <w:top w:w="0" w:type="dxa"/>
              <w:left w:w="108" w:type="dxa"/>
              <w:bottom w:w="0" w:type="dxa"/>
              <w:right w:w="108" w:type="dxa"/>
            </w:tcMar>
            <w:vAlign w:val="center"/>
          </w:tcPr>
          <w:p w14:paraId="5D24E397">
            <w:pPr>
              <w:pStyle w:val="28"/>
              <w:widowControl w:val="0"/>
              <w:ind w:firstLine="0" w:firstLineChars="0"/>
              <w:jc w:val="center"/>
              <w:rPr>
                <w:rFonts w:hAnsi="宋体"/>
                <w:sz w:val="24"/>
                <w:szCs w:val="24"/>
              </w:rPr>
            </w:pPr>
            <w:r>
              <w:rPr>
                <w:rFonts w:hint="eastAsia" w:hAnsi="宋体"/>
                <w:sz w:val="24"/>
                <w:szCs w:val="24"/>
              </w:rPr>
              <w:t>8</w:t>
            </w:r>
          </w:p>
        </w:tc>
        <w:tc>
          <w:tcPr>
            <w:tcW w:w="996" w:type="dxa"/>
            <w:noWrap/>
            <w:tcMar>
              <w:top w:w="0" w:type="dxa"/>
              <w:left w:w="108" w:type="dxa"/>
              <w:bottom w:w="0" w:type="dxa"/>
              <w:right w:w="108" w:type="dxa"/>
            </w:tcMar>
            <w:vAlign w:val="center"/>
          </w:tcPr>
          <w:p w14:paraId="580835C2">
            <w:pPr>
              <w:autoSpaceDE w:val="0"/>
              <w:autoSpaceDN w:val="0"/>
              <w:adjustRightInd/>
              <w:spacing w:line="240" w:lineRule="auto"/>
              <w:jc w:val="center"/>
              <w:textAlignment w:val="auto"/>
              <w:rPr>
                <w:rFonts w:hAnsi="宋体"/>
                <w:szCs w:val="24"/>
              </w:rPr>
            </w:pPr>
            <w:r>
              <w:rPr>
                <w:rFonts w:hint="eastAsia" w:hAnsi="宋体"/>
                <w:szCs w:val="24"/>
              </w:rPr>
              <w:t>***</w:t>
            </w:r>
          </w:p>
        </w:tc>
        <w:tc>
          <w:tcPr>
            <w:tcW w:w="7521" w:type="dxa"/>
            <w:noWrap/>
            <w:tcMar>
              <w:top w:w="0" w:type="dxa"/>
              <w:left w:w="108" w:type="dxa"/>
              <w:bottom w:w="0" w:type="dxa"/>
              <w:right w:w="108" w:type="dxa"/>
            </w:tcMar>
            <w:vAlign w:val="center"/>
          </w:tcPr>
          <w:p w14:paraId="016F4E39">
            <w:pPr>
              <w:pStyle w:val="28"/>
              <w:widowControl w:val="0"/>
              <w:ind w:firstLine="0" w:firstLineChars="0"/>
              <w:jc w:val="left"/>
              <w:rPr>
                <w:rFonts w:hAnsi="宋体"/>
                <w:sz w:val="24"/>
                <w:szCs w:val="24"/>
              </w:rPr>
            </w:pPr>
            <w:r>
              <w:rPr>
                <w:rFonts w:hint="eastAsia" w:hAnsi="宋体"/>
                <w:sz w:val="24"/>
                <w:szCs w:val="24"/>
              </w:rPr>
              <w:t>负责</w:t>
            </w:r>
            <w:r>
              <w:rPr>
                <w:rFonts w:hint="eastAsia" w:hAnsi="宋体" w:cstheme="majorEastAsia"/>
                <w:sz w:val="24"/>
                <w:szCs w:val="24"/>
              </w:rPr>
              <w:t>***有限公司</w:t>
            </w:r>
            <w:r>
              <w:rPr>
                <w:rFonts w:hint="eastAsia" w:hAnsi="宋体"/>
                <w:sz w:val="24"/>
                <w:szCs w:val="24"/>
              </w:rPr>
              <w:t>产品数据的归集和指标验证，指标确定</w:t>
            </w:r>
          </w:p>
        </w:tc>
      </w:tr>
      <w:bookmarkEnd w:id="5"/>
      <w:bookmarkEnd w:id="6"/>
    </w:tbl>
    <w:p w14:paraId="09392468">
      <w:pPr>
        <w:pStyle w:val="31"/>
        <w:spacing w:beforeLines="0" w:afterLines="0" w:line="360" w:lineRule="auto"/>
        <w:outlineLvl w:val="9"/>
        <w:rPr>
          <w:rStyle w:val="26"/>
          <w:rFonts w:hint="default"/>
          <w:sz w:val="24"/>
          <w:szCs w:val="24"/>
        </w:rPr>
      </w:pPr>
      <w:r>
        <w:rPr>
          <w:rFonts w:hint="eastAsia" w:hAnsi="黑体" w:cs="黑体"/>
          <w:sz w:val="24"/>
          <w:szCs w:val="24"/>
        </w:rPr>
        <w:t>1.4 主要工作过程</w:t>
      </w:r>
    </w:p>
    <w:p w14:paraId="31DA44A9">
      <w:pPr>
        <w:pStyle w:val="31"/>
        <w:spacing w:beforeLines="0" w:afterLines="0" w:line="360" w:lineRule="auto"/>
        <w:outlineLvl w:val="9"/>
        <w:rPr>
          <w:rFonts w:hAnsi="黑体" w:cs="黑体"/>
          <w:sz w:val="24"/>
          <w:szCs w:val="24"/>
        </w:rPr>
      </w:pPr>
      <w:r>
        <w:rPr>
          <w:rFonts w:hint="eastAsia" w:hAnsi="黑体" w:cs="黑体"/>
          <w:sz w:val="24"/>
          <w:szCs w:val="24"/>
        </w:rPr>
        <w:t>1.4.1预研阶段</w:t>
      </w:r>
    </w:p>
    <w:p w14:paraId="4185D364">
      <w:pPr>
        <w:pStyle w:val="28"/>
        <w:spacing w:line="360" w:lineRule="auto"/>
        <w:ind w:firstLine="480"/>
        <w:rPr>
          <w:rFonts w:hAnsi="宋体" w:cs="宋体"/>
          <w:sz w:val="24"/>
          <w:szCs w:val="24"/>
        </w:rPr>
      </w:pPr>
      <w:r>
        <w:rPr>
          <w:rFonts w:hint="eastAsia" w:hAnsi="宋体" w:cs="宋体"/>
          <w:sz w:val="24"/>
          <w:szCs w:val="24"/>
        </w:rPr>
        <w:t>覆合用铜带使用广泛，如通讯、新能源、电子元器件等，随着我国国民经济的快速发展，覆合用铜带作为其基础材料需求增大。目前国外没有专门的覆合用铜带。国标GB/T 29197-2012《铜包铝线》适用于电工裸圆铜包铝线，其典型用途为射频同轴电缆内导体 ，同时也适用于其他有类似需求的电工领域；GB/T36162-2018《铜钢复合薄板和带》适用于一般工业用途的铜钢复合薄板和带；GB/T 26330-2023《银、银合金/铜、铜合金复合带材》，适用于复层为银及银合金、金及金合金，基层为铜及铜合金的二层、三层或多层复合带材的制造和检验；GB/T32468-2025《铜铝复合板带箔》适用于电力、通信、电子、建筑、导热等行业用的铜铝复合板带箔。以上标准均未明确规定覆合用铜带相关技术要求。</w:t>
      </w:r>
    </w:p>
    <w:p w14:paraId="5AB03CD7">
      <w:pPr>
        <w:pStyle w:val="28"/>
        <w:spacing w:line="360" w:lineRule="auto"/>
        <w:ind w:firstLine="480"/>
        <w:rPr>
          <w:rFonts w:hAnsi="宋体" w:cs="宋体"/>
          <w:sz w:val="24"/>
          <w:szCs w:val="24"/>
        </w:rPr>
      </w:pPr>
      <w:r>
        <w:rPr>
          <w:rFonts w:hint="eastAsia" w:hAnsi="宋体" w:cs="宋体"/>
          <w:sz w:val="24"/>
          <w:szCs w:val="24"/>
        </w:rPr>
        <w:t>ASTM B432-2009《铜及铜合金包覆钢厚板》主要用于压力容器；ASTM B506《建筑结构用铜包覆不锈钢薄板和带材》适用于屋顶、壁板、遮雨板、排水管、窗户、门、幕墙构件和其他建筑用薄板金属产品和建筑结构制造产品；ASTMB694-2013《电缆屏蔽用同、铜合金、包铜青铜、包铜不锈钢和包铜合金钢薄板和带材》适用于绝缘、控制、仪表和通讯电缆。</w:t>
      </w:r>
    </w:p>
    <w:p w14:paraId="1B2883C8">
      <w:pPr>
        <w:pStyle w:val="31"/>
        <w:spacing w:beforeLines="0" w:afterLines="0" w:line="360" w:lineRule="auto"/>
        <w:outlineLvl w:val="9"/>
        <w:rPr>
          <w:rFonts w:hAnsi="黑体" w:cs="黑体"/>
          <w:sz w:val="24"/>
          <w:szCs w:val="24"/>
        </w:rPr>
      </w:pPr>
      <w:r>
        <w:rPr>
          <w:rFonts w:hint="eastAsia" w:hAnsi="黑体" w:cs="黑体"/>
          <w:sz w:val="24"/>
          <w:szCs w:val="24"/>
        </w:rPr>
        <w:t>1.4.2 标准立项</w:t>
      </w:r>
    </w:p>
    <w:p w14:paraId="2A1D7D3F">
      <w:pPr>
        <w:spacing w:line="360" w:lineRule="auto"/>
        <w:ind w:firstLine="480" w:firstLineChars="200"/>
        <w:rPr>
          <w:rFonts w:ascii="宋体" w:hAnsi="宋体"/>
          <w:color w:val="auto"/>
        </w:rPr>
      </w:pPr>
      <w:r>
        <w:rPr>
          <w:rFonts w:hint="eastAsia" w:ascii="宋体" w:hAnsi="宋体" w:cs="宋体"/>
          <w:color w:val="auto"/>
        </w:rPr>
        <w:t>由中铝洛阳铜加工有限公司提出，</w:t>
      </w:r>
      <w:r>
        <w:rPr>
          <w:rFonts w:hint="eastAsia"/>
          <w:color w:val="auto"/>
          <w:szCs w:val="24"/>
        </w:rPr>
        <w:t>根据国标委发〔2025〕**号《</w:t>
      </w:r>
      <w:r>
        <w:rPr>
          <w:rFonts w:hint="eastAsia"/>
          <w:color w:val="auto"/>
          <w:szCs w:val="24"/>
          <w:shd w:val="clear" w:color="auto" w:fill="FFFFFF"/>
        </w:rPr>
        <w:t>国家标准化管理委员会关于下达2025年</w:t>
      </w:r>
      <w:r>
        <w:rPr>
          <w:color w:val="auto"/>
          <w:szCs w:val="24"/>
          <w:shd w:val="clear" w:color="auto" w:fill="FFFFFF"/>
        </w:rPr>
        <w:t>第</w:t>
      </w:r>
      <w:r>
        <w:rPr>
          <w:rFonts w:hint="eastAsia"/>
          <w:color w:val="auto"/>
          <w:szCs w:val="24"/>
          <w:shd w:val="clear" w:color="auto" w:fill="FFFFFF"/>
        </w:rPr>
        <w:t>**</w:t>
      </w:r>
      <w:r>
        <w:rPr>
          <w:color w:val="auto"/>
          <w:szCs w:val="24"/>
          <w:shd w:val="clear" w:color="auto" w:fill="FFFFFF"/>
        </w:rPr>
        <w:t>批</w:t>
      </w:r>
      <w:r>
        <w:rPr>
          <w:rFonts w:hint="eastAsia"/>
          <w:color w:val="auto"/>
          <w:szCs w:val="24"/>
          <w:shd w:val="clear" w:color="auto" w:fill="FFFFFF"/>
        </w:rPr>
        <w:t>推荐性</w:t>
      </w:r>
      <w:r>
        <w:rPr>
          <w:color w:val="auto"/>
          <w:szCs w:val="24"/>
          <w:shd w:val="clear" w:color="auto" w:fill="FFFFFF"/>
        </w:rPr>
        <w:t>国家标准计划</w:t>
      </w:r>
      <w:r>
        <w:rPr>
          <w:rFonts w:hint="eastAsia"/>
          <w:color w:val="auto"/>
          <w:szCs w:val="24"/>
          <w:shd w:val="clear" w:color="auto" w:fill="FFFFFF"/>
        </w:rPr>
        <w:t>*****</w:t>
      </w:r>
      <w:r>
        <w:rPr>
          <w:color w:val="auto"/>
          <w:szCs w:val="24"/>
          <w:shd w:val="clear" w:color="auto" w:fill="FFFFFF"/>
        </w:rPr>
        <w:t>的通知</w:t>
      </w:r>
      <w:r>
        <w:rPr>
          <w:rFonts w:hint="eastAsia"/>
          <w:color w:val="auto"/>
          <w:szCs w:val="24"/>
        </w:rPr>
        <w:t>》，</w:t>
      </w:r>
      <w:r>
        <w:rPr>
          <w:rFonts w:hint="eastAsia"/>
          <w:bCs/>
          <w:color w:val="auto"/>
          <w:szCs w:val="24"/>
        </w:rPr>
        <w:t>其中国家标准</w:t>
      </w:r>
      <w:r>
        <w:rPr>
          <w:rFonts w:hint="eastAsia"/>
          <w:color w:val="auto"/>
          <w:szCs w:val="24"/>
        </w:rPr>
        <w:t>《覆合用铜带》</w:t>
      </w:r>
      <w:r>
        <w:rPr>
          <w:rFonts w:hint="eastAsia"/>
          <w:bCs/>
          <w:color w:val="auto"/>
          <w:szCs w:val="24"/>
        </w:rPr>
        <w:t>（</w:t>
      </w:r>
      <w:r>
        <w:rPr>
          <w:rFonts w:hint="eastAsia"/>
          <w:color w:val="auto"/>
          <w:szCs w:val="24"/>
        </w:rPr>
        <w:t>项目编号</w:t>
      </w:r>
      <w:r>
        <w:rPr>
          <w:rFonts w:hint="eastAsia"/>
          <w:color w:val="auto"/>
          <w:spacing w:val="-20"/>
          <w:szCs w:val="24"/>
        </w:rPr>
        <w:t>“</w:t>
      </w:r>
      <w:r>
        <w:rPr>
          <w:rFonts w:hint="eastAsia" w:ascii="宋体" w:hAnsi="宋体"/>
          <w:bCs/>
          <w:color w:val="auto"/>
          <w:szCs w:val="24"/>
        </w:rPr>
        <w:t>****</w:t>
      </w:r>
      <w:r>
        <w:rPr>
          <w:rFonts w:hint="eastAsia"/>
          <w:color w:val="auto"/>
          <w:spacing w:val="-20"/>
          <w:szCs w:val="24"/>
        </w:rPr>
        <w:t>”</w:t>
      </w:r>
      <w:r>
        <w:rPr>
          <w:rFonts w:hint="eastAsia"/>
          <w:color w:val="auto"/>
          <w:szCs w:val="24"/>
        </w:rPr>
        <w:t>）由</w:t>
      </w:r>
      <w:r>
        <w:rPr>
          <w:rFonts w:hint="eastAsia" w:asciiTheme="majorEastAsia" w:hAnsiTheme="majorEastAsia" w:eastAsiaTheme="majorEastAsia" w:cstheme="majorEastAsia"/>
          <w:color w:val="auto"/>
          <w:szCs w:val="24"/>
        </w:rPr>
        <w:t>中铝洛阳铜加工有限公司、浙江松发覆合新材料有限公司、阜阳市产品质量监督检验所、欧锟科技温州有限分公司、铜陵有色金属集团股份有限公司金威铜业分公司</w:t>
      </w:r>
      <w:r>
        <w:rPr>
          <w:rFonts w:hint="eastAsia"/>
          <w:color w:val="auto"/>
          <w:szCs w:val="24"/>
        </w:rPr>
        <w:t>等负责起草，完成年限为***年***月。</w:t>
      </w:r>
    </w:p>
    <w:p w14:paraId="2E36F155">
      <w:pPr>
        <w:spacing w:line="360" w:lineRule="auto"/>
        <w:ind w:firstLine="480" w:firstLineChars="200"/>
        <w:rPr>
          <w:rFonts w:asciiTheme="minorEastAsia" w:hAnsiTheme="minorEastAsia" w:eastAsiaTheme="minorEastAsia"/>
          <w:color w:val="auto"/>
          <w:szCs w:val="24"/>
        </w:rPr>
      </w:pPr>
      <w:r>
        <w:rPr>
          <w:rFonts w:hint="eastAsia" w:asciiTheme="minorEastAsia" w:hAnsiTheme="minorEastAsia" w:eastAsiaTheme="minorEastAsia"/>
          <w:color w:val="auto"/>
          <w:szCs w:val="24"/>
        </w:rPr>
        <w:t>覆合用铜及铜合金带材材标准项目申请立项时间为</w:t>
      </w:r>
      <w:r>
        <w:rPr>
          <w:rFonts w:asciiTheme="minorEastAsia" w:hAnsiTheme="minorEastAsia" w:eastAsiaTheme="minorEastAsia"/>
          <w:color w:val="auto"/>
          <w:szCs w:val="24"/>
        </w:rPr>
        <w:t>202</w:t>
      </w:r>
      <w:r>
        <w:rPr>
          <w:rFonts w:hint="eastAsia" w:asciiTheme="minorEastAsia" w:hAnsiTheme="minorEastAsia" w:eastAsiaTheme="minorEastAsia"/>
          <w:color w:val="auto"/>
          <w:szCs w:val="24"/>
        </w:rPr>
        <w:t>3</w:t>
      </w:r>
      <w:r>
        <w:rPr>
          <w:rFonts w:asciiTheme="minorEastAsia" w:hAnsiTheme="minorEastAsia" w:eastAsiaTheme="minorEastAsia"/>
          <w:color w:val="auto"/>
          <w:szCs w:val="24"/>
        </w:rPr>
        <w:t>年1</w:t>
      </w:r>
      <w:r>
        <w:rPr>
          <w:rFonts w:hint="eastAsia" w:asciiTheme="minorEastAsia" w:hAnsiTheme="minorEastAsia" w:eastAsiaTheme="minorEastAsia"/>
          <w:color w:val="auto"/>
          <w:szCs w:val="24"/>
        </w:rPr>
        <w:t>1月23</w:t>
      </w:r>
      <w:r>
        <w:rPr>
          <w:rFonts w:asciiTheme="minorEastAsia" w:hAnsiTheme="minorEastAsia" w:eastAsiaTheme="minorEastAsia"/>
          <w:color w:val="auto"/>
          <w:szCs w:val="24"/>
        </w:rPr>
        <w:t>日，</w:t>
      </w:r>
      <w:r>
        <w:rPr>
          <w:rFonts w:hint="eastAsia" w:asciiTheme="minorEastAsia" w:hAnsiTheme="minorEastAsia" w:eastAsiaTheme="minorEastAsia"/>
          <w:color w:val="auto"/>
          <w:szCs w:val="24"/>
        </w:rPr>
        <w:t>提交全体委员会议讨论后，下达计划时间为2025年**月**日。项目预期执行节点为：讨论稿：</w:t>
      </w:r>
      <w:r>
        <w:rPr>
          <w:rFonts w:asciiTheme="minorEastAsia" w:hAnsiTheme="minorEastAsia" w:eastAsiaTheme="minorEastAsia"/>
          <w:color w:val="auto"/>
          <w:szCs w:val="24"/>
        </w:rPr>
        <w:t>202</w:t>
      </w:r>
      <w:r>
        <w:rPr>
          <w:rFonts w:hint="eastAsia" w:asciiTheme="minorEastAsia" w:hAnsiTheme="minorEastAsia" w:eastAsiaTheme="minorEastAsia"/>
          <w:color w:val="auto"/>
          <w:szCs w:val="24"/>
        </w:rPr>
        <w:t>5</w:t>
      </w:r>
      <w:r>
        <w:rPr>
          <w:rFonts w:asciiTheme="minorEastAsia" w:hAnsiTheme="minorEastAsia" w:eastAsiaTheme="minorEastAsia"/>
          <w:color w:val="auto"/>
          <w:szCs w:val="24"/>
        </w:rPr>
        <w:t>年</w:t>
      </w:r>
      <w:r>
        <w:rPr>
          <w:rFonts w:hint="eastAsia" w:asciiTheme="minorEastAsia" w:hAnsiTheme="minorEastAsia" w:eastAsiaTheme="minorEastAsia"/>
          <w:color w:val="auto"/>
          <w:szCs w:val="24"/>
        </w:rPr>
        <w:t>8</w:t>
      </w:r>
      <w:r>
        <w:rPr>
          <w:rFonts w:asciiTheme="minorEastAsia" w:hAnsiTheme="minorEastAsia" w:eastAsiaTheme="minorEastAsia"/>
          <w:color w:val="auto"/>
          <w:szCs w:val="24"/>
        </w:rPr>
        <w:t>月</w:t>
      </w:r>
      <w:r>
        <w:rPr>
          <w:rFonts w:hint="eastAsia" w:asciiTheme="minorEastAsia" w:hAnsiTheme="minorEastAsia" w:eastAsiaTheme="minorEastAsia"/>
          <w:color w:val="auto"/>
          <w:szCs w:val="24"/>
        </w:rPr>
        <w:t>12</w:t>
      </w:r>
      <w:r>
        <w:rPr>
          <w:rFonts w:asciiTheme="minorEastAsia" w:hAnsiTheme="minorEastAsia" w:eastAsiaTheme="minorEastAsia"/>
          <w:color w:val="auto"/>
          <w:szCs w:val="24"/>
        </w:rPr>
        <w:t>日；</w:t>
      </w:r>
      <w:r>
        <w:rPr>
          <w:rFonts w:hint="eastAsia" w:asciiTheme="minorEastAsia" w:hAnsiTheme="minorEastAsia" w:eastAsiaTheme="minorEastAsia"/>
          <w:color w:val="auto"/>
          <w:szCs w:val="24"/>
        </w:rPr>
        <w:t>预审稿</w:t>
      </w:r>
      <w:r>
        <w:rPr>
          <w:rFonts w:asciiTheme="minorEastAsia" w:hAnsiTheme="minorEastAsia" w:eastAsiaTheme="minorEastAsia"/>
          <w:color w:val="auto"/>
          <w:szCs w:val="24"/>
        </w:rPr>
        <w:t>：202</w:t>
      </w:r>
      <w:r>
        <w:rPr>
          <w:rFonts w:hint="eastAsia" w:asciiTheme="minorEastAsia" w:hAnsiTheme="minorEastAsia" w:eastAsiaTheme="minorEastAsia"/>
          <w:color w:val="auto"/>
          <w:szCs w:val="24"/>
        </w:rPr>
        <w:t>5</w:t>
      </w:r>
      <w:r>
        <w:rPr>
          <w:rFonts w:asciiTheme="minorEastAsia" w:hAnsiTheme="minorEastAsia" w:eastAsiaTheme="minorEastAsia"/>
          <w:color w:val="auto"/>
          <w:szCs w:val="24"/>
        </w:rPr>
        <w:t>年</w:t>
      </w:r>
      <w:r>
        <w:rPr>
          <w:rFonts w:hint="eastAsia" w:asciiTheme="minorEastAsia" w:hAnsiTheme="minorEastAsia" w:eastAsiaTheme="minorEastAsia"/>
          <w:color w:val="auto"/>
          <w:szCs w:val="24"/>
        </w:rPr>
        <w:t>**</w:t>
      </w:r>
      <w:r>
        <w:rPr>
          <w:rFonts w:asciiTheme="minorEastAsia" w:hAnsiTheme="minorEastAsia" w:eastAsiaTheme="minorEastAsia"/>
          <w:color w:val="auto"/>
          <w:szCs w:val="24"/>
        </w:rPr>
        <w:t>月</w:t>
      </w:r>
      <w:r>
        <w:rPr>
          <w:rFonts w:hint="eastAsia" w:asciiTheme="minorEastAsia" w:hAnsiTheme="minorEastAsia" w:eastAsiaTheme="minorEastAsia"/>
          <w:color w:val="auto"/>
          <w:szCs w:val="24"/>
        </w:rPr>
        <w:t>**</w:t>
      </w:r>
      <w:r>
        <w:rPr>
          <w:rFonts w:asciiTheme="minorEastAsia" w:hAnsiTheme="minorEastAsia" w:eastAsiaTheme="minorEastAsia"/>
          <w:color w:val="auto"/>
          <w:szCs w:val="24"/>
        </w:rPr>
        <w:t>日；</w:t>
      </w:r>
      <w:r>
        <w:rPr>
          <w:rFonts w:hint="eastAsia" w:asciiTheme="minorEastAsia" w:hAnsiTheme="minorEastAsia" w:eastAsiaTheme="minorEastAsia"/>
          <w:color w:val="auto"/>
          <w:szCs w:val="24"/>
        </w:rPr>
        <w:t>征求意见稿：</w:t>
      </w:r>
      <w:r>
        <w:rPr>
          <w:rFonts w:asciiTheme="minorEastAsia" w:hAnsiTheme="minorEastAsia" w:eastAsiaTheme="minorEastAsia"/>
          <w:color w:val="auto"/>
          <w:szCs w:val="24"/>
        </w:rPr>
        <w:t>202</w:t>
      </w:r>
      <w:r>
        <w:rPr>
          <w:rFonts w:hint="eastAsia" w:asciiTheme="minorEastAsia" w:hAnsiTheme="minorEastAsia" w:eastAsiaTheme="minorEastAsia"/>
          <w:color w:val="auto"/>
          <w:szCs w:val="24"/>
        </w:rPr>
        <w:t>6</w:t>
      </w:r>
      <w:r>
        <w:rPr>
          <w:rFonts w:asciiTheme="minorEastAsia" w:hAnsiTheme="minorEastAsia" w:eastAsiaTheme="minorEastAsia"/>
          <w:color w:val="auto"/>
          <w:szCs w:val="24"/>
        </w:rPr>
        <w:t>年</w:t>
      </w:r>
      <w:r>
        <w:rPr>
          <w:rFonts w:hint="eastAsia" w:asciiTheme="minorEastAsia" w:hAnsiTheme="minorEastAsia" w:eastAsiaTheme="minorEastAsia"/>
          <w:color w:val="auto"/>
          <w:szCs w:val="24"/>
        </w:rPr>
        <w:t>**</w:t>
      </w:r>
      <w:r>
        <w:rPr>
          <w:rFonts w:asciiTheme="minorEastAsia" w:hAnsiTheme="minorEastAsia" w:eastAsiaTheme="minorEastAsia"/>
          <w:color w:val="auto"/>
          <w:szCs w:val="24"/>
        </w:rPr>
        <w:t>月</w:t>
      </w:r>
      <w:r>
        <w:rPr>
          <w:rFonts w:hint="eastAsia" w:asciiTheme="minorEastAsia" w:hAnsiTheme="minorEastAsia" w:eastAsiaTheme="minorEastAsia"/>
          <w:color w:val="auto"/>
          <w:szCs w:val="24"/>
        </w:rPr>
        <w:t>**</w:t>
      </w:r>
      <w:r>
        <w:rPr>
          <w:rFonts w:asciiTheme="minorEastAsia" w:hAnsiTheme="minorEastAsia" w:eastAsiaTheme="minorEastAsia"/>
          <w:color w:val="auto"/>
          <w:szCs w:val="24"/>
        </w:rPr>
        <w:t>日</w:t>
      </w:r>
      <w:r>
        <w:rPr>
          <w:rFonts w:hint="eastAsia" w:asciiTheme="minorEastAsia" w:hAnsiTheme="minorEastAsia" w:eastAsiaTheme="minorEastAsia"/>
          <w:color w:val="auto"/>
          <w:szCs w:val="24"/>
        </w:rPr>
        <w:t>；</w:t>
      </w:r>
      <w:r>
        <w:rPr>
          <w:rFonts w:asciiTheme="minorEastAsia" w:hAnsiTheme="minorEastAsia" w:eastAsiaTheme="minorEastAsia"/>
          <w:color w:val="auto"/>
          <w:szCs w:val="24"/>
        </w:rPr>
        <w:t>送审稿：202</w:t>
      </w:r>
      <w:r>
        <w:rPr>
          <w:rFonts w:hint="eastAsia" w:asciiTheme="minorEastAsia" w:hAnsiTheme="minorEastAsia" w:eastAsiaTheme="minorEastAsia"/>
          <w:color w:val="auto"/>
          <w:szCs w:val="24"/>
        </w:rPr>
        <w:t>6</w:t>
      </w:r>
      <w:r>
        <w:rPr>
          <w:rFonts w:asciiTheme="minorEastAsia" w:hAnsiTheme="minorEastAsia" w:eastAsiaTheme="minorEastAsia"/>
          <w:color w:val="auto"/>
          <w:szCs w:val="24"/>
        </w:rPr>
        <w:t>年</w:t>
      </w:r>
      <w:r>
        <w:rPr>
          <w:rFonts w:hint="eastAsia" w:asciiTheme="minorEastAsia" w:hAnsiTheme="minorEastAsia" w:eastAsiaTheme="minorEastAsia"/>
          <w:color w:val="auto"/>
          <w:szCs w:val="24"/>
        </w:rPr>
        <w:t>**</w:t>
      </w:r>
      <w:r>
        <w:rPr>
          <w:rFonts w:asciiTheme="minorEastAsia" w:hAnsiTheme="minorEastAsia" w:eastAsiaTheme="minorEastAsia"/>
          <w:color w:val="auto"/>
          <w:szCs w:val="24"/>
        </w:rPr>
        <w:t>月</w:t>
      </w:r>
      <w:r>
        <w:rPr>
          <w:rFonts w:hint="eastAsia" w:asciiTheme="minorEastAsia" w:hAnsiTheme="minorEastAsia" w:eastAsiaTheme="minorEastAsia"/>
          <w:color w:val="auto"/>
          <w:szCs w:val="24"/>
        </w:rPr>
        <w:t>**</w:t>
      </w:r>
      <w:r>
        <w:rPr>
          <w:rFonts w:asciiTheme="minorEastAsia" w:hAnsiTheme="minorEastAsia" w:eastAsiaTheme="minorEastAsia"/>
          <w:color w:val="auto"/>
          <w:szCs w:val="24"/>
        </w:rPr>
        <w:t>日；建议审定会时间：202</w:t>
      </w:r>
      <w:r>
        <w:rPr>
          <w:rFonts w:hint="eastAsia" w:asciiTheme="minorEastAsia" w:hAnsiTheme="minorEastAsia" w:eastAsiaTheme="minorEastAsia"/>
          <w:color w:val="auto"/>
          <w:szCs w:val="24"/>
        </w:rPr>
        <w:t>6</w:t>
      </w:r>
      <w:r>
        <w:rPr>
          <w:rFonts w:asciiTheme="minorEastAsia" w:hAnsiTheme="minorEastAsia" w:eastAsiaTheme="minorEastAsia"/>
          <w:color w:val="auto"/>
          <w:szCs w:val="24"/>
        </w:rPr>
        <w:t>年</w:t>
      </w:r>
      <w:r>
        <w:rPr>
          <w:rFonts w:hint="eastAsia" w:asciiTheme="minorEastAsia" w:hAnsiTheme="minorEastAsia" w:eastAsiaTheme="minorEastAsia"/>
          <w:color w:val="auto"/>
          <w:szCs w:val="24"/>
        </w:rPr>
        <w:t>**</w:t>
      </w:r>
      <w:r>
        <w:rPr>
          <w:rFonts w:asciiTheme="minorEastAsia" w:hAnsiTheme="minorEastAsia" w:eastAsiaTheme="minorEastAsia"/>
          <w:color w:val="auto"/>
          <w:szCs w:val="24"/>
        </w:rPr>
        <w:t>月</w:t>
      </w:r>
      <w:r>
        <w:rPr>
          <w:rFonts w:hint="eastAsia" w:asciiTheme="minorEastAsia" w:hAnsiTheme="minorEastAsia" w:eastAsiaTheme="minorEastAsia"/>
          <w:color w:val="auto"/>
          <w:szCs w:val="24"/>
        </w:rPr>
        <w:t>**</w:t>
      </w:r>
      <w:r>
        <w:rPr>
          <w:rFonts w:asciiTheme="minorEastAsia" w:hAnsiTheme="minorEastAsia" w:eastAsiaTheme="minorEastAsia"/>
          <w:color w:val="auto"/>
          <w:szCs w:val="24"/>
        </w:rPr>
        <w:t>日。</w:t>
      </w:r>
    </w:p>
    <w:p w14:paraId="24626429">
      <w:pPr>
        <w:pStyle w:val="31"/>
        <w:spacing w:beforeLines="0" w:afterLines="0" w:line="360" w:lineRule="auto"/>
        <w:outlineLvl w:val="9"/>
        <w:rPr>
          <w:rFonts w:hAnsi="黑体" w:cs="黑体"/>
          <w:sz w:val="24"/>
          <w:szCs w:val="24"/>
        </w:rPr>
      </w:pPr>
      <w:r>
        <w:rPr>
          <w:rFonts w:hint="eastAsia" w:hAnsi="黑体" w:cs="黑体"/>
          <w:sz w:val="24"/>
          <w:szCs w:val="24"/>
        </w:rPr>
        <w:t>1.4.3 标准起草阶段</w:t>
      </w:r>
    </w:p>
    <w:p w14:paraId="44A6F4B1">
      <w:pPr>
        <w:pStyle w:val="28"/>
        <w:spacing w:line="360" w:lineRule="auto"/>
        <w:ind w:firstLine="480"/>
        <w:rPr>
          <w:rFonts w:asciiTheme="minorEastAsia" w:hAnsiTheme="minorEastAsia" w:eastAsiaTheme="minorEastAsia"/>
          <w:sz w:val="24"/>
          <w:szCs w:val="24"/>
        </w:rPr>
      </w:pPr>
      <w:r>
        <w:rPr>
          <w:rFonts w:hint="eastAsia"/>
          <w:bCs/>
          <w:sz w:val="24"/>
          <w:szCs w:val="24"/>
        </w:rPr>
        <w:t>标准制订计划任务正式下达后，立即成立了标准编制组，并落实起草任务，确定标准的主要起草人，拟</w:t>
      </w:r>
      <w:r>
        <w:rPr>
          <w:rFonts w:hint="eastAsia"/>
          <w:bCs/>
          <w:color w:val="auto"/>
          <w:sz w:val="24"/>
          <w:szCs w:val="24"/>
        </w:rPr>
        <w:t>定该标准的工作计划。</w:t>
      </w:r>
      <w:r>
        <w:rPr>
          <w:rFonts w:hint="eastAsia" w:hAnsi="宋体" w:cs="宋体"/>
          <w:color w:val="auto"/>
          <w:sz w:val="24"/>
        </w:rPr>
        <w:t>具体分工为：中铝洛阳铜加工有限公司总负责，市场和同行业信息收集、资料汇总及执笔；</w:t>
      </w:r>
      <w:r>
        <w:rPr>
          <w:rFonts w:hint="eastAsia" w:hAnsi="宋体" w:cs="宋体"/>
          <w:color w:val="auto"/>
          <w:sz w:val="24"/>
          <w:lang w:val="en-US" w:eastAsia="zh-CN"/>
        </w:rPr>
        <w:t>其余</w:t>
      </w:r>
      <w:r>
        <w:rPr>
          <w:rFonts w:hint="eastAsia" w:hAnsi="宋体" w:cs="宋体"/>
          <w:color w:val="auto"/>
          <w:sz w:val="24"/>
        </w:rPr>
        <w:t>公司等负责补充市场信息收集、标准数据的验证和指标确定，参与标准起草。编制组分工明确，紧密合作</w:t>
      </w:r>
      <w:r>
        <w:rPr>
          <w:rFonts w:hint="eastAsia" w:hAnsi="宋体" w:cs="Courier New"/>
          <w:color w:val="auto"/>
          <w:sz w:val="24"/>
        </w:rPr>
        <w:t>，</w:t>
      </w:r>
      <w:r>
        <w:rPr>
          <w:rFonts w:hint="eastAsia" w:asciiTheme="minorEastAsia" w:hAnsiTheme="minorEastAsia" w:eastAsiaTheme="minorEastAsia"/>
          <w:color w:val="auto"/>
          <w:sz w:val="24"/>
          <w:szCs w:val="24"/>
        </w:rPr>
        <w:t>对覆合用铜及铜合金带材市场进行全面调研，了解了市场上不同客户的需求以及</w:t>
      </w:r>
      <w:r>
        <w:rPr>
          <w:rFonts w:hint="eastAsia" w:asciiTheme="minorEastAsia" w:hAnsiTheme="minorEastAsia" w:eastAsiaTheme="minorEastAsia"/>
          <w:sz w:val="24"/>
          <w:szCs w:val="24"/>
        </w:rPr>
        <w:t>产品未来的发展趋势，同时对对本企业覆合用铜及铜合金带材产品的技术要求、产品检测数据进行了收集、分析，为本标准全面、系统、有效的制定奠定了良好的基础。通过查阅了国内外相关的技术资料，结合主要用户的技术要求以及目前生产厂商的生产水平和现状，经过多次讨论和广泛征求意见，编制小组于2025年8月12日起草完成了该标准讨论稿。</w:t>
      </w:r>
    </w:p>
    <w:p w14:paraId="5B377510">
      <w:pPr>
        <w:spacing w:line="360" w:lineRule="auto"/>
        <w:ind w:firstLine="480" w:firstLineChars="200"/>
        <w:rPr>
          <w:rFonts w:ascii="宋体" w:hAnsi="宋体"/>
          <w:szCs w:val="24"/>
        </w:rPr>
      </w:pPr>
      <w:r>
        <w:rPr>
          <w:rFonts w:hint="eastAsia" w:asciiTheme="minorEastAsia" w:hAnsiTheme="minorEastAsia" w:eastAsiaTheme="minorEastAsia"/>
          <w:szCs w:val="24"/>
        </w:rPr>
        <w:t>2025年8月20日由</w:t>
      </w:r>
      <w:r>
        <w:rPr>
          <w:rFonts w:asciiTheme="minorEastAsia" w:hAnsiTheme="minorEastAsia" w:eastAsiaTheme="minorEastAsia"/>
          <w:szCs w:val="24"/>
        </w:rPr>
        <w:t>全国有色金属标准化技术委员会</w:t>
      </w:r>
      <w:r>
        <w:rPr>
          <w:rFonts w:hint="eastAsia" w:asciiTheme="minorEastAsia" w:hAnsiTheme="minorEastAsia" w:eastAsiaTheme="minorEastAsia"/>
          <w:szCs w:val="24"/>
        </w:rPr>
        <w:t>主持</w:t>
      </w:r>
      <w:r>
        <w:rPr>
          <w:rFonts w:asciiTheme="minorEastAsia" w:hAnsiTheme="minorEastAsia" w:eastAsiaTheme="minorEastAsia"/>
          <w:szCs w:val="24"/>
        </w:rPr>
        <w:t>在</w:t>
      </w:r>
      <w:r>
        <w:rPr>
          <w:rFonts w:hint="eastAsia" w:asciiTheme="minorEastAsia" w:hAnsiTheme="minorEastAsia" w:eastAsiaTheme="minorEastAsia"/>
          <w:szCs w:val="24"/>
        </w:rPr>
        <w:t>甘肃兰州市召开该标准的讨论会。</w:t>
      </w:r>
      <w:bookmarkStart w:id="7" w:name="OLE_LINK6"/>
    </w:p>
    <w:bookmarkEnd w:id="7"/>
    <w:p w14:paraId="43246FA3">
      <w:pPr>
        <w:pStyle w:val="19"/>
        <w:spacing w:before="120" w:beforeLines="50" w:beforeAutospacing="0" w:after="120" w:afterLines="50" w:afterAutospacing="0" w:line="360" w:lineRule="auto"/>
        <w:jc w:val="both"/>
        <w:rPr>
          <w:rFonts w:ascii="黑体" w:eastAsia="黑体" w:cs="Arial"/>
        </w:rPr>
      </w:pPr>
      <w:r>
        <w:rPr>
          <w:rFonts w:hint="eastAsia" w:ascii="黑体" w:eastAsia="黑体" w:cs="Arial"/>
        </w:rPr>
        <w:t>二、标准编制原则</w:t>
      </w:r>
    </w:p>
    <w:p w14:paraId="64F2BE2C">
      <w:pPr>
        <w:spacing w:line="360" w:lineRule="auto"/>
        <w:ind w:firstLine="480" w:firstLineChars="200"/>
        <w:rPr>
          <w:rFonts w:ascii="宋体" w:hAnsi="宋体"/>
          <w:szCs w:val="24"/>
        </w:rPr>
      </w:pPr>
      <w:r>
        <w:rPr>
          <w:rFonts w:hint="eastAsia" w:ascii="宋体" w:hAnsi="宋体"/>
          <w:szCs w:val="24"/>
        </w:rPr>
        <w:t>本标准是在</w:t>
      </w:r>
      <w:r>
        <w:rPr>
          <w:rFonts w:hint="eastAsia" w:ascii="宋体" w:cs="宋体"/>
          <w:szCs w:val="24"/>
        </w:rPr>
        <w:t>GB/T 26015-2010《</w:t>
      </w:r>
      <w:r>
        <w:rPr>
          <w:rFonts w:hint="eastAsia" w:asciiTheme="minorEastAsia" w:hAnsiTheme="minorEastAsia" w:eastAsiaTheme="minorEastAsia"/>
          <w:szCs w:val="24"/>
        </w:rPr>
        <w:t>覆合用铜带</w:t>
      </w:r>
      <w:r>
        <w:rPr>
          <w:rFonts w:hint="eastAsia" w:ascii="宋体" w:cs="宋体"/>
          <w:szCs w:val="24"/>
        </w:rPr>
        <w:t>》</w:t>
      </w:r>
      <w:r>
        <w:rPr>
          <w:rFonts w:hint="eastAsia" w:ascii="宋体" w:hAnsi="宋体"/>
          <w:szCs w:val="24"/>
        </w:rPr>
        <w:t>基础上，根据国内的市场需求和生产能力进行的修订。标准的编制原则和编制依据如下：</w:t>
      </w:r>
    </w:p>
    <w:p w14:paraId="5B3FAFEE">
      <w:pPr>
        <w:spacing w:line="360" w:lineRule="auto"/>
        <w:ind w:firstLine="480" w:firstLineChars="200"/>
        <w:rPr>
          <w:rFonts w:ascii="宋体" w:hAnsi="宋体"/>
          <w:szCs w:val="24"/>
        </w:rPr>
      </w:pPr>
      <w:bookmarkStart w:id="8" w:name="OLE_LINK7"/>
      <w:r>
        <w:rPr>
          <w:rFonts w:hint="eastAsia" w:ascii="宋体" w:hAnsi="宋体"/>
          <w:szCs w:val="24"/>
        </w:rPr>
        <w:t>1）本标准按照GB/T1.1-2020《标准化工作导则 第1部分：标准化文件的结构和起草规则》的规定起草。</w:t>
      </w:r>
    </w:p>
    <w:p w14:paraId="6107BB31">
      <w:pPr>
        <w:spacing w:line="360" w:lineRule="auto"/>
        <w:ind w:firstLine="480" w:firstLineChars="200"/>
        <w:rPr>
          <w:rFonts w:ascii="宋体" w:hAnsi="宋体"/>
          <w:szCs w:val="24"/>
        </w:rPr>
      </w:pPr>
      <w:r>
        <w:rPr>
          <w:rFonts w:hint="eastAsia" w:ascii="宋体" w:hAnsi="宋体"/>
          <w:szCs w:val="24"/>
        </w:rPr>
        <w:t>2）查阅相关标准和国内外客户的相关技术要求；</w:t>
      </w:r>
    </w:p>
    <w:p w14:paraId="6E4053C7">
      <w:pPr>
        <w:spacing w:line="360" w:lineRule="auto"/>
        <w:ind w:firstLine="480" w:firstLineChars="200"/>
        <w:rPr>
          <w:rFonts w:ascii="宋体" w:hAnsi="宋体"/>
          <w:szCs w:val="24"/>
        </w:rPr>
      </w:pPr>
      <w:r>
        <w:rPr>
          <w:rFonts w:hint="eastAsia" w:ascii="宋体" w:hAnsi="宋体"/>
          <w:szCs w:val="24"/>
        </w:rPr>
        <w:t>3）根据覆合用铜及铜合金带材应用领域的消费特点，力求做到标准的合理性与实用性；</w:t>
      </w:r>
    </w:p>
    <w:p w14:paraId="66A3B740">
      <w:pPr>
        <w:spacing w:line="360" w:lineRule="auto"/>
        <w:ind w:firstLine="480" w:firstLineChars="200"/>
        <w:rPr>
          <w:rFonts w:ascii="宋体" w:hAnsi="宋体"/>
          <w:szCs w:val="24"/>
        </w:rPr>
      </w:pPr>
      <w:r>
        <w:rPr>
          <w:rFonts w:hint="eastAsia" w:ascii="宋体" w:hAnsi="宋体"/>
          <w:szCs w:val="24"/>
        </w:rPr>
        <w:t>4）根据产品工艺的成熟与完善、技术发展水平及测试数据确定技术指标取值范围；</w:t>
      </w:r>
    </w:p>
    <w:p w14:paraId="412C911A">
      <w:pPr>
        <w:spacing w:line="360" w:lineRule="auto"/>
        <w:ind w:firstLine="480" w:firstLineChars="200"/>
        <w:rPr>
          <w:rFonts w:ascii="宋体" w:hAnsi="宋体"/>
          <w:szCs w:val="24"/>
        </w:rPr>
      </w:pPr>
      <w:r>
        <w:rPr>
          <w:rFonts w:hint="eastAsia" w:ascii="宋体" w:hAnsi="宋体"/>
          <w:szCs w:val="24"/>
        </w:rPr>
        <w:t>5）完全按照GB/T 1.1和有色加工产品标准和国家标准编写示例的要求进行格式和结构编写。</w:t>
      </w:r>
      <w:bookmarkEnd w:id="8"/>
    </w:p>
    <w:p w14:paraId="0F6E398A">
      <w:pPr>
        <w:spacing w:line="360" w:lineRule="auto"/>
        <w:ind w:firstLine="480" w:firstLineChars="200"/>
        <w:rPr>
          <w:rFonts w:ascii="宋体" w:hAnsi="宋体"/>
          <w:szCs w:val="24"/>
        </w:rPr>
      </w:pPr>
      <w:r>
        <w:rPr>
          <w:rFonts w:hint="eastAsia" w:ascii="宋体" w:hAnsi="宋体"/>
          <w:szCs w:val="24"/>
        </w:rPr>
        <w:t>6）标准由国内铜加工覆合用铜及铜合金带材生产及使用厂家联合制定，反映了国内生产企业的先进生产技术，产品质量接近国际领先水平，便于生产，易于应用和推广。</w:t>
      </w:r>
    </w:p>
    <w:p w14:paraId="63E37F6A">
      <w:pPr>
        <w:pStyle w:val="19"/>
        <w:spacing w:before="0" w:beforeAutospacing="0" w:after="0" w:afterAutospacing="0" w:line="360" w:lineRule="auto"/>
        <w:jc w:val="both"/>
        <w:rPr>
          <w:rFonts w:ascii="黑体" w:eastAsia="黑体" w:cs="Arial"/>
        </w:rPr>
      </w:pPr>
      <w:r>
        <w:rPr>
          <w:rFonts w:hint="eastAsia" w:ascii="黑体" w:eastAsia="黑体" w:cs="Arial"/>
        </w:rPr>
        <w:t>三、本标准的内容</w:t>
      </w:r>
    </w:p>
    <w:p w14:paraId="785E1BBA">
      <w:pPr>
        <w:pStyle w:val="31"/>
        <w:spacing w:beforeLines="0" w:afterLines="0" w:line="360" w:lineRule="auto"/>
        <w:outlineLvl w:val="9"/>
        <w:rPr>
          <w:rFonts w:hAnsi="黑体" w:cs="黑体"/>
          <w:sz w:val="24"/>
          <w:szCs w:val="24"/>
        </w:rPr>
      </w:pPr>
      <w:bookmarkStart w:id="9" w:name="_Toc6879"/>
      <w:bookmarkStart w:id="10" w:name="_Toc1050"/>
      <w:bookmarkStart w:id="11" w:name="_Toc151628333"/>
      <w:r>
        <w:rPr>
          <w:rFonts w:hint="eastAsia" w:hAnsi="黑体" w:cs="黑体"/>
          <w:sz w:val="24"/>
          <w:szCs w:val="24"/>
        </w:rPr>
        <w:t>3.1标准范围</w:t>
      </w:r>
      <w:bookmarkEnd w:id="9"/>
      <w:bookmarkEnd w:id="10"/>
      <w:bookmarkEnd w:id="11"/>
    </w:p>
    <w:p w14:paraId="630C57B4">
      <w:pPr>
        <w:pStyle w:val="3"/>
        <w:keepNext w:val="0"/>
        <w:keepLines w:val="0"/>
        <w:spacing w:before="0" w:after="0" w:line="360" w:lineRule="auto"/>
        <w:ind w:firstLine="480" w:firstLineChars="200"/>
        <w:rPr>
          <w:rFonts w:ascii="宋体" w:hAnsi="宋体" w:eastAsia="宋体" w:cs="宋体"/>
          <w:b w:val="0"/>
          <w:bCs/>
          <w:sz w:val="24"/>
        </w:rPr>
      </w:pPr>
      <w:bookmarkStart w:id="12" w:name="_Toc30443"/>
      <w:bookmarkStart w:id="13" w:name="_Toc151628334"/>
      <w:bookmarkStart w:id="14" w:name="_Toc30053"/>
      <w:r>
        <w:rPr>
          <w:rFonts w:hint="eastAsia" w:ascii="宋体" w:hAnsi="宋体" w:eastAsia="宋体" w:cs="宋体"/>
          <w:b w:val="0"/>
          <w:bCs/>
          <w:sz w:val="24"/>
        </w:rPr>
        <w:t>本文件规定了覆合用铜及铜合金带的分类和标记、技术要求、试验方法、检验规则、标志、包装、运输、贮存及随行文件和订货单内容等。</w:t>
      </w:r>
    </w:p>
    <w:p w14:paraId="47EA4EE3">
      <w:pPr>
        <w:pStyle w:val="3"/>
        <w:keepNext w:val="0"/>
        <w:keepLines w:val="0"/>
        <w:spacing w:before="0" w:after="0" w:line="360" w:lineRule="auto"/>
        <w:ind w:firstLine="480" w:firstLineChars="200"/>
        <w:rPr>
          <w:rFonts w:ascii="宋体" w:hAnsi="宋体" w:eastAsia="宋体" w:cs="宋体"/>
          <w:b w:val="0"/>
          <w:bCs/>
          <w:sz w:val="24"/>
        </w:rPr>
      </w:pPr>
      <w:r>
        <w:rPr>
          <w:rFonts w:hint="eastAsia" w:ascii="宋体" w:hAnsi="宋体" w:eastAsia="宋体" w:cs="宋体"/>
          <w:b w:val="0"/>
          <w:bCs/>
          <w:sz w:val="24"/>
        </w:rPr>
        <w:t>本文件适用于制造铜-铝、铜-钢覆合用铜及铜合金带材。</w:t>
      </w:r>
    </w:p>
    <w:p w14:paraId="010563C1">
      <w:pPr>
        <w:pStyle w:val="31"/>
        <w:spacing w:beforeLines="0" w:afterLines="0" w:line="360" w:lineRule="auto"/>
        <w:outlineLvl w:val="9"/>
        <w:rPr>
          <w:rFonts w:hAnsi="黑体" w:cs="黑体"/>
          <w:sz w:val="24"/>
          <w:szCs w:val="24"/>
        </w:rPr>
      </w:pPr>
      <w:r>
        <w:rPr>
          <w:rFonts w:hint="eastAsia" w:hAnsi="黑体" w:cs="黑体"/>
          <w:sz w:val="24"/>
          <w:szCs w:val="24"/>
        </w:rPr>
        <w:t>3.2要求</w:t>
      </w:r>
    </w:p>
    <w:p w14:paraId="2B34ABBF">
      <w:pPr>
        <w:pStyle w:val="31"/>
        <w:spacing w:beforeLines="0" w:afterLines="0" w:line="360" w:lineRule="auto"/>
        <w:outlineLvl w:val="9"/>
        <w:rPr>
          <w:rFonts w:hAnsi="黑体" w:cs="黑体"/>
          <w:sz w:val="24"/>
          <w:szCs w:val="24"/>
        </w:rPr>
      </w:pPr>
      <w:r>
        <w:rPr>
          <w:rFonts w:hint="eastAsia" w:hAnsi="黑体" w:cs="黑体"/>
          <w:sz w:val="24"/>
          <w:szCs w:val="24"/>
        </w:rPr>
        <w:t>3.2.1产品分类</w:t>
      </w:r>
    </w:p>
    <w:p w14:paraId="4B52ECE1">
      <w:pPr>
        <w:snapToGrid w:val="0"/>
        <w:spacing w:line="360" w:lineRule="auto"/>
        <w:ind w:firstLine="480" w:firstLineChars="200"/>
        <w:rPr>
          <w:rFonts w:ascii="宋体" w:hAnsi="宋体" w:cs="宋体"/>
          <w:szCs w:val="21"/>
        </w:rPr>
      </w:pPr>
      <w:r>
        <w:rPr>
          <w:rFonts w:hint="eastAsia" w:ascii="宋体" w:hAnsi="宋体" w:cs="宋体"/>
          <w:szCs w:val="21"/>
        </w:rPr>
        <w:t>产品分类是对覆合用铜及铜合金带材产品的牌号、状态和规格的规定，同时规定了产品的标记方法。相关情况说明如下：</w:t>
      </w:r>
    </w:p>
    <w:p w14:paraId="49C5FFD3">
      <w:pPr>
        <w:snapToGrid w:val="0"/>
        <w:spacing w:line="360" w:lineRule="auto"/>
        <w:ind w:firstLine="480" w:firstLineChars="200"/>
        <w:rPr>
          <w:rFonts w:ascii="宋体" w:hAnsi="宋体" w:cs="宋体"/>
          <w:szCs w:val="21"/>
        </w:rPr>
      </w:pPr>
      <w:r>
        <w:rPr>
          <w:rFonts w:hint="eastAsia" w:ascii="宋体" w:hAnsi="宋体" w:cs="宋体"/>
          <w:szCs w:val="21"/>
        </w:rPr>
        <w:t>1）我国目前生产的覆合用铜及铜合金带材是以标称厚度、宽度来划分不同的规格。</w:t>
      </w:r>
    </w:p>
    <w:p w14:paraId="21DC8C32">
      <w:pPr>
        <w:snapToGrid w:val="0"/>
        <w:spacing w:line="360" w:lineRule="auto"/>
        <w:ind w:firstLine="480" w:firstLineChars="200"/>
        <w:rPr>
          <w:rFonts w:ascii="宋体" w:hAnsi="宋体" w:cs="宋体"/>
          <w:szCs w:val="21"/>
        </w:rPr>
      </w:pPr>
      <w:r>
        <w:rPr>
          <w:rFonts w:hint="eastAsia" w:ascii="宋体" w:hAnsi="宋体" w:cs="宋体"/>
          <w:szCs w:val="21"/>
        </w:rPr>
        <w:t>2）通过调研，国内目前在覆合用铜及铜合金带材的实际生产中，主要有加工铜：TU2、T2 、H65、H62四个牌号，产品的供货状态：O60、H02。</w:t>
      </w:r>
    </w:p>
    <w:p w14:paraId="62B5D4A2">
      <w:pPr>
        <w:snapToGrid w:val="0"/>
        <w:spacing w:line="360" w:lineRule="auto"/>
        <w:ind w:firstLine="480" w:firstLineChars="200"/>
        <w:rPr>
          <w:rFonts w:ascii="宋体" w:hAnsi="宋体" w:cs="宋体"/>
          <w:szCs w:val="21"/>
        </w:rPr>
      </w:pPr>
      <w:r>
        <w:rPr>
          <w:rFonts w:hint="eastAsia" w:ascii="宋体" w:hAnsi="宋体" w:cs="宋体"/>
          <w:szCs w:val="21"/>
        </w:rPr>
        <w:t>3）尺寸规格：根据目前市场需求现状，确定本标准尺寸规格为：厚度0.2mm～4.0mm，宽度20mm～6</w:t>
      </w:r>
      <w:r>
        <w:rPr>
          <w:rFonts w:hint="eastAsia" w:ascii="宋体" w:hAnsi="宋体" w:cs="宋体"/>
          <w:szCs w:val="21"/>
          <w:lang w:val="en-US" w:eastAsia="zh-CN"/>
        </w:rPr>
        <w:t>30</w:t>
      </w:r>
      <w:r>
        <w:rPr>
          <w:rFonts w:hint="eastAsia" w:ascii="宋体" w:hAnsi="宋体" w:cs="宋体"/>
          <w:szCs w:val="21"/>
        </w:rPr>
        <w:t>mm；经供需双方协商，也可供应其他状态、规格的产品。</w:t>
      </w:r>
    </w:p>
    <w:p w14:paraId="1218DFA6">
      <w:pPr>
        <w:snapToGrid w:val="0"/>
        <w:spacing w:line="360" w:lineRule="auto"/>
        <w:ind w:firstLine="480" w:firstLineChars="200"/>
        <w:rPr>
          <w:rFonts w:ascii="宋体" w:hAnsi="宋体" w:cs="宋体"/>
          <w:szCs w:val="21"/>
        </w:rPr>
      </w:pPr>
      <w:bookmarkStart w:id="15" w:name="OLE_LINK9"/>
      <w:bookmarkStart w:id="16" w:name="OLE_LINK8"/>
      <w:r>
        <w:rPr>
          <w:rFonts w:hint="eastAsia" w:ascii="宋体" w:hAnsi="宋体" w:cs="宋体"/>
          <w:szCs w:val="21"/>
        </w:rPr>
        <w:t>4）带箔材</w:t>
      </w:r>
      <w:bookmarkEnd w:id="15"/>
      <w:bookmarkEnd w:id="16"/>
      <w:r>
        <w:rPr>
          <w:rFonts w:hint="eastAsia" w:ascii="宋体" w:hAnsi="宋体" w:cs="宋体"/>
          <w:szCs w:val="21"/>
        </w:rPr>
        <w:t>的牌号、代号、状态和规格应符合表2的规定。</w:t>
      </w:r>
    </w:p>
    <w:p w14:paraId="7C33C799">
      <w:pPr>
        <w:spacing w:line="360" w:lineRule="auto"/>
        <w:jc w:val="center"/>
        <w:rPr>
          <w:rFonts w:ascii="宋体" w:hAnsi="宋体" w:cs="宋体"/>
          <w:szCs w:val="24"/>
        </w:rPr>
      </w:pPr>
      <w:r>
        <w:rPr>
          <w:rFonts w:hint="eastAsia" w:ascii="宋体" w:hAnsi="宋体" w:cs="宋体"/>
          <w:szCs w:val="24"/>
        </w:rPr>
        <w:t>表2  牌号、代号、状态和规格</w:t>
      </w:r>
    </w:p>
    <w:tbl>
      <w:tblPr>
        <w:tblStyle w:val="21"/>
        <w:tblW w:w="498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00"/>
        <w:gridCol w:w="1566"/>
        <w:gridCol w:w="2914"/>
        <w:gridCol w:w="1707"/>
        <w:gridCol w:w="1870"/>
      </w:tblGrid>
      <w:tr w14:paraId="5F4A2D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81" w:hRule="atLeast"/>
          <w:jc w:val="center"/>
        </w:trPr>
        <w:tc>
          <w:tcPr>
            <w:tcW w:w="648" w:type="pct"/>
            <w:vMerge w:val="restar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2358119D">
            <w:pPr>
              <w:snapToGrid w:val="0"/>
              <w:spacing w:line="240" w:lineRule="auto"/>
              <w:contextualSpacing/>
              <w:jc w:val="center"/>
              <w:rPr>
                <w:rFonts w:ascii="宋体" w:hAnsi="宋体" w:cs="宋体"/>
                <w:snapToGrid w:val="0"/>
                <w:color w:val="000000"/>
                <w:szCs w:val="24"/>
              </w:rPr>
            </w:pPr>
            <w:r>
              <w:rPr>
                <w:rFonts w:hint="eastAsia" w:ascii="宋体" w:hAnsi="宋体" w:cs="宋体"/>
                <w:snapToGrid w:val="0"/>
                <w:color w:val="000000"/>
                <w:szCs w:val="24"/>
              </w:rPr>
              <w:t>牌 号</w:t>
            </w:r>
          </w:p>
        </w:tc>
        <w:tc>
          <w:tcPr>
            <w:tcW w:w="84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2DEDD77">
            <w:pPr>
              <w:snapToGrid w:val="0"/>
              <w:spacing w:line="240" w:lineRule="auto"/>
              <w:contextualSpacing/>
              <w:jc w:val="center"/>
              <w:rPr>
                <w:rFonts w:ascii="宋体" w:hAnsi="宋体" w:cs="宋体"/>
                <w:snapToGrid w:val="0"/>
                <w:color w:val="000000"/>
                <w:szCs w:val="24"/>
              </w:rPr>
            </w:pPr>
            <w:r>
              <w:rPr>
                <w:rFonts w:hint="eastAsia" w:ascii="宋体" w:hAnsi="宋体" w:cs="宋体"/>
                <w:snapToGrid w:val="0"/>
                <w:color w:val="000000"/>
                <w:szCs w:val="24"/>
              </w:rPr>
              <w:t>代号</w:t>
            </w:r>
          </w:p>
        </w:tc>
        <w:tc>
          <w:tcPr>
            <w:tcW w:w="157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8005447">
            <w:pPr>
              <w:snapToGrid w:val="0"/>
              <w:spacing w:line="240" w:lineRule="auto"/>
              <w:contextualSpacing/>
              <w:jc w:val="center"/>
              <w:rPr>
                <w:rFonts w:ascii="宋体" w:hAnsi="宋体" w:cs="宋体"/>
                <w:snapToGrid w:val="0"/>
                <w:color w:val="000000"/>
                <w:szCs w:val="24"/>
              </w:rPr>
            </w:pPr>
            <w:r>
              <w:rPr>
                <w:rFonts w:hint="eastAsia" w:ascii="宋体" w:hAnsi="宋体" w:cs="宋体"/>
                <w:snapToGrid w:val="0"/>
                <w:color w:val="000000"/>
                <w:szCs w:val="24"/>
              </w:rPr>
              <w:t>状 态</w:t>
            </w:r>
          </w:p>
        </w:tc>
        <w:tc>
          <w:tcPr>
            <w:tcW w:w="1929"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EBCBD50">
            <w:pPr>
              <w:snapToGrid w:val="0"/>
              <w:spacing w:line="240" w:lineRule="auto"/>
              <w:contextualSpacing/>
              <w:jc w:val="center"/>
              <w:rPr>
                <w:rFonts w:ascii="宋体" w:hAnsi="宋体" w:cs="宋体"/>
                <w:snapToGrid w:val="0"/>
                <w:color w:val="000000"/>
                <w:szCs w:val="24"/>
              </w:rPr>
            </w:pPr>
            <w:r>
              <w:rPr>
                <w:rFonts w:hint="eastAsia" w:ascii="宋体" w:hAnsi="宋体" w:cs="宋体"/>
                <w:snapToGrid w:val="0"/>
                <w:color w:val="000000"/>
                <w:szCs w:val="24"/>
              </w:rPr>
              <w:t>规 格</w:t>
            </w:r>
          </w:p>
          <w:p w14:paraId="604D0782">
            <w:pPr>
              <w:snapToGrid w:val="0"/>
              <w:spacing w:line="240" w:lineRule="auto"/>
              <w:contextualSpacing/>
              <w:jc w:val="center"/>
              <w:rPr>
                <w:rFonts w:ascii="宋体" w:hAnsi="宋体" w:cs="宋体"/>
                <w:snapToGrid w:val="0"/>
                <w:color w:val="000000"/>
                <w:szCs w:val="24"/>
              </w:rPr>
            </w:pPr>
            <w:r>
              <w:rPr>
                <w:rFonts w:hint="eastAsia" w:ascii="宋体" w:hAnsi="宋体" w:cs="宋体"/>
                <w:snapToGrid w:val="0"/>
                <w:color w:val="000000"/>
                <w:szCs w:val="24"/>
              </w:rPr>
              <w:t>mm</w:t>
            </w:r>
          </w:p>
        </w:tc>
      </w:tr>
      <w:tr w14:paraId="62E1DF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9" w:hRule="atLeast"/>
          <w:jc w:val="center"/>
        </w:trPr>
        <w:tc>
          <w:tcPr>
            <w:tcW w:w="64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0F7D49">
            <w:pPr>
              <w:keepLines w:val="0"/>
              <w:numPr>
                <w:ilvl w:val="0"/>
                <w:numId w:val="0"/>
              </w:numPr>
              <w:snapToGrid w:val="0"/>
              <w:spacing w:before="0" w:after="0" w:line="240" w:lineRule="auto"/>
              <w:ind w:firstLine="480" w:firstLineChars="200"/>
              <w:contextualSpacing/>
              <w:jc w:val="center"/>
              <w:outlineLvl w:val="9"/>
              <w:rPr>
                <w:rFonts w:ascii="宋体" w:hAnsi="宋体" w:eastAsia="宋体" w:cs="宋体"/>
                <w:snapToGrid w:val="0"/>
                <w:color w:val="000000"/>
                <w:sz w:val="24"/>
                <w:szCs w:val="24"/>
                <w:rPrChange w:id="1" w:author="微软用户" w:date="2023-08-16T14:45:00Z">
                  <w:rPr>
                    <w:rFonts w:ascii="宋体" w:hAnsi="宋体" w:eastAsia="黑体"/>
                    <w:snapToGrid w:val="0"/>
                    <w:sz w:val="21"/>
                    <w:szCs w:val="21"/>
                  </w:rPr>
                </w:rPrChange>
              </w:rPr>
              <w:pPrChange w:id="0" w:author="微软用户" w:date="2023-08-16T14:45:00Z">
                <w:pPr>
                  <w:keepLines/>
                  <w:numPr>
                    <w:ilvl w:val="0"/>
                    <w:numId w:val="1"/>
                  </w:numPr>
                  <w:spacing w:before="120" w:after="120"/>
                  <w:ind w:firstLine="420" w:firstLineChars="200"/>
                  <w:jc w:val="center"/>
                  <w:outlineLvl w:val="0"/>
                </w:pPr>
              </w:pPrChange>
            </w:pPr>
          </w:p>
        </w:tc>
        <w:tc>
          <w:tcPr>
            <w:tcW w:w="84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195337">
            <w:pPr>
              <w:snapToGrid w:val="0"/>
              <w:spacing w:line="240" w:lineRule="auto"/>
              <w:ind w:firstLine="480" w:firstLineChars="200"/>
              <w:contextualSpacing/>
              <w:jc w:val="center"/>
              <w:rPr>
                <w:rFonts w:ascii="宋体" w:hAnsi="宋体" w:cs="宋体"/>
                <w:snapToGrid w:val="0"/>
                <w:color w:val="000000"/>
                <w:szCs w:val="24"/>
              </w:rPr>
            </w:pPr>
          </w:p>
        </w:tc>
        <w:tc>
          <w:tcPr>
            <w:tcW w:w="157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0C85792">
            <w:pPr>
              <w:keepLines w:val="0"/>
              <w:numPr>
                <w:ilvl w:val="0"/>
                <w:numId w:val="0"/>
              </w:numPr>
              <w:snapToGrid w:val="0"/>
              <w:spacing w:before="0" w:after="0" w:line="240" w:lineRule="auto"/>
              <w:ind w:firstLine="480" w:firstLineChars="200"/>
              <w:contextualSpacing/>
              <w:jc w:val="center"/>
              <w:outlineLvl w:val="9"/>
              <w:rPr>
                <w:rFonts w:ascii="宋体" w:hAnsi="宋体" w:cs="宋体"/>
                <w:snapToGrid w:val="0"/>
                <w:color w:val="000000"/>
                <w:szCs w:val="24"/>
              </w:rPr>
              <w:pPrChange w:id="2" w:author="微软用户" w:date="2023-08-16T14:45:00Z">
                <w:pPr>
                  <w:keepLines/>
                  <w:numPr>
                    <w:ilvl w:val="0"/>
                    <w:numId w:val="1"/>
                  </w:numPr>
                  <w:spacing w:before="120" w:after="120"/>
                  <w:ind w:firstLine="480" w:firstLineChars="200"/>
                  <w:jc w:val="center"/>
                  <w:outlineLvl w:val="0"/>
                </w:pPr>
              </w:pPrChange>
            </w:pPr>
          </w:p>
        </w:tc>
        <w:tc>
          <w:tcPr>
            <w:tcW w:w="92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A9D86C">
            <w:pPr>
              <w:snapToGrid w:val="0"/>
              <w:spacing w:line="240" w:lineRule="auto"/>
              <w:contextualSpacing/>
              <w:jc w:val="center"/>
              <w:rPr>
                <w:rFonts w:ascii="宋体" w:hAnsi="宋体" w:cs="宋体"/>
                <w:snapToGrid w:val="0"/>
                <w:color w:val="000000"/>
                <w:szCs w:val="24"/>
              </w:rPr>
            </w:pPr>
            <w:r>
              <w:rPr>
                <w:rFonts w:hint="eastAsia" w:ascii="宋体" w:hAnsi="宋体" w:cs="宋体"/>
                <w:snapToGrid w:val="0"/>
                <w:color w:val="000000"/>
                <w:szCs w:val="24"/>
              </w:rPr>
              <w:t>厚度</w:t>
            </w:r>
          </w:p>
        </w:tc>
        <w:tc>
          <w:tcPr>
            <w:tcW w:w="10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C5ECCF">
            <w:pPr>
              <w:snapToGrid w:val="0"/>
              <w:spacing w:line="240" w:lineRule="auto"/>
              <w:contextualSpacing/>
              <w:jc w:val="center"/>
              <w:rPr>
                <w:rFonts w:ascii="宋体" w:hAnsi="宋体" w:cs="宋体"/>
                <w:snapToGrid w:val="0"/>
                <w:color w:val="000000"/>
                <w:szCs w:val="24"/>
              </w:rPr>
            </w:pPr>
            <w:r>
              <w:rPr>
                <w:rFonts w:hint="eastAsia" w:ascii="宋体" w:hAnsi="宋体" w:cs="宋体"/>
                <w:snapToGrid w:val="0"/>
                <w:color w:val="000000"/>
                <w:szCs w:val="24"/>
              </w:rPr>
              <w:t>宽度</w:t>
            </w:r>
          </w:p>
        </w:tc>
      </w:tr>
      <w:tr w14:paraId="03A3FF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6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1CEF74">
            <w:pPr>
              <w:snapToGrid w:val="0"/>
              <w:spacing w:line="240" w:lineRule="auto"/>
              <w:jc w:val="center"/>
              <w:rPr>
                <w:rFonts w:ascii="宋体" w:hAnsi="宋体" w:cs="宋体"/>
                <w:snapToGrid w:val="0"/>
                <w:color w:val="000000"/>
                <w:szCs w:val="24"/>
              </w:rPr>
            </w:pPr>
            <w:r>
              <w:rPr>
                <w:rFonts w:hint="eastAsia" w:ascii="宋体" w:hAnsi="宋体" w:cs="宋体"/>
                <w:snapToGrid w:val="0"/>
                <w:color w:val="000000"/>
                <w:szCs w:val="24"/>
              </w:rPr>
              <w:t>TU2</w:t>
            </w:r>
          </w:p>
        </w:tc>
        <w:tc>
          <w:tcPr>
            <w:tcW w:w="8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B16BCF">
            <w:pPr>
              <w:snapToGrid w:val="0"/>
              <w:spacing w:line="240" w:lineRule="auto"/>
              <w:jc w:val="center"/>
              <w:rPr>
                <w:rFonts w:ascii="宋体" w:hAnsi="宋体" w:cs="宋体"/>
                <w:snapToGrid w:val="0"/>
                <w:color w:val="000000"/>
                <w:szCs w:val="24"/>
              </w:rPr>
            </w:pPr>
            <w:r>
              <w:rPr>
                <w:rFonts w:hint="eastAsia" w:ascii="宋体" w:hAnsi="宋体" w:cs="宋体"/>
                <w:snapToGrid w:val="0"/>
                <w:color w:val="000000"/>
                <w:szCs w:val="24"/>
              </w:rPr>
              <w:t>T10180</w:t>
            </w:r>
          </w:p>
        </w:tc>
        <w:tc>
          <w:tcPr>
            <w:tcW w:w="15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7849CA">
            <w:pPr>
              <w:snapToGrid w:val="0"/>
              <w:spacing w:line="240" w:lineRule="auto"/>
              <w:jc w:val="center"/>
              <w:rPr>
                <w:rFonts w:ascii="宋体" w:hAnsi="宋体" w:cs="宋体"/>
                <w:snapToGrid w:val="0"/>
                <w:color w:val="000000"/>
                <w:szCs w:val="24"/>
              </w:rPr>
            </w:pPr>
            <w:r>
              <w:rPr>
                <w:rFonts w:hint="eastAsia" w:ascii="宋体" w:hAnsi="宋体" w:cs="宋体"/>
                <w:snapToGrid w:val="0"/>
                <w:color w:val="000000"/>
                <w:szCs w:val="24"/>
              </w:rPr>
              <w:t>O60（</w:t>
            </w:r>
            <w:r>
              <w:rPr>
                <w:rFonts w:hint="eastAsia" w:ascii="宋体" w:hAnsi="宋体" w:cs="宋体"/>
                <w:color w:val="000000"/>
                <w:szCs w:val="24"/>
              </w:rPr>
              <w:t>软化退火</w:t>
            </w:r>
            <w:r>
              <w:rPr>
                <w:rFonts w:hint="eastAsia" w:ascii="宋体" w:hAnsi="宋体" w:cs="宋体"/>
                <w:snapToGrid w:val="0"/>
                <w:color w:val="000000"/>
                <w:szCs w:val="24"/>
              </w:rPr>
              <w:t>）</w:t>
            </w:r>
          </w:p>
        </w:tc>
        <w:tc>
          <w:tcPr>
            <w:tcW w:w="92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F99AB4B">
            <w:pPr>
              <w:snapToGrid w:val="0"/>
              <w:spacing w:line="360" w:lineRule="exact"/>
              <w:jc w:val="center"/>
              <w:rPr>
                <w:rFonts w:ascii="宋体" w:hAnsi="宋体" w:cs="宋体"/>
                <w:snapToGrid w:val="0"/>
                <w:color w:val="000000"/>
                <w:szCs w:val="24"/>
              </w:rPr>
            </w:pPr>
            <w:r>
              <w:rPr>
                <w:rFonts w:hint="eastAsia" w:ascii="宋体" w:hAnsi="宋体" w:cs="宋体"/>
                <w:snapToGrid w:val="0"/>
                <w:color w:val="000000"/>
                <w:szCs w:val="24"/>
              </w:rPr>
              <w:t>0.300～4.000</w:t>
            </w:r>
          </w:p>
        </w:tc>
        <w:tc>
          <w:tcPr>
            <w:tcW w:w="100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E41D8D3">
            <w:pPr>
              <w:snapToGrid w:val="0"/>
              <w:spacing w:line="360" w:lineRule="exact"/>
              <w:jc w:val="center"/>
              <w:rPr>
                <w:rFonts w:ascii="宋体" w:hAnsi="宋体" w:cs="宋体"/>
                <w:snapToGrid w:val="0"/>
                <w:color w:val="000000"/>
                <w:szCs w:val="24"/>
              </w:rPr>
            </w:pPr>
            <w:r>
              <w:rPr>
                <w:rFonts w:hint="eastAsia" w:ascii="宋体" w:hAnsi="宋体" w:cs="宋体"/>
                <w:snapToGrid w:val="0"/>
                <w:color w:val="000000"/>
                <w:szCs w:val="24"/>
              </w:rPr>
              <w:t>20.00～6</w:t>
            </w:r>
            <w:r>
              <w:rPr>
                <w:rFonts w:hint="eastAsia" w:ascii="宋体" w:hAnsi="宋体" w:cs="宋体"/>
                <w:snapToGrid w:val="0"/>
                <w:color w:val="000000"/>
                <w:szCs w:val="24"/>
                <w:lang w:val="en-US" w:eastAsia="zh-CN"/>
              </w:rPr>
              <w:t>3</w:t>
            </w:r>
            <w:r>
              <w:rPr>
                <w:rFonts w:hint="eastAsia" w:ascii="宋体" w:hAnsi="宋体" w:cs="宋体"/>
                <w:snapToGrid w:val="0"/>
                <w:color w:val="000000"/>
                <w:szCs w:val="24"/>
              </w:rPr>
              <w:t>0.00</w:t>
            </w:r>
          </w:p>
        </w:tc>
      </w:tr>
      <w:tr w14:paraId="33974D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9" w:hRule="atLeast"/>
          <w:jc w:val="center"/>
        </w:trPr>
        <w:tc>
          <w:tcPr>
            <w:tcW w:w="6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16D1D0">
            <w:pPr>
              <w:snapToGrid w:val="0"/>
              <w:spacing w:line="240" w:lineRule="auto"/>
              <w:jc w:val="center"/>
              <w:rPr>
                <w:rFonts w:ascii="宋体" w:hAnsi="宋体" w:cs="宋体"/>
                <w:snapToGrid w:val="0"/>
                <w:color w:val="000000"/>
                <w:szCs w:val="24"/>
              </w:rPr>
            </w:pPr>
            <w:r>
              <w:rPr>
                <w:rFonts w:hint="eastAsia" w:ascii="宋体" w:hAnsi="宋体" w:cs="宋体"/>
                <w:snapToGrid w:val="0"/>
                <w:color w:val="000000"/>
                <w:szCs w:val="24"/>
              </w:rPr>
              <w:t>T2</w:t>
            </w:r>
          </w:p>
        </w:tc>
        <w:tc>
          <w:tcPr>
            <w:tcW w:w="8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773DC6">
            <w:pPr>
              <w:snapToGrid w:val="0"/>
              <w:spacing w:line="240" w:lineRule="auto"/>
              <w:jc w:val="center"/>
              <w:rPr>
                <w:rFonts w:ascii="宋体" w:hAnsi="宋体" w:cs="宋体"/>
                <w:snapToGrid w:val="0"/>
                <w:color w:val="000000"/>
                <w:szCs w:val="24"/>
              </w:rPr>
            </w:pPr>
            <w:r>
              <w:rPr>
                <w:rFonts w:hint="eastAsia" w:ascii="宋体" w:hAnsi="宋体" w:cs="宋体"/>
                <w:snapToGrid w:val="0"/>
                <w:color w:val="000000"/>
                <w:szCs w:val="24"/>
              </w:rPr>
              <w:t>T11050</w:t>
            </w:r>
          </w:p>
        </w:tc>
        <w:tc>
          <w:tcPr>
            <w:tcW w:w="15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EDB5BA">
            <w:pPr>
              <w:snapToGrid w:val="0"/>
              <w:spacing w:line="240" w:lineRule="auto"/>
              <w:jc w:val="center"/>
              <w:rPr>
                <w:rFonts w:ascii="宋体" w:hAnsi="宋体" w:cs="宋体"/>
                <w:snapToGrid w:val="0"/>
                <w:color w:val="000000"/>
                <w:szCs w:val="24"/>
              </w:rPr>
            </w:pPr>
            <w:r>
              <w:rPr>
                <w:rFonts w:hint="eastAsia" w:ascii="宋体" w:hAnsi="宋体" w:cs="宋体"/>
                <w:snapToGrid w:val="0"/>
                <w:color w:val="000000"/>
                <w:szCs w:val="24"/>
              </w:rPr>
              <w:t>O60（</w:t>
            </w:r>
            <w:r>
              <w:rPr>
                <w:rFonts w:hint="eastAsia" w:ascii="宋体" w:hAnsi="宋体" w:cs="宋体"/>
                <w:color w:val="000000"/>
                <w:szCs w:val="24"/>
              </w:rPr>
              <w:t>软化退火</w:t>
            </w:r>
            <w:r>
              <w:rPr>
                <w:rFonts w:hint="eastAsia" w:ascii="宋体" w:hAnsi="宋体" w:cs="宋体"/>
                <w:snapToGrid w:val="0"/>
                <w:color w:val="000000"/>
                <w:szCs w:val="24"/>
              </w:rPr>
              <w:t>）、1/2硬（H02）</w:t>
            </w:r>
          </w:p>
        </w:tc>
        <w:tc>
          <w:tcPr>
            <w:tcW w:w="9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7F5C777">
            <w:pPr>
              <w:snapToGrid w:val="0"/>
              <w:spacing w:line="360" w:lineRule="exact"/>
              <w:jc w:val="center"/>
              <w:rPr>
                <w:rFonts w:ascii="宋体" w:hAnsi="宋体" w:cs="宋体"/>
                <w:snapToGrid w:val="0"/>
                <w:color w:val="000000"/>
                <w:szCs w:val="24"/>
              </w:rPr>
            </w:pPr>
          </w:p>
        </w:tc>
        <w:tc>
          <w:tcPr>
            <w:tcW w:w="10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A3F5FE">
            <w:pPr>
              <w:snapToGrid w:val="0"/>
              <w:spacing w:line="360" w:lineRule="exact"/>
              <w:jc w:val="center"/>
              <w:rPr>
                <w:rFonts w:ascii="宋体" w:hAnsi="宋体" w:cs="宋体"/>
                <w:snapToGrid w:val="0"/>
                <w:color w:val="000000"/>
                <w:szCs w:val="24"/>
              </w:rPr>
            </w:pPr>
          </w:p>
        </w:tc>
      </w:tr>
      <w:tr w14:paraId="37AB39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6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5711C9">
            <w:pPr>
              <w:snapToGrid w:val="0"/>
              <w:spacing w:line="240" w:lineRule="auto"/>
              <w:jc w:val="center"/>
              <w:rPr>
                <w:rFonts w:ascii="宋体" w:hAnsi="宋体" w:cs="宋体"/>
                <w:snapToGrid w:val="0"/>
                <w:color w:val="000000"/>
                <w:szCs w:val="24"/>
              </w:rPr>
            </w:pPr>
            <w:r>
              <w:rPr>
                <w:rFonts w:hint="eastAsia" w:ascii="宋体" w:hAnsi="宋体" w:cs="宋体"/>
                <w:snapToGrid w:val="0"/>
                <w:color w:val="000000"/>
                <w:szCs w:val="24"/>
              </w:rPr>
              <w:t>H65</w:t>
            </w:r>
          </w:p>
        </w:tc>
        <w:tc>
          <w:tcPr>
            <w:tcW w:w="8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0484B5">
            <w:pPr>
              <w:snapToGrid w:val="0"/>
              <w:spacing w:line="240" w:lineRule="auto"/>
              <w:jc w:val="center"/>
              <w:rPr>
                <w:rFonts w:ascii="宋体" w:hAnsi="宋体" w:cs="宋体"/>
                <w:snapToGrid w:val="0"/>
                <w:color w:val="000000"/>
                <w:szCs w:val="24"/>
              </w:rPr>
            </w:pPr>
            <w:r>
              <w:rPr>
                <w:rFonts w:hint="eastAsia" w:ascii="宋体" w:hAnsi="宋体" w:cs="宋体"/>
                <w:snapToGrid w:val="0"/>
                <w:color w:val="000000"/>
                <w:szCs w:val="24"/>
              </w:rPr>
              <w:t>C27000</w:t>
            </w:r>
          </w:p>
        </w:tc>
        <w:tc>
          <w:tcPr>
            <w:tcW w:w="15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BBC420">
            <w:pPr>
              <w:snapToGrid w:val="0"/>
              <w:spacing w:line="240" w:lineRule="auto"/>
              <w:jc w:val="center"/>
              <w:rPr>
                <w:rFonts w:ascii="宋体" w:hAnsi="宋体" w:cs="宋体"/>
                <w:snapToGrid w:val="0"/>
                <w:color w:val="000000"/>
                <w:szCs w:val="24"/>
              </w:rPr>
            </w:pPr>
            <w:r>
              <w:rPr>
                <w:rFonts w:hint="eastAsia" w:ascii="宋体" w:hAnsi="宋体" w:cs="宋体"/>
                <w:snapToGrid w:val="0"/>
                <w:color w:val="000000"/>
                <w:szCs w:val="24"/>
              </w:rPr>
              <w:t>O60（</w:t>
            </w:r>
            <w:r>
              <w:rPr>
                <w:rFonts w:hint="eastAsia" w:ascii="宋体" w:hAnsi="宋体" w:cs="宋体"/>
                <w:color w:val="000000"/>
                <w:szCs w:val="24"/>
              </w:rPr>
              <w:t>软化退火</w:t>
            </w:r>
            <w:r>
              <w:rPr>
                <w:rFonts w:hint="eastAsia" w:ascii="宋体" w:hAnsi="宋体" w:cs="宋体"/>
                <w:snapToGrid w:val="0"/>
                <w:color w:val="000000"/>
                <w:szCs w:val="24"/>
              </w:rPr>
              <w:t>）</w:t>
            </w:r>
          </w:p>
        </w:tc>
        <w:tc>
          <w:tcPr>
            <w:tcW w:w="92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5CCA634">
            <w:pPr>
              <w:snapToGrid w:val="0"/>
              <w:spacing w:line="360" w:lineRule="exact"/>
              <w:jc w:val="center"/>
              <w:rPr>
                <w:rFonts w:ascii="宋体" w:hAnsi="宋体" w:cs="宋体"/>
                <w:snapToGrid w:val="0"/>
                <w:color w:val="000000"/>
                <w:szCs w:val="24"/>
              </w:rPr>
            </w:pPr>
            <w:r>
              <w:rPr>
                <w:rFonts w:hint="eastAsia" w:ascii="宋体" w:hAnsi="宋体" w:cs="宋体"/>
                <w:snapToGrid w:val="0"/>
                <w:color w:val="000000"/>
                <w:szCs w:val="24"/>
              </w:rPr>
              <w:t>0.200～1.000</w:t>
            </w:r>
          </w:p>
        </w:tc>
        <w:tc>
          <w:tcPr>
            <w:tcW w:w="10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16238FE">
            <w:pPr>
              <w:snapToGrid w:val="0"/>
              <w:spacing w:line="360" w:lineRule="exact"/>
              <w:jc w:val="center"/>
              <w:rPr>
                <w:rFonts w:ascii="宋体" w:hAnsi="宋体" w:cs="宋体"/>
                <w:snapToGrid w:val="0"/>
                <w:color w:val="000000"/>
                <w:szCs w:val="24"/>
              </w:rPr>
            </w:pPr>
          </w:p>
        </w:tc>
      </w:tr>
      <w:tr w14:paraId="526AFF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6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63D0A2">
            <w:pPr>
              <w:snapToGrid w:val="0"/>
              <w:spacing w:line="240" w:lineRule="auto"/>
              <w:jc w:val="center"/>
              <w:rPr>
                <w:rFonts w:ascii="宋体" w:hAnsi="宋体" w:cs="宋体"/>
                <w:snapToGrid w:val="0"/>
                <w:color w:val="000000"/>
                <w:szCs w:val="24"/>
              </w:rPr>
            </w:pPr>
            <w:r>
              <w:rPr>
                <w:rFonts w:hint="eastAsia" w:ascii="宋体" w:hAnsi="宋体" w:cs="宋体"/>
                <w:snapToGrid w:val="0"/>
                <w:color w:val="000000"/>
                <w:szCs w:val="24"/>
              </w:rPr>
              <w:t>H62</w:t>
            </w:r>
          </w:p>
        </w:tc>
        <w:tc>
          <w:tcPr>
            <w:tcW w:w="84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67CB12">
            <w:pPr>
              <w:snapToGrid w:val="0"/>
              <w:spacing w:line="240" w:lineRule="auto"/>
              <w:jc w:val="center"/>
              <w:rPr>
                <w:rFonts w:ascii="宋体" w:hAnsi="宋体" w:cs="宋体"/>
                <w:snapToGrid w:val="0"/>
                <w:color w:val="000000"/>
                <w:szCs w:val="24"/>
              </w:rPr>
            </w:pPr>
            <w:r>
              <w:rPr>
                <w:rFonts w:hint="eastAsia" w:ascii="宋体" w:hAnsi="宋体" w:cs="宋体"/>
                <w:snapToGrid w:val="0"/>
                <w:color w:val="000000"/>
                <w:szCs w:val="24"/>
              </w:rPr>
              <w:t>T27600</w:t>
            </w:r>
          </w:p>
        </w:tc>
        <w:tc>
          <w:tcPr>
            <w:tcW w:w="15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52F149">
            <w:pPr>
              <w:snapToGrid w:val="0"/>
              <w:spacing w:line="240" w:lineRule="auto"/>
              <w:jc w:val="center"/>
              <w:rPr>
                <w:rFonts w:ascii="宋体" w:hAnsi="宋体" w:cs="宋体"/>
                <w:snapToGrid w:val="0"/>
                <w:color w:val="000000"/>
                <w:szCs w:val="24"/>
              </w:rPr>
            </w:pPr>
            <w:r>
              <w:rPr>
                <w:rFonts w:hint="eastAsia" w:ascii="宋体" w:hAnsi="宋体" w:cs="宋体"/>
                <w:snapToGrid w:val="0"/>
                <w:color w:val="000000"/>
                <w:szCs w:val="24"/>
              </w:rPr>
              <w:t>O60（</w:t>
            </w:r>
            <w:r>
              <w:rPr>
                <w:rFonts w:hint="eastAsia" w:ascii="宋体" w:hAnsi="宋体" w:cs="宋体"/>
                <w:color w:val="000000"/>
                <w:szCs w:val="24"/>
              </w:rPr>
              <w:t>软化退火</w:t>
            </w:r>
            <w:r>
              <w:rPr>
                <w:rFonts w:hint="eastAsia" w:ascii="宋体" w:hAnsi="宋体" w:cs="宋体"/>
                <w:snapToGrid w:val="0"/>
                <w:color w:val="000000"/>
                <w:szCs w:val="24"/>
              </w:rPr>
              <w:t>）</w:t>
            </w:r>
          </w:p>
        </w:tc>
        <w:tc>
          <w:tcPr>
            <w:tcW w:w="92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ACE475">
            <w:pPr>
              <w:snapToGrid w:val="0"/>
              <w:spacing w:line="360" w:lineRule="exact"/>
              <w:jc w:val="center"/>
              <w:rPr>
                <w:rFonts w:ascii="宋体" w:hAnsi="宋体" w:cs="宋体"/>
                <w:snapToGrid w:val="0"/>
                <w:color w:val="000000"/>
                <w:szCs w:val="24"/>
              </w:rPr>
            </w:pPr>
          </w:p>
        </w:tc>
        <w:tc>
          <w:tcPr>
            <w:tcW w:w="10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0253A6">
            <w:pPr>
              <w:snapToGrid w:val="0"/>
              <w:spacing w:line="360" w:lineRule="exact"/>
              <w:jc w:val="center"/>
              <w:rPr>
                <w:rFonts w:ascii="宋体" w:hAnsi="宋体" w:cs="宋体"/>
                <w:snapToGrid w:val="0"/>
                <w:color w:val="000000"/>
                <w:szCs w:val="24"/>
              </w:rPr>
            </w:pPr>
          </w:p>
        </w:tc>
      </w:tr>
      <w:tr w14:paraId="07A93E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14"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926668B">
            <w:pPr>
              <w:snapToGrid w:val="0"/>
              <w:spacing w:line="240" w:lineRule="auto"/>
              <w:jc w:val="both"/>
              <w:rPr>
                <w:rFonts w:ascii="宋体" w:hAnsi="宋体" w:cs="宋体"/>
                <w:snapToGrid w:val="0"/>
                <w:color w:val="000000"/>
                <w:szCs w:val="24"/>
              </w:rPr>
            </w:pPr>
            <w:r>
              <w:rPr>
                <w:rFonts w:hint="eastAsia" w:ascii="宋体" w:hAnsi="宋体" w:cs="宋体"/>
                <w:snapToGrid w:val="0"/>
                <w:color w:val="000000"/>
                <w:szCs w:val="24"/>
              </w:rPr>
              <w:t>注1：经供需双方协商，也可供应其他</w:t>
            </w:r>
            <w:r>
              <w:rPr>
                <w:rFonts w:hint="eastAsia" w:ascii="宋体" w:hAnsi="宋体" w:cs="宋体"/>
                <w:color w:val="000000"/>
                <w:szCs w:val="24"/>
              </w:rPr>
              <w:t>牌号、</w:t>
            </w:r>
            <w:r>
              <w:rPr>
                <w:rFonts w:hint="eastAsia" w:ascii="宋体" w:hAnsi="宋体" w:cs="宋体"/>
                <w:snapToGrid w:val="0"/>
                <w:color w:val="000000"/>
                <w:szCs w:val="24"/>
              </w:rPr>
              <w:t>状态、规格的产品。</w:t>
            </w:r>
          </w:p>
          <w:p w14:paraId="3F3FCC4C">
            <w:pPr>
              <w:snapToGrid w:val="0"/>
              <w:spacing w:line="240" w:lineRule="auto"/>
              <w:jc w:val="both"/>
              <w:rPr>
                <w:rFonts w:ascii="宋体" w:hAnsi="宋体" w:cs="宋体"/>
                <w:snapToGrid w:val="0"/>
                <w:color w:val="000000"/>
                <w:szCs w:val="24"/>
              </w:rPr>
            </w:pPr>
            <w:r>
              <w:rPr>
                <w:rFonts w:hint="eastAsia" w:ascii="宋体" w:hAnsi="宋体" w:cs="宋体"/>
                <w:snapToGrid w:val="0"/>
                <w:color w:val="000000"/>
                <w:szCs w:val="24"/>
              </w:rPr>
              <w:t>注2：为达到某种特定的用途，允许添加其他微量元素。</w:t>
            </w:r>
          </w:p>
        </w:tc>
      </w:tr>
      <w:bookmarkEnd w:id="12"/>
      <w:bookmarkEnd w:id="13"/>
      <w:bookmarkEnd w:id="14"/>
    </w:tbl>
    <w:p w14:paraId="552580E8">
      <w:pPr>
        <w:pStyle w:val="9"/>
        <w:spacing w:after="0" w:line="360" w:lineRule="auto"/>
        <w:rPr>
          <w:rFonts w:ascii="黑体" w:hAnsi="黑体" w:eastAsia="黑体" w:cs="黑体"/>
          <w:szCs w:val="24"/>
        </w:rPr>
      </w:pPr>
      <w:bookmarkStart w:id="17" w:name="_Toc5070"/>
      <w:bookmarkStart w:id="18" w:name="_Toc27584"/>
      <w:r>
        <w:rPr>
          <w:rFonts w:hint="eastAsia" w:ascii="黑体" w:hAnsi="黑体" w:eastAsia="黑体" w:cs="黑体"/>
          <w:szCs w:val="24"/>
        </w:rPr>
        <w:t>3.2.2化学成分</w:t>
      </w:r>
    </w:p>
    <w:p w14:paraId="6EAA6A9A">
      <w:pPr>
        <w:spacing w:line="360" w:lineRule="auto"/>
        <w:ind w:firstLine="480" w:firstLineChars="200"/>
        <w:rPr>
          <w:rFonts w:ascii="宋体" w:hAnsi="宋体" w:cs="宋体"/>
          <w:szCs w:val="24"/>
        </w:rPr>
      </w:pPr>
      <w:r>
        <w:rPr>
          <w:rFonts w:hint="eastAsia" w:ascii="宋体" w:hAnsi="宋体" w:cs="宋体"/>
          <w:szCs w:val="24"/>
        </w:rPr>
        <w:t>带材的化学成分应符合GB/T 5231中相应牌号的规定。</w:t>
      </w:r>
    </w:p>
    <w:p w14:paraId="10BB2C1E">
      <w:pPr>
        <w:pStyle w:val="9"/>
        <w:spacing w:after="0" w:line="360" w:lineRule="auto"/>
        <w:rPr>
          <w:rFonts w:ascii="黑体" w:hAnsi="黑体" w:eastAsia="黑体" w:cs="黑体"/>
          <w:szCs w:val="24"/>
        </w:rPr>
      </w:pPr>
      <w:r>
        <w:rPr>
          <w:rFonts w:hint="eastAsia" w:ascii="黑体" w:hAnsi="黑体" w:eastAsia="黑体" w:cs="黑体"/>
          <w:szCs w:val="24"/>
        </w:rPr>
        <w:t>3.2.3外形尺寸及其允许偏差</w:t>
      </w:r>
    </w:p>
    <w:bookmarkEnd w:id="17"/>
    <w:bookmarkEnd w:id="18"/>
    <w:p w14:paraId="7AC0F4A1">
      <w:pPr>
        <w:spacing w:line="360" w:lineRule="auto"/>
        <w:rPr>
          <w:rFonts w:ascii="宋体" w:hAnsi="宋体" w:cs="宋体"/>
          <w:szCs w:val="24"/>
        </w:rPr>
      </w:pPr>
      <w:bookmarkStart w:id="19" w:name="_Toc151628335"/>
      <w:r>
        <w:rPr>
          <w:rFonts w:hint="eastAsia" w:ascii="宋体" w:hAnsi="宋体" w:cs="宋体"/>
          <w:szCs w:val="24"/>
        </w:rPr>
        <w:t>带材的厚度、宽度及其允许偏差应符合表3的规定。</w:t>
      </w:r>
    </w:p>
    <w:p w14:paraId="2728B15D">
      <w:pPr>
        <w:spacing w:line="360" w:lineRule="auto"/>
        <w:jc w:val="center"/>
        <w:rPr>
          <w:rFonts w:ascii="宋体" w:hAnsi="宋体" w:cs="宋体"/>
          <w:szCs w:val="24"/>
        </w:rPr>
      </w:pPr>
      <w:r>
        <w:rPr>
          <w:rFonts w:hint="eastAsia" w:ascii="宋体" w:hAnsi="宋体" w:cs="宋体"/>
          <w:szCs w:val="24"/>
          <w:lang w:val="en-US" w:eastAsia="zh-CN"/>
        </w:rPr>
        <w:t xml:space="preserve">                      </w:t>
      </w:r>
      <w:r>
        <w:rPr>
          <w:rFonts w:hint="eastAsia" w:ascii="宋体" w:hAnsi="宋体" w:cs="宋体"/>
          <w:szCs w:val="24"/>
        </w:rPr>
        <w:t>表3  厚度、宽度及其允许偏差</w:t>
      </w:r>
      <w:r>
        <w:rPr>
          <w:rFonts w:hint="eastAsia" w:ascii="宋体" w:hAnsi="宋体" w:cs="宋体"/>
          <w:szCs w:val="24"/>
          <w:lang w:val="en-US" w:eastAsia="zh-CN"/>
        </w:rPr>
        <w:t xml:space="preserve">                </w:t>
      </w:r>
      <w:r>
        <w:rPr>
          <w:rFonts w:hint="eastAsia" w:ascii="宋体" w:hAnsi="宋体" w:cs="宋体"/>
          <w:szCs w:val="24"/>
        </w:rPr>
        <w:t>单位为毫米</w:t>
      </w:r>
    </w:p>
    <w:tbl>
      <w:tblPr>
        <w:tblStyle w:val="21"/>
        <w:tblW w:w="517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50"/>
        <w:gridCol w:w="1700"/>
        <w:gridCol w:w="1625"/>
        <w:gridCol w:w="1412"/>
        <w:gridCol w:w="2429"/>
      </w:tblGrid>
      <w:tr w14:paraId="266715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274" w:type="pct"/>
            <w:vMerge w:val="restar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1CAE06C9">
            <w:pPr>
              <w:spacing w:line="240" w:lineRule="auto"/>
              <w:jc w:val="center"/>
              <w:rPr>
                <w:rFonts w:ascii="宋体" w:hAnsi="宋体" w:cs="宋体"/>
                <w:color w:val="000000"/>
                <w:szCs w:val="24"/>
              </w:rPr>
            </w:pPr>
            <w:r>
              <w:rPr>
                <w:rFonts w:hint="eastAsia" w:ascii="宋体" w:hAnsi="宋体" w:cs="宋体"/>
                <w:color w:val="000000"/>
                <w:szCs w:val="24"/>
              </w:rPr>
              <w:t>厚度</w:t>
            </w:r>
          </w:p>
        </w:tc>
        <w:tc>
          <w:tcPr>
            <w:tcW w:w="1729"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C5F49F8">
            <w:pPr>
              <w:spacing w:line="240" w:lineRule="auto"/>
              <w:jc w:val="center"/>
              <w:rPr>
                <w:rFonts w:ascii="宋体" w:hAnsi="宋体" w:cs="宋体"/>
                <w:color w:val="000000"/>
                <w:szCs w:val="24"/>
              </w:rPr>
            </w:pPr>
            <w:r>
              <w:rPr>
                <w:rFonts w:hint="eastAsia" w:ascii="宋体" w:hAnsi="宋体" w:cs="宋体"/>
                <w:color w:val="000000"/>
                <w:szCs w:val="24"/>
              </w:rPr>
              <w:t>厚度允许偏差</w:t>
            </w:r>
            <w:r>
              <w:rPr>
                <w:rFonts w:hint="eastAsia" w:ascii="宋体" w:hAnsi="宋体" w:cs="宋体"/>
                <w:color w:val="000000"/>
                <w:szCs w:val="24"/>
                <w:vertAlign w:val="superscript"/>
              </w:rPr>
              <w:t>a</w:t>
            </w:r>
          </w:p>
        </w:tc>
        <w:tc>
          <w:tcPr>
            <w:tcW w:w="73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807E24B">
            <w:pPr>
              <w:spacing w:line="240" w:lineRule="auto"/>
              <w:jc w:val="center"/>
              <w:rPr>
                <w:rFonts w:ascii="宋体" w:hAnsi="宋体" w:cs="宋体"/>
                <w:color w:val="000000"/>
                <w:szCs w:val="24"/>
              </w:rPr>
            </w:pPr>
            <w:r>
              <w:rPr>
                <w:rFonts w:hint="eastAsia" w:ascii="宋体" w:hAnsi="宋体" w:cs="宋体"/>
                <w:color w:val="000000"/>
                <w:szCs w:val="24"/>
              </w:rPr>
              <w:t>宽度</w:t>
            </w:r>
          </w:p>
        </w:tc>
        <w:tc>
          <w:tcPr>
            <w:tcW w:w="126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D1FFEF1">
            <w:pPr>
              <w:spacing w:line="240" w:lineRule="auto"/>
              <w:jc w:val="center"/>
              <w:rPr>
                <w:rFonts w:ascii="宋体" w:hAnsi="宋体" w:cs="宋体"/>
                <w:color w:val="000000"/>
                <w:szCs w:val="24"/>
              </w:rPr>
            </w:pPr>
            <w:r>
              <w:rPr>
                <w:rFonts w:hint="eastAsia" w:ascii="宋体" w:hAnsi="宋体" w:cs="宋体"/>
                <w:color w:val="000000"/>
                <w:szCs w:val="24"/>
              </w:rPr>
              <w:t>宽度允许偏差</w:t>
            </w:r>
            <w:r>
              <w:rPr>
                <w:rFonts w:hint="eastAsia" w:ascii="宋体" w:hAnsi="宋体" w:cs="宋体"/>
                <w:color w:val="000000"/>
                <w:szCs w:val="24"/>
                <w:vertAlign w:val="superscript"/>
              </w:rPr>
              <w:t>a</w:t>
            </w:r>
          </w:p>
        </w:tc>
      </w:tr>
      <w:tr w14:paraId="630BEB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127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6A4356">
            <w:pPr>
              <w:spacing w:line="240" w:lineRule="auto"/>
              <w:jc w:val="center"/>
              <w:rPr>
                <w:rFonts w:ascii="宋体" w:hAnsi="宋体" w:cs="宋体"/>
                <w:color w:val="000000"/>
                <w:szCs w:val="24"/>
              </w:rPr>
            </w:pPr>
          </w:p>
        </w:tc>
        <w:tc>
          <w:tcPr>
            <w:tcW w:w="8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BF2F48">
            <w:pPr>
              <w:spacing w:line="240" w:lineRule="auto"/>
              <w:jc w:val="center"/>
              <w:rPr>
                <w:rFonts w:ascii="宋体" w:hAnsi="宋体" w:cs="宋体"/>
                <w:color w:val="000000"/>
                <w:szCs w:val="24"/>
              </w:rPr>
            </w:pPr>
            <w:r>
              <w:rPr>
                <w:rFonts w:hint="eastAsia" w:ascii="宋体" w:hAnsi="宋体" w:cs="宋体"/>
                <w:color w:val="000000"/>
                <w:szCs w:val="24"/>
              </w:rPr>
              <w:t>普通级</w:t>
            </w:r>
          </w:p>
        </w:tc>
        <w:tc>
          <w:tcPr>
            <w:tcW w:w="8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D981E7">
            <w:pPr>
              <w:spacing w:line="240" w:lineRule="auto"/>
              <w:jc w:val="center"/>
              <w:rPr>
                <w:rFonts w:ascii="宋体" w:hAnsi="宋体" w:cs="宋体"/>
                <w:color w:val="000000"/>
                <w:szCs w:val="24"/>
              </w:rPr>
            </w:pPr>
            <w:r>
              <w:rPr>
                <w:rFonts w:hint="eastAsia" w:ascii="宋体" w:hAnsi="宋体" w:cs="宋体"/>
                <w:color w:val="000000"/>
                <w:szCs w:val="24"/>
              </w:rPr>
              <w:t>高精级</w:t>
            </w:r>
          </w:p>
        </w:tc>
        <w:tc>
          <w:tcPr>
            <w:tcW w:w="73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E7229A">
            <w:pPr>
              <w:spacing w:line="240" w:lineRule="auto"/>
              <w:jc w:val="center"/>
              <w:rPr>
                <w:rFonts w:ascii="宋体" w:hAnsi="宋体" w:cs="宋体"/>
                <w:color w:val="000000"/>
                <w:szCs w:val="24"/>
              </w:rPr>
            </w:pPr>
          </w:p>
        </w:tc>
        <w:tc>
          <w:tcPr>
            <w:tcW w:w="126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347A3C">
            <w:pPr>
              <w:spacing w:line="240" w:lineRule="auto"/>
              <w:jc w:val="center"/>
              <w:rPr>
                <w:rFonts w:ascii="宋体" w:hAnsi="宋体" w:cs="宋体"/>
                <w:color w:val="000000"/>
                <w:szCs w:val="24"/>
              </w:rPr>
            </w:pPr>
          </w:p>
        </w:tc>
      </w:tr>
      <w:tr w14:paraId="63A88C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2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B74590">
            <w:pPr>
              <w:spacing w:line="240" w:lineRule="auto"/>
              <w:jc w:val="center"/>
              <w:rPr>
                <w:rFonts w:ascii="宋体" w:hAnsi="宋体" w:cs="宋体"/>
                <w:color w:val="000000"/>
                <w:szCs w:val="24"/>
              </w:rPr>
            </w:pPr>
            <w:r>
              <w:rPr>
                <w:rFonts w:hint="eastAsia" w:ascii="宋体" w:hAnsi="宋体" w:cs="宋体"/>
                <w:color w:val="000000"/>
                <w:szCs w:val="24"/>
              </w:rPr>
              <w:t>0.200～0.500</w:t>
            </w:r>
          </w:p>
        </w:tc>
        <w:tc>
          <w:tcPr>
            <w:tcW w:w="8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22D214">
            <w:pPr>
              <w:spacing w:line="240" w:lineRule="auto"/>
              <w:jc w:val="center"/>
              <w:rPr>
                <w:rFonts w:ascii="宋体" w:hAnsi="宋体" w:cs="宋体"/>
                <w:color w:val="000000"/>
                <w:szCs w:val="24"/>
              </w:rPr>
            </w:pPr>
            <w:r>
              <w:rPr>
                <w:rFonts w:hint="eastAsia" w:ascii="宋体" w:hAnsi="宋体" w:cs="宋体"/>
                <w:color w:val="000000"/>
                <w:szCs w:val="24"/>
              </w:rPr>
              <w:t>±0.010</w:t>
            </w:r>
          </w:p>
        </w:tc>
        <w:tc>
          <w:tcPr>
            <w:tcW w:w="8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F36825">
            <w:pPr>
              <w:spacing w:line="240" w:lineRule="auto"/>
              <w:jc w:val="center"/>
              <w:rPr>
                <w:rFonts w:ascii="宋体" w:hAnsi="宋体" w:cs="宋体"/>
                <w:color w:val="000000"/>
                <w:szCs w:val="24"/>
              </w:rPr>
            </w:pPr>
            <w:r>
              <w:rPr>
                <w:rFonts w:hint="eastAsia" w:ascii="宋体" w:hAnsi="宋体" w:cs="宋体"/>
                <w:color w:val="000000"/>
                <w:szCs w:val="24"/>
              </w:rPr>
              <w:t>±0.008</w:t>
            </w:r>
          </w:p>
        </w:tc>
        <w:tc>
          <w:tcPr>
            <w:tcW w:w="73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6573676">
            <w:pPr>
              <w:spacing w:line="240" w:lineRule="auto"/>
              <w:jc w:val="center"/>
              <w:rPr>
                <w:rFonts w:ascii="宋体" w:hAnsi="宋体" w:cs="宋体"/>
                <w:color w:val="000000"/>
                <w:szCs w:val="24"/>
              </w:rPr>
            </w:pPr>
            <w:r>
              <w:rPr>
                <w:rFonts w:hint="eastAsia" w:ascii="宋体" w:hAnsi="宋体" w:cs="宋体"/>
                <w:color w:val="000000"/>
                <w:szCs w:val="24"/>
              </w:rPr>
              <w:t>20.00～6</w:t>
            </w:r>
            <w:r>
              <w:rPr>
                <w:rFonts w:hint="eastAsia" w:ascii="宋体" w:hAnsi="宋体" w:cs="宋体"/>
                <w:color w:val="000000"/>
                <w:szCs w:val="24"/>
                <w:lang w:val="en-US" w:eastAsia="zh-CN"/>
              </w:rPr>
              <w:t>3</w:t>
            </w:r>
            <w:r>
              <w:rPr>
                <w:rFonts w:hint="eastAsia" w:ascii="宋体" w:hAnsi="宋体" w:cs="宋体"/>
                <w:color w:val="000000"/>
                <w:szCs w:val="24"/>
              </w:rPr>
              <w:t>0.00</w:t>
            </w:r>
          </w:p>
        </w:tc>
        <w:tc>
          <w:tcPr>
            <w:tcW w:w="12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0A86E7">
            <w:pPr>
              <w:spacing w:line="240" w:lineRule="auto"/>
              <w:jc w:val="center"/>
              <w:rPr>
                <w:rFonts w:ascii="宋体" w:hAnsi="宋体" w:cs="宋体"/>
                <w:color w:val="000000"/>
                <w:szCs w:val="24"/>
              </w:rPr>
            </w:pPr>
            <w:r>
              <w:rPr>
                <w:rFonts w:hint="eastAsia" w:ascii="宋体" w:hAnsi="宋体" w:cs="宋体"/>
                <w:color w:val="000000"/>
                <w:szCs w:val="24"/>
              </w:rPr>
              <w:t>±0.20</w:t>
            </w:r>
          </w:p>
        </w:tc>
      </w:tr>
      <w:tr w14:paraId="6D23CE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12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3970B5">
            <w:pPr>
              <w:spacing w:line="240" w:lineRule="auto"/>
              <w:jc w:val="center"/>
              <w:rPr>
                <w:rFonts w:ascii="宋体" w:hAnsi="宋体" w:cs="宋体"/>
                <w:color w:val="000000"/>
                <w:szCs w:val="24"/>
              </w:rPr>
            </w:pPr>
            <w:r>
              <w:rPr>
                <w:rFonts w:hint="eastAsia" w:ascii="宋体" w:hAnsi="宋体" w:cs="宋体"/>
                <w:color w:val="000000"/>
                <w:szCs w:val="24"/>
              </w:rPr>
              <w:t>＞0.500～0.800</w:t>
            </w:r>
          </w:p>
        </w:tc>
        <w:tc>
          <w:tcPr>
            <w:tcW w:w="8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12D680">
            <w:pPr>
              <w:spacing w:line="240" w:lineRule="auto"/>
              <w:jc w:val="center"/>
              <w:rPr>
                <w:rFonts w:ascii="宋体" w:hAnsi="宋体" w:cs="宋体"/>
                <w:color w:val="000000"/>
                <w:szCs w:val="24"/>
              </w:rPr>
            </w:pPr>
            <w:r>
              <w:rPr>
                <w:rFonts w:hint="eastAsia" w:ascii="宋体" w:hAnsi="宋体" w:cs="宋体"/>
                <w:color w:val="000000"/>
                <w:szCs w:val="24"/>
              </w:rPr>
              <w:t>±0.035</w:t>
            </w:r>
          </w:p>
        </w:tc>
        <w:tc>
          <w:tcPr>
            <w:tcW w:w="8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A1949A">
            <w:pPr>
              <w:spacing w:line="240" w:lineRule="auto"/>
              <w:jc w:val="center"/>
              <w:rPr>
                <w:rFonts w:ascii="宋体" w:hAnsi="宋体" w:cs="宋体"/>
                <w:color w:val="000000"/>
                <w:szCs w:val="24"/>
              </w:rPr>
            </w:pPr>
            <w:r>
              <w:rPr>
                <w:rFonts w:hint="eastAsia" w:ascii="宋体" w:hAnsi="宋体" w:cs="宋体"/>
                <w:color w:val="000000"/>
                <w:szCs w:val="24"/>
              </w:rPr>
              <w:t>±0.020</w:t>
            </w:r>
          </w:p>
        </w:tc>
        <w:tc>
          <w:tcPr>
            <w:tcW w:w="73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E19DB3">
            <w:pPr>
              <w:spacing w:line="240" w:lineRule="auto"/>
              <w:jc w:val="center"/>
              <w:rPr>
                <w:rFonts w:ascii="宋体" w:hAnsi="宋体" w:cs="宋体"/>
                <w:color w:val="000000"/>
                <w:szCs w:val="24"/>
              </w:rPr>
            </w:pPr>
          </w:p>
        </w:tc>
        <w:tc>
          <w:tcPr>
            <w:tcW w:w="126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F85D121">
            <w:pPr>
              <w:spacing w:line="240" w:lineRule="auto"/>
              <w:jc w:val="center"/>
              <w:rPr>
                <w:rFonts w:ascii="宋体" w:hAnsi="宋体" w:cs="宋体"/>
                <w:color w:val="000000"/>
                <w:szCs w:val="24"/>
              </w:rPr>
            </w:pPr>
            <w:r>
              <w:rPr>
                <w:rFonts w:hint="eastAsia" w:ascii="宋体" w:hAnsi="宋体" w:cs="宋体"/>
                <w:color w:val="000000"/>
                <w:szCs w:val="24"/>
              </w:rPr>
              <w:t>±0.50</w:t>
            </w:r>
          </w:p>
        </w:tc>
      </w:tr>
      <w:tr w14:paraId="3DBAF6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12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B82C99">
            <w:pPr>
              <w:spacing w:line="240" w:lineRule="auto"/>
              <w:jc w:val="center"/>
              <w:rPr>
                <w:rFonts w:ascii="宋体" w:hAnsi="宋体" w:cs="宋体"/>
                <w:color w:val="000000"/>
                <w:szCs w:val="24"/>
              </w:rPr>
            </w:pPr>
            <w:r>
              <w:rPr>
                <w:rFonts w:hint="eastAsia" w:ascii="宋体" w:hAnsi="宋体" w:cs="宋体"/>
                <w:color w:val="000000"/>
                <w:szCs w:val="24"/>
              </w:rPr>
              <w:t>＞0.800～1.200</w:t>
            </w:r>
          </w:p>
        </w:tc>
        <w:tc>
          <w:tcPr>
            <w:tcW w:w="8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CC9175">
            <w:pPr>
              <w:spacing w:line="240" w:lineRule="auto"/>
              <w:jc w:val="center"/>
              <w:rPr>
                <w:rFonts w:ascii="宋体" w:hAnsi="宋体" w:cs="宋体"/>
                <w:color w:val="000000"/>
                <w:szCs w:val="24"/>
              </w:rPr>
            </w:pPr>
            <w:r>
              <w:rPr>
                <w:rFonts w:hint="eastAsia" w:ascii="宋体" w:hAnsi="宋体" w:cs="宋体"/>
                <w:color w:val="000000"/>
                <w:szCs w:val="24"/>
              </w:rPr>
              <w:t>±0.035</w:t>
            </w:r>
          </w:p>
        </w:tc>
        <w:tc>
          <w:tcPr>
            <w:tcW w:w="8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67695D">
            <w:pPr>
              <w:spacing w:line="240" w:lineRule="auto"/>
              <w:jc w:val="center"/>
              <w:rPr>
                <w:rFonts w:ascii="宋体" w:hAnsi="宋体" w:cs="宋体"/>
                <w:color w:val="000000"/>
                <w:szCs w:val="24"/>
              </w:rPr>
            </w:pPr>
            <w:r>
              <w:rPr>
                <w:rFonts w:hint="eastAsia" w:ascii="宋体" w:hAnsi="宋体" w:cs="宋体"/>
                <w:color w:val="000000"/>
                <w:szCs w:val="24"/>
              </w:rPr>
              <w:t>±0.030</w:t>
            </w:r>
          </w:p>
        </w:tc>
        <w:tc>
          <w:tcPr>
            <w:tcW w:w="73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4BF115">
            <w:pPr>
              <w:spacing w:line="240" w:lineRule="auto"/>
              <w:jc w:val="center"/>
              <w:rPr>
                <w:rFonts w:ascii="宋体" w:hAnsi="宋体" w:cs="宋体"/>
                <w:color w:val="000000"/>
                <w:szCs w:val="24"/>
              </w:rPr>
            </w:pPr>
          </w:p>
        </w:tc>
        <w:tc>
          <w:tcPr>
            <w:tcW w:w="126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6510106">
            <w:pPr>
              <w:spacing w:line="240" w:lineRule="auto"/>
              <w:jc w:val="center"/>
              <w:rPr>
                <w:rFonts w:ascii="宋体" w:hAnsi="宋体" w:cs="宋体"/>
                <w:color w:val="000000"/>
                <w:szCs w:val="24"/>
              </w:rPr>
            </w:pPr>
          </w:p>
        </w:tc>
      </w:tr>
      <w:tr w14:paraId="42693B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12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1AA75F">
            <w:pPr>
              <w:spacing w:line="240" w:lineRule="auto"/>
              <w:jc w:val="center"/>
              <w:rPr>
                <w:rFonts w:ascii="宋体" w:hAnsi="宋体" w:cs="宋体"/>
                <w:color w:val="000000"/>
                <w:szCs w:val="24"/>
              </w:rPr>
            </w:pPr>
            <w:r>
              <w:rPr>
                <w:rFonts w:hint="eastAsia" w:ascii="宋体" w:hAnsi="宋体" w:cs="宋体"/>
                <w:color w:val="000000"/>
                <w:szCs w:val="24"/>
              </w:rPr>
              <w:t>＞1.200～4.000</w:t>
            </w:r>
          </w:p>
        </w:tc>
        <w:tc>
          <w:tcPr>
            <w:tcW w:w="8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E1598D">
            <w:pPr>
              <w:spacing w:line="240" w:lineRule="auto"/>
              <w:jc w:val="center"/>
              <w:rPr>
                <w:rFonts w:ascii="宋体" w:hAnsi="宋体" w:cs="宋体"/>
                <w:color w:val="000000"/>
                <w:szCs w:val="24"/>
              </w:rPr>
            </w:pPr>
            <w:r>
              <w:rPr>
                <w:rFonts w:hint="eastAsia" w:ascii="宋体" w:hAnsi="宋体" w:cs="宋体"/>
                <w:color w:val="000000"/>
                <w:szCs w:val="24"/>
              </w:rPr>
              <w:t>±0.050</w:t>
            </w:r>
          </w:p>
        </w:tc>
        <w:tc>
          <w:tcPr>
            <w:tcW w:w="8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DC70A5">
            <w:pPr>
              <w:spacing w:line="240" w:lineRule="auto"/>
              <w:jc w:val="center"/>
              <w:rPr>
                <w:rFonts w:ascii="宋体" w:hAnsi="宋体" w:cs="宋体"/>
                <w:color w:val="000000"/>
                <w:szCs w:val="24"/>
              </w:rPr>
            </w:pPr>
            <w:r>
              <w:rPr>
                <w:rFonts w:hint="eastAsia" w:ascii="宋体" w:hAnsi="宋体" w:cs="宋体"/>
                <w:color w:val="000000"/>
                <w:szCs w:val="24"/>
              </w:rPr>
              <w:t>±0.040</w:t>
            </w:r>
          </w:p>
        </w:tc>
        <w:tc>
          <w:tcPr>
            <w:tcW w:w="73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E0D543">
            <w:pPr>
              <w:spacing w:line="240" w:lineRule="auto"/>
              <w:jc w:val="center"/>
              <w:rPr>
                <w:rFonts w:ascii="宋体" w:hAnsi="宋体" w:cs="宋体"/>
                <w:color w:val="000000"/>
                <w:szCs w:val="24"/>
              </w:rPr>
            </w:pPr>
          </w:p>
        </w:tc>
        <w:tc>
          <w:tcPr>
            <w:tcW w:w="126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014DE1">
            <w:pPr>
              <w:spacing w:line="240" w:lineRule="auto"/>
              <w:jc w:val="center"/>
              <w:rPr>
                <w:rFonts w:ascii="宋体" w:hAnsi="宋体" w:cs="宋体"/>
                <w:color w:val="000000"/>
                <w:szCs w:val="24"/>
              </w:rPr>
            </w:pPr>
          </w:p>
        </w:tc>
      </w:tr>
      <w:tr w14:paraId="1FDAEA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A775613">
            <w:pPr>
              <w:spacing w:line="240" w:lineRule="auto"/>
              <w:ind w:firstLine="480" w:firstLineChars="200"/>
              <w:rPr>
                <w:rFonts w:ascii="宋体" w:hAnsi="宋体" w:cs="宋体"/>
                <w:color w:val="000000"/>
                <w:szCs w:val="24"/>
              </w:rPr>
            </w:pPr>
            <w:r>
              <w:rPr>
                <w:rFonts w:hint="eastAsia" w:ascii="宋体" w:hAnsi="宋体" w:cs="宋体"/>
                <w:color w:val="000000"/>
                <w:szCs w:val="24"/>
                <w:vertAlign w:val="superscript"/>
              </w:rPr>
              <w:t>a</w:t>
            </w:r>
            <w:r>
              <w:rPr>
                <w:rFonts w:hint="eastAsia" w:ascii="宋体" w:hAnsi="宋体" w:cs="宋体"/>
                <w:color w:val="000000"/>
                <w:szCs w:val="24"/>
              </w:rPr>
              <w:t>当需方要求允许偏差全为（+）或全为（-）单向偏差时，其值为表中相应数值的2倍。</w:t>
            </w:r>
          </w:p>
        </w:tc>
      </w:tr>
    </w:tbl>
    <w:p w14:paraId="3AC9FBE8">
      <w:pPr>
        <w:pStyle w:val="9"/>
        <w:spacing w:after="0" w:line="360" w:lineRule="auto"/>
        <w:rPr>
          <w:rFonts w:ascii="黑体" w:hAnsi="黑体" w:eastAsia="黑体" w:cs="黑体"/>
          <w:szCs w:val="24"/>
        </w:rPr>
      </w:pPr>
      <w:r>
        <w:rPr>
          <w:rFonts w:hint="eastAsia" w:ascii="黑体" w:hAnsi="黑体" w:eastAsia="黑体" w:cs="黑体"/>
          <w:szCs w:val="24"/>
        </w:rPr>
        <w:t>3.2.4  侧边弯曲度</w:t>
      </w:r>
    </w:p>
    <w:p w14:paraId="663E2865">
      <w:pPr>
        <w:spacing w:line="360" w:lineRule="auto"/>
        <w:ind w:firstLine="480" w:firstLineChars="200"/>
        <w:rPr>
          <w:rFonts w:ascii="宋体" w:hAnsi="宋体" w:cs="宋体"/>
          <w:szCs w:val="24"/>
        </w:rPr>
      </w:pPr>
      <w:r>
        <w:rPr>
          <w:rFonts w:hint="eastAsia" w:ascii="宋体" w:hAnsi="宋体" w:cs="宋体"/>
          <w:szCs w:val="24"/>
        </w:rPr>
        <w:t>带材的侧边弯曲度应符合表4的规定。</w:t>
      </w:r>
    </w:p>
    <w:p w14:paraId="36803181">
      <w:pPr>
        <w:spacing w:line="360" w:lineRule="auto"/>
        <w:jc w:val="center"/>
        <w:rPr>
          <w:rFonts w:ascii="宋体" w:hAnsi="宋体" w:cs="宋体"/>
          <w:szCs w:val="24"/>
        </w:rPr>
      </w:pPr>
      <w:r>
        <w:rPr>
          <w:rFonts w:hint="eastAsia" w:ascii="宋体" w:hAnsi="宋体" w:cs="宋体"/>
          <w:szCs w:val="24"/>
        </w:rPr>
        <w:t>表4  侧边弯曲度</w:t>
      </w:r>
    </w:p>
    <w:tbl>
      <w:tblPr>
        <w:tblStyle w:val="22"/>
        <w:tblW w:w="9699" w:type="dxa"/>
        <w:tblInd w:w="0" w:type="dxa"/>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853"/>
        <w:gridCol w:w="4846"/>
      </w:tblGrid>
      <w:tr w14:paraId="21EF1627">
        <w:tblPrEx>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51" w:hRule="atLeast"/>
        </w:trPr>
        <w:tc>
          <w:tcPr>
            <w:tcW w:w="4853"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3D97B452">
            <w:pPr>
              <w:snapToGrid w:val="0"/>
              <w:spacing w:line="360" w:lineRule="auto"/>
              <w:jc w:val="center"/>
              <w:outlineLvl w:val="1"/>
              <w:rPr>
                <w:rFonts w:ascii="宋体" w:hAnsi="宋体" w:cs="宋体"/>
                <w:smallCaps/>
                <w:color w:val="000000"/>
                <w:szCs w:val="24"/>
              </w:rPr>
            </w:pPr>
            <w:r>
              <w:rPr>
                <w:rFonts w:hint="eastAsia" w:ascii="宋体" w:hAnsi="宋体" w:cs="宋体"/>
                <w:smallCaps/>
                <w:color w:val="000000"/>
                <w:szCs w:val="24"/>
              </w:rPr>
              <w:t>宽度</w:t>
            </w:r>
          </w:p>
          <w:p w14:paraId="364A47AE">
            <w:pPr>
              <w:snapToGrid w:val="0"/>
              <w:spacing w:line="360" w:lineRule="auto"/>
              <w:jc w:val="center"/>
              <w:outlineLvl w:val="1"/>
              <w:rPr>
                <w:rFonts w:ascii="宋体" w:hAnsi="宋体" w:cs="宋体"/>
                <w:smallCaps/>
                <w:color w:val="000000"/>
                <w:szCs w:val="24"/>
              </w:rPr>
            </w:pPr>
            <w:r>
              <w:rPr>
                <w:rFonts w:hint="eastAsia" w:ascii="宋体" w:hAnsi="宋体" w:cs="宋体"/>
                <w:color w:val="000000"/>
                <w:spacing w:val="-12"/>
                <w:szCs w:val="24"/>
              </w:rPr>
              <w:t>mm</w:t>
            </w:r>
          </w:p>
        </w:tc>
        <w:tc>
          <w:tcPr>
            <w:tcW w:w="48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AAFD38">
            <w:pPr>
              <w:snapToGrid w:val="0"/>
              <w:spacing w:line="360" w:lineRule="auto"/>
              <w:jc w:val="center"/>
              <w:outlineLvl w:val="1"/>
              <w:rPr>
                <w:rFonts w:ascii="宋体" w:hAnsi="宋体" w:cs="宋体"/>
                <w:smallCaps/>
                <w:color w:val="000000"/>
                <w:szCs w:val="24"/>
              </w:rPr>
            </w:pPr>
            <w:r>
              <w:rPr>
                <w:rFonts w:hint="eastAsia" w:ascii="宋体" w:hAnsi="宋体" w:cs="宋体"/>
                <w:smallCaps/>
                <w:color w:val="000000"/>
                <w:szCs w:val="24"/>
              </w:rPr>
              <w:t>侧边弯曲度</w:t>
            </w:r>
          </w:p>
          <w:p w14:paraId="55F3BC26">
            <w:pPr>
              <w:snapToGrid w:val="0"/>
              <w:spacing w:line="360" w:lineRule="auto"/>
              <w:jc w:val="center"/>
              <w:outlineLvl w:val="1"/>
              <w:rPr>
                <w:rFonts w:ascii="宋体" w:hAnsi="宋体" w:cs="宋体"/>
                <w:smallCaps/>
                <w:color w:val="000000"/>
                <w:szCs w:val="24"/>
              </w:rPr>
            </w:pPr>
            <w:r>
              <w:rPr>
                <w:rFonts w:hint="eastAsia" w:ascii="宋体" w:hAnsi="宋体" w:cs="宋体"/>
                <w:color w:val="000000"/>
                <w:spacing w:val="-12"/>
                <w:szCs w:val="24"/>
              </w:rPr>
              <w:t>mm</w:t>
            </w:r>
            <w:r>
              <w:rPr>
                <w:rFonts w:hint="eastAsia" w:ascii="宋体" w:hAnsi="宋体" w:cs="宋体"/>
                <w:smallCaps/>
                <w:color w:val="000000"/>
                <w:szCs w:val="24"/>
              </w:rPr>
              <w:t>/</w:t>
            </w:r>
            <w:r>
              <w:rPr>
                <w:rFonts w:hint="eastAsia" w:ascii="宋体" w:hAnsi="宋体" w:cs="宋体"/>
                <w:color w:val="000000"/>
                <w:spacing w:val="-12"/>
                <w:szCs w:val="24"/>
              </w:rPr>
              <w:t>m</w:t>
            </w:r>
          </w:p>
        </w:tc>
      </w:tr>
      <w:tr w14:paraId="689A350A">
        <w:tblPrEx>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8" w:hRule="atLeast"/>
        </w:trPr>
        <w:tc>
          <w:tcPr>
            <w:tcW w:w="48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5C872C">
            <w:pPr>
              <w:snapToGrid w:val="0"/>
              <w:spacing w:line="360" w:lineRule="auto"/>
              <w:jc w:val="center"/>
              <w:outlineLvl w:val="1"/>
              <w:rPr>
                <w:rFonts w:ascii="宋体" w:hAnsi="宋体" w:cs="宋体"/>
                <w:smallCaps/>
                <w:color w:val="000000"/>
                <w:szCs w:val="24"/>
              </w:rPr>
            </w:pPr>
            <w:r>
              <w:rPr>
                <w:rFonts w:hint="eastAsia" w:ascii="宋体" w:hAnsi="宋体" w:cs="宋体"/>
                <w:smallCaps/>
                <w:color w:val="000000"/>
                <w:szCs w:val="24"/>
              </w:rPr>
              <w:t>≤100.00</w:t>
            </w:r>
          </w:p>
        </w:tc>
        <w:tc>
          <w:tcPr>
            <w:tcW w:w="48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020A21">
            <w:pPr>
              <w:snapToGrid w:val="0"/>
              <w:spacing w:line="360" w:lineRule="auto"/>
              <w:jc w:val="center"/>
              <w:outlineLvl w:val="1"/>
              <w:rPr>
                <w:rFonts w:ascii="宋体" w:hAnsi="宋体" w:cs="宋体"/>
                <w:smallCaps/>
                <w:color w:val="000000"/>
                <w:szCs w:val="24"/>
              </w:rPr>
            </w:pPr>
            <w:r>
              <w:rPr>
                <w:rFonts w:hint="eastAsia" w:ascii="宋体" w:hAnsi="宋体" w:cs="宋体"/>
                <w:smallCaps/>
                <w:color w:val="000000"/>
                <w:szCs w:val="24"/>
              </w:rPr>
              <w:t>≤4.00</w:t>
            </w:r>
          </w:p>
        </w:tc>
      </w:tr>
      <w:tr w14:paraId="1EE267AA">
        <w:tblPrEx>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6" w:hRule="atLeast"/>
        </w:trPr>
        <w:tc>
          <w:tcPr>
            <w:tcW w:w="48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137662">
            <w:pPr>
              <w:snapToGrid w:val="0"/>
              <w:spacing w:line="360" w:lineRule="auto"/>
              <w:jc w:val="center"/>
              <w:outlineLvl w:val="1"/>
              <w:rPr>
                <w:rFonts w:ascii="宋体" w:hAnsi="宋体" w:cs="宋体"/>
                <w:smallCaps/>
                <w:color w:val="000000"/>
                <w:szCs w:val="24"/>
              </w:rPr>
            </w:pPr>
            <w:r>
              <w:rPr>
                <w:rFonts w:hint="eastAsia" w:ascii="宋体" w:hAnsi="宋体" w:cs="宋体"/>
                <w:smallCaps/>
                <w:color w:val="000000"/>
                <w:szCs w:val="24"/>
              </w:rPr>
              <w:t>＞100.00</w:t>
            </w:r>
          </w:p>
        </w:tc>
        <w:tc>
          <w:tcPr>
            <w:tcW w:w="48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2BE0B3">
            <w:pPr>
              <w:snapToGrid w:val="0"/>
              <w:spacing w:line="360" w:lineRule="auto"/>
              <w:jc w:val="center"/>
              <w:outlineLvl w:val="1"/>
              <w:rPr>
                <w:rFonts w:ascii="宋体" w:hAnsi="宋体" w:cs="宋体"/>
                <w:smallCaps/>
                <w:color w:val="000000"/>
                <w:szCs w:val="24"/>
              </w:rPr>
            </w:pPr>
            <w:r>
              <w:rPr>
                <w:rFonts w:hint="eastAsia" w:ascii="宋体" w:hAnsi="宋体" w:cs="宋体"/>
                <w:smallCaps/>
                <w:color w:val="000000"/>
                <w:szCs w:val="24"/>
              </w:rPr>
              <w:t>≤3.00</w:t>
            </w:r>
          </w:p>
        </w:tc>
      </w:tr>
    </w:tbl>
    <w:p w14:paraId="62484A84">
      <w:pPr>
        <w:pStyle w:val="9"/>
        <w:spacing w:after="0" w:line="360" w:lineRule="auto"/>
        <w:rPr>
          <w:rFonts w:ascii="黑体" w:hAnsi="黑体" w:eastAsia="黑体" w:cs="黑体"/>
          <w:szCs w:val="24"/>
        </w:rPr>
      </w:pPr>
      <w:r>
        <w:rPr>
          <w:rFonts w:hint="eastAsia" w:ascii="黑体" w:hAnsi="黑体" w:eastAsia="黑体" w:cs="黑体"/>
          <w:szCs w:val="24"/>
        </w:rPr>
        <w:t>3.2.5力学性能</w:t>
      </w:r>
    </w:p>
    <w:p w14:paraId="6CE6B17B">
      <w:pPr>
        <w:spacing w:line="360" w:lineRule="auto"/>
        <w:ind w:firstLine="480" w:firstLineChars="200"/>
        <w:rPr>
          <w:rFonts w:ascii="宋体" w:hAnsi="宋体" w:cs="宋体"/>
          <w:szCs w:val="24"/>
        </w:rPr>
      </w:pPr>
      <w:r>
        <w:rPr>
          <w:rFonts w:hint="eastAsia" w:ascii="宋体" w:hAnsi="宋体" w:cs="宋体"/>
          <w:szCs w:val="24"/>
        </w:rPr>
        <w:t>带材的室温力学性能应符合表5的规定。</w:t>
      </w:r>
    </w:p>
    <w:p w14:paraId="22A395CC">
      <w:pPr>
        <w:spacing w:line="360" w:lineRule="auto"/>
        <w:jc w:val="center"/>
        <w:rPr>
          <w:rFonts w:ascii="宋体" w:hAnsi="宋体" w:cs="宋体"/>
          <w:szCs w:val="24"/>
        </w:rPr>
      </w:pPr>
      <w:r>
        <w:rPr>
          <w:rFonts w:hint="eastAsia" w:ascii="宋体" w:hAnsi="宋体" w:cs="宋体"/>
          <w:szCs w:val="24"/>
        </w:rPr>
        <w:t>表5  力学性能</w:t>
      </w:r>
    </w:p>
    <w:tbl>
      <w:tblPr>
        <w:tblStyle w:val="21"/>
        <w:tblW w:w="5232"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402"/>
        <w:gridCol w:w="1298"/>
        <w:gridCol w:w="1652"/>
        <w:gridCol w:w="2031"/>
        <w:gridCol w:w="1718"/>
        <w:gridCol w:w="1617"/>
      </w:tblGrid>
      <w:tr w14:paraId="4E8F59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721" w:type="pc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19BF5227">
            <w:pPr>
              <w:spacing w:line="240" w:lineRule="auto"/>
              <w:jc w:val="center"/>
              <w:rPr>
                <w:rFonts w:ascii="宋体" w:hAnsi="宋体" w:cs="宋体"/>
                <w:color w:val="000000"/>
                <w:szCs w:val="24"/>
              </w:rPr>
            </w:pPr>
            <w:r>
              <w:rPr>
                <w:rFonts w:hint="eastAsia" w:ascii="宋体" w:hAnsi="宋体" w:cs="宋体"/>
                <w:color w:val="000000"/>
                <w:szCs w:val="24"/>
              </w:rPr>
              <w:t>牌号</w:t>
            </w:r>
          </w:p>
        </w:tc>
        <w:tc>
          <w:tcPr>
            <w:tcW w:w="6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AFE626">
            <w:pPr>
              <w:spacing w:line="240" w:lineRule="auto"/>
              <w:jc w:val="center"/>
              <w:rPr>
                <w:rFonts w:ascii="宋体" w:hAnsi="宋体" w:cs="宋体"/>
                <w:color w:val="000000"/>
                <w:szCs w:val="24"/>
              </w:rPr>
            </w:pPr>
            <w:r>
              <w:rPr>
                <w:rFonts w:hint="eastAsia" w:ascii="宋体" w:hAnsi="宋体" w:cs="宋体"/>
                <w:color w:val="000000"/>
                <w:szCs w:val="24"/>
              </w:rPr>
              <w:t>状态</w:t>
            </w:r>
          </w:p>
        </w:tc>
        <w:tc>
          <w:tcPr>
            <w:tcW w:w="8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504B58">
            <w:pPr>
              <w:spacing w:line="240" w:lineRule="auto"/>
              <w:jc w:val="center"/>
              <w:rPr>
                <w:rFonts w:ascii="宋体" w:hAnsi="宋体" w:cs="宋体"/>
                <w:color w:val="000000"/>
                <w:szCs w:val="24"/>
                <w:vertAlign w:val="subscript"/>
              </w:rPr>
            </w:pPr>
            <w:r>
              <w:rPr>
                <w:rFonts w:hint="eastAsia" w:ascii="宋体" w:hAnsi="宋体" w:cs="宋体"/>
                <w:color w:val="000000"/>
                <w:szCs w:val="24"/>
              </w:rPr>
              <w:t>抗拉强度（</w:t>
            </w:r>
            <w:r>
              <w:rPr>
                <w:rFonts w:hint="eastAsia" w:ascii="宋体" w:hAnsi="宋体" w:cs="宋体"/>
                <w:i/>
                <w:color w:val="000000"/>
                <w:szCs w:val="24"/>
              </w:rPr>
              <w:t>R</w:t>
            </w:r>
            <w:r>
              <w:rPr>
                <w:rFonts w:hint="eastAsia" w:ascii="宋体" w:hAnsi="宋体" w:cs="宋体"/>
                <w:color w:val="000000"/>
                <w:szCs w:val="24"/>
                <w:vertAlign w:val="subscript"/>
              </w:rPr>
              <w:t>m</w:t>
            </w:r>
            <w:r>
              <w:rPr>
                <w:rFonts w:hint="eastAsia" w:ascii="宋体" w:hAnsi="宋体" w:cs="宋体"/>
                <w:color w:val="000000"/>
                <w:szCs w:val="24"/>
              </w:rPr>
              <w:t>）</w:t>
            </w:r>
          </w:p>
          <w:p w14:paraId="18814A57">
            <w:pPr>
              <w:spacing w:line="240" w:lineRule="auto"/>
              <w:jc w:val="center"/>
              <w:rPr>
                <w:rFonts w:ascii="宋体" w:hAnsi="宋体" w:cs="宋体"/>
                <w:color w:val="000000"/>
                <w:szCs w:val="24"/>
              </w:rPr>
            </w:pPr>
            <w:r>
              <w:rPr>
                <w:rFonts w:hint="eastAsia" w:ascii="宋体" w:hAnsi="宋体" w:cs="宋体"/>
                <w:color w:val="000000"/>
                <w:spacing w:val="-12"/>
                <w:szCs w:val="24"/>
              </w:rPr>
              <w:t>MPa</w:t>
            </w:r>
          </w:p>
        </w:tc>
        <w:tc>
          <w:tcPr>
            <w:tcW w:w="10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46884E">
            <w:pPr>
              <w:spacing w:line="240" w:lineRule="auto"/>
              <w:jc w:val="center"/>
              <w:rPr>
                <w:rFonts w:ascii="宋体" w:hAnsi="宋体" w:cs="宋体"/>
                <w:color w:val="000000"/>
                <w:szCs w:val="24"/>
              </w:rPr>
            </w:pPr>
            <w:r>
              <w:rPr>
                <w:rFonts w:hint="eastAsia" w:ascii="宋体" w:hAnsi="宋体" w:cs="宋体"/>
                <w:color w:val="000000"/>
                <w:szCs w:val="24"/>
              </w:rPr>
              <w:t>屈服强度（</w:t>
            </w:r>
            <w:r>
              <w:rPr>
                <w:rFonts w:hint="eastAsia" w:ascii="宋体" w:hAnsi="宋体" w:cs="宋体"/>
                <w:i/>
                <w:color w:val="000000"/>
                <w:szCs w:val="24"/>
              </w:rPr>
              <w:t>R</w:t>
            </w:r>
            <w:r>
              <w:rPr>
                <w:rFonts w:hint="eastAsia" w:ascii="宋体" w:hAnsi="宋体" w:cs="宋体"/>
                <w:color w:val="000000"/>
                <w:szCs w:val="24"/>
                <w:vertAlign w:val="subscript"/>
              </w:rPr>
              <w:t>p0.2</w:t>
            </w:r>
            <w:r>
              <w:rPr>
                <w:rFonts w:hint="eastAsia" w:ascii="宋体" w:hAnsi="宋体" w:cs="宋体"/>
                <w:color w:val="000000"/>
                <w:spacing w:val="-12"/>
                <w:szCs w:val="24"/>
              </w:rPr>
              <w:t xml:space="preserve"> </w:t>
            </w:r>
            <w:r>
              <w:rPr>
                <w:rFonts w:hint="eastAsia" w:ascii="宋体" w:hAnsi="宋体" w:cs="宋体"/>
                <w:color w:val="000000"/>
                <w:szCs w:val="24"/>
              </w:rPr>
              <w:t>）</w:t>
            </w:r>
          </w:p>
          <w:p w14:paraId="6156A714">
            <w:pPr>
              <w:spacing w:line="240" w:lineRule="auto"/>
              <w:jc w:val="center"/>
              <w:rPr>
                <w:rFonts w:ascii="宋体" w:hAnsi="宋体" w:cs="宋体"/>
                <w:color w:val="000000"/>
                <w:szCs w:val="24"/>
              </w:rPr>
            </w:pPr>
            <w:r>
              <w:rPr>
                <w:rFonts w:hint="eastAsia" w:ascii="宋体" w:hAnsi="宋体" w:cs="宋体"/>
                <w:color w:val="000000"/>
                <w:spacing w:val="-12"/>
                <w:szCs w:val="24"/>
              </w:rPr>
              <w:t>MPa</w:t>
            </w:r>
          </w:p>
        </w:tc>
        <w:tc>
          <w:tcPr>
            <w:tcW w:w="8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661A4B">
            <w:pPr>
              <w:spacing w:line="240" w:lineRule="auto"/>
              <w:jc w:val="center"/>
              <w:rPr>
                <w:rFonts w:ascii="宋体" w:hAnsi="宋体" w:cs="宋体"/>
                <w:color w:val="000000"/>
                <w:szCs w:val="24"/>
              </w:rPr>
            </w:pPr>
            <w:r>
              <w:rPr>
                <w:rFonts w:hint="eastAsia" w:ascii="宋体" w:hAnsi="宋体" w:cs="宋体"/>
                <w:color w:val="000000"/>
                <w:szCs w:val="24"/>
              </w:rPr>
              <w:t>伸长率（</w:t>
            </w:r>
            <w:r>
              <w:rPr>
                <w:rFonts w:hint="eastAsia" w:ascii="宋体" w:hAnsi="宋体" w:cs="宋体"/>
                <w:i/>
                <w:color w:val="000000"/>
                <w:szCs w:val="24"/>
              </w:rPr>
              <w:t>A</w:t>
            </w:r>
            <w:r>
              <w:rPr>
                <w:rFonts w:hint="eastAsia" w:ascii="宋体" w:hAnsi="宋体" w:cs="宋体"/>
                <w:color w:val="000000"/>
                <w:szCs w:val="24"/>
                <w:vertAlign w:val="subscript"/>
              </w:rPr>
              <w:t>11.3</w:t>
            </w:r>
            <w:r>
              <w:rPr>
                <w:rFonts w:hint="eastAsia" w:ascii="宋体" w:hAnsi="宋体" w:cs="宋体"/>
                <w:color w:val="000000"/>
                <w:szCs w:val="24"/>
              </w:rPr>
              <w:t>）</w:t>
            </w:r>
          </w:p>
          <w:p w14:paraId="5DC63A82">
            <w:pPr>
              <w:spacing w:line="240" w:lineRule="auto"/>
              <w:jc w:val="center"/>
              <w:rPr>
                <w:rFonts w:ascii="宋体" w:hAnsi="宋体" w:cs="宋体"/>
                <w:color w:val="000000"/>
                <w:szCs w:val="24"/>
              </w:rPr>
            </w:pPr>
            <w:r>
              <w:rPr>
                <w:rFonts w:hint="eastAsia" w:ascii="宋体" w:hAnsi="宋体" w:cs="宋体"/>
                <w:color w:val="000000"/>
                <w:szCs w:val="24"/>
              </w:rPr>
              <w:t>％</w:t>
            </w:r>
          </w:p>
        </w:tc>
        <w:tc>
          <w:tcPr>
            <w:tcW w:w="8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FFED2F">
            <w:pPr>
              <w:spacing w:line="240" w:lineRule="auto"/>
              <w:jc w:val="center"/>
              <w:rPr>
                <w:rFonts w:ascii="宋体" w:hAnsi="宋体" w:cs="宋体"/>
                <w:color w:val="000000"/>
                <w:szCs w:val="24"/>
              </w:rPr>
            </w:pPr>
            <w:r>
              <w:rPr>
                <w:rFonts w:hint="eastAsia" w:ascii="宋体" w:hAnsi="宋体" w:cs="宋体"/>
                <w:color w:val="000000"/>
                <w:szCs w:val="24"/>
              </w:rPr>
              <w:t>维氏硬度（HV）</w:t>
            </w:r>
          </w:p>
        </w:tc>
      </w:tr>
      <w:tr w14:paraId="3C81A1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0094B7">
            <w:pPr>
              <w:spacing w:before="100" w:beforeAutospacing="1" w:after="100" w:afterAutospacing="1" w:line="240" w:lineRule="auto"/>
              <w:jc w:val="center"/>
              <w:rPr>
                <w:rFonts w:asciiTheme="minorEastAsia" w:hAnsiTheme="minorEastAsia" w:eastAsiaTheme="minorEastAsia"/>
              </w:rPr>
            </w:pPr>
            <w:r>
              <w:rPr>
                <w:rFonts w:asciiTheme="minorEastAsia" w:hAnsiTheme="minorEastAsia" w:eastAsiaTheme="minorEastAsia"/>
              </w:rPr>
              <w:t>TU2</w:t>
            </w:r>
          </w:p>
        </w:tc>
        <w:tc>
          <w:tcPr>
            <w:tcW w:w="6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FC50C8">
            <w:pPr>
              <w:spacing w:before="100" w:beforeAutospacing="1" w:after="100" w:afterAutospacing="1" w:line="240" w:lineRule="auto"/>
              <w:jc w:val="center"/>
              <w:rPr>
                <w:rFonts w:asciiTheme="minorEastAsia" w:hAnsiTheme="minorEastAsia" w:eastAsiaTheme="minorEastAsia"/>
              </w:rPr>
            </w:pPr>
            <w:r>
              <w:rPr>
                <w:rFonts w:asciiTheme="minorEastAsia" w:hAnsiTheme="minorEastAsia" w:eastAsiaTheme="minorEastAsia"/>
                <w:snapToGrid w:val="0"/>
                <w:szCs w:val="18"/>
              </w:rPr>
              <w:t>O60</w:t>
            </w:r>
          </w:p>
        </w:tc>
        <w:tc>
          <w:tcPr>
            <w:tcW w:w="8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5497BB">
            <w:pPr>
              <w:spacing w:before="100" w:beforeAutospacing="1" w:after="100" w:afterAutospacing="1" w:line="240" w:lineRule="auto"/>
              <w:jc w:val="center"/>
              <w:rPr>
                <w:rFonts w:asciiTheme="minorEastAsia" w:hAnsiTheme="minorEastAsia" w:eastAsiaTheme="minorEastAsia"/>
              </w:rPr>
            </w:pPr>
            <w:r>
              <w:rPr>
                <w:rFonts w:asciiTheme="minorEastAsia" w:hAnsiTheme="minorEastAsia" w:eastAsiaTheme="minorEastAsia"/>
              </w:rPr>
              <w:t>200</w:t>
            </w:r>
            <w:r>
              <w:rPr>
                <w:rFonts w:hint="eastAsia" w:asciiTheme="minorEastAsia" w:hAnsiTheme="minorEastAsia" w:eastAsiaTheme="minorEastAsia"/>
              </w:rPr>
              <w:t>～</w:t>
            </w:r>
            <w:r>
              <w:rPr>
                <w:rFonts w:asciiTheme="minorEastAsia" w:hAnsiTheme="minorEastAsia" w:eastAsiaTheme="minorEastAsia"/>
              </w:rPr>
              <w:t>250</w:t>
            </w:r>
          </w:p>
        </w:tc>
        <w:tc>
          <w:tcPr>
            <w:tcW w:w="10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B623D7">
            <w:pPr>
              <w:spacing w:before="100" w:beforeAutospacing="1" w:after="100" w:afterAutospacing="1" w:line="240" w:lineRule="auto"/>
              <w:jc w:val="center"/>
              <w:rPr>
                <w:rFonts w:asciiTheme="minorEastAsia" w:hAnsiTheme="minorEastAsia" w:eastAsiaTheme="minorEastAsia"/>
              </w:rPr>
            </w:pPr>
            <w:r>
              <w:rPr>
                <w:rFonts w:asciiTheme="minorEastAsia" w:hAnsiTheme="minorEastAsia" w:eastAsiaTheme="minorEastAsia"/>
                <w:szCs w:val="18"/>
              </w:rPr>
              <w:t>≤</w:t>
            </w:r>
            <w:r>
              <w:rPr>
                <w:rFonts w:asciiTheme="minorEastAsia" w:hAnsiTheme="minorEastAsia" w:eastAsiaTheme="minorEastAsia"/>
              </w:rPr>
              <w:t>100</w:t>
            </w:r>
          </w:p>
        </w:tc>
        <w:tc>
          <w:tcPr>
            <w:tcW w:w="8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6126D5">
            <w:pPr>
              <w:spacing w:before="100" w:beforeAutospacing="1" w:after="100" w:afterAutospacing="1" w:line="240" w:lineRule="auto"/>
              <w:jc w:val="center"/>
              <w:rPr>
                <w:rFonts w:hint="eastAsia" w:asciiTheme="minorEastAsia" w:hAnsiTheme="minorEastAsia" w:eastAsiaTheme="minorEastAsia"/>
                <w:lang w:eastAsia="zh-CN"/>
              </w:rPr>
            </w:pPr>
            <w:r>
              <w:rPr>
                <w:rFonts w:asciiTheme="minorEastAsia" w:hAnsiTheme="minorEastAsia" w:eastAsiaTheme="minorEastAsia"/>
              </w:rPr>
              <w:t>≥4</w:t>
            </w:r>
            <w:r>
              <w:rPr>
                <w:rFonts w:hint="eastAsia" w:asciiTheme="minorEastAsia" w:hAnsiTheme="minorEastAsia" w:eastAsiaTheme="minorEastAsia"/>
                <w:lang w:val="en-US" w:eastAsia="zh-CN"/>
              </w:rPr>
              <w:t>0</w:t>
            </w:r>
          </w:p>
        </w:tc>
        <w:tc>
          <w:tcPr>
            <w:tcW w:w="8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23446B">
            <w:pPr>
              <w:spacing w:before="100" w:beforeAutospacing="1" w:after="100" w:afterAutospacing="1" w:line="240" w:lineRule="auto"/>
              <w:jc w:val="center"/>
              <w:rPr>
                <w:rFonts w:asciiTheme="minorEastAsia" w:hAnsiTheme="minorEastAsia" w:eastAsiaTheme="minorEastAsia"/>
              </w:rPr>
            </w:pPr>
            <w:r>
              <w:rPr>
                <w:rFonts w:asciiTheme="minorEastAsia" w:hAnsiTheme="minorEastAsia" w:eastAsiaTheme="minorEastAsia"/>
                <w:szCs w:val="18"/>
              </w:rPr>
              <w:t>≤70</w:t>
            </w:r>
          </w:p>
        </w:tc>
      </w:tr>
      <w:tr w14:paraId="659049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72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FB8573C">
            <w:pPr>
              <w:spacing w:before="100" w:beforeAutospacing="1" w:after="100" w:afterAutospacing="1" w:line="240" w:lineRule="auto"/>
              <w:jc w:val="center"/>
              <w:rPr>
                <w:rFonts w:asciiTheme="minorEastAsia" w:hAnsiTheme="minorEastAsia" w:eastAsiaTheme="minorEastAsia"/>
              </w:rPr>
            </w:pPr>
            <w:r>
              <w:rPr>
                <w:rFonts w:asciiTheme="minorEastAsia" w:hAnsiTheme="minorEastAsia" w:eastAsiaTheme="minorEastAsia"/>
              </w:rPr>
              <w:t>T2</w:t>
            </w:r>
          </w:p>
        </w:tc>
        <w:tc>
          <w:tcPr>
            <w:tcW w:w="6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E91FEB">
            <w:pPr>
              <w:spacing w:before="100" w:beforeAutospacing="1" w:after="100" w:afterAutospacing="1" w:line="240" w:lineRule="auto"/>
              <w:jc w:val="center"/>
              <w:rPr>
                <w:rFonts w:asciiTheme="minorEastAsia" w:hAnsiTheme="minorEastAsia" w:eastAsiaTheme="minorEastAsia"/>
              </w:rPr>
            </w:pPr>
            <w:r>
              <w:rPr>
                <w:rFonts w:asciiTheme="minorEastAsia" w:hAnsiTheme="minorEastAsia" w:eastAsiaTheme="minorEastAsia"/>
                <w:snapToGrid w:val="0"/>
                <w:szCs w:val="18"/>
              </w:rPr>
              <w:t>O60</w:t>
            </w:r>
          </w:p>
        </w:tc>
        <w:tc>
          <w:tcPr>
            <w:tcW w:w="8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F0FC76">
            <w:pPr>
              <w:spacing w:before="100" w:beforeAutospacing="1" w:after="100" w:afterAutospacing="1" w:line="240" w:lineRule="auto"/>
              <w:jc w:val="center"/>
              <w:rPr>
                <w:rFonts w:asciiTheme="minorEastAsia" w:hAnsiTheme="minorEastAsia" w:eastAsiaTheme="minorEastAsia"/>
              </w:rPr>
            </w:pPr>
            <w:r>
              <w:rPr>
                <w:rFonts w:asciiTheme="minorEastAsia" w:hAnsiTheme="minorEastAsia" w:eastAsiaTheme="minorEastAsia"/>
                <w:szCs w:val="18"/>
              </w:rPr>
              <w:t>195</w:t>
            </w:r>
            <w:r>
              <w:rPr>
                <w:rFonts w:hint="eastAsia" w:asciiTheme="minorEastAsia" w:hAnsiTheme="minorEastAsia" w:eastAsiaTheme="minorEastAsia"/>
              </w:rPr>
              <w:t>～</w:t>
            </w:r>
            <w:r>
              <w:rPr>
                <w:rFonts w:asciiTheme="minorEastAsia" w:hAnsiTheme="minorEastAsia" w:eastAsiaTheme="minorEastAsia"/>
                <w:szCs w:val="18"/>
              </w:rPr>
              <w:t>260</w:t>
            </w:r>
          </w:p>
        </w:tc>
        <w:tc>
          <w:tcPr>
            <w:tcW w:w="10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A2C1F4">
            <w:pPr>
              <w:spacing w:before="100" w:beforeAutospacing="1" w:after="100" w:afterAutospacing="1" w:line="240" w:lineRule="auto"/>
              <w:jc w:val="center"/>
              <w:rPr>
                <w:rFonts w:asciiTheme="minorEastAsia" w:hAnsiTheme="minorEastAsia" w:eastAsiaTheme="minorEastAsia"/>
              </w:rPr>
            </w:pPr>
            <w:r>
              <w:rPr>
                <w:rFonts w:asciiTheme="minorEastAsia" w:hAnsiTheme="minorEastAsia" w:eastAsiaTheme="minorEastAsia"/>
                <w:szCs w:val="18"/>
              </w:rPr>
              <w:t>≤</w:t>
            </w:r>
            <w:r>
              <w:rPr>
                <w:rFonts w:asciiTheme="minorEastAsia" w:hAnsiTheme="minorEastAsia" w:eastAsiaTheme="minorEastAsia"/>
              </w:rPr>
              <w:t>100</w:t>
            </w:r>
          </w:p>
        </w:tc>
        <w:tc>
          <w:tcPr>
            <w:tcW w:w="8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CEB40F">
            <w:pPr>
              <w:spacing w:before="100" w:beforeAutospacing="1" w:after="100" w:afterAutospacing="1" w:line="240" w:lineRule="auto"/>
              <w:jc w:val="center"/>
              <w:rPr>
                <w:rFonts w:hint="default" w:asciiTheme="minorEastAsia" w:hAnsiTheme="minorEastAsia" w:eastAsiaTheme="minorEastAsia"/>
                <w:lang w:val="en-US" w:eastAsia="zh-CN"/>
              </w:rPr>
            </w:pPr>
            <w:r>
              <w:rPr>
                <w:rFonts w:asciiTheme="minorEastAsia" w:hAnsiTheme="minorEastAsia" w:eastAsiaTheme="minorEastAsia"/>
              </w:rPr>
              <w:t>≥</w:t>
            </w:r>
            <w:r>
              <w:rPr>
                <w:rFonts w:hint="eastAsia" w:asciiTheme="minorEastAsia" w:hAnsiTheme="minorEastAsia" w:eastAsiaTheme="minorEastAsia"/>
                <w:lang w:val="en-US" w:eastAsia="zh-CN"/>
              </w:rPr>
              <w:t>35</w:t>
            </w:r>
          </w:p>
        </w:tc>
        <w:tc>
          <w:tcPr>
            <w:tcW w:w="8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7F4585">
            <w:pPr>
              <w:spacing w:before="100" w:beforeAutospacing="1" w:after="100" w:afterAutospacing="1" w:line="240" w:lineRule="auto"/>
              <w:jc w:val="center"/>
              <w:rPr>
                <w:rFonts w:asciiTheme="minorEastAsia" w:hAnsiTheme="minorEastAsia" w:eastAsiaTheme="minorEastAsia"/>
              </w:rPr>
            </w:pPr>
            <w:r>
              <w:rPr>
                <w:rFonts w:asciiTheme="minorEastAsia" w:hAnsiTheme="minorEastAsia" w:eastAsiaTheme="minorEastAsia"/>
                <w:szCs w:val="18"/>
              </w:rPr>
              <w:t>≤65</w:t>
            </w:r>
          </w:p>
        </w:tc>
      </w:tr>
      <w:tr w14:paraId="042E0F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72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C2B774">
            <w:pPr>
              <w:spacing w:line="240" w:lineRule="auto"/>
              <w:jc w:val="center"/>
              <w:rPr>
                <w:rFonts w:cs="宋体" w:asciiTheme="minorEastAsia" w:hAnsiTheme="minorEastAsia" w:eastAsiaTheme="minorEastAsia"/>
                <w:color w:val="000000"/>
                <w:szCs w:val="24"/>
              </w:rPr>
            </w:pPr>
          </w:p>
        </w:tc>
        <w:tc>
          <w:tcPr>
            <w:tcW w:w="6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96202C">
            <w:pPr>
              <w:spacing w:line="240" w:lineRule="auto"/>
              <w:jc w:val="center"/>
              <w:rPr>
                <w:rFonts w:cs="宋体" w:asciiTheme="minorEastAsia" w:hAnsiTheme="minorEastAsia" w:eastAsiaTheme="minorEastAsia"/>
                <w:color w:val="000000"/>
                <w:szCs w:val="24"/>
              </w:rPr>
            </w:pPr>
            <w:r>
              <w:rPr>
                <w:rFonts w:asciiTheme="minorEastAsia" w:hAnsiTheme="minorEastAsia" w:eastAsiaTheme="minorEastAsia"/>
                <w:snapToGrid w:val="0"/>
                <w:szCs w:val="18"/>
              </w:rPr>
              <w:t>H02</w:t>
            </w:r>
          </w:p>
        </w:tc>
        <w:tc>
          <w:tcPr>
            <w:tcW w:w="8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8F8CB1">
            <w:pPr>
              <w:spacing w:line="240" w:lineRule="auto"/>
              <w:jc w:val="center"/>
              <w:rPr>
                <w:rFonts w:cs="宋体" w:asciiTheme="minorEastAsia" w:hAnsiTheme="minorEastAsia" w:eastAsiaTheme="minorEastAsia"/>
                <w:color w:val="000000"/>
                <w:szCs w:val="24"/>
              </w:rPr>
            </w:pPr>
            <w:r>
              <w:rPr>
                <w:rFonts w:hint="eastAsia" w:asciiTheme="minorEastAsia" w:hAnsiTheme="minorEastAsia" w:eastAsiaTheme="minorEastAsia"/>
              </w:rPr>
              <w:t>230～310</w:t>
            </w:r>
          </w:p>
        </w:tc>
        <w:tc>
          <w:tcPr>
            <w:tcW w:w="10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B61DDE">
            <w:pPr>
              <w:spacing w:line="240" w:lineRule="auto"/>
              <w:jc w:val="center"/>
              <w:rPr>
                <w:rFonts w:cs="宋体" w:asciiTheme="minorEastAsia" w:hAnsiTheme="minorEastAsia" w:eastAsiaTheme="minorEastAsia"/>
                <w:color w:val="000000"/>
                <w:szCs w:val="24"/>
              </w:rPr>
            </w:pPr>
            <w:r>
              <w:rPr>
                <w:rFonts w:asciiTheme="minorEastAsia" w:hAnsiTheme="minorEastAsia" w:eastAsiaTheme="minorEastAsia"/>
                <w:szCs w:val="18"/>
              </w:rPr>
              <w:t>-</w:t>
            </w:r>
          </w:p>
        </w:tc>
        <w:tc>
          <w:tcPr>
            <w:tcW w:w="8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DA6084">
            <w:pPr>
              <w:spacing w:line="240" w:lineRule="auto"/>
              <w:jc w:val="center"/>
              <w:rPr>
                <w:rFonts w:cs="宋体" w:asciiTheme="minorEastAsia" w:hAnsiTheme="minorEastAsia" w:eastAsiaTheme="minorEastAsia"/>
                <w:color w:val="000000"/>
                <w:szCs w:val="24"/>
              </w:rPr>
            </w:pPr>
            <w:r>
              <w:rPr>
                <w:rFonts w:asciiTheme="minorEastAsia" w:hAnsiTheme="minorEastAsia" w:eastAsiaTheme="minorEastAsia"/>
              </w:rPr>
              <w:t>≥8</w:t>
            </w:r>
          </w:p>
        </w:tc>
        <w:tc>
          <w:tcPr>
            <w:tcW w:w="8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1E9FDF">
            <w:pPr>
              <w:spacing w:line="240" w:lineRule="auto"/>
              <w:jc w:val="center"/>
              <w:rPr>
                <w:rFonts w:cs="宋体" w:asciiTheme="minorEastAsia" w:hAnsiTheme="minorEastAsia" w:eastAsiaTheme="minorEastAsia"/>
                <w:color w:val="000000"/>
                <w:szCs w:val="24"/>
              </w:rPr>
            </w:pPr>
            <w:r>
              <w:rPr>
                <w:rFonts w:asciiTheme="minorEastAsia" w:hAnsiTheme="minorEastAsia" w:eastAsiaTheme="minorEastAsia"/>
                <w:szCs w:val="18"/>
              </w:rPr>
              <w:t>80-110</w:t>
            </w:r>
          </w:p>
        </w:tc>
      </w:tr>
      <w:tr w14:paraId="456307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BF5814">
            <w:pPr>
              <w:spacing w:before="100" w:beforeAutospacing="1" w:after="100" w:afterAutospacing="1" w:line="240" w:lineRule="auto"/>
              <w:jc w:val="center"/>
              <w:rPr>
                <w:rFonts w:asciiTheme="minorEastAsia" w:hAnsiTheme="minorEastAsia" w:eastAsiaTheme="minorEastAsia"/>
              </w:rPr>
            </w:pPr>
            <w:r>
              <w:rPr>
                <w:rFonts w:asciiTheme="minorEastAsia" w:hAnsiTheme="minorEastAsia" w:eastAsiaTheme="minorEastAsia"/>
              </w:rPr>
              <w:t>H65</w:t>
            </w:r>
          </w:p>
        </w:tc>
        <w:tc>
          <w:tcPr>
            <w:tcW w:w="6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56F111">
            <w:pPr>
              <w:spacing w:before="100" w:beforeAutospacing="1" w:after="100" w:afterAutospacing="1" w:line="240" w:lineRule="auto"/>
              <w:jc w:val="center"/>
              <w:rPr>
                <w:rFonts w:asciiTheme="minorEastAsia" w:hAnsiTheme="minorEastAsia" w:eastAsiaTheme="minorEastAsia"/>
              </w:rPr>
            </w:pPr>
            <w:r>
              <w:rPr>
                <w:rFonts w:asciiTheme="minorEastAsia" w:hAnsiTheme="minorEastAsia" w:eastAsiaTheme="minorEastAsia"/>
                <w:snapToGrid w:val="0"/>
                <w:szCs w:val="18"/>
              </w:rPr>
              <w:t>O60</w:t>
            </w:r>
          </w:p>
        </w:tc>
        <w:tc>
          <w:tcPr>
            <w:tcW w:w="8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CDE379">
            <w:pPr>
              <w:spacing w:before="100" w:beforeAutospacing="1" w:after="100" w:afterAutospacing="1" w:line="240" w:lineRule="auto"/>
              <w:jc w:val="center"/>
              <w:rPr>
                <w:rFonts w:asciiTheme="minorEastAsia" w:hAnsiTheme="minorEastAsia" w:eastAsiaTheme="minorEastAsia"/>
              </w:rPr>
            </w:pPr>
            <w:r>
              <w:rPr>
                <w:rFonts w:asciiTheme="minorEastAsia" w:hAnsiTheme="minorEastAsia" w:eastAsiaTheme="minorEastAsia"/>
              </w:rPr>
              <w:t>≥290</w:t>
            </w:r>
          </w:p>
        </w:tc>
        <w:tc>
          <w:tcPr>
            <w:tcW w:w="10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B9DC6B">
            <w:pPr>
              <w:spacing w:before="100" w:beforeAutospacing="1" w:after="100" w:afterAutospacing="1" w:line="240" w:lineRule="auto"/>
              <w:jc w:val="center"/>
              <w:rPr>
                <w:rFonts w:asciiTheme="minorEastAsia" w:hAnsiTheme="minorEastAsia" w:eastAsiaTheme="minorEastAsia"/>
                <w:szCs w:val="18"/>
              </w:rPr>
            </w:pPr>
            <w:r>
              <w:rPr>
                <w:rFonts w:asciiTheme="minorEastAsia" w:hAnsiTheme="minorEastAsia" w:eastAsiaTheme="minorEastAsia"/>
                <w:szCs w:val="18"/>
              </w:rPr>
              <w:t>-</w:t>
            </w:r>
          </w:p>
        </w:tc>
        <w:tc>
          <w:tcPr>
            <w:tcW w:w="8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C7889D">
            <w:pPr>
              <w:spacing w:before="100" w:beforeAutospacing="1" w:after="100" w:afterAutospacing="1" w:line="240" w:lineRule="auto"/>
              <w:jc w:val="center"/>
              <w:rPr>
                <w:rFonts w:asciiTheme="minorEastAsia" w:hAnsiTheme="minorEastAsia" w:eastAsiaTheme="minorEastAsia"/>
              </w:rPr>
            </w:pPr>
            <w:r>
              <w:rPr>
                <w:rFonts w:asciiTheme="minorEastAsia" w:hAnsiTheme="minorEastAsia" w:eastAsiaTheme="minorEastAsia"/>
              </w:rPr>
              <w:t>≥40</w:t>
            </w:r>
          </w:p>
        </w:tc>
        <w:tc>
          <w:tcPr>
            <w:tcW w:w="8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54B7DE">
            <w:pPr>
              <w:spacing w:before="100" w:beforeAutospacing="1" w:after="100" w:afterAutospacing="1" w:line="240" w:lineRule="auto"/>
              <w:jc w:val="center"/>
              <w:rPr>
                <w:rFonts w:asciiTheme="minorEastAsia" w:hAnsiTheme="minorEastAsia" w:eastAsiaTheme="minorEastAsia"/>
                <w:szCs w:val="18"/>
              </w:rPr>
            </w:pPr>
            <w:r>
              <w:rPr>
                <w:rFonts w:asciiTheme="minorEastAsia" w:hAnsiTheme="minorEastAsia" w:eastAsiaTheme="minorEastAsia"/>
                <w:szCs w:val="18"/>
              </w:rPr>
              <w:t>≤85</w:t>
            </w:r>
          </w:p>
        </w:tc>
      </w:tr>
      <w:tr w14:paraId="4FEBCE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85" w:hRule="atLeast"/>
        </w:trPr>
        <w:tc>
          <w:tcPr>
            <w:tcW w:w="72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F52610">
            <w:pPr>
              <w:spacing w:before="100" w:beforeAutospacing="1" w:after="100" w:afterAutospacing="1" w:line="240" w:lineRule="auto"/>
              <w:jc w:val="center"/>
              <w:rPr>
                <w:rFonts w:asciiTheme="minorEastAsia" w:hAnsiTheme="minorEastAsia" w:eastAsiaTheme="minorEastAsia"/>
              </w:rPr>
            </w:pPr>
            <w:r>
              <w:rPr>
                <w:rFonts w:asciiTheme="minorEastAsia" w:hAnsiTheme="minorEastAsia" w:eastAsiaTheme="minorEastAsia"/>
              </w:rPr>
              <w:t>H62</w:t>
            </w:r>
          </w:p>
        </w:tc>
        <w:tc>
          <w:tcPr>
            <w:tcW w:w="6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558BE8">
            <w:pPr>
              <w:spacing w:before="100" w:beforeAutospacing="1" w:after="100" w:afterAutospacing="1" w:line="240" w:lineRule="auto"/>
              <w:jc w:val="center"/>
              <w:rPr>
                <w:rFonts w:asciiTheme="minorEastAsia" w:hAnsiTheme="minorEastAsia" w:eastAsiaTheme="minorEastAsia"/>
              </w:rPr>
            </w:pPr>
            <w:r>
              <w:rPr>
                <w:rFonts w:asciiTheme="minorEastAsia" w:hAnsiTheme="minorEastAsia" w:eastAsiaTheme="minorEastAsia"/>
                <w:snapToGrid w:val="0"/>
                <w:szCs w:val="18"/>
              </w:rPr>
              <w:t>O60</w:t>
            </w:r>
          </w:p>
        </w:tc>
        <w:tc>
          <w:tcPr>
            <w:tcW w:w="8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94B45F">
            <w:pPr>
              <w:spacing w:before="100" w:beforeAutospacing="1" w:after="100" w:afterAutospacing="1" w:line="240" w:lineRule="auto"/>
              <w:jc w:val="center"/>
              <w:rPr>
                <w:rFonts w:asciiTheme="minorEastAsia" w:hAnsiTheme="minorEastAsia" w:eastAsiaTheme="minorEastAsia"/>
              </w:rPr>
            </w:pPr>
            <w:r>
              <w:rPr>
                <w:rFonts w:asciiTheme="minorEastAsia" w:hAnsiTheme="minorEastAsia" w:eastAsiaTheme="minorEastAsia"/>
              </w:rPr>
              <w:t>≥290</w:t>
            </w:r>
          </w:p>
        </w:tc>
        <w:tc>
          <w:tcPr>
            <w:tcW w:w="10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5820FA">
            <w:pPr>
              <w:spacing w:before="100" w:beforeAutospacing="1" w:after="100" w:afterAutospacing="1" w:line="240" w:lineRule="auto"/>
              <w:jc w:val="center"/>
              <w:rPr>
                <w:rFonts w:asciiTheme="minorEastAsia" w:hAnsiTheme="minorEastAsia" w:eastAsiaTheme="minorEastAsia"/>
                <w:szCs w:val="18"/>
              </w:rPr>
            </w:pPr>
            <w:r>
              <w:rPr>
                <w:rFonts w:asciiTheme="minorEastAsia" w:hAnsiTheme="minorEastAsia" w:eastAsiaTheme="minorEastAsia"/>
                <w:szCs w:val="18"/>
              </w:rPr>
              <w:t>-</w:t>
            </w:r>
          </w:p>
        </w:tc>
        <w:tc>
          <w:tcPr>
            <w:tcW w:w="8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62F7A2">
            <w:pPr>
              <w:spacing w:before="100" w:beforeAutospacing="1" w:after="100" w:afterAutospacing="1" w:line="240" w:lineRule="auto"/>
              <w:jc w:val="center"/>
              <w:rPr>
                <w:rFonts w:asciiTheme="minorEastAsia" w:hAnsiTheme="minorEastAsia" w:eastAsiaTheme="minorEastAsia"/>
              </w:rPr>
            </w:pPr>
            <w:r>
              <w:rPr>
                <w:rFonts w:asciiTheme="minorEastAsia" w:hAnsiTheme="minorEastAsia" w:eastAsiaTheme="minorEastAsia"/>
              </w:rPr>
              <w:t>≥35</w:t>
            </w:r>
          </w:p>
        </w:tc>
        <w:tc>
          <w:tcPr>
            <w:tcW w:w="8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A08F96">
            <w:pPr>
              <w:spacing w:before="100" w:beforeAutospacing="1" w:after="100" w:afterAutospacing="1" w:line="240" w:lineRule="auto"/>
              <w:jc w:val="center"/>
              <w:rPr>
                <w:rFonts w:asciiTheme="minorEastAsia" w:hAnsiTheme="minorEastAsia" w:eastAsiaTheme="minorEastAsia"/>
                <w:szCs w:val="18"/>
              </w:rPr>
            </w:pPr>
            <w:r>
              <w:rPr>
                <w:rFonts w:asciiTheme="minorEastAsia" w:hAnsiTheme="minorEastAsia" w:eastAsiaTheme="minorEastAsia"/>
                <w:szCs w:val="18"/>
              </w:rPr>
              <w:t>≤</w:t>
            </w:r>
            <w:r>
              <w:rPr>
                <w:rFonts w:asciiTheme="minorEastAsia" w:hAnsiTheme="minorEastAsia" w:eastAsiaTheme="minorEastAsia"/>
              </w:rPr>
              <w:t>95</w:t>
            </w:r>
          </w:p>
        </w:tc>
      </w:tr>
    </w:tbl>
    <w:p w14:paraId="20AF4107">
      <w:pPr>
        <w:pStyle w:val="9"/>
        <w:spacing w:after="0" w:line="360" w:lineRule="auto"/>
        <w:rPr>
          <w:rFonts w:ascii="黑体" w:hAnsi="黑体" w:eastAsia="黑体" w:cs="黑体"/>
          <w:szCs w:val="24"/>
        </w:rPr>
      </w:pPr>
      <w:r>
        <w:rPr>
          <w:rFonts w:hint="eastAsia" w:ascii="黑体" w:hAnsi="黑体" w:eastAsia="黑体" w:cs="黑体"/>
          <w:szCs w:val="24"/>
        </w:rPr>
        <w:t>3.2.6  晶粒度</w:t>
      </w:r>
    </w:p>
    <w:p w14:paraId="18459999">
      <w:pPr>
        <w:spacing w:line="240" w:lineRule="auto"/>
        <w:rPr>
          <w:rFonts w:ascii="宋体" w:hAnsi="宋体" w:cs="宋体"/>
          <w:szCs w:val="24"/>
        </w:rPr>
      </w:pPr>
      <w:r>
        <w:rPr>
          <w:rFonts w:hint="eastAsia" w:ascii="宋体" w:hAnsi="宋体" w:cs="宋体"/>
          <w:szCs w:val="24"/>
        </w:rPr>
        <w:t xml:space="preserve">  </w:t>
      </w:r>
      <w:r>
        <w:rPr>
          <w:sz w:val="21"/>
          <w:szCs w:val="21"/>
        </w:rPr>
        <w:t xml:space="preserve"> </w:t>
      </w:r>
      <w:r>
        <w:rPr>
          <w:rFonts w:eastAsiaTheme="minorEastAsia"/>
          <w:sz w:val="21"/>
          <w:szCs w:val="21"/>
        </w:rPr>
        <w:t>TU2 、T2</w:t>
      </w:r>
      <w:r>
        <w:rPr>
          <w:rFonts w:hint="eastAsia" w:eastAsiaTheme="minorEastAsia"/>
          <w:sz w:val="21"/>
          <w:szCs w:val="21"/>
          <w:lang w:val="en-US" w:eastAsia="zh-CN"/>
        </w:rPr>
        <w:t xml:space="preserve">  </w:t>
      </w:r>
      <w:r>
        <w:rPr>
          <w:rFonts w:eastAsiaTheme="minorEastAsia"/>
          <w:sz w:val="21"/>
          <w:szCs w:val="21"/>
        </w:rPr>
        <w:t>O60</w:t>
      </w:r>
      <w:r>
        <w:rPr>
          <w:rFonts w:hint="eastAsia" w:eastAsiaTheme="minorEastAsia"/>
          <w:sz w:val="21"/>
          <w:szCs w:val="21"/>
          <w:lang w:val="en-US" w:eastAsia="zh-CN"/>
        </w:rPr>
        <w:t>态</w:t>
      </w:r>
      <w:r>
        <w:rPr>
          <w:sz w:val="21"/>
          <w:szCs w:val="21"/>
        </w:rPr>
        <w:t>带材的平均</w:t>
      </w:r>
      <w:r>
        <w:rPr>
          <w:sz w:val="21"/>
        </w:rPr>
        <w:t>晶粒度应在0.010mm～0.03</w:t>
      </w:r>
      <w:r>
        <w:rPr>
          <w:rFonts w:hint="eastAsia"/>
          <w:sz w:val="21"/>
          <w:lang w:val="en-US" w:eastAsia="zh-CN"/>
        </w:rPr>
        <w:t>5</w:t>
      </w:r>
      <w:r>
        <w:rPr>
          <w:sz w:val="21"/>
        </w:rPr>
        <w:t>mm的范围内。</w:t>
      </w:r>
    </w:p>
    <w:p w14:paraId="28123FCF">
      <w:pPr>
        <w:pStyle w:val="9"/>
        <w:spacing w:after="0" w:line="360" w:lineRule="auto"/>
        <w:rPr>
          <w:rFonts w:ascii="黑体" w:hAnsi="黑体" w:eastAsia="黑体" w:cs="黑体"/>
          <w:szCs w:val="24"/>
        </w:rPr>
      </w:pPr>
      <w:r>
        <w:rPr>
          <w:rFonts w:hint="eastAsia" w:ascii="黑体" w:hAnsi="黑体" w:eastAsia="黑体" w:cs="黑体"/>
          <w:szCs w:val="24"/>
        </w:rPr>
        <w:t>3.2.7  电性能</w:t>
      </w:r>
    </w:p>
    <w:p w14:paraId="19FC1D7E">
      <w:pPr>
        <w:spacing w:line="360" w:lineRule="auto"/>
        <w:ind w:firstLine="420"/>
        <w:rPr>
          <w:rFonts w:ascii="宋体" w:hAnsi="宋体" w:cs="宋体"/>
          <w:szCs w:val="24"/>
        </w:rPr>
      </w:pPr>
      <w:r>
        <w:rPr>
          <w:rFonts w:hint="eastAsia" w:ascii="宋体" w:hAnsi="宋体" w:cs="宋体"/>
          <w:szCs w:val="24"/>
        </w:rPr>
        <w:t>TU2 、T2带材的电性能应符合表6的规定。</w:t>
      </w:r>
    </w:p>
    <w:p w14:paraId="2293DCD0">
      <w:pPr>
        <w:spacing w:line="360" w:lineRule="auto"/>
        <w:jc w:val="center"/>
        <w:rPr>
          <w:rFonts w:ascii="宋体" w:hAnsi="宋体" w:cs="宋体"/>
          <w:szCs w:val="24"/>
        </w:rPr>
      </w:pPr>
      <w:r>
        <w:rPr>
          <w:rFonts w:hint="eastAsia" w:ascii="宋体" w:hAnsi="宋体" w:cs="宋体"/>
          <w:szCs w:val="24"/>
        </w:rPr>
        <w:t>表6  电性能</w:t>
      </w:r>
    </w:p>
    <w:tbl>
      <w:tblPr>
        <w:tblStyle w:val="21"/>
        <w:tblW w:w="500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099"/>
        <w:gridCol w:w="3010"/>
        <w:gridCol w:w="3189"/>
      </w:tblGrid>
      <w:tr w14:paraId="1590D9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666" w:type="pc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05A7CF7A">
            <w:pPr>
              <w:spacing w:line="360" w:lineRule="auto"/>
              <w:jc w:val="center"/>
              <w:rPr>
                <w:rFonts w:ascii="宋体" w:hAnsi="宋体" w:cs="宋体"/>
                <w:color w:val="000000"/>
                <w:szCs w:val="24"/>
              </w:rPr>
            </w:pPr>
            <w:r>
              <w:rPr>
                <w:rFonts w:hint="eastAsia" w:ascii="宋体" w:hAnsi="宋体" w:cs="宋体"/>
                <w:color w:val="000000"/>
                <w:szCs w:val="24"/>
              </w:rPr>
              <w:t>牌号</w:t>
            </w:r>
          </w:p>
        </w:tc>
        <w:tc>
          <w:tcPr>
            <w:tcW w:w="16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16B59E">
            <w:pPr>
              <w:spacing w:line="360" w:lineRule="auto"/>
              <w:jc w:val="center"/>
              <w:rPr>
                <w:rFonts w:ascii="宋体" w:hAnsi="宋体" w:cs="宋体"/>
                <w:color w:val="000000"/>
                <w:szCs w:val="24"/>
              </w:rPr>
            </w:pPr>
            <w:r>
              <w:rPr>
                <w:rFonts w:hint="eastAsia" w:ascii="宋体" w:hAnsi="宋体" w:cs="宋体"/>
                <w:color w:val="000000"/>
                <w:szCs w:val="24"/>
              </w:rPr>
              <w:t>状态</w:t>
            </w:r>
          </w:p>
        </w:tc>
        <w:tc>
          <w:tcPr>
            <w:tcW w:w="17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DD4281">
            <w:pPr>
              <w:spacing w:line="360" w:lineRule="auto"/>
              <w:jc w:val="center"/>
              <w:rPr>
                <w:rFonts w:ascii="宋体" w:hAnsi="宋体" w:cs="宋体"/>
                <w:color w:val="000000"/>
                <w:szCs w:val="24"/>
              </w:rPr>
            </w:pPr>
            <w:r>
              <w:rPr>
                <w:rFonts w:hint="eastAsia" w:ascii="宋体" w:hAnsi="宋体" w:cs="宋体"/>
                <w:color w:val="000000"/>
                <w:szCs w:val="24"/>
              </w:rPr>
              <w:t>导电率（</w:t>
            </w:r>
            <w:r>
              <w:rPr>
                <w:rFonts w:hint="eastAsia" w:ascii="宋体" w:hAnsi="宋体" w:cs="宋体"/>
                <w:i/>
                <w:color w:val="000000"/>
                <w:szCs w:val="24"/>
              </w:rPr>
              <w:t>C</w:t>
            </w:r>
            <w:r>
              <w:rPr>
                <w:rFonts w:hint="eastAsia" w:ascii="宋体" w:hAnsi="宋体" w:cs="宋体"/>
                <w:color w:val="000000"/>
                <w:szCs w:val="24"/>
                <w:vertAlign w:val="subscript"/>
              </w:rPr>
              <w:t>20</w:t>
            </w:r>
            <w:r>
              <w:rPr>
                <w:rFonts w:hint="eastAsia" w:ascii="宋体" w:hAnsi="宋体" w:cs="宋体"/>
                <w:color w:val="000000"/>
                <w:szCs w:val="24"/>
              </w:rPr>
              <w:t>）</w:t>
            </w:r>
            <w:r>
              <w:rPr>
                <w:rFonts w:hint="eastAsia" w:ascii="宋体" w:hAnsi="宋体" w:cs="宋体"/>
                <w:color w:val="000000"/>
                <w:szCs w:val="24"/>
                <w:lang w:eastAsia="zh-CN"/>
              </w:rPr>
              <w:t>，</w:t>
            </w:r>
            <w:r>
              <w:rPr>
                <w:rFonts w:hint="eastAsia" w:ascii="宋体" w:hAnsi="宋体" w:cs="宋体"/>
                <w:color w:val="000000"/>
                <w:szCs w:val="24"/>
              </w:rPr>
              <w:t>%IACS</w:t>
            </w:r>
          </w:p>
        </w:tc>
      </w:tr>
      <w:tr w14:paraId="16EF44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6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F4B8AF">
            <w:pPr>
              <w:spacing w:line="360" w:lineRule="auto"/>
              <w:jc w:val="center"/>
              <w:rPr>
                <w:rFonts w:ascii="宋体" w:hAnsi="宋体" w:cs="宋体"/>
                <w:color w:val="000000"/>
                <w:szCs w:val="24"/>
              </w:rPr>
            </w:pPr>
            <w:r>
              <w:rPr>
                <w:rFonts w:hint="eastAsia" w:ascii="宋体" w:hAnsi="宋体" w:cs="宋体"/>
                <w:color w:val="000000"/>
                <w:szCs w:val="24"/>
              </w:rPr>
              <w:t>TU2</w:t>
            </w:r>
          </w:p>
        </w:tc>
        <w:tc>
          <w:tcPr>
            <w:tcW w:w="16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20AAAB">
            <w:pPr>
              <w:spacing w:line="360" w:lineRule="auto"/>
              <w:jc w:val="center"/>
              <w:rPr>
                <w:rFonts w:ascii="宋体" w:hAnsi="宋体" w:cs="宋体"/>
                <w:color w:val="000000"/>
                <w:szCs w:val="24"/>
              </w:rPr>
            </w:pPr>
            <w:r>
              <w:rPr>
                <w:rFonts w:hint="eastAsia" w:ascii="宋体" w:hAnsi="宋体" w:cs="宋体"/>
                <w:color w:val="000000"/>
                <w:szCs w:val="24"/>
              </w:rPr>
              <w:t>O60</w:t>
            </w:r>
          </w:p>
        </w:tc>
        <w:tc>
          <w:tcPr>
            <w:tcW w:w="17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D759C9">
            <w:pPr>
              <w:spacing w:line="360" w:lineRule="auto"/>
              <w:jc w:val="center"/>
              <w:rPr>
                <w:rFonts w:ascii="宋体" w:hAnsi="宋体" w:cs="宋体"/>
                <w:color w:val="000000"/>
                <w:szCs w:val="24"/>
              </w:rPr>
            </w:pPr>
            <w:r>
              <w:rPr>
                <w:rFonts w:hint="eastAsia" w:ascii="宋体" w:hAnsi="宋体" w:cs="宋体"/>
                <w:color w:val="000000"/>
                <w:szCs w:val="24"/>
              </w:rPr>
              <w:t>≥100</w:t>
            </w:r>
          </w:p>
        </w:tc>
      </w:tr>
      <w:tr w14:paraId="18A43F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66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A435D84">
            <w:pPr>
              <w:spacing w:line="360" w:lineRule="auto"/>
              <w:jc w:val="center"/>
              <w:rPr>
                <w:rFonts w:ascii="宋体" w:hAnsi="宋体" w:cs="宋体"/>
                <w:color w:val="000000"/>
                <w:szCs w:val="24"/>
              </w:rPr>
            </w:pPr>
            <w:r>
              <w:rPr>
                <w:rFonts w:hint="eastAsia" w:ascii="宋体" w:hAnsi="宋体" w:cs="宋体"/>
                <w:color w:val="000000"/>
                <w:szCs w:val="24"/>
              </w:rPr>
              <w:t>T2</w:t>
            </w:r>
          </w:p>
        </w:tc>
        <w:tc>
          <w:tcPr>
            <w:tcW w:w="16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1F4A65">
            <w:pPr>
              <w:spacing w:line="360" w:lineRule="auto"/>
              <w:jc w:val="center"/>
              <w:rPr>
                <w:rFonts w:ascii="宋体" w:hAnsi="宋体" w:cs="宋体"/>
                <w:color w:val="000000"/>
                <w:szCs w:val="24"/>
              </w:rPr>
            </w:pPr>
            <w:r>
              <w:rPr>
                <w:rFonts w:hint="eastAsia" w:ascii="宋体" w:hAnsi="宋体" w:cs="宋体"/>
                <w:color w:val="000000"/>
                <w:szCs w:val="24"/>
              </w:rPr>
              <w:t>O60</w:t>
            </w:r>
          </w:p>
        </w:tc>
        <w:tc>
          <w:tcPr>
            <w:tcW w:w="17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453754">
            <w:pPr>
              <w:spacing w:line="360" w:lineRule="auto"/>
              <w:jc w:val="center"/>
              <w:rPr>
                <w:rFonts w:ascii="宋体" w:hAnsi="宋体" w:cs="宋体"/>
                <w:color w:val="000000"/>
                <w:szCs w:val="24"/>
              </w:rPr>
            </w:pPr>
            <w:r>
              <w:rPr>
                <w:rFonts w:hint="eastAsia" w:ascii="宋体" w:hAnsi="宋体" w:cs="宋体"/>
                <w:color w:val="000000"/>
                <w:szCs w:val="24"/>
              </w:rPr>
              <w:t>≥98</w:t>
            </w:r>
          </w:p>
        </w:tc>
      </w:tr>
      <w:tr w14:paraId="6C72CD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6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59E092D">
            <w:pPr>
              <w:spacing w:line="360" w:lineRule="auto"/>
              <w:jc w:val="center"/>
              <w:rPr>
                <w:rFonts w:ascii="宋体" w:hAnsi="宋体" w:cs="宋体"/>
                <w:color w:val="000000"/>
                <w:szCs w:val="24"/>
              </w:rPr>
            </w:pPr>
          </w:p>
        </w:tc>
        <w:tc>
          <w:tcPr>
            <w:tcW w:w="16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2CD591">
            <w:pPr>
              <w:spacing w:line="360" w:lineRule="auto"/>
              <w:jc w:val="center"/>
              <w:rPr>
                <w:rFonts w:ascii="宋体" w:hAnsi="宋体" w:cs="宋体"/>
                <w:color w:val="000000"/>
                <w:szCs w:val="24"/>
              </w:rPr>
            </w:pPr>
            <w:r>
              <w:rPr>
                <w:rFonts w:hint="eastAsia" w:ascii="宋体" w:hAnsi="宋体" w:cs="宋体"/>
                <w:color w:val="000000"/>
                <w:szCs w:val="24"/>
              </w:rPr>
              <w:t>H02</w:t>
            </w:r>
          </w:p>
        </w:tc>
        <w:tc>
          <w:tcPr>
            <w:tcW w:w="17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9B85A0">
            <w:pPr>
              <w:spacing w:line="360" w:lineRule="auto"/>
              <w:jc w:val="center"/>
              <w:rPr>
                <w:rFonts w:ascii="宋体" w:hAnsi="宋体" w:cs="宋体"/>
                <w:color w:val="000000"/>
                <w:szCs w:val="24"/>
              </w:rPr>
            </w:pPr>
            <w:r>
              <w:rPr>
                <w:rFonts w:hint="eastAsia" w:ascii="宋体" w:hAnsi="宋体" w:cs="宋体"/>
                <w:color w:val="000000"/>
                <w:szCs w:val="24"/>
              </w:rPr>
              <w:t>≥96</w:t>
            </w:r>
          </w:p>
        </w:tc>
      </w:tr>
    </w:tbl>
    <w:p w14:paraId="7C9BD5EE">
      <w:pPr>
        <w:pStyle w:val="9"/>
        <w:spacing w:after="0" w:line="360" w:lineRule="auto"/>
        <w:rPr>
          <w:rFonts w:ascii="黑体" w:hAnsi="黑体" w:eastAsia="黑体" w:cs="黑体"/>
          <w:szCs w:val="24"/>
        </w:rPr>
      </w:pPr>
      <w:r>
        <w:rPr>
          <w:rFonts w:hint="eastAsia" w:ascii="黑体" w:hAnsi="黑体" w:eastAsia="黑体" w:cs="黑体"/>
          <w:szCs w:val="24"/>
        </w:rPr>
        <w:t>3.2.8  表面质量</w:t>
      </w:r>
    </w:p>
    <w:p w14:paraId="43C83E1D">
      <w:pPr>
        <w:spacing w:line="360" w:lineRule="auto"/>
        <w:rPr>
          <w:rFonts w:ascii="宋体" w:hAnsi="宋体" w:cs="宋体"/>
          <w:szCs w:val="24"/>
        </w:rPr>
      </w:pPr>
      <w:r>
        <w:rPr>
          <w:rFonts w:hint="eastAsia" w:ascii="宋体" w:hAnsi="宋体" w:cs="宋体"/>
          <w:smallCaps/>
          <w:szCs w:val="24"/>
        </w:rPr>
        <w:t>3.2.8.1</w:t>
      </w:r>
      <w:r>
        <w:rPr>
          <w:rFonts w:hint="eastAsia" w:ascii="宋体" w:hAnsi="宋体" w:cs="宋体"/>
          <w:szCs w:val="24"/>
        </w:rPr>
        <w:t xml:space="preserve"> 带材的两边应切齐，无裂边、卷边等缺陷。</w:t>
      </w:r>
    </w:p>
    <w:p w14:paraId="13069DF9">
      <w:pPr>
        <w:spacing w:line="360" w:lineRule="auto"/>
        <w:rPr>
          <w:rFonts w:ascii="宋体" w:hAnsi="宋体" w:cs="宋体"/>
          <w:szCs w:val="24"/>
        </w:rPr>
      </w:pPr>
      <w:r>
        <w:rPr>
          <w:rFonts w:hint="eastAsia" w:ascii="宋体" w:hAnsi="宋体" w:cs="宋体"/>
          <w:smallCaps/>
          <w:szCs w:val="24"/>
        </w:rPr>
        <w:t>3.2.8.2</w:t>
      </w:r>
      <w:r>
        <w:rPr>
          <w:rFonts w:hint="eastAsia" w:ascii="宋体" w:hAnsi="宋体" w:cs="宋体"/>
          <w:szCs w:val="24"/>
        </w:rPr>
        <w:t xml:space="preserve"> 带材的表面应光滑、清洁，不允许有分层、裂纹、起皮、起刺、气泡、压折、夹杂、氧化和铜绿等影响使用的缺陷。</w:t>
      </w:r>
    </w:p>
    <w:p w14:paraId="3261E776">
      <w:pPr>
        <w:spacing w:line="360" w:lineRule="auto"/>
        <w:rPr>
          <w:rFonts w:ascii="宋体" w:hAnsi="宋体" w:cs="宋体"/>
          <w:szCs w:val="24"/>
        </w:rPr>
      </w:pPr>
      <w:r>
        <w:rPr>
          <w:rFonts w:hint="eastAsia" w:ascii="宋体" w:hAnsi="宋体" w:cs="宋体"/>
          <w:smallCaps/>
          <w:szCs w:val="24"/>
        </w:rPr>
        <w:t>3.2.8.3  带材表面粗糙度应不大于0.25</w:t>
      </w:r>
      <w:r>
        <w:rPr>
          <w:rFonts w:hint="eastAsia" w:ascii="宋体" w:hAnsi="宋体" w:cs="宋体"/>
          <w:szCs w:val="24"/>
        </w:rPr>
        <w:t>μm</w:t>
      </w:r>
      <w:r>
        <w:rPr>
          <w:rFonts w:hint="eastAsia" w:ascii="宋体" w:hAnsi="宋体" w:cs="宋体"/>
          <w:smallCaps/>
          <w:szCs w:val="24"/>
        </w:rPr>
        <w:t>。</w:t>
      </w:r>
    </w:p>
    <w:bookmarkEnd w:id="19"/>
    <w:p w14:paraId="39D1D6B5">
      <w:pPr>
        <w:pStyle w:val="19"/>
        <w:spacing w:before="120" w:beforeLines="50" w:beforeAutospacing="0" w:after="120" w:afterLines="50" w:afterAutospacing="0" w:line="360" w:lineRule="auto"/>
        <w:jc w:val="both"/>
        <w:rPr>
          <w:rFonts w:ascii="黑体" w:eastAsia="黑体"/>
        </w:rPr>
      </w:pPr>
      <w:r>
        <w:rPr>
          <w:rFonts w:hint="eastAsia" w:eastAsia="黑体"/>
        </w:rPr>
        <w:t>四、</w:t>
      </w:r>
      <w:r>
        <w:rPr>
          <w:rFonts w:hint="eastAsia" w:ascii="黑体" w:eastAsia="黑体" w:cs="Arial"/>
        </w:rPr>
        <w:t>标准主要技术内容的确定依据及主要试验和验证情况分析</w:t>
      </w:r>
    </w:p>
    <w:p w14:paraId="715529BD">
      <w:pPr>
        <w:pStyle w:val="19"/>
        <w:spacing w:before="120" w:beforeLines="50" w:beforeAutospacing="0" w:after="120" w:afterLines="50" w:afterAutospacing="0" w:line="360" w:lineRule="auto"/>
        <w:ind w:firstLine="480" w:firstLineChars="200"/>
        <w:jc w:val="both"/>
      </w:pPr>
      <w:r>
        <w:rPr>
          <w:rFonts w:hint="eastAsia"/>
          <w:bCs/>
        </w:rPr>
        <w:t>本标准厚度范围</w:t>
      </w:r>
      <w:r>
        <w:rPr>
          <w:rFonts w:hint="eastAsia"/>
        </w:rPr>
        <w:t>为0.2mm～4.0mm，原标准中仅有紫铜带材，但在建筑、装饰、碳刷结构件、JG等领域用铜钢覆合材料生产用常用的H65、H62黄铜带材并未涉及，顺应行业发展添加了H65、H62牌号，故将原标准名称《覆合用铜带》更改为《覆合用铜及铜合金带材》。</w:t>
      </w:r>
    </w:p>
    <w:p w14:paraId="16667C29">
      <w:pPr>
        <w:pStyle w:val="19"/>
        <w:spacing w:before="120" w:beforeLines="50" w:beforeAutospacing="0" w:after="120" w:afterLines="50" w:afterAutospacing="0" w:line="360" w:lineRule="auto"/>
        <w:jc w:val="both"/>
        <w:rPr>
          <w:rFonts w:ascii="黑体" w:eastAsia="黑体"/>
        </w:rPr>
      </w:pPr>
      <w:r>
        <w:rPr>
          <w:rFonts w:hint="eastAsia" w:ascii="黑体" w:eastAsia="黑体"/>
        </w:rPr>
        <w:t>4.1本标准主要修改内容</w:t>
      </w:r>
    </w:p>
    <w:p w14:paraId="3CBB77AA">
      <w:pPr>
        <w:spacing w:line="360" w:lineRule="auto"/>
        <w:jc w:val="center"/>
        <w:rPr>
          <w:rFonts w:ascii="宋体" w:hAnsi="宋体" w:cs="宋体"/>
          <w:szCs w:val="24"/>
        </w:rPr>
      </w:pPr>
      <w:r>
        <w:rPr>
          <w:rFonts w:hint="eastAsia" w:ascii="宋体" w:hAnsi="宋体" w:cs="宋体"/>
          <w:szCs w:val="24"/>
        </w:rPr>
        <w:t>表7  本标准主要修改内容</w:t>
      </w:r>
    </w:p>
    <w:tbl>
      <w:tblPr>
        <w:tblStyle w:val="22"/>
        <w:tblW w:w="9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85"/>
        <w:gridCol w:w="3190"/>
        <w:gridCol w:w="4304"/>
      </w:tblGrid>
      <w:tr w14:paraId="52D58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799" w:type="dxa"/>
            <w:vAlign w:val="center"/>
          </w:tcPr>
          <w:p w14:paraId="16ECF2AC">
            <w:pPr>
              <w:spacing w:line="360" w:lineRule="auto"/>
              <w:jc w:val="center"/>
              <w:rPr>
                <w:rFonts w:ascii="宋体" w:hAnsi="宋体" w:cs="宋体"/>
                <w:bCs/>
                <w:szCs w:val="24"/>
              </w:rPr>
            </w:pPr>
            <w:r>
              <w:rPr>
                <w:rFonts w:hint="eastAsia" w:ascii="宋体" w:hAnsi="宋体" w:cs="宋体"/>
                <w:bCs/>
                <w:szCs w:val="24"/>
              </w:rPr>
              <w:t>序号</w:t>
            </w:r>
          </w:p>
        </w:tc>
        <w:tc>
          <w:tcPr>
            <w:tcW w:w="1485" w:type="dxa"/>
            <w:vAlign w:val="center"/>
          </w:tcPr>
          <w:p w14:paraId="7766210A">
            <w:pPr>
              <w:spacing w:line="360" w:lineRule="auto"/>
              <w:jc w:val="center"/>
              <w:rPr>
                <w:rFonts w:ascii="宋体" w:hAnsi="宋体" w:cs="宋体"/>
                <w:bCs/>
                <w:szCs w:val="24"/>
              </w:rPr>
            </w:pPr>
            <w:r>
              <w:rPr>
                <w:rFonts w:hint="eastAsia" w:ascii="宋体" w:hAnsi="宋体" w:cs="宋体"/>
                <w:bCs/>
                <w:szCs w:val="24"/>
              </w:rPr>
              <w:t>项目</w:t>
            </w:r>
          </w:p>
        </w:tc>
        <w:tc>
          <w:tcPr>
            <w:tcW w:w="3190" w:type="dxa"/>
            <w:vAlign w:val="center"/>
          </w:tcPr>
          <w:p w14:paraId="68B876A0">
            <w:pPr>
              <w:spacing w:line="360" w:lineRule="auto"/>
              <w:jc w:val="center"/>
              <w:rPr>
                <w:rFonts w:ascii="宋体" w:hAnsi="宋体" w:cs="宋体"/>
                <w:bCs/>
                <w:szCs w:val="24"/>
              </w:rPr>
            </w:pPr>
            <w:r>
              <w:rPr>
                <w:rFonts w:hint="eastAsia" w:ascii="宋体" w:hAnsi="宋体" w:cs="宋体"/>
                <w:bCs/>
                <w:szCs w:val="24"/>
              </w:rPr>
              <w:t>GB/T26015-2010</w:t>
            </w:r>
          </w:p>
        </w:tc>
        <w:tc>
          <w:tcPr>
            <w:tcW w:w="4304" w:type="dxa"/>
            <w:vAlign w:val="center"/>
          </w:tcPr>
          <w:p w14:paraId="45C8CC53">
            <w:pPr>
              <w:spacing w:line="360" w:lineRule="auto"/>
              <w:jc w:val="center"/>
              <w:rPr>
                <w:rFonts w:ascii="宋体" w:hAnsi="宋体" w:cs="宋体"/>
                <w:bCs/>
                <w:szCs w:val="24"/>
              </w:rPr>
            </w:pPr>
            <w:r>
              <w:rPr>
                <w:rFonts w:hint="eastAsia" w:ascii="宋体" w:hAnsi="宋体" w:cs="宋体"/>
                <w:bCs/>
                <w:szCs w:val="24"/>
              </w:rPr>
              <w:t>本标准</w:t>
            </w:r>
          </w:p>
        </w:tc>
      </w:tr>
      <w:tr w14:paraId="0C2EB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799" w:type="dxa"/>
            <w:vAlign w:val="center"/>
          </w:tcPr>
          <w:p w14:paraId="0A3635FF">
            <w:pPr>
              <w:spacing w:line="360" w:lineRule="auto"/>
              <w:jc w:val="center"/>
              <w:rPr>
                <w:rFonts w:ascii="宋体" w:hAnsi="宋体" w:cs="宋体"/>
                <w:bCs/>
                <w:szCs w:val="24"/>
              </w:rPr>
            </w:pPr>
            <w:r>
              <w:rPr>
                <w:rFonts w:hint="eastAsia" w:ascii="宋体" w:hAnsi="宋体" w:cs="宋体"/>
                <w:bCs/>
                <w:szCs w:val="24"/>
              </w:rPr>
              <w:t>1</w:t>
            </w:r>
          </w:p>
        </w:tc>
        <w:tc>
          <w:tcPr>
            <w:tcW w:w="1485" w:type="dxa"/>
            <w:vAlign w:val="center"/>
          </w:tcPr>
          <w:p w14:paraId="416F54D9">
            <w:pPr>
              <w:spacing w:line="360" w:lineRule="auto"/>
              <w:jc w:val="center"/>
              <w:rPr>
                <w:rFonts w:ascii="宋体" w:hAnsi="宋体" w:cs="宋体"/>
                <w:bCs/>
                <w:szCs w:val="24"/>
              </w:rPr>
            </w:pPr>
            <w:r>
              <w:rPr>
                <w:rFonts w:hint="eastAsia" w:ascii="宋体" w:hAnsi="宋体" w:cs="宋体"/>
                <w:bCs/>
                <w:szCs w:val="24"/>
              </w:rPr>
              <w:t>范围</w:t>
            </w:r>
          </w:p>
        </w:tc>
        <w:tc>
          <w:tcPr>
            <w:tcW w:w="3190" w:type="dxa"/>
            <w:vAlign w:val="center"/>
          </w:tcPr>
          <w:p w14:paraId="221B22E6">
            <w:pPr>
              <w:spacing w:line="360" w:lineRule="auto"/>
              <w:jc w:val="center"/>
              <w:rPr>
                <w:rFonts w:ascii="宋体" w:hAnsi="宋体" w:cs="宋体"/>
                <w:bCs/>
                <w:szCs w:val="24"/>
              </w:rPr>
            </w:pPr>
            <w:r>
              <w:rPr>
                <w:rFonts w:hint="eastAsia" w:ascii="宋体" w:hAnsi="宋体" w:cs="宋体"/>
                <w:bCs/>
                <w:szCs w:val="24"/>
              </w:rPr>
              <w:t>适用于</w:t>
            </w:r>
            <w:r>
              <w:rPr>
                <w:rFonts w:hint="eastAsia" w:ascii="宋体" w:hAnsi="宋体" w:cs="宋体"/>
                <w:szCs w:val="24"/>
              </w:rPr>
              <w:t>电线电缆行业制造铜包铝、铜包钢线缆用铜带</w:t>
            </w:r>
          </w:p>
        </w:tc>
        <w:tc>
          <w:tcPr>
            <w:tcW w:w="4304" w:type="dxa"/>
            <w:vAlign w:val="center"/>
          </w:tcPr>
          <w:p w14:paraId="5DD2BF6F">
            <w:pPr>
              <w:spacing w:line="360" w:lineRule="auto"/>
              <w:jc w:val="center"/>
              <w:rPr>
                <w:rFonts w:ascii="宋体" w:hAnsi="宋体" w:cs="宋体"/>
                <w:bCs/>
                <w:szCs w:val="24"/>
              </w:rPr>
            </w:pPr>
            <w:r>
              <w:rPr>
                <w:rFonts w:hint="eastAsia" w:ascii="宋体" w:hAnsi="宋体" w:cs="宋体"/>
                <w:bCs/>
                <w:szCs w:val="24"/>
              </w:rPr>
              <w:t>适用于制造铜-铝、铜-钢覆合用铜及铜合金带材</w:t>
            </w:r>
          </w:p>
        </w:tc>
      </w:tr>
      <w:tr w14:paraId="4B5BA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99" w:type="dxa"/>
            <w:vAlign w:val="center"/>
          </w:tcPr>
          <w:p w14:paraId="7B32DFAF">
            <w:pPr>
              <w:spacing w:line="360" w:lineRule="auto"/>
              <w:jc w:val="center"/>
              <w:rPr>
                <w:rFonts w:ascii="宋体" w:hAnsi="宋体" w:cs="宋体"/>
                <w:bCs/>
                <w:szCs w:val="24"/>
              </w:rPr>
            </w:pPr>
            <w:r>
              <w:rPr>
                <w:rFonts w:hint="eastAsia" w:ascii="宋体" w:hAnsi="宋体" w:cs="宋体"/>
                <w:bCs/>
                <w:szCs w:val="24"/>
              </w:rPr>
              <w:t>2</w:t>
            </w:r>
          </w:p>
        </w:tc>
        <w:tc>
          <w:tcPr>
            <w:tcW w:w="1485" w:type="dxa"/>
            <w:vAlign w:val="center"/>
          </w:tcPr>
          <w:p w14:paraId="5FB29829">
            <w:pPr>
              <w:spacing w:line="360" w:lineRule="auto"/>
              <w:jc w:val="center"/>
              <w:rPr>
                <w:rFonts w:ascii="宋体" w:hAnsi="宋体" w:cs="宋体"/>
                <w:bCs/>
                <w:szCs w:val="24"/>
              </w:rPr>
            </w:pPr>
            <w:r>
              <w:rPr>
                <w:rFonts w:hint="eastAsia" w:ascii="宋体" w:hAnsi="宋体" w:cs="宋体"/>
                <w:bCs/>
                <w:szCs w:val="24"/>
              </w:rPr>
              <w:t>术语和定义</w:t>
            </w:r>
          </w:p>
        </w:tc>
        <w:tc>
          <w:tcPr>
            <w:tcW w:w="3190" w:type="dxa"/>
            <w:vAlign w:val="center"/>
          </w:tcPr>
          <w:p w14:paraId="0A0EC3A5">
            <w:pPr>
              <w:spacing w:line="360" w:lineRule="auto"/>
              <w:jc w:val="center"/>
              <w:rPr>
                <w:rFonts w:ascii="宋体" w:hAnsi="宋体" w:cs="宋体"/>
                <w:bCs/>
                <w:szCs w:val="24"/>
              </w:rPr>
            </w:pPr>
            <w:r>
              <w:rPr>
                <w:rFonts w:hint="eastAsia" w:ascii="宋体" w:hAnsi="宋体" w:cs="宋体"/>
                <w:bCs/>
                <w:szCs w:val="24"/>
              </w:rPr>
              <w:t>无</w:t>
            </w:r>
          </w:p>
        </w:tc>
        <w:tc>
          <w:tcPr>
            <w:tcW w:w="4304" w:type="dxa"/>
            <w:vAlign w:val="center"/>
          </w:tcPr>
          <w:p w14:paraId="5CDD4F5D">
            <w:pPr>
              <w:spacing w:line="360" w:lineRule="auto"/>
              <w:jc w:val="center"/>
              <w:rPr>
                <w:rFonts w:ascii="宋体" w:hAnsi="宋体" w:cs="宋体"/>
                <w:bCs/>
                <w:szCs w:val="24"/>
              </w:rPr>
            </w:pPr>
            <w:r>
              <w:rPr>
                <w:rFonts w:hint="eastAsia" w:ascii="宋体" w:hAnsi="宋体" w:cs="宋体"/>
                <w:bCs/>
                <w:szCs w:val="24"/>
              </w:rPr>
              <w:t>无</w:t>
            </w:r>
          </w:p>
        </w:tc>
      </w:tr>
      <w:tr w14:paraId="3050D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799" w:type="dxa"/>
            <w:vAlign w:val="center"/>
          </w:tcPr>
          <w:p w14:paraId="3CBE3DFB">
            <w:pPr>
              <w:spacing w:line="360" w:lineRule="auto"/>
              <w:jc w:val="center"/>
              <w:rPr>
                <w:rFonts w:ascii="宋体" w:hAnsi="宋体" w:cs="宋体"/>
                <w:bCs/>
                <w:szCs w:val="24"/>
              </w:rPr>
            </w:pPr>
            <w:r>
              <w:rPr>
                <w:rFonts w:hint="eastAsia" w:ascii="宋体" w:hAnsi="宋体" w:cs="宋体"/>
                <w:bCs/>
                <w:szCs w:val="24"/>
              </w:rPr>
              <w:t>3</w:t>
            </w:r>
          </w:p>
        </w:tc>
        <w:tc>
          <w:tcPr>
            <w:tcW w:w="1485" w:type="dxa"/>
            <w:vAlign w:val="center"/>
          </w:tcPr>
          <w:p w14:paraId="3CC50C60">
            <w:pPr>
              <w:spacing w:line="360" w:lineRule="auto"/>
              <w:jc w:val="center"/>
              <w:rPr>
                <w:rFonts w:ascii="宋体" w:hAnsi="宋体" w:cs="宋体"/>
                <w:bCs/>
                <w:szCs w:val="24"/>
              </w:rPr>
            </w:pPr>
            <w:r>
              <w:rPr>
                <w:rFonts w:hint="eastAsia" w:ascii="宋体" w:hAnsi="宋体" w:cs="宋体"/>
                <w:bCs/>
                <w:szCs w:val="24"/>
              </w:rPr>
              <w:t>牌号</w:t>
            </w:r>
          </w:p>
        </w:tc>
        <w:tc>
          <w:tcPr>
            <w:tcW w:w="3190" w:type="dxa"/>
            <w:vAlign w:val="center"/>
          </w:tcPr>
          <w:p w14:paraId="3F24534E">
            <w:pPr>
              <w:spacing w:line="360" w:lineRule="auto"/>
              <w:jc w:val="center"/>
              <w:rPr>
                <w:rFonts w:ascii="宋体" w:hAnsi="宋体" w:cs="宋体"/>
                <w:bCs/>
                <w:szCs w:val="24"/>
              </w:rPr>
            </w:pPr>
            <w:r>
              <w:rPr>
                <w:rFonts w:hint="eastAsia" w:ascii="宋体" w:hAnsi="宋体" w:cs="宋体"/>
                <w:bCs/>
                <w:szCs w:val="24"/>
              </w:rPr>
              <w:t>TU2、T2</w:t>
            </w:r>
          </w:p>
        </w:tc>
        <w:tc>
          <w:tcPr>
            <w:tcW w:w="4304" w:type="dxa"/>
            <w:vAlign w:val="center"/>
          </w:tcPr>
          <w:p w14:paraId="30EA89FB">
            <w:pPr>
              <w:spacing w:line="360" w:lineRule="auto"/>
              <w:jc w:val="center"/>
              <w:rPr>
                <w:rFonts w:ascii="宋体" w:hAnsi="宋体" w:cs="宋体"/>
                <w:bCs/>
                <w:szCs w:val="24"/>
              </w:rPr>
            </w:pPr>
            <w:r>
              <w:rPr>
                <w:rFonts w:hint="eastAsia" w:ascii="宋体" w:hAnsi="宋体" w:cs="宋体"/>
                <w:bCs/>
                <w:szCs w:val="24"/>
              </w:rPr>
              <w:t>TU2、T2、H65、H62，增加了H65、H62牌号</w:t>
            </w:r>
          </w:p>
        </w:tc>
      </w:tr>
      <w:tr w14:paraId="18FD2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799" w:type="dxa"/>
            <w:vAlign w:val="center"/>
          </w:tcPr>
          <w:p w14:paraId="58BA233F">
            <w:pPr>
              <w:spacing w:line="360" w:lineRule="auto"/>
              <w:jc w:val="center"/>
              <w:rPr>
                <w:rFonts w:ascii="宋体" w:hAnsi="宋体" w:cs="宋体"/>
                <w:bCs/>
                <w:szCs w:val="24"/>
              </w:rPr>
            </w:pPr>
            <w:r>
              <w:rPr>
                <w:rFonts w:hint="eastAsia" w:ascii="宋体" w:hAnsi="宋体" w:cs="宋体"/>
                <w:bCs/>
                <w:szCs w:val="24"/>
              </w:rPr>
              <w:t>4</w:t>
            </w:r>
          </w:p>
        </w:tc>
        <w:tc>
          <w:tcPr>
            <w:tcW w:w="1485" w:type="dxa"/>
            <w:vAlign w:val="center"/>
          </w:tcPr>
          <w:p w14:paraId="51D5D8F1">
            <w:pPr>
              <w:spacing w:line="360" w:lineRule="auto"/>
              <w:jc w:val="center"/>
              <w:rPr>
                <w:rFonts w:ascii="宋体" w:hAnsi="宋体" w:cs="宋体"/>
                <w:bCs/>
                <w:szCs w:val="24"/>
              </w:rPr>
            </w:pPr>
            <w:r>
              <w:rPr>
                <w:rFonts w:hint="eastAsia" w:ascii="宋体" w:hAnsi="宋体" w:cs="宋体"/>
                <w:bCs/>
                <w:szCs w:val="24"/>
              </w:rPr>
              <w:t>状态</w:t>
            </w:r>
          </w:p>
        </w:tc>
        <w:tc>
          <w:tcPr>
            <w:tcW w:w="3190" w:type="dxa"/>
            <w:vAlign w:val="center"/>
          </w:tcPr>
          <w:p w14:paraId="52B5B558">
            <w:pPr>
              <w:spacing w:line="360" w:lineRule="auto"/>
              <w:jc w:val="center"/>
              <w:rPr>
                <w:rFonts w:ascii="宋体" w:hAnsi="宋体" w:cs="宋体"/>
                <w:bCs/>
                <w:szCs w:val="24"/>
              </w:rPr>
            </w:pPr>
            <w:r>
              <w:rPr>
                <w:rFonts w:hint="eastAsia" w:ascii="宋体" w:hAnsi="宋体" w:cs="宋体"/>
                <w:bCs/>
                <w:szCs w:val="24"/>
              </w:rPr>
              <w:t>O60态</w:t>
            </w:r>
          </w:p>
        </w:tc>
        <w:tc>
          <w:tcPr>
            <w:tcW w:w="4304" w:type="dxa"/>
            <w:vAlign w:val="center"/>
          </w:tcPr>
          <w:p w14:paraId="5B83B20F">
            <w:pPr>
              <w:spacing w:line="360" w:lineRule="auto"/>
              <w:jc w:val="center"/>
              <w:rPr>
                <w:rFonts w:ascii="宋体" w:hAnsi="宋体" w:cs="宋体"/>
                <w:bCs/>
                <w:szCs w:val="24"/>
              </w:rPr>
            </w:pPr>
            <w:r>
              <w:rPr>
                <w:rFonts w:hint="eastAsia" w:ascii="宋体" w:hAnsi="宋体" w:cs="宋体"/>
                <w:bCs/>
                <w:szCs w:val="24"/>
              </w:rPr>
              <w:t>O60态、1/2硬（H02），增加了T2  1/2硬（H02）态及H65、H62的O60态</w:t>
            </w:r>
          </w:p>
        </w:tc>
      </w:tr>
      <w:tr w14:paraId="381F9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99" w:type="dxa"/>
            <w:vAlign w:val="center"/>
          </w:tcPr>
          <w:p w14:paraId="3574971A">
            <w:pPr>
              <w:spacing w:line="360" w:lineRule="auto"/>
              <w:jc w:val="center"/>
              <w:rPr>
                <w:rFonts w:ascii="宋体" w:hAnsi="宋体" w:cs="宋体"/>
                <w:bCs/>
                <w:szCs w:val="24"/>
              </w:rPr>
            </w:pPr>
            <w:r>
              <w:rPr>
                <w:rFonts w:hint="eastAsia" w:ascii="宋体" w:hAnsi="宋体" w:cs="宋体"/>
                <w:bCs/>
                <w:szCs w:val="24"/>
              </w:rPr>
              <w:t>5</w:t>
            </w:r>
          </w:p>
        </w:tc>
        <w:tc>
          <w:tcPr>
            <w:tcW w:w="1485" w:type="dxa"/>
            <w:vAlign w:val="center"/>
          </w:tcPr>
          <w:p w14:paraId="2123833B">
            <w:pPr>
              <w:spacing w:line="360" w:lineRule="auto"/>
              <w:jc w:val="center"/>
              <w:rPr>
                <w:rFonts w:ascii="宋体" w:hAnsi="宋体" w:cs="宋体"/>
                <w:bCs/>
                <w:szCs w:val="24"/>
              </w:rPr>
            </w:pPr>
            <w:r>
              <w:rPr>
                <w:rFonts w:hint="eastAsia" w:ascii="宋体" w:hAnsi="宋体" w:cs="宋体"/>
                <w:bCs/>
                <w:szCs w:val="24"/>
              </w:rPr>
              <w:t>厚度，mm</w:t>
            </w:r>
          </w:p>
        </w:tc>
        <w:tc>
          <w:tcPr>
            <w:tcW w:w="3190" w:type="dxa"/>
            <w:vAlign w:val="center"/>
          </w:tcPr>
          <w:p w14:paraId="7B298183">
            <w:pPr>
              <w:spacing w:line="360" w:lineRule="auto"/>
              <w:jc w:val="center"/>
              <w:rPr>
                <w:rFonts w:ascii="宋体" w:hAnsi="宋体" w:cs="宋体"/>
                <w:bCs/>
                <w:szCs w:val="24"/>
              </w:rPr>
            </w:pPr>
            <w:r>
              <w:rPr>
                <w:rFonts w:hint="eastAsia" w:ascii="宋体" w:hAnsi="宋体" w:cs="宋体"/>
                <w:bCs/>
                <w:szCs w:val="24"/>
              </w:rPr>
              <w:t>0.3～0.5</w:t>
            </w:r>
          </w:p>
        </w:tc>
        <w:tc>
          <w:tcPr>
            <w:tcW w:w="4304" w:type="dxa"/>
            <w:vAlign w:val="center"/>
          </w:tcPr>
          <w:p w14:paraId="6370BA37">
            <w:pPr>
              <w:spacing w:line="360" w:lineRule="auto"/>
              <w:jc w:val="center"/>
              <w:rPr>
                <w:rFonts w:hint="default" w:ascii="宋体" w:hAnsi="宋体" w:eastAsia="宋体" w:cs="宋体"/>
                <w:bCs/>
                <w:szCs w:val="24"/>
                <w:lang w:val="en-US" w:eastAsia="zh-CN"/>
              </w:rPr>
            </w:pPr>
            <w:r>
              <w:rPr>
                <w:rFonts w:hint="eastAsia" w:ascii="宋体" w:hAnsi="宋体" w:cs="宋体"/>
                <w:bCs/>
                <w:szCs w:val="24"/>
              </w:rPr>
              <w:t>0.2～4.0</w:t>
            </w:r>
            <w:r>
              <w:rPr>
                <w:rFonts w:hint="eastAsia" w:ascii="宋体" w:hAnsi="宋体" w:cs="宋体"/>
                <w:bCs/>
                <w:szCs w:val="24"/>
                <w:lang w:val="en-US" w:eastAsia="zh-CN"/>
              </w:rPr>
              <w:t>,增加了厚度范围</w:t>
            </w:r>
          </w:p>
        </w:tc>
      </w:tr>
      <w:tr w14:paraId="3F171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99" w:type="dxa"/>
            <w:vAlign w:val="center"/>
          </w:tcPr>
          <w:p w14:paraId="26453344">
            <w:pPr>
              <w:spacing w:line="360" w:lineRule="auto"/>
              <w:jc w:val="center"/>
              <w:rPr>
                <w:rFonts w:ascii="宋体" w:hAnsi="宋体" w:cs="宋体"/>
                <w:bCs/>
                <w:szCs w:val="24"/>
              </w:rPr>
            </w:pPr>
            <w:r>
              <w:rPr>
                <w:rFonts w:hint="eastAsia" w:ascii="宋体" w:hAnsi="宋体" w:cs="宋体"/>
                <w:bCs/>
                <w:szCs w:val="24"/>
              </w:rPr>
              <w:t>6</w:t>
            </w:r>
          </w:p>
        </w:tc>
        <w:tc>
          <w:tcPr>
            <w:tcW w:w="1485" w:type="dxa"/>
            <w:vAlign w:val="center"/>
          </w:tcPr>
          <w:p w14:paraId="063AB40B">
            <w:pPr>
              <w:spacing w:line="360" w:lineRule="auto"/>
              <w:jc w:val="center"/>
              <w:rPr>
                <w:rFonts w:ascii="宋体" w:hAnsi="宋体" w:cs="宋体"/>
                <w:bCs/>
                <w:szCs w:val="24"/>
              </w:rPr>
            </w:pPr>
            <w:r>
              <w:rPr>
                <w:rFonts w:hint="eastAsia" w:ascii="宋体" w:hAnsi="宋体" w:cs="宋体"/>
                <w:bCs/>
                <w:szCs w:val="24"/>
              </w:rPr>
              <w:t>宽度，mm</w:t>
            </w:r>
          </w:p>
        </w:tc>
        <w:tc>
          <w:tcPr>
            <w:tcW w:w="3190" w:type="dxa"/>
            <w:vAlign w:val="center"/>
          </w:tcPr>
          <w:p w14:paraId="3DBB76FA">
            <w:pPr>
              <w:spacing w:line="360" w:lineRule="auto"/>
              <w:jc w:val="center"/>
              <w:rPr>
                <w:rFonts w:ascii="宋体" w:hAnsi="宋体" w:cs="宋体"/>
                <w:bCs/>
                <w:szCs w:val="24"/>
              </w:rPr>
            </w:pPr>
            <w:r>
              <w:rPr>
                <w:rFonts w:hint="eastAsia" w:ascii="宋体" w:hAnsi="宋体" w:cs="宋体"/>
                <w:bCs/>
                <w:szCs w:val="24"/>
              </w:rPr>
              <w:t>20～610</w:t>
            </w:r>
          </w:p>
        </w:tc>
        <w:tc>
          <w:tcPr>
            <w:tcW w:w="4304" w:type="dxa"/>
            <w:vAlign w:val="center"/>
          </w:tcPr>
          <w:p w14:paraId="384E1BB8">
            <w:pPr>
              <w:spacing w:line="360" w:lineRule="auto"/>
              <w:jc w:val="center"/>
              <w:rPr>
                <w:rFonts w:hint="default" w:ascii="宋体" w:hAnsi="宋体" w:eastAsia="宋体" w:cs="宋体"/>
                <w:bCs/>
                <w:szCs w:val="24"/>
                <w:lang w:val="en-US" w:eastAsia="zh-CN"/>
              </w:rPr>
            </w:pPr>
            <w:r>
              <w:rPr>
                <w:rFonts w:hint="eastAsia" w:ascii="宋体" w:hAnsi="宋体" w:cs="宋体"/>
                <w:bCs/>
                <w:szCs w:val="24"/>
              </w:rPr>
              <w:t>20～6</w:t>
            </w:r>
            <w:r>
              <w:rPr>
                <w:rFonts w:hint="eastAsia" w:ascii="宋体" w:hAnsi="宋体" w:cs="宋体"/>
                <w:bCs/>
                <w:szCs w:val="24"/>
                <w:lang w:val="en-US" w:eastAsia="zh-CN"/>
              </w:rPr>
              <w:t>3</w:t>
            </w:r>
            <w:r>
              <w:rPr>
                <w:rFonts w:hint="eastAsia" w:ascii="宋体" w:hAnsi="宋体" w:cs="宋体"/>
                <w:bCs/>
                <w:szCs w:val="24"/>
              </w:rPr>
              <w:t>0</w:t>
            </w:r>
            <w:r>
              <w:rPr>
                <w:rFonts w:hint="eastAsia" w:ascii="宋体" w:hAnsi="宋体" w:cs="宋体"/>
                <w:bCs/>
                <w:szCs w:val="24"/>
                <w:lang w:eastAsia="zh-CN"/>
              </w:rPr>
              <w:t>，</w:t>
            </w:r>
            <w:r>
              <w:rPr>
                <w:rFonts w:hint="eastAsia" w:ascii="宋体" w:hAnsi="宋体" w:cs="宋体"/>
                <w:bCs/>
                <w:szCs w:val="24"/>
                <w:lang w:val="en-US" w:eastAsia="zh-CN"/>
              </w:rPr>
              <w:t>增加了宽度范围</w:t>
            </w:r>
          </w:p>
        </w:tc>
      </w:tr>
      <w:tr w14:paraId="46C2A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799" w:type="dxa"/>
            <w:vAlign w:val="center"/>
          </w:tcPr>
          <w:p w14:paraId="7A990876">
            <w:pPr>
              <w:spacing w:line="360" w:lineRule="auto"/>
              <w:jc w:val="center"/>
              <w:rPr>
                <w:rFonts w:ascii="宋体" w:hAnsi="宋体" w:cs="宋体"/>
                <w:bCs/>
                <w:szCs w:val="24"/>
              </w:rPr>
            </w:pPr>
            <w:r>
              <w:rPr>
                <w:rFonts w:hint="eastAsia" w:ascii="宋体" w:hAnsi="宋体" w:cs="宋体"/>
                <w:bCs/>
                <w:szCs w:val="24"/>
              </w:rPr>
              <w:t>7</w:t>
            </w:r>
          </w:p>
        </w:tc>
        <w:tc>
          <w:tcPr>
            <w:tcW w:w="1485" w:type="dxa"/>
            <w:vAlign w:val="center"/>
          </w:tcPr>
          <w:p w14:paraId="7E992A24">
            <w:pPr>
              <w:spacing w:line="360" w:lineRule="auto"/>
              <w:jc w:val="center"/>
              <w:rPr>
                <w:rFonts w:ascii="宋体" w:hAnsi="宋体" w:cs="宋体"/>
                <w:bCs/>
                <w:szCs w:val="24"/>
              </w:rPr>
            </w:pPr>
            <w:r>
              <w:rPr>
                <w:rFonts w:hint="eastAsia" w:ascii="宋体" w:hAnsi="宋体" w:cs="宋体"/>
                <w:bCs/>
                <w:szCs w:val="24"/>
              </w:rPr>
              <w:t>厚度允许偏差，mm</w:t>
            </w:r>
          </w:p>
        </w:tc>
        <w:tc>
          <w:tcPr>
            <w:tcW w:w="3190" w:type="dxa"/>
            <w:vAlign w:val="center"/>
          </w:tcPr>
          <w:p w14:paraId="678F8CE7">
            <w:pPr>
              <w:spacing w:line="360" w:lineRule="auto"/>
              <w:jc w:val="center"/>
              <w:rPr>
                <w:rFonts w:ascii="宋体" w:hAnsi="宋体" w:cs="宋体"/>
                <w:bCs/>
                <w:szCs w:val="24"/>
              </w:rPr>
            </w:pPr>
            <w:r>
              <w:rPr>
                <w:rFonts w:hint="eastAsia" w:ascii="宋体" w:hAnsi="宋体" w:cs="宋体"/>
                <w:bCs/>
                <w:szCs w:val="24"/>
              </w:rPr>
              <w:t>规定0.3mm～0.5mm带箔材厚度允许偏差</w:t>
            </w:r>
          </w:p>
        </w:tc>
        <w:tc>
          <w:tcPr>
            <w:tcW w:w="4304" w:type="dxa"/>
            <w:vAlign w:val="center"/>
          </w:tcPr>
          <w:p w14:paraId="00AB79AF">
            <w:pPr>
              <w:spacing w:line="360" w:lineRule="auto"/>
              <w:jc w:val="center"/>
              <w:rPr>
                <w:rFonts w:ascii="宋体" w:hAnsi="宋体" w:cs="宋体"/>
                <w:bCs/>
                <w:szCs w:val="24"/>
              </w:rPr>
            </w:pPr>
            <w:r>
              <w:rPr>
                <w:rFonts w:hint="eastAsia" w:ascii="宋体" w:hAnsi="宋体" w:cs="宋体"/>
                <w:bCs/>
                <w:szCs w:val="24"/>
              </w:rPr>
              <w:t>规定0.2mm～4.0mm带箔材厚度允许偏差，</w:t>
            </w:r>
            <w:r>
              <w:rPr>
                <w:rFonts w:hint="eastAsia" w:ascii="宋体" w:hAnsi="宋体" w:cs="宋体"/>
                <w:szCs w:val="24"/>
              </w:rPr>
              <w:t>并增加了高精级要求</w:t>
            </w:r>
          </w:p>
        </w:tc>
      </w:tr>
      <w:tr w14:paraId="1EA6C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799" w:type="dxa"/>
            <w:vAlign w:val="center"/>
          </w:tcPr>
          <w:p w14:paraId="2CD91DC3">
            <w:pPr>
              <w:spacing w:line="360" w:lineRule="auto"/>
              <w:jc w:val="center"/>
              <w:rPr>
                <w:rFonts w:ascii="宋体" w:hAnsi="宋体" w:cs="宋体"/>
                <w:bCs/>
                <w:szCs w:val="24"/>
              </w:rPr>
            </w:pPr>
            <w:r>
              <w:rPr>
                <w:rFonts w:hint="eastAsia" w:ascii="宋体" w:hAnsi="宋体" w:cs="宋体"/>
                <w:bCs/>
                <w:szCs w:val="24"/>
              </w:rPr>
              <w:t>8</w:t>
            </w:r>
          </w:p>
        </w:tc>
        <w:tc>
          <w:tcPr>
            <w:tcW w:w="1485" w:type="dxa"/>
            <w:vAlign w:val="center"/>
          </w:tcPr>
          <w:p w14:paraId="1CDCCD13">
            <w:pPr>
              <w:spacing w:line="360" w:lineRule="auto"/>
              <w:jc w:val="center"/>
              <w:rPr>
                <w:rFonts w:ascii="宋体" w:hAnsi="宋体" w:cs="宋体"/>
                <w:bCs/>
                <w:szCs w:val="24"/>
              </w:rPr>
            </w:pPr>
            <w:r>
              <w:rPr>
                <w:rFonts w:hint="eastAsia" w:ascii="宋体" w:hAnsi="宋体" w:cs="宋体"/>
                <w:bCs/>
                <w:szCs w:val="24"/>
              </w:rPr>
              <w:t>宽度允许偏差</w:t>
            </w:r>
          </w:p>
        </w:tc>
        <w:tc>
          <w:tcPr>
            <w:tcW w:w="3190" w:type="dxa"/>
            <w:vAlign w:val="center"/>
          </w:tcPr>
          <w:p w14:paraId="2672F94A">
            <w:pPr>
              <w:spacing w:line="360" w:lineRule="auto"/>
              <w:jc w:val="center"/>
              <w:rPr>
                <w:rFonts w:ascii="宋体" w:hAnsi="宋体" w:cs="宋体"/>
                <w:bCs/>
                <w:szCs w:val="24"/>
              </w:rPr>
            </w:pPr>
            <w:r>
              <w:rPr>
                <w:rFonts w:hint="eastAsia" w:ascii="宋体" w:hAnsi="宋体" w:cs="宋体"/>
                <w:bCs/>
                <w:szCs w:val="24"/>
              </w:rPr>
              <w:t>规定20mm～610mm带箔材宽度允许偏差</w:t>
            </w:r>
          </w:p>
        </w:tc>
        <w:tc>
          <w:tcPr>
            <w:tcW w:w="4304" w:type="dxa"/>
            <w:vAlign w:val="center"/>
          </w:tcPr>
          <w:p w14:paraId="13EFD1E6">
            <w:pPr>
              <w:spacing w:line="360" w:lineRule="auto"/>
              <w:jc w:val="center"/>
              <w:rPr>
                <w:rFonts w:ascii="宋体" w:hAnsi="宋体" w:cs="宋体"/>
                <w:bCs/>
                <w:szCs w:val="24"/>
              </w:rPr>
            </w:pPr>
            <w:r>
              <w:rPr>
                <w:rFonts w:hint="eastAsia" w:ascii="宋体" w:hAnsi="宋体" w:cs="宋体"/>
                <w:bCs/>
                <w:szCs w:val="24"/>
              </w:rPr>
              <w:t>按厚度范围规定20mm～6</w:t>
            </w:r>
            <w:r>
              <w:rPr>
                <w:rFonts w:hint="eastAsia" w:ascii="宋体" w:hAnsi="宋体" w:cs="宋体"/>
                <w:bCs/>
                <w:szCs w:val="24"/>
                <w:lang w:val="en-US" w:eastAsia="zh-CN"/>
              </w:rPr>
              <w:t>3</w:t>
            </w:r>
            <w:r>
              <w:rPr>
                <w:rFonts w:hint="eastAsia" w:ascii="宋体" w:hAnsi="宋体" w:cs="宋体"/>
                <w:bCs/>
                <w:szCs w:val="24"/>
              </w:rPr>
              <w:t>0mm带箔材宽度允许偏差</w:t>
            </w:r>
          </w:p>
        </w:tc>
      </w:tr>
      <w:tr w14:paraId="231D2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799" w:type="dxa"/>
            <w:vAlign w:val="center"/>
          </w:tcPr>
          <w:p w14:paraId="5A19E865">
            <w:pPr>
              <w:spacing w:line="360" w:lineRule="auto"/>
              <w:jc w:val="center"/>
              <w:rPr>
                <w:rFonts w:ascii="宋体" w:hAnsi="宋体" w:cs="宋体"/>
                <w:bCs/>
                <w:szCs w:val="24"/>
              </w:rPr>
            </w:pPr>
            <w:r>
              <w:rPr>
                <w:rFonts w:hint="eastAsia" w:ascii="宋体" w:hAnsi="宋体" w:cs="宋体"/>
                <w:bCs/>
                <w:szCs w:val="24"/>
              </w:rPr>
              <w:t>9</w:t>
            </w:r>
          </w:p>
        </w:tc>
        <w:tc>
          <w:tcPr>
            <w:tcW w:w="1485" w:type="dxa"/>
            <w:vAlign w:val="center"/>
          </w:tcPr>
          <w:p w14:paraId="0AB56824">
            <w:pPr>
              <w:spacing w:line="360" w:lineRule="auto"/>
              <w:jc w:val="center"/>
              <w:rPr>
                <w:rFonts w:ascii="宋体" w:hAnsi="宋体" w:cs="宋体"/>
                <w:bCs/>
                <w:szCs w:val="24"/>
              </w:rPr>
            </w:pPr>
            <w:r>
              <w:rPr>
                <w:rFonts w:hint="eastAsia" w:ascii="宋体" w:hAnsi="宋体" w:cs="宋体"/>
                <w:bCs/>
                <w:szCs w:val="24"/>
              </w:rPr>
              <w:t>侧边弯曲度</w:t>
            </w:r>
          </w:p>
        </w:tc>
        <w:tc>
          <w:tcPr>
            <w:tcW w:w="3190" w:type="dxa"/>
            <w:vAlign w:val="center"/>
          </w:tcPr>
          <w:p w14:paraId="5B10C63E">
            <w:pPr>
              <w:spacing w:line="360" w:lineRule="auto"/>
              <w:jc w:val="center"/>
              <w:rPr>
                <w:rFonts w:ascii="宋体" w:hAnsi="宋体" w:cs="宋体"/>
                <w:bCs/>
                <w:szCs w:val="24"/>
              </w:rPr>
            </w:pPr>
            <w:r>
              <w:rPr>
                <w:rFonts w:hint="eastAsia" w:ascii="宋体" w:hAnsi="宋体" w:cs="宋体"/>
                <w:bCs/>
                <w:szCs w:val="24"/>
              </w:rPr>
              <w:t>无</w:t>
            </w:r>
          </w:p>
        </w:tc>
        <w:tc>
          <w:tcPr>
            <w:tcW w:w="4304" w:type="dxa"/>
            <w:vAlign w:val="center"/>
          </w:tcPr>
          <w:p w14:paraId="691429CA">
            <w:pPr>
              <w:spacing w:line="360" w:lineRule="auto"/>
              <w:jc w:val="center"/>
              <w:rPr>
                <w:rFonts w:ascii="宋体" w:hAnsi="宋体" w:cs="宋体"/>
                <w:bCs/>
                <w:szCs w:val="24"/>
              </w:rPr>
            </w:pPr>
            <w:r>
              <w:rPr>
                <w:rFonts w:hint="eastAsia" w:ascii="宋体" w:hAnsi="宋体" w:cs="宋体"/>
                <w:bCs/>
                <w:szCs w:val="24"/>
              </w:rPr>
              <w:t>增加带材侧边弯曲度的规定</w:t>
            </w:r>
          </w:p>
        </w:tc>
      </w:tr>
      <w:tr w14:paraId="6C416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99" w:type="dxa"/>
            <w:vAlign w:val="center"/>
          </w:tcPr>
          <w:p w14:paraId="1D96689B">
            <w:pPr>
              <w:spacing w:line="360" w:lineRule="auto"/>
              <w:jc w:val="center"/>
              <w:rPr>
                <w:rFonts w:ascii="宋体" w:hAnsi="宋体" w:cs="宋体"/>
                <w:bCs/>
                <w:szCs w:val="24"/>
              </w:rPr>
            </w:pPr>
            <w:r>
              <w:rPr>
                <w:rFonts w:hint="eastAsia" w:ascii="宋体" w:hAnsi="宋体" w:cs="宋体"/>
                <w:bCs/>
                <w:szCs w:val="24"/>
              </w:rPr>
              <w:t>10</w:t>
            </w:r>
          </w:p>
        </w:tc>
        <w:tc>
          <w:tcPr>
            <w:tcW w:w="1485" w:type="dxa"/>
            <w:shd w:val="clear" w:color="auto" w:fill="auto"/>
            <w:vAlign w:val="center"/>
          </w:tcPr>
          <w:p w14:paraId="38395312">
            <w:pPr>
              <w:spacing w:line="360" w:lineRule="auto"/>
              <w:jc w:val="center"/>
              <w:rPr>
                <w:rFonts w:ascii="宋体" w:hAnsi="宋体" w:cs="宋体"/>
                <w:bCs/>
                <w:szCs w:val="24"/>
              </w:rPr>
            </w:pPr>
            <w:r>
              <w:rPr>
                <w:rFonts w:hint="eastAsia" w:ascii="宋体" w:hAnsi="宋体" w:cs="宋体"/>
                <w:bCs/>
                <w:szCs w:val="24"/>
              </w:rPr>
              <w:t>力学性能</w:t>
            </w:r>
          </w:p>
        </w:tc>
        <w:tc>
          <w:tcPr>
            <w:tcW w:w="3190" w:type="dxa"/>
            <w:shd w:val="clear" w:color="auto" w:fill="auto"/>
            <w:vAlign w:val="center"/>
          </w:tcPr>
          <w:p w14:paraId="2FA781E7">
            <w:pPr>
              <w:spacing w:line="360" w:lineRule="auto"/>
              <w:jc w:val="center"/>
              <w:rPr>
                <w:rFonts w:ascii="宋体" w:hAnsi="宋体" w:cs="宋体"/>
                <w:bCs/>
                <w:szCs w:val="24"/>
              </w:rPr>
            </w:pPr>
            <w:r>
              <w:rPr>
                <w:rFonts w:hint="eastAsia" w:ascii="宋体" w:hAnsi="宋体" w:cs="宋体"/>
                <w:bCs/>
                <w:szCs w:val="24"/>
              </w:rPr>
              <w:t>无维氏硬度指标</w:t>
            </w:r>
          </w:p>
        </w:tc>
        <w:tc>
          <w:tcPr>
            <w:tcW w:w="4304" w:type="dxa"/>
            <w:shd w:val="clear" w:color="auto" w:fill="auto"/>
            <w:vAlign w:val="center"/>
          </w:tcPr>
          <w:p w14:paraId="58216B37">
            <w:pPr>
              <w:spacing w:line="360" w:lineRule="auto"/>
              <w:jc w:val="center"/>
              <w:rPr>
                <w:rFonts w:ascii="宋体" w:hAnsi="宋体" w:cs="宋体"/>
                <w:bCs/>
                <w:szCs w:val="24"/>
              </w:rPr>
            </w:pPr>
            <w:r>
              <w:rPr>
                <w:rFonts w:hint="eastAsia" w:ascii="宋体" w:hAnsi="宋体" w:cs="宋体"/>
                <w:bCs/>
                <w:szCs w:val="24"/>
              </w:rPr>
              <w:t>增加了维氏硬度指标</w:t>
            </w:r>
          </w:p>
        </w:tc>
      </w:tr>
      <w:tr w14:paraId="1349D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799" w:type="dxa"/>
            <w:vAlign w:val="center"/>
          </w:tcPr>
          <w:p w14:paraId="5C3E4A4B">
            <w:pPr>
              <w:spacing w:line="360" w:lineRule="auto"/>
              <w:jc w:val="center"/>
              <w:rPr>
                <w:rFonts w:ascii="宋体" w:hAnsi="宋体" w:cs="宋体"/>
                <w:bCs/>
                <w:szCs w:val="24"/>
              </w:rPr>
            </w:pPr>
            <w:r>
              <w:rPr>
                <w:rFonts w:hint="eastAsia" w:ascii="宋体" w:hAnsi="宋体" w:cs="宋体"/>
                <w:bCs/>
                <w:szCs w:val="24"/>
              </w:rPr>
              <w:t>11</w:t>
            </w:r>
          </w:p>
        </w:tc>
        <w:tc>
          <w:tcPr>
            <w:tcW w:w="1485" w:type="dxa"/>
            <w:shd w:val="clear" w:color="auto" w:fill="auto"/>
            <w:vAlign w:val="center"/>
          </w:tcPr>
          <w:p w14:paraId="73C96C71">
            <w:pPr>
              <w:spacing w:line="360" w:lineRule="auto"/>
              <w:jc w:val="center"/>
              <w:rPr>
                <w:rFonts w:ascii="宋体" w:hAnsi="宋体" w:cs="宋体"/>
                <w:bCs/>
                <w:szCs w:val="24"/>
              </w:rPr>
            </w:pPr>
            <w:r>
              <w:rPr>
                <w:rFonts w:hint="eastAsia" w:ascii="宋体" w:hAnsi="宋体" w:cs="宋体"/>
                <w:bCs/>
                <w:szCs w:val="24"/>
              </w:rPr>
              <w:t>T2带材力学性能</w:t>
            </w:r>
          </w:p>
        </w:tc>
        <w:tc>
          <w:tcPr>
            <w:tcW w:w="3190" w:type="dxa"/>
            <w:shd w:val="clear" w:color="auto" w:fill="auto"/>
            <w:vAlign w:val="center"/>
          </w:tcPr>
          <w:p w14:paraId="667AAA6E">
            <w:pPr>
              <w:spacing w:line="360" w:lineRule="auto"/>
              <w:jc w:val="center"/>
              <w:rPr>
                <w:rFonts w:ascii="宋体" w:hAnsi="宋体" w:cs="宋体"/>
                <w:bCs/>
                <w:szCs w:val="24"/>
              </w:rPr>
            </w:pPr>
            <w:r>
              <w:rPr>
                <w:rFonts w:hint="eastAsia" w:ascii="宋体" w:hAnsi="宋体" w:cs="宋体"/>
                <w:bCs/>
                <w:szCs w:val="24"/>
              </w:rPr>
              <w:t>抗拉强度230-265MPa</w:t>
            </w:r>
          </w:p>
        </w:tc>
        <w:tc>
          <w:tcPr>
            <w:tcW w:w="4304" w:type="dxa"/>
            <w:shd w:val="clear" w:color="auto" w:fill="auto"/>
            <w:vAlign w:val="center"/>
          </w:tcPr>
          <w:p w14:paraId="1700B39D">
            <w:pPr>
              <w:spacing w:line="360" w:lineRule="auto"/>
              <w:jc w:val="center"/>
              <w:rPr>
                <w:rFonts w:hint="eastAsia" w:ascii="宋体" w:hAnsi="宋体" w:cs="宋体"/>
                <w:szCs w:val="24"/>
              </w:rPr>
            </w:pPr>
            <w:r>
              <w:rPr>
                <w:rFonts w:hint="eastAsia" w:ascii="宋体" w:hAnsi="宋体" w:cs="宋体"/>
                <w:szCs w:val="24"/>
              </w:rPr>
              <w:t>更改了T2带材的抗拉强度指标为</w:t>
            </w:r>
          </w:p>
          <w:p w14:paraId="5E28B655">
            <w:pPr>
              <w:spacing w:line="360" w:lineRule="auto"/>
              <w:jc w:val="center"/>
              <w:rPr>
                <w:rFonts w:hint="default" w:ascii="宋体" w:hAnsi="宋体" w:eastAsia="宋体" w:cs="宋体"/>
                <w:bCs/>
                <w:szCs w:val="24"/>
                <w:lang w:val="en-US" w:eastAsia="zh-CN"/>
              </w:rPr>
            </w:pPr>
            <w:r>
              <w:rPr>
                <w:rFonts w:hint="eastAsia" w:ascii="宋体" w:hAnsi="宋体" w:cs="宋体"/>
                <w:bCs/>
                <w:szCs w:val="24"/>
              </w:rPr>
              <w:t>195-2</w:t>
            </w:r>
            <w:r>
              <w:rPr>
                <w:rFonts w:hint="eastAsia" w:ascii="宋体" w:hAnsi="宋体" w:cs="宋体"/>
                <w:bCs/>
                <w:szCs w:val="24"/>
                <w:lang w:val="en-US" w:eastAsia="zh-CN"/>
              </w:rPr>
              <w:t>6</w:t>
            </w:r>
            <w:r>
              <w:rPr>
                <w:rFonts w:hint="eastAsia" w:ascii="宋体" w:hAnsi="宋体" w:cs="宋体"/>
                <w:bCs/>
                <w:szCs w:val="24"/>
              </w:rPr>
              <w:t>0MPa</w:t>
            </w:r>
            <w:r>
              <w:rPr>
                <w:rFonts w:hint="eastAsia" w:ascii="宋体" w:hAnsi="宋体" w:cs="宋体"/>
                <w:bCs/>
                <w:szCs w:val="24"/>
                <w:lang w:eastAsia="zh-CN"/>
              </w:rPr>
              <w:t>，</w:t>
            </w:r>
            <w:r>
              <w:rPr>
                <w:rFonts w:hint="eastAsia" w:ascii="宋体" w:hAnsi="宋体" w:cs="宋体"/>
                <w:bCs/>
                <w:szCs w:val="24"/>
                <w:lang w:val="en-US" w:eastAsia="zh-CN"/>
              </w:rPr>
              <w:t>并增加H02状态性能要求</w:t>
            </w:r>
          </w:p>
        </w:tc>
      </w:tr>
      <w:tr w14:paraId="2C3AC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2" w:hRule="atLeast"/>
          <w:jc w:val="center"/>
        </w:trPr>
        <w:tc>
          <w:tcPr>
            <w:tcW w:w="799" w:type="dxa"/>
            <w:vAlign w:val="center"/>
          </w:tcPr>
          <w:p w14:paraId="20BD1521">
            <w:pPr>
              <w:spacing w:line="360" w:lineRule="auto"/>
              <w:jc w:val="center"/>
              <w:rPr>
                <w:rFonts w:ascii="宋体" w:hAnsi="宋体" w:cs="宋体"/>
                <w:bCs/>
                <w:szCs w:val="24"/>
              </w:rPr>
            </w:pPr>
            <w:r>
              <w:rPr>
                <w:rFonts w:hint="eastAsia" w:ascii="宋体" w:hAnsi="宋体" w:cs="宋体"/>
                <w:bCs/>
                <w:szCs w:val="24"/>
              </w:rPr>
              <w:t>12</w:t>
            </w:r>
          </w:p>
        </w:tc>
        <w:tc>
          <w:tcPr>
            <w:tcW w:w="1485" w:type="dxa"/>
            <w:vAlign w:val="center"/>
          </w:tcPr>
          <w:p w14:paraId="08A40635">
            <w:pPr>
              <w:spacing w:line="360" w:lineRule="auto"/>
              <w:jc w:val="center"/>
              <w:rPr>
                <w:rFonts w:ascii="宋体" w:hAnsi="宋体" w:cs="宋体"/>
                <w:bCs/>
                <w:szCs w:val="24"/>
              </w:rPr>
            </w:pPr>
            <w:r>
              <w:rPr>
                <w:rFonts w:hint="eastAsia" w:ascii="宋体" w:hAnsi="宋体" w:cs="宋体"/>
                <w:bCs/>
                <w:szCs w:val="24"/>
              </w:rPr>
              <w:t>导电率</w:t>
            </w:r>
          </w:p>
        </w:tc>
        <w:tc>
          <w:tcPr>
            <w:tcW w:w="3190" w:type="dxa"/>
            <w:vAlign w:val="center"/>
          </w:tcPr>
          <w:p w14:paraId="0971676E">
            <w:pPr>
              <w:spacing w:line="360" w:lineRule="auto"/>
              <w:jc w:val="center"/>
              <w:rPr>
                <w:rFonts w:ascii="宋体" w:hAnsi="宋体" w:cs="宋体"/>
                <w:bCs/>
                <w:szCs w:val="24"/>
              </w:rPr>
            </w:pPr>
            <w:r>
              <w:rPr>
                <w:rFonts w:hint="eastAsia" w:ascii="宋体" w:hAnsi="宋体" w:cs="宋体"/>
                <w:bCs/>
                <w:szCs w:val="24"/>
              </w:rPr>
              <w:t>TU2，O60态导电率≥98%IACS；</w:t>
            </w:r>
          </w:p>
          <w:p w14:paraId="78ED05B2">
            <w:pPr>
              <w:spacing w:line="360" w:lineRule="auto"/>
              <w:jc w:val="center"/>
              <w:rPr>
                <w:rFonts w:ascii="宋体" w:hAnsi="宋体" w:cs="宋体"/>
                <w:bCs/>
                <w:szCs w:val="24"/>
              </w:rPr>
            </w:pPr>
            <w:r>
              <w:rPr>
                <w:rFonts w:hint="eastAsia" w:ascii="宋体" w:hAnsi="宋体" w:cs="宋体"/>
                <w:bCs/>
                <w:szCs w:val="24"/>
              </w:rPr>
              <w:t>T2，O60态导电率≥95%IACS；</w:t>
            </w:r>
          </w:p>
        </w:tc>
        <w:tc>
          <w:tcPr>
            <w:tcW w:w="4304" w:type="dxa"/>
            <w:vAlign w:val="center"/>
          </w:tcPr>
          <w:p w14:paraId="4F2AC086">
            <w:pPr>
              <w:spacing w:line="360" w:lineRule="auto"/>
              <w:jc w:val="center"/>
              <w:rPr>
                <w:rFonts w:ascii="宋体" w:hAnsi="宋体" w:cs="宋体"/>
                <w:bCs/>
                <w:szCs w:val="24"/>
              </w:rPr>
            </w:pPr>
            <w:r>
              <w:rPr>
                <w:rFonts w:hint="eastAsia" w:ascii="宋体" w:hAnsi="宋体" w:cs="宋体"/>
                <w:bCs/>
                <w:szCs w:val="24"/>
              </w:rPr>
              <w:t>加严了导电率要求，</w:t>
            </w:r>
          </w:p>
          <w:p w14:paraId="22C91214">
            <w:pPr>
              <w:spacing w:line="360" w:lineRule="auto"/>
              <w:jc w:val="center"/>
              <w:rPr>
                <w:rFonts w:ascii="宋体" w:hAnsi="宋体" w:cs="宋体"/>
                <w:bCs/>
                <w:szCs w:val="24"/>
              </w:rPr>
            </w:pPr>
            <w:r>
              <w:rPr>
                <w:rFonts w:hint="eastAsia" w:ascii="宋体" w:hAnsi="宋体" w:cs="宋体"/>
                <w:bCs/>
                <w:szCs w:val="24"/>
              </w:rPr>
              <w:t>TU2，O60态导电率≥100%IACS；</w:t>
            </w:r>
          </w:p>
          <w:p w14:paraId="527547D4">
            <w:pPr>
              <w:spacing w:line="360" w:lineRule="auto"/>
              <w:jc w:val="center"/>
              <w:rPr>
                <w:rFonts w:ascii="宋体" w:hAnsi="宋体" w:cs="宋体"/>
                <w:bCs/>
                <w:szCs w:val="24"/>
              </w:rPr>
            </w:pPr>
            <w:r>
              <w:rPr>
                <w:rFonts w:hint="eastAsia" w:ascii="宋体" w:hAnsi="宋体" w:cs="宋体"/>
                <w:bCs/>
                <w:szCs w:val="24"/>
              </w:rPr>
              <w:t>T2，O60态导电率≥98%IACS；</w:t>
            </w:r>
          </w:p>
          <w:p w14:paraId="529529D3">
            <w:pPr>
              <w:spacing w:line="360" w:lineRule="auto"/>
              <w:jc w:val="center"/>
              <w:rPr>
                <w:rFonts w:ascii="宋体" w:hAnsi="宋体" w:cs="宋体"/>
                <w:bCs/>
                <w:szCs w:val="24"/>
              </w:rPr>
            </w:pPr>
            <w:r>
              <w:rPr>
                <w:rFonts w:hint="eastAsia" w:ascii="宋体" w:hAnsi="宋体" w:cs="宋体"/>
                <w:bCs/>
                <w:szCs w:val="24"/>
              </w:rPr>
              <w:t>T2，H02态导电率≥96%IACS；</w:t>
            </w:r>
          </w:p>
        </w:tc>
      </w:tr>
      <w:tr w14:paraId="1F4BD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799" w:type="dxa"/>
            <w:shd w:val="clear" w:color="auto" w:fill="auto"/>
            <w:vAlign w:val="center"/>
          </w:tcPr>
          <w:p w14:paraId="5C876683">
            <w:pPr>
              <w:spacing w:line="360" w:lineRule="auto"/>
              <w:jc w:val="center"/>
              <w:rPr>
                <w:rFonts w:ascii="宋体" w:hAnsi="宋体" w:cs="宋体"/>
                <w:bCs/>
                <w:szCs w:val="24"/>
              </w:rPr>
            </w:pPr>
            <w:r>
              <w:rPr>
                <w:rFonts w:hint="eastAsia" w:ascii="宋体" w:hAnsi="宋体" w:cs="宋体"/>
                <w:bCs/>
                <w:szCs w:val="24"/>
              </w:rPr>
              <w:t>13</w:t>
            </w:r>
          </w:p>
        </w:tc>
        <w:tc>
          <w:tcPr>
            <w:tcW w:w="1485" w:type="dxa"/>
            <w:vAlign w:val="center"/>
          </w:tcPr>
          <w:p w14:paraId="2AD6F63E">
            <w:pPr>
              <w:spacing w:line="360" w:lineRule="auto"/>
              <w:jc w:val="center"/>
              <w:rPr>
                <w:rFonts w:ascii="宋体" w:hAnsi="宋体" w:cs="宋体"/>
                <w:bCs/>
                <w:szCs w:val="24"/>
              </w:rPr>
            </w:pPr>
            <w:r>
              <w:rPr>
                <w:rFonts w:hint="eastAsia" w:ascii="宋体" w:hAnsi="宋体" w:cs="宋体"/>
                <w:bCs/>
                <w:szCs w:val="24"/>
              </w:rPr>
              <w:t>表面粗糙度</w:t>
            </w:r>
          </w:p>
        </w:tc>
        <w:tc>
          <w:tcPr>
            <w:tcW w:w="3190" w:type="dxa"/>
            <w:vAlign w:val="center"/>
          </w:tcPr>
          <w:p w14:paraId="265D0965">
            <w:pPr>
              <w:spacing w:line="360" w:lineRule="auto"/>
              <w:jc w:val="center"/>
              <w:rPr>
                <w:rFonts w:ascii="宋体" w:hAnsi="宋体" w:cs="宋体"/>
                <w:bCs/>
                <w:szCs w:val="24"/>
              </w:rPr>
            </w:pPr>
            <w:r>
              <w:rPr>
                <w:rFonts w:hint="eastAsia" w:ascii="宋体" w:hAnsi="宋体" w:cs="宋体"/>
                <w:bCs/>
                <w:szCs w:val="24"/>
              </w:rPr>
              <w:t>无</w:t>
            </w:r>
          </w:p>
        </w:tc>
        <w:tc>
          <w:tcPr>
            <w:tcW w:w="4304" w:type="dxa"/>
            <w:vAlign w:val="center"/>
          </w:tcPr>
          <w:p w14:paraId="4E4ECA04">
            <w:pPr>
              <w:spacing w:line="360" w:lineRule="auto"/>
              <w:jc w:val="center"/>
              <w:rPr>
                <w:rFonts w:ascii="宋体" w:hAnsi="宋体" w:cs="宋体"/>
                <w:bCs/>
                <w:szCs w:val="24"/>
              </w:rPr>
            </w:pPr>
            <w:r>
              <w:rPr>
                <w:rFonts w:hint="eastAsia" w:ascii="宋体" w:hAnsi="宋体" w:cs="宋体"/>
                <w:bCs/>
                <w:szCs w:val="24"/>
              </w:rPr>
              <w:t>增加表面粗糙度要求</w:t>
            </w:r>
          </w:p>
        </w:tc>
      </w:tr>
      <w:tr w14:paraId="1B36D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799" w:type="dxa"/>
            <w:shd w:val="clear" w:color="auto" w:fill="auto"/>
            <w:vAlign w:val="center"/>
          </w:tcPr>
          <w:p w14:paraId="6D808871">
            <w:pPr>
              <w:spacing w:line="360" w:lineRule="auto"/>
              <w:jc w:val="center"/>
              <w:rPr>
                <w:rFonts w:ascii="宋体" w:hAnsi="宋体" w:cs="宋体"/>
                <w:bCs/>
                <w:szCs w:val="24"/>
              </w:rPr>
            </w:pPr>
            <w:r>
              <w:rPr>
                <w:rFonts w:hint="eastAsia" w:ascii="宋体" w:hAnsi="宋体" w:cs="宋体"/>
                <w:bCs/>
                <w:szCs w:val="24"/>
              </w:rPr>
              <w:t>14</w:t>
            </w:r>
          </w:p>
        </w:tc>
        <w:tc>
          <w:tcPr>
            <w:tcW w:w="1485" w:type="dxa"/>
            <w:vAlign w:val="center"/>
          </w:tcPr>
          <w:p w14:paraId="7524A5AD">
            <w:pPr>
              <w:spacing w:line="360" w:lineRule="auto"/>
              <w:jc w:val="center"/>
              <w:rPr>
                <w:rFonts w:ascii="宋体" w:hAnsi="宋体" w:cs="宋体"/>
                <w:bCs/>
                <w:szCs w:val="24"/>
              </w:rPr>
            </w:pPr>
            <w:r>
              <w:rPr>
                <w:rFonts w:hint="eastAsia" w:ascii="宋体" w:hAnsi="宋体" w:cs="宋体"/>
                <w:bCs/>
                <w:szCs w:val="24"/>
              </w:rPr>
              <w:t>拉伸试验方法</w:t>
            </w:r>
          </w:p>
        </w:tc>
        <w:tc>
          <w:tcPr>
            <w:tcW w:w="3190" w:type="dxa"/>
            <w:vAlign w:val="center"/>
          </w:tcPr>
          <w:p w14:paraId="19F9BD3B">
            <w:pPr>
              <w:spacing w:line="360" w:lineRule="auto"/>
              <w:jc w:val="center"/>
              <w:rPr>
                <w:rFonts w:hint="default" w:ascii="宋体" w:hAnsi="宋体" w:eastAsia="宋体" w:cs="宋体"/>
                <w:bCs/>
                <w:szCs w:val="24"/>
                <w:lang w:val="en-US" w:eastAsia="zh-CN"/>
              </w:rPr>
            </w:pPr>
            <w:r>
              <w:rPr>
                <w:rFonts w:hint="eastAsia" w:ascii="宋体" w:hAnsi="宋体" w:cs="宋体"/>
                <w:bCs/>
                <w:szCs w:val="24"/>
              </w:rPr>
              <w:t>GB/T 228.1-</w:t>
            </w:r>
            <w:r>
              <w:rPr>
                <w:rFonts w:hint="eastAsia" w:ascii="宋体" w:hAnsi="宋体" w:cs="宋体"/>
                <w:bCs/>
                <w:szCs w:val="24"/>
                <w:lang w:val="en-US" w:eastAsia="zh-CN"/>
              </w:rPr>
              <w:t>2021</w:t>
            </w:r>
          </w:p>
        </w:tc>
        <w:tc>
          <w:tcPr>
            <w:tcW w:w="4304" w:type="dxa"/>
            <w:vAlign w:val="center"/>
          </w:tcPr>
          <w:p w14:paraId="2BD03221">
            <w:pPr>
              <w:spacing w:line="360" w:lineRule="auto"/>
              <w:jc w:val="center"/>
              <w:rPr>
                <w:rFonts w:ascii="宋体" w:hAnsi="宋体" w:cs="宋体"/>
                <w:bCs/>
                <w:szCs w:val="24"/>
              </w:rPr>
            </w:pPr>
            <w:r>
              <w:rPr>
                <w:rFonts w:hint="eastAsia" w:ascii="宋体" w:hAnsi="宋体" w:cs="宋体"/>
                <w:bCs/>
                <w:szCs w:val="24"/>
              </w:rPr>
              <w:t>GB/T 34505-2017 表3中试样号P1、P2试样</w:t>
            </w:r>
          </w:p>
        </w:tc>
      </w:tr>
      <w:tr w14:paraId="65A14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99" w:type="dxa"/>
            <w:shd w:val="clear" w:color="auto" w:fill="auto"/>
            <w:vAlign w:val="center"/>
          </w:tcPr>
          <w:p w14:paraId="089CF11F">
            <w:pPr>
              <w:spacing w:line="360" w:lineRule="auto"/>
              <w:jc w:val="center"/>
              <w:rPr>
                <w:rFonts w:ascii="宋体" w:hAnsi="宋体" w:cs="宋体"/>
                <w:bCs/>
                <w:szCs w:val="24"/>
              </w:rPr>
            </w:pPr>
            <w:r>
              <w:rPr>
                <w:rFonts w:hint="eastAsia" w:ascii="宋体" w:hAnsi="宋体" w:cs="宋体"/>
                <w:bCs/>
                <w:szCs w:val="24"/>
              </w:rPr>
              <w:t>15</w:t>
            </w:r>
          </w:p>
        </w:tc>
        <w:tc>
          <w:tcPr>
            <w:tcW w:w="1485" w:type="dxa"/>
            <w:vAlign w:val="center"/>
          </w:tcPr>
          <w:p w14:paraId="4A9E4EB4">
            <w:pPr>
              <w:spacing w:line="360" w:lineRule="auto"/>
              <w:jc w:val="center"/>
              <w:rPr>
                <w:rFonts w:ascii="宋体" w:hAnsi="宋体" w:cs="宋体"/>
                <w:bCs/>
                <w:szCs w:val="24"/>
              </w:rPr>
            </w:pPr>
            <w:r>
              <w:rPr>
                <w:rFonts w:hint="eastAsia" w:ascii="宋体" w:hAnsi="宋体" w:cs="宋体"/>
                <w:bCs/>
                <w:szCs w:val="24"/>
              </w:rPr>
              <w:t>型式检验</w:t>
            </w:r>
          </w:p>
        </w:tc>
        <w:tc>
          <w:tcPr>
            <w:tcW w:w="3190" w:type="dxa"/>
            <w:vAlign w:val="center"/>
          </w:tcPr>
          <w:p w14:paraId="2BC4D340">
            <w:pPr>
              <w:spacing w:line="360" w:lineRule="auto"/>
              <w:jc w:val="center"/>
              <w:rPr>
                <w:rFonts w:ascii="宋体" w:hAnsi="宋体" w:cs="宋体"/>
                <w:bCs/>
                <w:szCs w:val="24"/>
              </w:rPr>
            </w:pPr>
            <w:r>
              <w:rPr>
                <w:rFonts w:hint="eastAsia" w:ascii="宋体" w:hAnsi="宋体" w:cs="宋体"/>
                <w:bCs/>
                <w:szCs w:val="24"/>
              </w:rPr>
              <w:t>无</w:t>
            </w:r>
          </w:p>
        </w:tc>
        <w:tc>
          <w:tcPr>
            <w:tcW w:w="4304" w:type="dxa"/>
            <w:vAlign w:val="center"/>
          </w:tcPr>
          <w:p w14:paraId="52683A13">
            <w:pPr>
              <w:spacing w:line="360" w:lineRule="auto"/>
              <w:jc w:val="center"/>
              <w:rPr>
                <w:rFonts w:ascii="宋体" w:hAnsi="宋体" w:cs="宋体"/>
                <w:bCs/>
                <w:szCs w:val="24"/>
              </w:rPr>
            </w:pPr>
            <w:r>
              <w:rPr>
                <w:rFonts w:hint="eastAsia" w:ascii="宋体" w:hAnsi="宋体" w:cs="宋体"/>
                <w:bCs/>
                <w:szCs w:val="24"/>
              </w:rPr>
              <w:t>增加型式检验项目的规定</w:t>
            </w:r>
          </w:p>
        </w:tc>
      </w:tr>
      <w:tr w14:paraId="74BE7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799" w:type="dxa"/>
            <w:vAlign w:val="center"/>
          </w:tcPr>
          <w:p w14:paraId="3A1C4AB9">
            <w:pPr>
              <w:spacing w:line="360" w:lineRule="auto"/>
              <w:jc w:val="center"/>
              <w:rPr>
                <w:rFonts w:ascii="宋体" w:hAnsi="宋体" w:cs="宋体"/>
                <w:bCs/>
                <w:szCs w:val="24"/>
              </w:rPr>
            </w:pPr>
            <w:r>
              <w:rPr>
                <w:rFonts w:hint="eastAsia" w:ascii="宋体" w:hAnsi="宋体" w:cs="宋体"/>
                <w:bCs/>
                <w:szCs w:val="24"/>
              </w:rPr>
              <w:t>16</w:t>
            </w:r>
          </w:p>
        </w:tc>
        <w:tc>
          <w:tcPr>
            <w:tcW w:w="1485" w:type="dxa"/>
            <w:vAlign w:val="center"/>
          </w:tcPr>
          <w:p w14:paraId="135A4279">
            <w:pPr>
              <w:spacing w:line="360" w:lineRule="auto"/>
              <w:jc w:val="center"/>
              <w:rPr>
                <w:rFonts w:ascii="宋体" w:hAnsi="宋体" w:cs="宋体"/>
                <w:bCs/>
                <w:szCs w:val="24"/>
              </w:rPr>
            </w:pPr>
            <w:r>
              <w:rPr>
                <w:rFonts w:hint="eastAsia" w:ascii="宋体" w:hAnsi="宋体" w:cs="宋体"/>
                <w:bCs/>
                <w:szCs w:val="24"/>
              </w:rPr>
              <w:t>检验结果修约</w:t>
            </w:r>
          </w:p>
        </w:tc>
        <w:tc>
          <w:tcPr>
            <w:tcW w:w="3190" w:type="dxa"/>
            <w:vAlign w:val="center"/>
          </w:tcPr>
          <w:p w14:paraId="20E3E2CB">
            <w:pPr>
              <w:spacing w:line="360" w:lineRule="auto"/>
              <w:jc w:val="center"/>
              <w:rPr>
                <w:rFonts w:ascii="宋体" w:hAnsi="宋体" w:cs="宋体"/>
                <w:bCs/>
                <w:szCs w:val="24"/>
              </w:rPr>
            </w:pPr>
            <w:r>
              <w:rPr>
                <w:rFonts w:hint="eastAsia" w:ascii="宋体" w:hAnsi="宋体" w:cs="宋体"/>
                <w:bCs/>
                <w:szCs w:val="24"/>
              </w:rPr>
              <w:t>无</w:t>
            </w:r>
          </w:p>
        </w:tc>
        <w:tc>
          <w:tcPr>
            <w:tcW w:w="4304" w:type="dxa"/>
            <w:vAlign w:val="center"/>
          </w:tcPr>
          <w:p w14:paraId="549AEA88">
            <w:pPr>
              <w:spacing w:line="360" w:lineRule="auto"/>
              <w:jc w:val="center"/>
              <w:rPr>
                <w:rFonts w:ascii="宋体" w:hAnsi="宋体" w:cs="宋体"/>
                <w:bCs/>
                <w:szCs w:val="24"/>
              </w:rPr>
            </w:pPr>
            <w:r>
              <w:rPr>
                <w:rFonts w:hint="eastAsia" w:ascii="宋体" w:hAnsi="宋体" w:cs="宋体"/>
                <w:bCs/>
                <w:szCs w:val="24"/>
              </w:rPr>
              <w:t>检验结果的数值按GB/T 8170规定进行修约，并采用修约值比较法判定。</w:t>
            </w:r>
          </w:p>
        </w:tc>
      </w:tr>
    </w:tbl>
    <w:p w14:paraId="0CFE178B">
      <w:pPr>
        <w:widowControl/>
        <w:spacing w:line="360" w:lineRule="auto"/>
        <w:rPr>
          <w:rFonts w:ascii="宋体" w:hAnsi="宋体"/>
          <w:b/>
          <w:bCs/>
          <w:szCs w:val="24"/>
        </w:rPr>
      </w:pPr>
      <w:r>
        <w:rPr>
          <w:rFonts w:hint="eastAsia" w:ascii="黑体" w:hAnsi="黑体" w:eastAsia="黑体" w:cs="黑体"/>
          <w:szCs w:val="24"/>
        </w:rPr>
        <w:t>4.2 标准主要内容的确定依据</w:t>
      </w:r>
    </w:p>
    <w:p w14:paraId="52E73CD6">
      <w:pPr>
        <w:pStyle w:val="12"/>
        <w:spacing w:line="360" w:lineRule="auto"/>
        <w:rPr>
          <w:rFonts w:ascii="黑体" w:hAnsi="宋体" w:eastAsia="黑体"/>
          <w:bCs/>
        </w:rPr>
      </w:pPr>
      <w:r>
        <w:rPr>
          <w:rFonts w:hint="eastAsia" w:ascii="黑体" w:hAnsi="宋体" w:eastAsia="黑体"/>
          <w:bCs/>
        </w:rPr>
        <w:t>4.2.1  化学成分</w:t>
      </w:r>
    </w:p>
    <w:p w14:paraId="0B068AF6">
      <w:pPr>
        <w:pStyle w:val="12"/>
        <w:spacing w:line="360" w:lineRule="auto"/>
        <w:ind w:firstLine="480" w:firstLineChars="200"/>
        <w:rPr>
          <w:rFonts w:hAnsi="宋体" w:cs="宋体"/>
          <w:bCs/>
        </w:rPr>
      </w:pPr>
      <w:r>
        <w:rPr>
          <w:rFonts w:hint="eastAsia" w:hAnsi="宋体" w:cs="宋体"/>
          <w:bCs/>
        </w:rPr>
        <w:t>目前，市场需求的覆合用铜及铜合金带材的牌号主要有TU2（T10180）、T2（T11050）、</w:t>
      </w:r>
    </w:p>
    <w:p w14:paraId="7E923E6A">
      <w:pPr>
        <w:pStyle w:val="12"/>
        <w:spacing w:line="360" w:lineRule="auto"/>
        <w:rPr>
          <w:rFonts w:hAnsi="宋体" w:cs="宋体"/>
          <w:bCs/>
          <w:szCs w:val="24"/>
        </w:rPr>
      </w:pPr>
      <w:r>
        <w:rPr>
          <w:rFonts w:hint="eastAsia" w:hAnsi="宋体" w:cs="宋体"/>
          <w:bCs/>
        </w:rPr>
        <w:t>H65（C27000）H62（T27600）</w:t>
      </w:r>
      <w:r>
        <w:rPr>
          <w:rFonts w:hint="eastAsia" w:hAnsi="宋体" w:cs="宋体"/>
          <w:bCs/>
          <w:szCs w:val="24"/>
        </w:rPr>
        <w:t>，合金成分实测统计见下表。</w:t>
      </w:r>
    </w:p>
    <w:p w14:paraId="02093098">
      <w:pPr>
        <w:adjustRightInd/>
        <w:spacing w:before="120" w:beforeLines="50" w:after="120" w:afterLines="50" w:line="240" w:lineRule="auto"/>
        <w:jc w:val="center"/>
        <w:textAlignment w:val="auto"/>
        <w:rPr>
          <w:rFonts w:ascii="宋体" w:hAnsi="宋体"/>
        </w:rPr>
      </w:pPr>
      <w:r>
        <w:rPr>
          <w:rFonts w:hint="eastAsia" w:ascii="宋体" w:hAnsi="宋体"/>
        </w:rPr>
        <w:t>表8  TU2（T10180）化学成分统计计算情况</w:t>
      </w:r>
    </w:p>
    <w:tbl>
      <w:tblPr>
        <w:tblStyle w:val="21"/>
        <w:tblW w:w="10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754"/>
        <w:gridCol w:w="738"/>
        <w:gridCol w:w="772"/>
        <w:gridCol w:w="754"/>
        <w:gridCol w:w="687"/>
        <w:gridCol w:w="652"/>
        <w:gridCol w:w="754"/>
        <w:gridCol w:w="756"/>
        <w:gridCol w:w="772"/>
        <w:gridCol w:w="721"/>
        <w:gridCol w:w="829"/>
        <w:gridCol w:w="801"/>
        <w:gridCol w:w="720"/>
      </w:tblGrid>
      <w:tr w14:paraId="06203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 w:hRule="atLeast"/>
          <w:tblHeader/>
          <w:jc w:val="center"/>
        </w:trPr>
        <w:tc>
          <w:tcPr>
            <w:tcW w:w="811" w:type="dxa"/>
            <w:noWrap/>
            <w:vAlign w:val="center"/>
          </w:tcPr>
          <w:p w14:paraId="0FB5E49B">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元素</w:t>
            </w:r>
          </w:p>
        </w:tc>
        <w:tc>
          <w:tcPr>
            <w:tcW w:w="754" w:type="dxa"/>
            <w:noWrap/>
            <w:vAlign w:val="center"/>
          </w:tcPr>
          <w:p w14:paraId="77806635">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Pb(%)</w:t>
            </w:r>
          </w:p>
        </w:tc>
        <w:tc>
          <w:tcPr>
            <w:tcW w:w="738" w:type="dxa"/>
            <w:noWrap/>
            <w:vAlign w:val="center"/>
          </w:tcPr>
          <w:p w14:paraId="207F57F9">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Fe(%)</w:t>
            </w:r>
          </w:p>
        </w:tc>
        <w:tc>
          <w:tcPr>
            <w:tcW w:w="772" w:type="dxa"/>
            <w:noWrap/>
            <w:vAlign w:val="center"/>
          </w:tcPr>
          <w:p w14:paraId="1EAD1713">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Bi(%)</w:t>
            </w:r>
          </w:p>
        </w:tc>
        <w:tc>
          <w:tcPr>
            <w:tcW w:w="754" w:type="dxa"/>
            <w:noWrap/>
            <w:vAlign w:val="center"/>
          </w:tcPr>
          <w:p w14:paraId="77F57DC4">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Sb(%)</w:t>
            </w:r>
          </w:p>
        </w:tc>
        <w:tc>
          <w:tcPr>
            <w:tcW w:w="687" w:type="dxa"/>
            <w:noWrap/>
            <w:vAlign w:val="center"/>
          </w:tcPr>
          <w:p w14:paraId="320E31B7">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As(%)</w:t>
            </w:r>
          </w:p>
        </w:tc>
        <w:tc>
          <w:tcPr>
            <w:tcW w:w="652" w:type="dxa"/>
            <w:noWrap/>
            <w:vAlign w:val="center"/>
          </w:tcPr>
          <w:p w14:paraId="3E698899">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Sn(%)</w:t>
            </w:r>
          </w:p>
        </w:tc>
        <w:tc>
          <w:tcPr>
            <w:tcW w:w="754" w:type="dxa"/>
            <w:noWrap/>
            <w:vAlign w:val="center"/>
          </w:tcPr>
          <w:p w14:paraId="50049CAA">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Ni(%)</w:t>
            </w:r>
          </w:p>
        </w:tc>
        <w:tc>
          <w:tcPr>
            <w:tcW w:w="756" w:type="dxa"/>
            <w:noWrap/>
            <w:vAlign w:val="center"/>
          </w:tcPr>
          <w:p w14:paraId="5AE3EB10">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Zn(%)</w:t>
            </w:r>
          </w:p>
        </w:tc>
        <w:tc>
          <w:tcPr>
            <w:tcW w:w="772" w:type="dxa"/>
            <w:noWrap/>
            <w:vAlign w:val="center"/>
          </w:tcPr>
          <w:p w14:paraId="3B2F1692">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P(%)</w:t>
            </w:r>
          </w:p>
        </w:tc>
        <w:tc>
          <w:tcPr>
            <w:tcW w:w="721" w:type="dxa"/>
            <w:noWrap/>
            <w:vAlign w:val="center"/>
          </w:tcPr>
          <w:p w14:paraId="63E6E8F5">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S(%)</w:t>
            </w:r>
          </w:p>
        </w:tc>
        <w:tc>
          <w:tcPr>
            <w:tcW w:w="829" w:type="dxa"/>
            <w:noWrap/>
            <w:vAlign w:val="center"/>
          </w:tcPr>
          <w:p w14:paraId="58F4FA6F">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Cu+Ag(%)</w:t>
            </w:r>
          </w:p>
        </w:tc>
        <w:tc>
          <w:tcPr>
            <w:tcW w:w="801" w:type="dxa"/>
            <w:noWrap/>
            <w:vAlign w:val="center"/>
          </w:tcPr>
          <w:p w14:paraId="1D722571">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O(%)</w:t>
            </w:r>
          </w:p>
        </w:tc>
        <w:tc>
          <w:tcPr>
            <w:tcW w:w="720" w:type="dxa"/>
            <w:noWrap/>
            <w:vAlign w:val="center"/>
          </w:tcPr>
          <w:p w14:paraId="39C5E94E">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Pb(%)</w:t>
            </w:r>
          </w:p>
        </w:tc>
      </w:tr>
      <w:tr w14:paraId="4FF1D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jc w:val="center"/>
        </w:trPr>
        <w:tc>
          <w:tcPr>
            <w:tcW w:w="811" w:type="dxa"/>
            <w:noWrap/>
            <w:vAlign w:val="center"/>
          </w:tcPr>
          <w:p w14:paraId="4DCA7694">
            <w:pPr>
              <w:widowControl/>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标准值/%</w:t>
            </w:r>
          </w:p>
        </w:tc>
        <w:tc>
          <w:tcPr>
            <w:tcW w:w="754" w:type="dxa"/>
            <w:noWrap/>
            <w:vAlign w:val="center"/>
          </w:tcPr>
          <w:p w14:paraId="2E7BA26B">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≤0.004</w:t>
            </w:r>
          </w:p>
        </w:tc>
        <w:tc>
          <w:tcPr>
            <w:tcW w:w="738" w:type="dxa"/>
            <w:noWrap/>
            <w:vAlign w:val="center"/>
          </w:tcPr>
          <w:p w14:paraId="5BF82C3F">
            <w:pPr>
              <w:widowControl/>
              <w:spacing w:line="240" w:lineRule="auto"/>
              <w:jc w:val="center"/>
              <w:textAlignment w:val="center"/>
              <w:rPr>
                <w:rFonts w:cs="宋体" w:asciiTheme="minorEastAsia" w:hAnsiTheme="minorEastAsia" w:eastAsiaTheme="minorEastAsia"/>
                <w:spacing w:val="-20"/>
                <w:szCs w:val="24"/>
              </w:rPr>
            </w:pPr>
            <w:r>
              <w:rPr>
                <w:rFonts w:hint="eastAsia" w:cs="宋体" w:asciiTheme="minorEastAsia" w:hAnsiTheme="minorEastAsia" w:eastAsiaTheme="minorEastAsia"/>
                <w:szCs w:val="24"/>
                <w:lang w:bidi="ar"/>
              </w:rPr>
              <w:t>≤0.004</w:t>
            </w:r>
          </w:p>
        </w:tc>
        <w:tc>
          <w:tcPr>
            <w:tcW w:w="772" w:type="dxa"/>
            <w:noWrap/>
            <w:vAlign w:val="center"/>
          </w:tcPr>
          <w:p w14:paraId="46C900A2">
            <w:pPr>
              <w:widowControl/>
              <w:spacing w:line="240" w:lineRule="auto"/>
              <w:jc w:val="center"/>
              <w:textAlignment w:val="center"/>
              <w:rPr>
                <w:rFonts w:cs="宋体" w:asciiTheme="minorEastAsia" w:hAnsiTheme="minorEastAsia" w:eastAsiaTheme="minorEastAsia"/>
                <w:spacing w:val="-20"/>
                <w:szCs w:val="24"/>
              </w:rPr>
            </w:pPr>
            <w:r>
              <w:rPr>
                <w:rFonts w:hint="eastAsia" w:cs="宋体" w:asciiTheme="minorEastAsia" w:hAnsiTheme="minorEastAsia" w:eastAsiaTheme="minorEastAsia"/>
                <w:szCs w:val="24"/>
                <w:lang w:bidi="ar"/>
              </w:rPr>
              <w:t>≤0.001</w:t>
            </w:r>
          </w:p>
        </w:tc>
        <w:tc>
          <w:tcPr>
            <w:tcW w:w="754" w:type="dxa"/>
            <w:noWrap/>
            <w:vAlign w:val="center"/>
          </w:tcPr>
          <w:p w14:paraId="0BAE6FC3">
            <w:pPr>
              <w:widowControl/>
              <w:spacing w:line="240" w:lineRule="auto"/>
              <w:jc w:val="center"/>
              <w:textAlignment w:val="center"/>
              <w:rPr>
                <w:rFonts w:cs="宋体" w:asciiTheme="minorEastAsia" w:hAnsiTheme="minorEastAsia" w:eastAsiaTheme="minorEastAsia"/>
                <w:spacing w:val="-20"/>
                <w:szCs w:val="24"/>
              </w:rPr>
            </w:pPr>
            <w:r>
              <w:rPr>
                <w:rFonts w:hint="eastAsia" w:cs="宋体" w:asciiTheme="minorEastAsia" w:hAnsiTheme="minorEastAsia" w:eastAsiaTheme="minorEastAsia"/>
                <w:szCs w:val="24"/>
                <w:lang w:bidi="ar"/>
              </w:rPr>
              <w:t>≤0.002</w:t>
            </w:r>
          </w:p>
        </w:tc>
        <w:tc>
          <w:tcPr>
            <w:tcW w:w="687" w:type="dxa"/>
            <w:noWrap/>
            <w:vAlign w:val="center"/>
          </w:tcPr>
          <w:p w14:paraId="76B2F277">
            <w:pPr>
              <w:widowControl/>
              <w:spacing w:line="240" w:lineRule="auto"/>
              <w:jc w:val="center"/>
              <w:textAlignment w:val="center"/>
              <w:rPr>
                <w:rFonts w:cs="宋体" w:asciiTheme="minorEastAsia" w:hAnsiTheme="minorEastAsia" w:eastAsiaTheme="minorEastAsia"/>
                <w:spacing w:val="-20"/>
                <w:szCs w:val="24"/>
              </w:rPr>
            </w:pPr>
            <w:r>
              <w:rPr>
                <w:rFonts w:hint="eastAsia" w:cs="宋体" w:asciiTheme="minorEastAsia" w:hAnsiTheme="minorEastAsia" w:eastAsiaTheme="minorEastAsia"/>
                <w:szCs w:val="24"/>
                <w:lang w:bidi="ar"/>
              </w:rPr>
              <w:t>≤0.002</w:t>
            </w:r>
          </w:p>
        </w:tc>
        <w:tc>
          <w:tcPr>
            <w:tcW w:w="652" w:type="dxa"/>
            <w:noWrap/>
            <w:vAlign w:val="center"/>
          </w:tcPr>
          <w:p w14:paraId="2BF3705A">
            <w:pPr>
              <w:widowControl/>
              <w:spacing w:line="240" w:lineRule="auto"/>
              <w:jc w:val="center"/>
              <w:textAlignment w:val="center"/>
              <w:rPr>
                <w:rFonts w:cs="宋体" w:asciiTheme="minorEastAsia" w:hAnsiTheme="minorEastAsia" w:eastAsiaTheme="minorEastAsia"/>
                <w:spacing w:val="-20"/>
                <w:szCs w:val="24"/>
              </w:rPr>
            </w:pPr>
            <w:r>
              <w:rPr>
                <w:rFonts w:hint="eastAsia" w:cs="宋体" w:asciiTheme="minorEastAsia" w:hAnsiTheme="minorEastAsia" w:eastAsiaTheme="minorEastAsia"/>
                <w:szCs w:val="24"/>
                <w:lang w:bidi="ar"/>
              </w:rPr>
              <w:t>≤0.002</w:t>
            </w:r>
          </w:p>
        </w:tc>
        <w:tc>
          <w:tcPr>
            <w:tcW w:w="754" w:type="dxa"/>
            <w:noWrap/>
            <w:vAlign w:val="center"/>
          </w:tcPr>
          <w:p w14:paraId="6B487EB8">
            <w:pPr>
              <w:widowControl/>
              <w:spacing w:line="240" w:lineRule="auto"/>
              <w:jc w:val="center"/>
              <w:textAlignment w:val="center"/>
              <w:rPr>
                <w:rFonts w:cs="宋体" w:asciiTheme="minorEastAsia" w:hAnsiTheme="minorEastAsia" w:eastAsiaTheme="minorEastAsia"/>
                <w:spacing w:val="-20"/>
                <w:szCs w:val="24"/>
              </w:rPr>
            </w:pPr>
            <w:r>
              <w:rPr>
                <w:rFonts w:hint="eastAsia" w:cs="宋体" w:asciiTheme="minorEastAsia" w:hAnsiTheme="minorEastAsia" w:eastAsiaTheme="minorEastAsia"/>
                <w:szCs w:val="24"/>
                <w:lang w:bidi="ar"/>
              </w:rPr>
              <w:t>≤0.002</w:t>
            </w:r>
          </w:p>
        </w:tc>
        <w:tc>
          <w:tcPr>
            <w:tcW w:w="756" w:type="dxa"/>
            <w:noWrap/>
            <w:vAlign w:val="center"/>
          </w:tcPr>
          <w:p w14:paraId="59C0678D">
            <w:pPr>
              <w:widowControl/>
              <w:spacing w:line="240" w:lineRule="auto"/>
              <w:jc w:val="center"/>
              <w:textAlignment w:val="center"/>
              <w:rPr>
                <w:rFonts w:cs="宋体" w:asciiTheme="minorEastAsia" w:hAnsiTheme="minorEastAsia" w:eastAsiaTheme="minorEastAsia"/>
                <w:spacing w:val="-20"/>
                <w:szCs w:val="24"/>
              </w:rPr>
            </w:pPr>
            <w:r>
              <w:rPr>
                <w:rFonts w:hint="eastAsia" w:cs="宋体" w:asciiTheme="minorEastAsia" w:hAnsiTheme="minorEastAsia" w:eastAsiaTheme="minorEastAsia"/>
                <w:szCs w:val="24"/>
                <w:lang w:bidi="ar"/>
              </w:rPr>
              <w:t>≤0.003</w:t>
            </w:r>
          </w:p>
        </w:tc>
        <w:tc>
          <w:tcPr>
            <w:tcW w:w="772" w:type="dxa"/>
            <w:noWrap/>
            <w:vAlign w:val="center"/>
          </w:tcPr>
          <w:p w14:paraId="085CF846">
            <w:pPr>
              <w:widowControl/>
              <w:spacing w:line="240" w:lineRule="auto"/>
              <w:jc w:val="center"/>
              <w:textAlignment w:val="center"/>
              <w:rPr>
                <w:rFonts w:cs="宋体" w:asciiTheme="minorEastAsia" w:hAnsiTheme="minorEastAsia" w:eastAsiaTheme="minorEastAsia"/>
                <w:spacing w:val="-20"/>
                <w:szCs w:val="24"/>
              </w:rPr>
            </w:pPr>
            <w:r>
              <w:rPr>
                <w:rFonts w:hint="eastAsia" w:cs="宋体" w:asciiTheme="minorEastAsia" w:hAnsiTheme="minorEastAsia" w:eastAsiaTheme="minorEastAsia"/>
                <w:szCs w:val="24"/>
                <w:lang w:bidi="ar"/>
              </w:rPr>
              <w:t>≤0.002</w:t>
            </w:r>
          </w:p>
        </w:tc>
        <w:tc>
          <w:tcPr>
            <w:tcW w:w="721" w:type="dxa"/>
            <w:noWrap/>
            <w:vAlign w:val="center"/>
          </w:tcPr>
          <w:p w14:paraId="25676D1C">
            <w:pPr>
              <w:widowControl/>
              <w:spacing w:line="240" w:lineRule="auto"/>
              <w:jc w:val="center"/>
              <w:textAlignment w:val="center"/>
              <w:rPr>
                <w:rFonts w:cs="宋体" w:asciiTheme="minorEastAsia" w:hAnsiTheme="minorEastAsia" w:eastAsiaTheme="minorEastAsia"/>
                <w:spacing w:val="-20"/>
                <w:szCs w:val="24"/>
              </w:rPr>
            </w:pPr>
            <w:r>
              <w:rPr>
                <w:rFonts w:hint="eastAsia" w:cs="宋体" w:asciiTheme="minorEastAsia" w:hAnsiTheme="minorEastAsia" w:eastAsiaTheme="minorEastAsia"/>
                <w:szCs w:val="24"/>
                <w:lang w:bidi="ar"/>
              </w:rPr>
              <w:t>≤0.004</w:t>
            </w:r>
          </w:p>
        </w:tc>
        <w:tc>
          <w:tcPr>
            <w:tcW w:w="829" w:type="dxa"/>
            <w:noWrap/>
            <w:vAlign w:val="center"/>
          </w:tcPr>
          <w:p w14:paraId="428C57FA">
            <w:pPr>
              <w:widowControl/>
              <w:spacing w:line="240" w:lineRule="auto"/>
              <w:jc w:val="center"/>
              <w:textAlignment w:val="center"/>
              <w:rPr>
                <w:rFonts w:cs="宋体" w:asciiTheme="minorEastAsia" w:hAnsiTheme="minorEastAsia" w:eastAsiaTheme="minorEastAsia"/>
                <w:spacing w:val="-20"/>
                <w:szCs w:val="24"/>
              </w:rPr>
            </w:pPr>
            <w:r>
              <w:rPr>
                <w:rFonts w:hint="eastAsia" w:cs="宋体" w:asciiTheme="minorEastAsia" w:hAnsiTheme="minorEastAsia" w:eastAsiaTheme="minorEastAsia"/>
                <w:szCs w:val="24"/>
                <w:lang w:bidi="ar"/>
              </w:rPr>
              <w:t>≥99.95</w:t>
            </w:r>
          </w:p>
        </w:tc>
        <w:tc>
          <w:tcPr>
            <w:tcW w:w="801" w:type="dxa"/>
            <w:noWrap/>
            <w:vAlign w:val="center"/>
          </w:tcPr>
          <w:p w14:paraId="4FC4C517">
            <w:pPr>
              <w:widowControl/>
              <w:spacing w:line="240" w:lineRule="auto"/>
              <w:jc w:val="center"/>
              <w:textAlignment w:val="center"/>
              <w:rPr>
                <w:rFonts w:cs="宋体" w:asciiTheme="minorEastAsia" w:hAnsiTheme="minorEastAsia" w:eastAsiaTheme="minorEastAsia"/>
                <w:spacing w:val="-20"/>
                <w:szCs w:val="24"/>
              </w:rPr>
            </w:pPr>
            <w:r>
              <w:rPr>
                <w:rFonts w:hint="eastAsia" w:cs="宋体" w:asciiTheme="minorEastAsia" w:hAnsiTheme="minorEastAsia" w:eastAsiaTheme="minorEastAsia"/>
                <w:szCs w:val="24"/>
                <w:lang w:bidi="ar"/>
              </w:rPr>
              <w:t>≤0.003</w:t>
            </w:r>
          </w:p>
        </w:tc>
        <w:tc>
          <w:tcPr>
            <w:tcW w:w="720" w:type="dxa"/>
            <w:noWrap/>
            <w:vAlign w:val="center"/>
          </w:tcPr>
          <w:p w14:paraId="1CA4456A">
            <w:pPr>
              <w:widowControl/>
              <w:spacing w:line="240" w:lineRule="auto"/>
              <w:jc w:val="center"/>
              <w:textAlignment w:val="center"/>
              <w:rPr>
                <w:rFonts w:cs="宋体" w:asciiTheme="minorEastAsia" w:hAnsiTheme="minorEastAsia" w:eastAsiaTheme="minorEastAsia"/>
                <w:spacing w:val="-20"/>
                <w:szCs w:val="24"/>
              </w:rPr>
            </w:pPr>
            <w:r>
              <w:rPr>
                <w:rFonts w:hint="eastAsia" w:cs="宋体" w:asciiTheme="minorEastAsia" w:hAnsiTheme="minorEastAsia" w:eastAsiaTheme="minorEastAsia"/>
                <w:szCs w:val="24"/>
                <w:lang w:bidi="ar"/>
              </w:rPr>
              <w:t>≤0.004</w:t>
            </w:r>
          </w:p>
        </w:tc>
      </w:tr>
      <w:tr w14:paraId="2B5B9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 w:hRule="atLeast"/>
          <w:jc w:val="center"/>
        </w:trPr>
        <w:tc>
          <w:tcPr>
            <w:tcW w:w="811" w:type="dxa"/>
            <w:noWrap/>
            <w:vAlign w:val="center"/>
          </w:tcPr>
          <w:p w14:paraId="40AB6751">
            <w:pPr>
              <w:widowControl/>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实际值/%</w:t>
            </w:r>
          </w:p>
        </w:tc>
        <w:tc>
          <w:tcPr>
            <w:tcW w:w="754" w:type="dxa"/>
            <w:noWrap/>
            <w:vAlign w:val="center"/>
          </w:tcPr>
          <w:p w14:paraId="59FA955B">
            <w:pPr>
              <w:spacing w:line="240" w:lineRule="auto"/>
              <w:jc w:val="center"/>
              <w:rPr>
                <w:rFonts w:cs="宋体" w:asciiTheme="minorEastAsia" w:hAnsiTheme="minorEastAsia" w:eastAsiaTheme="minorEastAsia"/>
                <w:spacing w:val="-20"/>
                <w:szCs w:val="24"/>
              </w:rPr>
            </w:pPr>
            <w:r>
              <w:rPr>
                <w:rFonts w:hint="eastAsia" w:cs="宋体" w:asciiTheme="minorEastAsia" w:hAnsiTheme="minorEastAsia" w:eastAsiaTheme="minorEastAsia"/>
                <w:szCs w:val="24"/>
              </w:rPr>
              <w:t>≥</w:t>
            </w:r>
            <w:r>
              <w:rPr>
                <w:rFonts w:hint="eastAsia" w:cs="宋体" w:asciiTheme="minorEastAsia" w:hAnsiTheme="minorEastAsia" w:eastAsiaTheme="minorEastAsia"/>
                <w:spacing w:val="-20"/>
                <w:szCs w:val="24"/>
              </w:rPr>
              <w:t>99.990</w:t>
            </w:r>
          </w:p>
        </w:tc>
        <w:tc>
          <w:tcPr>
            <w:tcW w:w="738" w:type="dxa"/>
            <w:noWrap/>
            <w:vAlign w:val="center"/>
          </w:tcPr>
          <w:p w14:paraId="2C334937">
            <w:pPr>
              <w:spacing w:line="240" w:lineRule="auto"/>
              <w:jc w:val="center"/>
              <w:rPr>
                <w:rFonts w:cs="宋体" w:asciiTheme="minorEastAsia" w:hAnsiTheme="minorEastAsia" w:eastAsiaTheme="minorEastAsia"/>
                <w:spacing w:val="-20"/>
                <w:szCs w:val="24"/>
              </w:rPr>
            </w:pPr>
            <w:r>
              <w:rPr>
                <w:rFonts w:hint="eastAsia" w:cs="宋体" w:asciiTheme="minorEastAsia" w:hAnsiTheme="minorEastAsia" w:eastAsiaTheme="minorEastAsia"/>
                <w:spacing w:val="-20"/>
                <w:szCs w:val="24"/>
              </w:rPr>
              <w:t>＜0.0003</w:t>
            </w:r>
          </w:p>
        </w:tc>
        <w:tc>
          <w:tcPr>
            <w:tcW w:w="772" w:type="dxa"/>
            <w:noWrap/>
            <w:vAlign w:val="center"/>
          </w:tcPr>
          <w:p w14:paraId="5B911D41">
            <w:pPr>
              <w:spacing w:line="240" w:lineRule="auto"/>
              <w:jc w:val="center"/>
              <w:rPr>
                <w:rFonts w:cs="宋体" w:asciiTheme="minorEastAsia" w:hAnsiTheme="minorEastAsia" w:eastAsiaTheme="minorEastAsia"/>
                <w:spacing w:val="-20"/>
                <w:szCs w:val="24"/>
              </w:rPr>
            </w:pPr>
            <w:r>
              <w:rPr>
                <w:rFonts w:hint="eastAsia" w:cs="宋体" w:asciiTheme="minorEastAsia" w:hAnsiTheme="minorEastAsia" w:eastAsiaTheme="minorEastAsia"/>
                <w:spacing w:val="-20"/>
                <w:szCs w:val="24"/>
              </w:rPr>
              <w:t>＜0.0001</w:t>
            </w:r>
          </w:p>
        </w:tc>
        <w:tc>
          <w:tcPr>
            <w:tcW w:w="754" w:type="dxa"/>
            <w:noWrap/>
            <w:vAlign w:val="center"/>
          </w:tcPr>
          <w:p w14:paraId="32DCFF85">
            <w:pPr>
              <w:spacing w:line="240" w:lineRule="auto"/>
              <w:jc w:val="center"/>
              <w:rPr>
                <w:rFonts w:cs="宋体" w:asciiTheme="minorEastAsia" w:hAnsiTheme="minorEastAsia" w:eastAsiaTheme="minorEastAsia"/>
                <w:spacing w:val="-20"/>
                <w:szCs w:val="24"/>
              </w:rPr>
            </w:pPr>
            <w:r>
              <w:rPr>
                <w:rFonts w:hint="eastAsia" w:cs="宋体" w:asciiTheme="minorEastAsia" w:hAnsiTheme="minorEastAsia" w:eastAsiaTheme="minorEastAsia"/>
                <w:spacing w:val="-20"/>
                <w:szCs w:val="24"/>
              </w:rPr>
              <w:t>＜0.0004</w:t>
            </w:r>
          </w:p>
        </w:tc>
        <w:tc>
          <w:tcPr>
            <w:tcW w:w="687" w:type="dxa"/>
            <w:noWrap/>
            <w:vAlign w:val="center"/>
          </w:tcPr>
          <w:p w14:paraId="27E42B1B">
            <w:pPr>
              <w:spacing w:line="240" w:lineRule="auto"/>
              <w:jc w:val="center"/>
              <w:rPr>
                <w:rFonts w:cs="宋体" w:asciiTheme="minorEastAsia" w:hAnsiTheme="minorEastAsia" w:eastAsiaTheme="minorEastAsia"/>
                <w:spacing w:val="-20"/>
                <w:szCs w:val="24"/>
              </w:rPr>
            </w:pPr>
            <w:r>
              <w:rPr>
                <w:rFonts w:hint="eastAsia" w:cs="宋体" w:asciiTheme="minorEastAsia" w:hAnsiTheme="minorEastAsia" w:eastAsiaTheme="minorEastAsia"/>
                <w:spacing w:val="-20"/>
                <w:szCs w:val="24"/>
              </w:rPr>
              <w:t>＜0.0005</w:t>
            </w:r>
          </w:p>
        </w:tc>
        <w:tc>
          <w:tcPr>
            <w:tcW w:w="652" w:type="dxa"/>
            <w:noWrap/>
            <w:vAlign w:val="center"/>
          </w:tcPr>
          <w:p w14:paraId="77F8063D">
            <w:pPr>
              <w:spacing w:line="240" w:lineRule="auto"/>
              <w:jc w:val="center"/>
              <w:rPr>
                <w:rFonts w:cs="宋体" w:asciiTheme="minorEastAsia" w:hAnsiTheme="minorEastAsia" w:eastAsiaTheme="minorEastAsia"/>
                <w:spacing w:val="-20"/>
                <w:szCs w:val="24"/>
              </w:rPr>
            </w:pPr>
            <w:r>
              <w:rPr>
                <w:rFonts w:hint="eastAsia" w:cs="宋体" w:asciiTheme="minorEastAsia" w:hAnsiTheme="minorEastAsia" w:eastAsiaTheme="minorEastAsia"/>
                <w:spacing w:val="-20"/>
                <w:szCs w:val="24"/>
              </w:rPr>
              <w:t>＜0.0010</w:t>
            </w:r>
          </w:p>
        </w:tc>
        <w:tc>
          <w:tcPr>
            <w:tcW w:w="754" w:type="dxa"/>
            <w:noWrap/>
            <w:vAlign w:val="center"/>
          </w:tcPr>
          <w:p w14:paraId="67D5175F">
            <w:pPr>
              <w:spacing w:line="240" w:lineRule="auto"/>
              <w:jc w:val="center"/>
              <w:rPr>
                <w:rFonts w:cs="宋体" w:asciiTheme="minorEastAsia" w:hAnsiTheme="minorEastAsia" w:eastAsiaTheme="minorEastAsia"/>
                <w:spacing w:val="-20"/>
                <w:szCs w:val="24"/>
              </w:rPr>
            </w:pPr>
            <w:r>
              <w:rPr>
                <w:rFonts w:hint="eastAsia" w:cs="宋体" w:asciiTheme="minorEastAsia" w:hAnsiTheme="minorEastAsia" w:eastAsiaTheme="minorEastAsia"/>
                <w:spacing w:val="-20"/>
                <w:szCs w:val="24"/>
              </w:rPr>
              <w:t>＜0.0010</w:t>
            </w:r>
          </w:p>
        </w:tc>
        <w:tc>
          <w:tcPr>
            <w:tcW w:w="756" w:type="dxa"/>
            <w:noWrap/>
            <w:vAlign w:val="center"/>
          </w:tcPr>
          <w:p w14:paraId="21C85D98">
            <w:pPr>
              <w:spacing w:line="240" w:lineRule="auto"/>
              <w:jc w:val="center"/>
              <w:rPr>
                <w:rFonts w:cs="宋体" w:asciiTheme="minorEastAsia" w:hAnsiTheme="minorEastAsia" w:eastAsiaTheme="minorEastAsia"/>
                <w:spacing w:val="-20"/>
                <w:szCs w:val="24"/>
              </w:rPr>
            </w:pPr>
            <w:r>
              <w:rPr>
                <w:rFonts w:hint="eastAsia" w:cs="宋体" w:asciiTheme="minorEastAsia" w:hAnsiTheme="minorEastAsia" w:eastAsiaTheme="minorEastAsia"/>
                <w:spacing w:val="-20"/>
                <w:szCs w:val="24"/>
              </w:rPr>
              <w:t>＜0.0005</w:t>
            </w:r>
          </w:p>
        </w:tc>
        <w:tc>
          <w:tcPr>
            <w:tcW w:w="772" w:type="dxa"/>
            <w:noWrap/>
            <w:vAlign w:val="center"/>
          </w:tcPr>
          <w:p w14:paraId="11A1F4E5">
            <w:pPr>
              <w:spacing w:line="240" w:lineRule="auto"/>
              <w:jc w:val="center"/>
              <w:rPr>
                <w:rFonts w:cs="宋体" w:asciiTheme="minorEastAsia" w:hAnsiTheme="minorEastAsia" w:eastAsiaTheme="minorEastAsia"/>
                <w:spacing w:val="-20"/>
                <w:szCs w:val="24"/>
              </w:rPr>
            </w:pPr>
            <w:r>
              <w:rPr>
                <w:rFonts w:hint="eastAsia" w:cs="宋体" w:asciiTheme="minorEastAsia" w:hAnsiTheme="minorEastAsia" w:eastAsiaTheme="minorEastAsia"/>
                <w:spacing w:val="-20"/>
                <w:szCs w:val="24"/>
              </w:rPr>
              <w:t>＜0.0002</w:t>
            </w:r>
          </w:p>
        </w:tc>
        <w:tc>
          <w:tcPr>
            <w:tcW w:w="721" w:type="dxa"/>
            <w:noWrap/>
            <w:vAlign w:val="center"/>
          </w:tcPr>
          <w:p w14:paraId="4A6DD1AD">
            <w:pPr>
              <w:spacing w:line="240" w:lineRule="auto"/>
              <w:jc w:val="center"/>
              <w:rPr>
                <w:rFonts w:cs="宋体" w:asciiTheme="minorEastAsia" w:hAnsiTheme="minorEastAsia" w:eastAsiaTheme="minorEastAsia"/>
                <w:spacing w:val="-20"/>
                <w:szCs w:val="24"/>
              </w:rPr>
            </w:pPr>
            <w:r>
              <w:rPr>
                <w:rFonts w:hint="eastAsia" w:cs="宋体" w:asciiTheme="minorEastAsia" w:hAnsiTheme="minorEastAsia" w:eastAsiaTheme="minorEastAsia"/>
                <w:spacing w:val="-20"/>
                <w:szCs w:val="24"/>
              </w:rPr>
              <w:t>＜0.0015</w:t>
            </w:r>
          </w:p>
        </w:tc>
        <w:tc>
          <w:tcPr>
            <w:tcW w:w="829" w:type="dxa"/>
            <w:noWrap/>
            <w:vAlign w:val="center"/>
          </w:tcPr>
          <w:p w14:paraId="13D1C10E">
            <w:pPr>
              <w:spacing w:line="240" w:lineRule="auto"/>
              <w:jc w:val="center"/>
              <w:rPr>
                <w:rFonts w:cs="宋体" w:asciiTheme="minorEastAsia" w:hAnsiTheme="minorEastAsia" w:eastAsiaTheme="minorEastAsia"/>
                <w:spacing w:val="-20"/>
                <w:szCs w:val="24"/>
              </w:rPr>
            </w:pPr>
            <w:r>
              <w:rPr>
                <w:rFonts w:hint="eastAsia" w:cs="宋体" w:asciiTheme="minorEastAsia" w:hAnsiTheme="minorEastAsia" w:eastAsiaTheme="minorEastAsia"/>
                <w:spacing w:val="-20"/>
                <w:szCs w:val="24"/>
              </w:rPr>
              <w:t>＜0.0001</w:t>
            </w:r>
          </w:p>
        </w:tc>
        <w:tc>
          <w:tcPr>
            <w:tcW w:w="801" w:type="dxa"/>
            <w:noWrap/>
            <w:vAlign w:val="center"/>
          </w:tcPr>
          <w:p w14:paraId="1E95A23B">
            <w:pPr>
              <w:spacing w:line="240" w:lineRule="auto"/>
              <w:jc w:val="center"/>
              <w:rPr>
                <w:rFonts w:cs="宋体" w:asciiTheme="minorEastAsia" w:hAnsiTheme="minorEastAsia" w:eastAsiaTheme="minorEastAsia"/>
                <w:spacing w:val="-20"/>
                <w:szCs w:val="24"/>
              </w:rPr>
            </w:pPr>
            <w:r>
              <w:rPr>
                <w:rFonts w:hint="eastAsia" w:cs="宋体" w:asciiTheme="minorEastAsia" w:hAnsiTheme="minorEastAsia" w:eastAsiaTheme="minorEastAsia"/>
                <w:spacing w:val="-20"/>
                <w:szCs w:val="24"/>
              </w:rPr>
              <w:t xml:space="preserve">＜0.00005 </w:t>
            </w:r>
          </w:p>
        </w:tc>
        <w:tc>
          <w:tcPr>
            <w:tcW w:w="720" w:type="dxa"/>
            <w:noWrap/>
            <w:vAlign w:val="center"/>
          </w:tcPr>
          <w:p w14:paraId="203BF835">
            <w:pPr>
              <w:spacing w:line="240" w:lineRule="auto"/>
              <w:jc w:val="center"/>
              <w:rPr>
                <w:rFonts w:cs="宋体" w:asciiTheme="minorEastAsia" w:hAnsiTheme="minorEastAsia" w:eastAsiaTheme="minorEastAsia"/>
                <w:spacing w:val="-20"/>
                <w:szCs w:val="24"/>
              </w:rPr>
            </w:pPr>
            <w:r>
              <w:rPr>
                <w:rFonts w:hint="eastAsia" w:cs="宋体" w:asciiTheme="minorEastAsia" w:hAnsiTheme="minorEastAsia" w:eastAsiaTheme="minorEastAsia"/>
                <w:spacing w:val="-20"/>
                <w:szCs w:val="24"/>
              </w:rPr>
              <w:t>≤0.0005</w:t>
            </w:r>
          </w:p>
        </w:tc>
      </w:tr>
      <w:tr w14:paraId="31F44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 w:hRule="atLeast"/>
          <w:jc w:val="center"/>
        </w:trPr>
        <w:tc>
          <w:tcPr>
            <w:tcW w:w="811" w:type="dxa"/>
            <w:noWrap/>
            <w:vAlign w:val="center"/>
          </w:tcPr>
          <w:p w14:paraId="1B0128A6">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统计数/个</w:t>
            </w:r>
          </w:p>
        </w:tc>
        <w:tc>
          <w:tcPr>
            <w:tcW w:w="754" w:type="dxa"/>
            <w:noWrap/>
            <w:vAlign w:val="center"/>
          </w:tcPr>
          <w:p w14:paraId="01965022">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60</w:t>
            </w:r>
          </w:p>
        </w:tc>
        <w:tc>
          <w:tcPr>
            <w:tcW w:w="738" w:type="dxa"/>
            <w:noWrap/>
            <w:vAlign w:val="center"/>
          </w:tcPr>
          <w:p w14:paraId="64EDC39E">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60</w:t>
            </w:r>
          </w:p>
        </w:tc>
        <w:tc>
          <w:tcPr>
            <w:tcW w:w="772" w:type="dxa"/>
            <w:noWrap/>
            <w:vAlign w:val="center"/>
          </w:tcPr>
          <w:p w14:paraId="636B0AEA">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60</w:t>
            </w:r>
          </w:p>
        </w:tc>
        <w:tc>
          <w:tcPr>
            <w:tcW w:w="754" w:type="dxa"/>
            <w:noWrap/>
            <w:vAlign w:val="center"/>
          </w:tcPr>
          <w:p w14:paraId="22F2CEF4">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60</w:t>
            </w:r>
          </w:p>
        </w:tc>
        <w:tc>
          <w:tcPr>
            <w:tcW w:w="687" w:type="dxa"/>
            <w:noWrap/>
            <w:vAlign w:val="center"/>
          </w:tcPr>
          <w:p w14:paraId="21855D94">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60</w:t>
            </w:r>
          </w:p>
        </w:tc>
        <w:tc>
          <w:tcPr>
            <w:tcW w:w="652" w:type="dxa"/>
            <w:noWrap/>
            <w:vAlign w:val="center"/>
          </w:tcPr>
          <w:p w14:paraId="3CC3BD0E">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60</w:t>
            </w:r>
          </w:p>
        </w:tc>
        <w:tc>
          <w:tcPr>
            <w:tcW w:w="754" w:type="dxa"/>
            <w:noWrap/>
            <w:vAlign w:val="center"/>
          </w:tcPr>
          <w:p w14:paraId="7C321858">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60</w:t>
            </w:r>
          </w:p>
        </w:tc>
        <w:tc>
          <w:tcPr>
            <w:tcW w:w="756" w:type="dxa"/>
            <w:noWrap/>
            <w:vAlign w:val="center"/>
          </w:tcPr>
          <w:p w14:paraId="274CB223">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60</w:t>
            </w:r>
          </w:p>
        </w:tc>
        <w:tc>
          <w:tcPr>
            <w:tcW w:w="772" w:type="dxa"/>
            <w:noWrap/>
            <w:vAlign w:val="center"/>
          </w:tcPr>
          <w:p w14:paraId="51B7CB7C">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60</w:t>
            </w:r>
          </w:p>
        </w:tc>
        <w:tc>
          <w:tcPr>
            <w:tcW w:w="721" w:type="dxa"/>
            <w:noWrap/>
            <w:vAlign w:val="center"/>
          </w:tcPr>
          <w:p w14:paraId="13815692">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60</w:t>
            </w:r>
          </w:p>
        </w:tc>
        <w:tc>
          <w:tcPr>
            <w:tcW w:w="829" w:type="dxa"/>
            <w:noWrap/>
            <w:vAlign w:val="center"/>
          </w:tcPr>
          <w:p w14:paraId="75D5EB45">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60</w:t>
            </w:r>
          </w:p>
        </w:tc>
        <w:tc>
          <w:tcPr>
            <w:tcW w:w="801" w:type="dxa"/>
            <w:noWrap/>
            <w:vAlign w:val="center"/>
          </w:tcPr>
          <w:p w14:paraId="5C5FDC66">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60</w:t>
            </w:r>
          </w:p>
        </w:tc>
        <w:tc>
          <w:tcPr>
            <w:tcW w:w="720" w:type="dxa"/>
            <w:noWrap/>
            <w:vAlign w:val="center"/>
          </w:tcPr>
          <w:p w14:paraId="4A4F8EBE">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60</w:t>
            </w:r>
          </w:p>
        </w:tc>
      </w:tr>
      <w:tr w14:paraId="1C332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 w:hRule="atLeast"/>
          <w:jc w:val="center"/>
        </w:trPr>
        <w:tc>
          <w:tcPr>
            <w:tcW w:w="811" w:type="dxa"/>
            <w:noWrap/>
            <w:vAlign w:val="center"/>
          </w:tcPr>
          <w:p w14:paraId="28BDD2FC">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合格数/个</w:t>
            </w:r>
          </w:p>
        </w:tc>
        <w:tc>
          <w:tcPr>
            <w:tcW w:w="754" w:type="dxa"/>
            <w:noWrap/>
            <w:vAlign w:val="center"/>
          </w:tcPr>
          <w:p w14:paraId="35F35AD2">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60</w:t>
            </w:r>
          </w:p>
        </w:tc>
        <w:tc>
          <w:tcPr>
            <w:tcW w:w="738" w:type="dxa"/>
            <w:noWrap/>
            <w:vAlign w:val="center"/>
          </w:tcPr>
          <w:p w14:paraId="144C0BC6">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60</w:t>
            </w:r>
          </w:p>
        </w:tc>
        <w:tc>
          <w:tcPr>
            <w:tcW w:w="772" w:type="dxa"/>
            <w:noWrap/>
            <w:vAlign w:val="center"/>
          </w:tcPr>
          <w:p w14:paraId="04C2703D">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60</w:t>
            </w:r>
          </w:p>
        </w:tc>
        <w:tc>
          <w:tcPr>
            <w:tcW w:w="754" w:type="dxa"/>
            <w:noWrap/>
            <w:vAlign w:val="center"/>
          </w:tcPr>
          <w:p w14:paraId="5705756B">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60</w:t>
            </w:r>
          </w:p>
        </w:tc>
        <w:tc>
          <w:tcPr>
            <w:tcW w:w="687" w:type="dxa"/>
            <w:noWrap/>
            <w:vAlign w:val="center"/>
          </w:tcPr>
          <w:p w14:paraId="0471FBA1">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60</w:t>
            </w:r>
          </w:p>
        </w:tc>
        <w:tc>
          <w:tcPr>
            <w:tcW w:w="652" w:type="dxa"/>
            <w:noWrap/>
            <w:vAlign w:val="center"/>
          </w:tcPr>
          <w:p w14:paraId="0AEB67DF">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60</w:t>
            </w:r>
          </w:p>
        </w:tc>
        <w:tc>
          <w:tcPr>
            <w:tcW w:w="754" w:type="dxa"/>
            <w:noWrap/>
            <w:vAlign w:val="center"/>
          </w:tcPr>
          <w:p w14:paraId="5469748E">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60</w:t>
            </w:r>
          </w:p>
        </w:tc>
        <w:tc>
          <w:tcPr>
            <w:tcW w:w="756" w:type="dxa"/>
            <w:noWrap/>
            <w:vAlign w:val="center"/>
          </w:tcPr>
          <w:p w14:paraId="3DBDE2A4">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60</w:t>
            </w:r>
          </w:p>
        </w:tc>
        <w:tc>
          <w:tcPr>
            <w:tcW w:w="772" w:type="dxa"/>
            <w:noWrap/>
            <w:vAlign w:val="center"/>
          </w:tcPr>
          <w:p w14:paraId="0BCA6506">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60</w:t>
            </w:r>
          </w:p>
        </w:tc>
        <w:tc>
          <w:tcPr>
            <w:tcW w:w="721" w:type="dxa"/>
            <w:noWrap/>
            <w:vAlign w:val="center"/>
          </w:tcPr>
          <w:p w14:paraId="30ED2485">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60</w:t>
            </w:r>
          </w:p>
        </w:tc>
        <w:tc>
          <w:tcPr>
            <w:tcW w:w="829" w:type="dxa"/>
            <w:noWrap/>
            <w:vAlign w:val="center"/>
          </w:tcPr>
          <w:p w14:paraId="506A8E85">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60</w:t>
            </w:r>
          </w:p>
        </w:tc>
        <w:tc>
          <w:tcPr>
            <w:tcW w:w="801" w:type="dxa"/>
            <w:noWrap/>
            <w:vAlign w:val="center"/>
          </w:tcPr>
          <w:p w14:paraId="1603EFC8">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60</w:t>
            </w:r>
          </w:p>
        </w:tc>
        <w:tc>
          <w:tcPr>
            <w:tcW w:w="720" w:type="dxa"/>
            <w:noWrap/>
            <w:vAlign w:val="center"/>
          </w:tcPr>
          <w:p w14:paraId="7535D18E">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60</w:t>
            </w:r>
          </w:p>
        </w:tc>
      </w:tr>
      <w:tr w14:paraId="79855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 w:hRule="atLeast"/>
          <w:jc w:val="center"/>
        </w:trPr>
        <w:tc>
          <w:tcPr>
            <w:tcW w:w="811" w:type="dxa"/>
            <w:noWrap/>
            <w:vAlign w:val="center"/>
          </w:tcPr>
          <w:p w14:paraId="3AE1BF54">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合格率/%</w:t>
            </w:r>
          </w:p>
        </w:tc>
        <w:tc>
          <w:tcPr>
            <w:tcW w:w="754" w:type="dxa"/>
            <w:noWrap/>
            <w:vAlign w:val="center"/>
          </w:tcPr>
          <w:p w14:paraId="466BCE32">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100</w:t>
            </w:r>
          </w:p>
        </w:tc>
        <w:tc>
          <w:tcPr>
            <w:tcW w:w="738" w:type="dxa"/>
            <w:noWrap/>
            <w:vAlign w:val="center"/>
          </w:tcPr>
          <w:p w14:paraId="3069CEF6">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100</w:t>
            </w:r>
          </w:p>
        </w:tc>
        <w:tc>
          <w:tcPr>
            <w:tcW w:w="772" w:type="dxa"/>
            <w:noWrap/>
            <w:vAlign w:val="center"/>
          </w:tcPr>
          <w:p w14:paraId="1704CDEC">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100</w:t>
            </w:r>
          </w:p>
        </w:tc>
        <w:tc>
          <w:tcPr>
            <w:tcW w:w="754" w:type="dxa"/>
            <w:noWrap/>
            <w:vAlign w:val="center"/>
          </w:tcPr>
          <w:p w14:paraId="7AB5132E">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100</w:t>
            </w:r>
          </w:p>
        </w:tc>
        <w:tc>
          <w:tcPr>
            <w:tcW w:w="687" w:type="dxa"/>
            <w:noWrap/>
            <w:vAlign w:val="center"/>
          </w:tcPr>
          <w:p w14:paraId="771C29E8">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100</w:t>
            </w:r>
          </w:p>
        </w:tc>
        <w:tc>
          <w:tcPr>
            <w:tcW w:w="652" w:type="dxa"/>
            <w:noWrap/>
            <w:vAlign w:val="center"/>
          </w:tcPr>
          <w:p w14:paraId="78CD2F64">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100</w:t>
            </w:r>
          </w:p>
        </w:tc>
        <w:tc>
          <w:tcPr>
            <w:tcW w:w="754" w:type="dxa"/>
            <w:noWrap/>
            <w:vAlign w:val="center"/>
          </w:tcPr>
          <w:p w14:paraId="1B44B461">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100</w:t>
            </w:r>
          </w:p>
        </w:tc>
        <w:tc>
          <w:tcPr>
            <w:tcW w:w="756" w:type="dxa"/>
            <w:noWrap/>
            <w:vAlign w:val="center"/>
          </w:tcPr>
          <w:p w14:paraId="5B807195">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100</w:t>
            </w:r>
          </w:p>
        </w:tc>
        <w:tc>
          <w:tcPr>
            <w:tcW w:w="772" w:type="dxa"/>
            <w:noWrap/>
            <w:vAlign w:val="center"/>
          </w:tcPr>
          <w:p w14:paraId="5DDB1BB3">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100</w:t>
            </w:r>
          </w:p>
        </w:tc>
        <w:tc>
          <w:tcPr>
            <w:tcW w:w="721" w:type="dxa"/>
            <w:noWrap/>
            <w:vAlign w:val="center"/>
          </w:tcPr>
          <w:p w14:paraId="3C9E865D">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100</w:t>
            </w:r>
          </w:p>
        </w:tc>
        <w:tc>
          <w:tcPr>
            <w:tcW w:w="829" w:type="dxa"/>
            <w:noWrap/>
            <w:vAlign w:val="center"/>
          </w:tcPr>
          <w:p w14:paraId="3E44D42C">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100</w:t>
            </w:r>
          </w:p>
        </w:tc>
        <w:tc>
          <w:tcPr>
            <w:tcW w:w="801" w:type="dxa"/>
            <w:noWrap/>
            <w:vAlign w:val="center"/>
          </w:tcPr>
          <w:p w14:paraId="49AFAE3B">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100</w:t>
            </w:r>
          </w:p>
        </w:tc>
        <w:tc>
          <w:tcPr>
            <w:tcW w:w="720" w:type="dxa"/>
            <w:noWrap/>
            <w:vAlign w:val="center"/>
          </w:tcPr>
          <w:p w14:paraId="6E851B50">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100</w:t>
            </w:r>
          </w:p>
        </w:tc>
      </w:tr>
    </w:tbl>
    <w:p w14:paraId="3B32D3E2">
      <w:pPr>
        <w:adjustRightInd/>
        <w:spacing w:before="120" w:beforeLines="50" w:after="120" w:afterLines="50" w:line="240" w:lineRule="auto"/>
        <w:jc w:val="center"/>
        <w:textAlignment w:val="auto"/>
        <w:rPr>
          <w:rFonts w:ascii="宋体" w:hAnsi="宋体"/>
        </w:rPr>
      </w:pPr>
      <w:r>
        <w:rPr>
          <w:rFonts w:hint="eastAsia" w:ascii="宋体" w:hAnsi="宋体"/>
        </w:rPr>
        <w:t>表9  T2（（T11050）化学成分统计计算情况</w:t>
      </w:r>
    </w:p>
    <w:tbl>
      <w:tblPr>
        <w:tblStyle w:val="21"/>
        <w:tblW w:w="104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5"/>
        <w:gridCol w:w="1248"/>
        <w:gridCol w:w="1195"/>
        <w:gridCol w:w="1220"/>
        <w:gridCol w:w="1220"/>
        <w:gridCol w:w="1220"/>
        <w:gridCol w:w="1079"/>
        <w:gridCol w:w="1470"/>
      </w:tblGrid>
      <w:tr w14:paraId="29BED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tblHeader/>
          <w:jc w:val="center"/>
        </w:trPr>
        <w:tc>
          <w:tcPr>
            <w:tcW w:w="1815" w:type="dxa"/>
            <w:noWrap/>
            <w:vAlign w:val="center"/>
          </w:tcPr>
          <w:p w14:paraId="6BC11435">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元素</w:t>
            </w:r>
          </w:p>
        </w:tc>
        <w:tc>
          <w:tcPr>
            <w:tcW w:w="1248" w:type="dxa"/>
            <w:noWrap/>
            <w:vAlign w:val="center"/>
          </w:tcPr>
          <w:p w14:paraId="0E59B204">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Pb</w:t>
            </w:r>
          </w:p>
        </w:tc>
        <w:tc>
          <w:tcPr>
            <w:tcW w:w="1195" w:type="dxa"/>
            <w:noWrap/>
            <w:vAlign w:val="center"/>
          </w:tcPr>
          <w:p w14:paraId="6F8C682E">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Fe</w:t>
            </w:r>
          </w:p>
        </w:tc>
        <w:tc>
          <w:tcPr>
            <w:tcW w:w="1220" w:type="dxa"/>
            <w:noWrap/>
            <w:vAlign w:val="center"/>
          </w:tcPr>
          <w:p w14:paraId="0FB3A660">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Bi</w:t>
            </w:r>
          </w:p>
        </w:tc>
        <w:tc>
          <w:tcPr>
            <w:tcW w:w="1220" w:type="dxa"/>
            <w:noWrap/>
            <w:vAlign w:val="center"/>
          </w:tcPr>
          <w:p w14:paraId="6A3C4278">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Sb</w:t>
            </w:r>
          </w:p>
        </w:tc>
        <w:tc>
          <w:tcPr>
            <w:tcW w:w="1220" w:type="dxa"/>
            <w:noWrap/>
            <w:vAlign w:val="center"/>
          </w:tcPr>
          <w:p w14:paraId="38F9B640">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As</w:t>
            </w:r>
          </w:p>
        </w:tc>
        <w:tc>
          <w:tcPr>
            <w:tcW w:w="1079" w:type="dxa"/>
            <w:noWrap/>
            <w:vAlign w:val="center"/>
          </w:tcPr>
          <w:p w14:paraId="0AD12C45">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S</w:t>
            </w:r>
          </w:p>
        </w:tc>
        <w:tc>
          <w:tcPr>
            <w:tcW w:w="1470" w:type="dxa"/>
            <w:noWrap/>
            <w:vAlign w:val="center"/>
          </w:tcPr>
          <w:p w14:paraId="66127823">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Cu+Ag(最小值)</w:t>
            </w:r>
          </w:p>
        </w:tc>
      </w:tr>
      <w:tr w14:paraId="73FD7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815" w:type="dxa"/>
            <w:noWrap/>
            <w:vAlign w:val="center"/>
          </w:tcPr>
          <w:p w14:paraId="59146EDB">
            <w:pPr>
              <w:widowControl/>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标准值/%</w:t>
            </w:r>
          </w:p>
        </w:tc>
        <w:tc>
          <w:tcPr>
            <w:tcW w:w="1248" w:type="dxa"/>
            <w:noWrap/>
            <w:vAlign w:val="center"/>
          </w:tcPr>
          <w:p w14:paraId="422FD522">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≤0.005</w:t>
            </w:r>
          </w:p>
        </w:tc>
        <w:tc>
          <w:tcPr>
            <w:tcW w:w="1195" w:type="dxa"/>
            <w:noWrap/>
            <w:vAlign w:val="center"/>
          </w:tcPr>
          <w:p w14:paraId="6446B64C">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≤0.005</w:t>
            </w:r>
          </w:p>
        </w:tc>
        <w:tc>
          <w:tcPr>
            <w:tcW w:w="1220" w:type="dxa"/>
            <w:noWrap/>
            <w:vAlign w:val="center"/>
          </w:tcPr>
          <w:p w14:paraId="0F48C4A7">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≤0.001</w:t>
            </w:r>
          </w:p>
        </w:tc>
        <w:tc>
          <w:tcPr>
            <w:tcW w:w="1220" w:type="dxa"/>
            <w:noWrap/>
            <w:vAlign w:val="center"/>
          </w:tcPr>
          <w:p w14:paraId="10243EFF">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≤0.002</w:t>
            </w:r>
          </w:p>
        </w:tc>
        <w:tc>
          <w:tcPr>
            <w:tcW w:w="1220" w:type="dxa"/>
            <w:noWrap/>
            <w:vAlign w:val="center"/>
          </w:tcPr>
          <w:p w14:paraId="0BB87C1E">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≤0.002</w:t>
            </w:r>
          </w:p>
        </w:tc>
        <w:tc>
          <w:tcPr>
            <w:tcW w:w="1079" w:type="dxa"/>
            <w:noWrap/>
            <w:vAlign w:val="center"/>
          </w:tcPr>
          <w:p w14:paraId="55178487">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≤0.005</w:t>
            </w:r>
          </w:p>
        </w:tc>
        <w:tc>
          <w:tcPr>
            <w:tcW w:w="1470" w:type="dxa"/>
            <w:noWrap/>
            <w:vAlign w:val="center"/>
          </w:tcPr>
          <w:p w14:paraId="1B72F318">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≥99.90</w:t>
            </w:r>
          </w:p>
        </w:tc>
      </w:tr>
      <w:tr w14:paraId="0CE4D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1815" w:type="dxa"/>
            <w:noWrap/>
            <w:vAlign w:val="center"/>
          </w:tcPr>
          <w:p w14:paraId="0135452E">
            <w:pPr>
              <w:widowControl/>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实际值/%</w:t>
            </w:r>
          </w:p>
        </w:tc>
        <w:tc>
          <w:tcPr>
            <w:tcW w:w="1248" w:type="dxa"/>
            <w:noWrap/>
            <w:vAlign w:val="center"/>
          </w:tcPr>
          <w:p w14:paraId="3B7C0C6F">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≤0.005</w:t>
            </w:r>
          </w:p>
        </w:tc>
        <w:tc>
          <w:tcPr>
            <w:tcW w:w="1195" w:type="dxa"/>
            <w:noWrap/>
            <w:vAlign w:val="center"/>
          </w:tcPr>
          <w:p w14:paraId="695F9CCE">
            <w:pPr>
              <w:widowControl/>
              <w:spacing w:line="240" w:lineRule="auto"/>
              <w:jc w:val="center"/>
              <w:textAlignment w:val="center"/>
              <w:rPr>
                <w:rFonts w:cs="宋体" w:asciiTheme="minorEastAsia" w:hAnsiTheme="minorEastAsia" w:eastAsiaTheme="minorEastAsia"/>
                <w:spacing w:val="-20"/>
                <w:szCs w:val="24"/>
              </w:rPr>
            </w:pPr>
            <w:r>
              <w:rPr>
                <w:rFonts w:hint="eastAsia" w:cs="宋体" w:asciiTheme="minorEastAsia" w:hAnsiTheme="minorEastAsia" w:eastAsiaTheme="minorEastAsia"/>
                <w:szCs w:val="24"/>
                <w:lang w:bidi="ar"/>
              </w:rPr>
              <w:t>≤0.005</w:t>
            </w:r>
          </w:p>
        </w:tc>
        <w:tc>
          <w:tcPr>
            <w:tcW w:w="1220" w:type="dxa"/>
            <w:noWrap/>
            <w:vAlign w:val="center"/>
          </w:tcPr>
          <w:p w14:paraId="436E8D94">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≤0.001</w:t>
            </w:r>
          </w:p>
        </w:tc>
        <w:tc>
          <w:tcPr>
            <w:tcW w:w="1220" w:type="dxa"/>
            <w:noWrap/>
            <w:vAlign w:val="center"/>
          </w:tcPr>
          <w:p w14:paraId="7062F1D9">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≤0.002</w:t>
            </w:r>
          </w:p>
        </w:tc>
        <w:tc>
          <w:tcPr>
            <w:tcW w:w="1220" w:type="dxa"/>
            <w:noWrap/>
            <w:vAlign w:val="center"/>
          </w:tcPr>
          <w:p w14:paraId="77ACA011">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≤0.002</w:t>
            </w:r>
          </w:p>
        </w:tc>
        <w:tc>
          <w:tcPr>
            <w:tcW w:w="1079" w:type="dxa"/>
            <w:noWrap/>
            <w:vAlign w:val="center"/>
          </w:tcPr>
          <w:p w14:paraId="304585F5">
            <w:pPr>
              <w:widowControl/>
              <w:spacing w:line="240" w:lineRule="auto"/>
              <w:jc w:val="center"/>
              <w:textAlignment w:val="center"/>
              <w:rPr>
                <w:rFonts w:cs="宋体" w:asciiTheme="minorEastAsia" w:hAnsiTheme="minorEastAsia" w:eastAsiaTheme="minorEastAsia"/>
                <w:spacing w:val="-20"/>
                <w:szCs w:val="24"/>
              </w:rPr>
            </w:pPr>
            <w:r>
              <w:rPr>
                <w:rFonts w:hint="eastAsia" w:cs="宋体" w:asciiTheme="minorEastAsia" w:hAnsiTheme="minorEastAsia" w:eastAsiaTheme="minorEastAsia"/>
                <w:szCs w:val="24"/>
                <w:lang w:bidi="ar"/>
              </w:rPr>
              <w:t>≤0.005</w:t>
            </w:r>
          </w:p>
        </w:tc>
        <w:tc>
          <w:tcPr>
            <w:tcW w:w="1470" w:type="dxa"/>
            <w:noWrap/>
            <w:vAlign w:val="center"/>
          </w:tcPr>
          <w:p w14:paraId="451AFCA3">
            <w:pPr>
              <w:widowControl/>
              <w:spacing w:line="24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szCs w:val="24"/>
                <w:lang w:bidi="ar"/>
              </w:rPr>
              <w:t>≥99.92</w:t>
            </w:r>
          </w:p>
        </w:tc>
      </w:tr>
      <w:tr w14:paraId="6E045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815" w:type="dxa"/>
            <w:noWrap/>
            <w:vAlign w:val="center"/>
          </w:tcPr>
          <w:p w14:paraId="4F8589AF">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统计数/个</w:t>
            </w:r>
          </w:p>
        </w:tc>
        <w:tc>
          <w:tcPr>
            <w:tcW w:w="1248" w:type="dxa"/>
            <w:noWrap/>
            <w:vAlign w:val="center"/>
          </w:tcPr>
          <w:p w14:paraId="5B3123C8">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140</w:t>
            </w:r>
          </w:p>
        </w:tc>
        <w:tc>
          <w:tcPr>
            <w:tcW w:w="1195" w:type="dxa"/>
            <w:noWrap/>
            <w:vAlign w:val="center"/>
          </w:tcPr>
          <w:p w14:paraId="5CC997BE">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140</w:t>
            </w:r>
          </w:p>
        </w:tc>
        <w:tc>
          <w:tcPr>
            <w:tcW w:w="1220" w:type="dxa"/>
            <w:noWrap/>
            <w:vAlign w:val="center"/>
          </w:tcPr>
          <w:p w14:paraId="0BB56164">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140</w:t>
            </w:r>
          </w:p>
        </w:tc>
        <w:tc>
          <w:tcPr>
            <w:tcW w:w="1220" w:type="dxa"/>
            <w:noWrap/>
            <w:vAlign w:val="center"/>
          </w:tcPr>
          <w:p w14:paraId="6637A6F4">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140</w:t>
            </w:r>
          </w:p>
        </w:tc>
        <w:tc>
          <w:tcPr>
            <w:tcW w:w="1220" w:type="dxa"/>
            <w:noWrap/>
            <w:vAlign w:val="center"/>
          </w:tcPr>
          <w:p w14:paraId="25D5D43D">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140</w:t>
            </w:r>
          </w:p>
        </w:tc>
        <w:tc>
          <w:tcPr>
            <w:tcW w:w="1079" w:type="dxa"/>
            <w:noWrap/>
            <w:vAlign w:val="center"/>
          </w:tcPr>
          <w:p w14:paraId="34561519">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140</w:t>
            </w:r>
          </w:p>
        </w:tc>
        <w:tc>
          <w:tcPr>
            <w:tcW w:w="1470" w:type="dxa"/>
            <w:noWrap/>
            <w:vAlign w:val="center"/>
          </w:tcPr>
          <w:p w14:paraId="062061F0">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140</w:t>
            </w:r>
          </w:p>
        </w:tc>
      </w:tr>
      <w:tr w14:paraId="0908D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815" w:type="dxa"/>
            <w:noWrap/>
            <w:vAlign w:val="center"/>
          </w:tcPr>
          <w:p w14:paraId="09CE9F34">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合格数/个</w:t>
            </w:r>
          </w:p>
        </w:tc>
        <w:tc>
          <w:tcPr>
            <w:tcW w:w="1248" w:type="dxa"/>
            <w:noWrap/>
            <w:vAlign w:val="center"/>
          </w:tcPr>
          <w:p w14:paraId="69F158B6">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140</w:t>
            </w:r>
          </w:p>
        </w:tc>
        <w:tc>
          <w:tcPr>
            <w:tcW w:w="1195" w:type="dxa"/>
            <w:noWrap/>
            <w:vAlign w:val="center"/>
          </w:tcPr>
          <w:p w14:paraId="7F8C19F0">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140</w:t>
            </w:r>
          </w:p>
        </w:tc>
        <w:tc>
          <w:tcPr>
            <w:tcW w:w="1220" w:type="dxa"/>
            <w:noWrap/>
            <w:vAlign w:val="center"/>
          </w:tcPr>
          <w:p w14:paraId="6C4642BB">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140</w:t>
            </w:r>
          </w:p>
        </w:tc>
        <w:tc>
          <w:tcPr>
            <w:tcW w:w="1220" w:type="dxa"/>
            <w:noWrap/>
            <w:vAlign w:val="center"/>
          </w:tcPr>
          <w:p w14:paraId="582D18DB">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140</w:t>
            </w:r>
          </w:p>
        </w:tc>
        <w:tc>
          <w:tcPr>
            <w:tcW w:w="1220" w:type="dxa"/>
            <w:noWrap/>
            <w:vAlign w:val="center"/>
          </w:tcPr>
          <w:p w14:paraId="683D8DAD">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140</w:t>
            </w:r>
          </w:p>
        </w:tc>
        <w:tc>
          <w:tcPr>
            <w:tcW w:w="1079" w:type="dxa"/>
            <w:noWrap/>
            <w:vAlign w:val="center"/>
          </w:tcPr>
          <w:p w14:paraId="09007173">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140</w:t>
            </w:r>
          </w:p>
        </w:tc>
        <w:tc>
          <w:tcPr>
            <w:tcW w:w="1470" w:type="dxa"/>
            <w:noWrap/>
            <w:vAlign w:val="center"/>
          </w:tcPr>
          <w:p w14:paraId="3101D5A3">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140</w:t>
            </w:r>
          </w:p>
        </w:tc>
      </w:tr>
      <w:tr w14:paraId="26E7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815" w:type="dxa"/>
            <w:noWrap/>
            <w:vAlign w:val="center"/>
          </w:tcPr>
          <w:p w14:paraId="739162BC">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合格率/%</w:t>
            </w:r>
          </w:p>
        </w:tc>
        <w:tc>
          <w:tcPr>
            <w:tcW w:w="1248" w:type="dxa"/>
            <w:noWrap/>
            <w:vAlign w:val="center"/>
          </w:tcPr>
          <w:p w14:paraId="77086638">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100</w:t>
            </w:r>
          </w:p>
        </w:tc>
        <w:tc>
          <w:tcPr>
            <w:tcW w:w="1195" w:type="dxa"/>
            <w:noWrap/>
            <w:vAlign w:val="center"/>
          </w:tcPr>
          <w:p w14:paraId="04A561C3">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100</w:t>
            </w:r>
          </w:p>
        </w:tc>
        <w:tc>
          <w:tcPr>
            <w:tcW w:w="1220" w:type="dxa"/>
            <w:noWrap/>
            <w:vAlign w:val="center"/>
          </w:tcPr>
          <w:p w14:paraId="5EFF3C9A">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100</w:t>
            </w:r>
          </w:p>
        </w:tc>
        <w:tc>
          <w:tcPr>
            <w:tcW w:w="1220" w:type="dxa"/>
            <w:noWrap/>
            <w:vAlign w:val="center"/>
          </w:tcPr>
          <w:p w14:paraId="49EACBA2">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100</w:t>
            </w:r>
          </w:p>
        </w:tc>
        <w:tc>
          <w:tcPr>
            <w:tcW w:w="1220" w:type="dxa"/>
            <w:noWrap/>
            <w:vAlign w:val="center"/>
          </w:tcPr>
          <w:p w14:paraId="64647AAB">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100</w:t>
            </w:r>
          </w:p>
        </w:tc>
        <w:tc>
          <w:tcPr>
            <w:tcW w:w="1079" w:type="dxa"/>
            <w:noWrap/>
            <w:vAlign w:val="center"/>
          </w:tcPr>
          <w:p w14:paraId="62F6D10F">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100</w:t>
            </w:r>
          </w:p>
        </w:tc>
        <w:tc>
          <w:tcPr>
            <w:tcW w:w="1470" w:type="dxa"/>
            <w:noWrap/>
            <w:vAlign w:val="center"/>
          </w:tcPr>
          <w:p w14:paraId="707C0CF8">
            <w:pPr>
              <w:spacing w:line="24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100</w:t>
            </w:r>
          </w:p>
        </w:tc>
      </w:tr>
    </w:tbl>
    <w:p w14:paraId="3C5D8CC4">
      <w:pPr>
        <w:adjustRightInd/>
        <w:spacing w:before="120" w:beforeLines="50" w:after="120" w:afterLines="50" w:line="360" w:lineRule="auto"/>
        <w:jc w:val="center"/>
        <w:textAlignment w:val="auto"/>
        <w:rPr>
          <w:rFonts w:ascii="宋体" w:hAnsi="宋体"/>
        </w:rPr>
      </w:pPr>
      <w:r>
        <w:rPr>
          <w:rFonts w:hint="eastAsia" w:ascii="宋体" w:hAnsi="宋体"/>
        </w:rPr>
        <w:t>表10  H65(C27000）化学成分统计计算情况</w:t>
      </w:r>
    </w:p>
    <w:tbl>
      <w:tblPr>
        <w:tblStyle w:val="21"/>
        <w:tblW w:w="105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8"/>
        <w:gridCol w:w="1670"/>
        <w:gridCol w:w="1599"/>
        <w:gridCol w:w="1633"/>
        <w:gridCol w:w="1633"/>
        <w:gridCol w:w="1633"/>
      </w:tblGrid>
      <w:tr w14:paraId="613A8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blHeader/>
          <w:jc w:val="center"/>
        </w:trPr>
        <w:tc>
          <w:tcPr>
            <w:tcW w:w="2428" w:type="dxa"/>
            <w:noWrap/>
            <w:vAlign w:val="center"/>
          </w:tcPr>
          <w:p w14:paraId="2C6ABA61">
            <w:pPr>
              <w:spacing w:line="200" w:lineRule="exact"/>
              <w:jc w:val="center"/>
              <w:rPr>
                <w:rFonts w:ascii="宋体" w:hAnsi="宋体" w:cs="宋体"/>
                <w:szCs w:val="21"/>
              </w:rPr>
            </w:pPr>
            <w:r>
              <w:rPr>
                <w:rFonts w:hint="eastAsia" w:ascii="宋体" w:hAnsi="宋体" w:cs="宋体"/>
                <w:szCs w:val="21"/>
              </w:rPr>
              <w:t>元素</w:t>
            </w:r>
          </w:p>
        </w:tc>
        <w:tc>
          <w:tcPr>
            <w:tcW w:w="1670" w:type="dxa"/>
            <w:noWrap/>
            <w:vAlign w:val="center"/>
          </w:tcPr>
          <w:p w14:paraId="78E0944D">
            <w:pPr>
              <w:widowControl/>
              <w:jc w:val="center"/>
              <w:textAlignment w:val="center"/>
              <w:rPr>
                <w:rFonts w:ascii="宋体" w:hAnsi="宋体" w:cs="宋体"/>
                <w:szCs w:val="21"/>
              </w:rPr>
            </w:pPr>
            <w:r>
              <w:rPr>
                <w:rFonts w:hint="eastAsia" w:ascii="宋体" w:hAnsi="宋体" w:cs="宋体"/>
                <w:color w:val="000000"/>
                <w:szCs w:val="21"/>
                <w:lang w:bidi="ar"/>
              </w:rPr>
              <w:t>Cu(%)</w:t>
            </w:r>
          </w:p>
        </w:tc>
        <w:tc>
          <w:tcPr>
            <w:tcW w:w="1599" w:type="dxa"/>
            <w:noWrap/>
            <w:vAlign w:val="center"/>
          </w:tcPr>
          <w:p w14:paraId="7B54EB10">
            <w:pPr>
              <w:widowControl/>
              <w:jc w:val="center"/>
              <w:textAlignment w:val="center"/>
              <w:rPr>
                <w:rFonts w:ascii="宋体" w:hAnsi="宋体" w:cs="宋体"/>
                <w:szCs w:val="21"/>
              </w:rPr>
            </w:pPr>
            <w:r>
              <w:rPr>
                <w:rFonts w:hint="eastAsia" w:ascii="宋体" w:hAnsi="宋体" w:cs="宋体"/>
                <w:color w:val="000000"/>
                <w:szCs w:val="21"/>
                <w:lang w:bidi="ar"/>
              </w:rPr>
              <w:t>Pb(%)</w:t>
            </w:r>
          </w:p>
        </w:tc>
        <w:tc>
          <w:tcPr>
            <w:tcW w:w="1633" w:type="dxa"/>
            <w:noWrap/>
            <w:vAlign w:val="center"/>
          </w:tcPr>
          <w:p w14:paraId="0BA01954">
            <w:pPr>
              <w:widowControl/>
              <w:jc w:val="center"/>
              <w:textAlignment w:val="center"/>
              <w:rPr>
                <w:rFonts w:ascii="宋体" w:hAnsi="宋体" w:cs="宋体"/>
                <w:szCs w:val="21"/>
              </w:rPr>
            </w:pPr>
            <w:r>
              <w:rPr>
                <w:rFonts w:hint="eastAsia" w:ascii="宋体" w:hAnsi="宋体" w:cs="宋体"/>
                <w:color w:val="000000"/>
                <w:szCs w:val="21"/>
                <w:lang w:bidi="ar"/>
              </w:rPr>
              <w:t>Fe(%)</w:t>
            </w:r>
          </w:p>
        </w:tc>
        <w:tc>
          <w:tcPr>
            <w:tcW w:w="1633" w:type="dxa"/>
            <w:noWrap/>
            <w:vAlign w:val="center"/>
          </w:tcPr>
          <w:p w14:paraId="727C5395">
            <w:pPr>
              <w:widowControl/>
              <w:jc w:val="center"/>
              <w:textAlignment w:val="center"/>
              <w:rPr>
                <w:rFonts w:ascii="宋体" w:hAnsi="宋体" w:cs="宋体"/>
                <w:szCs w:val="21"/>
              </w:rPr>
            </w:pPr>
            <w:r>
              <w:rPr>
                <w:rFonts w:hint="eastAsia" w:ascii="宋体" w:hAnsi="宋体" w:cs="宋体"/>
                <w:color w:val="000000"/>
                <w:szCs w:val="21"/>
                <w:lang w:bidi="ar"/>
              </w:rPr>
              <w:t>Ni(%)</w:t>
            </w:r>
          </w:p>
        </w:tc>
        <w:tc>
          <w:tcPr>
            <w:tcW w:w="1633" w:type="dxa"/>
            <w:noWrap/>
            <w:vAlign w:val="center"/>
          </w:tcPr>
          <w:p w14:paraId="08443B42">
            <w:pPr>
              <w:widowControl/>
              <w:jc w:val="center"/>
              <w:textAlignment w:val="center"/>
              <w:rPr>
                <w:rFonts w:ascii="宋体" w:hAnsi="宋体" w:cs="宋体"/>
                <w:szCs w:val="21"/>
              </w:rPr>
            </w:pPr>
            <w:r>
              <w:rPr>
                <w:rFonts w:hint="eastAsia" w:ascii="宋体" w:hAnsi="宋体" w:cs="宋体"/>
                <w:color w:val="000000"/>
                <w:szCs w:val="21"/>
                <w:lang w:bidi="ar"/>
              </w:rPr>
              <w:t>Zn</w:t>
            </w:r>
          </w:p>
        </w:tc>
      </w:tr>
      <w:tr w14:paraId="3AD81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2428" w:type="dxa"/>
            <w:noWrap/>
            <w:vAlign w:val="center"/>
          </w:tcPr>
          <w:p w14:paraId="23FE30BE">
            <w:pPr>
              <w:widowControl/>
              <w:jc w:val="center"/>
              <w:rPr>
                <w:rFonts w:ascii="宋体" w:hAnsi="宋体" w:cs="宋体"/>
                <w:szCs w:val="21"/>
              </w:rPr>
            </w:pPr>
            <w:r>
              <w:rPr>
                <w:rFonts w:hint="eastAsia" w:ascii="宋体" w:hAnsi="宋体" w:cs="宋体"/>
                <w:szCs w:val="21"/>
              </w:rPr>
              <w:t>标准值/%</w:t>
            </w:r>
          </w:p>
        </w:tc>
        <w:tc>
          <w:tcPr>
            <w:tcW w:w="1670" w:type="dxa"/>
            <w:noWrap/>
            <w:vAlign w:val="center"/>
          </w:tcPr>
          <w:p w14:paraId="6F21D3A2">
            <w:pPr>
              <w:widowControl/>
              <w:jc w:val="center"/>
              <w:textAlignment w:val="center"/>
              <w:rPr>
                <w:rFonts w:ascii="宋体" w:hAnsi="宋体" w:cs="宋体"/>
                <w:szCs w:val="21"/>
              </w:rPr>
            </w:pPr>
            <w:r>
              <w:rPr>
                <w:rFonts w:hint="eastAsia" w:ascii="宋体" w:hAnsi="宋体" w:cs="宋体"/>
                <w:color w:val="000000"/>
                <w:szCs w:val="21"/>
                <w:lang w:bidi="ar"/>
              </w:rPr>
              <w:t>63-68.5</w:t>
            </w:r>
          </w:p>
        </w:tc>
        <w:tc>
          <w:tcPr>
            <w:tcW w:w="1599" w:type="dxa"/>
            <w:noWrap/>
            <w:vAlign w:val="center"/>
          </w:tcPr>
          <w:p w14:paraId="4B6EC02F">
            <w:pPr>
              <w:widowControl/>
              <w:jc w:val="center"/>
              <w:textAlignment w:val="center"/>
              <w:rPr>
                <w:rFonts w:ascii="宋体" w:hAnsi="宋体" w:cs="宋体"/>
                <w:szCs w:val="21"/>
              </w:rPr>
            </w:pPr>
            <w:r>
              <w:rPr>
                <w:rFonts w:hint="eastAsia" w:ascii="宋体" w:hAnsi="宋体" w:cs="宋体"/>
                <w:color w:val="000000"/>
                <w:szCs w:val="21"/>
                <w:lang w:bidi="ar"/>
              </w:rPr>
              <w:t>≤0.09</w:t>
            </w:r>
          </w:p>
        </w:tc>
        <w:tc>
          <w:tcPr>
            <w:tcW w:w="1633" w:type="dxa"/>
            <w:noWrap/>
            <w:vAlign w:val="center"/>
          </w:tcPr>
          <w:p w14:paraId="6BD3EA97">
            <w:pPr>
              <w:widowControl/>
              <w:jc w:val="center"/>
              <w:textAlignment w:val="center"/>
              <w:rPr>
                <w:rFonts w:ascii="宋体" w:hAnsi="宋体" w:cs="宋体"/>
                <w:szCs w:val="21"/>
              </w:rPr>
            </w:pPr>
            <w:r>
              <w:rPr>
                <w:rFonts w:hint="eastAsia" w:ascii="宋体" w:hAnsi="宋体" w:cs="宋体"/>
                <w:color w:val="000000"/>
                <w:szCs w:val="21"/>
                <w:lang w:bidi="ar"/>
              </w:rPr>
              <w:t>≤0.070</w:t>
            </w:r>
          </w:p>
        </w:tc>
        <w:tc>
          <w:tcPr>
            <w:tcW w:w="1633" w:type="dxa"/>
            <w:noWrap/>
            <w:vAlign w:val="center"/>
          </w:tcPr>
          <w:p w14:paraId="225B8901">
            <w:pPr>
              <w:widowControl/>
              <w:jc w:val="center"/>
              <w:textAlignment w:val="center"/>
              <w:rPr>
                <w:rFonts w:ascii="宋体" w:hAnsi="宋体" w:cs="宋体"/>
                <w:szCs w:val="21"/>
              </w:rPr>
            </w:pPr>
            <w:r>
              <w:rPr>
                <w:rFonts w:hint="eastAsia" w:ascii="宋体" w:hAnsi="宋体" w:cs="宋体"/>
                <w:color w:val="000000"/>
                <w:szCs w:val="21"/>
                <w:lang w:bidi="ar"/>
              </w:rPr>
              <w:t>≤0.5</w:t>
            </w:r>
          </w:p>
        </w:tc>
        <w:tc>
          <w:tcPr>
            <w:tcW w:w="1633" w:type="dxa"/>
            <w:noWrap/>
            <w:vAlign w:val="center"/>
          </w:tcPr>
          <w:p w14:paraId="18DF3057">
            <w:pPr>
              <w:widowControl/>
              <w:jc w:val="center"/>
              <w:textAlignment w:val="center"/>
              <w:rPr>
                <w:rFonts w:ascii="宋体" w:hAnsi="宋体" w:cs="宋体"/>
                <w:szCs w:val="21"/>
              </w:rPr>
            </w:pPr>
            <w:r>
              <w:rPr>
                <w:rFonts w:hint="eastAsia" w:ascii="宋体" w:hAnsi="宋体" w:cs="宋体"/>
                <w:color w:val="000000"/>
                <w:szCs w:val="21"/>
                <w:lang w:bidi="ar"/>
              </w:rPr>
              <w:t>余量</w:t>
            </w:r>
          </w:p>
        </w:tc>
      </w:tr>
      <w:tr w14:paraId="5A26E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2428" w:type="dxa"/>
            <w:noWrap/>
            <w:vAlign w:val="center"/>
          </w:tcPr>
          <w:p w14:paraId="7FC9AB16">
            <w:pPr>
              <w:widowControl/>
              <w:jc w:val="center"/>
              <w:rPr>
                <w:rFonts w:ascii="宋体" w:hAnsi="宋体" w:cs="宋体"/>
                <w:szCs w:val="21"/>
              </w:rPr>
            </w:pPr>
            <w:r>
              <w:rPr>
                <w:rFonts w:hint="eastAsia" w:ascii="宋体" w:hAnsi="宋体" w:cs="宋体"/>
                <w:szCs w:val="21"/>
              </w:rPr>
              <w:t>实际值/%</w:t>
            </w:r>
          </w:p>
        </w:tc>
        <w:tc>
          <w:tcPr>
            <w:tcW w:w="1670" w:type="dxa"/>
            <w:noWrap/>
            <w:vAlign w:val="center"/>
          </w:tcPr>
          <w:p w14:paraId="7C024BB6">
            <w:pPr>
              <w:spacing w:line="280" w:lineRule="exact"/>
              <w:jc w:val="center"/>
              <w:rPr>
                <w:rFonts w:ascii="宋体" w:hAnsi="宋体" w:cs="宋体"/>
                <w:szCs w:val="21"/>
              </w:rPr>
            </w:pPr>
            <w:r>
              <w:rPr>
                <w:rFonts w:hint="eastAsia" w:ascii="宋体" w:hAnsi="宋体" w:cs="宋体"/>
                <w:szCs w:val="21"/>
              </w:rPr>
              <w:t>＞99.97</w:t>
            </w:r>
          </w:p>
        </w:tc>
        <w:tc>
          <w:tcPr>
            <w:tcW w:w="1599" w:type="dxa"/>
            <w:noWrap/>
            <w:vAlign w:val="center"/>
          </w:tcPr>
          <w:p w14:paraId="1D659BE9">
            <w:pPr>
              <w:spacing w:line="280" w:lineRule="exact"/>
              <w:jc w:val="center"/>
              <w:rPr>
                <w:rFonts w:ascii="宋体" w:hAnsi="宋体" w:cs="宋体"/>
                <w:spacing w:val="-20"/>
                <w:szCs w:val="21"/>
              </w:rPr>
            </w:pPr>
            <w:r>
              <w:rPr>
                <w:rFonts w:hint="eastAsia" w:ascii="宋体" w:hAnsi="宋体" w:cs="宋体"/>
                <w:spacing w:val="-20"/>
                <w:szCs w:val="21"/>
              </w:rPr>
              <w:t>﹤0.002</w:t>
            </w:r>
          </w:p>
        </w:tc>
        <w:tc>
          <w:tcPr>
            <w:tcW w:w="1633" w:type="dxa"/>
            <w:noWrap/>
            <w:vAlign w:val="center"/>
          </w:tcPr>
          <w:p w14:paraId="6259C0AB">
            <w:pPr>
              <w:spacing w:line="280" w:lineRule="exact"/>
              <w:jc w:val="center"/>
              <w:rPr>
                <w:rFonts w:ascii="宋体" w:hAnsi="宋体" w:cs="宋体"/>
                <w:szCs w:val="21"/>
              </w:rPr>
            </w:pPr>
            <w:r>
              <w:rPr>
                <w:rFonts w:hint="eastAsia" w:ascii="宋体" w:hAnsi="宋体" w:cs="宋体"/>
                <w:szCs w:val="21"/>
              </w:rPr>
              <w:t>＜0.001</w:t>
            </w:r>
          </w:p>
        </w:tc>
        <w:tc>
          <w:tcPr>
            <w:tcW w:w="1633" w:type="dxa"/>
            <w:noWrap/>
            <w:vAlign w:val="center"/>
          </w:tcPr>
          <w:p w14:paraId="05C9CA66">
            <w:pPr>
              <w:spacing w:line="280" w:lineRule="exact"/>
              <w:jc w:val="center"/>
              <w:rPr>
                <w:rFonts w:ascii="宋体" w:hAnsi="宋体" w:cs="宋体"/>
                <w:szCs w:val="21"/>
              </w:rPr>
            </w:pPr>
            <w:r>
              <w:rPr>
                <w:rFonts w:hint="eastAsia" w:ascii="宋体" w:hAnsi="宋体" w:cs="宋体"/>
                <w:szCs w:val="21"/>
              </w:rPr>
              <w:t>＜0.002</w:t>
            </w:r>
          </w:p>
        </w:tc>
        <w:tc>
          <w:tcPr>
            <w:tcW w:w="1633" w:type="dxa"/>
            <w:noWrap/>
            <w:vAlign w:val="center"/>
          </w:tcPr>
          <w:p w14:paraId="293AC154">
            <w:pPr>
              <w:spacing w:line="280" w:lineRule="exact"/>
              <w:jc w:val="center"/>
              <w:rPr>
                <w:rFonts w:ascii="宋体" w:hAnsi="宋体" w:cs="宋体"/>
                <w:szCs w:val="21"/>
              </w:rPr>
            </w:pPr>
            <w:r>
              <w:rPr>
                <w:rFonts w:hint="eastAsia" w:ascii="宋体" w:hAnsi="宋体" w:cs="宋体"/>
                <w:szCs w:val="21"/>
              </w:rPr>
              <w:t>＜0.002</w:t>
            </w:r>
          </w:p>
        </w:tc>
      </w:tr>
      <w:tr w14:paraId="5B9F7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428" w:type="dxa"/>
            <w:noWrap/>
            <w:vAlign w:val="center"/>
          </w:tcPr>
          <w:p w14:paraId="36449B48">
            <w:pPr>
              <w:jc w:val="center"/>
              <w:rPr>
                <w:rFonts w:ascii="宋体" w:hAnsi="宋体" w:cs="宋体"/>
                <w:szCs w:val="21"/>
              </w:rPr>
            </w:pPr>
            <w:r>
              <w:rPr>
                <w:rFonts w:hint="eastAsia" w:ascii="宋体" w:hAnsi="宋体" w:cs="宋体"/>
                <w:szCs w:val="21"/>
              </w:rPr>
              <w:t>统计数/个</w:t>
            </w:r>
          </w:p>
        </w:tc>
        <w:tc>
          <w:tcPr>
            <w:tcW w:w="1670" w:type="dxa"/>
            <w:noWrap/>
            <w:vAlign w:val="center"/>
          </w:tcPr>
          <w:p w14:paraId="03CEDBC4">
            <w:pPr>
              <w:spacing w:line="280" w:lineRule="exact"/>
              <w:jc w:val="center"/>
              <w:rPr>
                <w:rFonts w:ascii="宋体" w:hAnsi="宋体" w:cs="宋体"/>
                <w:szCs w:val="21"/>
              </w:rPr>
            </w:pPr>
            <w:r>
              <w:rPr>
                <w:rFonts w:hint="eastAsia" w:ascii="宋体" w:hAnsi="宋体" w:cs="宋体"/>
                <w:szCs w:val="21"/>
              </w:rPr>
              <w:t>45</w:t>
            </w:r>
          </w:p>
        </w:tc>
        <w:tc>
          <w:tcPr>
            <w:tcW w:w="1599" w:type="dxa"/>
            <w:noWrap/>
            <w:vAlign w:val="center"/>
          </w:tcPr>
          <w:p w14:paraId="74C3FA5B">
            <w:pPr>
              <w:spacing w:line="280" w:lineRule="exact"/>
              <w:jc w:val="center"/>
              <w:rPr>
                <w:rFonts w:ascii="宋体" w:hAnsi="宋体" w:cs="宋体"/>
                <w:szCs w:val="21"/>
              </w:rPr>
            </w:pPr>
            <w:r>
              <w:rPr>
                <w:rFonts w:hint="eastAsia" w:ascii="宋体" w:hAnsi="宋体" w:cs="宋体"/>
                <w:szCs w:val="21"/>
              </w:rPr>
              <w:t>45</w:t>
            </w:r>
          </w:p>
        </w:tc>
        <w:tc>
          <w:tcPr>
            <w:tcW w:w="1633" w:type="dxa"/>
            <w:noWrap/>
            <w:vAlign w:val="center"/>
          </w:tcPr>
          <w:p w14:paraId="082A4C8F">
            <w:pPr>
              <w:spacing w:line="280" w:lineRule="exact"/>
              <w:jc w:val="center"/>
              <w:rPr>
                <w:rFonts w:ascii="宋体" w:hAnsi="宋体" w:cs="宋体"/>
                <w:szCs w:val="21"/>
              </w:rPr>
            </w:pPr>
            <w:r>
              <w:rPr>
                <w:rFonts w:hint="eastAsia" w:ascii="宋体" w:hAnsi="宋体" w:cs="宋体"/>
                <w:szCs w:val="21"/>
              </w:rPr>
              <w:t>45</w:t>
            </w:r>
          </w:p>
        </w:tc>
        <w:tc>
          <w:tcPr>
            <w:tcW w:w="1633" w:type="dxa"/>
            <w:noWrap/>
            <w:vAlign w:val="center"/>
          </w:tcPr>
          <w:p w14:paraId="5EEC9357">
            <w:pPr>
              <w:spacing w:line="280" w:lineRule="exact"/>
              <w:jc w:val="center"/>
              <w:rPr>
                <w:rFonts w:ascii="宋体" w:hAnsi="宋体" w:cs="宋体"/>
                <w:szCs w:val="21"/>
              </w:rPr>
            </w:pPr>
            <w:r>
              <w:rPr>
                <w:rFonts w:hint="eastAsia" w:ascii="宋体" w:hAnsi="宋体" w:cs="宋体"/>
                <w:szCs w:val="21"/>
              </w:rPr>
              <w:t>45</w:t>
            </w:r>
          </w:p>
        </w:tc>
        <w:tc>
          <w:tcPr>
            <w:tcW w:w="1633" w:type="dxa"/>
            <w:noWrap/>
            <w:vAlign w:val="center"/>
          </w:tcPr>
          <w:p w14:paraId="474EE8F0">
            <w:pPr>
              <w:spacing w:line="280" w:lineRule="exact"/>
              <w:jc w:val="center"/>
              <w:rPr>
                <w:rFonts w:ascii="宋体" w:hAnsi="宋体" w:cs="宋体"/>
                <w:szCs w:val="21"/>
              </w:rPr>
            </w:pPr>
            <w:r>
              <w:rPr>
                <w:rFonts w:hint="eastAsia" w:ascii="宋体" w:hAnsi="宋体" w:cs="宋体"/>
                <w:szCs w:val="21"/>
              </w:rPr>
              <w:t>45</w:t>
            </w:r>
          </w:p>
        </w:tc>
      </w:tr>
      <w:tr w14:paraId="5594F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428" w:type="dxa"/>
            <w:noWrap/>
            <w:vAlign w:val="center"/>
          </w:tcPr>
          <w:p w14:paraId="3739E507">
            <w:pPr>
              <w:jc w:val="center"/>
              <w:rPr>
                <w:rFonts w:ascii="宋体" w:hAnsi="宋体" w:cs="宋体"/>
                <w:szCs w:val="21"/>
              </w:rPr>
            </w:pPr>
            <w:r>
              <w:rPr>
                <w:rFonts w:hint="eastAsia" w:ascii="宋体" w:hAnsi="宋体" w:cs="宋体"/>
                <w:szCs w:val="21"/>
              </w:rPr>
              <w:t>合格数/个</w:t>
            </w:r>
          </w:p>
        </w:tc>
        <w:tc>
          <w:tcPr>
            <w:tcW w:w="1670" w:type="dxa"/>
            <w:noWrap/>
            <w:vAlign w:val="center"/>
          </w:tcPr>
          <w:p w14:paraId="49692F9B">
            <w:pPr>
              <w:spacing w:line="280" w:lineRule="exact"/>
              <w:jc w:val="center"/>
              <w:rPr>
                <w:rFonts w:ascii="宋体" w:hAnsi="宋体" w:cs="宋体"/>
                <w:szCs w:val="21"/>
              </w:rPr>
            </w:pPr>
            <w:r>
              <w:rPr>
                <w:rFonts w:hint="eastAsia" w:ascii="宋体" w:hAnsi="宋体" w:cs="宋体"/>
                <w:szCs w:val="21"/>
              </w:rPr>
              <w:t>45</w:t>
            </w:r>
          </w:p>
        </w:tc>
        <w:tc>
          <w:tcPr>
            <w:tcW w:w="1599" w:type="dxa"/>
            <w:noWrap/>
            <w:vAlign w:val="center"/>
          </w:tcPr>
          <w:p w14:paraId="487A9FE4">
            <w:pPr>
              <w:spacing w:line="280" w:lineRule="exact"/>
              <w:jc w:val="center"/>
              <w:rPr>
                <w:rFonts w:ascii="宋体" w:hAnsi="宋体" w:cs="宋体"/>
                <w:szCs w:val="21"/>
              </w:rPr>
            </w:pPr>
            <w:r>
              <w:rPr>
                <w:rFonts w:hint="eastAsia" w:ascii="宋体" w:hAnsi="宋体" w:cs="宋体"/>
                <w:szCs w:val="21"/>
              </w:rPr>
              <w:t>45</w:t>
            </w:r>
          </w:p>
        </w:tc>
        <w:tc>
          <w:tcPr>
            <w:tcW w:w="1633" w:type="dxa"/>
            <w:noWrap/>
            <w:vAlign w:val="center"/>
          </w:tcPr>
          <w:p w14:paraId="005BC546">
            <w:pPr>
              <w:spacing w:line="280" w:lineRule="exact"/>
              <w:jc w:val="center"/>
              <w:rPr>
                <w:rFonts w:ascii="宋体" w:hAnsi="宋体" w:cs="宋体"/>
                <w:szCs w:val="21"/>
              </w:rPr>
            </w:pPr>
            <w:r>
              <w:rPr>
                <w:rFonts w:hint="eastAsia" w:ascii="宋体" w:hAnsi="宋体" w:cs="宋体"/>
                <w:szCs w:val="21"/>
              </w:rPr>
              <w:t>45</w:t>
            </w:r>
          </w:p>
        </w:tc>
        <w:tc>
          <w:tcPr>
            <w:tcW w:w="1633" w:type="dxa"/>
            <w:noWrap/>
            <w:vAlign w:val="center"/>
          </w:tcPr>
          <w:p w14:paraId="0BE3BBDB">
            <w:pPr>
              <w:spacing w:line="280" w:lineRule="exact"/>
              <w:jc w:val="center"/>
              <w:rPr>
                <w:rFonts w:ascii="宋体" w:hAnsi="宋体" w:cs="宋体"/>
                <w:szCs w:val="21"/>
              </w:rPr>
            </w:pPr>
            <w:r>
              <w:rPr>
                <w:rFonts w:hint="eastAsia" w:ascii="宋体" w:hAnsi="宋体" w:cs="宋体"/>
                <w:szCs w:val="21"/>
              </w:rPr>
              <w:t>45</w:t>
            </w:r>
          </w:p>
        </w:tc>
        <w:tc>
          <w:tcPr>
            <w:tcW w:w="1633" w:type="dxa"/>
            <w:noWrap/>
            <w:vAlign w:val="center"/>
          </w:tcPr>
          <w:p w14:paraId="4D62ED77">
            <w:pPr>
              <w:spacing w:line="280" w:lineRule="exact"/>
              <w:jc w:val="center"/>
              <w:rPr>
                <w:rFonts w:ascii="宋体" w:hAnsi="宋体" w:cs="宋体"/>
                <w:szCs w:val="21"/>
              </w:rPr>
            </w:pPr>
            <w:r>
              <w:rPr>
                <w:rFonts w:hint="eastAsia" w:ascii="宋体" w:hAnsi="宋体" w:cs="宋体"/>
                <w:szCs w:val="21"/>
              </w:rPr>
              <w:t>45</w:t>
            </w:r>
          </w:p>
        </w:tc>
      </w:tr>
      <w:tr w14:paraId="69AA2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2428" w:type="dxa"/>
            <w:noWrap/>
            <w:vAlign w:val="center"/>
          </w:tcPr>
          <w:p w14:paraId="690021F1">
            <w:pPr>
              <w:jc w:val="center"/>
              <w:rPr>
                <w:rFonts w:ascii="宋体" w:hAnsi="宋体" w:cs="宋体"/>
                <w:szCs w:val="21"/>
              </w:rPr>
            </w:pPr>
            <w:r>
              <w:rPr>
                <w:rFonts w:hint="eastAsia" w:ascii="宋体" w:hAnsi="宋体" w:cs="宋体"/>
                <w:szCs w:val="21"/>
              </w:rPr>
              <w:t>合格率/%</w:t>
            </w:r>
          </w:p>
        </w:tc>
        <w:tc>
          <w:tcPr>
            <w:tcW w:w="1670" w:type="dxa"/>
            <w:noWrap/>
            <w:vAlign w:val="center"/>
          </w:tcPr>
          <w:p w14:paraId="3E395740">
            <w:pPr>
              <w:spacing w:line="280" w:lineRule="exact"/>
              <w:jc w:val="center"/>
              <w:rPr>
                <w:rFonts w:ascii="宋体" w:hAnsi="宋体" w:cs="宋体"/>
                <w:szCs w:val="21"/>
              </w:rPr>
            </w:pPr>
            <w:r>
              <w:rPr>
                <w:rFonts w:hint="eastAsia" w:ascii="宋体" w:hAnsi="宋体" w:cs="宋体"/>
                <w:szCs w:val="21"/>
              </w:rPr>
              <w:t>100</w:t>
            </w:r>
          </w:p>
        </w:tc>
        <w:tc>
          <w:tcPr>
            <w:tcW w:w="1599" w:type="dxa"/>
            <w:noWrap/>
            <w:vAlign w:val="center"/>
          </w:tcPr>
          <w:p w14:paraId="7296728A">
            <w:pPr>
              <w:spacing w:line="280" w:lineRule="exact"/>
              <w:jc w:val="center"/>
              <w:rPr>
                <w:rFonts w:ascii="宋体" w:hAnsi="宋体" w:cs="宋体"/>
                <w:szCs w:val="21"/>
              </w:rPr>
            </w:pPr>
            <w:r>
              <w:rPr>
                <w:rFonts w:hint="eastAsia" w:ascii="宋体" w:hAnsi="宋体" w:cs="宋体"/>
                <w:szCs w:val="21"/>
              </w:rPr>
              <w:t>100</w:t>
            </w:r>
          </w:p>
        </w:tc>
        <w:tc>
          <w:tcPr>
            <w:tcW w:w="1633" w:type="dxa"/>
            <w:noWrap/>
            <w:vAlign w:val="center"/>
          </w:tcPr>
          <w:p w14:paraId="6703AC81">
            <w:pPr>
              <w:spacing w:line="280" w:lineRule="exact"/>
              <w:jc w:val="center"/>
              <w:rPr>
                <w:rFonts w:ascii="宋体" w:hAnsi="宋体" w:cs="宋体"/>
                <w:szCs w:val="21"/>
              </w:rPr>
            </w:pPr>
            <w:r>
              <w:rPr>
                <w:rFonts w:hint="eastAsia" w:ascii="宋体" w:hAnsi="宋体" w:cs="宋体"/>
                <w:szCs w:val="21"/>
              </w:rPr>
              <w:t>100</w:t>
            </w:r>
          </w:p>
        </w:tc>
        <w:tc>
          <w:tcPr>
            <w:tcW w:w="1633" w:type="dxa"/>
            <w:noWrap/>
            <w:vAlign w:val="center"/>
          </w:tcPr>
          <w:p w14:paraId="13472912">
            <w:pPr>
              <w:spacing w:line="280" w:lineRule="exact"/>
              <w:jc w:val="center"/>
              <w:rPr>
                <w:rFonts w:ascii="宋体" w:hAnsi="宋体" w:cs="宋体"/>
                <w:szCs w:val="21"/>
              </w:rPr>
            </w:pPr>
            <w:r>
              <w:rPr>
                <w:rFonts w:hint="eastAsia" w:ascii="宋体" w:hAnsi="宋体" w:cs="宋体"/>
                <w:szCs w:val="21"/>
              </w:rPr>
              <w:t>100</w:t>
            </w:r>
          </w:p>
        </w:tc>
        <w:tc>
          <w:tcPr>
            <w:tcW w:w="1633" w:type="dxa"/>
            <w:noWrap/>
            <w:vAlign w:val="center"/>
          </w:tcPr>
          <w:p w14:paraId="652DFE6E">
            <w:pPr>
              <w:spacing w:line="280" w:lineRule="exact"/>
              <w:jc w:val="center"/>
              <w:rPr>
                <w:rFonts w:ascii="宋体" w:hAnsi="宋体" w:cs="宋体"/>
                <w:szCs w:val="21"/>
              </w:rPr>
            </w:pPr>
            <w:r>
              <w:rPr>
                <w:rFonts w:hint="eastAsia" w:ascii="宋体" w:hAnsi="宋体" w:cs="宋体"/>
                <w:szCs w:val="21"/>
              </w:rPr>
              <w:t>100</w:t>
            </w:r>
          </w:p>
        </w:tc>
      </w:tr>
    </w:tbl>
    <w:p w14:paraId="41DFA866">
      <w:pPr>
        <w:pStyle w:val="19"/>
        <w:spacing w:before="240" w:beforeLines="100" w:beforeAutospacing="0" w:after="0" w:afterAutospacing="0" w:line="360" w:lineRule="auto"/>
        <w:ind w:firstLine="482"/>
      </w:pPr>
      <w:r>
        <w:rPr>
          <w:rFonts w:hint="eastAsia"/>
        </w:rPr>
        <w:t>由上表可知，TU2（T10180）、T2（（T11050）、H65(C27000）铜材成分控制稳定，Cu、O、P、Fe、Ni、Pb、S、Zn、Bi、Sb、As等元素含量均在GB/T 5231标准指标要求范围内，合格率全部为100%。</w:t>
      </w:r>
    </w:p>
    <w:p w14:paraId="642DE869">
      <w:pPr>
        <w:pStyle w:val="12"/>
        <w:spacing w:before="120" w:beforeLines="50" w:after="120" w:afterLines="50" w:line="360" w:lineRule="auto"/>
        <w:rPr>
          <w:rFonts w:ascii="黑体" w:hAnsi="宋体" w:eastAsia="黑体"/>
          <w:bCs/>
          <w:szCs w:val="24"/>
        </w:rPr>
      </w:pPr>
      <w:r>
        <w:rPr>
          <w:rFonts w:hint="eastAsia" w:ascii="黑体" w:hAnsi="宋体" w:eastAsia="黑体"/>
          <w:bCs/>
          <w:szCs w:val="24"/>
        </w:rPr>
        <w:t>4.2.2 外形尺寸</w:t>
      </w:r>
    </w:p>
    <w:p w14:paraId="315FB39C">
      <w:pPr>
        <w:spacing w:line="360" w:lineRule="auto"/>
        <w:ind w:firstLine="480" w:firstLineChars="200"/>
        <w:rPr>
          <w:rFonts w:ascii="黑体" w:hAnsi="黑体" w:eastAsia="黑体" w:cs="黑体"/>
          <w:bCs/>
        </w:rPr>
      </w:pPr>
      <w:r>
        <w:rPr>
          <w:rFonts w:hint="eastAsia" w:ascii="黑体" w:hAnsi="黑体" w:eastAsia="黑体" w:cs="黑体"/>
          <w:bCs/>
        </w:rPr>
        <w:t>（1）厚度</w:t>
      </w:r>
    </w:p>
    <w:p w14:paraId="48E1EEF0">
      <w:pPr>
        <w:spacing w:line="360" w:lineRule="auto"/>
        <w:ind w:firstLine="480" w:firstLineChars="200"/>
        <w:rPr>
          <w:rFonts w:ascii="宋体" w:hAnsi="宋体" w:cs="宋体"/>
          <w:szCs w:val="24"/>
        </w:rPr>
      </w:pPr>
      <w:r>
        <w:rPr>
          <w:rFonts w:hint="eastAsia" w:hAnsi="宋体" w:cs="宋体"/>
          <w:bCs/>
        </w:rPr>
        <w:t>覆合用铜及铜合金带的厚度需求范围</w:t>
      </w:r>
      <w:r>
        <w:rPr>
          <w:rFonts w:hint="eastAsia" w:ascii="宋体" w:hAnsi="宋体" w:cs="宋体"/>
          <w:szCs w:val="24"/>
        </w:rPr>
        <w:t>0.20mm～4.00mm,需求较多的为0.21mm、0.25mm、0.6mm、0.7mm、0.80mm、0.9mm、1.20mm、2.8mm厚带材；有少部分0.42mm、1.3mm、1.5mm、2.5mm、3.0mm、3.2mm、3.8mm等厚度带材。部分带材实测厚度统计情况见下表：</w:t>
      </w:r>
    </w:p>
    <w:p w14:paraId="111F44EC">
      <w:pPr>
        <w:adjustRightInd/>
        <w:spacing w:before="120" w:beforeLines="50" w:after="120" w:afterLines="50" w:line="360" w:lineRule="auto"/>
        <w:jc w:val="center"/>
        <w:textAlignment w:val="auto"/>
        <w:rPr>
          <w:rFonts w:hAnsi="宋体" w:cs="宋体"/>
          <w:bCs/>
        </w:rPr>
      </w:pPr>
      <w:r>
        <w:rPr>
          <w:rFonts w:hint="eastAsia" w:ascii="宋体" w:hAnsi="宋体"/>
        </w:rPr>
        <w:t>表11  带材实测厚度统计情况</w:t>
      </w:r>
    </w:p>
    <w:tbl>
      <w:tblPr>
        <w:tblStyle w:val="21"/>
        <w:tblW w:w="52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3"/>
        <w:gridCol w:w="1316"/>
        <w:gridCol w:w="1737"/>
        <w:gridCol w:w="1266"/>
        <w:gridCol w:w="976"/>
        <w:gridCol w:w="1079"/>
        <w:gridCol w:w="1576"/>
      </w:tblGrid>
      <w:tr w14:paraId="36C6C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912" w:type="pct"/>
            <w:vAlign w:val="center"/>
          </w:tcPr>
          <w:p w14:paraId="12A80D3C">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厚度范围</w:t>
            </w:r>
          </w:p>
          <w:p w14:paraId="0ACBD220">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mm</w:t>
            </w:r>
          </w:p>
        </w:tc>
        <w:tc>
          <w:tcPr>
            <w:tcW w:w="677" w:type="pct"/>
            <w:vAlign w:val="center"/>
          </w:tcPr>
          <w:p w14:paraId="429D18BE">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带材名义厚度 mm</w:t>
            </w:r>
          </w:p>
        </w:tc>
        <w:tc>
          <w:tcPr>
            <w:tcW w:w="893" w:type="pct"/>
            <w:vAlign w:val="center"/>
          </w:tcPr>
          <w:p w14:paraId="57B8086A">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实际厚度</w:t>
            </w:r>
          </w:p>
          <w:p w14:paraId="6C48184E">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mm</w:t>
            </w:r>
          </w:p>
        </w:tc>
        <w:tc>
          <w:tcPr>
            <w:tcW w:w="651" w:type="pct"/>
            <w:vAlign w:val="center"/>
          </w:tcPr>
          <w:p w14:paraId="00922D48">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样品数</w:t>
            </w:r>
          </w:p>
          <w:p w14:paraId="73D7DC3B">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（个）</w:t>
            </w:r>
          </w:p>
        </w:tc>
        <w:tc>
          <w:tcPr>
            <w:tcW w:w="502" w:type="pct"/>
            <w:vAlign w:val="center"/>
          </w:tcPr>
          <w:p w14:paraId="77D86028">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合格数</w:t>
            </w:r>
          </w:p>
          <w:p w14:paraId="207B6CA5">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（个）</w:t>
            </w:r>
          </w:p>
        </w:tc>
        <w:tc>
          <w:tcPr>
            <w:tcW w:w="555" w:type="pct"/>
            <w:vAlign w:val="center"/>
          </w:tcPr>
          <w:p w14:paraId="5DB49968">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合格率</w:t>
            </w:r>
          </w:p>
          <w:p w14:paraId="4C0B8EE4">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w:t>
            </w:r>
          </w:p>
        </w:tc>
        <w:tc>
          <w:tcPr>
            <w:tcW w:w="810" w:type="pct"/>
            <w:vAlign w:val="center"/>
          </w:tcPr>
          <w:p w14:paraId="46F7EDA8">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允许偏差</w:t>
            </w:r>
          </w:p>
          <w:p w14:paraId="586E672B">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标准指标</w:t>
            </w:r>
          </w:p>
        </w:tc>
      </w:tr>
      <w:tr w14:paraId="2670D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12" w:type="pct"/>
            <w:vMerge w:val="restart"/>
            <w:vAlign w:val="center"/>
          </w:tcPr>
          <w:p w14:paraId="020FE981">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0.200～0.500</w:t>
            </w:r>
          </w:p>
        </w:tc>
        <w:tc>
          <w:tcPr>
            <w:tcW w:w="677" w:type="pct"/>
            <w:vAlign w:val="center"/>
          </w:tcPr>
          <w:p w14:paraId="27B43AE5">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0.210</w:t>
            </w:r>
          </w:p>
        </w:tc>
        <w:tc>
          <w:tcPr>
            <w:tcW w:w="893" w:type="pct"/>
            <w:vAlign w:val="center"/>
          </w:tcPr>
          <w:p w14:paraId="0ACDFE18">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0.218、0.215</w:t>
            </w:r>
          </w:p>
        </w:tc>
        <w:tc>
          <w:tcPr>
            <w:tcW w:w="651" w:type="pct"/>
            <w:vAlign w:val="center"/>
          </w:tcPr>
          <w:p w14:paraId="179EA587">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w:t>
            </w:r>
          </w:p>
        </w:tc>
        <w:tc>
          <w:tcPr>
            <w:tcW w:w="502" w:type="pct"/>
            <w:vAlign w:val="center"/>
          </w:tcPr>
          <w:p w14:paraId="6CD3B9A5">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w:t>
            </w:r>
          </w:p>
        </w:tc>
        <w:tc>
          <w:tcPr>
            <w:tcW w:w="555" w:type="pct"/>
            <w:vAlign w:val="center"/>
          </w:tcPr>
          <w:p w14:paraId="7D2B9A73">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100</w:t>
            </w:r>
          </w:p>
        </w:tc>
        <w:tc>
          <w:tcPr>
            <w:tcW w:w="810" w:type="pct"/>
            <w:vMerge w:val="restart"/>
            <w:vAlign w:val="center"/>
          </w:tcPr>
          <w:p w14:paraId="442EF671">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color w:val="000000"/>
                <w:sz w:val="24"/>
                <w:szCs w:val="24"/>
                <w:lang w:bidi="ar"/>
              </w:rPr>
              <w:t>±0.008</w:t>
            </w:r>
            <w:r>
              <w:rPr>
                <w:rFonts w:hint="eastAsia" w:cs="宋体" w:asciiTheme="minorEastAsia" w:hAnsiTheme="minorEastAsia" w:eastAsiaTheme="minorEastAsia"/>
                <w:sz w:val="24"/>
                <w:szCs w:val="24"/>
              </w:rPr>
              <w:t>（高）</w:t>
            </w:r>
          </w:p>
        </w:tc>
      </w:tr>
      <w:tr w14:paraId="42A08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12" w:type="pct"/>
            <w:vMerge w:val="continue"/>
            <w:vAlign w:val="center"/>
          </w:tcPr>
          <w:p w14:paraId="2BAB93B2">
            <w:pPr>
              <w:pStyle w:val="28"/>
              <w:spacing w:line="360" w:lineRule="auto"/>
              <w:ind w:firstLine="0" w:firstLineChars="0"/>
              <w:jc w:val="center"/>
              <w:rPr>
                <w:rFonts w:cs="宋体" w:asciiTheme="minorEastAsia" w:hAnsiTheme="minorEastAsia" w:eastAsiaTheme="minorEastAsia"/>
                <w:sz w:val="24"/>
                <w:szCs w:val="24"/>
              </w:rPr>
            </w:pPr>
          </w:p>
        </w:tc>
        <w:tc>
          <w:tcPr>
            <w:tcW w:w="677" w:type="pct"/>
            <w:vAlign w:val="center"/>
          </w:tcPr>
          <w:p w14:paraId="2633D772">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0.250</w:t>
            </w:r>
          </w:p>
        </w:tc>
        <w:tc>
          <w:tcPr>
            <w:tcW w:w="893" w:type="pct"/>
            <w:vAlign w:val="center"/>
          </w:tcPr>
          <w:p w14:paraId="07873C23">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0.256</w:t>
            </w:r>
          </w:p>
        </w:tc>
        <w:tc>
          <w:tcPr>
            <w:tcW w:w="651" w:type="pct"/>
            <w:vAlign w:val="center"/>
          </w:tcPr>
          <w:p w14:paraId="660576C2">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w:t>
            </w:r>
          </w:p>
        </w:tc>
        <w:tc>
          <w:tcPr>
            <w:tcW w:w="502" w:type="pct"/>
            <w:vAlign w:val="center"/>
          </w:tcPr>
          <w:p w14:paraId="6CBD31DB">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w:t>
            </w:r>
          </w:p>
        </w:tc>
        <w:tc>
          <w:tcPr>
            <w:tcW w:w="555" w:type="pct"/>
            <w:vAlign w:val="center"/>
          </w:tcPr>
          <w:p w14:paraId="008B2C7D">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100</w:t>
            </w:r>
          </w:p>
        </w:tc>
        <w:tc>
          <w:tcPr>
            <w:tcW w:w="810" w:type="pct"/>
            <w:vMerge w:val="continue"/>
            <w:vAlign w:val="center"/>
          </w:tcPr>
          <w:p w14:paraId="0E56B873">
            <w:pPr>
              <w:pStyle w:val="28"/>
              <w:spacing w:line="360" w:lineRule="auto"/>
              <w:ind w:firstLine="0" w:firstLineChars="0"/>
              <w:jc w:val="center"/>
              <w:rPr>
                <w:rFonts w:cs="宋体" w:asciiTheme="minorEastAsia" w:hAnsiTheme="minorEastAsia" w:eastAsiaTheme="minorEastAsia"/>
                <w:color w:val="000000"/>
                <w:sz w:val="24"/>
                <w:szCs w:val="24"/>
                <w:lang w:bidi="ar"/>
              </w:rPr>
            </w:pPr>
          </w:p>
        </w:tc>
      </w:tr>
      <w:tr w14:paraId="5928A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12" w:type="pct"/>
            <w:vMerge w:val="restart"/>
            <w:vAlign w:val="center"/>
          </w:tcPr>
          <w:p w14:paraId="44C710CB">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＞0.500～0.800</w:t>
            </w:r>
          </w:p>
        </w:tc>
        <w:tc>
          <w:tcPr>
            <w:tcW w:w="677" w:type="pct"/>
            <w:vAlign w:val="center"/>
          </w:tcPr>
          <w:p w14:paraId="3FF4F0E8">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0.500</w:t>
            </w:r>
          </w:p>
        </w:tc>
        <w:tc>
          <w:tcPr>
            <w:tcW w:w="893" w:type="pct"/>
            <w:vAlign w:val="center"/>
          </w:tcPr>
          <w:p w14:paraId="51DDD208">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0.470～0.520</w:t>
            </w:r>
          </w:p>
        </w:tc>
        <w:tc>
          <w:tcPr>
            <w:tcW w:w="651" w:type="pct"/>
            <w:vAlign w:val="center"/>
          </w:tcPr>
          <w:p w14:paraId="4EC00468">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13</w:t>
            </w:r>
          </w:p>
        </w:tc>
        <w:tc>
          <w:tcPr>
            <w:tcW w:w="502" w:type="pct"/>
            <w:vAlign w:val="center"/>
          </w:tcPr>
          <w:p w14:paraId="07925834">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13</w:t>
            </w:r>
          </w:p>
        </w:tc>
        <w:tc>
          <w:tcPr>
            <w:tcW w:w="555" w:type="pct"/>
            <w:vAlign w:val="center"/>
          </w:tcPr>
          <w:p w14:paraId="6A770126">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100</w:t>
            </w:r>
          </w:p>
        </w:tc>
        <w:tc>
          <w:tcPr>
            <w:tcW w:w="810" w:type="pct"/>
            <w:vMerge w:val="restart"/>
            <w:vAlign w:val="center"/>
          </w:tcPr>
          <w:p w14:paraId="3957926E">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color w:val="000000"/>
                <w:sz w:val="24"/>
                <w:szCs w:val="24"/>
                <w:lang w:bidi="ar"/>
              </w:rPr>
              <w:t>±0.02(高)</w:t>
            </w:r>
          </w:p>
        </w:tc>
      </w:tr>
      <w:tr w14:paraId="764A3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12" w:type="pct"/>
            <w:vMerge w:val="continue"/>
            <w:vAlign w:val="center"/>
          </w:tcPr>
          <w:p w14:paraId="6D515998">
            <w:pPr>
              <w:pStyle w:val="28"/>
              <w:spacing w:line="360" w:lineRule="auto"/>
              <w:ind w:firstLine="0" w:firstLineChars="0"/>
              <w:jc w:val="center"/>
              <w:rPr>
                <w:rFonts w:cs="宋体" w:asciiTheme="minorEastAsia" w:hAnsiTheme="minorEastAsia" w:eastAsiaTheme="minorEastAsia"/>
                <w:sz w:val="24"/>
                <w:szCs w:val="24"/>
              </w:rPr>
            </w:pPr>
          </w:p>
        </w:tc>
        <w:tc>
          <w:tcPr>
            <w:tcW w:w="677" w:type="pct"/>
            <w:vAlign w:val="center"/>
          </w:tcPr>
          <w:p w14:paraId="578EFE60">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0.600</w:t>
            </w:r>
          </w:p>
        </w:tc>
        <w:tc>
          <w:tcPr>
            <w:tcW w:w="893" w:type="pct"/>
            <w:vAlign w:val="center"/>
          </w:tcPr>
          <w:p w14:paraId="176B2BAF">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0.600～0.620</w:t>
            </w:r>
          </w:p>
        </w:tc>
        <w:tc>
          <w:tcPr>
            <w:tcW w:w="651" w:type="pct"/>
            <w:vAlign w:val="center"/>
          </w:tcPr>
          <w:p w14:paraId="6FAB5690">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w:t>
            </w:r>
          </w:p>
        </w:tc>
        <w:tc>
          <w:tcPr>
            <w:tcW w:w="502" w:type="pct"/>
            <w:vAlign w:val="center"/>
          </w:tcPr>
          <w:p w14:paraId="7578E6E7">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w:t>
            </w:r>
          </w:p>
        </w:tc>
        <w:tc>
          <w:tcPr>
            <w:tcW w:w="555" w:type="pct"/>
            <w:vAlign w:val="center"/>
          </w:tcPr>
          <w:p w14:paraId="33E667A5">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100</w:t>
            </w:r>
          </w:p>
        </w:tc>
        <w:tc>
          <w:tcPr>
            <w:tcW w:w="810" w:type="pct"/>
            <w:vMerge w:val="continue"/>
            <w:vAlign w:val="center"/>
          </w:tcPr>
          <w:p w14:paraId="4D3EDC1C">
            <w:pPr>
              <w:pStyle w:val="28"/>
              <w:spacing w:line="360" w:lineRule="auto"/>
              <w:ind w:firstLine="0" w:firstLineChars="0"/>
              <w:jc w:val="center"/>
              <w:rPr>
                <w:rFonts w:cs="宋体" w:asciiTheme="minorEastAsia" w:hAnsiTheme="minorEastAsia" w:eastAsiaTheme="minorEastAsia"/>
                <w:color w:val="000000"/>
                <w:sz w:val="24"/>
                <w:szCs w:val="24"/>
                <w:lang w:bidi="ar"/>
              </w:rPr>
            </w:pPr>
          </w:p>
        </w:tc>
      </w:tr>
      <w:tr w14:paraId="48F19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912" w:type="pct"/>
            <w:vMerge w:val="continue"/>
            <w:vAlign w:val="center"/>
          </w:tcPr>
          <w:p w14:paraId="7F1149D1">
            <w:pPr>
              <w:pStyle w:val="28"/>
              <w:spacing w:line="360" w:lineRule="auto"/>
              <w:ind w:firstLine="0" w:firstLineChars="0"/>
              <w:jc w:val="center"/>
              <w:rPr>
                <w:rFonts w:cs="宋体" w:asciiTheme="minorEastAsia" w:hAnsiTheme="minorEastAsia" w:eastAsiaTheme="minorEastAsia"/>
                <w:sz w:val="24"/>
                <w:szCs w:val="24"/>
              </w:rPr>
            </w:pPr>
          </w:p>
        </w:tc>
        <w:tc>
          <w:tcPr>
            <w:tcW w:w="677" w:type="pct"/>
            <w:vAlign w:val="center"/>
          </w:tcPr>
          <w:p w14:paraId="571B9960">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0.700</w:t>
            </w:r>
          </w:p>
        </w:tc>
        <w:tc>
          <w:tcPr>
            <w:tcW w:w="893" w:type="pct"/>
            <w:vAlign w:val="center"/>
          </w:tcPr>
          <w:p w14:paraId="78E6F109">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0.670～0.730</w:t>
            </w:r>
          </w:p>
        </w:tc>
        <w:tc>
          <w:tcPr>
            <w:tcW w:w="651" w:type="pct"/>
            <w:vAlign w:val="center"/>
          </w:tcPr>
          <w:p w14:paraId="74DACBFF">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24</w:t>
            </w:r>
          </w:p>
        </w:tc>
        <w:tc>
          <w:tcPr>
            <w:tcW w:w="502" w:type="pct"/>
            <w:vAlign w:val="center"/>
          </w:tcPr>
          <w:p w14:paraId="7374CA3B">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24</w:t>
            </w:r>
          </w:p>
        </w:tc>
        <w:tc>
          <w:tcPr>
            <w:tcW w:w="555" w:type="pct"/>
            <w:vAlign w:val="center"/>
          </w:tcPr>
          <w:p w14:paraId="25461E46">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100</w:t>
            </w:r>
          </w:p>
        </w:tc>
        <w:tc>
          <w:tcPr>
            <w:tcW w:w="810" w:type="pct"/>
            <w:vMerge w:val="continue"/>
            <w:vAlign w:val="center"/>
          </w:tcPr>
          <w:p w14:paraId="0071ABA5">
            <w:pPr>
              <w:pStyle w:val="28"/>
              <w:spacing w:line="360" w:lineRule="auto"/>
              <w:ind w:firstLine="0" w:firstLineChars="0"/>
              <w:jc w:val="center"/>
              <w:rPr>
                <w:rFonts w:cs="宋体" w:asciiTheme="minorEastAsia" w:hAnsiTheme="minorEastAsia" w:eastAsiaTheme="minorEastAsia"/>
                <w:sz w:val="24"/>
                <w:szCs w:val="24"/>
              </w:rPr>
            </w:pPr>
          </w:p>
        </w:tc>
      </w:tr>
      <w:tr w14:paraId="7961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12" w:type="pct"/>
            <w:vMerge w:val="restart"/>
            <w:vAlign w:val="center"/>
          </w:tcPr>
          <w:p w14:paraId="2231A996">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＞0.800～1.200</w:t>
            </w:r>
          </w:p>
        </w:tc>
        <w:tc>
          <w:tcPr>
            <w:tcW w:w="677" w:type="pct"/>
            <w:vAlign w:val="center"/>
          </w:tcPr>
          <w:p w14:paraId="33511E87">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0.800</w:t>
            </w:r>
          </w:p>
        </w:tc>
        <w:tc>
          <w:tcPr>
            <w:tcW w:w="893" w:type="pct"/>
            <w:vAlign w:val="center"/>
          </w:tcPr>
          <w:p w14:paraId="73C150E5">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0.762～0.834</w:t>
            </w:r>
          </w:p>
        </w:tc>
        <w:tc>
          <w:tcPr>
            <w:tcW w:w="651" w:type="pct"/>
            <w:vAlign w:val="center"/>
          </w:tcPr>
          <w:p w14:paraId="6A7735A9">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20</w:t>
            </w:r>
          </w:p>
        </w:tc>
        <w:tc>
          <w:tcPr>
            <w:tcW w:w="502" w:type="pct"/>
            <w:vAlign w:val="center"/>
          </w:tcPr>
          <w:p w14:paraId="1CBFECE8">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19</w:t>
            </w:r>
          </w:p>
        </w:tc>
        <w:tc>
          <w:tcPr>
            <w:tcW w:w="555" w:type="pct"/>
            <w:vAlign w:val="center"/>
          </w:tcPr>
          <w:p w14:paraId="015CA4D7">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95</w:t>
            </w:r>
          </w:p>
        </w:tc>
        <w:tc>
          <w:tcPr>
            <w:tcW w:w="810" w:type="pct"/>
            <w:vMerge w:val="restart"/>
            <w:vAlign w:val="center"/>
          </w:tcPr>
          <w:p w14:paraId="59BA10E5">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±0.035</w:t>
            </w:r>
          </w:p>
        </w:tc>
      </w:tr>
      <w:tr w14:paraId="7AE35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12" w:type="pct"/>
            <w:vMerge w:val="continue"/>
            <w:vAlign w:val="center"/>
          </w:tcPr>
          <w:p w14:paraId="460DE2B7">
            <w:pPr>
              <w:pStyle w:val="28"/>
              <w:spacing w:line="360" w:lineRule="auto"/>
              <w:ind w:firstLine="0" w:firstLineChars="0"/>
              <w:jc w:val="center"/>
              <w:rPr>
                <w:rFonts w:cs="宋体" w:asciiTheme="minorEastAsia" w:hAnsiTheme="minorEastAsia" w:eastAsiaTheme="minorEastAsia"/>
                <w:sz w:val="24"/>
                <w:szCs w:val="24"/>
              </w:rPr>
            </w:pPr>
          </w:p>
        </w:tc>
        <w:tc>
          <w:tcPr>
            <w:tcW w:w="677" w:type="pct"/>
            <w:vAlign w:val="center"/>
          </w:tcPr>
          <w:p w14:paraId="6BA41A1A">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0.900</w:t>
            </w:r>
          </w:p>
        </w:tc>
        <w:tc>
          <w:tcPr>
            <w:tcW w:w="893" w:type="pct"/>
            <w:vAlign w:val="center"/>
          </w:tcPr>
          <w:p w14:paraId="6655BFF3">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0.860～0.940</w:t>
            </w:r>
          </w:p>
        </w:tc>
        <w:tc>
          <w:tcPr>
            <w:tcW w:w="651" w:type="pct"/>
            <w:vAlign w:val="center"/>
          </w:tcPr>
          <w:p w14:paraId="4D567CB8">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24</w:t>
            </w:r>
          </w:p>
        </w:tc>
        <w:tc>
          <w:tcPr>
            <w:tcW w:w="502" w:type="pct"/>
            <w:vAlign w:val="center"/>
          </w:tcPr>
          <w:p w14:paraId="30E1DA82">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23</w:t>
            </w:r>
          </w:p>
        </w:tc>
        <w:tc>
          <w:tcPr>
            <w:tcW w:w="555" w:type="pct"/>
            <w:vAlign w:val="center"/>
          </w:tcPr>
          <w:p w14:paraId="644E31D2">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95.83</w:t>
            </w:r>
          </w:p>
        </w:tc>
        <w:tc>
          <w:tcPr>
            <w:tcW w:w="810" w:type="pct"/>
            <w:vMerge w:val="continue"/>
            <w:vAlign w:val="center"/>
          </w:tcPr>
          <w:p w14:paraId="56E01633">
            <w:pPr>
              <w:pStyle w:val="28"/>
              <w:spacing w:line="360" w:lineRule="auto"/>
              <w:ind w:firstLine="0" w:firstLineChars="0"/>
              <w:jc w:val="center"/>
              <w:rPr>
                <w:rFonts w:cs="宋体" w:asciiTheme="minorEastAsia" w:hAnsiTheme="minorEastAsia" w:eastAsiaTheme="minorEastAsia"/>
                <w:sz w:val="24"/>
                <w:szCs w:val="24"/>
              </w:rPr>
            </w:pPr>
          </w:p>
        </w:tc>
      </w:tr>
      <w:tr w14:paraId="2E012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12" w:type="pct"/>
            <w:vMerge w:val="restart"/>
            <w:vAlign w:val="center"/>
          </w:tcPr>
          <w:p w14:paraId="024226E9">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＞1.200～4.000</w:t>
            </w:r>
          </w:p>
        </w:tc>
        <w:tc>
          <w:tcPr>
            <w:tcW w:w="677" w:type="pct"/>
            <w:vAlign w:val="center"/>
          </w:tcPr>
          <w:p w14:paraId="25933A12">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1.200</w:t>
            </w:r>
          </w:p>
        </w:tc>
        <w:tc>
          <w:tcPr>
            <w:tcW w:w="893" w:type="pct"/>
            <w:vAlign w:val="center"/>
          </w:tcPr>
          <w:p w14:paraId="7C54173A">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1.151～1.251</w:t>
            </w:r>
          </w:p>
        </w:tc>
        <w:tc>
          <w:tcPr>
            <w:tcW w:w="651" w:type="pct"/>
            <w:vAlign w:val="center"/>
          </w:tcPr>
          <w:p w14:paraId="41A61860">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34</w:t>
            </w:r>
          </w:p>
        </w:tc>
        <w:tc>
          <w:tcPr>
            <w:tcW w:w="502" w:type="pct"/>
            <w:vAlign w:val="center"/>
          </w:tcPr>
          <w:p w14:paraId="19F21A7A">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33</w:t>
            </w:r>
          </w:p>
        </w:tc>
        <w:tc>
          <w:tcPr>
            <w:tcW w:w="555" w:type="pct"/>
            <w:vAlign w:val="center"/>
          </w:tcPr>
          <w:p w14:paraId="5C0CB2F6">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97.06</w:t>
            </w:r>
          </w:p>
        </w:tc>
        <w:tc>
          <w:tcPr>
            <w:tcW w:w="810" w:type="pct"/>
            <w:vMerge w:val="restart"/>
            <w:vAlign w:val="center"/>
          </w:tcPr>
          <w:p w14:paraId="47EC476B">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±0.05</w:t>
            </w:r>
          </w:p>
        </w:tc>
      </w:tr>
      <w:tr w14:paraId="51271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12" w:type="pct"/>
            <w:vMerge w:val="continue"/>
            <w:vAlign w:val="center"/>
          </w:tcPr>
          <w:p w14:paraId="65BA20F0">
            <w:pPr>
              <w:pStyle w:val="28"/>
              <w:spacing w:line="360" w:lineRule="auto"/>
              <w:ind w:firstLine="0" w:firstLineChars="0"/>
              <w:jc w:val="center"/>
              <w:rPr>
                <w:rFonts w:cs="宋体" w:asciiTheme="minorEastAsia" w:hAnsiTheme="minorEastAsia" w:eastAsiaTheme="minorEastAsia"/>
                <w:sz w:val="24"/>
                <w:szCs w:val="24"/>
              </w:rPr>
            </w:pPr>
          </w:p>
        </w:tc>
        <w:tc>
          <w:tcPr>
            <w:tcW w:w="677" w:type="pct"/>
            <w:vAlign w:val="center"/>
          </w:tcPr>
          <w:p w14:paraId="5E2B3CEE">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2.800</w:t>
            </w:r>
          </w:p>
        </w:tc>
        <w:tc>
          <w:tcPr>
            <w:tcW w:w="893" w:type="pct"/>
            <w:vAlign w:val="center"/>
          </w:tcPr>
          <w:p w14:paraId="77454841">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2.750～2.850</w:t>
            </w:r>
          </w:p>
        </w:tc>
        <w:tc>
          <w:tcPr>
            <w:tcW w:w="651" w:type="pct"/>
            <w:vAlign w:val="center"/>
          </w:tcPr>
          <w:p w14:paraId="3A60E60D">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45</w:t>
            </w:r>
          </w:p>
        </w:tc>
        <w:tc>
          <w:tcPr>
            <w:tcW w:w="502" w:type="pct"/>
            <w:vAlign w:val="center"/>
          </w:tcPr>
          <w:p w14:paraId="0115649C">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45</w:t>
            </w:r>
          </w:p>
        </w:tc>
        <w:tc>
          <w:tcPr>
            <w:tcW w:w="555" w:type="pct"/>
            <w:vAlign w:val="center"/>
          </w:tcPr>
          <w:p w14:paraId="1E0CA1DA">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100</w:t>
            </w:r>
          </w:p>
        </w:tc>
        <w:tc>
          <w:tcPr>
            <w:tcW w:w="810" w:type="pct"/>
            <w:vMerge w:val="continue"/>
            <w:vAlign w:val="center"/>
          </w:tcPr>
          <w:p w14:paraId="234B8664">
            <w:pPr>
              <w:pStyle w:val="28"/>
              <w:spacing w:line="360" w:lineRule="auto"/>
              <w:ind w:firstLine="0" w:firstLineChars="0"/>
              <w:jc w:val="center"/>
              <w:rPr>
                <w:rFonts w:cs="宋体" w:asciiTheme="minorEastAsia" w:hAnsiTheme="minorEastAsia" w:eastAsiaTheme="minorEastAsia"/>
                <w:sz w:val="24"/>
                <w:szCs w:val="24"/>
              </w:rPr>
            </w:pPr>
          </w:p>
        </w:tc>
      </w:tr>
      <w:tr w14:paraId="5F09E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2482" w:type="pct"/>
            <w:gridSpan w:val="3"/>
            <w:vAlign w:val="center"/>
          </w:tcPr>
          <w:p w14:paraId="73885404">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合计</w:t>
            </w:r>
          </w:p>
        </w:tc>
        <w:tc>
          <w:tcPr>
            <w:tcW w:w="651" w:type="pct"/>
            <w:vAlign w:val="center"/>
          </w:tcPr>
          <w:p w14:paraId="2D6F9DA7">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169</w:t>
            </w:r>
          </w:p>
        </w:tc>
        <w:tc>
          <w:tcPr>
            <w:tcW w:w="502" w:type="pct"/>
            <w:vAlign w:val="center"/>
          </w:tcPr>
          <w:p w14:paraId="5020743B">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163</w:t>
            </w:r>
          </w:p>
        </w:tc>
        <w:tc>
          <w:tcPr>
            <w:tcW w:w="555" w:type="pct"/>
            <w:vAlign w:val="center"/>
          </w:tcPr>
          <w:p w14:paraId="04A3C3B8">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96.45</w:t>
            </w:r>
          </w:p>
        </w:tc>
        <w:tc>
          <w:tcPr>
            <w:tcW w:w="810" w:type="pct"/>
            <w:vAlign w:val="center"/>
          </w:tcPr>
          <w:p w14:paraId="0993078F">
            <w:pPr>
              <w:pStyle w:val="28"/>
              <w:spacing w:line="360" w:lineRule="auto"/>
              <w:ind w:firstLine="0" w:firstLineChars="0"/>
              <w:jc w:val="center"/>
              <w:rPr>
                <w:rFonts w:cs="宋体" w:asciiTheme="minorEastAsia" w:hAnsiTheme="minorEastAsia" w:eastAsiaTheme="minorEastAsia"/>
                <w:sz w:val="24"/>
                <w:szCs w:val="24"/>
              </w:rPr>
            </w:pPr>
          </w:p>
        </w:tc>
      </w:tr>
    </w:tbl>
    <w:p w14:paraId="43696992">
      <w:pPr>
        <w:pStyle w:val="12"/>
        <w:numPr>
          <w:ilvl w:val="0"/>
          <w:numId w:val="2"/>
        </w:numPr>
        <w:adjustRightInd/>
        <w:spacing w:before="240" w:beforeLines="100" w:after="120" w:afterLines="50" w:line="360" w:lineRule="auto"/>
        <w:textAlignment w:val="auto"/>
        <w:rPr>
          <w:rFonts w:ascii="黑体" w:hAnsi="宋体" w:eastAsia="黑体"/>
          <w:bCs/>
          <w:szCs w:val="24"/>
        </w:rPr>
      </w:pPr>
      <w:r>
        <w:rPr>
          <w:rFonts w:hint="eastAsia" w:ascii="黑体" w:hAnsi="宋体" w:eastAsia="黑体"/>
          <w:bCs/>
          <w:szCs w:val="24"/>
        </w:rPr>
        <w:t>宽度</w:t>
      </w:r>
    </w:p>
    <w:p w14:paraId="14474474">
      <w:pPr>
        <w:spacing w:line="360" w:lineRule="auto"/>
        <w:ind w:firstLine="480" w:firstLineChars="200"/>
        <w:rPr>
          <w:rFonts w:ascii="宋体" w:hAnsi="宋体"/>
        </w:rPr>
      </w:pPr>
      <w:r>
        <w:rPr>
          <w:rFonts w:hint="eastAsia" w:hAnsi="宋体" w:cs="宋体"/>
          <w:bCs/>
          <w:lang w:val="en-US" w:eastAsia="zh-CN"/>
        </w:rPr>
        <w:t>覆合用铜及铜合金</w:t>
      </w:r>
      <w:r>
        <w:rPr>
          <w:rFonts w:hint="eastAsia" w:hAnsi="宋体" w:cs="宋体"/>
          <w:bCs/>
        </w:rPr>
        <w:t>铜带的宽度需求范围</w:t>
      </w:r>
      <w:r>
        <w:rPr>
          <w:rFonts w:hint="eastAsia" w:ascii="宋体" w:hAnsi="宋体" w:cs="宋体"/>
          <w:szCs w:val="24"/>
          <w:lang w:val="en-US" w:eastAsia="zh-CN"/>
        </w:rPr>
        <w:t>500</w:t>
      </w:r>
      <w:r>
        <w:rPr>
          <w:rFonts w:hint="eastAsia" w:ascii="宋体" w:hAnsi="宋体" w:cs="宋体"/>
          <w:szCs w:val="24"/>
        </w:rPr>
        <w:t>mm以</w:t>
      </w:r>
      <w:r>
        <w:rPr>
          <w:rFonts w:hint="eastAsia" w:ascii="宋体" w:hAnsi="宋体" w:cs="宋体"/>
          <w:szCs w:val="24"/>
          <w:lang w:val="en-US" w:eastAsia="zh-CN"/>
        </w:rPr>
        <w:t>上</w:t>
      </w:r>
      <w:r>
        <w:rPr>
          <w:rFonts w:hint="eastAsia" w:ascii="宋体" w:hAnsi="宋体" w:cs="宋体"/>
          <w:szCs w:val="24"/>
        </w:rPr>
        <w:t>,</w:t>
      </w:r>
      <w:r>
        <w:rPr>
          <w:rFonts w:hint="eastAsia" w:ascii="宋体" w:hAnsi="宋体" w:cs="宋体"/>
          <w:szCs w:val="24"/>
          <w:lang w:val="en-US" w:eastAsia="zh-CN"/>
        </w:rPr>
        <w:t>5</w:t>
      </w:r>
      <w:r>
        <w:rPr>
          <w:rFonts w:hint="eastAsia" w:ascii="宋体" w:hAnsi="宋体" w:cs="宋体"/>
          <w:szCs w:val="24"/>
        </w:rPr>
        <w:t>00mm以</w:t>
      </w:r>
      <w:r>
        <w:rPr>
          <w:rFonts w:hint="eastAsia" w:ascii="宋体" w:hAnsi="宋体" w:cs="宋体"/>
          <w:szCs w:val="24"/>
          <w:lang w:val="en-US" w:eastAsia="zh-CN"/>
        </w:rPr>
        <w:t>下</w:t>
      </w:r>
      <w:r>
        <w:rPr>
          <w:rFonts w:hint="eastAsia" w:ascii="宋体" w:hAnsi="宋体" w:cs="宋体"/>
          <w:szCs w:val="24"/>
        </w:rPr>
        <w:t>的需求较少，部分带材宽度实测只统计见下表。</w:t>
      </w:r>
    </w:p>
    <w:p w14:paraId="7C09B856">
      <w:pPr>
        <w:adjustRightInd/>
        <w:spacing w:before="120" w:beforeLines="50" w:after="120" w:afterLines="50" w:line="360" w:lineRule="auto"/>
        <w:jc w:val="center"/>
        <w:textAlignment w:val="auto"/>
        <w:rPr>
          <w:rFonts w:ascii="黑体" w:hAnsi="宋体" w:eastAsia="黑体"/>
          <w:bCs/>
          <w:szCs w:val="24"/>
        </w:rPr>
      </w:pPr>
      <w:r>
        <w:rPr>
          <w:rFonts w:hint="eastAsia" w:ascii="宋体" w:hAnsi="宋体"/>
        </w:rPr>
        <w:t>表12  带材实测宽度统计情况</w:t>
      </w:r>
    </w:p>
    <w:tbl>
      <w:tblPr>
        <w:tblStyle w:val="21"/>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3"/>
        <w:gridCol w:w="1127"/>
        <w:gridCol w:w="1776"/>
        <w:gridCol w:w="1150"/>
        <w:gridCol w:w="1073"/>
        <w:gridCol w:w="983"/>
        <w:gridCol w:w="1452"/>
      </w:tblGrid>
      <w:tr w14:paraId="63B79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903" w:type="pct"/>
            <w:vAlign w:val="center"/>
          </w:tcPr>
          <w:p w14:paraId="165B3C0E">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厚度范围</w:t>
            </w:r>
          </w:p>
          <w:p w14:paraId="7E879F85">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mm</w:t>
            </w:r>
          </w:p>
        </w:tc>
        <w:tc>
          <w:tcPr>
            <w:tcW w:w="628" w:type="pct"/>
            <w:vAlign w:val="center"/>
          </w:tcPr>
          <w:p w14:paraId="0DE6A244">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带材名义宽度 mm</w:t>
            </w:r>
          </w:p>
        </w:tc>
        <w:tc>
          <w:tcPr>
            <w:tcW w:w="876" w:type="pct"/>
            <w:vAlign w:val="center"/>
          </w:tcPr>
          <w:p w14:paraId="552F5BC8">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实际宽度</w:t>
            </w:r>
          </w:p>
          <w:p w14:paraId="79E054A6">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mm</w:t>
            </w:r>
          </w:p>
        </w:tc>
        <w:tc>
          <w:tcPr>
            <w:tcW w:w="640" w:type="pct"/>
            <w:vAlign w:val="center"/>
          </w:tcPr>
          <w:p w14:paraId="00B40D86">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样品数</w:t>
            </w:r>
          </w:p>
          <w:p w14:paraId="1640DAB1">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（个）</w:t>
            </w:r>
          </w:p>
        </w:tc>
        <w:tc>
          <w:tcPr>
            <w:tcW w:w="598" w:type="pct"/>
            <w:vAlign w:val="center"/>
          </w:tcPr>
          <w:p w14:paraId="5ED42A95">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合格数</w:t>
            </w:r>
          </w:p>
          <w:p w14:paraId="050E5CDC">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（个）</w:t>
            </w:r>
          </w:p>
        </w:tc>
        <w:tc>
          <w:tcPr>
            <w:tcW w:w="549" w:type="pct"/>
            <w:vAlign w:val="center"/>
          </w:tcPr>
          <w:p w14:paraId="319CF500">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合格率</w:t>
            </w:r>
          </w:p>
          <w:p w14:paraId="5E004363">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w:t>
            </w:r>
          </w:p>
        </w:tc>
        <w:tc>
          <w:tcPr>
            <w:tcW w:w="804" w:type="pct"/>
            <w:vAlign w:val="center"/>
          </w:tcPr>
          <w:p w14:paraId="2C6FCF44">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允许偏差</w:t>
            </w:r>
          </w:p>
          <w:p w14:paraId="04C0091A">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标准指标</w:t>
            </w:r>
          </w:p>
        </w:tc>
      </w:tr>
      <w:tr w14:paraId="64BAA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03" w:type="pct"/>
            <w:vMerge w:val="restart"/>
            <w:vAlign w:val="center"/>
          </w:tcPr>
          <w:p w14:paraId="1DFFF39B">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0.200</w:t>
            </w:r>
            <w:r>
              <w:rPr>
                <w:rFonts w:hint="eastAsia" w:cs="宋体" w:asciiTheme="minorEastAsia" w:hAnsiTheme="minorEastAsia" w:eastAsiaTheme="minorEastAsia"/>
                <w:kern w:val="2"/>
                <w:sz w:val="24"/>
                <w:szCs w:val="24"/>
              </w:rPr>
              <w:t>～</w:t>
            </w:r>
            <w:r>
              <w:rPr>
                <w:rFonts w:hint="eastAsia" w:cs="宋体" w:asciiTheme="minorEastAsia" w:hAnsiTheme="minorEastAsia" w:eastAsiaTheme="minorEastAsia"/>
                <w:sz w:val="24"/>
                <w:szCs w:val="24"/>
              </w:rPr>
              <w:t>0.500</w:t>
            </w:r>
          </w:p>
        </w:tc>
        <w:tc>
          <w:tcPr>
            <w:tcW w:w="628" w:type="pct"/>
            <w:vAlign w:val="center"/>
          </w:tcPr>
          <w:p w14:paraId="762D85BB">
            <w:pPr>
              <w:widowControl/>
              <w:spacing w:line="36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color w:val="000000"/>
                <w:szCs w:val="24"/>
                <w:lang w:bidi="ar"/>
              </w:rPr>
              <w:t>600</w:t>
            </w:r>
          </w:p>
        </w:tc>
        <w:tc>
          <w:tcPr>
            <w:tcW w:w="876" w:type="pct"/>
            <w:vAlign w:val="center"/>
          </w:tcPr>
          <w:p w14:paraId="4938B04A">
            <w:pPr>
              <w:widowControl/>
              <w:spacing w:line="360" w:lineRule="auto"/>
              <w:jc w:val="center"/>
              <w:textAlignment w:val="center"/>
              <w:rPr>
                <w:rFonts w:cs="宋体" w:asciiTheme="minorEastAsia" w:hAnsiTheme="minorEastAsia" w:eastAsiaTheme="minorEastAsia"/>
                <w:szCs w:val="24"/>
                <w:lang w:bidi="ar"/>
              </w:rPr>
            </w:pPr>
            <w:r>
              <w:rPr>
                <w:rFonts w:hint="eastAsia" w:cs="宋体" w:asciiTheme="minorEastAsia" w:hAnsiTheme="minorEastAsia" w:eastAsiaTheme="minorEastAsia"/>
                <w:color w:val="000000"/>
                <w:szCs w:val="24"/>
                <w:lang w:bidi="ar"/>
              </w:rPr>
              <w:t>600.10</w:t>
            </w:r>
          </w:p>
        </w:tc>
        <w:tc>
          <w:tcPr>
            <w:tcW w:w="640" w:type="pct"/>
            <w:vAlign w:val="center"/>
          </w:tcPr>
          <w:p w14:paraId="545E4C4B">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w:t>
            </w:r>
          </w:p>
        </w:tc>
        <w:tc>
          <w:tcPr>
            <w:tcW w:w="598" w:type="pct"/>
            <w:vAlign w:val="center"/>
          </w:tcPr>
          <w:p w14:paraId="004E0B5E">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w:t>
            </w:r>
          </w:p>
        </w:tc>
        <w:tc>
          <w:tcPr>
            <w:tcW w:w="549" w:type="pct"/>
            <w:vAlign w:val="center"/>
          </w:tcPr>
          <w:p w14:paraId="7A0813FE">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100</w:t>
            </w:r>
          </w:p>
        </w:tc>
        <w:tc>
          <w:tcPr>
            <w:tcW w:w="804" w:type="pct"/>
            <w:vMerge w:val="restart"/>
            <w:vAlign w:val="center"/>
          </w:tcPr>
          <w:p w14:paraId="1D2364C2">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±0.20</w:t>
            </w:r>
          </w:p>
        </w:tc>
      </w:tr>
      <w:tr w14:paraId="2167F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03" w:type="pct"/>
            <w:vMerge w:val="continue"/>
            <w:vAlign w:val="center"/>
          </w:tcPr>
          <w:p w14:paraId="015B5B01">
            <w:pPr>
              <w:pStyle w:val="28"/>
              <w:spacing w:line="360" w:lineRule="auto"/>
              <w:ind w:firstLine="0" w:firstLineChars="0"/>
              <w:jc w:val="center"/>
              <w:rPr>
                <w:rFonts w:cs="宋体" w:asciiTheme="minorEastAsia" w:hAnsiTheme="minorEastAsia" w:eastAsiaTheme="minorEastAsia"/>
                <w:sz w:val="24"/>
                <w:szCs w:val="24"/>
              </w:rPr>
            </w:pPr>
          </w:p>
        </w:tc>
        <w:tc>
          <w:tcPr>
            <w:tcW w:w="628" w:type="pct"/>
            <w:vAlign w:val="center"/>
          </w:tcPr>
          <w:p w14:paraId="3850069D">
            <w:pPr>
              <w:widowControl/>
              <w:spacing w:line="36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color w:val="000000"/>
                <w:szCs w:val="24"/>
                <w:lang w:bidi="ar"/>
              </w:rPr>
              <w:t>610</w:t>
            </w:r>
          </w:p>
        </w:tc>
        <w:tc>
          <w:tcPr>
            <w:tcW w:w="876" w:type="pct"/>
            <w:vAlign w:val="center"/>
          </w:tcPr>
          <w:p w14:paraId="39B756FB">
            <w:pPr>
              <w:widowControl/>
              <w:spacing w:line="360" w:lineRule="auto"/>
              <w:jc w:val="center"/>
              <w:textAlignment w:val="center"/>
              <w:rPr>
                <w:rFonts w:cs="宋体" w:asciiTheme="minorEastAsia" w:hAnsiTheme="minorEastAsia" w:eastAsiaTheme="minorEastAsia"/>
                <w:szCs w:val="24"/>
                <w:lang w:bidi="ar"/>
              </w:rPr>
            </w:pPr>
            <w:r>
              <w:rPr>
                <w:rFonts w:hint="eastAsia" w:cs="宋体" w:asciiTheme="minorEastAsia" w:hAnsiTheme="minorEastAsia" w:eastAsiaTheme="minorEastAsia"/>
                <w:color w:val="000000"/>
                <w:szCs w:val="24"/>
                <w:lang w:bidi="ar"/>
              </w:rPr>
              <w:t>610.20</w:t>
            </w:r>
          </w:p>
        </w:tc>
        <w:tc>
          <w:tcPr>
            <w:tcW w:w="640" w:type="pct"/>
            <w:vAlign w:val="center"/>
          </w:tcPr>
          <w:p w14:paraId="713663D2">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w:t>
            </w:r>
          </w:p>
        </w:tc>
        <w:tc>
          <w:tcPr>
            <w:tcW w:w="598" w:type="pct"/>
            <w:vAlign w:val="center"/>
          </w:tcPr>
          <w:p w14:paraId="60008ABA">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w:t>
            </w:r>
          </w:p>
        </w:tc>
        <w:tc>
          <w:tcPr>
            <w:tcW w:w="549" w:type="pct"/>
            <w:vAlign w:val="center"/>
          </w:tcPr>
          <w:p w14:paraId="60097AE5">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100</w:t>
            </w:r>
          </w:p>
        </w:tc>
        <w:tc>
          <w:tcPr>
            <w:tcW w:w="804" w:type="pct"/>
            <w:vMerge w:val="continue"/>
            <w:vAlign w:val="center"/>
          </w:tcPr>
          <w:p w14:paraId="5ADB73E9">
            <w:pPr>
              <w:spacing w:line="360" w:lineRule="auto"/>
              <w:jc w:val="center"/>
              <w:rPr>
                <w:rFonts w:cs="宋体" w:asciiTheme="minorEastAsia" w:hAnsiTheme="minorEastAsia" w:eastAsiaTheme="minorEastAsia"/>
                <w:szCs w:val="24"/>
              </w:rPr>
            </w:pPr>
          </w:p>
        </w:tc>
      </w:tr>
      <w:tr w14:paraId="6C02D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03" w:type="pct"/>
            <w:vMerge w:val="continue"/>
            <w:vAlign w:val="center"/>
          </w:tcPr>
          <w:p w14:paraId="66C57D20">
            <w:pPr>
              <w:pStyle w:val="28"/>
              <w:spacing w:line="360" w:lineRule="auto"/>
              <w:ind w:firstLine="0" w:firstLineChars="0"/>
              <w:jc w:val="center"/>
              <w:rPr>
                <w:rFonts w:cs="宋体" w:asciiTheme="minorEastAsia" w:hAnsiTheme="minorEastAsia" w:eastAsiaTheme="minorEastAsia"/>
                <w:sz w:val="24"/>
                <w:szCs w:val="24"/>
              </w:rPr>
            </w:pPr>
          </w:p>
        </w:tc>
        <w:tc>
          <w:tcPr>
            <w:tcW w:w="628" w:type="pct"/>
            <w:vAlign w:val="center"/>
          </w:tcPr>
          <w:p w14:paraId="12B27FD2">
            <w:pPr>
              <w:widowControl/>
              <w:spacing w:line="36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color w:val="000000"/>
                <w:szCs w:val="24"/>
                <w:lang w:bidi="ar"/>
              </w:rPr>
              <w:t>595</w:t>
            </w:r>
          </w:p>
        </w:tc>
        <w:tc>
          <w:tcPr>
            <w:tcW w:w="876" w:type="pct"/>
            <w:vAlign w:val="center"/>
          </w:tcPr>
          <w:p w14:paraId="78653C6B">
            <w:pPr>
              <w:widowControl/>
              <w:spacing w:line="360" w:lineRule="auto"/>
              <w:jc w:val="center"/>
              <w:textAlignment w:val="center"/>
              <w:rPr>
                <w:rFonts w:cs="宋体" w:asciiTheme="minorEastAsia" w:hAnsiTheme="minorEastAsia" w:eastAsiaTheme="minorEastAsia"/>
                <w:kern w:val="2"/>
                <w:szCs w:val="24"/>
              </w:rPr>
            </w:pPr>
            <w:r>
              <w:rPr>
                <w:rFonts w:hint="eastAsia" w:cs="宋体" w:asciiTheme="minorEastAsia" w:hAnsiTheme="minorEastAsia" w:eastAsiaTheme="minorEastAsia"/>
                <w:color w:val="000000"/>
                <w:szCs w:val="24"/>
                <w:lang w:bidi="ar"/>
              </w:rPr>
              <w:t>594.80</w:t>
            </w:r>
          </w:p>
        </w:tc>
        <w:tc>
          <w:tcPr>
            <w:tcW w:w="640" w:type="pct"/>
            <w:vAlign w:val="center"/>
          </w:tcPr>
          <w:p w14:paraId="25DBF562">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w:t>
            </w:r>
          </w:p>
        </w:tc>
        <w:tc>
          <w:tcPr>
            <w:tcW w:w="598" w:type="pct"/>
            <w:vAlign w:val="center"/>
          </w:tcPr>
          <w:p w14:paraId="14EBF700">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w:t>
            </w:r>
          </w:p>
        </w:tc>
        <w:tc>
          <w:tcPr>
            <w:tcW w:w="549" w:type="pct"/>
            <w:vAlign w:val="center"/>
          </w:tcPr>
          <w:p w14:paraId="65F7153B">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100</w:t>
            </w:r>
          </w:p>
        </w:tc>
        <w:tc>
          <w:tcPr>
            <w:tcW w:w="804" w:type="pct"/>
            <w:vMerge w:val="continue"/>
            <w:vAlign w:val="center"/>
          </w:tcPr>
          <w:p w14:paraId="7D2AF317">
            <w:pPr>
              <w:pStyle w:val="28"/>
              <w:spacing w:line="360" w:lineRule="auto"/>
              <w:ind w:firstLine="0" w:firstLineChars="0"/>
              <w:jc w:val="center"/>
              <w:rPr>
                <w:rFonts w:cs="宋体" w:asciiTheme="minorEastAsia" w:hAnsiTheme="minorEastAsia" w:eastAsiaTheme="minorEastAsia"/>
                <w:sz w:val="24"/>
                <w:szCs w:val="24"/>
              </w:rPr>
            </w:pPr>
          </w:p>
        </w:tc>
      </w:tr>
      <w:tr w14:paraId="6684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03" w:type="pct"/>
            <w:vMerge w:val="restart"/>
            <w:vAlign w:val="center"/>
          </w:tcPr>
          <w:p w14:paraId="0C4D7F33">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＞0.500～4.000</w:t>
            </w:r>
          </w:p>
        </w:tc>
        <w:tc>
          <w:tcPr>
            <w:tcW w:w="628" w:type="pct"/>
            <w:vAlign w:val="center"/>
          </w:tcPr>
          <w:p w14:paraId="6EF97CFF">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39</w:t>
            </w:r>
          </w:p>
        </w:tc>
        <w:tc>
          <w:tcPr>
            <w:tcW w:w="876" w:type="pct"/>
            <w:vAlign w:val="center"/>
          </w:tcPr>
          <w:p w14:paraId="53BAD313">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38.68-39.18</w:t>
            </w:r>
          </w:p>
        </w:tc>
        <w:tc>
          <w:tcPr>
            <w:tcW w:w="640" w:type="pct"/>
            <w:vAlign w:val="center"/>
          </w:tcPr>
          <w:p w14:paraId="53731655">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w:t>
            </w:r>
          </w:p>
        </w:tc>
        <w:tc>
          <w:tcPr>
            <w:tcW w:w="598" w:type="pct"/>
            <w:vAlign w:val="center"/>
          </w:tcPr>
          <w:p w14:paraId="0C6F34A0">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w:t>
            </w:r>
          </w:p>
        </w:tc>
        <w:tc>
          <w:tcPr>
            <w:tcW w:w="549" w:type="pct"/>
            <w:vAlign w:val="center"/>
          </w:tcPr>
          <w:p w14:paraId="3A28726D">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100</w:t>
            </w:r>
          </w:p>
        </w:tc>
        <w:tc>
          <w:tcPr>
            <w:tcW w:w="804" w:type="pct"/>
            <w:vMerge w:val="restart"/>
            <w:vAlign w:val="center"/>
          </w:tcPr>
          <w:p w14:paraId="2C849731">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±0.50</w:t>
            </w:r>
          </w:p>
        </w:tc>
      </w:tr>
      <w:tr w14:paraId="19630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03" w:type="pct"/>
            <w:vMerge w:val="continue"/>
            <w:vAlign w:val="center"/>
          </w:tcPr>
          <w:p w14:paraId="771F98DD">
            <w:pPr>
              <w:pStyle w:val="28"/>
              <w:spacing w:line="360" w:lineRule="auto"/>
              <w:ind w:firstLine="0" w:firstLineChars="0"/>
              <w:jc w:val="center"/>
              <w:rPr>
                <w:rFonts w:cs="宋体" w:asciiTheme="minorEastAsia" w:hAnsiTheme="minorEastAsia" w:eastAsiaTheme="minorEastAsia"/>
                <w:sz w:val="24"/>
                <w:szCs w:val="24"/>
              </w:rPr>
            </w:pPr>
          </w:p>
        </w:tc>
        <w:tc>
          <w:tcPr>
            <w:tcW w:w="628" w:type="pct"/>
            <w:vAlign w:val="center"/>
          </w:tcPr>
          <w:p w14:paraId="578A573D">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41</w:t>
            </w:r>
          </w:p>
        </w:tc>
        <w:tc>
          <w:tcPr>
            <w:tcW w:w="876" w:type="pct"/>
            <w:vAlign w:val="center"/>
          </w:tcPr>
          <w:p w14:paraId="60872F6A">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40.78-41.28</w:t>
            </w:r>
          </w:p>
        </w:tc>
        <w:tc>
          <w:tcPr>
            <w:tcW w:w="640" w:type="pct"/>
            <w:vAlign w:val="center"/>
          </w:tcPr>
          <w:p w14:paraId="52F296C8">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7</w:t>
            </w:r>
          </w:p>
        </w:tc>
        <w:tc>
          <w:tcPr>
            <w:tcW w:w="598" w:type="pct"/>
            <w:vAlign w:val="center"/>
          </w:tcPr>
          <w:p w14:paraId="0FE780C4">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7</w:t>
            </w:r>
          </w:p>
        </w:tc>
        <w:tc>
          <w:tcPr>
            <w:tcW w:w="549" w:type="pct"/>
            <w:vAlign w:val="center"/>
          </w:tcPr>
          <w:p w14:paraId="170C022E">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100</w:t>
            </w:r>
          </w:p>
        </w:tc>
        <w:tc>
          <w:tcPr>
            <w:tcW w:w="804" w:type="pct"/>
            <w:vMerge w:val="continue"/>
            <w:vAlign w:val="center"/>
          </w:tcPr>
          <w:p w14:paraId="236A2622">
            <w:pPr>
              <w:pStyle w:val="28"/>
              <w:spacing w:line="360" w:lineRule="auto"/>
              <w:ind w:firstLine="0" w:firstLineChars="0"/>
              <w:jc w:val="center"/>
              <w:rPr>
                <w:rFonts w:cs="宋体" w:asciiTheme="minorEastAsia" w:hAnsiTheme="minorEastAsia" w:eastAsiaTheme="minorEastAsia"/>
                <w:sz w:val="24"/>
                <w:szCs w:val="24"/>
              </w:rPr>
            </w:pPr>
          </w:p>
        </w:tc>
      </w:tr>
      <w:tr w14:paraId="139AD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03" w:type="pct"/>
            <w:vMerge w:val="continue"/>
            <w:vAlign w:val="center"/>
          </w:tcPr>
          <w:p w14:paraId="7A1960CB">
            <w:pPr>
              <w:pStyle w:val="28"/>
              <w:spacing w:line="360" w:lineRule="auto"/>
              <w:ind w:firstLine="0" w:firstLineChars="0"/>
              <w:jc w:val="center"/>
              <w:rPr>
                <w:rFonts w:cs="宋体" w:asciiTheme="minorEastAsia" w:hAnsiTheme="minorEastAsia" w:eastAsiaTheme="minorEastAsia"/>
                <w:sz w:val="24"/>
                <w:szCs w:val="24"/>
              </w:rPr>
            </w:pPr>
          </w:p>
        </w:tc>
        <w:tc>
          <w:tcPr>
            <w:tcW w:w="628" w:type="pct"/>
            <w:vAlign w:val="center"/>
          </w:tcPr>
          <w:p w14:paraId="22969393">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47</w:t>
            </w:r>
          </w:p>
        </w:tc>
        <w:tc>
          <w:tcPr>
            <w:tcW w:w="876" w:type="pct"/>
            <w:vAlign w:val="center"/>
          </w:tcPr>
          <w:p w14:paraId="77CB32E9">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46.68-47.28</w:t>
            </w:r>
          </w:p>
        </w:tc>
        <w:tc>
          <w:tcPr>
            <w:tcW w:w="640" w:type="pct"/>
            <w:vAlign w:val="center"/>
          </w:tcPr>
          <w:p w14:paraId="3E7D122E">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17</w:t>
            </w:r>
          </w:p>
        </w:tc>
        <w:tc>
          <w:tcPr>
            <w:tcW w:w="598" w:type="pct"/>
            <w:vAlign w:val="center"/>
          </w:tcPr>
          <w:p w14:paraId="18595ACC">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17</w:t>
            </w:r>
          </w:p>
        </w:tc>
        <w:tc>
          <w:tcPr>
            <w:tcW w:w="549" w:type="pct"/>
            <w:vAlign w:val="center"/>
          </w:tcPr>
          <w:p w14:paraId="3907D2F5">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100</w:t>
            </w:r>
          </w:p>
        </w:tc>
        <w:tc>
          <w:tcPr>
            <w:tcW w:w="804" w:type="pct"/>
            <w:vMerge w:val="continue"/>
            <w:vAlign w:val="center"/>
          </w:tcPr>
          <w:p w14:paraId="32D5E166">
            <w:pPr>
              <w:pStyle w:val="28"/>
              <w:spacing w:line="360" w:lineRule="auto"/>
              <w:ind w:firstLine="0" w:firstLineChars="0"/>
              <w:jc w:val="center"/>
              <w:rPr>
                <w:rFonts w:cs="宋体" w:asciiTheme="minorEastAsia" w:hAnsiTheme="minorEastAsia" w:eastAsiaTheme="minorEastAsia"/>
                <w:sz w:val="24"/>
                <w:szCs w:val="24"/>
              </w:rPr>
            </w:pPr>
          </w:p>
        </w:tc>
      </w:tr>
      <w:tr w14:paraId="577F3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03" w:type="pct"/>
            <w:vMerge w:val="continue"/>
            <w:vAlign w:val="center"/>
          </w:tcPr>
          <w:p w14:paraId="0CF67B2F">
            <w:pPr>
              <w:pStyle w:val="28"/>
              <w:spacing w:line="360" w:lineRule="auto"/>
              <w:ind w:firstLine="0" w:firstLineChars="0"/>
              <w:jc w:val="center"/>
              <w:rPr>
                <w:rFonts w:cs="宋体" w:asciiTheme="minorEastAsia" w:hAnsiTheme="minorEastAsia" w:eastAsiaTheme="minorEastAsia"/>
                <w:sz w:val="24"/>
                <w:szCs w:val="24"/>
              </w:rPr>
            </w:pPr>
          </w:p>
        </w:tc>
        <w:tc>
          <w:tcPr>
            <w:tcW w:w="628" w:type="pct"/>
            <w:vAlign w:val="center"/>
          </w:tcPr>
          <w:p w14:paraId="109DF707">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55</w:t>
            </w:r>
          </w:p>
        </w:tc>
        <w:tc>
          <w:tcPr>
            <w:tcW w:w="876" w:type="pct"/>
            <w:vAlign w:val="center"/>
          </w:tcPr>
          <w:p w14:paraId="1DC39E34">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54.68-55.28</w:t>
            </w:r>
          </w:p>
        </w:tc>
        <w:tc>
          <w:tcPr>
            <w:tcW w:w="640" w:type="pct"/>
            <w:vAlign w:val="center"/>
          </w:tcPr>
          <w:p w14:paraId="28C80769">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8</w:t>
            </w:r>
          </w:p>
        </w:tc>
        <w:tc>
          <w:tcPr>
            <w:tcW w:w="598" w:type="pct"/>
            <w:vAlign w:val="center"/>
          </w:tcPr>
          <w:p w14:paraId="38E38C77">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8</w:t>
            </w:r>
          </w:p>
        </w:tc>
        <w:tc>
          <w:tcPr>
            <w:tcW w:w="549" w:type="pct"/>
            <w:vAlign w:val="center"/>
          </w:tcPr>
          <w:p w14:paraId="0DD7D442">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100</w:t>
            </w:r>
          </w:p>
        </w:tc>
        <w:tc>
          <w:tcPr>
            <w:tcW w:w="804" w:type="pct"/>
            <w:vMerge w:val="continue"/>
            <w:vAlign w:val="center"/>
          </w:tcPr>
          <w:p w14:paraId="45233E0B">
            <w:pPr>
              <w:pStyle w:val="28"/>
              <w:spacing w:line="360" w:lineRule="auto"/>
              <w:ind w:firstLine="0" w:firstLineChars="0"/>
              <w:jc w:val="center"/>
              <w:rPr>
                <w:rFonts w:cs="宋体" w:asciiTheme="minorEastAsia" w:hAnsiTheme="minorEastAsia" w:eastAsiaTheme="minorEastAsia"/>
                <w:sz w:val="24"/>
                <w:szCs w:val="24"/>
              </w:rPr>
            </w:pPr>
          </w:p>
        </w:tc>
      </w:tr>
      <w:tr w14:paraId="35F4B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03" w:type="pct"/>
            <w:vMerge w:val="continue"/>
            <w:vAlign w:val="center"/>
          </w:tcPr>
          <w:p w14:paraId="29A3AC1B">
            <w:pPr>
              <w:pStyle w:val="28"/>
              <w:spacing w:line="360" w:lineRule="auto"/>
              <w:ind w:firstLine="0" w:firstLineChars="0"/>
              <w:jc w:val="center"/>
              <w:rPr>
                <w:rFonts w:cs="宋体" w:asciiTheme="minorEastAsia" w:hAnsiTheme="minorEastAsia" w:eastAsiaTheme="minorEastAsia"/>
                <w:sz w:val="24"/>
                <w:szCs w:val="24"/>
              </w:rPr>
            </w:pPr>
          </w:p>
        </w:tc>
        <w:tc>
          <w:tcPr>
            <w:tcW w:w="628" w:type="pct"/>
            <w:vAlign w:val="center"/>
          </w:tcPr>
          <w:p w14:paraId="5AC8BE43">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133</w:t>
            </w:r>
          </w:p>
        </w:tc>
        <w:tc>
          <w:tcPr>
            <w:tcW w:w="876" w:type="pct"/>
            <w:vAlign w:val="center"/>
          </w:tcPr>
          <w:p w14:paraId="3B2B6A5E">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132.78-133.18</w:t>
            </w:r>
          </w:p>
        </w:tc>
        <w:tc>
          <w:tcPr>
            <w:tcW w:w="640" w:type="pct"/>
            <w:vAlign w:val="center"/>
          </w:tcPr>
          <w:p w14:paraId="3C8E3BAC">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w:t>
            </w:r>
          </w:p>
        </w:tc>
        <w:tc>
          <w:tcPr>
            <w:tcW w:w="598" w:type="pct"/>
            <w:vAlign w:val="center"/>
          </w:tcPr>
          <w:p w14:paraId="7A9F71F9">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w:t>
            </w:r>
          </w:p>
        </w:tc>
        <w:tc>
          <w:tcPr>
            <w:tcW w:w="549" w:type="pct"/>
            <w:vAlign w:val="center"/>
          </w:tcPr>
          <w:p w14:paraId="14F61CAC">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100</w:t>
            </w:r>
          </w:p>
        </w:tc>
        <w:tc>
          <w:tcPr>
            <w:tcW w:w="804" w:type="pct"/>
            <w:vMerge w:val="continue"/>
            <w:vAlign w:val="center"/>
          </w:tcPr>
          <w:p w14:paraId="00F17D09">
            <w:pPr>
              <w:pStyle w:val="28"/>
              <w:spacing w:line="360" w:lineRule="auto"/>
              <w:ind w:firstLine="0" w:firstLineChars="0"/>
              <w:jc w:val="center"/>
              <w:rPr>
                <w:rFonts w:cs="宋体" w:asciiTheme="minorEastAsia" w:hAnsiTheme="minorEastAsia" w:eastAsiaTheme="minorEastAsia"/>
                <w:sz w:val="24"/>
                <w:szCs w:val="24"/>
              </w:rPr>
            </w:pPr>
          </w:p>
        </w:tc>
      </w:tr>
      <w:tr w14:paraId="6BED5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03" w:type="pct"/>
            <w:vMerge w:val="continue"/>
            <w:vAlign w:val="center"/>
          </w:tcPr>
          <w:p w14:paraId="12A716EB">
            <w:pPr>
              <w:pStyle w:val="28"/>
              <w:spacing w:line="360" w:lineRule="auto"/>
              <w:ind w:firstLine="0" w:firstLineChars="0"/>
              <w:jc w:val="center"/>
              <w:rPr>
                <w:rFonts w:cs="宋体" w:asciiTheme="minorEastAsia" w:hAnsiTheme="minorEastAsia" w:eastAsiaTheme="minorEastAsia"/>
                <w:sz w:val="24"/>
                <w:szCs w:val="24"/>
              </w:rPr>
            </w:pPr>
          </w:p>
        </w:tc>
        <w:tc>
          <w:tcPr>
            <w:tcW w:w="628" w:type="pct"/>
            <w:vAlign w:val="center"/>
          </w:tcPr>
          <w:p w14:paraId="5BB7C051">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139</w:t>
            </w:r>
          </w:p>
        </w:tc>
        <w:tc>
          <w:tcPr>
            <w:tcW w:w="876" w:type="pct"/>
            <w:vAlign w:val="center"/>
          </w:tcPr>
          <w:p w14:paraId="5D8506F3">
            <w:pPr>
              <w:widowControl/>
              <w:spacing w:line="36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color w:val="000000"/>
                <w:szCs w:val="24"/>
                <w:lang w:bidi="ar"/>
              </w:rPr>
              <w:t xml:space="preserve">138.78 </w:t>
            </w:r>
          </w:p>
        </w:tc>
        <w:tc>
          <w:tcPr>
            <w:tcW w:w="640" w:type="pct"/>
            <w:vAlign w:val="center"/>
          </w:tcPr>
          <w:p w14:paraId="7DE8D0D9">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w:t>
            </w:r>
          </w:p>
        </w:tc>
        <w:tc>
          <w:tcPr>
            <w:tcW w:w="598" w:type="pct"/>
            <w:vAlign w:val="center"/>
          </w:tcPr>
          <w:p w14:paraId="27A2CEF6">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w:t>
            </w:r>
          </w:p>
        </w:tc>
        <w:tc>
          <w:tcPr>
            <w:tcW w:w="549" w:type="pct"/>
            <w:vAlign w:val="center"/>
          </w:tcPr>
          <w:p w14:paraId="0748D5E1">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100</w:t>
            </w:r>
          </w:p>
        </w:tc>
        <w:tc>
          <w:tcPr>
            <w:tcW w:w="804" w:type="pct"/>
            <w:vMerge w:val="continue"/>
            <w:vAlign w:val="center"/>
          </w:tcPr>
          <w:p w14:paraId="5E8C8395">
            <w:pPr>
              <w:pStyle w:val="28"/>
              <w:spacing w:line="360" w:lineRule="auto"/>
              <w:ind w:firstLine="0" w:firstLineChars="0"/>
              <w:jc w:val="center"/>
              <w:rPr>
                <w:rFonts w:cs="宋体" w:asciiTheme="minorEastAsia" w:hAnsiTheme="minorEastAsia" w:eastAsiaTheme="minorEastAsia"/>
                <w:sz w:val="24"/>
                <w:szCs w:val="24"/>
              </w:rPr>
            </w:pPr>
          </w:p>
        </w:tc>
      </w:tr>
      <w:tr w14:paraId="00F9E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03" w:type="pct"/>
            <w:vMerge w:val="continue"/>
            <w:vAlign w:val="center"/>
          </w:tcPr>
          <w:p w14:paraId="400D21AC">
            <w:pPr>
              <w:pStyle w:val="28"/>
              <w:spacing w:line="360" w:lineRule="auto"/>
              <w:ind w:firstLine="0" w:firstLineChars="0"/>
              <w:jc w:val="center"/>
              <w:rPr>
                <w:rFonts w:cs="宋体" w:asciiTheme="minorEastAsia" w:hAnsiTheme="minorEastAsia" w:eastAsiaTheme="minorEastAsia"/>
                <w:sz w:val="24"/>
                <w:szCs w:val="24"/>
              </w:rPr>
            </w:pPr>
          </w:p>
        </w:tc>
        <w:tc>
          <w:tcPr>
            <w:tcW w:w="628" w:type="pct"/>
            <w:vAlign w:val="center"/>
          </w:tcPr>
          <w:p w14:paraId="5F132EC5">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169</w:t>
            </w:r>
          </w:p>
        </w:tc>
        <w:tc>
          <w:tcPr>
            <w:tcW w:w="876" w:type="pct"/>
            <w:vAlign w:val="center"/>
          </w:tcPr>
          <w:p w14:paraId="11DFCF82">
            <w:pPr>
              <w:widowControl/>
              <w:spacing w:line="360" w:lineRule="auto"/>
              <w:jc w:val="center"/>
              <w:textAlignment w:val="center"/>
              <w:rPr>
                <w:rFonts w:cs="宋体" w:asciiTheme="minorEastAsia" w:hAnsiTheme="minorEastAsia" w:eastAsiaTheme="minorEastAsia"/>
                <w:szCs w:val="24"/>
              </w:rPr>
            </w:pPr>
            <w:r>
              <w:rPr>
                <w:rFonts w:hint="eastAsia" w:cs="宋体" w:asciiTheme="minorEastAsia" w:hAnsiTheme="minorEastAsia" w:eastAsiaTheme="minorEastAsia"/>
                <w:color w:val="000000"/>
                <w:szCs w:val="24"/>
                <w:lang w:bidi="ar"/>
              </w:rPr>
              <w:t xml:space="preserve">169.10 </w:t>
            </w:r>
          </w:p>
        </w:tc>
        <w:tc>
          <w:tcPr>
            <w:tcW w:w="640" w:type="pct"/>
            <w:vAlign w:val="center"/>
          </w:tcPr>
          <w:p w14:paraId="53076C57">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w:t>
            </w:r>
          </w:p>
        </w:tc>
        <w:tc>
          <w:tcPr>
            <w:tcW w:w="598" w:type="pct"/>
            <w:vAlign w:val="center"/>
          </w:tcPr>
          <w:p w14:paraId="139A2FAC">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w:t>
            </w:r>
          </w:p>
        </w:tc>
        <w:tc>
          <w:tcPr>
            <w:tcW w:w="549" w:type="pct"/>
            <w:vAlign w:val="center"/>
          </w:tcPr>
          <w:p w14:paraId="7244E9C2">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100</w:t>
            </w:r>
          </w:p>
        </w:tc>
        <w:tc>
          <w:tcPr>
            <w:tcW w:w="804" w:type="pct"/>
            <w:vMerge w:val="continue"/>
            <w:vAlign w:val="center"/>
          </w:tcPr>
          <w:p w14:paraId="56868951">
            <w:pPr>
              <w:pStyle w:val="28"/>
              <w:spacing w:line="360" w:lineRule="auto"/>
              <w:ind w:firstLine="0" w:firstLineChars="0"/>
              <w:jc w:val="center"/>
              <w:rPr>
                <w:rFonts w:cs="宋体" w:asciiTheme="minorEastAsia" w:hAnsiTheme="minorEastAsia" w:eastAsiaTheme="minorEastAsia"/>
                <w:sz w:val="24"/>
                <w:szCs w:val="24"/>
              </w:rPr>
            </w:pPr>
          </w:p>
        </w:tc>
      </w:tr>
      <w:tr w14:paraId="1873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03" w:type="pct"/>
            <w:vMerge w:val="continue"/>
            <w:vAlign w:val="center"/>
          </w:tcPr>
          <w:p w14:paraId="24475767">
            <w:pPr>
              <w:pStyle w:val="28"/>
              <w:spacing w:line="360" w:lineRule="auto"/>
              <w:ind w:firstLine="0" w:firstLineChars="0"/>
              <w:jc w:val="center"/>
              <w:rPr>
                <w:rFonts w:cs="宋体" w:asciiTheme="minorEastAsia" w:hAnsiTheme="minorEastAsia" w:eastAsiaTheme="minorEastAsia"/>
                <w:sz w:val="24"/>
                <w:szCs w:val="24"/>
              </w:rPr>
            </w:pPr>
          </w:p>
        </w:tc>
        <w:tc>
          <w:tcPr>
            <w:tcW w:w="628" w:type="pct"/>
            <w:vAlign w:val="center"/>
          </w:tcPr>
          <w:p w14:paraId="1315CC25">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580</w:t>
            </w:r>
          </w:p>
        </w:tc>
        <w:tc>
          <w:tcPr>
            <w:tcW w:w="876" w:type="pct"/>
            <w:vAlign w:val="center"/>
          </w:tcPr>
          <w:p w14:paraId="02643F7C">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579.50-580.40</w:t>
            </w:r>
          </w:p>
        </w:tc>
        <w:tc>
          <w:tcPr>
            <w:tcW w:w="640" w:type="pct"/>
            <w:vAlign w:val="center"/>
          </w:tcPr>
          <w:p w14:paraId="23694D12">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35</w:t>
            </w:r>
          </w:p>
        </w:tc>
        <w:tc>
          <w:tcPr>
            <w:tcW w:w="598" w:type="pct"/>
            <w:vAlign w:val="center"/>
          </w:tcPr>
          <w:p w14:paraId="7C095789">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35</w:t>
            </w:r>
          </w:p>
        </w:tc>
        <w:tc>
          <w:tcPr>
            <w:tcW w:w="549" w:type="pct"/>
            <w:vAlign w:val="center"/>
          </w:tcPr>
          <w:p w14:paraId="54815405">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100</w:t>
            </w:r>
          </w:p>
        </w:tc>
        <w:tc>
          <w:tcPr>
            <w:tcW w:w="804" w:type="pct"/>
            <w:vMerge w:val="continue"/>
            <w:vAlign w:val="center"/>
          </w:tcPr>
          <w:p w14:paraId="174D001E">
            <w:pPr>
              <w:pStyle w:val="28"/>
              <w:spacing w:line="360" w:lineRule="auto"/>
              <w:ind w:firstLine="0" w:firstLineChars="0"/>
              <w:jc w:val="center"/>
              <w:rPr>
                <w:rFonts w:cs="宋体" w:asciiTheme="minorEastAsia" w:hAnsiTheme="minorEastAsia" w:eastAsiaTheme="minorEastAsia"/>
                <w:sz w:val="24"/>
                <w:szCs w:val="24"/>
              </w:rPr>
            </w:pPr>
          </w:p>
        </w:tc>
      </w:tr>
      <w:tr w14:paraId="1A82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03" w:type="pct"/>
            <w:vMerge w:val="continue"/>
            <w:vAlign w:val="center"/>
          </w:tcPr>
          <w:p w14:paraId="594D79F0">
            <w:pPr>
              <w:pStyle w:val="28"/>
              <w:spacing w:line="360" w:lineRule="auto"/>
              <w:ind w:firstLine="0" w:firstLineChars="0"/>
              <w:jc w:val="center"/>
              <w:rPr>
                <w:rFonts w:cs="宋体" w:asciiTheme="minorEastAsia" w:hAnsiTheme="minorEastAsia" w:eastAsiaTheme="minorEastAsia"/>
                <w:sz w:val="24"/>
                <w:szCs w:val="24"/>
              </w:rPr>
            </w:pPr>
          </w:p>
        </w:tc>
        <w:tc>
          <w:tcPr>
            <w:tcW w:w="628" w:type="pct"/>
            <w:vAlign w:val="center"/>
          </w:tcPr>
          <w:p w14:paraId="5C9A90B1">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610</w:t>
            </w:r>
          </w:p>
        </w:tc>
        <w:tc>
          <w:tcPr>
            <w:tcW w:w="876" w:type="pct"/>
            <w:vAlign w:val="center"/>
          </w:tcPr>
          <w:p w14:paraId="6D65AEC8">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609.6-610.5</w:t>
            </w:r>
          </w:p>
        </w:tc>
        <w:tc>
          <w:tcPr>
            <w:tcW w:w="640" w:type="pct"/>
            <w:vAlign w:val="center"/>
          </w:tcPr>
          <w:p w14:paraId="7A5C8D41">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w:t>
            </w:r>
          </w:p>
        </w:tc>
        <w:tc>
          <w:tcPr>
            <w:tcW w:w="598" w:type="pct"/>
            <w:vAlign w:val="center"/>
          </w:tcPr>
          <w:p w14:paraId="23EB6259">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11</w:t>
            </w:r>
          </w:p>
        </w:tc>
        <w:tc>
          <w:tcPr>
            <w:tcW w:w="549" w:type="pct"/>
            <w:vAlign w:val="center"/>
          </w:tcPr>
          <w:p w14:paraId="71DD7461">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100</w:t>
            </w:r>
          </w:p>
        </w:tc>
        <w:tc>
          <w:tcPr>
            <w:tcW w:w="804" w:type="pct"/>
            <w:vMerge w:val="continue"/>
            <w:vAlign w:val="center"/>
          </w:tcPr>
          <w:p w14:paraId="7229ABC4">
            <w:pPr>
              <w:pStyle w:val="28"/>
              <w:spacing w:line="360" w:lineRule="auto"/>
              <w:ind w:firstLine="0" w:firstLineChars="0"/>
              <w:jc w:val="center"/>
              <w:rPr>
                <w:rFonts w:cs="宋体" w:asciiTheme="minorEastAsia" w:hAnsiTheme="minorEastAsia" w:eastAsiaTheme="minorEastAsia"/>
                <w:sz w:val="24"/>
                <w:szCs w:val="24"/>
              </w:rPr>
            </w:pPr>
          </w:p>
        </w:tc>
      </w:tr>
      <w:tr w14:paraId="50A6A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03" w:type="pct"/>
            <w:vMerge w:val="continue"/>
            <w:vAlign w:val="center"/>
          </w:tcPr>
          <w:p w14:paraId="01326135">
            <w:pPr>
              <w:pStyle w:val="28"/>
              <w:spacing w:line="360" w:lineRule="auto"/>
              <w:ind w:firstLine="0" w:firstLineChars="0"/>
              <w:jc w:val="center"/>
              <w:rPr>
                <w:rFonts w:cs="宋体" w:asciiTheme="minorEastAsia" w:hAnsiTheme="minorEastAsia" w:eastAsiaTheme="minorEastAsia"/>
                <w:sz w:val="24"/>
                <w:szCs w:val="24"/>
              </w:rPr>
            </w:pPr>
          </w:p>
        </w:tc>
        <w:tc>
          <w:tcPr>
            <w:tcW w:w="628" w:type="pct"/>
            <w:vAlign w:val="center"/>
          </w:tcPr>
          <w:p w14:paraId="54DD8CDD">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630</w:t>
            </w:r>
          </w:p>
        </w:tc>
        <w:tc>
          <w:tcPr>
            <w:tcW w:w="876" w:type="pct"/>
            <w:vAlign w:val="center"/>
          </w:tcPr>
          <w:p w14:paraId="3A482E88">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629.4-630.5</w:t>
            </w:r>
          </w:p>
        </w:tc>
        <w:tc>
          <w:tcPr>
            <w:tcW w:w="640" w:type="pct"/>
            <w:vAlign w:val="center"/>
          </w:tcPr>
          <w:p w14:paraId="52A94D30">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80</w:t>
            </w:r>
          </w:p>
        </w:tc>
        <w:tc>
          <w:tcPr>
            <w:tcW w:w="598" w:type="pct"/>
            <w:vAlign w:val="center"/>
          </w:tcPr>
          <w:p w14:paraId="13B27C62">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77</w:t>
            </w:r>
          </w:p>
        </w:tc>
        <w:tc>
          <w:tcPr>
            <w:tcW w:w="549" w:type="pct"/>
            <w:vAlign w:val="center"/>
          </w:tcPr>
          <w:p w14:paraId="1EFC04C8">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96.25</w:t>
            </w:r>
          </w:p>
        </w:tc>
        <w:tc>
          <w:tcPr>
            <w:tcW w:w="804" w:type="pct"/>
            <w:vMerge w:val="continue"/>
            <w:vAlign w:val="center"/>
          </w:tcPr>
          <w:p w14:paraId="1FFB9F88">
            <w:pPr>
              <w:pStyle w:val="28"/>
              <w:spacing w:line="360" w:lineRule="auto"/>
              <w:ind w:firstLine="0" w:firstLineChars="0"/>
              <w:jc w:val="center"/>
              <w:rPr>
                <w:rFonts w:cs="宋体" w:asciiTheme="minorEastAsia" w:hAnsiTheme="minorEastAsia" w:eastAsiaTheme="minorEastAsia"/>
                <w:sz w:val="24"/>
                <w:szCs w:val="24"/>
              </w:rPr>
            </w:pPr>
          </w:p>
        </w:tc>
      </w:tr>
      <w:tr w14:paraId="21948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408" w:type="pct"/>
            <w:gridSpan w:val="3"/>
            <w:vAlign w:val="center"/>
          </w:tcPr>
          <w:p w14:paraId="2DCB97A9">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合计</w:t>
            </w:r>
          </w:p>
        </w:tc>
        <w:tc>
          <w:tcPr>
            <w:tcW w:w="640" w:type="pct"/>
            <w:vAlign w:val="center"/>
          </w:tcPr>
          <w:p w14:paraId="30BAFD92">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169</w:t>
            </w:r>
          </w:p>
        </w:tc>
        <w:tc>
          <w:tcPr>
            <w:tcW w:w="598" w:type="pct"/>
            <w:vAlign w:val="center"/>
          </w:tcPr>
          <w:p w14:paraId="6E73636D">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164</w:t>
            </w:r>
          </w:p>
        </w:tc>
        <w:tc>
          <w:tcPr>
            <w:tcW w:w="549" w:type="pct"/>
            <w:vAlign w:val="center"/>
          </w:tcPr>
          <w:p w14:paraId="03838EFD">
            <w:pPr>
              <w:pStyle w:val="28"/>
              <w:spacing w:line="360" w:lineRule="auto"/>
              <w:ind w:firstLine="0" w:firstLineChars="0"/>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98.22</w:t>
            </w:r>
          </w:p>
        </w:tc>
        <w:tc>
          <w:tcPr>
            <w:tcW w:w="804" w:type="pct"/>
            <w:vAlign w:val="center"/>
          </w:tcPr>
          <w:p w14:paraId="0A9EECAE">
            <w:pPr>
              <w:pStyle w:val="28"/>
              <w:spacing w:line="360" w:lineRule="auto"/>
              <w:ind w:firstLine="0" w:firstLineChars="0"/>
              <w:jc w:val="center"/>
              <w:rPr>
                <w:rFonts w:cs="宋体" w:asciiTheme="minorEastAsia" w:hAnsiTheme="minorEastAsia" w:eastAsiaTheme="minorEastAsia"/>
                <w:sz w:val="24"/>
                <w:szCs w:val="24"/>
              </w:rPr>
            </w:pPr>
          </w:p>
        </w:tc>
      </w:tr>
    </w:tbl>
    <w:p w14:paraId="06064670">
      <w:pPr>
        <w:pStyle w:val="12"/>
        <w:numPr>
          <w:ilvl w:val="0"/>
          <w:numId w:val="2"/>
        </w:numPr>
        <w:spacing w:before="120" w:beforeLines="50" w:after="120" w:afterLines="50" w:line="360" w:lineRule="auto"/>
        <w:rPr>
          <w:rFonts w:ascii="黑体" w:hAnsi="宋体" w:eastAsia="黑体"/>
          <w:bCs/>
          <w:szCs w:val="24"/>
        </w:rPr>
      </w:pPr>
      <w:r>
        <w:rPr>
          <w:rFonts w:hint="eastAsia" w:ascii="黑体" w:hAnsi="宋体" w:eastAsia="黑体"/>
          <w:bCs/>
          <w:szCs w:val="24"/>
        </w:rPr>
        <w:t>侧边弯曲度</w:t>
      </w:r>
    </w:p>
    <w:p w14:paraId="1829AA12">
      <w:pPr>
        <w:adjustRightInd/>
        <w:spacing w:before="120" w:beforeLines="50" w:after="120" w:afterLines="50" w:line="360" w:lineRule="auto"/>
        <w:jc w:val="center"/>
        <w:textAlignment w:val="auto"/>
        <w:rPr>
          <w:rFonts w:ascii="宋体" w:hAnsi="宋体"/>
        </w:rPr>
      </w:pPr>
      <w:r>
        <w:rPr>
          <w:rFonts w:hint="eastAsia" w:ascii="宋体" w:hAnsi="宋体"/>
        </w:rPr>
        <w:t>表13  带材实测侧边弯曲度统计情况</w:t>
      </w:r>
    </w:p>
    <w:tbl>
      <w:tblPr>
        <w:tblStyle w:val="22"/>
        <w:tblW w:w="9457" w:type="dxa"/>
        <w:tblInd w:w="0" w:type="dxa"/>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271"/>
        <w:gridCol w:w="1727"/>
        <w:gridCol w:w="1184"/>
        <w:gridCol w:w="1233"/>
        <w:gridCol w:w="1600"/>
        <w:gridCol w:w="2442"/>
      </w:tblGrid>
      <w:tr w14:paraId="5D4EE5C3">
        <w:tblPrEx>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5" w:hRule="atLeast"/>
        </w:trPr>
        <w:tc>
          <w:tcPr>
            <w:tcW w:w="1271" w:type="dxa"/>
            <w:tcBorders>
              <w:bottom w:val="single" w:color="auto" w:sz="12" w:space="0"/>
            </w:tcBorders>
            <w:vAlign w:val="center"/>
          </w:tcPr>
          <w:p w14:paraId="683C32C5">
            <w:pPr>
              <w:snapToGrid w:val="0"/>
              <w:spacing w:line="360" w:lineRule="auto"/>
              <w:jc w:val="center"/>
              <w:outlineLvl w:val="1"/>
              <w:rPr>
                <w:rFonts w:ascii="宋体" w:hAnsi="宋体" w:cs="宋体"/>
                <w:smallCaps/>
                <w:szCs w:val="21"/>
              </w:rPr>
            </w:pPr>
            <w:r>
              <w:rPr>
                <w:rFonts w:hint="eastAsia" w:ascii="宋体" w:hAnsi="宋体" w:cs="宋体"/>
                <w:smallCaps/>
                <w:szCs w:val="21"/>
              </w:rPr>
              <w:t>宽度</w:t>
            </w:r>
          </w:p>
          <w:p w14:paraId="07083B67">
            <w:pPr>
              <w:snapToGrid w:val="0"/>
              <w:spacing w:line="360" w:lineRule="auto"/>
              <w:jc w:val="center"/>
              <w:outlineLvl w:val="1"/>
              <w:rPr>
                <w:rFonts w:ascii="宋体" w:hAnsi="宋体" w:cs="宋体"/>
                <w:smallCaps/>
                <w:szCs w:val="21"/>
              </w:rPr>
            </w:pPr>
            <w:r>
              <w:rPr>
                <w:rFonts w:hint="eastAsia" w:ascii="宋体" w:hAnsi="宋体" w:cs="宋体"/>
                <w:spacing w:val="-12"/>
                <w:szCs w:val="21"/>
              </w:rPr>
              <w:t>mm</w:t>
            </w:r>
          </w:p>
        </w:tc>
        <w:tc>
          <w:tcPr>
            <w:tcW w:w="1727" w:type="dxa"/>
            <w:tcBorders>
              <w:bottom w:val="single" w:color="auto" w:sz="12" w:space="0"/>
            </w:tcBorders>
            <w:vAlign w:val="center"/>
          </w:tcPr>
          <w:p w14:paraId="1EBDE23D">
            <w:pPr>
              <w:pStyle w:val="28"/>
              <w:widowControl w:val="0"/>
              <w:spacing w:line="360" w:lineRule="auto"/>
              <w:ind w:firstLine="0" w:firstLineChars="0"/>
              <w:jc w:val="center"/>
              <w:rPr>
                <w:rFonts w:hAnsi="宋体" w:cs="宋体"/>
                <w:sz w:val="24"/>
                <w:szCs w:val="21"/>
              </w:rPr>
            </w:pPr>
            <w:r>
              <w:rPr>
                <w:rFonts w:hint="eastAsia" w:hAnsi="宋体" w:cs="宋体"/>
                <w:sz w:val="24"/>
                <w:szCs w:val="21"/>
              </w:rPr>
              <w:t>实际侧边弯曲度</w:t>
            </w:r>
          </w:p>
          <w:p w14:paraId="7559CD63">
            <w:pPr>
              <w:pStyle w:val="28"/>
              <w:spacing w:line="360" w:lineRule="auto"/>
              <w:ind w:firstLine="0" w:firstLineChars="0"/>
              <w:jc w:val="center"/>
              <w:rPr>
                <w:rFonts w:hAnsi="宋体" w:cs="宋体"/>
                <w:spacing w:val="-12"/>
                <w:sz w:val="24"/>
                <w:szCs w:val="21"/>
              </w:rPr>
            </w:pPr>
            <w:r>
              <w:rPr>
                <w:rFonts w:hint="eastAsia" w:hAnsi="宋体" w:cs="宋体"/>
                <w:sz w:val="24"/>
                <w:szCs w:val="21"/>
              </w:rPr>
              <w:t>mm/m</w:t>
            </w:r>
          </w:p>
        </w:tc>
        <w:tc>
          <w:tcPr>
            <w:tcW w:w="1184" w:type="dxa"/>
            <w:tcBorders>
              <w:bottom w:val="single" w:color="auto" w:sz="12" w:space="0"/>
            </w:tcBorders>
            <w:vAlign w:val="center"/>
          </w:tcPr>
          <w:p w14:paraId="6BB8369C">
            <w:pPr>
              <w:pStyle w:val="28"/>
              <w:spacing w:line="360" w:lineRule="auto"/>
              <w:ind w:firstLine="0" w:firstLineChars="0"/>
              <w:jc w:val="center"/>
              <w:rPr>
                <w:rFonts w:hAnsi="宋体" w:cs="宋体"/>
                <w:sz w:val="24"/>
                <w:szCs w:val="21"/>
              </w:rPr>
            </w:pPr>
            <w:r>
              <w:rPr>
                <w:rFonts w:hint="eastAsia" w:hAnsi="宋体" w:cs="宋体"/>
                <w:sz w:val="24"/>
                <w:szCs w:val="21"/>
              </w:rPr>
              <w:t>样品数</w:t>
            </w:r>
          </w:p>
          <w:p w14:paraId="10A25E94">
            <w:pPr>
              <w:pStyle w:val="28"/>
              <w:spacing w:line="360" w:lineRule="auto"/>
              <w:ind w:firstLine="0" w:firstLineChars="0"/>
              <w:jc w:val="center"/>
              <w:rPr>
                <w:rFonts w:hAnsi="宋体" w:cs="宋体"/>
                <w:spacing w:val="-12"/>
                <w:sz w:val="24"/>
                <w:szCs w:val="21"/>
              </w:rPr>
            </w:pPr>
            <w:r>
              <w:rPr>
                <w:rFonts w:hint="eastAsia" w:hAnsi="宋体" w:cs="宋体"/>
                <w:sz w:val="24"/>
                <w:szCs w:val="21"/>
              </w:rPr>
              <w:t>（个）</w:t>
            </w:r>
          </w:p>
        </w:tc>
        <w:tc>
          <w:tcPr>
            <w:tcW w:w="1233" w:type="dxa"/>
            <w:tcBorders>
              <w:bottom w:val="single" w:color="auto" w:sz="12" w:space="0"/>
            </w:tcBorders>
            <w:vAlign w:val="center"/>
          </w:tcPr>
          <w:p w14:paraId="7AF8530E">
            <w:pPr>
              <w:pStyle w:val="28"/>
              <w:spacing w:line="360" w:lineRule="auto"/>
              <w:ind w:firstLine="0" w:firstLineChars="0"/>
              <w:jc w:val="center"/>
              <w:rPr>
                <w:rFonts w:hAnsi="宋体" w:cs="宋体"/>
                <w:sz w:val="24"/>
                <w:szCs w:val="21"/>
              </w:rPr>
            </w:pPr>
            <w:r>
              <w:rPr>
                <w:rFonts w:hint="eastAsia" w:hAnsi="宋体" w:cs="宋体"/>
                <w:sz w:val="24"/>
                <w:szCs w:val="21"/>
              </w:rPr>
              <w:t>合格数</w:t>
            </w:r>
          </w:p>
          <w:p w14:paraId="0D59F598">
            <w:pPr>
              <w:pStyle w:val="28"/>
              <w:spacing w:line="360" w:lineRule="auto"/>
              <w:ind w:firstLine="0" w:firstLineChars="0"/>
              <w:jc w:val="center"/>
              <w:rPr>
                <w:rFonts w:hAnsi="宋体" w:cs="宋体"/>
                <w:spacing w:val="-12"/>
                <w:sz w:val="24"/>
                <w:szCs w:val="21"/>
              </w:rPr>
            </w:pPr>
            <w:r>
              <w:rPr>
                <w:rFonts w:hint="eastAsia" w:hAnsi="宋体" w:cs="宋体"/>
                <w:sz w:val="24"/>
                <w:szCs w:val="21"/>
              </w:rPr>
              <w:t>（个）</w:t>
            </w:r>
          </w:p>
        </w:tc>
        <w:tc>
          <w:tcPr>
            <w:tcW w:w="1600" w:type="dxa"/>
            <w:tcBorders>
              <w:bottom w:val="single" w:color="auto" w:sz="12" w:space="0"/>
            </w:tcBorders>
            <w:vAlign w:val="center"/>
          </w:tcPr>
          <w:p w14:paraId="052485E0">
            <w:pPr>
              <w:pStyle w:val="28"/>
              <w:spacing w:line="360" w:lineRule="auto"/>
              <w:ind w:firstLine="0" w:firstLineChars="0"/>
              <w:jc w:val="center"/>
              <w:rPr>
                <w:rFonts w:hAnsi="宋体" w:cs="宋体"/>
                <w:sz w:val="24"/>
                <w:szCs w:val="21"/>
              </w:rPr>
            </w:pPr>
            <w:r>
              <w:rPr>
                <w:rFonts w:hint="eastAsia" w:hAnsi="宋体" w:cs="宋体"/>
                <w:sz w:val="24"/>
                <w:szCs w:val="21"/>
              </w:rPr>
              <w:t>合格率</w:t>
            </w:r>
          </w:p>
          <w:p w14:paraId="1F6D5DDE">
            <w:pPr>
              <w:pStyle w:val="28"/>
              <w:spacing w:line="360" w:lineRule="auto"/>
              <w:ind w:firstLine="0" w:firstLineChars="0"/>
              <w:jc w:val="center"/>
              <w:rPr>
                <w:rFonts w:hAnsi="宋体" w:cs="宋体"/>
                <w:spacing w:val="-12"/>
                <w:sz w:val="24"/>
                <w:szCs w:val="21"/>
              </w:rPr>
            </w:pPr>
            <w:r>
              <w:rPr>
                <w:rFonts w:hint="eastAsia" w:hAnsi="宋体" w:cs="宋体"/>
                <w:sz w:val="24"/>
                <w:szCs w:val="21"/>
              </w:rPr>
              <w:t>%</w:t>
            </w:r>
          </w:p>
        </w:tc>
        <w:tc>
          <w:tcPr>
            <w:tcW w:w="2442" w:type="dxa"/>
            <w:tcBorders>
              <w:bottom w:val="single" w:color="auto" w:sz="12" w:space="0"/>
            </w:tcBorders>
            <w:vAlign w:val="center"/>
          </w:tcPr>
          <w:p w14:paraId="3E9BE730">
            <w:pPr>
              <w:snapToGrid w:val="0"/>
              <w:spacing w:line="360" w:lineRule="auto"/>
              <w:jc w:val="center"/>
              <w:outlineLvl w:val="1"/>
              <w:rPr>
                <w:rFonts w:ascii="宋体" w:hAnsi="宋体" w:cs="宋体"/>
                <w:smallCaps/>
                <w:szCs w:val="21"/>
              </w:rPr>
            </w:pPr>
            <w:r>
              <w:rPr>
                <w:rFonts w:hint="eastAsia" w:ascii="宋体" w:hAnsi="宋体" w:cs="宋体"/>
                <w:smallCaps/>
                <w:szCs w:val="21"/>
              </w:rPr>
              <w:t>侧边弯曲度标准指标</w:t>
            </w:r>
          </w:p>
          <w:p w14:paraId="0A0B9D19">
            <w:pPr>
              <w:snapToGrid w:val="0"/>
              <w:spacing w:line="360" w:lineRule="auto"/>
              <w:jc w:val="center"/>
              <w:outlineLvl w:val="1"/>
              <w:rPr>
                <w:rFonts w:ascii="宋体" w:hAnsi="宋体" w:cs="宋体"/>
                <w:smallCaps/>
                <w:szCs w:val="21"/>
              </w:rPr>
            </w:pPr>
            <w:r>
              <w:rPr>
                <w:rFonts w:hint="eastAsia" w:ascii="宋体" w:hAnsi="宋体" w:cs="宋体"/>
                <w:spacing w:val="-12"/>
                <w:szCs w:val="21"/>
              </w:rPr>
              <w:t>mm</w:t>
            </w:r>
            <w:r>
              <w:rPr>
                <w:rFonts w:hint="eastAsia" w:ascii="宋体" w:hAnsi="宋体" w:cs="宋体"/>
                <w:smallCaps/>
                <w:szCs w:val="21"/>
              </w:rPr>
              <w:t>/</w:t>
            </w:r>
            <w:r>
              <w:rPr>
                <w:rFonts w:hint="eastAsia" w:ascii="宋体" w:hAnsi="宋体" w:cs="宋体"/>
                <w:spacing w:val="-12"/>
                <w:szCs w:val="21"/>
              </w:rPr>
              <w:t>m</w:t>
            </w:r>
          </w:p>
        </w:tc>
      </w:tr>
      <w:tr w14:paraId="7358CB75">
        <w:tblPrEx>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4" w:hRule="atLeast"/>
        </w:trPr>
        <w:tc>
          <w:tcPr>
            <w:tcW w:w="1271" w:type="dxa"/>
            <w:vAlign w:val="center"/>
          </w:tcPr>
          <w:p w14:paraId="41E2B5D5">
            <w:pPr>
              <w:snapToGrid w:val="0"/>
              <w:spacing w:line="360" w:lineRule="auto"/>
              <w:jc w:val="center"/>
              <w:outlineLvl w:val="1"/>
              <w:rPr>
                <w:rFonts w:ascii="宋体" w:hAnsi="宋体" w:cs="宋体"/>
                <w:smallCaps/>
                <w:szCs w:val="21"/>
              </w:rPr>
            </w:pPr>
            <w:r>
              <w:rPr>
                <w:rFonts w:hint="eastAsia" w:ascii="宋体" w:hAnsi="宋体" w:cs="宋体"/>
                <w:smallCaps/>
                <w:szCs w:val="21"/>
              </w:rPr>
              <w:t>≤100.00</w:t>
            </w:r>
          </w:p>
        </w:tc>
        <w:tc>
          <w:tcPr>
            <w:tcW w:w="1727" w:type="dxa"/>
            <w:vAlign w:val="center"/>
          </w:tcPr>
          <w:p w14:paraId="46C4E2DA">
            <w:pPr>
              <w:snapToGrid w:val="0"/>
              <w:spacing w:line="360" w:lineRule="auto"/>
              <w:jc w:val="center"/>
              <w:outlineLvl w:val="1"/>
              <w:rPr>
                <w:rFonts w:ascii="宋体" w:hAnsi="宋体" w:cs="宋体"/>
                <w:smallCaps/>
                <w:szCs w:val="21"/>
              </w:rPr>
            </w:pPr>
            <w:r>
              <w:rPr>
                <w:rFonts w:hint="eastAsia" w:ascii="宋体" w:hAnsi="宋体" w:cs="宋体"/>
                <w:smallCaps/>
                <w:szCs w:val="21"/>
              </w:rPr>
              <w:t>0.5-3.0</w:t>
            </w:r>
          </w:p>
        </w:tc>
        <w:tc>
          <w:tcPr>
            <w:tcW w:w="1184" w:type="dxa"/>
            <w:vAlign w:val="center"/>
          </w:tcPr>
          <w:p w14:paraId="77B013C4">
            <w:pPr>
              <w:snapToGrid w:val="0"/>
              <w:spacing w:line="360" w:lineRule="auto"/>
              <w:jc w:val="center"/>
              <w:outlineLvl w:val="1"/>
              <w:rPr>
                <w:rFonts w:ascii="宋体" w:hAnsi="宋体" w:cs="宋体"/>
                <w:smallCaps/>
                <w:szCs w:val="21"/>
              </w:rPr>
            </w:pPr>
            <w:r>
              <w:rPr>
                <w:rFonts w:hint="eastAsia" w:ascii="宋体" w:hAnsi="宋体" w:cs="宋体"/>
                <w:smallCaps/>
                <w:szCs w:val="21"/>
              </w:rPr>
              <w:t>37</w:t>
            </w:r>
          </w:p>
        </w:tc>
        <w:tc>
          <w:tcPr>
            <w:tcW w:w="1233" w:type="dxa"/>
            <w:vAlign w:val="center"/>
          </w:tcPr>
          <w:p w14:paraId="3CFD77B0">
            <w:pPr>
              <w:snapToGrid w:val="0"/>
              <w:spacing w:line="360" w:lineRule="auto"/>
              <w:jc w:val="center"/>
              <w:outlineLvl w:val="1"/>
              <w:rPr>
                <w:rFonts w:ascii="宋体" w:hAnsi="宋体" w:cs="宋体"/>
                <w:smallCaps/>
                <w:szCs w:val="21"/>
              </w:rPr>
            </w:pPr>
            <w:r>
              <w:rPr>
                <w:rFonts w:hint="eastAsia" w:ascii="宋体" w:hAnsi="宋体" w:cs="宋体"/>
                <w:smallCaps/>
                <w:szCs w:val="21"/>
              </w:rPr>
              <w:t>37</w:t>
            </w:r>
          </w:p>
        </w:tc>
        <w:tc>
          <w:tcPr>
            <w:tcW w:w="1600" w:type="dxa"/>
            <w:vAlign w:val="center"/>
          </w:tcPr>
          <w:p w14:paraId="0E7EF327">
            <w:pPr>
              <w:snapToGrid w:val="0"/>
              <w:spacing w:line="360" w:lineRule="auto"/>
              <w:jc w:val="center"/>
              <w:outlineLvl w:val="1"/>
              <w:rPr>
                <w:rFonts w:ascii="宋体" w:hAnsi="宋体" w:cs="宋体"/>
                <w:smallCaps/>
                <w:szCs w:val="21"/>
              </w:rPr>
            </w:pPr>
            <w:r>
              <w:rPr>
                <w:rFonts w:hint="eastAsia" w:ascii="宋体" w:hAnsi="宋体" w:cs="宋体"/>
                <w:smallCaps/>
                <w:szCs w:val="21"/>
              </w:rPr>
              <w:t>100</w:t>
            </w:r>
          </w:p>
        </w:tc>
        <w:tc>
          <w:tcPr>
            <w:tcW w:w="2442" w:type="dxa"/>
            <w:vAlign w:val="center"/>
          </w:tcPr>
          <w:p w14:paraId="199315C9">
            <w:pPr>
              <w:snapToGrid w:val="0"/>
              <w:spacing w:line="360" w:lineRule="auto"/>
              <w:jc w:val="center"/>
              <w:outlineLvl w:val="1"/>
              <w:rPr>
                <w:rFonts w:ascii="宋体" w:hAnsi="宋体" w:cs="宋体"/>
                <w:smallCaps/>
                <w:szCs w:val="21"/>
              </w:rPr>
            </w:pPr>
            <w:r>
              <w:rPr>
                <w:rFonts w:hint="eastAsia" w:ascii="宋体" w:hAnsi="宋体" w:cs="宋体"/>
                <w:smallCaps/>
                <w:szCs w:val="21"/>
              </w:rPr>
              <w:t>≤3.0</w:t>
            </w:r>
          </w:p>
        </w:tc>
      </w:tr>
      <w:tr w14:paraId="22895C7C">
        <w:tblPrEx>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0" w:hRule="atLeast"/>
        </w:trPr>
        <w:tc>
          <w:tcPr>
            <w:tcW w:w="1271" w:type="dxa"/>
            <w:vAlign w:val="center"/>
          </w:tcPr>
          <w:p w14:paraId="503128C1">
            <w:pPr>
              <w:snapToGrid w:val="0"/>
              <w:spacing w:line="360" w:lineRule="auto"/>
              <w:jc w:val="center"/>
              <w:outlineLvl w:val="1"/>
              <w:rPr>
                <w:rFonts w:ascii="宋体" w:hAnsi="宋体" w:cs="宋体"/>
                <w:smallCaps/>
                <w:szCs w:val="21"/>
              </w:rPr>
            </w:pPr>
            <w:r>
              <w:rPr>
                <w:rFonts w:hint="eastAsia" w:ascii="宋体" w:hAnsi="宋体" w:cs="宋体"/>
                <w:smallCaps/>
                <w:szCs w:val="21"/>
              </w:rPr>
              <w:t>＞100.00</w:t>
            </w:r>
          </w:p>
        </w:tc>
        <w:tc>
          <w:tcPr>
            <w:tcW w:w="1727" w:type="dxa"/>
            <w:vAlign w:val="center"/>
          </w:tcPr>
          <w:p w14:paraId="612DB15A">
            <w:pPr>
              <w:snapToGrid w:val="0"/>
              <w:spacing w:line="360" w:lineRule="auto"/>
              <w:jc w:val="center"/>
              <w:outlineLvl w:val="1"/>
              <w:rPr>
                <w:rFonts w:ascii="宋体" w:hAnsi="宋体" w:cs="宋体"/>
                <w:smallCaps/>
                <w:szCs w:val="21"/>
              </w:rPr>
            </w:pPr>
            <w:r>
              <w:rPr>
                <w:rFonts w:hint="eastAsia" w:ascii="宋体" w:hAnsi="宋体" w:cs="宋体"/>
                <w:smallCaps/>
                <w:szCs w:val="21"/>
              </w:rPr>
              <w:t>1.0-3.5</w:t>
            </w:r>
          </w:p>
        </w:tc>
        <w:tc>
          <w:tcPr>
            <w:tcW w:w="1184" w:type="dxa"/>
            <w:vAlign w:val="center"/>
          </w:tcPr>
          <w:p w14:paraId="478CB17C">
            <w:pPr>
              <w:snapToGrid w:val="0"/>
              <w:spacing w:line="360" w:lineRule="auto"/>
              <w:jc w:val="center"/>
              <w:outlineLvl w:val="1"/>
              <w:rPr>
                <w:rFonts w:ascii="宋体" w:hAnsi="宋体" w:cs="宋体"/>
                <w:smallCaps/>
                <w:szCs w:val="21"/>
              </w:rPr>
            </w:pPr>
            <w:r>
              <w:rPr>
                <w:rFonts w:hint="eastAsia" w:ascii="宋体" w:hAnsi="宋体" w:cs="宋体"/>
                <w:smallCaps/>
                <w:szCs w:val="21"/>
              </w:rPr>
              <w:t>132</w:t>
            </w:r>
          </w:p>
        </w:tc>
        <w:tc>
          <w:tcPr>
            <w:tcW w:w="1233" w:type="dxa"/>
            <w:vAlign w:val="center"/>
          </w:tcPr>
          <w:p w14:paraId="24193E2A">
            <w:pPr>
              <w:snapToGrid w:val="0"/>
              <w:spacing w:line="360" w:lineRule="auto"/>
              <w:jc w:val="center"/>
              <w:outlineLvl w:val="1"/>
              <w:rPr>
                <w:rFonts w:ascii="宋体" w:hAnsi="宋体" w:cs="宋体"/>
                <w:smallCaps/>
                <w:szCs w:val="21"/>
              </w:rPr>
            </w:pPr>
            <w:r>
              <w:rPr>
                <w:rFonts w:hint="eastAsia" w:ascii="宋体" w:hAnsi="宋体" w:cs="宋体"/>
                <w:smallCaps/>
                <w:szCs w:val="21"/>
              </w:rPr>
              <w:t>132</w:t>
            </w:r>
          </w:p>
        </w:tc>
        <w:tc>
          <w:tcPr>
            <w:tcW w:w="1600" w:type="dxa"/>
            <w:vAlign w:val="center"/>
          </w:tcPr>
          <w:p w14:paraId="6249FE66">
            <w:pPr>
              <w:snapToGrid w:val="0"/>
              <w:spacing w:line="360" w:lineRule="auto"/>
              <w:jc w:val="center"/>
              <w:outlineLvl w:val="1"/>
              <w:rPr>
                <w:rFonts w:ascii="宋体" w:hAnsi="宋体" w:cs="宋体"/>
                <w:smallCaps/>
                <w:szCs w:val="21"/>
              </w:rPr>
            </w:pPr>
            <w:r>
              <w:rPr>
                <w:rFonts w:hint="eastAsia" w:ascii="宋体" w:hAnsi="宋体" w:cs="宋体"/>
                <w:smallCaps/>
                <w:szCs w:val="21"/>
              </w:rPr>
              <w:t>100</w:t>
            </w:r>
          </w:p>
        </w:tc>
        <w:tc>
          <w:tcPr>
            <w:tcW w:w="2442" w:type="dxa"/>
            <w:vAlign w:val="center"/>
          </w:tcPr>
          <w:p w14:paraId="1D240EA4">
            <w:pPr>
              <w:snapToGrid w:val="0"/>
              <w:spacing w:line="360" w:lineRule="auto"/>
              <w:jc w:val="center"/>
              <w:outlineLvl w:val="1"/>
              <w:rPr>
                <w:rFonts w:ascii="宋体" w:hAnsi="宋体" w:cs="宋体"/>
                <w:smallCaps/>
                <w:szCs w:val="21"/>
              </w:rPr>
            </w:pPr>
            <w:r>
              <w:rPr>
                <w:rFonts w:hint="eastAsia" w:ascii="宋体" w:hAnsi="宋体" w:cs="宋体"/>
                <w:smallCaps/>
                <w:szCs w:val="21"/>
              </w:rPr>
              <w:t>≤4.0</w:t>
            </w:r>
          </w:p>
        </w:tc>
      </w:tr>
    </w:tbl>
    <w:p w14:paraId="095C4394">
      <w:pPr>
        <w:pStyle w:val="19"/>
        <w:keepNext w:val="0"/>
        <w:keepLines w:val="0"/>
        <w:pageBreakBefore w:val="0"/>
        <w:kinsoku/>
        <w:wordWrap/>
        <w:overflowPunct/>
        <w:topLinePunct w:val="0"/>
        <w:bidi w:val="0"/>
        <w:snapToGrid/>
        <w:spacing w:before="240" w:beforeLines="100" w:beforeAutospacing="0" w:after="0" w:afterAutospacing="0" w:line="360" w:lineRule="auto"/>
        <w:ind w:firstLine="482"/>
        <w:rPr>
          <w:b/>
          <w:bCs/>
        </w:rPr>
      </w:pPr>
      <w:r>
        <w:rPr>
          <w:rFonts w:hint="eastAsia"/>
        </w:rPr>
        <w:t>由表11、表12和表13可知，带材厚度允许偏差合格率为96.458%，带材宽度允许偏差合格率为98.22%，带材侧边弯曲度合格率为100%，由此可知，带材的外形尺寸及其运行偏差控制稳定，指标制定合理。</w:t>
      </w:r>
    </w:p>
    <w:p w14:paraId="2592755C">
      <w:pPr>
        <w:keepNext w:val="0"/>
        <w:keepLines w:val="0"/>
        <w:pageBreakBefore w:val="0"/>
        <w:kinsoku/>
        <w:wordWrap/>
        <w:overflowPunct/>
        <w:topLinePunct w:val="0"/>
        <w:bidi w:val="0"/>
        <w:snapToGrid/>
        <w:spacing w:line="360" w:lineRule="auto"/>
        <w:rPr>
          <w:rFonts w:ascii="黑体" w:hAnsi="宋体" w:eastAsia="黑体"/>
          <w:szCs w:val="24"/>
        </w:rPr>
      </w:pPr>
      <w:r>
        <w:rPr>
          <w:rFonts w:hint="eastAsia" w:ascii="黑体" w:hAnsi="宋体" w:eastAsia="黑体"/>
          <w:szCs w:val="24"/>
        </w:rPr>
        <w:t>4.2.3典型</w:t>
      </w:r>
      <w:r>
        <w:rPr>
          <w:rFonts w:ascii="黑体" w:hAnsi="宋体" w:eastAsia="黑体"/>
          <w:szCs w:val="24"/>
        </w:rPr>
        <w:t>产品力学性能指标的</w:t>
      </w:r>
      <w:r>
        <w:rPr>
          <w:rFonts w:hint="eastAsia" w:ascii="黑体" w:hAnsi="宋体" w:eastAsia="黑体"/>
          <w:szCs w:val="24"/>
        </w:rPr>
        <w:t>验证</w:t>
      </w:r>
      <w:r>
        <w:rPr>
          <w:rFonts w:ascii="黑体" w:hAnsi="宋体" w:eastAsia="黑体"/>
          <w:szCs w:val="24"/>
        </w:rPr>
        <w:t xml:space="preserve"> </w:t>
      </w:r>
    </w:p>
    <w:p w14:paraId="143BD97B">
      <w:pPr>
        <w:keepNext w:val="0"/>
        <w:keepLines w:val="0"/>
        <w:pageBreakBefore w:val="0"/>
        <w:kinsoku/>
        <w:wordWrap/>
        <w:overflowPunct/>
        <w:topLinePunct w:val="0"/>
        <w:bidi w:val="0"/>
        <w:snapToGrid/>
        <w:spacing w:line="360" w:lineRule="auto"/>
        <w:rPr>
          <w:rFonts w:ascii="黑体" w:hAnsi="宋体" w:eastAsia="黑体"/>
          <w:szCs w:val="24"/>
        </w:rPr>
      </w:pPr>
      <w:r>
        <w:rPr>
          <w:rFonts w:hint="eastAsia" w:ascii="黑体" w:hAnsi="宋体" w:eastAsia="黑体"/>
          <w:szCs w:val="24"/>
        </w:rPr>
        <w:t xml:space="preserve">4.2.3.1 </w:t>
      </w:r>
      <w:r>
        <w:rPr>
          <w:rFonts w:hint="eastAsia" w:ascii="黑体" w:hAnsi="宋体" w:eastAsia="黑体"/>
          <w:szCs w:val="24"/>
          <w:lang w:val="en-US" w:eastAsia="zh-CN"/>
        </w:rPr>
        <w:t>T2</w:t>
      </w:r>
      <w:r>
        <w:rPr>
          <w:rFonts w:hint="eastAsia" w:ascii="黑体" w:hAnsi="宋体" w:eastAsia="黑体"/>
          <w:szCs w:val="24"/>
        </w:rPr>
        <w:t xml:space="preserve"> </w:t>
      </w:r>
      <w:r>
        <w:rPr>
          <w:rFonts w:ascii="黑体" w:hAnsi="宋体" w:eastAsia="黑体"/>
          <w:szCs w:val="24"/>
        </w:rPr>
        <w:t>O</w:t>
      </w:r>
      <w:r>
        <w:rPr>
          <w:rFonts w:hint="eastAsia" w:ascii="黑体" w:hAnsi="宋体" w:eastAsia="黑体"/>
          <w:szCs w:val="24"/>
        </w:rPr>
        <w:t>60态性能</w:t>
      </w:r>
    </w:p>
    <w:p w14:paraId="4D721A60">
      <w:pPr>
        <w:keepNext w:val="0"/>
        <w:keepLines w:val="0"/>
        <w:pageBreakBefore w:val="0"/>
        <w:kinsoku/>
        <w:wordWrap/>
        <w:overflowPunct/>
        <w:topLinePunct w:val="0"/>
        <w:autoSpaceDE w:val="0"/>
        <w:autoSpaceDN w:val="0"/>
        <w:bidi w:val="0"/>
        <w:snapToGrid/>
        <w:spacing w:line="360" w:lineRule="auto"/>
        <w:ind w:firstLine="480" w:firstLineChars="200"/>
        <w:rPr>
          <w:rFonts w:ascii="宋体" w:hAnsi="宋体"/>
          <w:szCs w:val="24"/>
          <w:highlight w:val="none"/>
        </w:rPr>
      </w:pPr>
      <w:r>
        <w:rPr>
          <w:rFonts w:hint="eastAsia" w:ascii="宋体" w:hAnsi="宋体"/>
          <w:szCs w:val="24"/>
          <w:highlight w:val="none"/>
          <w:lang w:val="en-US" w:eastAsia="zh-CN"/>
        </w:rPr>
        <w:t>T2 O</w:t>
      </w:r>
      <w:r>
        <w:rPr>
          <w:rFonts w:hint="eastAsia" w:ascii="宋体" w:hAnsi="宋体"/>
          <w:szCs w:val="24"/>
          <w:highlight w:val="none"/>
        </w:rPr>
        <w:t>60态实</w:t>
      </w:r>
      <w:r>
        <w:rPr>
          <w:rFonts w:hint="eastAsia" w:ascii="宋体" w:cs="宋体"/>
          <w:szCs w:val="24"/>
          <w:highlight w:val="none"/>
        </w:rPr>
        <w:t>测</w:t>
      </w:r>
      <w:r>
        <w:rPr>
          <w:rFonts w:hint="eastAsia"/>
          <w:szCs w:val="24"/>
          <w:highlight w:val="none"/>
        </w:rPr>
        <w:t>的抗拉强度、</w:t>
      </w:r>
      <w:r>
        <w:rPr>
          <w:rFonts w:hint="eastAsia"/>
          <w:szCs w:val="24"/>
          <w:highlight w:val="none"/>
          <w:lang w:val="en-US" w:eastAsia="zh-CN"/>
        </w:rPr>
        <w:t>屈服强度</w:t>
      </w:r>
      <w:r>
        <w:rPr>
          <w:rFonts w:hint="eastAsia"/>
          <w:szCs w:val="24"/>
          <w:highlight w:val="none"/>
        </w:rPr>
        <w:t>、断后伸长率、硬度</w:t>
      </w:r>
      <w:r>
        <w:rPr>
          <w:rFonts w:hint="eastAsia"/>
          <w:szCs w:val="24"/>
          <w:highlight w:val="none"/>
          <w:lang w:val="en-US" w:eastAsia="zh-CN"/>
        </w:rPr>
        <w:t>和导电率</w:t>
      </w:r>
      <w:r>
        <w:rPr>
          <w:rFonts w:hint="eastAsia"/>
          <w:szCs w:val="24"/>
          <w:highlight w:val="none"/>
        </w:rPr>
        <w:t>统计数据见表</w:t>
      </w:r>
      <w:r>
        <w:rPr>
          <w:rFonts w:hint="eastAsia"/>
          <w:szCs w:val="24"/>
          <w:highlight w:val="none"/>
          <w:lang w:val="en-US" w:eastAsia="zh-CN"/>
        </w:rPr>
        <w:t>14</w:t>
      </w:r>
      <w:r>
        <w:rPr>
          <w:rFonts w:hint="eastAsia" w:ascii="宋体" w:cs="宋体"/>
          <w:szCs w:val="24"/>
          <w:highlight w:val="none"/>
        </w:rPr>
        <w:t>～表</w:t>
      </w:r>
      <w:r>
        <w:rPr>
          <w:rFonts w:hint="eastAsia" w:ascii="宋体" w:cs="宋体"/>
          <w:szCs w:val="24"/>
          <w:highlight w:val="none"/>
          <w:lang w:val="en-US" w:eastAsia="zh-CN"/>
        </w:rPr>
        <w:t>18</w:t>
      </w:r>
      <w:r>
        <w:rPr>
          <w:rFonts w:hint="eastAsia"/>
          <w:szCs w:val="24"/>
          <w:highlight w:val="none"/>
        </w:rPr>
        <w:t>，</w:t>
      </w:r>
      <w:r>
        <w:rPr>
          <w:rFonts w:hint="eastAsia" w:ascii="宋体" w:cs="宋体"/>
          <w:szCs w:val="24"/>
          <w:highlight w:val="none"/>
        </w:rPr>
        <w:t>数据分布直方图如图1～</w:t>
      </w:r>
      <w:r>
        <w:rPr>
          <w:rFonts w:hint="eastAsia" w:ascii="宋体" w:cs="宋体"/>
          <w:szCs w:val="24"/>
          <w:highlight w:val="none"/>
          <w:lang w:val="en-US" w:eastAsia="zh-CN"/>
        </w:rPr>
        <w:t>5</w:t>
      </w:r>
      <w:r>
        <w:rPr>
          <w:rFonts w:hint="eastAsia" w:ascii="宋体" w:cs="宋体"/>
          <w:szCs w:val="24"/>
          <w:highlight w:val="none"/>
        </w:rPr>
        <w:t>所示</w:t>
      </w:r>
      <w:r>
        <w:rPr>
          <w:rFonts w:hint="eastAsia"/>
          <w:szCs w:val="24"/>
          <w:highlight w:val="none"/>
        </w:rPr>
        <w:t>。</w:t>
      </w:r>
    </w:p>
    <w:p w14:paraId="01F32197">
      <w:pPr>
        <w:keepNext w:val="0"/>
        <w:keepLines w:val="0"/>
        <w:pageBreakBefore w:val="0"/>
        <w:widowControl/>
        <w:kinsoku/>
        <w:wordWrap/>
        <w:overflowPunct/>
        <w:topLinePunct w:val="0"/>
        <w:bidi w:val="0"/>
        <w:adjustRightInd/>
        <w:snapToGrid/>
        <w:spacing w:line="360" w:lineRule="auto"/>
        <w:ind w:firstLine="480" w:firstLineChars="200"/>
        <w:jc w:val="both"/>
        <w:textAlignment w:val="auto"/>
        <w:rPr>
          <w:rFonts w:hint="eastAsia" w:ascii="宋体" w:hAnsi="宋体" w:eastAsia="宋体"/>
          <w:kern w:val="2"/>
          <w:sz w:val="24"/>
          <w:szCs w:val="24"/>
          <w:highlight w:val="none"/>
          <w:lang w:val="en-US" w:eastAsia="zh-CN"/>
        </w:rPr>
      </w:pPr>
      <w:r>
        <w:rPr>
          <w:rFonts w:hint="eastAsia" w:ascii="宋体" w:hAnsi="宋体"/>
          <w:kern w:val="2"/>
          <w:sz w:val="24"/>
          <w:szCs w:val="24"/>
          <w:highlight w:val="none"/>
          <w:lang w:val="en-US" w:eastAsia="zh-CN"/>
        </w:rPr>
        <w:t>1)</w:t>
      </w:r>
      <w:r>
        <w:rPr>
          <w:rFonts w:hint="eastAsia" w:ascii="宋体" w:hAnsi="宋体"/>
          <w:kern w:val="2"/>
          <w:sz w:val="24"/>
          <w:szCs w:val="24"/>
          <w:highlight w:val="none"/>
        </w:rPr>
        <w:t>T2   O60 抗拉强度Rm检测实测统计如表1</w:t>
      </w:r>
      <w:r>
        <w:rPr>
          <w:rFonts w:hint="eastAsia" w:ascii="宋体" w:hAnsi="宋体"/>
          <w:kern w:val="2"/>
          <w:sz w:val="24"/>
          <w:szCs w:val="24"/>
          <w:highlight w:val="none"/>
          <w:lang w:val="en-US" w:eastAsia="zh-CN"/>
        </w:rPr>
        <w:t>4</w:t>
      </w:r>
    </w:p>
    <w:p w14:paraId="5210A78A">
      <w:pPr>
        <w:keepNext w:val="0"/>
        <w:keepLines w:val="0"/>
        <w:pageBreakBefore w:val="0"/>
        <w:tabs>
          <w:tab w:val="left" w:pos="2946"/>
          <w:tab w:val="center" w:pos="4212"/>
        </w:tabs>
        <w:kinsoku/>
        <w:wordWrap/>
        <w:overflowPunct/>
        <w:topLinePunct w:val="0"/>
        <w:bidi w:val="0"/>
        <w:snapToGrid/>
        <w:spacing w:line="360" w:lineRule="auto"/>
        <w:jc w:val="center"/>
        <w:rPr>
          <w:rFonts w:hint="default" w:ascii="Times New Roman" w:hAnsi="Times New Roman" w:cs="Times New Roman"/>
          <w:sz w:val="21"/>
          <w:szCs w:val="16"/>
          <w:highlight w:val="none"/>
        </w:rPr>
      </w:pPr>
      <w:r>
        <w:rPr>
          <w:rFonts w:hint="default" w:ascii="Times New Roman" w:hAnsi="Times New Roman" w:cs="Times New Roman"/>
          <w:sz w:val="24"/>
          <w:szCs w:val="20"/>
          <w:highlight w:val="none"/>
          <w:lang w:val="en-US" w:eastAsia="zh-CN"/>
        </w:rPr>
        <w:t>表1</w:t>
      </w:r>
      <w:r>
        <w:rPr>
          <w:rFonts w:hint="eastAsia" w:cs="Times New Roman"/>
          <w:sz w:val="24"/>
          <w:szCs w:val="20"/>
          <w:highlight w:val="none"/>
          <w:lang w:val="en-US" w:eastAsia="zh-CN"/>
        </w:rPr>
        <w:t>4</w:t>
      </w:r>
      <w:r>
        <w:rPr>
          <w:rFonts w:hint="default" w:ascii="Times New Roman" w:hAnsi="Times New Roman" w:cs="Times New Roman"/>
          <w:sz w:val="24"/>
          <w:szCs w:val="20"/>
          <w:highlight w:val="none"/>
          <w:lang w:val="en-US" w:eastAsia="zh-CN"/>
        </w:rPr>
        <w:t xml:space="preserve">  T2   060  抗拉强度 频数和频率分布表</w:t>
      </w:r>
    </w:p>
    <w:tbl>
      <w:tblPr>
        <w:tblStyle w:val="21"/>
        <w:tblW w:w="933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75"/>
        <w:gridCol w:w="2254"/>
        <w:gridCol w:w="1985"/>
        <w:gridCol w:w="1795"/>
        <w:gridCol w:w="1928"/>
      </w:tblGrid>
      <w:tr w14:paraId="58829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jc w:val="center"/>
        </w:trPr>
        <w:tc>
          <w:tcPr>
            <w:tcW w:w="1375" w:type="dxa"/>
            <w:tcBorders>
              <w:top w:val="single" w:color="auto" w:sz="12" w:space="0"/>
              <w:left w:val="single" w:color="auto" w:sz="12" w:space="0"/>
              <w:bottom w:val="single" w:color="auto" w:sz="4" w:space="0"/>
              <w:right w:val="single" w:color="auto" w:sz="4" w:space="0"/>
            </w:tcBorders>
            <w:noWrap w:val="0"/>
            <w:vAlign w:val="top"/>
          </w:tcPr>
          <w:p w14:paraId="186F3D5F">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组号</w:t>
            </w:r>
          </w:p>
        </w:tc>
        <w:tc>
          <w:tcPr>
            <w:tcW w:w="2254" w:type="dxa"/>
            <w:tcBorders>
              <w:top w:val="single" w:color="auto" w:sz="12" w:space="0"/>
              <w:left w:val="single" w:color="auto" w:sz="4" w:space="0"/>
              <w:bottom w:val="single" w:color="auto" w:sz="4" w:space="0"/>
              <w:right w:val="single" w:color="auto" w:sz="4" w:space="0"/>
            </w:tcBorders>
            <w:noWrap w:val="0"/>
            <w:vAlign w:val="top"/>
          </w:tcPr>
          <w:p w14:paraId="504A02D5">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区间</w:t>
            </w:r>
          </w:p>
        </w:tc>
        <w:tc>
          <w:tcPr>
            <w:tcW w:w="1985" w:type="dxa"/>
            <w:tcBorders>
              <w:top w:val="single" w:color="auto" w:sz="12" w:space="0"/>
              <w:left w:val="single" w:color="auto" w:sz="4" w:space="0"/>
              <w:bottom w:val="single" w:color="auto" w:sz="4" w:space="0"/>
              <w:right w:val="single" w:color="auto" w:sz="4" w:space="0"/>
            </w:tcBorders>
            <w:noWrap w:val="0"/>
            <w:vAlign w:val="top"/>
          </w:tcPr>
          <w:p w14:paraId="70209D54">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组中值X’i</w:t>
            </w:r>
          </w:p>
        </w:tc>
        <w:tc>
          <w:tcPr>
            <w:tcW w:w="1795" w:type="dxa"/>
            <w:tcBorders>
              <w:top w:val="single" w:color="auto" w:sz="12" w:space="0"/>
              <w:left w:val="single" w:color="auto" w:sz="4" w:space="0"/>
              <w:bottom w:val="single" w:color="auto" w:sz="4" w:space="0"/>
              <w:right w:val="single" w:color="auto" w:sz="4" w:space="0"/>
            </w:tcBorders>
            <w:noWrap w:val="0"/>
            <w:vAlign w:val="top"/>
          </w:tcPr>
          <w:p w14:paraId="767EEEB1">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频数ni</w:t>
            </w:r>
          </w:p>
        </w:tc>
        <w:tc>
          <w:tcPr>
            <w:tcW w:w="1928" w:type="dxa"/>
            <w:tcBorders>
              <w:top w:val="single" w:color="auto" w:sz="12" w:space="0"/>
              <w:left w:val="single" w:color="auto" w:sz="4" w:space="0"/>
              <w:bottom w:val="single" w:color="auto" w:sz="4" w:space="0"/>
              <w:right w:val="single" w:color="auto" w:sz="12" w:space="0"/>
            </w:tcBorders>
            <w:noWrap w:val="0"/>
            <w:vAlign w:val="top"/>
          </w:tcPr>
          <w:p w14:paraId="48CF0F14">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频率fi</w:t>
            </w:r>
          </w:p>
        </w:tc>
      </w:tr>
      <w:tr w14:paraId="230FD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jc w:val="center"/>
        </w:trPr>
        <w:tc>
          <w:tcPr>
            <w:tcW w:w="1375" w:type="dxa"/>
            <w:tcBorders>
              <w:top w:val="single" w:color="auto" w:sz="4" w:space="0"/>
              <w:left w:val="single" w:color="auto" w:sz="12" w:space="0"/>
              <w:bottom w:val="single" w:color="auto" w:sz="4" w:space="0"/>
              <w:right w:val="single" w:color="auto" w:sz="4" w:space="0"/>
            </w:tcBorders>
            <w:noWrap w:val="0"/>
            <w:vAlign w:val="top"/>
          </w:tcPr>
          <w:p w14:paraId="2B75DA8E">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1</w:t>
            </w:r>
          </w:p>
        </w:tc>
        <w:tc>
          <w:tcPr>
            <w:tcW w:w="2254" w:type="dxa"/>
            <w:tcBorders>
              <w:top w:val="single" w:color="auto" w:sz="4" w:space="0"/>
              <w:left w:val="single" w:color="auto" w:sz="4" w:space="0"/>
              <w:bottom w:val="single" w:color="auto" w:sz="4" w:space="0"/>
              <w:right w:val="single" w:color="auto" w:sz="4" w:space="0"/>
            </w:tcBorders>
            <w:noWrap w:val="0"/>
            <w:vAlign w:val="top"/>
          </w:tcPr>
          <w:p w14:paraId="40A1CA46">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[195-205]</w:t>
            </w:r>
          </w:p>
        </w:tc>
        <w:tc>
          <w:tcPr>
            <w:tcW w:w="1985" w:type="dxa"/>
            <w:tcBorders>
              <w:top w:val="single" w:color="auto" w:sz="4" w:space="0"/>
              <w:left w:val="single" w:color="auto" w:sz="4" w:space="0"/>
              <w:bottom w:val="single" w:color="auto" w:sz="4" w:space="0"/>
              <w:right w:val="single" w:color="auto" w:sz="4" w:space="0"/>
            </w:tcBorders>
            <w:noWrap w:val="0"/>
            <w:vAlign w:val="top"/>
          </w:tcPr>
          <w:p w14:paraId="688C733D">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200</w:t>
            </w:r>
          </w:p>
        </w:tc>
        <w:tc>
          <w:tcPr>
            <w:tcW w:w="1795" w:type="dxa"/>
            <w:tcBorders>
              <w:top w:val="single" w:color="auto" w:sz="4" w:space="0"/>
              <w:left w:val="single" w:color="auto" w:sz="4" w:space="0"/>
              <w:bottom w:val="single" w:color="auto" w:sz="4" w:space="0"/>
              <w:right w:val="single" w:color="auto" w:sz="4" w:space="0"/>
            </w:tcBorders>
            <w:noWrap w:val="0"/>
            <w:vAlign w:val="top"/>
          </w:tcPr>
          <w:p w14:paraId="0A9CA628">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11</w:t>
            </w:r>
          </w:p>
        </w:tc>
        <w:tc>
          <w:tcPr>
            <w:tcW w:w="1928" w:type="dxa"/>
            <w:tcBorders>
              <w:top w:val="single" w:color="auto" w:sz="4" w:space="0"/>
              <w:left w:val="single" w:color="auto" w:sz="4" w:space="0"/>
              <w:bottom w:val="single" w:color="auto" w:sz="4" w:space="0"/>
              <w:right w:val="single" w:color="auto" w:sz="12" w:space="0"/>
            </w:tcBorders>
            <w:noWrap w:val="0"/>
            <w:vAlign w:val="top"/>
          </w:tcPr>
          <w:p w14:paraId="7D056986">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7.38%</w:t>
            </w:r>
          </w:p>
        </w:tc>
      </w:tr>
      <w:tr w14:paraId="4551A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jc w:val="center"/>
        </w:trPr>
        <w:tc>
          <w:tcPr>
            <w:tcW w:w="1375" w:type="dxa"/>
            <w:tcBorders>
              <w:top w:val="single" w:color="auto" w:sz="4" w:space="0"/>
              <w:left w:val="single" w:color="auto" w:sz="12" w:space="0"/>
              <w:bottom w:val="single" w:color="auto" w:sz="4" w:space="0"/>
              <w:right w:val="single" w:color="auto" w:sz="4" w:space="0"/>
            </w:tcBorders>
            <w:noWrap w:val="0"/>
            <w:vAlign w:val="top"/>
          </w:tcPr>
          <w:p w14:paraId="724CD33A">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2</w:t>
            </w:r>
          </w:p>
        </w:tc>
        <w:tc>
          <w:tcPr>
            <w:tcW w:w="2254" w:type="dxa"/>
            <w:tcBorders>
              <w:top w:val="single" w:color="auto" w:sz="4" w:space="0"/>
              <w:left w:val="single" w:color="auto" w:sz="4" w:space="0"/>
              <w:bottom w:val="single" w:color="auto" w:sz="4" w:space="0"/>
              <w:right w:val="single" w:color="auto" w:sz="4" w:space="0"/>
            </w:tcBorders>
            <w:noWrap w:val="0"/>
            <w:vAlign w:val="top"/>
          </w:tcPr>
          <w:p w14:paraId="7F455B37">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[205-215]</w:t>
            </w:r>
          </w:p>
        </w:tc>
        <w:tc>
          <w:tcPr>
            <w:tcW w:w="1985" w:type="dxa"/>
            <w:tcBorders>
              <w:top w:val="single" w:color="auto" w:sz="4" w:space="0"/>
              <w:left w:val="single" w:color="auto" w:sz="4" w:space="0"/>
              <w:bottom w:val="single" w:color="auto" w:sz="4" w:space="0"/>
              <w:right w:val="single" w:color="auto" w:sz="4" w:space="0"/>
            </w:tcBorders>
            <w:noWrap w:val="0"/>
            <w:vAlign w:val="top"/>
          </w:tcPr>
          <w:p w14:paraId="4574F5EE">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210</w:t>
            </w:r>
          </w:p>
        </w:tc>
        <w:tc>
          <w:tcPr>
            <w:tcW w:w="1795" w:type="dxa"/>
            <w:tcBorders>
              <w:top w:val="single" w:color="auto" w:sz="4" w:space="0"/>
              <w:left w:val="single" w:color="auto" w:sz="4" w:space="0"/>
              <w:bottom w:val="single" w:color="auto" w:sz="4" w:space="0"/>
              <w:right w:val="single" w:color="auto" w:sz="4" w:space="0"/>
            </w:tcBorders>
            <w:noWrap w:val="0"/>
            <w:vAlign w:val="top"/>
          </w:tcPr>
          <w:p w14:paraId="0DF13412">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6</w:t>
            </w:r>
          </w:p>
        </w:tc>
        <w:tc>
          <w:tcPr>
            <w:tcW w:w="1928" w:type="dxa"/>
            <w:tcBorders>
              <w:top w:val="single" w:color="auto" w:sz="4" w:space="0"/>
              <w:left w:val="single" w:color="auto" w:sz="4" w:space="0"/>
              <w:bottom w:val="single" w:color="auto" w:sz="4" w:space="0"/>
              <w:right w:val="single" w:color="auto" w:sz="12" w:space="0"/>
            </w:tcBorders>
            <w:noWrap w:val="0"/>
            <w:vAlign w:val="top"/>
          </w:tcPr>
          <w:p w14:paraId="482A8CEC">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4.03%</w:t>
            </w:r>
          </w:p>
        </w:tc>
      </w:tr>
      <w:tr w14:paraId="17E2E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jc w:val="center"/>
        </w:trPr>
        <w:tc>
          <w:tcPr>
            <w:tcW w:w="1375" w:type="dxa"/>
            <w:tcBorders>
              <w:top w:val="single" w:color="auto" w:sz="4" w:space="0"/>
              <w:left w:val="single" w:color="auto" w:sz="12" w:space="0"/>
              <w:bottom w:val="single" w:color="auto" w:sz="4" w:space="0"/>
              <w:right w:val="single" w:color="auto" w:sz="4" w:space="0"/>
            </w:tcBorders>
            <w:noWrap w:val="0"/>
            <w:vAlign w:val="top"/>
          </w:tcPr>
          <w:p w14:paraId="746E9CC5">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3</w:t>
            </w:r>
          </w:p>
        </w:tc>
        <w:tc>
          <w:tcPr>
            <w:tcW w:w="2254" w:type="dxa"/>
            <w:tcBorders>
              <w:top w:val="single" w:color="auto" w:sz="4" w:space="0"/>
              <w:left w:val="single" w:color="auto" w:sz="4" w:space="0"/>
              <w:bottom w:val="single" w:color="auto" w:sz="4" w:space="0"/>
              <w:right w:val="single" w:color="auto" w:sz="4" w:space="0"/>
            </w:tcBorders>
            <w:noWrap w:val="0"/>
            <w:vAlign w:val="top"/>
          </w:tcPr>
          <w:p w14:paraId="4BE515CD">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[215-225]</w:t>
            </w:r>
          </w:p>
        </w:tc>
        <w:tc>
          <w:tcPr>
            <w:tcW w:w="1985" w:type="dxa"/>
            <w:tcBorders>
              <w:top w:val="single" w:color="auto" w:sz="4" w:space="0"/>
              <w:left w:val="single" w:color="auto" w:sz="4" w:space="0"/>
              <w:bottom w:val="single" w:color="auto" w:sz="4" w:space="0"/>
              <w:right w:val="single" w:color="auto" w:sz="4" w:space="0"/>
            </w:tcBorders>
            <w:noWrap w:val="0"/>
            <w:vAlign w:val="top"/>
          </w:tcPr>
          <w:p w14:paraId="1CA90CBD">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220</w:t>
            </w:r>
          </w:p>
        </w:tc>
        <w:tc>
          <w:tcPr>
            <w:tcW w:w="1795" w:type="dxa"/>
            <w:tcBorders>
              <w:top w:val="single" w:color="auto" w:sz="4" w:space="0"/>
              <w:left w:val="single" w:color="auto" w:sz="4" w:space="0"/>
              <w:bottom w:val="single" w:color="auto" w:sz="4" w:space="0"/>
              <w:right w:val="single" w:color="auto" w:sz="4" w:space="0"/>
            </w:tcBorders>
            <w:noWrap w:val="0"/>
            <w:vAlign w:val="top"/>
          </w:tcPr>
          <w:p w14:paraId="0B4A3D1C">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3</w:t>
            </w:r>
          </w:p>
        </w:tc>
        <w:tc>
          <w:tcPr>
            <w:tcW w:w="1928" w:type="dxa"/>
            <w:tcBorders>
              <w:top w:val="single" w:color="auto" w:sz="4" w:space="0"/>
              <w:left w:val="single" w:color="auto" w:sz="4" w:space="0"/>
              <w:bottom w:val="single" w:color="auto" w:sz="4" w:space="0"/>
              <w:right w:val="single" w:color="auto" w:sz="12" w:space="0"/>
            </w:tcBorders>
            <w:noWrap w:val="0"/>
            <w:vAlign w:val="top"/>
          </w:tcPr>
          <w:p w14:paraId="792A4DE9">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2.01%</w:t>
            </w:r>
          </w:p>
        </w:tc>
      </w:tr>
      <w:tr w14:paraId="27B2D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jc w:val="center"/>
        </w:trPr>
        <w:tc>
          <w:tcPr>
            <w:tcW w:w="1375" w:type="dxa"/>
            <w:tcBorders>
              <w:top w:val="single" w:color="auto" w:sz="4" w:space="0"/>
              <w:left w:val="single" w:color="auto" w:sz="12" w:space="0"/>
              <w:bottom w:val="single" w:color="auto" w:sz="4" w:space="0"/>
              <w:right w:val="single" w:color="auto" w:sz="4" w:space="0"/>
            </w:tcBorders>
            <w:noWrap w:val="0"/>
            <w:vAlign w:val="top"/>
          </w:tcPr>
          <w:p w14:paraId="065C91BA">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4</w:t>
            </w:r>
          </w:p>
        </w:tc>
        <w:tc>
          <w:tcPr>
            <w:tcW w:w="2254" w:type="dxa"/>
            <w:tcBorders>
              <w:top w:val="single" w:color="auto" w:sz="4" w:space="0"/>
              <w:left w:val="single" w:color="auto" w:sz="4" w:space="0"/>
              <w:bottom w:val="single" w:color="auto" w:sz="4" w:space="0"/>
              <w:right w:val="single" w:color="auto" w:sz="4" w:space="0"/>
            </w:tcBorders>
            <w:noWrap w:val="0"/>
            <w:vAlign w:val="top"/>
          </w:tcPr>
          <w:p w14:paraId="056F38D4">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[225-235]</w:t>
            </w:r>
          </w:p>
        </w:tc>
        <w:tc>
          <w:tcPr>
            <w:tcW w:w="1985" w:type="dxa"/>
            <w:tcBorders>
              <w:top w:val="single" w:color="auto" w:sz="4" w:space="0"/>
              <w:left w:val="single" w:color="auto" w:sz="4" w:space="0"/>
              <w:bottom w:val="single" w:color="auto" w:sz="4" w:space="0"/>
              <w:right w:val="single" w:color="auto" w:sz="4" w:space="0"/>
            </w:tcBorders>
            <w:noWrap w:val="0"/>
            <w:vAlign w:val="top"/>
          </w:tcPr>
          <w:p w14:paraId="2398BE66">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230</w:t>
            </w:r>
          </w:p>
        </w:tc>
        <w:tc>
          <w:tcPr>
            <w:tcW w:w="1795" w:type="dxa"/>
            <w:tcBorders>
              <w:top w:val="single" w:color="auto" w:sz="4" w:space="0"/>
              <w:left w:val="single" w:color="auto" w:sz="4" w:space="0"/>
              <w:bottom w:val="single" w:color="auto" w:sz="4" w:space="0"/>
              <w:right w:val="single" w:color="auto" w:sz="4" w:space="0"/>
            </w:tcBorders>
            <w:noWrap w:val="0"/>
            <w:vAlign w:val="top"/>
          </w:tcPr>
          <w:p w14:paraId="4DBE5AD7">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10</w:t>
            </w:r>
          </w:p>
        </w:tc>
        <w:tc>
          <w:tcPr>
            <w:tcW w:w="1928" w:type="dxa"/>
            <w:tcBorders>
              <w:top w:val="single" w:color="auto" w:sz="4" w:space="0"/>
              <w:left w:val="single" w:color="auto" w:sz="4" w:space="0"/>
              <w:bottom w:val="single" w:color="auto" w:sz="4" w:space="0"/>
              <w:right w:val="single" w:color="auto" w:sz="12" w:space="0"/>
            </w:tcBorders>
            <w:noWrap w:val="0"/>
            <w:vAlign w:val="top"/>
          </w:tcPr>
          <w:p w14:paraId="5C59090D">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6.71%</w:t>
            </w:r>
          </w:p>
        </w:tc>
      </w:tr>
      <w:tr w14:paraId="01CCA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jc w:val="center"/>
        </w:trPr>
        <w:tc>
          <w:tcPr>
            <w:tcW w:w="1375" w:type="dxa"/>
            <w:tcBorders>
              <w:top w:val="single" w:color="auto" w:sz="4" w:space="0"/>
              <w:left w:val="single" w:color="auto" w:sz="12" w:space="0"/>
              <w:bottom w:val="single" w:color="auto" w:sz="4" w:space="0"/>
              <w:right w:val="single" w:color="auto" w:sz="4" w:space="0"/>
            </w:tcBorders>
            <w:noWrap w:val="0"/>
            <w:vAlign w:val="top"/>
          </w:tcPr>
          <w:p w14:paraId="38C84DF3">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5</w:t>
            </w:r>
          </w:p>
        </w:tc>
        <w:tc>
          <w:tcPr>
            <w:tcW w:w="2254" w:type="dxa"/>
            <w:tcBorders>
              <w:top w:val="single" w:color="auto" w:sz="4" w:space="0"/>
              <w:left w:val="single" w:color="auto" w:sz="4" w:space="0"/>
              <w:bottom w:val="single" w:color="auto" w:sz="4" w:space="0"/>
              <w:right w:val="single" w:color="auto" w:sz="4" w:space="0"/>
            </w:tcBorders>
            <w:noWrap w:val="0"/>
            <w:vAlign w:val="top"/>
          </w:tcPr>
          <w:p w14:paraId="105F104F">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[235-245]</w:t>
            </w:r>
          </w:p>
        </w:tc>
        <w:tc>
          <w:tcPr>
            <w:tcW w:w="1985" w:type="dxa"/>
            <w:tcBorders>
              <w:top w:val="single" w:color="auto" w:sz="4" w:space="0"/>
              <w:left w:val="single" w:color="auto" w:sz="4" w:space="0"/>
              <w:bottom w:val="single" w:color="auto" w:sz="4" w:space="0"/>
              <w:right w:val="single" w:color="auto" w:sz="4" w:space="0"/>
            </w:tcBorders>
            <w:noWrap w:val="0"/>
            <w:vAlign w:val="top"/>
          </w:tcPr>
          <w:p w14:paraId="372F7E5B">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240</w:t>
            </w:r>
          </w:p>
        </w:tc>
        <w:tc>
          <w:tcPr>
            <w:tcW w:w="1795" w:type="dxa"/>
            <w:tcBorders>
              <w:top w:val="single" w:color="auto" w:sz="4" w:space="0"/>
              <w:left w:val="single" w:color="auto" w:sz="4" w:space="0"/>
              <w:bottom w:val="single" w:color="auto" w:sz="4" w:space="0"/>
              <w:right w:val="single" w:color="auto" w:sz="4" w:space="0"/>
            </w:tcBorders>
            <w:noWrap w:val="0"/>
            <w:vAlign w:val="top"/>
          </w:tcPr>
          <w:p w14:paraId="6A8D0314">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41</w:t>
            </w:r>
          </w:p>
        </w:tc>
        <w:tc>
          <w:tcPr>
            <w:tcW w:w="1928" w:type="dxa"/>
            <w:tcBorders>
              <w:top w:val="single" w:color="auto" w:sz="4" w:space="0"/>
              <w:left w:val="single" w:color="auto" w:sz="4" w:space="0"/>
              <w:bottom w:val="single" w:color="auto" w:sz="4" w:space="0"/>
              <w:right w:val="single" w:color="auto" w:sz="12" w:space="0"/>
            </w:tcBorders>
            <w:noWrap w:val="0"/>
            <w:vAlign w:val="top"/>
          </w:tcPr>
          <w:p w14:paraId="70B46685">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27.52%</w:t>
            </w:r>
          </w:p>
        </w:tc>
      </w:tr>
      <w:tr w14:paraId="3D0D1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jc w:val="center"/>
        </w:trPr>
        <w:tc>
          <w:tcPr>
            <w:tcW w:w="1375" w:type="dxa"/>
            <w:tcBorders>
              <w:top w:val="single" w:color="auto" w:sz="4" w:space="0"/>
              <w:left w:val="single" w:color="auto" w:sz="12" w:space="0"/>
              <w:bottom w:val="single" w:color="auto" w:sz="4" w:space="0"/>
              <w:right w:val="single" w:color="auto" w:sz="4" w:space="0"/>
            </w:tcBorders>
            <w:noWrap w:val="0"/>
            <w:vAlign w:val="top"/>
          </w:tcPr>
          <w:p w14:paraId="2935F341">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6</w:t>
            </w:r>
          </w:p>
        </w:tc>
        <w:tc>
          <w:tcPr>
            <w:tcW w:w="2254" w:type="dxa"/>
            <w:tcBorders>
              <w:top w:val="single" w:color="auto" w:sz="4" w:space="0"/>
              <w:left w:val="single" w:color="auto" w:sz="4" w:space="0"/>
              <w:bottom w:val="single" w:color="auto" w:sz="4" w:space="0"/>
              <w:right w:val="single" w:color="auto" w:sz="4" w:space="0"/>
            </w:tcBorders>
            <w:noWrap w:val="0"/>
            <w:vAlign w:val="top"/>
          </w:tcPr>
          <w:p w14:paraId="4B79DA9E">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[245-255]</w:t>
            </w:r>
          </w:p>
        </w:tc>
        <w:tc>
          <w:tcPr>
            <w:tcW w:w="1985" w:type="dxa"/>
            <w:tcBorders>
              <w:top w:val="single" w:color="auto" w:sz="4" w:space="0"/>
              <w:left w:val="single" w:color="auto" w:sz="4" w:space="0"/>
              <w:bottom w:val="single" w:color="auto" w:sz="4" w:space="0"/>
              <w:right w:val="single" w:color="auto" w:sz="4" w:space="0"/>
            </w:tcBorders>
            <w:noWrap w:val="0"/>
            <w:vAlign w:val="top"/>
          </w:tcPr>
          <w:p w14:paraId="6DC22EDA">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250</w:t>
            </w:r>
          </w:p>
        </w:tc>
        <w:tc>
          <w:tcPr>
            <w:tcW w:w="1795" w:type="dxa"/>
            <w:tcBorders>
              <w:top w:val="single" w:color="auto" w:sz="4" w:space="0"/>
              <w:left w:val="single" w:color="auto" w:sz="4" w:space="0"/>
              <w:bottom w:val="single" w:color="auto" w:sz="4" w:space="0"/>
              <w:right w:val="single" w:color="auto" w:sz="4" w:space="0"/>
            </w:tcBorders>
            <w:noWrap w:val="0"/>
            <w:vAlign w:val="top"/>
          </w:tcPr>
          <w:p w14:paraId="489821B5">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66</w:t>
            </w:r>
          </w:p>
        </w:tc>
        <w:tc>
          <w:tcPr>
            <w:tcW w:w="1928" w:type="dxa"/>
            <w:tcBorders>
              <w:top w:val="single" w:color="auto" w:sz="4" w:space="0"/>
              <w:left w:val="single" w:color="auto" w:sz="4" w:space="0"/>
              <w:bottom w:val="single" w:color="auto" w:sz="4" w:space="0"/>
              <w:right w:val="single" w:color="auto" w:sz="12" w:space="0"/>
            </w:tcBorders>
            <w:noWrap w:val="0"/>
            <w:vAlign w:val="top"/>
          </w:tcPr>
          <w:p w14:paraId="7B1C1269">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44.30%</w:t>
            </w:r>
          </w:p>
        </w:tc>
      </w:tr>
      <w:tr w14:paraId="74B0F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jc w:val="center"/>
        </w:trPr>
        <w:tc>
          <w:tcPr>
            <w:tcW w:w="1375" w:type="dxa"/>
            <w:tcBorders>
              <w:top w:val="single" w:color="auto" w:sz="4" w:space="0"/>
              <w:left w:val="single" w:color="auto" w:sz="12" w:space="0"/>
              <w:bottom w:val="single" w:color="auto" w:sz="4" w:space="0"/>
              <w:right w:val="single" w:color="auto" w:sz="4" w:space="0"/>
            </w:tcBorders>
            <w:noWrap w:val="0"/>
            <w:vAlign w:val="top"/>
          </w:tcPr>
          <w:p w14:paraId="64552397">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7</w:t>
            </w:r>
          </w:p>
        </w:tc>
        <w:tc>
          <w:tcPr>
            <w:tcW w:w="2254" w:type="dxa"/>
            <w:tcBorders>
              <w:top w:val="single" w:color="auto" w:sz="4" w:space="0"/>
              <w:left w:val="single" w:color="auto" w:sz="4" w:space="0"/>
              <w:bottom w:val="single" w:color="auto" w:sz="4" w:space="0"/>
              <w:right w:val="single" w:color="auto" w:sz="4" w:space="0"/>
            </w:tcBorders>
            <w:noWrap w:val="0"/>
            <w:vAlign w:val="top"/>
          </w:tcPr>
          <w:p w14:paraId="4A9D1B10">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[255-265]</w:t>
            </w:r>
          </w:p>
        </w:tc>
        <w:tc>
          <w:tcPr>
            <w:tcW w:w="1985" w:type="dxa"/>
            <w:tcBorders>
              <w:top w:val="single" w:color="auto" w:sz="4" w:space="0"/>
              <w:left w:val="single" w:color="auto" w:sz="4" w:space="0"/>
              <w:bottom w:val="single" w:color="auto" w:sz="4" w:space="0"/>
              <w:right w:val="single" w:color="auto" w:sz="4" w:space="0"/>
            </w:tcBorders>
            <w:noWrap w:val="0"/>
            <w:vAlign w:val="top"/>
          </w:tcPr>
          <w:p w14:paraId="155C7536">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260</w:t>
            </w:r>
          </w:p>
        </w:tc>
        <w:tc>
          <w:tcPr>
            <w:tcW w:w="1795" w:type="dxa"/>
            <w:tcBorders>
              <w:top w:val="single" w:color="auto" w:sz="4" w:space="0"/>
              <w:left w:val="single" w:color="auto" w:sz="4" w:space="0"/>
              <w:bottom w:val="single" w:color="auto" w:sz="4" w:space="0"/>
              <w:right w:val="single" w:color="auto" w:sz="4" w:space="0"/>
            </w:tcBorders>
            <w:noWrap w:val="0"/>
            <w:vAlign w:val="top"/>
          </w:tcPr>
          <w:p w14:paraId="475DDDC1">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12</w:t>
            </w:r>
          </w:p>
        </w:tc>
        <w:tc>
          <w:tcPr>
            <w:tcW w:w="1928" w:type="dxa"/>
            <w:tcBorders>
              <w:top w:val="single" w:color="auto" w:sz="4" w:space="0"/>
              <w:left w:val="single" w:color="auto" w:sz="4" w:space="0"/>
              <w:bottom w:val="single" w:color="auto" w:sz="4" w:space="0"/>
              <w:right w:val="single" w:color="auto" w:sz="12" w:space="0"/>
            </w:tcBorders>
            <w:noWrap w:val="0"/>
            <w:vAlign w:val="top"/>
          </w:tcPr>
          <w:p w14:paraId="4A907C68">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8.05%</w:t>
            </w:r>
          </w:p>
        </w:tc>
      </w:tr>
      <w:tr w14:paraId="45548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375" w:type="dxa"/>
            <w:tcBorders>
              <w:top w:val="single" w:color="auto" w:sz="4" w:space="0"/>
              <w:left w:val="single" w:color="auto" w:sz="12" w:space="0"/>
              <w:bottom w:val="single" w:color="auto" w:sz="12" w:space="0"/>
              <w:right w:val="single" w:color="auto" w:sz="4" w:space="0"/>
            </w:tcBorders>
            <w:noWrap w:val="0"/>
            <w:vAlign w:val="top"/>
          </w:tcPr>
          <w:p w14:paraId="36C73A9A">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合计</w:t>
            </w:r>
          </w:p>
        </w:tc>
        <w:tc>
          <w:tcPr>
            <w:tcW w:w="2254" w:type="dxa"/>
            <w:tcBorders>
              <w:top w:val="single" w:color="auto" w:sz="4" w:space="0"/>
              <w:left w:val="single" w:color="auto" w:sz="4" w:space="0"/>
              <w:bottom w:val="single" w:color="auto" w:sz="12" w:space="0"/>
              <w:right w:val="single" w:color="auto" w:sz="4" w:space="0"/>
            </w:tcBorders>
            <w:noWrap w:val="0"/>
            <w:vAlign w:val="top"/>
          </w:tcPr>
          <w:p w14:paraId="4D7915A3">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p>
        </w:tc>
        <w:tc>
          <w:tcPr>
            <w:tcW w:w="1985" w:type="dxa"/>
            <w:tcBorders>
              <w:top w:val="single" w:color="auto" w:sz="4" w:space="0"/>
              <w:left w:val="single" w:color="auto" w:sz="4" w:space="0"/>
              <w:bottom w:val="single" w:color="auto" w:sz="12" w:space="0"/>
              <w:right w:val="single" w:color="auto" w:sz="4" w:space="0"/>
            </w:tcBorders>
            <w:noWrap w:val="0"/>
            <w:vAlign w:val="top"/>
          </w:tcPr>
          <w:p w14:paraId="4D13FC45">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p>
        </w:tc>
        <w:tc>
          <w:tcPr>
            <w:tcW w:w="1795" w:type="dxa"/>
            <w:tcBorders>
              <w:top w:val="single" w:color="auto" w:sz="4" w:space="0"/>
              <w:left w:val="single" w:color="auto" w:sz="4" w:space="0"/>
              <w:bottom w:val="single" w:color="auto" w:sz="12" w:space="0"/>
              <w:right w:val="single" w:color="auto" w:sz="4" w:space="0"/>
            </w:tcBorders>
            <w:noWrap w:val="0"/>
            <w:vAlign w:val="top"/>
          </w:tcPr>
          <w:p w14:paraId="5005E54D">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r>
              <w:rPr>
                <w:rFonts w:hint="default" w:ascii="Times New Roman" w:hAnsi="Times New Roman" w:cs="Times New Roman"/>
                <w:color w:val="000000"/>
                <w:sz w:val="22"/>
                <w:szCs w:val="24"/>
                <w:highlight w:val="none"/>
              </w:rPr>
              <w:t>149</w:t>
            </w:r>
          </w:p>
        </w:tc>
        <w:tc>
          <w:tcPr>
            <w:tcW w:w="1928" w:type="dxa"/>
            <w:tcBorders>
              <w:top w:val="single" w:color="auto" w:sz="4" w:space="0"/>
              <w:left w:val="single" w:color="auto" w:sz="4" w:space="0"/>
              <w:bottom w:val="single" w:color="auto" w:sz="12" w:space="0"/>
              <w:right w:val="single" w:color="auto" w:sz="12" w:space="0"/>
            </w:tcBorders>
            <w:noWrap w:val="0"/>
            <w:vAlign w:val="top"/>
          </w:tcPr>
          <w:p w14:paraId="678C0832">
            <w:pPr>
              <w:keepNext w:val="0"/>
              <w:keepLines w:val="0"/>
              <w:pageBreakBefore w:val="0"/>
              <w:kinsoku/>
              <w:wordWrap/>
              <w:overflowPunct/>
              <w:topLinePunct w:val="0"/>
              <w:autoSpaceDE/>
              <w:autoSpaceDN/>
              <w:bidi w:val="0"/>
              <w:snapToGrid/>
              <w:spacing w:beforeLines="0" w:afterLines="0" w:line="240" w:lineRule="auto"/>
              <w:jc w:val="center"/>
              <w:rPr>
                <w:rFonts w:hint="default" w:ascii="Times New Roman" w:hAnsi="Times New Roman" w:cs="Times New Roman"/>
                <w:color w:val="000000"/>
                <w:sz w:val="22"/>
                <w:szCs w:val="24"/>
                <w:highlight w:val="none"/>
              </w:rPr>
            </w:pPr>
          </w:p>
        </w:tc>
      </w:tr>
    </w:tbl>
    <w:p w14:paraId="46DD55D9">
      <w:pPr>
        <w:rPr>
          <w:rFonts w:hint="default" w:ascii="Times New Roman" w:hAnsi="Times New Roman" w:cs="Times New Roman"/>
          <w:highlight w:val="none"/>
        </w:rPr>
      </w:pPr>
    </w:p>
    <w:p w14:paraId="5972B79A">
      <w:pPr>
        <w:jc w:val="center"/>
        <w:rPr>
          <w:rFonts w:hint="default" w:ascii="Times New Roman" w:hAnsi="Times New Roman" w:eastAsia="宋体" w:cs="Times New Roman"/>
          <w:highlight w:val="none"/>
          <w:lang w:val="en-US" w:eastAsia="zh-CN"/>
        </w:rPr>
      </w:pPr>
      <w:r>
        <w:rPr>
          <w:rFonts w:hint="default" w:ascii="Times New Roman" w:hAnsi="Times New Roman" w:cs="Times New Roman"/>
          <w:highlight w:val="none"/>
        </w:rPr>
        <w:drawing>
          <wp:inline distT="0" distB="0" distL="114300" distR="114300">
            <wp:extent cx="5285740" cy="2307590"/>
            <wp:effectExtent l="4445" t="4445" r="5715" b="1206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82B2DB0">
      <w:pPr>
        <w:adjustRightInd/>
        <w:spacing w:line="360" w:lineRule="auto"/>
        <w:jc w:val="center"/>
        <w:textAlignment w:val="auto"/>
        <w:rPr>
          <w:rFonts w:hint="default" w:ascii="Times New Roman" w:hAnsi="Times New Roman" w:cs="Times New Roman"/>
          <w:kern w:val="2"/>
          <w:sz w:val="24"/>
          <w:szCs w:val="24"/>
          <w:highlight w:val="none"/>
        </w:rPr>
      </w:pPr>
      <w:r>
        <w:rPr>
          <w:rFonts w:hint="default" w:ascii="Times New Roman" w:hAnsi="Times New Roman" w:cs="Times New Roman"/>
          <w:kern w:val="2"/>
          <w:sz w:val="24"/>
          <w:szCs w:val="24"/>
          <w:highlight w:val="none"/>
        </w:rPr>
        <w:t>图1</w:t>
      </w:r>
      <w:r>
        <w:rPr>
          <w:rFonts w:hint="default" w:ascii="Times New Roman" w:hAnsi="Times New Roman" w:cs="Times New Roman"/>
          <w:kern w:val="2"/>
          <w:sz w:val="24"/>
          <w:szCs w:val="24"/>
          <w:highlight w:val="none"/>
          <w:lang w:val="en-US" w:eastAsia="zh-CN"/>
        </w:rPr>
        <w:t xml:space="preserve">  </w:t>
      </w:r>
      <w:r>
        <w:rPr>
          <w:rFonts w:hint="default" w:ascii="Times New Roman" w:hAnsi="Times New Roman" w:cs="Times New Roman"/>
          <w:kern w:val="2"/>
          <w:sz w:val="24"/>
          <w:szCs w:val="24"/>
          <w:highlight w:val="none"/>
        </w:rPr>
        <w:t xml:space="preserve">T2   O60 </w:t>
      </w:r>
      <w:r>
        <w:rPr>
          <w:rFonts w:hint="default" w:ascii="Times New Roman" w:hAnsi="Times New Roman" w:cs="Times New Roman"/>
          <w:sz w:val="24"/>
          <w:szCs w:val="20"/>
          <w:highlight w:val="none"/>
          <w:lang w:val="en-US" w:eastAsia="zh-CN"/>
        </w:rPr>
        <w:t>抗拉强度</w:t>
      </w:r>
      <w:r>
        <w:rPr>
          <w:rFonts w:hint="default" w:ascii="Times New Roman" w:hAnsi="Times New Roman" w:cs="Times New Roman"/>
          <w:kern w:val="2"/>
          <w:sz w:val="24"/>
          <w:szCs w:val="24"/>
          <w:highlight w:val="none"/>
        </w:rPr>
        <w:t xml:space="preserve"> 分布直方图</w:t>
      </w:r>
    </w:p>
    <w:p w14:paraId="3E543304">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由图表可知，性能检测</w:t>
      </w:r>
      <w:r>
        <w:rPr>
          <w:rFonts w:hint="eastAsia" w:ascii="宋体" w:hAnsi="宋体" w:eastAsia="宋体" w:cs="宋体"/>
          <w:kern w:val="2"/>
          <w:sz w:val="24"/>
          <w:szCs w:val="24"/>
          <w:highlight w:val="none"/>
          <w:lang w:val="en-US" w:eastAsia="zh-CN"/>
        </w:rPr>
        <w:t>149</w:t>
      </w:r>
      <w:r>
        <w:rPr>
          <w:rFonts w:hint="eastAsia" w:ascii="宋体" w:hAnsi="宋体" w:eastAsia="宋体" w:cs="宋体"/>
          <w:kern w:val="2"/>
          <w:sz w:val="24"/>
          <w:szCs w:val="24"/>
          <w:highlight w:val="none"/>
        </w:rPr>
        <w:t>项，实际抗拉强度Rm全部在</w:t>
      </w:r>
      <w:r>
        <w:rPr>
          <w:rFonts w:hint="eastAsia" w:ascii="宋体" w:hAnsi="宋体" w:eastAsia="宋体" w:cs="宋体"/>
          <w:kern w:val="2"/>
          <w:sz w:val="24"/>
          <w:szCs w:val="24"/>
          <w:highlight w:val="none"/>
          <w:lang w:val="en-US" w:eastAsia="zh-CN"/>
        </w:rPr>
        <w:t>195</w:t>
      </w:r>
      <w:r>
        <w:rPr>
          <w:rFonts w:hint="eastAsia" w:ascii="宋体" w:hAnsi="宋体" w:eastAsia="宋体" w:cs="宋体"/>
          <w:kern w:val="2"/>
          <w:sz w:val="24"/>
          <w:szCs w:val="24"/>
          <w:highlight w:val="none"/>
        </w:rPr>
        <w:t>MPa以上。该产品技术指标：该产品技术指标：抗拉强度Rm≥205MPa,指标在此范围内的达到9</w:t>
      </w:r>
      <w:r>
        <w:rPr>
          <w:rFonts w:hint="eastAsia" w:ascii="宋体" w:hAnsi="宋体" w:eastAsia="宋体" w:cs="宋体"/>
          <w:kern w:val="2"/>
          <w:sz w:val="24"/>
          <w:szCs w:val="24"/>
          <w:highlight w:val="none"/>
          <w:lang w:val="en-US" w:eastAsia="zh-CN"/>
        </w:rPr>
        <w:t>2.62</w:t>
      </w:r>
      <w:r>
        <w:rPr>
          <w:rFonts w:hint="eastAsia" w:ascii="宋体" w:hAnsi="宋体" w:eastAsia="宋体" w:cs="宋体"/>
          <w:kern w:val="2"/>
          <w:sz w:val="24"/>
          <w:szCs w:val="24"/>
          <w:highlight w:val="none"/>
        </w:rPr>
        <w:t>%，产品工艺成熟，指标制定合理。</w:t>
      </w:r>
    </w:p>
    <w:p w14:paraId="51E7B7DD">
      <w:pPr>
        <w:keepNext w:val="0"/>
        <w:keepLines w:val="0"/>
        <w:pageBreakBefore w:val="0"/>
        <w:widowControl/>
        <w:numPr>
          <w:ilvl w:val="0"/>
          <w:numId w:val="3"/>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lang w:val="en-US" w:eastAsia="zh-CN"/>
        </w:rPr>
      </w:pPr>
      <w:r>
        <w:rPr>
          <w:rFonts w:hint="eastAsia" w:ascii="宋体" w:hAnsi="宋体" w:eastAsia="宋体" w:cs="宋体"/>
          <w:kern w:val="2"/>
          <w:sz w:val="24"/>
          <w:szCs w:val="24"/>
          <w:highlight w:val="none"/>
        </w:rPr>
        <w:t xml:space="preserve">T2   O60 </w:t>
      </w:r>
      <w:r>
        <w:rPr>
          <w:rFonts w:hint="eastAsia" w:ascii="宋体" w:hAnsi="宋体" w:eastAsia="宋体" w:cs="宋体"/>
          <w:kern w:val="2"/>
          <w:sz w:val="24"/>
          <w:szCs w:val="24"/>
          <w:highlight w:val="none"/>
          <w:lang w:val="en-US" w:eastAsia="zh-CN"/>
        </w:rPr>
        <w:t>屈服</w:t>
      </w:r>
      <w:r>
        <w:rPr>
          <w:rFonts w:hint="eastAsia" w:ascii="宋体" w:hAnsi="宋体" w:eastAsia="宋体" w:cs="宋体"/>
          <w:kern w:val="2"/>
          <w:sz w:val="24"/>
          <w:szCs w:val="24"/>
          <w:highlight w:val="none"/>
        </w:rPr>
        <w:t>强度</w:t>
      </w:r>
      <w:r>
        <w:rPr>
          <w:rFonts w:hint="eastAsia" w:ascii="宋体" w:hAnsi="宋体" w:eastAsia="宋体" w:cs="宋体"/>
          <w:kern w:val="2"/>
          <w:sz w:val="24"/>
          <w:szCs w:val="24"/>
          <w:highlight w:val="none"/>
          <w:lang w:val="en-US" w:eastAsia="zh-CN"/>
        </w:rPr>
        <w:t>Rp0.2</w:t>
      </w:r>
      <w:r>
        <w:rPr>
          <w:rFonts w:hint="eastAsia" w:ascii="宋体" w:hAnsi="宋体" w:eastAsia="宋体" w:cs="宋体"/>
          <w:kern w:val="2"/>
          <w:sz w:val="24"/>
          <w:szCs w:val="24"/>
          <w:highlight w:val="none"/>
        </w:rPr>
        <w:t>检测实测统计如表1</w:t>
      </w:r>
      <w:r>
        <w:rPr>
          <w:rFonts w:hint="eastAsia" w:ascii="宋体" w:hAnsi="宋体" w:eastAsia="宋体" w:cs="宋体"/>
          <w:kern w:val="2"/>
          <w:sz w:val="24"/>
          <w:szCs w:val="24"/>
          <w:highlight w:val="none"/>
          <w:lang w:val="en-US" w:eastAsia="zh-CN"/>
        </w:rPr>
        <w:t>5</w:t>
      </w:r>
    </w:p>
    <w:p w14:paraId="191178FF">
      <w:pPr>
        <w:keepNext w:val="0"/>
        <w:keepLines w:val="0"/>
        <w:pageBreakBefore w:val="0"/>
        <w:widowControl/>
        <w:numPr>
          <w:ilvl w:val="0"/>
          <w:numId w:val="3"/>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lang w:val="en-US" w:eastAsia="zh-CN"/>
        </w:rPr>
      </w:pPr>
    </w:p>
    <w:p w14:paraId="4E48051D">
      <w:pPr>
        <w:keepNext w:val="0"/>
        <w:keepLines w:val="0"/>
        <w:pageBreakBefore w:val="0"/>
        <w:tabs>
          <w:tab w:val="left" w:pos="2946"/>
          <w:tab w:val="center" w:pos="4212"/>
        </w:tabs>
        <w:kinsoku/>
        <w:wordWrap/>
        <w:overflowPunct/>
        <w:topLinePunct w:val="0"/>
        <w:autoSpaceDE/>
        <w:autoSpaceDN/>
        <w:bidi w:val="0"/>
        <w:snapToGrid/>
        <w:spacing w:line="360" w:lineRule="auto"/>
        <w:jc w:val="center"/>
        <w:rPr>
          <w:rFonts w:hint="eastAsia" w:ascii="宋体" w:hAnsi="宋体" w:eastAsia="宋体" w:cs="宋体"/>
          <w:sz w:val="24"/>
          <w:szCs w:val="20"/>
          <w:highlight w:val="none"/>
        </w:rPr>
      </w:pPr>
      <w:r>
        <w:rPr>
          <w:rFonts w:hint="eastAsia" w:ascii="宋体" w:hAnsi="宋体" w:eastAsia="宋体" w:cs="宋体"/>
          <w:sz w:val="24"/>
          <w:szCs w:val="20"/>
          <w:highlight w:val="none"/>
          <w:lang w:val="en-US" w:eastAsia="zh-CN"/>
        </w:rPr>
        <w:t>表15  T2   060  屈服强度 频数和频率分布表</w:t>
      </w:r>
    </w:p>
    <w:tbl>
      <w:tblPr>
        <w:tblStyle w:val="21"/>
        <w:tblW w:w="953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405"/>
        <w:gridCol w:w="2302"/>
        <w:gridCol w:w="2029"/>
        <w:gridCol w:w="1833"/>
        <w:gridCol w:w="1968"/>
      </w:tblGrid>
      <w:tr w14:paraId="0108044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8" w:hRule="atLeast"/>
          <w:jc w:val="center"/>
        </w:trPr>
        <w:tc>
          <w:tcPr>
            <w:tcW w:w="1405" w:type="dxa"/>
            <w:tcBorders>
              <w:tl2br w:val="nil"/>
              <w:tr2bl w:val="nil"/>
            </w:tcBorders>
            <w:shd w:val="clear" w:color="auto" w:fill="auto"/>
            <w:noWrap/>
            <w:vAlign w:val="center"/>
          </w:tcPr>
          <w:p w14:paraId="1155D74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组号</w:t>
            </w:r>
          </w:p>
        </w:tc>
        <w:tc>
          <w:tcPr>
            <w:tcW w:w="2302" w:type="dxa"/>
            <w:tcBorders>
              <w:tl2br w:val="nil"/>
              <w:tr2bl w:val="nil"/>
            </w:tcBorders>
            <w:shd w:val="clear" w:color="auto" w:fill="auto"/>
            <w:noWrap/>
            <w:vAlign w:val="center"/>
          </w:tcPr>
          <w:p w14:paraId="50AE023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区间</w:t>
            </w:r>
          </w:p>
        </w:tc>
        <w:tc>
          <w:tcPr>
            <w:tcW w:w="2029" w:type="dxa"/>
            <w:tcBorders>
              <w:tl2br w:val="nil"/>
              <w:tr2bl w:val="nil"/>
            </w:tcBorders>
            <w:shd w:val="clear" w:color="auto" w:fill="auto"/>
            <w:noWrap/>
            <w:vAlign w:val="center"/>
          </w:tcPr>
          <w:p w14:paraId="4CA56A2D">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组中值X’i</w:t>
            </w:r>
          </w:p>
        </w:tc>
        <w:tc>
          <w:tcPr>
            <w:tcW w:w="1833" w:type="dxa"/>
            <w:tcBorders>
              <w:tl2br w:val="nil"/>
              <w:tr2bl w:val="nil"/>
            </w:tcBorders>
            <w:shd w:val="clear" w:color="auto" w:fill="auto"/>
            <w:noWrap/>
            <w:vAlign w:val="center"/>
          </w:tcPr>
          <w:p w14:paraId="30207AF6">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Style w:val="38"/>
                <w:rFonts w:hint="default" w:ascii="Times New Roman" w:hAnsi="Times New Roman" w:cs="Times New Roman"/>
                <w:highlight w:val="none"/>
                <w:lang w:val="en-US" w:eastAsia="zh-CN" w:bidi="ar"/>
              </w:rPr>
              <w:t>频数n</w:t>
            </w:r>
            <w:r>
              <w:rPr>
                <w:rStyle w:val="41"/>
                <w:rFonts w:hint="default" w:ascii="Times New Roman" w:hAnsi="Times New Roman" w:cs="Times New Roman"/>
                <w:highlight w:val="none"/>
                <w:lang w:val="en-US" w:eastAsia="zh-CN" w:bidi="ar"/>
              </w:rPr>
              <w:t>i</w:t>
            </w:r>
          </w:p>
        </w:tc>
        <w:tc>
          <w:tcPr>
            <w:tcW w:w="1968" w:type="dxa"/>
            <w:tcBorders>
              <w:tl2br w:val="nil"/>
              <w:tr2bl w:val="nil"/>
            </w:tcBorders>
            <w:shd w:val="clear" w:color="auto" w:fill="auto"/>
            <w:noWrap/>
            <w:vAlign w:val="center"/>
          </w:tcPr>
          <w:p w14:paraId="4F4F071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Style w:val="38"/>
                <w:rFonts w:hint="default" w:ascii="Times New Roman" w:hAnsi="Times New Roman" w:cs="Times New Roman"/>
                <w:highlight w:val="none"/>
                <w:lang w:val="en-US" w:eastAsia="zh-CN" w:bidi="ar"/>
              </w:rPr>
              <w:t>频率f</w:t>
            </w:r>
            <w:r>
              <w:rPr>
                <w:rStyle w:val="41"/>
                <w:rFonts w:hint="default" w:ascii="Times New Roman" w:hAnsi="Times New Roman" w:cs="Times New Roman"/>
                <w:highlight w:val="none"/>
                <w:lang w:val="en-US" w:eastAsia="zh-CN" w:bidi="ar"/>
              </w:rPr>
              <w:t>i</w:t>
            </w:r>
          </w:p>
        </w:tc>
      </w:tr>
      <w:tr w14:paraId="17DA44E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shd w:val="clear" w:color="auto" w:fill="auto"/>
            <w:noWrap/>
            <w:vAlign w:val="center"/>
          </w:tcPr>
          <w:p w14:paraId="01A18FF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0" w:type="auto"/>
            <w:tcBorders>
              <w:tl2br w:val="nil"/>
              <w:tr2bl w:val="nil"/>
            </w:tcBorders>
            <w:shd w:val="clear" w:color="auto" w:fill="auto"/>
            <w:noWrap/>
            <w:vAlign w:val="center"/>
          </w:tcPr>
          <w:p w14:paraId="7F15030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[75</w:t>
            </w:r>
            <w:r>
              <w:rPr>
                <w:rStyle w:val="42"/>
                <w:rFonts w:hint="default" w:ascii="Times New Roman" w:hAnsi="Times New Roman" w:cs="Times New Roman"/>
                <w:highlight w:val="none"/>
                <w:lang w:val="en-US" w:eastAsia="zh-CN" w:bidi="ar"/>
              </w:rPr>
              <w:t>-80</w:t>
            </w:r>
            <w:r>
              <w:rPr>
                <w:rStyle w:val="38"/>
                <w:rFonts w:hint="default" w:ascii="Times New Roman" w:hAnsi="Times New Roman" w:cs="Times New Roman"/>
                <w:highlight w:val="none"/>
                <w:lang w:val="en-US" w:eastAsia="zh-CN" w:bidi="ar"/>
              </w:rPr>
              <w:t>]</w:t>
            </w:r>
          </w:p>
        </w:tc>
        <w:tc>
          <w:tcPr>
            <w:tcW w:w="0" w:type="auto"/>
            <w:tcBorders>
              <w:tl2br w:val="nil"/>
              <w:tr2bl w:val="nil"/>
            </w:tcBorders>
            <w:shd w:val="clear" w:color="auto" w:fill="auto"/>
            <w:noWrap/>
            <w:vAlign w:val="center"/>
          </w:tcPr>
          <w:p w14:paraId="2B7B93F1">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77.5</w:t>
            </w:r>
          </w:p>
        </w:tc>
        <w:tc>
          <w:tcPr>
            <w:tcW w:w="0" w:type="auto"/>
            <w:tcBorders>
              <w:tl2br w:val="nil"/>
              <w:tr2bl w:val="nil"/>
            </w:tcBorders>
            <w:shd w:val="clear" w:color="auto" w:fill="auto"/>
            <w:noWrap/>
            <w:vAlign w:val="center"/>
          </w:tcPr>
          <w:p w14:paraId="265FA60D">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0" w:type="auto"/>
            <w:tcBorders>
              <w:tl2br w:val="nil"/>
              <w:tr2bl w:val="nil"/>
            </w:tcBorders>
            <w:shd w:val="clear" w:color="auto" w:fill="auto"/>
            <w:noWrap/>
            <w:vAlign w:val="center"/>
          </w:tcPr>
          <w:p w14:paraId="76ADC58F">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2.68%</w:t>
            </w:r>
          </w:p>
        </w:tc>
      </w:tr>
      <w:tr w14:paraId="1AEE63B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shd w:val="clear" w:color="auto" w:fill="auto"/>
            <w:noWrap/>
            <w:vAlign w:val="center"/>
          </w:tcPr>
          <w:p w14:paraId="24A81B94">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0" w:type="auto"/>
            <w:tcBorders>
              <w:tl2br w:val="nil"/>
              <w:tr2bl w:val="nil"/>
            </w:tcBorders>
            <w:shd w:val="clear" w:color="auto" w:fill="auto"/>
            <w:noWrap/>
            <w:vAlign w:val="center"/>
          </w:tcPr>
          <w:p w14:paraId="12455A3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[80</w:t>
            </w:r>
            <w:r>
              <w:rPr>
                <w:rStyle w:val="42"/>
                <w:rFonts w:hint="default" w:ascii="Times New Roman" w:hAnsi="Times New Roman" w:cs="Times New Roman"/>
                <w:highlight w:val="none"/>
                <w:lang w:val="en-US" w:eastAsia="zh-CN" w:bidi="ar"/>
              </w:rPr>
              <w:t>-85</w:t>
            </w:r>
            <w:r>
              <w:rPr>
                <w:rStyle w:val="38"/>
                <w:rFonts w:hint="default" w:ascii="Times New Roman" w:hAnsi="Times New Roman" w:cs="Times New Roman"/>
                <w:highlight w:val="none"/>
                <w:lang w:val="en-US" w:eastAsia="zh-CN" w:bidi="ar"/>
              </w:rPr>
              <w:t>]</w:t>
            </w:r>
          </w:p>
        </w:tc>
        <w:tc>
          <w:tcPr>
            <w:tcW w:w="0" w:type="auto"/>
            <w:tcBorders>
              <w:tl2br w:val="nil"/>
              <w:tr2bl w:val="nil"/>
            </w:tcBorders>
            <w:shd w:val="clear" w:color="auto" w:fill="auto"/>
            <w:noWrap/>
            <w:vAlign w:val="center"/>
          </w:tcPr>
          <w:p w14:paraId="56D3782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82.5</w:t>
            </w:r>
          </w:p>
        </w:tc>
        <w:tc>
          <w:tcPr>
            <w:tcW w:w="0" w:type="auto"/>
            <w:tcBorders>
              <w:tl2br w:val="nil"/>
              <w:tr2bl w:val="nil"/>
            </w:tcBorders>
            <w:shd w:val="clear" w:color="auto" w:fill="auto"/>
            <w:noWrap/>
            <w:vAlign w:val="center"/>
          </w:tcPr>
          <w:p w14:paraId="235B15D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0" w:type="auto"/>
            <w:tcBorders>
              <w:tl2br w:val="nil"/>
              <w:tr2bl w:val="nil"/>
            </w:tcBorders>
            <w:shd w:val="clear" w:color="auto" w:fill="auto"/>
            <w:noWrap/>
            <w:vAlign w:val="center"/>
          </w:tcPr>
          <w:p w14:paraId="7F55F06B">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0.67%</w:t>
            </w:r>
          </w:p>
        </w:tc>
      </w:tr>
      <w:tr w14:paraId="4427899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shd w:val="clear" w:color="auto" w:fill="auto"/>
            <w:noWrap/>
            <w:vAlign w:val="center"/>
          </w:tcPr>
          <w:p w14:paraId="31700CC6">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0" w:type="auto"/>
            <w:tcBorders>
              <w:tl2br w:val="nil"/>
              <w:tr2bl w:val="nil"/>
            </w:tcBorders>
            <w:shd w:val="clear" w:color="auto" w:fill="auto"/>
            <w:noWrap/>
            <w:vAlign w:val="center"/>
          </w:tcPr>
          <w:p w14:paraId="4F50855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[85</w:t>
            </w:r>
            <w:r>
              <w:rPr>
                <w:rStyle w:val="42"/>
                <w:rFonts w:hint="default" w:ascii="Times New Roman" w:hAnsi="Times New Roman" w:cs="Times New Roman"/>
                <w:highlight w:val="none"/>
                <w:lang w:val="en-US" w:eastAsia="zh-CN" w:bidi="ar"/>
              </w:rPr>
              <w:t>-90</w:t>
            </w:r>
            <w:r>
              <w:rPr>
                <w:rStyle w:val="38"/>
                <w:rFonts w:hint="default" w:ascii="Times New Roman" w:hAnsi="Times New Roman" w:cs="Times New Roman"/>
                <w:highlight w:val="none"/>
                <w:lang w:val="en-US" w:eastAsia="zh-CN" w:bidi="ar"/>
              </w:rPr>
              <w:t>]</w:t>
            </w:r>
          </w:p>
        </w:tc>
        <w:tc>
          <w:tcPr>
            <w:tcW w:w="0" w:type="auto"/>
            <w:tcBorders>
              <w:tl2br w:val="nil"/>
              <w:tr2bl w:val="nil"/>
            </w:tcBorders>
            <w:shd w:val="clear" w:color="auto" w:fill="auto"/>
            <w:noWrap/>
            <w:vAlign w:val="center"/>
          </w:tcPr>
          <w:p w14:paraId="5AEDC80B">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87.5</w:t>
            </w:r>
          </w:p>
        </w:tc>
        <w:tc>
          <w:tcPr>
            <w:tcW w:w="0" w:type="auto"/>
            <w:tcBorders>
              <w:tl2br w:val="nil"/>
              <w:tr2bl w:val="nil"/>
            </w:tcBorders>
            <w:shd w:val="clear" w:color="auto" w:fill="auto"/>
            <w:noWrap/>
            <w:vAlign w:val="center"/>
          </w:tcPr>
          <w:p w14:paraId="3995B0A4">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39</w:t>
            </w:r>
          </w:p>
        </w:tc>
        <w:tc>
          <w:tcPr>
            <w:tcW w:w="0" w:type="auto"/>
            <w:tcBorders>
              <w:tl2br w:val="nil"/>
              <w:tr2bl w:val="nil"/>
            </w:tcBorders>
            <w:shd w:val="clear" w:color="auto" w:fill="auto"/>
            <w:noWrap/>
            <w:vAlign w:val="center"/>
          </w:tcPr>
          <w:p w14:paraId="49C3625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26.17%</w:t>
            </w:r>
          </w:p>
        </w:tc>
      </w:tr>
      <w:tr w14:paraId="437E8C2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shd w:val="clear" w:color="auto" w:fill="auto"/>
            <w:noWrap/>
            <w:vAlign w:val="center"/>
          </w:tcPr>
          <w:p w14:paraId="098AB17C">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0" w:type="auto"/>
            <w:tcBorders>
              <w:tl2br w:val="nil"/>
              <w:tr2bl w:val="nil"/>
            </w:tcBorders>
            <w:shd w:val="clear" w:color="auto" w:fill="auto"/>
            <w:noWrap/>
            <w:vAlign w:val="center"/>
          </w:tcPr>
          <w:p w14:paraId="38F81A8F">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[90</w:t>
            </w:r>
            <w:r>
              <w:rPr>
                <w:rStyle w:val="42"/>
                <w:rFonts w:hint="default" w:ascii="Times New Roman" w:hAnsi="Times New Roman" w:cs="Times New Roman"/>
                <w:highlight w:val="none"/>
                <w:lang w:val="en-US" w:eastAsia="zh-CN" w:bidi="ar"/>
              </w:rPr>
              <w:t>-95</w:t>
            </w:r>
            <w:r>
              <w:rPr>
                <w:rStyle w:val="38"/>
                <w:rFonts w:hint="default" w:ascii="Times New Roman" w:hAnsi="Times New Roman" w:cs="Times New Roman"/>
                <w:highlight w:val="none"/>
                <w:lang w:val="en-US" w:eastAsia="zh-CN" w:bidi="ar"/>
              </w:rPr>
              <w:t>]</w:t>
            </w:r>
          </w:p>
        </w:tc>
        <w:tc>
          <w:tcPr>
            <w:tcW w:w="0" w:type="auto"/>
            <w:tcBorders>
              <w:tl2br w:val="nil"/>
              <w:tr2bl w:val="nil"/>
            </w:tcBorders>
            <w:shd w:val="clear" w:color="auto" w:fill="auto"/>
            <w:noWrap/>
            <w:vAlign w:val="center"/>
          </w:tcPr>
          <w:p w14:paraId="443790C6">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92.5</w:t>
            </w:r>
          </w:p>
        </w:tc>
        <w:tc>
          <w:tcPr>
            <w:tcW w:w="0" w:type="auto"/>
            <w:tcBorders>
              <w:tl2br w:val="nil"/>
              <w:tr2bl w:val="nil"/>
            </w:tcBorders>
            <w:shd w:val="clear" w:color="auto" w:fill="auto"/>
            <w:noWrap/>
            <w:vAlign w:val="center"/>
          </w:tcPr>
          <w:p w14:paraId="471EA1ED">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41</w:t>
            </w:r>
          </w:p>
        </w:tc>
        <w:tc>
          <w:tcPr>
            <w:tcW w:w="0" w:type="auto"/>
            <w:tcBorders>
              <w:tl2br w:val="nil"/>
              <w:tr2bl w:val="nil"/>
            </w:tcBorders>
            <w:shd w:val="clear" w:color="auto" w:fill="auto"/>
            <w:noWrap/>
            <w:vAlign w:val="center"/>
          </w:tcPr>
          <w:p w14:paraId="35A40A9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27.52%</w:t>
            </w:r>
          </w:p>
        </w:tc>
      </w:tr>
      <w:tr w14:paraId="63D4E28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54" w:hRule="atLeast"/>
          <w:jc w:val="center"/>
        </w:trPr>
        <w:tc>
          <w:tcPr>
            <w:tcW w:w="0" w:type="auto"/>
            <w:tcBorders>
              <w:tl2br w:val="nil"/>
              <w:tr2bl w:val="nil"/>
            </w:tcBorders>
            <w:shd w:val="clear" w:color="auto" w:fill="auto"/>
            <w:noWrap/>
            <w:vAlign w:val="center"/>
          </w:tcPr>
          <w:p w14:paraId="24A372C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0" w:type="auto"/>
            <w:tcBorders>
              <w:tl2br w:val="nil"/>
              <w:tr2bl w:val="nil"/>
            </w:tcBorders>
            <w:shd w:val="clear" w:color="auto" w:fill="auto"/>
            <w:noWrap/>
            <w:vAlign w:val="center"/>
          </w:tcPr>
          <w:p w14:paraId="1ECAD1B4">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[95</w:t>
            </w:r>
            <w:r>
              <w:rPr>
                <w:rStyle w:val="42"/>
                <w:rFonts w:hint="default" w:ascii="Times New Roman" w:hAnsi="Times New Roman" w:cs="Times New Roman"/>
                <w:highlight w:val="none"/>
                <w:lang w:val="en-US" w:eastAsia="zh-CN" w:bidi="ar"/>
              </w:rPr>
              <w:t>-100</w:t>
            </w:r>
            <w:r>
              <w:rPr>
                <w:rStyle w:val="38"/>
                <w:rFonts w:hint="default" w:ascii="Times New Roman" w:hAnsi="Times New Roman" w:cs="Times New Roman"/>
                <w:highlight w:val="none"/>
                <w:lang w:val="en-US" w:eastAsia="zh-CN" w:bidi="ar"/>
              </w:rPr>
              <w:t>]</w:t>
            </w:r>
          </w:p>
        </w:tc>
        <w:tc>
          <w:tcPr>
            <w:tcW w:w="0" w:type="auto"/>
            <w:tcBorders>
              <w:tl2br w:val="nil"/>
              <w:tr2bl w:val="nil"/>
            </w:tcBorders>
            <w:shd w:val="clear" w:color="auto" w:fill="auto"/>
            <w:noWrap/>
            <w:vAlign w:val="center"/>
          </w:tcPr>
          <w:p w14:paraId="2C96A9E4">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97.5</w:t>
            </w:r>
          </w:p>
        </w:tc>
        <w:tc>
          <w:tcPr>
            <w:tcW w:w="0" w:type="auto"/>
            <w:tcBorders>
              <w:tl2br w:val="nil"/>
              <w:tr2bl w:val="nil"/>
            </w:tcBorders>
            <w:shd w:val="clear" w:color="auto" w:fill="auto"/>
            <w:noWrap/>
            <w:vAlign w:val="center"/>
          </w:tcPr>
          <w:p w14:paraId="5A4B04F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59</w:t>
            </w:r>
          </w:p>
        </w:tc>
        <w:tc>
          <w:tcPr>
            <w:tcW w:w="0" w:type="auto"/>
            <w:tcBorders>
              <w:tl2br w:val="nil"/>
              <w:tr2bl w:val="nil"/>
            </w:tcBorders>
            <w:shd w:val="clear" w:color="auto" w:fill="auto"/>
            <w:noWrap/>
            <w:vAlign w:val="center"/>
          </w:tcPr>
          <w:p w14:paraId="7B16ED4D">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39.60%</w:t>
            </w:r>
          </w:p>
        </w:tc>
      </w:tr>
      <w:tr w14:paraId="720AFBF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0" w:type="auto"/>
            <w:tcBorders>
              <w:tl2br w:val="nil"/>
              <w:tr2bl w:val="nil"/>
            </w:tcBorders>
            <w:shd w:val="clear" w:color="auto" w:fill="auto"/>
            <w:noWrap/>
            <w:vAlign w:val="center"/>
          </w:tcPr>
          <w:p w14:paraId="76BB3386">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w:t>
            </w:r>
          </w:p>
        </w:tc>
        <w:tc>
          <w:tcPr>
            <w:tcW w:w="0" w:type="auto"/>
            <w:tcBorders>
              <w:tl2br w:val="nil"/>
              <w:tr2bl w:val="nil"/>
            </w:tcBorders>
            <w:shd w:val="clear" w:color="auto" w:fill="auto"/>
            <w:noWrap/>
            <w:vAlign w:val="center"/>
          </w:tcPr>
          <w:p w14:paraId="0DFD8A0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w:t>
            </w:r>
            <w:r>
              <w:rPr>
                <w:rStyle w:val="42"/>
                <w:rFonts w:hint="default" w:ascii="Times New Roman" w:hAnsi="Times New Roman" w:cs="Times New Roman"/>
                <w:highlight w:val="none"/>
                <w:lang w:val="en-US" w:eastAsia="zh-CN" w:bidi="ar"/>
              </w:rPr>
              <w:t>-105</w:t>
            </w:r>
            <w:r>
              <w:rPr>
                <w:rStyle w:val="38"/>
                <w:rFonts w:hint="default" w:ascii="Times New Roman" w:hAnsi="Times New Roman" w:cs="Times New Roman"/>
                <w:highlight w:val="none"/>
                <w:lang w:val="en-US" w:eastAsia="zh-CN" w:bidi="ar"/>
              </w:rPr>
              <w:t>]</w:t>
            </w:r>
          </w:p>
        </w:tc>
        <w:tc>
          <w:tcPr>
            <w:tcW w:w="0" w:type="auto"/>
            <w:tcBorders>
              <w:tl2br w:val="nil"/>
              <w:tr2bl w:val="nil"/>
            </w:tcBorders>
            <w:shd w:val="clear" w:color="auto" w:fill="auto"/>
            <w:noWrap/>
            <w:vAlign w:val="center"/>
          </w:tcPr>
          <w:p w14:paraId="74678C2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102.5</w:t>
            </w:r>
          </w:p>
        </w:tc>
        <w:tc>
          <w:tcPr>
            <w:tcW w:w="0" w:type="auto"/>
            <w:tcBorders>
              <w:tl2br w:val="nil"/>
              <w:tr2bl w:val="nil"/>
            </w:tcBorders>
            <w:shd w:val="clear" w:color="auto" w:fill="auto"/>
            <w:noWrap/>
            <w:vAlign w:val="center"/>
          </w:tcPr>
          <w:p w14:paraId="02BC17B6">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0" w:type="auto"/>
            <w:tcBorders>
              <w:tl2br w:val="nil"/>
              <w:tr2bl w:val="nil"/>
            </w:tcBorders>
            <w:shd w:val="clear" w:color="auto" w:fill="auto"/>
            <w:noWrap/>
            <w:vAlign w:val="center"/>
          </w:tcPr>
          <w:p w14:paraId="3FD825E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3.36%</w:t>
            </w:r>
          </w:p>
        </w:tc>
      </w:tr>
      <w:tr w14:paraId="233E948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7" w:hRule="atLeast"/>
          <w:jc w:val="center"/>
        </w:trPr>
        <w:tc>
          <w:tcPr>
            <w:tcW w:w="0" w:type="auto"/>
            <w:tcBorders>
              <w:tl2br w:val="nil"/>
              <w:tr2bl w:val="nil"/>
            </w:tcBorders>
            <w:shd w:val="clear" w:color="auto" w:fill="auto"/>
            <w:noWrap/>
            <w:vAlign w:val="center"/>
          </w:tcPr>
          <w:p w14:paraId="3DFC95A4">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合计</w:t>
            </w:r>
          </w:p>
        </w:tc>
        <w:tc>
          <w:tcPr>
            <w:tcW w:w="0" w:type="auto"/>
            <w:tcBorders>
              <w:tl2br w:val="nil"/>
              <w:tr2bl w:val="nil"/>
            </w:tcBorders>
            <w:shd w:val="clear" w:color="auto" w:fill="auto"/>
            <w:noWrap/>
            <w:vAlign w:val="center"/>
          </w:tcPr>
          <w:p w14:paraId="31523F79">
            <w:pPr>
              <w:keepNext w:val="0"/>
              <w:keepLines w:val="0"/>
              <w:pageBreakBefore w:val="0"/>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0" w:type="auto"/>
            <w:tcBorders>
              <w:tl2br w:val="nil"/>
              <w:tr2bl w:val="nil"/>
            </w:tcBorders>
            <w:shd w:val="clear" w:color="auto" w:fill="auto"/>
            <w:noWrap/>
            <w:vAlign w:val="center"/>
          </w:tcPr>
          <w:p w14:paraId="23BB375A">
            <w:pPr>
              <w:keepNext w:val="0"/>
              <w:keepLines w:val="0"/>
              <w:pageBreakBefore w:val="0"/>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0" w:type="auto"/>
            <w:tcBorders>
              <w:tl2br w:val="nil"/>
              <w:tr2bl w:val="nil"/>
            </w:tcBorders>
            <w:shd w:val="clear" w:color="auto" w:fill="auto"/>
            <w:noWrap/>
            <w:vAlign w:val="center"/>
          </w:tcPr>
          <w:p w14:paraId="6C4F60DB">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149</w:t>
            </w:r>
          </w:p>
        </w:tc>
        <w:tc>
          <w:tcPr>
            <w:tcW w:w="0" w:type="auto"/>
            <w:tcBorders>
              <w:tl2br w:val="nil"/>
              <w:tr2bl w:val="nil"/>
            </w:tcBorders>
            <w:shd w:val="clear" w:color="auto" w:fill="auto"/>
            <w:noWrap/>
            <w:vAlign w:val="center"/>
          </w:tcPr>
          <w:p w14:paraId="6873407C">
            <w:pPr>
              <w:keepNext w:val="0"/>
              <w:keepLines w:val="0"/>
              <w:pageBreakBefore w:val="0"/>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r>
    </w:tbl>
    <w:p w14:paraId="5944F41B">
      <w:pPr>
        <w:jc w:val="both"/>
        <w:rPr>
          <w:rFonts w:hint="default" w:ascii="Times New Roman" w:hAnsi="Times New Roman" w:eastAsia="宋体" w:cs="Times New Roman"/>
          <w:highlight w:val="none"/>
          <w:lang w:val="en-US" w:eastAsia="zh-CN"/>
        </w:rPr>
      </w:pPr>
    </w:p>
    <w:p w14:paraId="336E7813">
      <w:pPr>
        <w:jc w:val="center"/>
        <w:rPr>
          <w:rFonts w:hint="default" w:ascii="Times New Roman" w:hAnsi="Times New Roman" w:eastAsia="宋体" w:cs="Times New Roman"/>
          <w:highlight w:val="none"/>
          <w:lang w:val="en-US" w:eastAsia="zh-CN"/>
        </w:rPr>
      </w:pPr>
      <w:r>
        <w:rPr>
          <w:rFonts w:hint="default" w:ascii="Times New Roman" w:hAnsi="Times New Roman" w:cs="Times New Roman"/>
          <w:highlight w:val="none"/>
        </w:rPr>
        <w:drawing>
          <wp:inline distT="0" distB="0" distL="114300" distR="114300">
            <wp:extent cx="5265420" cy="1963420"/>
            <wp:effectExtent l="4445" t="4445" r="6985" b="13335"/>
            <wp:docPr id="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80C35CE">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kern w:val="2"/>
          <w:sz w:val="24"/>
          <w:szCs w:val="24"/>
          <w:highlight w:val="none"/>
        </w:rPr>
      </w:pPr>
      <w:r>
        <w:rPr>
          <w:rFonts w:hint="default" w:ascii="Times New Roman" w:hAnsi="Times New Roman" w:cs="Times New Roman"/>
          <w:kern w:val="2"/>
          <w:sz w:val="24"/>
          <w:szCs w:val="24"/>
          <w:highlight w:val="none"/>
        </w:rPr>
        <w:t>图</w:t>
      </w:r>
      <w:r>
        <w:rPr>
          <w:rFonts w:hint="default" w:ascii="Times New Roman" w:hAnsi="Times New Roman" w:cs="Times New Roman"/>
          <w:kern w:val="2"/>
          <w:sz w:val="24"/>
          <w:szCs w:val="24"/>
          <w:highlight w:val="none"/>
          <w:lang w:val="en-US" w:eastAsia="zh-CN"/>
        </w:rPr>
        <w:t xml:space="preserve">2  </w:t>
      </w:r>
      <w:r>
        <w:rPr>
          <w:rFonts w:hint="default" w:ascii="Times New Roman" w:hAnsi="Times New Roman" w:cs="Times New Roman"/>
          <w:kern w:val="2"/>
          <w:sz w:val="24"/>
          <w:szCs w:val="24"/>
          <w:highlight w:val="none"/>
        </w:rPr>
        <w:t xml:space="preserve">T2   </w:t>
      </w:r>
      <w:r>
        <w:rPr>
          <w:rFonts w:hint="default" w:ascii="Times New Roman" w:hAnsi="Times New Roman" w:cs="Times New Roman"/>
          <w:kern w:val="2"/>
          <w:sz w:val="24"/>
          <w:szCs w:val="24"/>
          <w:highlight w:val="none"/>
          <w:lang w:val="en-US" w:eastAsia="zh-CN"/>
        </w:rPr>
        <w:t>0</w:t>
      </w:r>
      <w:r>
        <w:rPr>
          <w:rFonts w:hint="default" w:ascii="Times New Roman" w:hAnsi="Times New Roman" w:cs="Times New Roman"/>
          <w:kern w:val="2"/>
          <w:sz w:val="24"/>
          <w:szCs w:val="24"/>
          <w:highlight w:val="none"/>
        </w:rPr>
        <w:t xml:space="preserve">60 </w:t>
      </w:r>
      <w:r>
        <w:rPr>
          <w:rFonts w:hint="default" w:ascii="Times New Roman" w:hAnsi="Times New Roman" w:cs="Times New Roman"/>
          <w:kern w:val="2"/>
          <w:sz w:val="24"/>
          <w:szCs w:val="24"/>
          <w:highlight w:val="none"/>
          <w:lang w:val="en-US" w:eastAsia="zh-CN"/>
        </w:rPr>
        <w:t>屈服</w:t>
      </w:r>
      <w:r>
        <w:rPr>
          <w:rFonts w:hint="default" w:ascii="Times New Roman" w:hAnsi="Times New Roman" w:cs="Times New Roman"/>
          <w:sz w:val="24"/>
          <w:szCs w:val="20"/>
          <w:highlight w:val="none"/>
          <w:lang w:val="en-US" w:eastAsia="zh-CN"/>
        </w:rPr>
        <w:t>强度</w:t>
      </w:r>
      <w:r>
        <w:rPr>
          <w:rFonts w:hint="default" w:ascii="Times New Roman" w:hAnsi="Times New Roman" w:cs="Times New Roman"/>
          <w:kern w:val="2"/>
          <w:sz w:val="24"/>
          <w:szCs w:val="24"/>
          <w:highlight w:val="none"/>
        </w:rPr>
        <w:t xml:space="preserve"> 分布直方图</w:t>
      </w:r>
    </w:p>
    <w:p w14:paraId="34FA99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kern w:val="2"/>
          <w:sz w:val="24"/>
          <w:szCs w:val="24"/>
          <w:highlight w:val="none"/>
          <w:lang w:val="en-US" w:eastAsia="zh-CN"/>
        </w:rPr>
      </w:pPr>
      <w:r>
        <w:rPr>
          <w:rFonts w:hint="eastAsia" w:ascii="宋体" w:hAnsi="宋体" w:cs="宋体"/>
          <w:kern w:val="2"/>
          <w:sz w:val="24"/>
          <w:szCs w:val="24"/>
          <w:highlight w:val="none"/>
        </w:rPr>
        <w:t>由图表可知，性能检测</w:t>
      </w:r>
      <w:r>
        <w:rPr>
          <w:rFonts w:hint="eastAsia" w:ascii="宋体" w:hAnsi="宋体" w:cs="宋体"/>
          <w:kern w:val="2"/>
          <w:sz w:val="24"/>
          <w:szCs w:val="24"/>
          <w:highlight w:val="none"/>
          <w:lang w:val="en-US" w:eastAsia="zh-CN"/>
        </w:rPr>
        <w:t>149</w:t>
      </w:r>
      <w:r>
        <w:rPr>
          <w:rFonts w:hint="eastAsia" w:ascii="宋体" w:hAnsi="宋体" w:cs="宋体"/>
          <w:kern w:val="2"/>
          <w:sz w:val="24"/>
          <w:szCs w:val="24"/>
          <w:highlight w:val="none"/>
        </w:rPr>
        <w:t>项，实际</w:t>
      </w:r>
      <w:r>
        <w:rPr>
          <w:rFonts w:hint="eastAsia" w:ascii="宋体" w:hAnsi="宋体" w:cs="宋体"/>
          <w:kern w:val="2"/>
          <w:sz w:val="24"/>
          <w:szCs w:val="24"/>
          <w:highlight w:val="none"/>
          <w:lang w:val="en-US" w:eastAsia="zh-CN"/>
        </w:rPr>
        <w:t>屈服</w:t>
      </w:r>
      <w:r>
        <w:rPr>
          <w:rFonts w:hint="eastAsia" w:ascii="宋体" w:hAnsi="宋体" w:cs="宋体"/>
          <w:kern w:val="2"/>
          <w:sz w:val="24"/>
          <w:szCs w:val="24"/>
          <w:highlight w:val="none"/>
        </w:rPr>
        <w:t>强度</w:t>
      </w:r>
      <w:r>
        <w:rPr>
          <w:rFonts w:hint="eastAsia" w:ascii="宋体" w:hAnsi="宋体"/>
          <w:kern w:val="2"/>
          <w:sz w:val="24"/>
          <w:szCs w:val="24"/>
          <w:highlight w:val="none"/>
          <w:lang w:val="en-US" w:eastAsia="zh-CN"/>
        </w:rPr>
        <w:t>Rp0.2</w:t>
      </w:r>
      <w:r>
        <w:rPr>
          <w:rFonts w:hint="eastAsia" w:ascii="宋体" w:hAnsi="宋体" w:cs="宋体"/>
          <w:kern w:val="2"/>
          <w:sz w:val="24"/>
          <w:szCs w:val="24"/>
          <w:highlight w:val="none"/>
        </w:rPr>
        <w:t>全部在</w:t>
      </w:r>
      <w:r>
        <w:rPr>
          <w:rFonts w:hint="eastAsia" w:ascii="宋体" w:hAnsi="宋体" w:cs="宋体"/>
          <w:kern w:val="2"/>
          <w:sz w:val="24"/>
          <w:szCs w:val="24"/>
          <w:highlight w:val="none"/>
          <w:lang w:val="en-US" w:eastAsia="zh-CN"/>
        </w:rPr>
        <w:t>75</w:t>
      </w:r>
      <w:r>
        <w:rPr>
          <w:rFonts w:hint="eastAsia" w:ascii="宋体" w:hAnsi="宋体" w:cs="宋体"/>
          <w:kern w:val="2"/>
          <w:sz w:val="24"/>
          <w:szCs w:val="24"/>
          <w:highlight w:val="none"/>
        </w:rPr>
        <w:t>MPa以上。该产品技术指标：该产品技术指标：</w:t>
      </w:r>
      <w:r>
        <w:rPr>
          <w:rFonts w:hint="eastAsia" w:ascii="宋体" w:hAnsi="宋体" w:cs="宋体"/>
          <w:kern w:val="2"/>
          <w:sz w:val="24"/>
          <w:szCs w:val="24"/>
          <w:highlight w:val="none"/>
          <w:lang w:val="en-US" w:eastAsia="zh-CN"/>
        </w:rPr>
        <w:t>屈服</w:t>
      </w:r>
      <w:r>
        <w:rPr>
          <w:rFonts w:hint="eastAsia" w:ascii="宋体" w:hAnsi="宋体" w:cs="宋体"/>
          <w:kern w:val="2"/>
          <w:sz w:val="24"/>
          <w:szCs w:val="24"/>
          <w:highlight w:val="none"/>
        </w:rPr>
        <w:t>强度Rm≥</w:t>
      </w:r>
      <w:r>
        <w:rPr>
          <w:rFonts w:hint="eastAsia" w:ascii="宋体" w:hAnsi="宋体" w:cs="宋体"/>
          <w:kern w:val="2"/>
          <w:sz w:val="24"/>
          <w:szCs w:val="24"/>
          <w:highlight w:val="none"/>
          <w:lang w:val="en-US" w:eastAsia="zh-CN"/>
        </w:rPr>
        <w:t>85</w:t>
      </w:r>
      <w:r>
        <w:rPr>
          <w:rFonts w:hint="eastAsia" w:ascii="宋体" w:hAnsi="宋体" w:cs="宋体"/>
          <w:kern w:val="2"/>
          <w:sz w:val="24"/>
          <w:szCs w:val="24"/>
          <w:highlight w:val="none"/>
        </w:rPr>
        <w:t>MPa,指标在此范围内的达到9</w:t>
      </w:r>
      <w:r>
        <w:rPr>
          <w:rFonts w:hint="eastAsia" w:ascii="宋体" w:hAnsi="宋体" w:cs="宋体"/>
          <w:kern w:val="2"/>
          <w:sz w:val="24"/>
          <w:szCs w:val="24"/>
          <w:highlight w:val="none"/>
          <w:lang w:val="en-US" w:eastAsia="zh-CN"/>
        </w:rPr>
        <w:t>6.65</w:t>
      </w:r>
      <w:r>
        <w:rPr>
          <w:rFonts w:hint="eastAsia" w:ascii="宋体" w:hAnsi="宋体" w:cs="宋体"/>
          <w:kern w:val="2"/>
          <w:sz w:val="24"/>
          <w:szCs w:val="24"/>
          <w:highlight w:val="none"/>
        </w:rPr>
        <w:t>%，产品工艺成熟，指标制定合理。</w:t>
      </w:r>
    </w:p>
    <w:p w14:paraId="29A830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kern w:val="2"/>
          <w:sz w:val="24"/>
          <w:szCs w:val="24"/>
          <w:highlight w:val="none"/>
          <w:lang w:val="en-US" w:eastAsia="zh-CN"/>
        </w:rPr>
      </w:pPr>
      <w:r>
        <w:rPr>
          <w:rFonts w:hint="eastAsia" w:ascii="宋体" w:hAnsi="宋体"/>
          <w:kern w:val="2"/>
          <w:sz w:val="24"/>
          <w:szCs w:val="24"/>
          <w:highlight w:val="none"/>
          <w:lang w:val="en-US" w:eastAsia="zh-CN"/>
        </w:rPr>
        <w:t>3)</w:t>
      </w:r>
      <w:r>
        <w:rPr>
          <w:rFonts w:hint="eastAsia" w:ascii="宋体" w:hAnsi="宋体"/>
          <w:kern w:val="2"/>
          <w:sz w:val="24"/>
          <w:szCs w:val="24"/>
          <w:highlight w:val="none"/>
        </w:rPr>
        <w:t>T2   O60 断后伸长率A</w:t>
      </w:r>
      <w:r>
        <w:rPr>
          <w:rFonts w:hint="eastAsia" w:ascii="宋体" w:hAnsi="宋体"/>
          <w:kern w:val="2"/>
          <w:sz w:val="24"/>
          <w:szCs w:val="24"/>
          <w:highlight w:val="none"/>
          <w:vertAlign w:val="subscript"/>
        </w:rPr>
        <w:t>11.3</w:t>
      </w:r>
      <w:r>
        <w:rPr>
          <w:rFonts w:hint="eastAsia" w:ascii="宋体" w:hAnsi="宋体"/>
          <w:kern w:val="2"/>
          <w:sz w:val="24"/>
          <w:szCs w:val="24"/>
          <w:highlight w:val="none"/>
        </w:rPr>
        <w:t>（%）检测实测统计如表1</w:t>
      </w:r>
      <w:r>
        <w:rPr>
          <w:rFonts w:hint="eastAsia" w:ascii="宋体" w:hAnsi="宋体"/>
          <w:kern w:val="2"/>
          <w:sz w:val="24"/>
          <w:szCs w:val="24"/>
          <w:highlight w:val="none"/>
          <w:lang w:val="en-US" w:eastAsia="zh-CN"/>
        </w:rPr>
        <w:t>6</w:t>
      </w:r>
    </w:p>
    <w:p w14:paraId="5D94D45E">
      <w:pPr>
        <w:keepNext w:val="0"/>
        <w:keepLines w:val="0"/>
        <w:pageBreakBefore w:val="0"/>
        <w:tabs>
          <w:tab w:val="left" w:pos="2946"/>
          <w:tab w:val="center" w:pos="4212"/>
        </w:tabs>
        <w:kinsoku/>
        <w:wordWrap/>
        <w:overflowPunct/>
        <w:topLinePunct w:val="0"/>
        <w:autoSpaceDE/>
        <w:autoSpaceDN/>
        <w:bidi w:val="0"/>
        <w:snapToGrid/>
        <w:spacing w:line="360" w:lineRule="auto"/>
        <w:jc w:val="center"/>
        <w:rPr>
          <w:rFonts w:hint="default" w:ascii="Times New Roman" w:hAnsi="Times New Roman" w:cs="Times New Roman"/>
          <w:sz w:val="24"/>
          <w:szCs w:val="20"/>
          <w:highlight w:val="none"/>
        </w:rPr>
      </w:pPr>
      <w:r>
        <w:rPr>
          <w:rFonts w:hint="default" w:ascii="Times New Roman" w:hAnsi="Times New Roman" w:cs="Times New Roman"/>
          <w:sz w:val="24"/>
          <w:szCs w:val="20"/>
          <w:highlight w:val="none"/>
          <w:lang w:val="en-US" w:eastAsia="zh-CN"/>
        </w:rPr>
        <w:t>表</w:t>
      </w:r>
      <w:r>
        <w:rPr>
          <w:rFonts w:hint="eastAsia" w:cs="Times New Roman"/>
          <w:sz w:val="24"/>
          <w:szCs w:val="20"/>
          <w:highlight w:val="none"/>
          <w:lang w:val="en-US" w:eastAsia="zh-CN"/>
        </w:rPr>
        <w:t>16</w:t>
      </w:r>
      <w:r>
        <w:rPr>
          <w:rFonts w:hint="default" w:ascii="Times New Roman" w:hAnsi="Times New Roman" w:cs="Times New Roman"/>
          <w:sz w:val="24"/>
          <w:szCs w:val="20"/>
          <w:highlight w:val="none"/>
          <w:lang w:val="en-US" w:eastAsia="zh-CN"/>
        </w:rPr>
        <w:t xml:space="preserve">  T2   060  断后伸长率 频数和频率分布表</w:t>
      </w:r>
    </w:p>
    <w:tbl>
      <w:tblPr>
        <w:tblStyle w:val="21"/>
        <w:tblW w:w="909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338"/>
        <w:gridCol w:w="2196"/>
        <w:gridCol w:w="1935"/>
        <w:gridCol w:w="1749"/>
        <w:gridCol w:w="1879"/>
      </w:tblGrid>
      <w:tr w14:paraId="1965ED7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1338" w:type="dxa"/>
            <w:tcBorders>
              <w:tl2br w:val="nil"/>
              <w:tr2bl w:val="nil"/>
            </w:tcBorders>
            <w:shd w:val="clear" w:color="auto" w:fill="auto"/>
            <w:noWrap/>
            <w:vAlign w:val="center"/>
          </w:tcPr>
          <w:p w14:paraId="73BD22FF">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组号</w:t>
            </w:r>
          </w:p>
        </w:tc>
        <w:tc>
          <w:tcPr>
            <w:tcW w:w="2196" w:type="dxa"/>
            <w:tcBorders>
              <w:tl2br w:val="nil"/>
              <w:tr2bl w:val="nil"/>
            </w:tcBorders>
            <w:shd w:val="clear" w:color="auto" w:fill="auto"/>
            <w:noWrap/>
            <w:vAlign w:val="center"/>
          </w:tcPr>
          <w:p w14:paraId="777BE714">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区间</w:t>
            </w:r>
          </w:p>
        </w:tc>
        <w:tc>
          <w:tcPr>
            <w:tcW w:w="1935" w:type="dxa"/>
            <w:tcBorders>
              <w:tl2br w:val="nil"/>
              <w:tr2bl w:val="nil"/>
            </w:tcBorders>
            <w:shd w:val="clear" w:color="auto" w:fill="auto"/>
            <w:noWrap/>
            <w:vAlign w:val="center"/>
          </w:tcPr>
          <w:p w14:paraId="79C2B23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组中值X’i</w:t>
            </w:r>
          </w:p>
        </w:tc>
        <w:tc>
          <w:tcPr>
            <w:tcW w:w="1749" w:type="dxa"/>
            <w:tcBorders>
              <w:tl2br w:val="nil"/>
              <w:tr2bl w:val="nil"/>
            </w:tcBorders>
            <w:shd w:val="clear" w:color="auto" w:fill="auto"/>
            <w:noWrap/>
            <w:vAlign w:val="center"/>
          </w:tcPr>
          <w:p w14:paraId="35E7F5F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频数ni</w:t>
            </w:r>
          </w:p>
        </w:tc>
        <w:tc>
          <w:tcPr>
            <w:tcW w:w="1879" w:type="dxa"/>
            <w:tcBorders>
              <w:tl2br w:val="nil"/>
              <w:tr2bl w:val="nil"/>
            </w:tcBorders>
            <w:shd w:val="clear" w:color="auto" w:fill="auto"/>
            <w:noWrap/>
            <w:vAlign w:val="center"/>
          </w:tcPr>
          <w:p w14:paraId="567DE12B">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频率fi</w:t>
            </w:r>
          </w:p>
        </w:tc>
      </w:tr>
      <w:tr w14:paraId="190CAA4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jc w:val="center"/>
        </w:trPr>
        <w:tc>
          <w:tcPr>
            <w:tcW w:w="0" w:type="auto"/>
            <w:tcBorders>
              <w:tl2br w:val="nil"/>
              <w:tr2bl w:val="nil"/>
            </w:tcBorders>
            <w:shd w:val="clear" w:color="auto" w:fill="auto"/>
            <w:noWrap/>
            <w:vAlign w:val="center"/>
          </w:tcPr>
          <w:p w14:paraId="3B52379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0" w:type="auto"/>
            <w:tcBorders>
              <w:tl2br w:val="nil"/>
              <w:tr2bl w:val="nil"/>
            </w:tcBorders>
            <w:shd w:val="clear" w:color="auto" w:fill="auto"/>
            <w:noWrap/>
            <w:vAlign w:val="center"/>
          </w:tcPr>
          <w:p w14:paraId="06F3412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[25-30]</w:t>
            </w:r>
          </w:p>
        </w:tc>
        <w:tc>
          <w:tcPr>
            <w:tcW w:w="0" w:type="auto"/>
            <w:tcBorders>
              <w:tl2br w:val="nil"/>
              <w:tr2bl w:val="nil"/>
            </w:tcBorders>
            <w:shd w:val="clear" w:color="auto" w:fill="auto"/>
            <w:noWrap/>
            <w:vAlign w:val="center"/>
          </w:tcPr>
          <w:p w14:paraId="083D7E5E">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27.5</w:t>
            </w:r>
          </w:p>
        </w:tc>
        <w:tc>
          <w:tcPr>
            <w:tcW w:w="0" w:type="auto"/>
            <w:tcBorders>
              <w:tl2br w:val="nil"/>
              <w:tr2bl w:val="nil"/>
            </w:tcBorders>
            <w:shd w:val="clear" w:color="auto" w:fill="auto"/>
            <w:noWrap/>
            <w:vAlign w:val="center"/>
          </w:tcPr>
          <w:p w14:paraId="26ACB6F2">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w:t>
            </w:r>
          </w:p>
        </w:tc>
        <w:tc>
          <w:tcPr>
            <w:tcW w:w="0" w:type="auto"/>
            <w:tcBorders>
              <w:tl2br w:val="nil"/>
              <w:tr2bl w:val="nil"/>
            </w:tcBorders>
            <w:shd w:val="clear" w:color="auto" w:fill="auto"/>
            <w:noWrap/>
            <w:vAlign w:val="center"/>
          </w:tcPr>
          <w:p w14:paraId="6E490E1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2.68%</w:t>
            </w:r>
          </w:p>
        </w:tc>
      </w:tr>
      <w:tr w14:paraId="45798F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jc w:val="center"/>
        </w:trPr>
        <w:tc>
          <w:tcPr>
            <w:tcW w:w="0" w:type="auto"/>
            <w:tcBorders>
              <w:tl2br w:val="nil"/>
              <w:tr2bl w:val="nil"/>
            </w:tcBorders>
            <w:shd w:val="clear" w:color="auto" w:fill="auto"/>
            <w:noWrap/>
            <w:vAlign w:val="center"/>
          </w:tcPr>
          <w:p w14:paraId="101BBBBC">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0" w:type="auto"/>
            <w:tcBorders>
              <w:tl2br w:val="nil"/>
              <w:tr2bl w:val="nil"/>
            </w:tcBorders>
            <w:shd w:val="clear" w:color="auto" w:fill="auto"/>
            <w:noWrap/>
            <w:vAlign w:val="center"/>
          </w:tcPr>
          <w:p w14:paraId="01844521">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[30-35]</w:t>
            </w:r>
          </w:p>
        </w:tc>
        <w:tc>
          <w:tcPr>
            <w:tcW w:w="0" w:type="auto"/>
            <w:tcBorders>
              <w:tl2br w:val="nil"/>
              <w:tr2bl w:val="nil"/>
            </w:tcBorders>
            <w:shd w:val="clear" w:color="auto" w:fill="auto"/>
            <w:noWrap/>
            <w:vAlign w:val="center"/>
          </w:tcPr>
          <w:p w14:paraId="0E76815E">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32.5</w:t>
            </w:r>
          </w:p>
        </w:tc>
        <w:tc>
          <w:tcPr>
            <w:tcW w:w="0" w:type="auto"/>
            <w:tcBorders>
              <w:tl2br w:val="nil"/>
              <w:tr2bl w:val="nil"/>
            </w:tcBorders>
            <w:shd w:val="clear" w:color="auto" w:fill="auto"/>
            <w:noWrap/>
            <w:vAlign w:val="center"/>
          </w:tcPr>
          <w:p w14:paraId="58C8CA26">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43</w:t>
            </w:r>
          </w:p>
        </w:tc>
        <w:tc>
          <w:tcPr>
            <w:tcW w:w="0" w:type="auto"/>
            <w:tcBorders>
              <w:tl2br w:val="nil"/>
              <w:tr2bl w:val="nil"/>
            </w:tcBorders>
            <w:shd w:val="clear" w:color="auto" w:fill="auto"/>
            <w:noWrap/>
            <w:vAlign w:val="center"/>
          </w:tcPr>
          <w:p w14:paraId="70F40876">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0.67%</w:t>
            </w:r>
          </w:p>
        </w:tc>
      </w:tr>
      <w:tr w14:paraId="63BE997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jc w:val="center"/>
        </w:trPr>
        <w:tc>
          <w:tcPr>
            <w:tcW w:w="0" w:type="auto"/>
            <w:tcBorders>
              <w:tl2br w:val="nil"/>
              <w:tr2bl w:val="nil"/>
            </w:tcBorders>
            <w:shd w:val="clear" w:color="auto" w:fill="auto"/>
            <w:noWrap/>
            <w:vAlign w:val="center"/>
          </w:tcPr>
          <w:p w14:paraId="307C94F4">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0" w:type="auto"/>
            <w:tcBorders>
              <w:tl2br w:val="nil"/>
              <w:tr2bl w:val="nil"/>
            </w:tcBorders>
            <w:shd w:val="clear" w:color="auto" w:fill="auto"/>
            <w:noWrap/>
            <w:vAlign w:val="center"/>
          </w:tcPr>
          <w:p w14:paraId="0FA4972C">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[35-40]</w:t>
            </w:r>
          </w:p>
        </w:tc>
        <w:tc>
          <w:tcPr>
            <w:tcW w:w="0" w:type="auto"/>
            <w:tcBorders>
              <w:tl2br w:val="nil"/>
              <w:tr2bl w:val="nil"/>
            </w:tcBorders>
            <w:shd w:val="clear" w:color="auto" w:fill="auto"/>
            <w:noWrap/>
            <w:vAlign w:val="center"/>
          </w:tcPr>
          <w:p w14:paraId="2D44AD5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37.5</w:t>
            </w:r>
          </w:p>
        </w:tc>
        <w:tc>
          <w:tcPr>
            <w:tcW w:w="0" w:type="auto"/>
            <w:tcBorders>
              <w:tl2br w:val="nil"/>
              <w:tr2bl w:val="nil"/>
            </w:tcBorders>
            <w:shd w:val="clear" w:color="auto" w:fill="auto"/>
            <w:noWrap/>
            <w:vAlign w:val="center"/>
          </w:tcPr>
          <w:p w14:paraId="025D1FDE">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w:t>
            </w:r>
          </w:p>
        </w:tc>
        <w:tc>
          <w:tcPr>
            <w:tcW w:w="0" w:type="auto"/>
            <w:tcBorders>
              <w:tl2br w:val="nil"/>
              <w:tr2bl w:val="nil"/>
            </w:tcBorders>
            <w:shd w:val="clear" w:color="auto" w:fill="auto"/>
            <w:noWrap/>
            <w:vAlign w:val="center"/>
          </w:tcPr>
          <w:p w14:paraId="2EC6828C">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26.17%</w:t>
            </w:r>
          </w:p>
        </w:tc>
      </w:tr>
      <w:tr w14:paraId="557882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jc w:val="center"/>
        </w:trPr>
        <w:tc>
          <w:tcPr>
            <w:tcW w:w="0" w:type="auto"/>
            <w:tcBorders>
              <w:tl2br w:val="nil"/>
              <w:tr2bl w:val="nil"/>
            </w:tcBorders>
            <w:shd w:val="clear" w:color="auto" w:fill="auto"/>
            <w:noWrap/>
            <w:vAlign w:val="center"/>
          </w:tcPr>
          <w:p w14:paraId="7BC4F5C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0" w:type="auto"/>
            <w:tcBorders>
              <w:tl2br w:val="nil"/>
              <w:tr2bl w:val="nil"/>
            </w:tcBorders>
            <w:shd w:val="clear" w:color="auto" w:fill="auto"/>
            <w:noWrap/>
            <w:vAlign w:val="center"/>
          </w:tcPr>
          <w:p w14:paraId="7C2DC106">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[40-45]</w:t>
            </w:r>
          </w:p>
        </w:tc>
        <w:tc>
          <w:tcPr>
            <w:tcW w:w="0" w:type="auto"/>
            <w:tcBorders>
              <w:tl2br w:val="nil"/>
              <w:tr2bl w:val="nil"/>
            </w:tcBorders>
            <w:shd w:val="clear" w:color="auto" w:fill="auto"/>
            <w:noWrap/>
            <w:vAlign w:val="center"/>
          </w:tcPr>
          <w:p w14:paraId="3D77BED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42.5</w:t>
            </w:r>
          </w:p>
        </w:tc>
        <w:tc>
          <w:tcPr>
            <w:tcW w:w="0" w:type="auto"/>
            <w:tcBorders>
              <w:tl2br w:val="nil"/>
              <w:tr2bl w:val="nil"/>
            </w:tcBorders>
            <w:shd w:val="clear" w:color="auto" w:fill="auto"/>
            <w:noWrap/>
            <w:vAlign w:val="center"/>
          </w:tcPr>
          <w:p w14:paraId="75BFAB2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43</w:t>
            </w:r>
          </w:p>
        </w:tc>
        <w:tc>
          <w:tcPr>
            <w:tcW w:w="0" w:type="auto"/>
            <w:tcBorders>
              <w:tl2br w:val="nil"/>
              <w:tr2bl w:val="nil"/>
            </w:tcBorders>
            <w:shd w:val="clear" w:color="auto" w:fill="auto"/>
            <w:noWrap/>
            <w:vAlign w:val="center"/>
          </w:tcPr>
          <w:p w14:paraId="37DC2E8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27.52%</w:t>
            </w:r>
          </w:p>
        </w:tc>
      </w:tr>
      <w:tr w14:paraId="5E2853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0" w:type="auto"/>
            <w:tcBorders>
              <w:tl2br w:val="nil"/>
              <w:tr2bl w:val="nil"/>
            </w:tcBorders>
            <w:shd w:val="clear" w:color="auto" w:fill="auto"/>
            <w:noWrap/>
            <w:vAlign w:val="center"/>
          </w:tcPr>
          <w:p w14:paraId="45705B7C">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合计</w:t>
            </w:r>
          </w:p>
        </w:tc>
        <w:tc>
          <w:tcPr>
            <w:tcW w:w="0" w:type="auto"/>
            <w:tcBorders>
              <w:tl2br w:val="nil"/>
              <w:tr2bl w:val="nil"/>
            </w:tcBorders>
            <w:shd w:val="clear" w:color="auto" w:fill="auto"/>
            <w:noWrap/>
            <w:vAlign w:val="center"/>
          </w:tcPr>
          <w:p w14:paraId="1E7DF6B0">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0" w:type="auto"/>
            <w:tcBorders>
              <w:tl2br w:val="nil"/>
              <w:tr2bl w:val="nil"/>
            </w:tcBorders>
            <w:shd w:val="clear" w:color="auto" w:fill="auto"/>
            <w:noWrap/>
            <w:vAlign w:val="center"/>
          </w:tcPr>
          <w:p w14:paraId="589D9674">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0" w:type="auto"/>
            <w:tcBorders>
              <w:tl2br w:val="nil"/>
              <w:tr2bl w:val="nil"/>
            </w:tcBorders>
            <w:shd w:val="clear" w:color="auto" w:fill="auto"/>
            <w:noWrap/>
            <w:vAlign w:val="center"/>
          </w:tcPr>
          <w:p w14:paraId="60D6240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149</w:t>
            </w:r>
          </w:p>
        </w:tc>
        <w:tc>
          <w:tcPr>
            <w:tcW w:w="0" w:type="auto"/>
            <w:tcBorders>
              <w:tl2br w:val="nil"/>
              <w:tr2bl w:val="nil"/>
            </w:tcBorders>
            <w:shd w:val="clear" w:color="auto" w:fill="auto"/>
            <w:noWrap/>
            <w:vAlign w:val="center"/>
          </w:tcPr>
          <w:p w14:paraId="538A782F">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r>
    </w:tbl>
    <w:p w14:paraId="0646FE3C">
      <w:pPr>
        <w:widowControl/>
        <w:adjustRightInd/>
        <w:spacing w:line="300" w:lineRule="auto"/>
        <w:ind w:firstLine="480" w:firstLineChars="200"/>
        <w:jc w:val="both"/>
        <w:textAlignment w:val="auto"/>
        <w:rPr>
          <w:rFonts w:hint="default" w:ascii="Times New Roman" w:hAnsi="Times New Roman" w:cs="Times New Roman"/>
          <w:highlight w:val="none"/>
        </w:rPr>
      </w:pPr>
    </w:p>
    <w:p w14:paraId="26060747">
      <w:pPr>
        <w:widowControl/>
        <w:adjustRightInd/>
        <w:spacing w:line="300" w:lineRule="auto"/>
        <w:ind w:firstLine="480" w:firstLineChars="200"/>
        <w:jc w:val="both"/>
        <w:textAlignment w:val="auto"/>
        <w:rPr>
          <w:rFonts w:hint="eastAsia" w:ascii="宋体" w:hAnsi="宋体"/>
          <w:kern w:val="2"/>
          <w:sz w:val="21"/>
          <w:szCs w:val="21"/>
          <w:highlight w:val="none"/>
        </w:rPr>
      </w:pPr>
      <w:r>
        <w:rPr>
          <w:rFonts w:hint="default" w:ascii="Times New Roman" w:hAnsi="Times New Roman" w:cs="Times New Roman"/>
          <w:highlight w:val="none"/>
        </w:rPr>
        <w:drawing>
          <wp:inline distT="0" distB="0" distL="114300" distR="114300">
            <wp:extent cx="5259070" cy="1665605"/>
            <wp:effectExtent l="4445" t="4445" r="13335" b="6350"/>
            <wp:docPr id="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4921D2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cs="宋体"/>
          <w:kern w:val="2"/>
          <w:sz w:val="24"/>
          <w:szCs w:val="24"/>
          <w:highlight w:val="none"/>
        </w:rPr>
      </w:pPr>
      <w:r>
        <w:rPr>
          <w:rFonts w:hint="default" w:ascii="Times New Roman" w:hAnsi="Times New Roman" w:cs="Times New Roman"/>
          <w:kern w:val="2"/>
          <w:sz w:val="24"/>
          <w:szCs w:val="24"/>
          <w:highlight w:val="none"/>
        </w:rPr>
        <w:t>图</w:t>
      </w:r>
      <w:r>
        <w:rPr>
          <w:rFonts w:hint="default" w:ascii="Times New Roman" w:hAnsi="Times New Roman" w:cs="Times New Roman"/>
          <w:kern w:val="2"/>
          <w:sz w:val="24"/>
          <w:szCs w:val="24"/>
          <w:highlight w:val="none"/>
          <w:lang w:val="en-US" w:eastAsia="zh-CN"/>
        </w:rPr>
        <w:t xml:space="preserve">3  </w:t>
      </w:r>
      <w:r>
        <w:rPr>
          <w:rFonts w:hint="default" w:ascii="Times New Roman" w:hAnsi="Times New Roman" w:cs="Times New Roman"/>
          <w:kern w:val="2"/>
          <w:sz w:val="24"/>
          <w:szCs w:val="24"/>
          <w:highlight w:val="none"/>
        </w:rPr>
        <w:t xml:space="preserve">T2   </w:t>
      </w:r>
      <w:r>
        <w:rPr>
          <w:rFonts w:hint="default" w:ascii="Times New Roman" w:hAnsi="Times New Roman" w:cs="Times New Roman"/>
          <w:kern w:val="2"/>
          <w:sz w:val="24"/>
          <w:szCs w:val="24"/>
          <w:highlight w:val="none"/>
          <w:lang w:val="en-US" w:eastAsia="zh-CN"/>
        </w:rPr>
        <w:t>0</w:t>
      </w:r>
      <w:r>
        <w:rPr>
          <w:rFonts w:hint="default" w:ascii="Times New Roman" w:hAnsi="Times New Roman" w:cs="Times New Roman"/>
          <w:kern w:val="2"/>
          <w:sz w:val="24"/>
          <w:szCs w:val="24"/>
          <w:highlight w:val="none"/>
        </w:rPr>
        <w:t xml:space="preserve">60 </w:t>
      </w:r>
      <w:r>
        <w:rPr>
          <w:rFonts w:hint="default" w:ascii="Times New Roman" w:hAnsi="Times New Roman" w:cs="Times New Roman"/>
          <w:kern w:val="2"/>
          <w:sz w:val="24"/>
          <w:szCs w:val="24"/>
          <w:highlight w:val="none"/>
          <w:lang w:val="en-US" w:eastAsia="zh-CN"/>
        </w:rPr>
        <w:t>断后伸长率</w:t>
      </w:r>
      <w:r>
        <w:rPr>
          <w:rFonts w:hint="default" w:ascii="Times New Roman" w:hAnsi="Times New Roman" w:cs="Times New Roman"/>
          <w:kern w:val="2"/>
          <w:sz w:val="24"/>
          <w:szCs w:val="24"/>
          <w:highlight w:val="none"/>
        </w:rPr>
        <w:t xml:space="preserve"> 分布直方图</w:t>
      </w:r>
    </w:p>
    <w:p w14:paraId="3806024F">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kern w:val="2"/>
          <w:sz w:val="24"/>
          <w:szCs w:val="24"/>
          <w:highlight w:val="none"/>
        </w:rPr>
      </w:pPr>
      <w:r>
        <w:rPr>
          <w:rFonts w:hint="eastAsia" w:ascii="宋体" w:hAnsi="宋体" w:cs="宋体"/>
          <w:kern w:val="2"/>
          <w:sz w:val="24"/>
          <w:szCs w:val="24"/>
          <w:highlight w:val="none"/>
        </w:rPr>
        <w:t>由图表可知，性能检测</w:t>
      </w:r>
      <w:r>
        <w:rPr>
          <w:rFonts w:hint="eastAsia" w:ascii="宋体" w:hAnsi="宋体" w:cs="宋体"/>
          <w:kern w:val="2"/>
          <w:sz w:val="24"/>
          <w:szCs w:val="24"/>
          <w:highlight w:val="none"/>
          <w:lang w:val="en-US" w:eastAsia="zh-CN"/>
        </w:rPr>
        <w:t>149</w:t>
      </w:r>
      <w:r>
        <w:rPr>
          <w:rFonts w:hint="eastAsia" w:ascii="宋体" w:hAnsi="宋体" w:cs="宋体"/>
          <w:kern w:val="2"/>
          <w:sz w:val="24"/>
          <w:szCs w:val="24"/>
          <w:highlight w:val="none"/>
        </w:rPr>
        <w:t>项，实际O60断后伸长率A</w:t>
      </w:r>
      <w:r>
        <w:rPr>
          <w:rFonts w:hint="eastAsia" w:ascii="宋体" w:hAnsi="宋体" w:cs="宋体"/>
          <w:kern w:val="2"/>
          <w:sz w:val="24"/>
          <w:szCs w:val="24"/>
          <w:highlight w:val="none"/>
          <w:vertAlign w:val="subscript"/>
        </w:rPr>
        <w:t>11.3</w:t>
      </w:r>
      <w:r>
        <w:rPr>
          <w:rFonts w:hint="eastAsia" w:ascii="宋体" w:hAnsi="宋体" w:cs="宋体"/>
          <w:kern w:val="2"/>
          <w:sz w:val="24"/>
          <w:szCs w:val="24"/>
          <w:highlight w:val="none"/>
        </w:rPr>
        <w:t>（%）全部在</w:t>
      </w:r>
      <w:r>
        <w:rPr>
          <w:rFonts w:hint="eastAsia" w:ascii="宋体" w:hAnsi="宋体" w:cs="宋体"/>
          <w:kern w:val="2"/>
          <w:sz w:val="24"/>
          <w:szCs w:val="24"/>
          <w:highlight w:val="none"/>
          <w:lang w:val="en-US" w:eastAsia="zh-CN"/>
        </w:rPr>
        <w:t>25</w:t>
      </w:r>
      <w:r>
        <w:rPr>
          <w:rFonts w:hint="eastAsia" w:ascii="宋体" w:hAnsi="宋体" w:cs="宋体"/>
          <w:kern w:val="2"/>
          <w:sz w:val="24"/>
          <w:szCs w:val="24"/>
          <w:highlight w:val="none"/>
        </w:rPr>
        <w:t>%以上。该产品技术指标：该产品技术指标：断后伸长率A</w:t>
      </w:r>
      <w:r>
        <w:rPr>
          <w:rFonts w:hint="eastAsia" w:ascii="宋体" w:hAnsi="宋体" w:cs="宋体"/>
          <w:kern w:val="2"/>
          <w:sz w:val="24"/>
          <w:szCs w:val="24"/>
          <w:highlight w:val="none"/>
          <w:vertAlign w:val="subscript"/>
        </w:rPr>
        <w:t>11.3</w:t>
      </w:r>
      <w:r>
        <w:rPr>
          <w:rFonts w:hint="eastAsia" w:ascii="宋体" w:hAnsi="宋体" w:cs="宋体"/>
          <w:kern w:val="2"/>
          <w:sz w:val="24"/>
          <w:szCs w:val="24"/>
          <w:highlight w:val="none"/>
        </w:rPr>
        <w:t>（%）≥</w:t>
      </w:r>
      <w:r>
        <w:rPr>
          <w:rFonts w:hint="eastAsia" w:ascii="宋体" w:hAnsi="宋体" w:cs="宋体"/>
          <w:kern w:val="2"/>
          <w:sz w:val="24"/>
          <w:szCs w:val="24"/>
          <w:highlight w:val="none"/>
          <w:lang w:val="en-US" w:eastAsia="zh-CN"/>
        </w:rPr>
        <w:t>25</w:t>
      </w:r>
      <w:r>
        <w:rPr>
          <w:rFonts w:hint="eastAsia" w:ascii="宋体" w:hAnsi="宋体" w:cs="宋体"/>
          <w:kern w:val="2"/>
          <w:sz w:val="24"/>
          <w:szCs w:val="24"/>
          <w:highlight w:val="none"/>
        </w:rPr>
        <w:t>%,指标在此范围内的达到100%，指标制定合理。</w:t>
      </w:r>
    </w:p>
    <w:p w14:paraId="2ED1A6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kern w:val="2"/>
          <w:sz w:val="24"/>
          <w:szCs w:val="24"/>
          <w:highlight w:val="none"/>
          <w:lang w:val="en-US" w:eastAsia="zh-CN"/>
        </w:rPr>
      </w:pPr>
      <w:r>
        <w:rPr>
          <w:rFonts w:hint="eastAsia" w:ascii="宋体" w:hAnsi="宋体"/>
          <w:kern w:val="2"/>
          <w:sz w:val="24"/>
          <w:szCs w:val="24"/>
          <w:highlight w:val="none"/>
          <w:lang w:val="en-US" w:eastAsia="zh-CN"/>
        </w:rPr>
        <w:t>4)</w:t>
      </w:r>
      <w:r>
        <w:rPr>
          <w:rFonts w:hint="eastAsia" w:ascii="宋体" w:hAnsi="宋体"/>
          <w:kern w:val="2"/>
          <w:sz w:val="24"/>
          <w:szCs w:val="24"/>
          <w:highlight w:val="none"/>
        </w:rPr>
        <w:t>T2   O60 维氏硬度HV检测实测统计如表1</w:t>
      </w:r>
      <w:r>
        <w:rPr>
          <w:rFonts w:hint="eastAsia" w:ascii="宋体" w:hAnsi="宋体"/>
          <w:kern w:val="2"/>
          <w:sz w:val="24"/>
          <w:szCs w:val="24"/>
          <w:highlight w:val="none"/>
          <w:lang w:val="en-US" w:eastAsia="zh-CN"/>
        </w:rPr>
        <w:t>7</w:t>
      </w:r>
    </w:p>
    <w:p w14:paraId="1FA20F64">
      <w:pPr>
        <w:keepNext w:val="0"/>
        <w:keepLines w:val="0"/>
        <w:pageBreakBefore w:val="0"/>
        <w:tabs>
          <w:tab w:val="left" w:pos="2946"/>
          <w:tab w:val="center" w:pos="4212"/>
        </w:tabs>
        <w:kinsoku/>
        <w:wordWrap/>
        <w:overflowPunct/>
        <w:topLinePunct w:val="0"/>
        <w:autoSpaceDE/>
        <w:autoSpaceDN/>
        <w:bidi w:val="0"/>
        <w:snapToGrid/>
        <w:spacing w:line="360" w:lineRule="auto"/>
        <w:jc w:val="center"/>
        <w:rPr>
          <w:rFonts w:hint="default" w:ascii="Times New Roman" w:hAnsi="Times New Roman" w:cs="Times New Roman"/>
          <w:sz w:val="24"/>
          <w:szCs w:val="20"/>
          <w:highlight w:val="none"/>
        </w:rPr>
      </w:pPr>
      <w:r>
        <w:rPr>
          <w:rFonts w:hint="default" w:ascii="Times New Roman" w:hAnsi="Times New Roman" w:cs="Times New Roman"/>
          <w:sz w:val="24"/>
          <w:szCs w:val="20"/>
          <w:highlight w:val="none"/>
          <w:lang w:val="en-US" w:eastAsia="zh-CN"/>
        </w:rPr>
        <w:t>表</w:t>
      </w:r>
      <w:r>
        <w:rPr>
          <w:rFonts w:hint="eastAsia" w:cs="Times New Roman"/>
          <w:sz w:val="24"/>
          <w:szCs w:val="20"/>
          <w:highlight w:val="none"/>
          <w:lang w:val="en-US" w:eastAsia="zh-CN"/>
        </w:rPr>
        <w:t>17</w:t>
      </w:r>
      <w:r>
        <w:rPr>
          <w:rFonts w:hint="default" w:ascii="Times New Roman" w:hAnsi="Times New Roman" w:cs="Times New Roman"/>
          <w:sz w:val="24"/>
          <w:szCs w:val="20"/>
          <w:highlight w:val="none"/>
          <w:lang w:val="en-US" w:eastAsia="zh-CN"/>
        </w:rPr>
        <w:t xml:space="preserve">  T2   060  硬度HV 频数和频率分布表</w:t>
      </w:r>
    </w:p>
    <w:tbl>
      <w:tblPr>
        <w:tblStyle w:val="21"/>
        <w:tblW w:w="8899" w:type="dxa"/>
        <w:tblInd w:w="9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310"/>
        <w:gridCol w:w="2148"/>
        <w:gridCol w:w="1892"/>
        <w:gridCol w:w="1711"/>
        <w:gridCol w:w="1838"/>
      </w:tblGrid>
      <w:tr w14:paraId="75FF12C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9" w:hRule="atLeast"/>
        </w:trPr>
        <w:tc>
          <w:tcPr>
            <w:tcW w:w="1310" w:type="dxa"/>
            <w:tcBorders>
              <w:tl2br w:val="nil"/>
              <w:tr2bl w:val="nil"/>
            </w:tcBorders>
            <w:shd w:val="clear" w:color="auto" w:fill="auto"/>
            <w:noWrap/>
            <w:vAlign w:val="center"/>
          </w:tcPr>
          <w:p w14:paraId="758BED64">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组号</w:t>
            </w:r>
          </w:p>
        </w:tc>
        <w:tc>
          <w:tcPr>
            <w:tcW w:w="2148" w:type="dxa"/>
            <w:tcBorders>
              <w:tl2br w:val="nil"/>
              <w:tr2bl w:val="nil"/>
            </w:tcBorders>
            <w:shd w:val="clear" w:color="auto" w:fill="auto"/>
            <w:noWrap/>
            <w:vAlign w:val="center"/>
          </w:tcPr>
          <w:p w14:paraId="59F5BF3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区间</w:t>
            </w:r>
          </w:p>
        </w:tc>
        <w:tc>
          <w:tcPr>
            <w:tcW w:w="1892" w:type="dxa"/>
            <w:tcBorders>
              <w:tl2br w:val="nil"/>
              <w:tr2bl w:val="nil"/>
            </w:tcBorders>
            <w:shd w:val="clear" w:color="auto" w:fill="auto"/>
            <w:noWrap/>
            <w:vAlign w:val="center"/>
          </w:tcPr>
          <w:p w14:paraId="245230E4">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组中值X’i</w:t>
            </w:r>
          </w:p>
        </w:tc>
        <w:tc>
          <w:tcPr>
            <w:tcW w:w="1711" w:type="dxa"/>
            <w:tcBorders>
              <w:tl2br w:val="nil"/>
              <w:tr2bl w:val="nil"/>
            </w:tcBorders>
            <w:shd w:val="clear" w:color="auto" w:fill="auto"/>
            <w:noWrap/>
            <w:vAlign w:val="center"/>
          </w:tcPr>
          <w:p w14:paraId="3FF32A5C">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频数ni</w:t>
            </w:r>
          </w:p>
        </w:tc>
        <w:tc>
          <w:tcPr>
            <w:tcW w:w="1838" w:type="dxa"/>
            <w:tcBorders>
              <w:tl2br w:val="nil"/>
              <w:tr2bl w:val="nil"/>
            </w:tcBorders>
            <w:shd w:val="clear" w:color="auto" w:fill="auto"/>
            <w:noWrap/>
            <w:vAlign w:val="center"/>
          </w:tcPr>
          <w:p w14:paraId="1B2690BB">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频率fi</w:t>
            </w:r>
          </w:p>
        </w:tc>
      </w:tr>
      <w:tr w14:paraId="73D0748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7" w:hRule="atLeast"/>
        </w:trPr>
        <w:tc>
          <w:tcPr>
            <w:tcW w:w="0" w:type="auto"/>
            <w:tcBorders>
              <w:tl2br w:val="nil"/>
              <w:tr2bl w:val="nil"/>
            </w:tcBorders>
            <w:shd w:val="clear" w:color="auto" w:fill="auto"/>
            <w:noWrap/>
            <w:vAlign w:val="center"/>
          </w:tcPr>
          <w:p w14:paraId="60F29B3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0" w:type="auto"/>
            <w:tcBorders>
              <w:tl2br w:val="nil"/>
              <w:tr2bl w:val="nil"/>
            </w:tcBorders>
            <w:shd w:val="clear" w:color="auto" w:fill="auto"/>
            <w:noWrap/>
            <w:vAlign w:val="center"/>
          </w:tcPr>
          <w:p w14:paraId="1CCDA10D">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[50-52]</w:t>
            </w:r>
          </w:p>
        </w:tc>
        <w:tc>
          <w:tcPr>
            <w:tcW w:w="0" w:type="auto"/>
            <w:tcBorders>
              <w:tl2br w:val="nil"/>
              <w:tr2bl w:val="nil"/>
            </w:tcBorders>
            <w:shd w:val="clear" w:color="auto" w:fill="auto"/>
            <w:noWrap/>
            <w:vAlign w:val="center"/>
          </w:tcPr>
          <w:p w14:paraId="3D1B8DE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51</w:t>
            </w:r>
          </w:p>
        </w:tc>
        <w:tc>
          <w:tcPr>
            <w:tcW w:w="0" w:type="auto"/>
            <w:tcBorders>
              <w:tl2br w:val="nil"/>
              <w:tr2bl w:val="nil"/>
            </w:tcBorders>
            <w:shd w:val="clear" w:color="auto" w:fill="auto"/>
            <w:noWrap/>
            <w:vAlign w:val="center"/>
          </w:tcPr>
          <w:p w14:paraId="2D743904">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0" w:type="auto"/>
            <w:tcBorders>
              <w:tl2br w:val="nil"/>
              <w:tr2bl w:val="nil"/>
            </w:tcBorders>
            <w:shd w:val="clear" w:color="auto" w:fill="auto"/>
            <w:noWrap/>
            <w:vAlign w:val="center"/>
          </w:tcPr>
          <w:p w14:paraId="56C4F27E">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0.67%</w:t>
            </w:r>
          </w:p>
        </w:tc>
      </w:tr>
      <w:tr w14:paraId="61973EC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7" w:hRule="atLeast"/>
        </w:trPr>
        <w:tc>
          <w:tcPr>
            <w:tcW w:w="0" w:type="auto"/>
            <w:tcBorders>
              <w:tl2br w:val="nil"/>
              <w:tr2bl w:val="nil"/>
            </w:tcBorders>
            <w:shd w:val="clear" w:color="auto" w:fill="auto"/>
            <w:noWrap/>
            <w:vAlign w:val="center"/>
          </w:tcPr>
          <w:p w14:paraId="11E17D9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0" w:type="auto"/>
            <w:tcBorders>
              <w:tl2br w:val="nil"/>
              <w:tr2bl w:val="nil"/>
            </w:tcBorders>
            <w:shd w:val="clear" w:color="auto" w:fill="auto"/>
            <w:noWrap/>
            <w:vAlign w:val="center"/>
          </w:tcPr>
          <w:p w14:paraId="54A8715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[52-54]</w:t>
            </w:r>
          </w:p>
        </w:tc>
        <w:tc>
          <w:tcPr>
            <w:tcW w:w="0" w:type="auto"/>
            <w:tcBorders>
              <w:tl2br w:val="nil"/>
              <w:tr2bl w:val="nil"/>
            </w:tcBorders>
            <w:shd w:val="clear" w:color="auto" w:fill="auto"/>
            <w:noWrap/>
            <w:vAlign w:val="center"/>
          </w:tcPr>
          <w:p w14:paraId="5DDD8A81">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53</w:t>
            </w:r>
          </w:p>
        </w:tc>
        <w:tc>
          <w:tcPr>
            <w:tcW w:w="0" w:type="auto"/>
            <w:tcBorders>
              <w:tl2br w:val="nil"/>
              <w:tr2bl w:val="nil"/>
            </w:tcBorders>
            <w:shd w:val="clear" w:color="auto" w:fill="auto"/>
            <w:noWrap/>
            <w:vAlign w:val="center"/>
          </w:tcPr>
          <w:p w14:paraId="6226788F">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0" w:type="auto"/>
            <w:tcBorders>
              <w:tl2br w:val="nil"/>
              <w:tr2bl w:val="nil"/>
            </w:tcBorders>
            <w:shd w:val="clear" w:color="auto" w:fill="auto"/>
            <w:noWrap/>
            <w:vAlign w:val="center"/>
          </w:tcPr>
          <w:p w14:paraId="77AA9D0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0.67%</w:t>
            </w:r>
          </w:p>
        </w:tc>
      </w:tr>
      <w:tr w14:paraId="7FBE65F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7" w:hRule="atLeast"/>
        </w:trPr>
        <w:tc>
          <w:tcPr>
            <w:tcW w:w="0" w:type="auto"/>
            <w:tcBorders>
              <w:tl2br w:val="nil"/>
              <w:tr2bl w:val="nil"/>
            </w:tcBorders>
            <w:shd w:val="clear" w:color="auto" w:fill="auto"/>
            <w:noWrap/>
            <w:vAlign w:val="center"/>
          </w:tcPr>
          <w:p w14:paraId="05C4051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0" w:type="auto"/>
            <w:tcBorders>
              <w:tl2br w:val="nil"/>
              <w:tr2bl w:val="nil"/>
            </w:tcBorders>
            <w:shd w:val="clear" w:color="auto" w:fill="auto"/>
            <w:noWrap/>
            <w:vAlign w:val="center"/>
          </w:tcPr>
          <w:p w14:paraId="0720EEB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[54-56]</w:t>
            </w:r>
          </w:p>
        </w:tc>
        <w:tc>
          <w:tcPr>
            <w:tcW w:w="0" w:type="auto"/>
            <w:tcBorders>
              <w:tl2br w:val="nil"/>
              <w:tr2bl w:val="nil"/>
            </w:tcBorders>
            <w:shd w:val="clear" w:color="auto" w:fill="auto"/>
            <w:noWrap/>
            <w:vAlign w:val="center"/>
          </w:tcPr>
          <w:p w14:paraId="12A7685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55</w:t>
            </w:r>
          </w:p>
        </w:tc>
        <w:tc>
          <w:tcPr>
            <w:tcW w:w="0" w:type="auto"/>
            <w:tcBorders>
              <w:tl2br w:val="nil"/>
              <w:tr2bl w:val="nil"/>
            </w:tcBorders>
            <w:shd w:val="clear" w:color="auto" w:fill="auto"/>
            <w:noWrap/>
            <w:vAlign w:val="center"/>
          </w:tcPr>
          <w:p w14:paraId="7E0B0F6E">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0" w:type="auto"/>
            <w:tcBorders>
              <w:tl2br w:val="nil"/>
              <w:tr2bl w:val="nil"/>
            </w:tcBorders>
            <w:shd w:val="clear" w:color="auto" w:fill="auto"/>
            <w:noWrap/>
            <w:vAlign w:val="center"/>
          </w:tcPr>
          <w:p w14:paraId="480C31F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w:t>
            </w:r>
          </w:p>
        </w:tc>
      </w:tr>
      <w:tr w14:paraId="249C2B6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7" w:hRule="atLeast"/>
        </w:trPr>
        <w:tc>
          <w:tcPr>
            <w:tcW w:w="0" w:type="auto"/>
            <w:tcBorders>
              <w:tl2br w:val="nil"/>
              <w:tr2bl w:val="nil"/>
            </w:tcBorders>
            <w:shd w:val="clear" w:color="auto" w:fill="auto"/>
            <w:noWrap/>
            <w:vAlign w:val="center"/>
          </w:tcPr>
          <w:p w14:paraId="76E65C5F">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0" w:type="auto"/>
            <w:tcBorders>
              <w:tl2br w:val="nil"/>
              <w:tr2bl w:val="nil"/>
            </w:tcBorders>
            <w:shd w:val="clear" w:color="auto" w:fill="auto"/>
            <w:noWrap/>
            <w:vAlign w:val="center"/>
          </w:tcPr>
          <w:p w14:paraId="2D225641">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[56-58]</w:t>
            </w:r>
          </w:p>
        </w:tc>
        <w:tc>
          <w:tcPr>
            <w:tcW w:w="0" w:type="auto"/>
            <w:tcBorders>
              <w:tl2br w:val="nil"/>
              <w:tr2bl w:val="nil"/>
            </w:tcBorders>
            <w:shd w:val="clear" w:color="auto" w:fill="auto"/>
            <w:noWrap/>
            <w:vAlign w:val="center"/>
          </w:tcPr>
          <w:p w14:paraId="38AF679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57</w:t>
            </w:r>
          </w:p>
        </w:tc>
        <w:tc>
          <w:tcPr>
            <w:tcW w:w="0" w:type="auto"/>
            <w:tcBorders>
              <w:tl2br w:val="nil"/>
              <w:tr2bl w:val="nil"/>
            </w:tcBorders>
            <w:shd w:val="clear" w:color="auto" w:fill="auto"/>
            <w:noWrap/>
            <w:vAlign w:val="center"/>
          </w:tcPr>
          <w:p w14:paraId="44FA828F">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26</w:t>
            </w:r>
          </w:p>
        </w:tc>
        <w:tc>
          <w:tcPr>
            <w:tcW w:w="0" w:type="auto"/>
            <w:tcBorders>
              <w:tl2br w:val="nil"/>
              <w:tr2bl w:val="nil"/>
            </w:tcBorders>
            <w:shd w:val="clear" w:color="auto" w:fill="auto"/>
            <w:noWrap/>
            <w:vAlign w:val="center"/>
          </w:tcPr>
          <w:p w14:paraId="76444E8C">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17.45%</w:t>
            </w:r>
          </w:p>
        </w:tc>
      </w:tr>
      <w:tr w14:paraId="1E51AFF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7" w:hRule="atLeast"/>
        </w:trPr>
        <w:tc>
          <w:tcPr>
            <w:tcW w:w="0" w:type="auto"/>
            <w:tcBorders>
              <w:tl2br w:val="nil"/>
              <w:tr2bl w:val="nil"/>
            </w:tcBorders>
            <w:shd w:val="clear" w:color="auto" w:fill="auto"/>
            <w:noWrap/>
            <w:vAlign w:val="center"/>
          </w:tcPr>
          <w:p w14:paraId="7CD78A62">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0" w:type="auto"/>
            <w:tcBorders>
              <w:tl2br w:val="nil"/>
              <w:tr2bl w:val="nil"/>
            </w:tcBorders>
            <w:shd w:val="clear" w:color="auto" w:fill="auto"/>
            <w:noWrap/>
            <w:vAlign w:val="center"/>
          </w:tcPr>
          <w:p w14:paraId="08323DD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[58-60]</w:t>
            </w:r>
          </w:p>
        </w:tc>
        <w:tc>
          <w:tcPr>
            <w:tcW w:w="0" w:type="auto"/>
            <w:tcBorders>
              <w:tl2br w:val="nil"/>
              <w:tr2bl w:val="nil"/>
            </w:tcBorders>
            <w:shd w:val="clear" w:color="auto" w:fill="auto"/>
            <w:noWrap/>
            <w:vAlign w:val="center"/>
          </w:tcPr>
          <w:p w14:paraId="05C4511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59</w:t>
            </w:r>
          </w:p>
        </w:tc>
        <w:tc>
          <w:tcPr>
            <w:tcW w:w="0" w:type="auto"/>
            <w:tcBorders>
              <w:tl2br w:val="nil"/>
              <w:tr2bl w:val="nil"/>
            </w:tcBorders>
            <w:shd w:val="clear" w:color="auto" w:fill="auto"/>
            <w:noWrap/>
            <w:vAlign w:val="center"/>
          </w:tcPr>
          <w:p w14:paraId="34C6D1B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74</w:t>
            </w:r>
          </w:p>
        </w:tc>
        <w:tc>
          <w:tcPr>
            <w:tcW w:w="0" w:type="auto"/>
            <w:tcBorders>
              <w:tl2br w:val="nil"/>
              <w:tr2bl w:val="nil"/>
            </w:tcBorders>
            <w:shd w:val="clear" w:color="auto" w:fill="auto"/>
            <w:noWrap/>
            <w:vAlign w:val="center"/>
          </w:tcPr>
          <w:p w14:paraId="1B225944">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49.66%</w:t>
            </w:r>
          </w:p>
        </w:tc>
      </w:tr>
      <w:tr w14:paraId="646DF30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7" w:hRule="atLeast"/>
        </w:trPr>
        <w:tc>
          <w:tcPr>
            <w:tcW w:w="0" w:type="auto"/>
            <w:tcBorders>
              <w:tl2br w:val="nil"/>
              <w:tr2bl w:val="nil"/>
            </w:tcBorders>
            <w:shd w:val="clear" w:color="auto" w:fill="auto"/>
            <w:noWrap/>
            <w:vAlign w:val="center"/>
          </w:tcPr>
          <w:p w14:paraId="4FAFA616">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w:t>
            </w:r>
          </w:p>
        </w:tc>
        <w:tc>
          <w:tcPr>
            <w:tcW w:w="0" w:type="auto"/>
            <w:tcBorders>
              <w:tl2br w:val="nil"/>
              <w:tr2bl w:val="nil"/>
            </w:tcBorders>
            <w:shd w:val="clear" w:color="auto" w:fill="auto"/>
            <w:noWrap/>
            <w:vAlign w:val="center"/>
          </w:tcPr>
          <w:p w14:paraId="744E054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[60-62]</w:t>
            </w:r>
          </w:p>
        </w:tc>
        <w:tc>
          <w:tcPr>
            <w:tcW w:w="0" w:type="auto"/>
            <w:tcBorders>
              <w:tl2br w:val="nil"/>
              <w:tr2bl w:val="nil"/>
            </w:tcBorders>
            <w:shd w:val="clear" w:color="auto" w:fill="auto"/>
            <w:noWrap/>
            <w:vAlign w:val="center"/>
          </w:tcPr>
          <w:p w14:paraId="2204F85D">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61</w:t>
            </w:r>
          </w:p>
        </w:tc>
        <w:tc>
          <w:tcPr>
            <w:tcW w:w="0" w:type="auto"/>
            <w:tcBorders>
              <w:tl2br w:val="nil"/>
              <w:tr2bl w:val="nil"/>
            </w:tcBorders>
            <w:shd w:val="clear" w:color="auto" w:fill="auto"/>
            <w:noWrap/>
            <w:vAlign w:val="center"/>
          </w:tcPr>
          <w:p w14:paraId="462B126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0" w:type="auto"/>
            <w:tcBorders>
              <w:tl2br w:val="nil"/>
              <w:tr2bl w:val="nil"/>
            </w:tcBorders>
            <w:shd w:val="clear" w:color="auto" w:fill="auto"/>
            <w:noWrap/>
            <w:vAlign w:val="center"/>
          </w:tcPr>
          <w:p w14:paraId="6BFD051C">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6.71%</w:t>
            </w:r>
          </w:p>
        </w:tc>
      </w:tr>
      <w:tr w14:paraId="2A2B78F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7" w:hRule="atLeast"/>
        </w:trPr>
        <w:tc>
          <w:tcPr>
            <w:tcW w:w="0" w:type="auto"/>
            <w:tcBorders>
              <w:tl2br w:val="nil"/>
              <w:tr2bl w:val="nil"/>
            </w:tcBorders>
            <w:shd w:val="clear" w:color="auto" w:fill="auto"/>
            <w:noWrap/>
            <w:vAlign w:val="center"/>
          </w:tcPr>
          <w:p w14:paraId="694EF17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w:t>
            </w:r>
          </w:p>
        </w:tc>
        <w:tc>
          <w:tcPr>
            <w:tcW w:w="0" w:type="auto"/>
            <w:tcBorders>
              <w:tl2br w:val="nil"/>
              <w:tr2bl w:val="nil"/>
            </w:tcBorders>
            <w:shd w:val="clear" w:color="auto" w:fill="auto"/>
            <w:noWrap/>
            <w:vAlign w:val="center"/>
          </w:tcPr>
          <w:p w14:paraId="72616E0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[62-65]</w:t>
            </w:r>
          </w:p>
        </w:tc>
        <w:tc>
          <w:tcPr>
            <w:tcW w:w="0" w:type="auto"/>
            <w:tcBorders>
              <w:tl2br w:val="nil"/>
              <w:tr2bl w:val="nil"/>
            </w:tcBorders>
            <w:shd w:val="clear" w:color="auto" w:fill="auto"/>
            <w:noWrap/>
            <w:vAlign w:val="center"/>
          </w:tcPr>
          <w:p w14:paraId="71F2382D">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63.5</w:t>
            </w:r>
          </w:p>
        </w:tc>
        <w:tc>
          <w:tcPr>
            <w:tcW w:w="0" w:type="auto"/>
            <w:tcBorders>
              <w:tl2br w:val="nil"/>
              <w:tr2bl w:val="nil"/>
            </w:tcBorders>
            <w:shd w:val="clear" w:color="auto" w:fill="auto"/>
            <w:noWrap/>
            <w:vAlign w:val="center"/>
          </w:tcPr>
          <w:p w14:paraId="74123CF4">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34</w:t>
            </w:r>
          </w:p>
        </w:tc>
        <w:tc>
          <w:tcPr>
            <w:tcW w:w="0" w:type="auto"/>
            <w:tcBorders>
              <w:tl2br w:val="nil"/>
              <w:tr2bl w:val="nil"/>
            </w:tcBorders>
            <w:shd w:val="clear" w:color="auto" w:fill="auto"/>
            <w:noWrap/>
            <w:vAlign w:val="center"/>
          </w:tcPr>
          <w:p w14:paraId="7DFC96F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22.82%</w:t>
            </w:r>
          </w:p>
        </w:tc>
      </w:tr>
      <w:tr w14:paraId="019D2D3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30" w:hRule="atLeast"/>
        </w:trPr>
        <w:tc>
          <w:tcPr>
            <w:tcW w:w="0" w:type="auto"/>
            <w:tcBorders>
              <w:tl2br w:val="nil"/>
              <w:tr2bl w:val="nil"/>
            </w:tcBorders>
            <w:shd w:val="clear" w:color="auto" w:fill="auto"/>
            <w:noWrap/>
            <w:vAlign w:val="center"/>
          </w:tcPr>
          <w:p w14:paraId="63CD914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合计</w:t>
            </w:r>
          </w:p>
        </w:tc>
        <w:tc>
          <w:tcPr>
            <w:tcW w:w="0" w:type="auto"/>
            <w:tcBorders>
              <w:tl2br w:val="nil"/>
              <w:tr2bl w:val="nil"/>
            </w:tcBorders>
            <w:shd w:val="clear" w:color="auto" w:fill="auto"/>
            <w:noWrap/>
            <w:vAlign w:val="center"/>
          </w:tcPr>
          <w:p w14:paraId="0E6F80F1">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0" w:type="auto"/>
            <w:tcBorders>
              <w:tl2br w:val="nil"/>
              <w:tr2bl w:val="nil"/>
            </w:tcBorders>
            <w:shd w:val="clear" w:color="auto" w:fill="auto"/>
            <w:noWrap/>
            <w:vAlign w:val="center"/>
          </w:tcPr>
          <w:p w14:paraId="489C79DC">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0" w:type="auto"/>
            <w:tcBorders>
              <w:tl2br w:val="nil"/>
              <w:tr2bl w:val="nil"/>
            </w:tcBorders>
            <w:shd w:val="clear" w:color="auto" w:fill="auto"/>
            <w:noWrap/>
            <w:vAlign w:val="center"/>
          </w:tcPr>
          <w:p w14:paraId="2D93A716">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149</w:t>
            </w:r>
          </w:p>
        </w:tc>
        <w:tc>
          <w:tcPr>
            <w:tcW w:w="0" w:type="auto"/>
            <w:tcBorders>
              <w:tl2br w:val="nil"/>
              <w:tr2bl w:val="nil"/>
            </w:tcBorders>
            <w:shd w:val="clear" w:color="auto" w:fill="auto"/>
            <w:noWrap/>
            <w:vAlign w:val="center"/>
          </w:tcPr>
          <w:p w14:paraId="5F7CCC70">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r>
    </w:tbl>
    <w:p w14:paraId="7D0C7523">
      <w:pPr>
        <w:jc w:val="both"/>
        <w:rPr>
          <w:rFonts w:hint="default" w:ascii="Times New Roman" w:hAnsi="Times New Roman" w:eastAsia="宋体" w:cs="Times New Roman"/>
          <w:highlight w:val="none"/>
          <w:lang w:val="en-US" w:eastAsia="zh-CN"/>
        </w:rPr>
      </w:pPr>
    </w:p>
    <w:p w14:paraId="0D4CF5C6">
      <w:pPr>
        <w:widowControl/>
        <w:adjustRightInd/>
        <w:spacing w:line="300" w:lineRule="auto"/>
        <w:ind w:firstLine="480" w:firstLineChars="200"/>
        <w:jc w:val="both"/>
        <w:textAlignment w:val="auto"/>
        <w:rPr>
          <w:rFonts w:hint="eastAsia" w:ascii="宋体" w:hAnsi="宋体"/>
          <w:kern w:val="2"/>
          <w:sz w:val="21"/>
          <w:szCs w:val="21"/>
          <w:highlight w:val="none"/>
        </w:rPr>
      </w:pPr>
      <w:r>
        <w:rPr>
          <w:rFonts w:hint="default" w:ascii="Times New Roman" w:hAnsi="Times New Roman" w:cs="Times New Roman"/>
          <w:highlight w:val="none"/>
        </w:rPr>
        <w:drawing>
          <wp:inline distT="0" distB="0" distL="114300" distR="114300">
            <wp:extent cx="4904740" cy="1938020"/>
            <wp:effectExtent l="4445" t="4445" r="5715" b="19685"/>
            <wp:docPr id="7"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3C11882">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kern w:val="2"/>
          <w:sz w:val="24"/>
          <w:szCs w:val="24"/>
          <w:highlight w:val="none"/>
        </w:rPr>
      </w:pPr>
      <w:r>
        <w:rPr>
          <w:rFonts w:hint="default" w:ascii="Times New Roman" w:hAnsi="Times New Roman" w:cs="Times New Roman"/>
          <w:kern w:val="2"/>
          <w:sz w:val="24"/>
          <w:szCs w:val="24"/>
          <w:highlight w:val="none"/>
        </w:rPr>
        <w:t>图</w:t>
      </w:r>
      <w:r>
        <w:rPr>
          <w:rFonts w:hint="default" w:ascii="Times New Roman" w:hAnsi="Times New Roman" w:cs="Times New Roman"/>
          <w:kern w:val="2"/>
          <w:sz w:val="24"/>
          <w:szCs w:val="24"/>
          <w:highlight w:val="none"/>
          <w:lang w:val="en-US" w:eastAsia="zh-CN"/>
        </w:rPr>
        <w:t xml:space="preserve">4  </w:t>
      </w:r>
      <w:r>
        <w:rPr>
          <w:rFonts w:hint="default" w:ascii="Times New Roman" w:hAnsi="Times New Roman" w:cs="Times New Roman"/>
          <w:kern w:val="2"/>
          <w:sz w:val="24"/>
          <w:szCs w:val="24"/>
          <w:highlight w:val="none"/>
        </w:rPr>
        <w:t xml:space="preserve">T2   </w:t>
      </w:r>
      <w:r>
        <w:rPr>
          <w:rFonts w:hint="default" w:ascii="Times New Roman" w:hAnsi="Times New Roman" w:cs="Times New Roman"/>
          <w:kern w:val="2"/>
          <w:sz w:val="24"/>
          <w:szCs w:val="24"/>
          <w:highlight w:val="none"/>
          <w:lang w:val="en-US" w:eastAsia="zh-CN"/>
        </w:rPr>
        <w:t>0</w:t>
      </w:r>
      <w:r>
        <w:rPr>
          <w:rFonts w:hint="default" w:ascii="Times New Roman" w:hAnsi="Times New Roman" w:cs="Times New Roman"/>
          <w:kern w:val="2"/>
          <w:sz w:val="24"/>
          <w:szCs w:val="24"/>
          <w:highlight w:val="none"/>
        </w:rPr>
        <w:t xml:space="preserve">60 </w:t>
      </w:r>
      <w:r>
        <w:rPr>
          <w:rFonts w:hint="default" w:ascii="Times New Roman" w:hAnsi="Times New Roman" w:cs="Times New Roman"/>
          <w:sz w:val="24"/>
          <w:szCs w:val="20"/>
          <w:highlight w:val="none"/>
          <w:lang w:val="en-US" w:eastAsia="zh-CN"/>
        </w:rPr>
        <w:t>硬度HV</w:t>
      </w:r>
      <w:r>
        <w:rPr>
          <w:rFonts w:hint="default" w:ascii="Times New Roman" w:hAnsi="Times New Roman" w:cs="Times New Roman"/>
          <w:kern w:val="2"/>
          <w:sz w:val="24"/>
          <w:szCs w:val="24"/>
          <w:highlight w:val="none"/>
        </w:rPr>
        <w:t xml:space="preserve"> 分布直方图</w:t>
      </w:r>
    </w:p>
    <w:p w14:paraId="6B764DC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kern w:val="2"/>
          <w:sz w:val="24"/>
          <w:szCs w:val="24"/>
          <w:highlight w:val="none"/>
        </w:rPr>
      </w:pPr>
      <w:r>
        <w:rPr>
          <w:rFonts w:hint="eastAsia" w:ascii="宋体" w:hAnsi="宋体"/>
          <w:kern w:val="2"/>
          <w:sz w:val="24"/>
          <w:szCs w:val="24"/>
          <w:highlight w:val="none"/>
        </w:rPr>
        <w:t>由图表可知，性能检测</w:t>
      </w:r>
      <w:r>
        <w:rPr>
          <w:rFonts w:hint="eastAsia" w:ascii="宋体" w:hAnsi="宋体"/>
          <w:kern w:val="2"/>
          <w:sz w:val="24"/>
          <w:szCs w:val="24"/>
          <w:highlight w:val="none"/>
          <w:lang w:val="en-US" w:eastAsia="zh-CN"/>
        </w:rPr>
        <w:t>149</w:t>
      </w:r>
      <w:r>
        <w:rPr>
          <w:rFonts w:hint="eastAsia" w:ascii="宋体" w:hAnsi="宋体"/>
          <w:kern w:val="2"/>
          <w:sz w:val="24"/>
          <w:szCs w:val="24"/>
          <w:highlight w:val="none"/>
        </w:rPr>
        <w:t>项，实际硬度HV全部在50以上。该产品技术指标：该产品技术指标：HV在50-6</w:t>
      </w:r>
      <w:r>
        <w:rPr>
          <w:rFonts w:hint="eastAsia" w:ascii="宋体" w:hAnsi="宋体"/>
          <w:kern w:val="2"/>
          <w:sz w:val="24"/>
          <w:szCs w:val="24"/>
          <w:highlight w:val="none"/>
          <w:lang w:val="en-US" w:eastAsia="zh-CN"/>
        </w:rPr>
        <w:t>5</w:t>
      </w:r>
      <w:r>
        <w:rPr>
          <w:rFonts w:hint="eastAsia" w:ascii="宋体" w:hAnsi="宋体"/>
          <w:kern w:val="2"/>
          <w:sz w:val="24"/>
          <w:szCs w:val="24"/>
          <w:highlight w:val="none"/>
        </w:rPr>
        <w:t>,指标在此范围内的达到</w:t>
      </w:r>
      <w:r>
        <w:rPr>
          <w:rFonts w:hint="eastAsia" w:ascii="宋体" w:hAnsi="宋体"/>
          <w:kern w:val="2"/>
          <w:sz w:val="24"/>
          <w:szCs w:val="24"/>
          <w:highlight w:val="none"/>
          <w:lang w:val="en-US" w:eastAsia="zh-CN"/>
        </w:rPr>
        <w:t>100</w:t>
      </w:r>
      <w:r>
        <w:rPr>
          <w:rFonts w:hint="eastAsia" w:ascii="宋体" w:hAnsi="宋体"/>
          <w:kern w:val="2"/>
          <w:sz w:val="24"/>
          <w:szCs w:val="24"/>
          <w:highlight w:val="none"/>
        </w:rPr>
        <w:t>%，产品工艺成熟，指标制定合理。</w:t>
      </w:r>
    </w:p>
    <w:p w14:paraId="525031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kern w:val="2"/>
          <w:sz w:val="24"/>
          <w:szCs w:val="24"/>
          <w:highlight w:val="none"/>
          <w:lang w:val="en-US" w:eastAsia="zh-CN"/>
        </w:rPr>
      </w:pPr>
      <w:r>
        <w:rPr>
          <w:rFonts w:hint="eastAsia" w:ascii="宋体" w:hAnsi="宋体"/>
          <w:kern w:val="2"/>
          <w:sz w:val="24"/>
          <w:szCs w:val="24"/>
          <w:highlight w:val="none"/>
          <w:lang w:val="en-US" w:eastAsia="zh-CN"/>
        </w:rPr>
        <w:t>5)</w:t>
      </w:r>
      <w:r>
        <w:rPr>
          <w:rFonts w:hint="eastAsia" w:ascii="宋体" w:hAnsi="宋体"/>
          <w:kern w:val="2"/>
          <w:sz w:val="24"/>
          <w:szCs w:val="24"/>
          <w:highlight w:val="none"/>
        </w:rPr>
        <w:t xml:space="preserve">T2   O60 </w:t>
      </w:r>
      <w:r>
        <w:rPr>
          <w:rFonts w:hint="eastAsia" w:ascii="宋体" w:hAnsi="宋体"/>
          <w:kern w:val="2"/>
          <w:sz w:val="24"/>
          <w:szCs w:val="24"/>
          <w:highlight w:val="none"/>
          <w:lang w:val="en-US" w:eastAsia="zh-CN"/>
        </w:rPr>
        <w:t>导电率</w:t>
      </w:r>
      <w:r>
        <w:rPr>
          <w:rFonts w:hint="eastAsia" w:ascii="宋体" w:hAnsi="宋体"/>
          <w:kern w:val="2"/>
          <w:sz w:val="24"/>
          <w:szCs w:val="24"/>
          <w:highlight w:val="none"/>
        </w:rPr>
        <w:t>检测实测统计如表1</w:t>
      </w:r>
      <w:r>
        <w:rPr>
          <w:rFonts w:hint="eastAsia" w:ascii="宋体" w:hAnsi="宋体"/>
          <w:kern w:val="2"/>
          <w:sz w:val="24"/>
          <w:szCs w:val="24"/>
          <w:highlight w:val="none"/>
          <w:lang w:val="en-US" w:eastAsia="zh-CN"/>
        </w:rPr>
        <w:t>8</w:t>
      </w:r>
    </w:p>
    <w:p w14:paraId="1EE9BFE4">
      <w:pPr>
        <w:keepNext w:val="0"/>
        <w:keepLines w:val="0"/>
        <w:pageBreakBefore w:val="0"/>
        <w:tabs>
          <w:tab w:val="left" w:pos="2946"/>
          <w:tab w:val="center" w:pos="4212"/>
        </w:tabs>
        <w:kinsoku/>
        <w:wordWrap/>
        <w:overflowPunct/>
        <w:topLinePunct w:val="0"/>
        <w:autoSpaceDE/>
        <w:autoSpaceDN/>
        <w:bidi w:val="0"/>
        <w:snapToGrid/>
        <w:spacing w:line="360" w:lineRule="auto"/>
        <w:jc w:val="center"/>
        <w:rPr>
          <w:rFonts w:hint="default" w:ascii="Times New Roman" w:hAnsi="Times New Roman" w:cs="Times New Roman"/>
          <w:sz w:val="24"/>
          <w:szCs w:val="20"/>
          <w:highlight w:val="none"/>
        </w:rPr>
      </w:pPr>
      <w:r>
        <w:rPr>
          <w:rFonts w:hint="default" w:ascii="Times New Roman" w:hAnsi="Times New Roman" w:cs="Times New Roman"/>
          <w:sz w:val="24"/>
          <w:szCs w:val="20"/>
          <w:highlight w:val="none"/>
          <w:lang w:val="en-US" w:eastAsia="zh-CN"/>
        </w:rPr>
        <w:t>表</w:t>
      </w:r>
      <w:r>
        <w:rPr>
          <w:rFonts w:hint="eastAsia" w:cs="Times New Roman"/>
          <w:sz w:val="24"/>
          <w:szCs w:val="20"/>
          <w:highlight w:val="none"/>
          <w:lang w:val="en-US" w:eastAsia="zh-CN"/>
        </w:rPr>
        <w:t>18</w:t>
      </w:r>
      <w:r>
        <w:rPr>
          <w:rFonts w:hint="default" w:ascii="Times New Roman" w:hAnsi="Times New Roman" w:cs="Times New Roman"/>
          <w:sz w:val="24"/>
          <w:szCs w:val="20"/>
          <w:highlight w:val="none"/>
          <w:lang w:val="en-US" w:eastAsia="zh-CN"/>
        </w:rPr>
        <w:t xml:space="preserve">  T2   060  导电率 频数和频率分布表</w:t>
      </w:r>
    </w:p>
    <w:tbl>
      <w:tblPr>
        <w:tblStyle w:val="21"/>
        <w:tblW w:w="8697" w:type="dxa"/>
        <w:tblInd w:w="9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280"/>
        <w:gridCol w:w="2099"/>
        <w:gridCol w:w="1850"/>
        <w:gridCol w:w="1672"/>
        <w:gridCol w:w="1796"/>
      </w:tblGrid>
      <w:tr w14:paraId="3458D47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2" w:hRule="atLeast"/>
        </w:trPr>
        <w:tc>
          <w:tcPr>
            <w:tcW w:w="1280" w:type="dxa"/>
            <w:tcBorders>
              <w:tl2br w:val="nil"/>
              <w:tr2bl w:val="nil"/>
            </w:tcBorders>
            <w:shd w:val="clear" w:color="auto" w:fill="auto"/>
            <w:noWrap/>
            <w:vAlign w:val="center"/>
          </w:tcPr>
          <w:p w14:paraId="5A4574B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组号</w:t>
            </w:r>
          </w:p>
        </w:tc>
        <w:tc>
          <w:tcPr>
            <w:tcW w:w="2099" w:type="dxa"/>
            <w:tcBorders>
              <w:tl2br w:val="nil"/>
              <w:tr2bl w:val="nil"/>
            </w:tcBorders>
            <w:shd w:val="clear" w:color="auto" w:fill="auto"/>
            <w:noWrap/>
            <w:vAlign w:val="center"/>
          </w:tcPr>
          <w:p w14:paraId="51E832E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区间</w:t>
            </w:r>
          </w:p>
        </w:tc>
        <w:tc>
          <w:tcPr>
            <w:tcW w:w="1850" w:type="dxa"/>
            <w:tcBorders>
              <w:tl2br w:val="nil"/>
              <w:tr2bl w:val="nil"/>
            </w:tcBorders>
            <w:shd w:val="clear" w:color="auto" w:fill="auto"/>
            <w:noWrap/>
            <w:vAlign w:val="center"/>
          </w:tcPr>
          <w:p w14:paraId="1D12A19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组中值X’i</w:t>
            </w:r>
          </w:p>
        </w:tc>
        <w:tc>
          <w:tcPr>
            <w:tcW w:w="1672" w:type="dxa"/>
            <w:tcBorders>
              <w:tl2br w:val="nil"/>
              <w:tr2bl w:val="nil"/>
            </w:tcBorders>
            <w:shd w:val="clear" w:color="auto" w:fill="auto"/>
            <w:noWrap/>
            <w:vAlign w:val="center"/>
          </w:tcPr>
          <w:p w14:paraId="5C31834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频数ni</w:t>
            </w:r>
          </w:p>
        </w:tc>
        <w:tc>
          <w:tcPr>
            <w:tcW w:w="1796" w:type="dxa"/>
            <w:tcBorders>
              <w:tl2br w:val="nil"/>
              <w:tr2bl w:val="nil"/>
            </w:tcBorders>
            <w:shd w:val="clear" w:color="auto" w:fill="auto"/>
            <w:noWrap/>
            <w:vAlign w:val="center"/>
          </w:tcPr>
          <w:p w14:paraId="2C0BDF7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频率fi</w:t>
            </w:r>
          </w:p>
        </w:tc>
      </w:tr>
      <w:tr w14:paraId="4770995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2" w:hRule="atLeast"/>
        </w:trPr>
        <w:tc>
          <w:tcPr>
            <w:tcW w:w="0" w:type="auto"/>
            <w:tcBorders>
              <w:tl2br w:val="nil"/>
              <w:tr2bl w:val="nil"/>
            </w:tcBorders>
            <w:shd w:val="clear" w:color="auto" w:fill="auto"/>
            <w:noWrap/>
            <w:vAlign w:val="center"/>
          </w:tcPr>
          <w:p w14:paraId="384F89D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0" w:type="auto"/>
            <w:tcBorders>
              <w:tl2br w:val="nil"/>
              <w:tr2bl w:val="nil"/>
            </w:tcBorders>
            <w:shd w:val="clear" w:color="auto" w:fill="auto"/>
            <w:noWrap/>
            <w:vAlign w:val="center"/>
          </w:tcPr>
          <w:p w14:paraId="5081300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[97-98]</w:t>
            </w:r>
          </w:p>
        </w:tc>
        <w:tc>
          <w:tcPr>
            <w:tcW w:w="0" w:type="auto"/>
            <w:tcBorders>
              <w:tl2br w:val="nil"/>
              <w:tr2bl w:val="nil"/>
            </w:tcBorders>
            <w:shd w:val="clear" w:color="auto" w:fill="auto"/>
            <w:noWrap/>
            <w:vAlign w:val="center"/>
          </w:tcPr>
          <w:p w14:paraId="6F331E3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97.5</w:t>
            </w:r>
          </w:p>
        </w:tc>
        <w:tc>
          <w:tcPr>
            <w:tcW w:w="0" w:type="auto"/>
            <w:tcBorders>
              <w:tl2br w:val="nil"/>
              <w:tr2bl w:val="nil"/>
            </w:tcBorders>
            <w:shd w:val="clear" w:color="auto" w:fill="auto"/>
            <w:noWrap/>
            <w:vAlign w:val="center"/>
          </w:tcPr>
          <w:p w14:paraId="57A93FC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w:t>
            </w:r>
          </w:p>
        </w:tc>
        <w:tc>
          <w:tcPr>
            <w:tcW w:w="0" w:type="auto"/>
            <w:tcBorders>
              <w:tl2br w:val="nil"/>
              <w:tr2bl w:val="nil"/>
            </w:tcBorders>
            <w:shd w:val="clear" w:color="auto" w:fill="auto"/>
            <w:noWrap/>
            <w:vAlign w:val="center"/>
          </w:tcPr>
          <w:p w14:paraId="016C68C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4.70%</w:t>
            </w:r>
          </w:p>
        </w:tc>
      </w:tr>
      <w:tr w14:paraId="70A4E82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2" w:hRule="atLeast"/>
        </w:trPr>
        <w:tc>
          <w:tcPr>
            <w:tcW w:w="0" w:type="auto"/>
            <w:tcBorders>
              <w:tl2br w:val="nil"/>
              <w:tr2bl w:val="nil"/>
            </w:tcBorders>
            <w:shd w:val="clear" w:color="auto" w:fill="auto"/>
            <w:noWrap/>
            <w:vAlign w:val="center"/>
          </w:tcPr>
          <w:p w14:paraId="30D1977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0" w:type="auto"/>
            <w:tcBorders>
              <w:tl2br w:val="nil"/>
              <w:tr2bl w:val="nil"/>
            </w:tcBorders>
            <w:shd w:val="clear" w:color="auto" w:fill="auto"/>
            <w:noWrap/>
            <w:vAlign w:val="center"/>
          </w:tcPr>
          <w:p w14:paraId="3BE9E94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[98-99]</w:t>
            </w:r>
          </w:p>
        </w:tc>
        <w:tc>
          <w:tcPr>
            <w:tcW w:w="0" w:type="auto"/>
            <w:tcBorders>
              <w:tl2br w:val="nil"/>
              <w:tr2bl w:val="nil"/>
            </w:tcBorders>
            <w:shd w:val="clear" w:color="auto" w:fill="auto"/>
            <w:noWrap/>
            <w:vAlign w:val="center"/>
          </w:tcPr>
          <w:p w14:paraId="7272248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98.5</w:t>
            </w:r>
          </w:p>
        </w:tc>
        <w:tc>
          <w:tcPr>
            <w:tcW w:w="0" w:type="auto"/>
            <w:tcBorders>
              <w:tl2br w:val="nil"/>
              <w:tr2bl w:val="nil"/>
            </w:tcBorders>
            <w:shd w:val="clear" w:color="auto" w:fill="auto"/>
            <w:noWrap/>
            <w:vAlign w:val="center"/>
          </w:tcPr>
          <w:p w14:paraId="3B06604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41</w:t>
            </w:r>
          </w:p>
        </w:tc>
        <w:tc>
          <w:tcPr>
            <w:tcW w:w="0" w:type="auto"/>
            <w:tcBorders>
              <w:tl2br w:val="nil"/>
              <w:tr2bl w:val="nil"/>
            </w:tcBorders>
            <w:shd w:val="clear" w:color="auto" w:fill="auto"/>
            <w:noWrap/>
            <w:vAlign w:val="center"/>
          </w:tcPr>
          <w:p w14:paraId="0875031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27.52%</w:t>
            </w:r>
          </w:p>
        </w:tc>
      </w:tr>
      <w:tr w14:paraId="1C3B3DF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2" w:hRule="atLeast"/>
        </w:trPr>
        <w:tc>
          <w:tcPr>
            <w:tcW w:w="0" w:type="auto"/>
            <w:tcBorders>
              <w:tl2br w:val="nil"/>
              <w:tr2bl w:val="nil"/>
            </w:tcBorders>
            <w:shd w:val="clear" w:color="auto" w:fill="auto"/>
            <w:noWrap/>
            <w:vAlign w:val="center"/>
          </w:tcPr>
          <w:p w14:paraId="0A81071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0" w:type="auto"/>
            <w:tcBorders>
              <w:tl2br w:val="nil"/>
              <w:tr2bl w:val="nil"/>
            </w:tcBorders>
            <w:shd w:val="clear" w:color="auto" w:fill="auto"/>
            <w:noWrap/>
            <w:vAlign w:val="center"/>
          </w:tcPr>
          <w:p w14:paraId="47FDD7D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[99-100]</w:t>
            </w:r>
          </w:p>
        </w:tc>
        <w:tc>
          <w:tcPr>
            <w:tcW w:w="0" w:type="auto"/>
            <w:tcBorders>
              <w:tl2br w:val="nil"/>
              <w:tr2bl w:val="nil"/>
            </w:tcBorders>
            <w:shd w:val="clear" w:color="auto" w:fill="auto"/>
            <w:noWrap/>
            <w:vAlign w:val="center"/>
          </w:tcPr>
          <w:p w14:paraId="0E4AFC4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99.5</w:t>
            </w:r>
          </w:p>
        </w:tc>
        <w:tc>
          <w:tcPr>
            <w:tcW w:w="0" w:type="auto"/>
            <w:tcBorders>
              <w:tl2br w:val="nil"/>
              <w:tr2bl w:val="nil"/>
            </w:tcBorders>
            <w:shd w:val="clear" w:color="auto" w:fill="auto"/>
            <w:noWrap/>
            <w:vAlign w:val="center"/>
          </w:tcPr>
          <w:p w14:paraId="4BB925B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37</w:t>
            </w:r>
          </w:p>
        </w:tc>
        <w:tc>
          <w:tcPr>
            <w:tcW w:w="0" w:type="auto"/>
            <w:tcBorders>
              <w:tl2br w:val="nil"/>
              <w:tr2bl w:val="nil"/>
            </w:tcBorders>
            <w:shd w:val="clear" w:color="auto" w:fill="auto"/>
            <w:noWrap/>
            <w:vAlign w:val="center"/>
          </w:tcPr>
          <w:p w14:paraId="6F63E6D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24.83%</w:t>
            </w:r>
          </w:p>
        </w:tc>
      </w:tr>
      <w:tr w14:paraId="18B87CD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2" w:hRule="atLeast"/>
        </w:trPr>
        <w:tc>
          <w:tcPr>
            <w:tcW w:w="0" w:type="auto"/>
            <w:tcBorders>
              <w:tl2br w:val="nil"/>
              <w:tr2bl w:val="nil"/>
            </w:tcBorders>
            <w:shd w:val="clear" w:color="auto" w:fill="auto"/>
            <w:noWrap/>
            <w:vAlign w:val="center"/>
          </w:tcPr>
          <w:p w14:paraId="018D9A4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0" w:type="auto"/>
            <w:tcBorders>
              <w:tl2br w:val="nil"/>
              <w:tr2bl w:val="nil"/>
            </w:tcBorders>
            <w:shd w:val="clear" w:color="auto" w:fill="auto"/>
            <w:noWrap/>
            <w:vAlign w:val="center"/>
          </w:tcPr>
          <w:p w14:paraId="2F44BE2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[100-101]</w:t>
            </w:r>
          </w:p>
        </w:tc>
        <w:tc>
          <w:tcPr>
            <w:tcW w:w="0" w:type="auto"/>
            <w:tcBorders>
              <w:tl2br w:val="nil"/>
              <w:tr2bl w:val="nil"/>
            </w:tcBorders>
            <w:shd w:val="clear" w:color="auto" w:fill="auto"/>
            <w:noWrap/>
            <w:vAlign w:val="center"/>
          </w:tcPr>
          <w:p w14:paraId="536B8FC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100.5</w:t>
            </w:r>
          </w:p>
        </w:tc>
        <w:tc>
          <w:tcPr>
            <w:tcW w:w="0" w:type="auto"/>
            <w:tcBorders>
              <w:tl2br w:val="nil"/>
              <w:tr2bl w:val="nil"/>
            </w:tcBorders>
            <w:shd w:val="clear" w:color="auto" w:fill="auto"/>
            <w:noWrap/>
            <w:vAlign w:val="center"/>
          </w:tcPr>
          <w:p w14:paraId="52A4E0C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28</w:t>
            </w:r>
          </w:p>
        </w:tc>
        <w:tc>
          <w:tcPr>
            <w:tcW w:w="0" w:type="auto"/>
            <w:tcBorders>
              <w:tl2br w:val="nil"/>
              <w:tr2bl w:val="nil"/>
            </w:tcBorders>
            <w:shd w:val="clear" w:color="auto" w:fill="auto"/>
            <w:noWrap/>
            <w:vAlign w:val="center"/>
          </w:tcPr>
          <w:p w14:paraId="68EA0AD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18.79%</w:t>
            </w:r>
          </w:p>
        </w:tc>
      </w:tr>
      <w:tr w14:paraId="363D326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72" w:hRule="atLeast"/>
        </w:trPr>
        <w:tc>
          <w:tcPr>
            <w:tcW w:w="0" w:type="auto"/>
            <w:tcBorders>
              <w:tl2br w:val="nil"/>
              <w:tr2bl w:val="nil"/>
            </w:tcBorders>
            <w:shd w:val="clear" w:color="auto" w:fill="auto"/>
            <w:noWrap/>
            <w:vAlign w:val="center"/>
          </w:tcPr>
          <w:p w14:paraId="2B60DA4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0" w:type="auto"/>
            <w:tcBorders>
              <w:tl2br w:val="nil"/>
              <w:tr2bl w:val="nil"/>
            </w:tcBorders>
            <w:shd w:val="clear" w:color="auto" w:fill="auto"/>
            <w:noWrap/>
            <w:vAlign w:val="center"/>
          </w:tcPr>
          <w:p w14:paraId="261F9E7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[101-102]</w:t>
            </w:r>
          </w:p>
        </w:tc>
        <w:tc>
          <w:tcPr>
            <w:tcW w:w="0" w:type="auto"/>
            <w:tcBorders>
              <w:tl2br w:val="nil"/>
              <w:tr2bl w:val="nil"/>
            </w:tcBorders>
            <w:shd w:val="clear" w:color="auto" w:fill="auto"/>
            <w:noWrap/>
            <w:vAlign w:val="center"/>
          </w:tcPr>
          <w:p w14:paraId="3BE163F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101.5</w:t>
            </w:r>
          </w:p>
        </w:tc>
        <w:tc>
          <w:tcPr>
            <w:tcW w:w="0" w:type="auto"/>
            <w:tcBorders>
              <w:tl2br w:val="nil"/>
              <w:tr2bl w:val="nil"/>
            </w:tcBorders>
            <w:shd w:val="clear" w:color="auto" w:fill="auto"/>
            <w:noWrap/>
            <w:vAlign w:val="center"/>
          </w:tcPr>
          <w:p w14:paraId="106F8AB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36</w:t>
            </w:r>
          </w:p>
        </w:tc>
        <w:tc>
          <w:tcPr>
            <w:tcW w:w="0" w:type="auto"/>
            <w:tcBorders>
              <w:tl2br w:val="nil"/>
              <w:tr2bl w:val="nil"/>
            </w:tcBorders>
            <w:shd w:val="clear" w:color="auto" w:fill="auto"/>
            <w:noWrap/>
            <w:vAlign w:val="center"/>
          </w:tcPr>
          <w:p w14:paraId="4B4314B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24.16%</w:t>
            </w:r>
          </w:p>
        </w:tc>
      </w:tr>
      <w:tr w14:paraId="131E1C2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2" w:hRule="atLeast"/>
        </w:trPr>
        <w:tc>
          <w:tcPr>
            <w:tcW w:w="0" w:type="auto"/>
            <w:tcBorders>
              <w:tl2br w:val="nil"/>
              <w:tr2bl w:val="nil"/>
            </w:tcBorders>
            <w:shd w:val="clear" w:color="auto" w:fill="auto"/>
            <w:noWrap/>
            <w:vAlign w:val="center"/>
          </w:tcPr>
          <w:p w14:paraId="78AFA6B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合计</w:t>
            </w:r>
          </w:p>
        </w:tc>
        <w:tc>
          <w:tcPr>
            <w:tcW w:w="0" w:type="auto"/>
            <w:tcBorders>
              <w:tl2br w:val="nil"/>
              <w:tr2bl w:val="nil"/>
            </w:tcBorders>
            <w:shd w:val="clear" w:color="auto" w:fill="auto"/>
            <w:noWrap/>
            <w:vAlign w:val="center"/>
          </w:tcPr>
          <w:p w14:paraId="3B1673B2">
            <w:pPr>
              <w:jc w:val="center"/>
              <w:rPr>
                <w:rFonts w:hint="default" w:ascii="Times New Roman" w:hAnsi="Times New Roman" w:eastAsia="宋体" w:cs="Times New Roman"/>
                <w:i w:val="0"/>
                <w:iCs w:val="0"/>
                <w:color w:val="000000"/>
                <w:sz w:val="22"/>
                <w:szCs w:val="22"/>
                <w:highlight w:val="none"/>
                <w:u w:val="none"/>
              </w:rPr>
            </w:pPr>
          </w:p>
        </w:tc>
        <w:tc>
          <w:tcPr>
            <w:tcW w:w="0" w:type="auto"/>
            <w:tcBorders>
              <w:tl2br w:val="nil"/>
              <w:tr2bl w:val="nil"/>
            </w:tcBorders>
            <w:shd w:val="clear" w:color="auto" w:fill="auto"/>
            <w:noWrap/>
            <w:vAlign w:val="center"/>
          </w:tcPr>
          <w:p w14:paraId="6A699CF4">
            <w:pPr>
              <w:jc w:val="center"/>
              <w:rPr>
                <w:rFonts w:hint="default" w:ascii="Times New Roman" w:hAnsi="Times New Roman" w:eastAsia="宋体" w:cs="Times New Roman"/>
                <w:i w:val="0"/>
                <w:iCs w:val="0"/>
                <w:color w:val="000000"/>
                <w:sz w:val="22"/>
                <w:szCs w:val="22"/>
                <w:highlight w:val="none"/>
                <w:u w:val="none"/>
              </w:rPr>
            </w:pPr>
          </w:p>
        </w:tc>
        <w:tc>
          <w:tcPr>
            <w:tcW w:w="0" w:type="auto"/>
            <w:tcBorders>
              <w:tl2br w:val="nil"/>
              <w:tr2bl w:val="nil"/>
            </w:tcBorders>
            <w:shd w:val="clear" w:color="auto" w:fill="auto"/>
            <w:noWrap/>
            <w:vAlign w:val="center"/>
          </w:tcPr>
          <w:p w14:paraId="28674DA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149</w:t>
            </w:r>
          </w:p>
        </w:tc>
        <w:tc>
          <w:tcPr>
            <w:tcW w:w="0" w:type="auto"/>
            <w:tcBorders>
              <w:tl2br w:val="nil"/>
              <w:tr2bl w:val="nil"/>
            </w:tcBorders>
            <w:shd w:val="clear" w:color="auto" w:fill="auto"/>
            <w:noWrap/>
            <w:vAlign w:val="center"/>
          </w:tcPr>
          <w:p w14:paraId="54131116">
            <w:pPr>
              <w:jc w:val="center"/>
              <w:rPr>
                <w:rFonts w:hint="default" w:ascii="Times New Roman" w:hAnsi="Times New Roman" w:eastAsia="宋体" w:cs="Times New Roman"/>
                <w:i w:val="0"/>
                <w:iCs w:val="0"/>
                <w:color w:val="000000"/>
                <w:sz w:val="22"/>
                <w:szCs w:val="22"/>
                <w:highlight w:val="none"/>
                <w:u w:val="none"/>
              </w:rPr>
            </w:pPr>
          </w:p>
        </w:tc>
      </w:tr>
    </w:tbl>
    <w:p w14:paraId="5F5C07B9">
      <w:pPr>
        <w:widowControl/>
        <w:adjustRightInd/>
        <w:spacing w:line="300" w:lineRule="auto"/>
        <w:ind w:firstLine="480" w:firstLineChars="200"/>
        <w:jc w:val="both"/>
        <w:textAlignment w:val="auto"/>
        <w:rPr>
          <w:rFonts w:hint="default" w:ascii="Times New Roman" w:hAnsi="Times New Roman" w:cs="Times New Roman"/>
          <w:highlight w:val="none"/>
        </w:rPr>
      </w:pPr>
    </w:p>
    <w:p w14:paraId="11CEAE3C">
      <w:pPr>
        <w:widowControl/>
        <w:adjustRightInd/>
        <w:spacing w:line="300" w:lineRule="auto"/>
        <w:ind w:firstLine="480" w:firstLineChars="200"/>
        <w:jc w:val="both"/>
        <w:textAlignment w:val="auto"/>
        <w:rPr>
          <w:rFonts w:hint="eastAsia" w:ascii="宋体" w:hAnsi="宋体"/>
          <w:kern w:val="2"/>
          <w:sz w:val="21"/>
          <w:szCs w:val="21"/>
          <w:highlight w:val="none"/>
        </w:rPr>
      </w:pPr>
      <w:r>
        <w:rPr>
          <w:rFonts w:hint="default" w:ascii="Times New Roman" w:hAnsi="Times New Roman" w:cs="Times New Roman"/>
          <w:highlight w:val="none"/>
        </w:rPr>
        <w:drawing>
          <wp:inline distT="0" distB="0" distL="114300" distR="114300">
            <wp:extent cx="4914900" cy="2071370"/>
            <wp:effectExtent l="4445" t="4445" r="14605" b="19685"/>
            <wp:docPr id="9"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66CA17C">
      <w:pPr>
        <w:adjustRightInd/>
        <w:spacing w:line="360" w:lineRule="auto"/>
        <w:jc w:val="center"/>
        <w:textAlignment w:val="auto"/>
        <w:rPr>
          <w:rFonts w:hint="eastAsia" w:ascii="宋体" w:hAnsi="宋体"/>
          <w:kern w:val="2"/>
          <w:sz w:val="24"/>
          <w:szCs w:val="24"/>
          <w:highlight w:val="none"/>
        </w:rPr>
      </w:pPr>
      <w:r>
        <w:rPr>
          <w:rFonts w:hint="default" w:ascii="Times New Roman" w:hAnsi="Times New Roman" w:cs="Times New Roman"/>
          <w:kern w:val="2"/>
          <w:sz w:val="24"/>
          <w:szCs w:val="24"/>
          <w:highlight w:val="none"/>
        </w:rPr>
        <w:t>图</w:t>
      </w:r>
      <w:r>
        <w:rPr>
          <w:rFonts w:hint="default" w:ascii="Times New Roman" w:hAnsi="Times New Roman" w:cs="Times New Roman"/>
          <w:kern w:val="2"/>
          <w:sz w:val="24"/>
          <w:szCs w:val="24"/>
          <w:highlight w:val="none"/>
          <w:lang w:val="en-US" w:eastAsia="zh-CN"/>
        </w:rPr>
        <w:t xml:space="preserve">5  </w:t>
      </w:r>
      <w:r>
        <w:rPr>
          <w:rFonts w:hint="default" w:ascii="Times New Roman" w:hAnsi="Times New Roman" w:cs="Times New Roman"/>
          <w:kern w:val="2"/>
          <w:sz w:val="24"/>
          <w:szCs w:val="24"/>
          <w:highlight w:val="none"/>
        </w:rPr>
        <w:t xml:space="preserve">T2   </w:t>
      </w:r>
      <w:r>
        <w:rPr>
          <w:rFonts w:hint="default" w:ascii="Times New Roman" w:hAnsi="Times New Roman" w:cs="Times New Roman"/>
          <w:kern w:val="2"/>
          <w:sz w:val="24"/>
          <w:szCs w:val="24"/>
          <w:highlight w:val="none"/>
          <w:lang w:val="en-US" w:eastAsia="zh-CN"/>
        </w:rPr>
        <w:t>0</w:t>
      </w:r>
      <w:r>
        <w:rPr>
          <w:rFonts w:hint="default" w:ascii="Times New Roman" w:hAnsi="Times New Roman" w:cs="Times New Roman"/>
          <w:kern w:val="2"/>
          <w:sz w:val="24"/>
          <w:szCs w:val="24"/>
          <w:highlight w:val="none"/>
        </w:rPr>
        <w:t xml:space="preserve">60 </w:t>
      </w:r>
      <w:r>
        <w:rPr>
          <w:rFonts w:hint="default" w:ascii="Times New Roman" w:hAnsi="Times New Roman" w:cs="Times New Roman"/>
          <w:kern w:val="2"/>
          <w:sz w:val="24"/>
          <w:szCs w:val="24"/>
          <w:highlight w:val="none"/>
          <w:lang w:val="en-US" w:eastAsia="zh-CN"/>
        </w:rPr>
        <w:t>导电率</w:t>
      </w:r>
      <w:r>
        <w:rPr>
          <w:rFonts w:hint="default" w:ascii="Times New Roman" w:hAnsi="Times New Roman" w:cs="Times New Roman"/>
          <w:kern w:val="2"/>
          <w:sz w:val="24"/>
          <w:szCs w:val="24"/>
          <w:highlight w:val="none"/>
        </w:rPr>
        <w:t xml:space="preserve"> 分布直方图</w:t>
      </w:r>
    </w:p>
    <w:p w14:paraId="19EB990C">
      <w:pPr>
        <w:adjustRightInd/>
        <w:snapToGrid w:val="0"/>
        <w:spacing w:line="360" w:lineRule="auto"/>
        <w:ind w:firstLine="480" w:firstLineChars="200"/>
        <w:textAlignment w:val="auto"/>
        <w:rPr>
          <w:rFonts w:hint="eastAsia" w:ascii="宋体" w:hAnsi="宋体"/>
          <w:kern w:val="2"/>
          <w:sz w:val="24"/>
          <w:szCs w:val="24"/>
          <w:highlight w:val="none"/>
        </w:rPr>
      </w:pPr>
      <w:r>
        <w:rPr>
          <w:rFonts w:hint="eastAsia" w:ascii="宋体" w:hAnsi="宋体"/>
          <w:kern w:val="2"/>
          <w:sz w:val="24"/>
          <w:szCs w:val="24"/>
          <w:highlight w:val="none"/>
        </w:rPr>
        <w:t>由图表可知，性能检测</w:t>
      </w:r>
      <w:r>
        <w:rPr>
          <w:rFonts w:hint="eastAsia" w:ascii="宋体" w:hAnsi="宋体"/>
          <w:kern w:val="2"/>
          <w:sz w:val="24"/>
          <w:szCs w:val="24"/>
          <w:highlight w:val="none"/>
          <w:lang w:val="en-US" w:eastAsia="zh-CN"/>
        </w:rPr>
        <w:t>149</w:t>
      </w:r>
      <w:r>
        <w:rPr>
          <w:rFonts w:hint="eastAsia" w:ascii="宋体" w:hAnsi="宋体"/>
          <w:kern w:val="2"/>
          <w:sz w:val="24"/>
          <w:szCs w:val="24"/>
          <w:highlight w:val="none"/>
        </w:rPr>
        <w:t>项，实际</w:t>
      </w:r>
      <w:r>
        <w:rPr>
          <w:rFonts w:hint="eastAsia" w:ascii="宋体" w:hAnsi="宋体"/>
          <w:kern w:val="2"/>
          <w:sz w:val="24"/>
          <w:szCs w:val="24"/>
          <w:highlight w:val="none"/>
          <w:lang w:val="en-US" w:eastAsia="zh-CN"/>
        </w:rPr>
        <w:t>导电率</w:t>
      </w:r>
      <w:r>
        <w:rPr>
          <w:rFonts w:hint="eastAsia" w:ascii="宋体" w:hAnsi="宋体"/>
          <w:kern w:val="2"/>
          <w:sz w:val="24"/>
          <w:szCs w:val="24"/>
          <w:highlight w:val="none"/>
        </w:rPr>
        <w:t>全部在</w:t>
      </w:r>
      <w:r>
        <w:rPr>
          <w:rFonts w:hint="eastAsia" w:ascii="宋体" w:hAnsi="宋体"/>
          <w:kern w:val="2"/>
          <w:sz w:val="24"/>
          <w:szCs w:val="24"/>
          <w:highlight w:val="none"/>
          <w:lang w:val="en-US" w:eastAsia="zh-CN"/>
        </w:rPr>
        <w:t>97</w:t>
      </w:r>
      <w:r>
        <w:rPr>
          <w:rFonts w:hint="eastAsia" w:ascii="宋体" w:hAnsi="宋体"/>
          <w:kern w:val="2"/>
          <w:sz w:val="24"/>
          <w:szCs w:val="24"/>
          <w:highlight w:val="none"/>
        </w:rPr>
        <w:t>以上。该产品技术指标：该产品技术指标</w:t>
      </w:r>
      <w:r>
        <w:rPr>
          <w:rFonts w:hint="eastAsia" w:ascii="宋体" w:hAnsi="宋体"/>
          <w:kern w:val="2"/>
          <w:sz w:val="24"/>
          <w:szCs w:val="24"/>
          <w:highlight w:val="none"/>
          <w:lang w:val="en-US" w:eastAsia="zh-CN"/>
        </w:rPr>
        <w:t>导电率</w:t>
      </w:r>
      <w:r>
        <w:rPr>
          <w:rFonts w:hint="eastAsia" w:ascii="宋体" w:hAnsi="宋体"/>
          <w:kern w:val="2"/>
          <w:sz w:val="24"/>
          <w:szCs w:val="24"/>
          <w:highlight w:val="none"/>
        </w:rPr>
        <w:t>在</w:t>
      </w:r>
      <w:r>
        <w:rPr>
          <w:rFonts w:hint="eastAsia" w:ascii="宋体" w:hAnsi="宋体"/>
          <w:kern w:val="2"/>
          <w:sz w:val="24"/>
          <w:szCs w:val="24"/>
          <w:highlight w:val="none"/>
          <w:lang w:val="en-US" w:eastAsia="zh-CN"/>
        </w:rPr>
        <w:t>97</w:t>
      </w:r>
      <w:r>
        <w:rPr>
          <w:rFonts w:hint="eastAsia" w:ascii="宋体" w:hAnsi="宋体"/>
          <w:kern w:val="2"/>
          <w:sz w:val="24"/>
          <w:szCs w:val="24"/>
          <w:highlight w:val="none"/>
        </w:rPr>
        <w:t>-</w:t>
      </w:r>
      <w:r>
        <w:rPr>
          <w:rFonts w:hint="eastAsia" w:ascii="宋体" w:hAnsi="宋体"/>
          <w:kern w:val="2"/>
          <w:sz w:val="24"/>
          <w:szCs w:val="24"/>
          <w:highlight w:val="none"/>
          <w:lang w:val="en-US" w:eastAsia="zh-CN"/>
        </w:rPr>
        <w:t>102</w:t>
      </w:r>
      <w:r>
        <w:rPr>
          <w:rFonts w:hint="eastAsia" w:ascii="宋体" w:hAnsi="宋体"/>
          <w:kern w:val="2"/>
          <w:sz w:val="24"/>
          <w:szCs w:val="24"/>
          <w:highlight w:val="none"/>
        </w:rPr>
        <w:t>,指标在此范围内的达到</w:t>
      </w:r>
      <w:r>
        <w:rPr>
          <w:rFonts w:hint="eastAsia" w:ascii="宋体" w:hAnsi="宋体"/>
          <w:kern w:val="2"/>
          <w:sz w:val="24"/>
          <w:szCs w:val="24"/>
          <w:highlight w:val="none"/>
          <w:lang w:val="en-US" w:eastAsia="zh-CN"/>
        </w:rPr>
        <w:t>100</w:t>
      </w:r>
      <w:r>
        <w:rPr>
          <w:rFonts w:hint="eastAsia" w:ascii="宋体" w:hAnsi="宋体"/>
          <w:kern w:val="2"/>
          <w:sz w:val="24"/>
          <w:szCs w:val="24"/>
          <w:highlight w:val="none"/>
        </w:rPr>
        <w:t>%，产品工艺成熟，指标制定合理。</w:t>
      </w:r>
    </w:p>
    <w:p w14:paraId="16984A73">
      <w:pPr>
        <w:spacing w:line="360" w:lineRule="auto"/>
        <w:rPr>
          <w:rFonts w:ascii="黑体" w:hAnsi="宋体" w:eastAsia="黑体"/>
          <w:szCs w:val="24"/>
          <w:highlight w:val="none"/>
        </w:rPr>
      </w:pPr>
      <w:r>
        <w:rPr>
          <w:rFonts w:hint="eastAsia" w:ascii="黑体" w:hAnsi="宋体" w:eastAsia="黑体"/>
          <w:szCs w:val="24"/>
          <w:highlight w:val="none"/>
        </w:rPr>
        <w:t>4.2.3.</w:t>
      </w:r>
      <w:r>
        <w:rPr>
          <w:rFonts w:hint="eastAsia" w:ascii="黑体" w:hAnsi="宋体" w:eastAsia="黑体"/>
          <w:szCs w:val="24"/>
          <w:highlight w:val="none"/>
          <w:lang w:val="en-US" w:eastAsia="zh-CN"/>
        </w:rPr>
        <w:t>2</w:t>
      </w:r>
      <w:r>
        <w:rPr>
          <w:rFonts w:hint="eastAsia" w:ascii="黑体" w:hAnsi="宋体" w:eastAsia="黑体"/>
          <w:szCs w:val="24"/>
          <w:highlight w:val="none"/>
        </w:rPr>
        <w:t xml:space="preserve"> </w:t>
      </w:r>
      <w:r>
        <w:rPr>
          <w:rFonts w:hint="eastAsia" w:ascii="黑体" w:hAnsi="宋体" w:eastAsia="黑体"/>
          <w:szCs w:val="24"/>
          <w:highlight w:val="none"/>
          <w:lang w:val="en-US" w:eastAsia="zh-CN"/>
        </w:rPr>
        <w:t>T2</w:t>
      </w:r>
      <w:r>
        <w:rPr>
          <w:rFonts w:hint="eastAsia" w:ascii="黑体" w:hAnsi="宋体" w:eastAsia="黑体"/>
          <w:szCs w:val="24"/>
          <w:highlight w:val="none"/>
        </w:rPr>
        <w:t xml:space="preserve"> </w:t>
      </w:r>
      <w:r>
        <w:rPr>
          <w:rFonts w:hint="eastAsia" w:ascii="黑体" w:hAnsi="宋体" w:eastAsia="黑体"/>
          <w:szCs w:val="24"/>
          <w:highlight w:val="none"/>
          <w:lang w:val="en-US" w:eastAsia="zh-CN"/>
        </w:rPr>
        <w:t>H02</w:t>
      </w:r>
      <w:r>
        <w:rPr>
          <w:rFonts w:hint="eastAsia" w:ascii="黑体" w:hAnsi="宋体" w:eastAsia="黑体"/>
          <w:szCs w:val="24"/>
          <w:highlight w:val="none"/>
        </w:rPr>
        <w:t>态性能</w:t>
      </w:r>
    </w:p>
    <w:p w14:paraId="35FEE439">
      <w:pPr>
        <w:keepNext w:val="0"/>
        <w:keepLines w:val="0"/>
        <w:pageBreakBefore w:val="0"/>
        <w:kinsoku/>
        <w:wordWrap/>
        <w:overflowPunct/>
        <w:topLinePunct w:val="0"/>
        <w:autoSpaceDE w:val="0"/>
        <w:autoSpaceDN w:val="0"/>
        <w:bidi w:val="0"/>
        <w:snapToGrid/>
        <w:spacing w:line="360" w:lineRule="auto"/>
        <w:ind w:firstLine="480" w:firstLineChars="200"/>
        <w:rPr>
          <w:rFonts w:ascii="宋体" w:hAnsi="宋体"/>
          <w:sz w:val="24"/>
          <w:szCs w:val="24"/>
          <w:highlight w:val="none"/>
        </w:rPr>
      </w:pPr>
      <w:r>
        <w:rPr>
          <w:rFonts w:hint="eastAsia" w:ascii="宋体" w:hAnsi="宋体" w:eastAsia="宋体" w:cs="宋体"/>
          <w:sz w:val="24"/>
          <w:szCs w:val="24"/>
          <w:highlight w:val="none"/>
          <w:lang w:val="en-US" w:eastAsia="zh-CN"/>
        </w:rPr>
        <w:t>T2 H02</w:t>
      </w:r>
      <w:r>
        <w:rPr>
          <w:rFonts w:hint="eastAsia" w:ascii="宋体" w:hAnsi="宋体"/>
          <w:sz w:val="24"/>
          <w:szCs w:val="24"/>
          <w:highlight w:val="none"/>
        </w:rPr>
        <w:t>态实</w:t>
      </w:r>
      <w:r>
        <w:rPr>
          <w:rFonts w:hint="eastAsia" w:ascii="宋体" w:cs="宋体"/>
          <w:sz w:val="24"/>
          <w:szCs w:val="24"/>
          <w:highlight w:val="none"/>
        </w:rPr>
        <w:t>测</w:t>
      </w:r>
      <w:r>
        <w:rPr>
          <w:rFonts w:hint="eastAsia"/>
          <w:sz w:val="24"/>
          <w:szCs w:val="24"/>
          <w:highlight w:val="none"/>
        </w:rPr>
        <w:t>的抗拉强度、断后伸长率、硬度</w:t>
      </w:r>
      <w:r>
        <w:rPr>
          <w:rFonts w:hint="eastAsia"/>
          <w:sz w:val="24"/>
          <w:szCs w:val="24"/>
          <w:highlight w:val="none"/>
          <w:lang w:val="en-US" w:eastAsia="zh-CN"/>
        </w:rPr>
        <w:t>和导电率</w:t>
      </w:r>
      <w:r>
        <w:rPr>
          <w:rFonts w:hint="eastAsia"/>
          <w:sz w:val="24"/>
          <w:szCs w:val="24"/>
          <w:highlight w:val="none"/>
        </w:rPr>
        <w:t>统计数据见表</w:t>
      </w:r>
      <w:r>
        <w:rPr>
          <w:rFonts w:hint="eastAsia"/>
          <w:sz w:val="24"/>
          <w:szCs w:val="24"/>
          <w:highlight w:val="none"/>
          <w:lang w:val="en-US" w:eastAsia="zh-CN"/>
        </w:rPr>
        <w:t>19</w:t>
      </w:r>
      <w:r>
        <w:rPr>
          <w:rFonts w:hint="eastAsia" w:ascii="宋体" w:cs="宋体"/>
          <w:sz w:val="24"/>
          <w:szCs w:val="24"/>
          <w:highlight w:val="none"/>
        </w:rPr>
        <w:t>～表</w:t>
      </w:r>
      <w:r>
        <w:rPr>
          <w:rFonts w:hint="eastAsia" w:ascii="宋体" w:cs="宋体"/>
          <w:sz w:val="24"/>
          <w:szCs w:val="24"/>
          <w:highlight w:val="none"/>
          <w:lang w:val="en-US" w:eastAsia="zh-CN"/>
        </w:rPr>
        <w:t>22</w:t>
      </w:r>
      <w:r>
        <w:rPr>
          <w:rFonts w:hint="eastAsia"/>
          <w:sz w:val="24"/>
          <w:szCs w:val="24"/>
          <w:highlight w:val="none"/>
        </w:rPr>
        <w:t>，</w:t>
      </w:r>
      <w:r>
        <w:rPr>
          <w:rFonts w:hint="eastAsia" w:ascii="宋体" w:cs="宋体"/>
          <w:sz w:val="24"/>
          <w:szCs w:val="24"/>
          <w:highlight w:val="none"/>
        </w:rPr>
        <w:t>数据分布直方图如图</w:t>
      </w:r>
      <w:r>
        <w:rPr>
          <w:rFonts w:hint="eastAsia" w:ascii="宋体" w:cs="宋体"/>
          <w:sz w:val="24"/>
          <w:szCs w:val="24"/>
          <w:highlight w:val="none"/>
          <w:lang w:val="en-US" w:eastAsia="zh-CN"/>
        </w:rPr>
        <w:t>6</w:t>
      </w:r>
      <w:r>
        <w:rPr>
          <w:rFonts w:hint="eastAsia" w:ascii="宋体" w:cs="宋体"/>
          <w:sz w:val="24"/>
          <w:szCs w:val="24"/>
          <w:highlight w:val="none"/>
        </w:rPr>
        <w:t>～</w:t>
      </w:r>
      <w:r>
        <w:rPr>
          <w:rFonts w:hint="eastAsia" w:ascii="宋体" w:cs="宋体"/>
          <w:sz w:val="24"/>
          <w:szCs w:val="24"/>
          <w:highlight w:val="none"/>
          <w:lang w:val="en-US" w:eastAsia="zh-CN"/>
        </w:rPr>
        <w:t>9</w:t>
      </w:r>
      <w:r>
        <w:rPr>
          <w:rFonts w:hint="eastAsia" w:ascii="宋体" w:cs="宋体"/>
          <w:sz w:val="24"/>
          <w:szCs w:val="24"/>
          <w:highlight w:val="none"/>
        </w:rPr>
        <w:t>所示</w:t>
      </w:r>
      <w:r>
        <w:rPr>
          <w:rFonts w:hint="eastAsia"/>
          <w:sz w:val="24"/>
          <w:szCs w:val="24"/>
          <w:highlight w:val="none"/>
        </w:rPr>
        <w:t>。</w:t>
      </w:r>
    </w:p>
    <w:p w14:paraId="004D0400">
      <w:pPr>
        <w:keepNext w:val="0"/>
        <w:keepLines w:val="0"/>
        <w:pageBreakBefore w:val="0"/>
        <w:widowControl/>
        <w:kinsoku/>
        <w:wordWrap/>
        <w:overflowPunct/>
        <w:topLinePunct w:val="0"/>
        <w:bidi w:val="0"/>
        <w:adjustRightInd/>
        <w:snapToGrid/>
        <w:spacing w:line="360" w:lineRule="auto"/>
        <w:ind w:firstLine="480" w:firstLineChars="200"/>
        <w:jc w:val="both"/>
        <w:textAlignment w:val="auto"/>
        <w:rPr>
          <w:rFonts w:hint="eastAsia" w:ascii="宋体" w:hAnsi="宋体" w:eastAsia="宋体"/>
          <w:kern w:val="2"/>
          <w:sz w:val="24"/>
          <w:szCs w:val="24"/>
          <w:highlight w:val="none"/>
          <w:lang w:val="en-US" w:eastAsia="zh-CN"/>
        </w:rPr>
      </w:pPr>
      <w:r>
        <w:rPr>
          <w:rFonts w:hint="eastAsia" w:ascii="宋体" w:hAnsi="宋体"/>
          <w:kern w:val="2"/>
          <w:sz w:val="24"/>
          <w:szCs w:val="24"/>
          <w:highlight w:val="none"/>
          <w:lang w:val="en-US" w:eastAsia="zh-CN"/>
        </w:rPr>
        <w:t>1)</w:t>
      </w:r>
      <w:r>
        <w:rPr>
          <w:rFonts w:hint="eastAsia" w:ascii="宋体" w:hAnsi="宋体"/>
          <w:kern w:val="2"/>
          <w:sz w:val="24"/>
          <w:szCs w:val="24"/>
          <w:highlight w:val="none"/>
        </w:rPr>
        <w:t xml:space="preserve">T2   </w:t>
      </w:r>
      <w:r>
        <w:rPr>
          <w:rFonts w:hint="eastAsia" w:ascii="宋体" w:hAnsi="宋体"/>
          <w:kern w:val="2"/>
          <w:sz w:val="24"/>
          <w:szCs w:val="24"/>
          <w:highlight w:val="none"/>
          <w:lang w:val="en-US" w:eastAsia="zh-CN"/>
        </w:rPr>
        <w:t>H02</w:t>
      </w:r>
      <w:r>
        <w:rPr>
          <w:rFonts w:hint="eastAsia" w:ascii="宋体" w:hAnsi="宋体"/>
          <w:kern w:val="2"/>
          <w:sz w:val="24"/>
          <w:szCs w:val="24"/>
          <w:highlight w:val="none"/>
        </w:rPr>
        <w:t xml:space="preserve"> 抗拉强度Rm检测实测统计如表1</w:t>
      </w:r>
      <w:r>
        <w:rPr>
          <w:rFonts w:hint="eastAsia" w:ascii="宋体" w:hAnsi="宋体"/>
          <w:kern w:val="2"/>
          <w:sz w:val="24"/>
          <w:szCs w:val="24"/>
          <w:highlight w:val="none"/>
          <w:lang w:val="en-US" w:eastAsia="zh-CN"/>
        </w:rPr>
        <w:t>9</w:t>
      </w:r>
    </w:p>
    <w:p w14:paraId="756DED44">
      <w:pPr>
        <w:keepNext w:val="0"/>
        <w:keepLines w:val="0"/>
        <w:pageBreakBefore w:val="0"/>
        <w:tabs>
          <w:tab w:val="left" w:pos="2946"/>
          <w:tab w:val="center" w:pos="4212"/>
        </w:tabs>
        <w:kinsoku/>
        <w:wordWrap/>
        <w:overflowPunct/>
        <w:topLinePunct w:val="0"/>
        <w:bidi w:val="0"/>
        <w:snapToGrid/>
        <w:spacing w:line="360" w:lineRule="auto"/>
        <w:jc w:val="center"/>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lang w:val="en-US" w:eastAsia="zh-CN"/>
        </w:rPr>
        <w:t>表1</w:t>
      </w:r>
      <w:r>
        <w:rPr>
          <w:rFonts w:hint="eastAsia" w:cs="Times New Roman"/>
          <w:sz w:val="24"/>
          <w:szCs w:val="24"/>
          <w:highlight w:val="none"/>
          <w:lang w:val="en-US" w:eastAsia="zh-CN"/>
        </w:rPr>
        <w:t>9</w:t>
      </w:r>
      <w:r>
        <w:rPr>
          <w:rFonts w:hint="default" w:ascii="Times New Roman" w:hAnsi="Times New Roman" w:cs="Times New Roman"/>
          <w:sz w:val="24"/>
          <w:szCs w:val="24"/>
          <w:highlight w:val="none"/>
          <w:lang w:val="en-US" w:eastAsia="zh-CN"/>
        </w:rPr>
        <w:t xml:space="preserve">  T2   </w:t>
      </w:r>
      <w:r>
        <w:rPr>
          <w:rFonts w:hint="eastAsia" w:ascii="宋体" w:hAnsi="宋体"/>
          <w:kern w:val="2"/>
          <w:sz w:val="24"/>
          <w:szCs w:val="24"/>
          <w:highlight w:val="none"/>
          <w:lang w:val="en-US" w:eastAsia="zh-CN"/>
        </w:rPr>
        <w:t>H02</w:t>
      </w:r>
      <w:r>
        <w:rPr>
          <w:rFonts w:hint="default" w:ascii="Times New Roman" w:hAnsi="Times New Roman" w:cs="Times New Roman"/>
          <w:sz w:val="24"/>
          <w:szCs w:val="24"/>
          <w:highlight w:val="none"/>
          <w:lang w:val="en-US" w:eastAsia="zh-CN"/>
        </w:rPr>
        <w:t xml:space="preserve">  抗拉强度 频数和频率分布表</w:t>
      </w:r>
    </w:p>
    <w:tbl>
      <w:tblPr>
        <w:tblStyle w:val="21"/>
        <w:tblW w:w="947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427"/>
        <w:gridCol w:w="2002"/>
        <w:gridCol w:w="2240"/>
        <w:gridCol w:w="1844"/>
        <w:gridCol w:w="1964"/>
      </w:tblGrid>
      <w:tr w14:paraId="332BA04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6" w:hRule="atLeast"/>
          <w:jc w:val="center"/>
        </w:trPr>
        <w:tc>
          <w:tcPr>
            <w:tcW w:w="1427" w:type="dxa"/>
            <w:tcBorders>
              <w:tl2br w:val="nil"/>
              <w:tr2bl w:val="nil"/>
            </w:tcBorders>
            <w:shd w:val="clear" w:color="auto" w:fill="auto"/>
            <w:noWrap/>
            <w:vAlign w:val="center"/>
          </w:tcPr>
          <w:p w14:paraId="0CC2718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组号</w:t>
            </w:r>
          </w:p>
        </w:tc>
        <w:tc>
          <w:tcPr>
            <w:tcW w:w="2002" w:type="dxa"/>
            <w:tcBorders>
              <w:tl2br w:val="nil"/>
              <w:tr2bl w:val="nil"/>
            </w:tcBorders>
            <w:shd w:val="clear" w:color="auto" w:fill="auto"/>
            <w:noWrap/>
            <w:vAlign w:val="center"/>
          </w:tcPr>
          <w:p w14:paraId="0BEF568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区间</w:t>
            </w:r>
          </w:p>
        </w:tc>
        <w:tc>
          <w:tcPr>
            <w:tcW w:w="2240" w:type="dxa"/>
            <w:tcBorders>
              <w:tl2br w:val="nil"/>
              <w:tr2bl w:val="nil"/>
            </w:tcBorders>
            <w:shd w:val="clear" w:color="auto" w:fill="auto"/>
            <w:noWrap/>
            <w:vAlign w:val="center"/>
          </w:tcPr>
          <w:p w14:paraId="40CE1106">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组中值X’i</w:t>
            </w:r>
          </w:p>
        </w:tc>
        <w:tc>
          <w:tcPr>
            <w:tcW w:w="1844" w:type="dxa"/>
            <w:tcBorders>
              <w:tl2br w:val="nil"/>
              <w:tr2bl w:val="nil"/>
            </w:tcBorders>
            <w:shd w:val="clear" w:color="auto" w:fill="auto"/>
            <w:noWrap/>
            <w:vAlign w:val="center"/>
          </w:tcPr>
          <w:p w14:paraId="4AD7ABE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频数ni</w:t>
            </w:r>
          </w:p>
        </w:tc>
        <w:tc>
          <w:tcPr>
            <w:tcW w:w="1964" w:type="dxa"/>
            <w:tcBorders>
              <w:tl2br w:val="nil"/>
              <w:tr2bl w:val="nil"/>
            </w:tcBorders>
            <w:shd w:val="clear" w:color="auto" w:fill="auto"/>
            <w:noWrap/>
            <w:vAlign w:val="center"/>
          </w:tcPr>
          <w:p w14:paraId="0F34D2CD">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频率fi</w:t>
            </w:r>
          </w:p>
        </w:tc>
      </w:tr>
      <w:tr w14:paraId="1053D90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06" w:hRule="atLeast"/>
          <w:jc w:val="center"/>
        </w:trPr>
        <w:tc>
          <w:tcPr>
            <w:tcW w:w="0" w:type="auto"/>
            <w:tcBorders>
              <w:tl2br w:val="nil"/>
              <w:tr2bl w:val="nil"/>
            </w:tcBorders>
            <w:shd w:val="clear" w:color="auto" w:fill="auto"/>
            <w:noWrap/>
            <w:vAlign w:val="center"/>
          </w:tcPr>
          <w:p w14:paraId="0D2C335E">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0" w:type="auto"/>
            <w:tcBorders>
              <w:tl2br w:val="nil"/>
              <w:tr2bl w:val="nil"/>
            </w:tcBorders>
            <w:shd w:val="clear" w:color="auto" w:fill="auto"/>
            <w:noWrap/>
            <w:vAlign w:val="center"/>
          </w:tcPr>
          <w:p w14:paraId="610326CF">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[225-240]</w:t>
            </w:r>
          </w:p>
        </w:tc>
        <w:tc>
          <w:tcPr>
            <w:tcW w:w="0" w:type="auto"/>
            <w:tcBorders>
              <w:tl2br w:val="nil"/>
              <w:tr2bl w:val="nil"/>
            </w:tcBorders>
            <w:shd w:val="clear" w:color="auto" w:fill="auto"/>
            <w:noWrap/>
            <w:vAlign w:val="center"/>
          </w:tcPr>
          <w:p w14:paraId="7DC7158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232.5</w:t>
            </w:r>
          </w:p>
        </w:tc>
        <w:tc>
          <w:tcPr>
            <w:tcW w:w="0" w:type="auto"/>
            <w:tcBorders>
              <w:tl2br w:val="nil"/>
              <w:tr2bl w:val="nil"/>
            </w:tcBorders>
            <w:shd w:val="clear" w:color="auto" w:fill="auto"/>
            <w:noWrap/>
            <w:vAlign w:val="center"/>
          </w:tcPr>
          <w:p w14:paraId="23A1CE62">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0" w:type="auto"/>
            <w:tcBorders>
              <w:tl2br w:val="nil"/>
              <w:tr2bl w:val="nil"/>
            </w:tcBorders>
            <w:shd w:val="clear" w:color="auto" w:fill="auto"/>
            <w:noWrap/>
            <w:vAlign w:val="center"/>
          </w:tcPr>
          <w:p w14:paraId="512D2E4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5.00%</w:t>
            </w:r>
          </w:p>
        </w:tc>
      </w:tr>
      <w:tr w14:paraId="253687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06" w:hRule="atLeast"/>
          <w:jc w:val="center"/>
        </w:trPr>
        <w:tc>
          <w:tcPr>
            <w:tcW w:w="0" w:type="auto"/>
            <w:tcBorders>
              <w:tl2br w:val="nil"/>
              <w:tr2bl w:val="nil"/>
            </w:tcBorders>
            <w:shd w:val="clear" w:color="auto" w:fill="auto"/>
            <w:noWrap/>
            <w:vAlign w:val="center"/>
          </w:tcPr>
          <w:p w14:paraId="05478F62">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0" w:type="auto"/>
            <w:tcBorders>
              <w:tl2br w:val="nil"/>
              <w:tr2bl w:val="nil"/>
            </w:tcBorders>
            <w:shd w:val="clear" w:color="auto" w:fill="auto"/>
            <w:noWrap/>
            <w:vAlign w:val="center"/>
          </w:tcPr>
          <w:p w14:paraId="210FDCF1">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[240-255]</w:t>
            </w:r>
          </w:p>
        </w:tc>
        <w:tc>
          <w:tcPr>
            <w:tcW w:w="0" w:type="auto"/>
            <w:tcBorders>
              <w:tl2br w:val="nil"/>
              <w:tr2bl w:val="nil"/>
            </w:tcBorders>
            <w:shd w:val="clear" w:color="auto" w:fill="auto"/>
            <w:noWrap/>
            <w:vAlign w:val="center"/>
          </w:tcPr>
          <w:p w14:paraId="0C8E1BE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247.5</w:t>
            </w:r>
          </w:p>
        </w:tc>
        <w:tc>
          <w:tcPr>
            <w:tcW w:w="0" w:type="auto"/>
            <w:tcBorders>
              <w:tl2br w:val="nil"/>
              <w:tr2bl w:val="nil"/>
            </w:tcBorders>
            <w:shd w:val="clear" w:color="auto" w:fill="auto"/>
            <w:noWrap/>
            <w:vAlign w:val="center"/>
          </w:tcPr>
          <w:p w14:paraId="0AD4E48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31</w:t>
            </w:r>
          </w:p>
        </w:tc>
        <w:tc>
          <w:tcPr>
            <w:tcW w:w="0" w:type="auto"/>
            <w:tcBorders>
              <w:tl2br w:val="nil"/>
              <w:tr2bl w:val="nil"/>
            </w:tcBorders>
            <w:shd w:val="clear" w:color="auto" w:fill="auto"/>
            <w:noWrap/>
            <w:vAlign w:val="center"/>
          </w:tcPr>
          <w:p w14:paraId="679F9A0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31.00%</w:t>
            </w:r>
          </w:p>
        </w:tc>
      </w:tr>
      <w:tr w14:paraId="2FB57AC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06" w:hRule="atLeast"/>
          <w:jc w:val="center"/>
        </w:trPr>
        <w:tc>
          <w:tcPr>
            <w:tcW w:w="0" w:type="auto"/>
            <w:tcBorders>
              <w:tl2br w:val="nil"/>
              <w:tr2bl w:val="nil"/>
            </w:tcBorders>
            <w:shd w:val="clear" w:color="auto" w:fill="auto"/>
            <w:noWrap/>
            <w:vAlign w:val="center"/>
          </w:tcPr>
          <w:p w14:paraId="415B4AA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0" w:type="auto"/>
            <w:tcBorders>
              <w:tl2br w:val="nil"/>
              <w:tr2bl w:val="nil"/>
            </w:tcBorders>
            <w:shd w:val="clear" w:color="auto" w:fill="auto"/>
            <w:noWrap/>
            <w:vAlign w:val="center"/>
          </w:tcPr>
          <w:p w14:paraId="4D2F54AD">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[255-270]</w:t>
            </w:r>
          </w:p>
        </w:tc>
        <w:tc>
          <w:tcPr>
            <w:tcW w:w="0" w:type="auto"/>
            <w:tcBorders>
              <w:tl2br w:val="nil"/>
              <w:tr2bl w:val="nil"/>
            </w:tcBorders>
            <w:shd w:val="clear" w:color="auto" w:fill="auto"/>
            <w:noWrap/>
            <w:vAlign w:val="center"/>
          </w:tcPr>
          <w:p w14:paraId="5548911E">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262.5</w:t>
            </w:r>
          </w:p>
        </w:tc>
        <w:tc>
          <w:tcPr>
            <w:tcW w:w="0" w:type="auto"/>
            <w:tcBorders>
              <w:tl2br w:val="nil"/>
              <w:tr2bl w:val="nil"/>
            </w:tcBorders>
            <w:shd w:val="clear" w:color="auto" w:fill="auto"/>
            <w:noWrap/>
            <w:vAlign w:val="center"/>
          </w:tcPr>
          <w:p w14:paraId="19673D8B">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w:t>
            </w:r>
          </w:p>
        </w:tc>
        <w:tc>
          <w:tcPr>
            <w:tcW w:w="0" w:type="auto"/>
            <w:tcBorders>
              <w:tl2br w:val="nil"/>
              <w:tr2bl w:val="nil"/>
            </w:tcBorders>
            <w:shd w:val="clear" w:color="auto" w:fill="auto"/>
            <w:noWrap/>
            <w:vAlign w:val="center"/>
          </w:tcPr>
          <w:p w14:paraId="2192AE11">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18.00%</w:t>
            </w:r>
          </w:p>
        </w:tc>
      </w:tr>
      <w:tr w14:paraId="3892189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06" w:hRule="atLeast"/>
          <w:jc w:val="center"/>
        </w:trPr>
        <w:tc>
          <w:tcPr>
            <w:tcW w:w="0" w:type="auto"/>
            <w:tcBorders>
              <w:tl2br w:val="nil"/>
              <w:tr2bl w:val="nil"/>
            </w:tcBorders>
            <w:shd w:val="clear" w:color="auto" w:fill="auto"/>
            <w:noWrap/>
            <w:vAlign w:val="center"/>
          </w:tcPr>
          <w:p w14:paraId="52D8437C">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0" w:type="auto"/>
            <w:tcBorders>
              <w:tl2br w:val="nil"/>
              <w:tr2bl w:val="nil"/>
            </w:tcBorders>
            <w:shd w:val="clear" w:color="auto" w:fill="auto"/>
            <w:noWrap/>
            <w:vAlign w:val="center"/>
          </w:tcPr>
          <w:p w14:paraId="053F395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[270-285]</w:t>
            </w:r>
          </w:p>
        </w:tc>
        <w:tc>
          <w:tcPr>
            <w:tcW w:w="0" w:type="auto"/>
            <w:tcBorders>
              <w:tl2br w:val="nil"/>
              <w:tr2bl w:val="nil"/>
            </w:tcBorders>
            <w:shd w:val="clear" w:color="auto" w:fill="auto"/>
            <w:noWrap/>
            <w:vAlign w:val="center"/>
          </w:tcPr>
          <w:p w14:paraId="13BA1C8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277.5</w:t>
            </w:r>
          </w:p>
        </w:tc>
        <w:tc>
          <w:tcPr>
            <w:tcW w:w="0" w:type="auto"/>
            <w:tcBorders>
              <w:tl2br w:val="nil"/>
              <w:tr2bl w:val="nil"/>
            </w:tcBorders>
            <w:shd w:val="clear" w:color="auto" w:fill="auto"/>
            <w:noWrap/>
            <w:vAlign w:val="center"/>
          </w:tcPr>
          <w:p w14:paraId="09D2B414">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19</w:t>
            </w:r>
          </w:p>
        </w:tc>
        <w:tc>
          <w:tcPr>
            <w:tcW w:w="0" w:type="auto"/>
            <w:tcBorders>
              <w:tl2br w:val="nil"/>
              <w:tr2bl w:val="nil"/>
            </w:tcBorders>
            <w:shd w:val="clear" w:color="auto" w:fill="auto"/>
            <w:noWrap/>
            <w:vAlign w:val="center"/>
          </w:tcPr>
          <w:p w14:paraId="44FAB63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19.00%</w:t>
            </w:r>
          </w:p>
        </w:tc>
      </w:tr>
      <w:tr w14:paraId="3F0EF4B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06" w:hRule="atLeast"/>
          <w:jc w:val="center"/>
        </w:trPr>
        <w:tc>
          <w:tcPr>
            <w:tcW w:w="0" w:type="auto"/>
            <w:tcBorders>
              <w:tl2br w:val="nil"/>
              <w:tr2bl w:val="nil"/>
            </w:tcBorders>
            <w:shd w:val="clear" w:color="auto" w:fill="auto"/>
            <w:noWrap/>
            <w:vAlign w:val="center"/>
          </w:tcPr>
          <w:p w14:paraId="0589599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0" w:type="auto"/>
            <w:tcBorders>
              <w:tl2br w:val="nil"/>
              <w:tr2bl w:val="nil"/>
            </w:tcBorders>
            <w:shd w:val="clear" w:color="auto" w:fill="auto"/>
            <w:noWrap/>
            <w:vAlign w:val="center"/>
          </w:tcPr>
          <w:p w14:paraId="1FB06FB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[285-300]</w:t>
            </w:r>
          </w:p>
        </w:tc>
        <w:tc>
          <w:tcPr>
            <w:tcW w:w="0" w:type="auto"/>
            <w:tcBorders>
              <w:tl2br w:val="nil"/>
              <w:tr2bl w:val="nil"/>
            </w:tcBorders>
            <w:shd w:val="clear" w:color="auto" w:fill="auto"/>
            <w:noWrap/>
            <w:vAlign w:val="center"/>
          </w:tcPr>
          <w:p w14:paraId="3FE66B0C">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292.5</w:t>
            </w:r>
          </w:p>
        </w:tc>
        <w:tc>
          <w:tcPr>
            <w:tcW w:w="0" w:type="auto"/>
            <w:tcBorders>
              <w:tl2br w:val="nil"/>
              <w:tr2bl w:val="nil"/>
            </w:tcBorders>
            <w:shd w:val="clear" w:color="auto" w:fill="auto"/>
            <w:noWrap/>
            <w:vAlign w:val="center"/>
          </w:tcPr>
          <w:p w14:paraId="775FF3CD">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0" w:type="auto"/>
            <w:tcBorders>
              <w:tl2br w:val="nil"/>
              <w:tr2bl w:val="nil"/>
            </w:tcBorders>
            <w:shd w:val="clear" w:color="auto" w:fill="auto"/>
            <w:noWrap/>
            <w:vAlign w:val="center"/>
          </w:tcPr>
          <w:p w14:paraId="7525247B">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20.00%</w:t>
            </w:r>
          </w:p>
        </w:tc>
      </w:tr>
      <w:tr w14:paraId="3D9F4CD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6" w:hRule="atLeast"/>
          <w:jc w:val="center"/>
        </w:trPr>
        <w:tc>
          <w:tcPr>
            <w:tcW w:w="0" w:type="auto"/>
            <w:tcBorders>
              <w:tl2br w:val="nil"/>
              <w:tr2bl w:val="nil"/>
            </w:tcBorders>
            <w:shd w:val="clear" w:color="auto" w:fill="auto"/>
            <w:noWrap/>
            <w:vAlign w:val="center"/>
          </w:tcPr>
          <w:p w14:paraId="4D7639A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w:t>
            </w:r>
          </w:p>
        </w:tc>
        <w:tc>
          <w:tcPr>
            <w:tcW w:w="0" w:type="auto"/>
            <w:tcBorders>
              <w:tl2br w:val="nil"/>
              <w:tr2bl w:val="nil"/>
            </w:tcBorders>
            <w:shd w:val="clear" w:color="auto" w:fill="auto"/>
            <w:noWrap/>
            <w:vAlign w:val="center"/>
          </w:tcPr>
          <w:p w14:paraId="06F59286">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[300-315]</w:t>
            </w:r>
          </w:p>
        </w:tc>
        <w:tc>
          <w:tcPr>
            <w:tcW w:w="0" w:type="auto"/>
            <w:tcBorders>
              <w:tl2br w:val="nil"/>
              <w:tr2bl w:val="nil"/>
            </w:tcBorders>
            <w:shd w:val="clear" w:color="auto" w:fill="auto"/>
            <w:noWrap/>
            <w:vAlign w:val="center"/>
          </w:tcPr>
          <w:p w14:paraId="583A2FE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307.5</w:t>
            </w:r>
          </w:p>
        </w:tc>
        <w:tc>
          <w:tcPr>
            <w:tcW w:w="0" w:type="auto"/>
            <w:tcBorders>
              <w:tl2br w:val="nil"/>
              <w:tr2bl w:val="nil"/>
            </w:tcBorders>
            <w:shd w:val="clear" w:color="auto" w:fill="auto"/>
            <w:noWrap/>
            <w:vAlign w:val="center"/>
          </w:tcPr>
          <w:p w14:paraId="21AF3A4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w:t>
            </w:r>
          </w:p>
        </w:tc>
        <w:tc>
          <w:tcPr>
            <w:tcW w:w="0" w:type="auto"/>
            <w:tcBorders>
              <w:tl2br w:val="nil"/>
              <w:tr2bl w:val="nil"/>
            </w:tcBorders>
            <w:shd w:val="clear" w:color="auto" w:fill="auto"/>
            <w:noWrap/>
            <w:vAlign w:val="center"/>
          </w:tcPr>
          <w:p w14:paraId="70C4366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7.00%</w:t>
            </w:r>
          </w:p>
        </w:tc>
      </w:tr>
      <w:tr w14:paraId="367B8A7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4" w:hRule="atLeast"/>
          <w:jc w:val="center"/>
        </w:trPr>
        <w:tc>
          <w:tcPr>
            <w:tcW w:w="0" w:type="auto"/>
            <w:tcBorders>
              <w:tl2br w:val="nil"/>
              <w:tr2bl w:val="nil"/>
            </w:tcBorders>
            <w:shd w:val="clear" w:color="auto" w:fill="auto"/>
            <w:noWrap/>
            <w:vAlign w:val="center"/>
          </w:tcPr>
          <w:p w14:paraId="325C058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合计</w:t>
            </w:r>
          </w:p>
        </w:tc>
        <w:tc>
          <w:tcPr>
            <w:tcW w:w="0" w:type="auto"/>
            <w:tcBorders>
              <w:tl2br w:val="nil"/>
              <w:tr2bl w:val="nil"/>
            </w:tcBorders>
            <w:shd w:val="clear" w:color="auto" w:fill="auto"/>
            <w:noWrap/>
            <w:vAlign w:val="center"/>
          </w:tcPr>
          <w:p w14:paraId="4549D5DF">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0" w:type="auto"/>
            <w:tcBorders>
              <w:tl2br w:val="nil"/>
              <w:tr2bl w:val="nil"/>
            </w:tcBorders>
            <w:shd w:val="clear" w:color="auto" w:fill="auto"/>
            <w:noWrap/>
            <w:vAlign w:val="center"/>
          </w:tcPr>
          <w:p w14:paraId="0065D9E4">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0" w:type="auto"/>
            <w:tcBorders>
              <w:tl2br w:val="nil"/>
              <w:tr2bl w:val="nil"/>
            </w:tcBorders>
            <w:shd w:val="clear" w:color="auto" w:fill="auto"/>
            <w:noWrap/>
            <w:vAlign w:val="center"/>
          </w:tcPr>
          <w:p w14:paraId="44679D12">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w:t>
            </w:r>
          </w:p>
        </w:tc>
        <w:tc>
          <w:tcPr>
            <w:tcW w:w="0" w:type="auto"/>
            <w:tcBorders>
              <w:tl2br w:val="nil"/>
              <w:tr2bl w:val="nil"/>
            </w:tcBorders>
            <w:shd w:val="clear" w:color="auto" w:fill="auto"/>
            <w:noWrap/>
            <w:vAlign w:val="center"/>
          </w:tcPr>
          <w:p w14:paraId="352BCFDF">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r>
    </w:tbl>
    <w:p w14:paraId="41D4230D">
      <w:pPr>
        <w:jc w:val="center"/>
        <w:rPr>
          <w:rFonts w:hint="default" w:ascii="Times New Roman" w:hAnsi="Times New Roman" w:cs="Times New Roman"/>
          <w:highlight w:val="none"/>
        </w:rPr>
      </w:pPr>
    </w:p>
    <w:p w14:paraId="57206BC1">
      <w:pPr>
        <w:jc w:val="center"/>
        <w:rPr>
          <w:rFonts w:hint="default" w:ascii="Times New Roman" w:hAnsi="Times New Roman" w:eastAsia="宋体" w:cs="Times New Roman"/>
          <w:highlight w:val="none"/>
          <w:lang w:val="en-US" w:eastAsia="zh-CN"/>
        </w:rPr>
      </w:pPr>
      <w:r>
        <w:rPr>
          <w:rFonts w:hint="default" w:ascii="Times New Roman" w:hAnsi="Times New Roman" w:cs="Times New Roman"/>
          <w:highlight w:val="none"/>
        </w:rPr>
        <w:drawing>
          <wp:inline distT="0" distB="0" distL="114300" distR="114300">
            <wp:extent cx="4963795" cy="1942465"/>
            <wp:effectExtent l="4445" t="4445" r="22860" b="15240"/>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98B138B">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kern w:val="2"/>
          <w:sz w:val="24"/>
          <w:szCs w:val="24"/>
          <w:highlight w:val="none"/>
        </w:rPr>
      </w:pPr>
      <w:r>
        <w:rPr>
          <w:rFonts w:hint="default" w:ascii="Times New Roman" w:hAnsi="Times New Roman" w:cs="Times New Roman"/>
          <w:kern w:val="2"/>
          <w:sz w:val="24"/>
          <w:szCs w:val="24"/>
          <w:highlight w:val="none"/>
        </w:rPr>
        <w:t>图</w:t>
      </w:r>
      <w:r>
        <w:rPr>
          <w:rFonts w:hint="eastAsia" w:cs="Times New Roman"/>
          <w:kern w:val="2"/>
          <w:sz w:val="24"/>
          <w:szCs w:val="24"/>
          <w:highlight w:val="none"/>
          <w:lang w:val="en-US" w:eastAsia="zh-CN"/>
        </w:rPr>
        <w:t>6</w:t>
      </w:r>
      <w:r>
        <w:rPr>
          <w:rFonts w:hint="default" w:ascii="Times New Roman" w:hAnsi="Times New Roman" w:cs="Times New Roman"/>
          <w:kern w:val="2"/>
          <w:sz w:val="24"/>
          <w:szCs w:val="24"/>
          <w:highlight w:val="none"/>
          <w:lang w:val="en-US" w:eastAsia="zh-CN"/>
        </w:rPr>
        <w:t xml:space="preserve">  </w:t>
      </w:r>
      <w:r>
        <w:rPr>
          <w:rFonts w:hint="default" w:ascii="Times New Roman" w:hAnsi="Times New Roman" w:cs="Times New Roman"/>
          <w:kern w:val="2"/>
          <w:sz w:val="24"/>
          <w:szCs w:val="24"/>
          <w:highlight w:val="none"/>
        </w:rPr>
        <w:t xml:space="preserve">T2   </w:t>
      </w:r>
      <w:r>
        <w:rPr>
          <w:rFonts w:hint="eastAsia" w:ascii="宋体" w:hAnsi="宋体"/>
          <w:kern w:val="2"/>
          <w:sz w:val="24"/>
          <w:szCs w:val="24"/>
          <w:highlight w:val="none"/>
          <w:lang w:val="en-US" w:eastAsia="zh-CN"/>
        </w:rPr>
        <w:t>H02</w:t>
      </w:r>
      <w:r>
        <w:rPr>
          <w:rFonts w:hint="default" w:ascii="Times New Roman" w:hAnsi="Times New Roman" w:cs="Times New Roman"/>
          <w:kern w:val="2"/>
          <w:sz w:val="24"/>
          <w:szCs w:val="24"/>
          <w:highlight w:val="none"/>
        </w:rPr>
        <w:t xml:space="preserve"> </w:t>
      </w:r>
      <w:r>
        <w:rPr>
          <w:rFonts w:hint="default" w:ascii="Times New Roman" w:hAnsi="Times New Roman" w:cs="Times New Roman"/>
          <w:sz w:val="24"/>
          <w:szCs w:val="20"/>
          <w:highlight w:val="none"/>
          <w:lang w:val="en-US" w:eastAsia="zh-CN"/>
        </w:rPr>
        <w:t>抗拉强度</w:t>
      </w:r>
      <w:r>
        <w:rPr>
          <w:rFonts w:hint="default" w:ascii="Times New Roman" w:hAnsi="Times New Roman" w:cs="Times New Roman"/>
          <w:kern w:val="2"/>
          <w:sz w:val="24"/>
          <w:szCs w:val="24"/>
          <w:highlight w:val="none"/>
        </w:rPr>
        <w:t xml:space="preserve"> 分布直方图</w:t>
      </w:r>
    </w:p>
    <w:p w14:paraId="1C7F04BB">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kern w:val="2"/>
          <w:sz w:val="24"/>
          <w:szCs w:val="24"/>
          <w:highlight w:val="none"/>
        </w:rPr>
      </w:pPr>
      <w:r>
        <w:rPr>
          <w:rFonts w:hint="eastAsia" w:ascii="宋体" w:hAnsi="宋体" w:cs="宋体"/>
          <w:kern w:val="2"/>
          <w:sz w:val="24"/>
          <w:szCs w:val="24"/>
          <w:highlight w:val="none"/>
        </w:rPr>
        <w:t>由图表可知，性能检测</w:t>
      </w:r>
      <w:r>
        <w:rPr>
          <w:rFonts w:hint="eastAsia" w:ascii="宋体" w:hAnsi="宋体" w:cs="宋体"/>
          <w:kern w:val="2"/>
          <w:sz w:val="24"/>
          <w:szCs w:val="24"/>
          <w:highlight w:val="none"/>
          <w:lang w:val="en-US" w:eastAsia="zh-CN"/>
        </w:rPr>
        <w:t>100</w:t>
      </w:r>
      <w:r>
        <w:rPr>
          <w:rFonts w:hint="eastAsia" w:ascii="宋体" w:hAnsi="宋体" w:cs="宋体"/>
          <w:kern w:val="2"/>
          <w:sz w:val="24"/>
          <w:szCs w:val="24"/>
          <w:highlight w:val="none"/>
        </w:rPr>
        <w:t>项，实际抗拉强度Rm全部在</w:t>
      </w:r>
      <w:r>
        <w:rPr>
          <w:rFonts w:hint="eastAsia" w:ascii="宋体" w:hAnsi="宋体" w:cs="宋体"/>
          <w:kern w:val="2"/>
          <w:sz w:val="24"/>
          <w:szCs w:val="24"/>
          <w:highlight w:val="none"/>
          <w:lang w:val="en-US" w:eastAsia="zh-CN"/>
        </w:rPr>
        <w:t>225</w:t>
      </w:r>
      <w:r>
        <w:rPr>
          <w:rFonts w:hint="eastAsia" w:ascii="宋体" w:hAnsi="宋体" w:cs="宋体"/>
          <w:kern w:val="2"/>
          <w:sz w:val="24"/>
          <w:szCs w:val="24"/>
          <w:highlight w:val="none"/>
        </w:rPr>
        <w:t>MPa以上。该产品技术指标：该产品技术指标：抗拉强度Rm≥2</w:t>
      </w:r>
      <w:r>
        <w:rPr>
          <w:rFonts w:hint="eastAsia" w:ascii="宋体" w:hAnsi="宋体" w:cs="宋体"/>
          <w:kern w:val="2"/>
          <w:sz w:val="24"/>
          <w:szCs w:val="24"/>
          <w:highlight w:val="none"/>
          <w:lang w:val="en-US" w:eastAsia="zh-CN"/>
        </w:rPr>
        <w:t>25</w:t>
      </w:r>
      <w:r>
        <w:rPr>
          <w:rFonts w:hint="eastAsia" w:ascii="宋体" w:hAnsi="宋体" w:cs="宋体"/>
          <w:kern w:val="2"/>
          <w:sz w:val="24"/>
          <w:szCs w:val="24"/>
          <w:highlight w:val="none"/>
        </w:rPr>
        <w:t>MPa,指标在此范围内的达到</w:t>
      </w:r>
      <w:r>
        <w:rPr>
          <w:rFonts w:hint="eastAsia" w:ascii="宋体" w:hAnsi="宋体" w:cs="宋体"/>
          <w:kern w:val="2"/>
          <w:sz w:val="24"/>
          <w:szCs w:val="24"/>
          <w:highlight w:val="none"/>
          <w:lang w:val="en-US" w:eastAsia="zh-CN"/>
        </w:rPr>
        <w:t>100</w:t>
      </w:r>
      <w:r>
        <w:rPr>
          <w:rFonts w:hint="eastAsia" w:ascii="宋体" w:hAnsi="宋体" w:cs="宋体"/>
          <w:kern w:val="2"/>
          <w:sz w:val="24"/>
          <w:szCs w:val="24"/>
          <w:highlight w:val="none"/>
        </w:rPr>
        <w:t>%，产品工艺成熟，指标制定合理。</w:t>
      </w:r>
    </w:p>
    <w:p w14:paraId="05336A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kern w:val="2"/>
          <w:sz w:val="24"/>
          <w:szCs w:val="24"/>
          <w:highlight w:val="none"/>
          <w:lang w:val="en-US" w:eastAsia="zh-CN"/>
        </w:rPr>
      </w:pPr>
      <w:r>
        <w:rPr>
          <w:rFonts w:hint="eastAsia" w:ascii="宋体" w:hAnsi="宋体"/>
          <w:kern w:val="2"/>
          <w:sz w:val="24"/>
          <w:szCs w:val="24"/>
          <w:highlight w:val="none"/>
          <w:lang w:val="en-US" w:eastAsia="zh-CN"/>
        </w:rPr>
        <w:t>2)</w:t>
      </w:r>
      <w:r>
        <w:rPr>
          <w:rFonts w:hint="eastAsia" w:ascii="宋体" w:hAnsi="宋体"/>
          <w:kern w:val="2"/>
          <w:sz w:val="24"/>
          <w:szCs w:val="24"/>
          <w:highlight w:val="none"/>
        </w:rPr>
        <w:t xml:space="preserve">T2   </w:t>
      </w:r>
      <w:r>
        <w:rPr>
          <w:rFonts w:hint="eastAsia" w:ascii="宋体" w:hAnsi="宋体"/>
          <w:kern w:val="2"/>
          <w:sz w:val="24"/>
          <w:szCs w:val="24"/>
          <w:highlight w:val="none"/>
          <w:lang w:val="en-US" w:eastAsia="zh-CN"/>
        </w:rPr>
        <w:t>H02</w:t>
      </w:r>
      <w:r>
        <w:rPr>
          <w:rFonts w:hint="eastAsia" w:ascii="宋体" w:hAnsi="宋体"/>
          <w:kern w:val="2"/>
          <w:sz w:val="24"/>
          <w:szCs w:val="24"/>
          <w:highlight w:val="none"/>
        </w:rPr>
        <w:t xml:space="preserve"> 断后伸长率A</w:t>
      </w:r>
      <w:r>
        <w:rPr>
          <w:rFonts w:hint="eastAsia" w:ascii="宋体" w:hAnsi="宋体"/>
          <w:kern w:val="2"/>
          <w:sz w:val="24"/>
          <w:szCs w:val="24"/>
          <w:highlight w:val="none"/>
          <w:vertAlign w:val="subscript"/>
        </w:rPr>
        <w:t>11.3</w:t>
      </w:r>
      <w:r>
        <w:rPr>
          <w:rFonts w:hint="eastAsia" w:ascii="宋体" w:hAnsi="宋体"/>
          <w:kern w:val="2"/>
          <w:sz w:val="24"/>
          <w:szCs w:val="24"/>
          <w:highlight w:val="none"/>
        </w:rPr>
        <w:t>（%）检测实测统计如表</w:t>
      </w:r>
      <w:r>
        <w:rPr>
          <w:rFonts w:hint="eastAsia" w:ascii="宋体" w:hAnsi="宋体"/>
          <w:kern w:val="2"/>
          <w:sz w:val="24"/>
          <w:szCs w:val="24"/>
          <w:highlight w:val="none"/>
          <w:lang w:val="en-US" w:eastAsia="zh-CN"/>
        </w:rPr>
        <w:t>20</w:t>
      </w:r>
    </w:p>
    <w:p w14:paraId="0091B6A9">
      <w:pPr>
        <w:keepNext w:val="0"/>
        <w:keepLines w:val="0"/>
        <w:pageBreakBefore w:val="0"/>
        <w:tabs>
          <w:tab w:val="left" w:pos="2946"/>
          <w:tab w:val="center" w:pos="4212"/>
        </w:tabs>
        <w:kinsoku/>
        <w:wordWrap/>
        <w:overflowPunct/>
        <w:topLinePunct w:val="0"/>
        <w:autoSpaceDE/>
        <w:autoSpaceDN/>
        <w:bidi w:val="0"/>
        <w:snapToGrid/>
        <w:spacing w:line="360" w:lineRule="auto"/>
        <w:jc w:val="center"/>
        <w:rPr>
          <w:rFonts w:hint="default" w:ascii="Times New Roman" w:hAnsi="Times New Roman" w:cs="Times New Roman"/>
          <w:sz w:val="24"/>
          <w:szCs w:val="20"/>
          <w:highlight w:val="none"/>
        </w:rPr>
      </w:pPr>
      <w:r>
        <w:rPr>
          <w:rFonts w:hint="default" w:ascii="Times New Roman" w:hAnsi="Times New Roman" w:cs="Times New Roman"/>
          <w:sz w:val="24"/>
          <w:szCs w:val="20"/>
          <w:highlight w:val="none"/>
          <w:lang w:val="en-US" w:eastAsia="zh-CN"/>
        </w:rPr>
        <w:t>表</w:t>
      </w:r>
      <w:r>
        <w:rPr>
          <w:rFonts w:hint="eastAsia" w:cs="Times New Roman"/>
          <w:sz w:val="24"/>
          <w:szCs w:val="20"/>
          <w:highlight w:val="none"/>
          <w:lang w:val="en-US" w:eastAsia="zh-CN"/>
        </w:rPr>
        <w:t>20</w:t>
      </w:r>
      <w:r>
        <w:rPr>
          <w:rFonts w:hint="default" w:ascii="Times New Roman" w:hAnsi="Times New Roman" w:cs="Times New Roman"/>
          <w:sz w:val="24"/>
          <w:szCs w:val="20"/>
          <w:highlight w:val="none"/>
          <w:lang w:val="en-US" w:eastAsia="zh-CN"/>
        </w:rPr>
        <w:t xml:space="preserve">  T2   </w:t>
      </w:r>
      <w:r>
        <w:rPr>
          <w:rFonts w:hint="eastAsia" w:ascii="宋体" w:hAnsi="宋体"/>
          <w:kern w:val="2"/>
          <w:sz w:val="24"/>
          <w:szCs w:val="24"/>
          <w:highlight w:val="none"/>
          <w:lang w:val="en-US" w:eastAsia="zh-CN"/>
        </w:rPr>
        <w:t>H02</w:t>
      </w:r>
      <w:r>
        <w:rPr>
          <w:rFonts w:hint="default" w:ascii="Times New Roman" w:hAnsi="Times New Roman" w:cs="Times New Roman"/>
          <w:sz w:val="24"/>
          <w:szCs w:val="20"/>
          <w:highlight w:val="none"/>
          <w:lang w:val="en-US" w:eastAsia="zh-CN"/>
        </w:rPr>
        <w:t xml:space="preserve">  断后伸长率 频数和频率分布表</w:t>
      </w:r>
    </w:p>
    <w:tbl>
      <w:tblPr>
        <w:tblStyle w:val="21"/>
        <w:tblW w:w="8997" w:type="dxa"/>
        <w:tblInd w:w="9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355"/>
        <w:gridCol w:w="1900"/>
        <w:gridCol w:w="2127"/>
        <w:gridCol w:w="1750"/>
        <w:gridCol w:w="1865"/>
      </w:tblGrid>
      <w:tr w14:paraId="61A3A5D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28" w:hRule="atLeast"/>
        </w:trPr>
        <w:tc>
          <w:tcPr>
            <w:tcW w:w="1355" w:type="dxa"/>
            <w:tcBorders>
              <w:tl2br w:val="nil"/>
              <w:tr2bl w:val="nil"/>
            </w:tcBorders>
            <w:shd w:val="clear" w:color="auto" w:fill="auto"/>
            <w:noWrap/>
            <w:vAlign w:val="center"/>
          </w:tcPr>
          <w:p w14:paraId="3374599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组号</w:t>
            </w:r>
          </w:p>
        </w:tc>
        <w:tc>
          <w:tcPr>
            <w:tcW w:w="1900" w:type="dxa"/>
            <w:tcBorders>
              <w:tl2br w:val="nil"/>
              <w:tr2bl w:val="nil"/>
            </w:tcBorders>
            <w:shd w:val="clear" w:color="auto" w:fill="auto"/>
            <w:noWrap/>
            <w:vAlign w:val="center"/>
          </w:tcPr>
          <w:p w14:paraId="53EE030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区间</w:t>
            </w:r>
          </w:p>
        </w:tc>
        <w:tc>
          <w:tcPr>
            <w:tcW w:w="2127" w:type="dxa"/>
            <w:tcBorders>
              <w:tl2br w:val="nil"/>
              <w:tr2bl w:val="nil"/>
            </w:tcBorders>
            <w:shd w:val="clear" w:color="auto" w:fill="auto"/>
            <w:noWrap/>
            <w:vAlign w:val="center"/>
          </w:tcPr>
          <w:p w14:paraId="430D328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组中值X’i</w:t>
            </w:r>
          </w:p>
        </w:tc>
        <w:tc>
          <w:tcPr>
            <w:tcW w:w="1750" w:type="dxa"/>
            <w:tcBorders>
              <w:tl2br w:val="nil"/>
              <w:tr2bl w:val="nil"/>
            </w:tcBorders>
            <w:shd w:val="clear" w:color="auto" w:fill="auto"/>
            <w:noWrap/>
            <w:vAlign w:val="center"/>
          </w:tcPr>
          <w:p w14:paraId="70E164FF">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频数ni</w:t>
            </w:r>
          </w:p>
        </w:tc>
        <w:tc>
          <w:tcPr>
            <w:tcW w:w="1865" w:type="dxa"/>
            <w:tcBorders>
              <w:tl2br w:val="nil"/>
              <w:tr2bl w:val="nil"/>
            </w:tcBorders>
            <w:shd w:val="clear" w:color="auto" w:fill="auto"/>
            <w:noWrap/>
            <w:vAlign w:val="center"/>
          </w:tcPr>
          <w:p w14:paraId="411C0DC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频率fi</w:t>
            </w:r>
          </w:p>
        </w:tc>
      </w:tr>
      <w:tr w14:paraId="3FA8E89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28" w:hRule="atLeast"/>
        </w:trPr>
        <w:tc>
          <w:tcPr>
            <w:tcW w:w="0" w:type="auto"/>
            <w:tcBorders>
              <w:tl2br w:val="nil"/>
              <w:tr2bl w:val="nil"/>
            </w:tcBorders>
            <w:shd w:val="clear" w:color="auto" w:fill="auto"/>
            <w:noWrap/>
            <w:vAlign w:val="center"/>
          </w:tcPr>
          <w:p w14:paraId="7E9E1B7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0" w:type="auto"/>
            <w:tcBorders>
              <w:tl2br w:val="nil"/>
              <w:tr2bl w:val="nil"/>
            </w:tcBorders>
            <w:shd w:val="clear" w:color="auto" w:fill="auto"/>
            <w:noWrap/>
            <w:vAlign w:val="center"/>
          </w:tcPr>
          <w:p w14:paraId="1434379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[5-10]</w:t>
            </w:r>
          </w:p>
        </w:tc>
        <w:tc>
          <w:tcPr>
            <w:tcW w:w="0" w:type="auto"/>
            <w:tcBorders>
              <w:tl2br w:val="nil"/>
              <w:tr2bl w:val="nil"/>
            </w:tcBorders>
            <w:shd w:val="clear" w:color="auto" w:fill="auto"/>
            <w:noWrap/>
            <w:vAlign w:val="center"/>
          </w:tcPr>
          <w:p w14:paraId="0099D1EF">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7.5</w:t>
            </w:r>
          </w:p>
        </w:tc>
        <w:tc>
          <w:tcPr>
            <w:tcW w:w="0" w:type="auto"/>
            <w:tcBorders>
              <w:tl2br w:val="nil"/>
              <w:tr2bl w:val="nil"/>
            </w:tcBorders>
            <w:shd w:val="clear" w:color="auto" w:fill="auto"/>
            <w:noWrap/>
            <w:vAlign w:val="center"/>
          </w:tcPr>
          <w:p w14:paraId="156B4F21">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w:t>
            </w:r>
          </w:p>
        </w:tc>
        <w:tc>
          <w:tcPr>
            <w:tcW w:w="0" w:type="auto"/>
            <w:tcBorders>
              <w:tl2br w:val="nil"/>
              <w:tr2bl w:val="nil"/>
            </w:tcBorders>
            <w:shd w:val="clear" w:color="auto" w:fill="auto"/>
            <w:noWrap/>
            <w:vAlign w:val="center"/>
          </w:tcPr>
          <w:p w14:paraId="0514D9A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8.00%</w:t>
            </w:r>
          </w:p>
        </w:tc>
      </w:tr>
      <w:tr w14:paraId="2C5CA6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8" w:hRule="atLeast"/>
        </w:trPr>
        <w:tc>
          <w:tcPr>
            <w:tcW w:w="0" w:type="auto"/>
            <w:tcBorders>
              <w:tl2br w:val="nil"/>
              <w:tr2bl w:val="nil"/>
            </w:tcBorders>
            <w:shd w:val="clear" w:color="auto" w:fill="auto"/>
            <w:noWrap/>
            <w:vAlign w:val="center"/>
          </w:tcPr>
          <w:p w14:paraId="0D22B23F">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0" w:type="auto"/>
            <w:tcBorders>
              <w:tl2br w:val="nil"/>
              <w:tr2bl w:val="nil"/>
            </w:tcBorders>
            <w:shd w:val="clear" w:color="auto" w:fill="auto"/>
            <w:noWrap/>
            <w:vAlign w:val="center"/>
          </w:tcPr>
          <w:p w14:paraId="4EEB26AE">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[10-15]</w:t>
            </w:r>
          </w:p>
        </w:tc>
        <w:tc>
          <w:tcPr>
            <w:tcW w:w="0" w:type="auto"/>
            <w:tcBorders>
              <w:tl2br w:val="nil"/>
              <w:tr2bl w:val="nil"/>
            </w:tcBorders>
            <w:shd w:val="clear" w:color="auto" w:fill="auto"/>
            <w:noWrap/>
            <w:vAlign w:val="center"/>
          </w:tcPr>
          <w:p w14:paraId="5AEEBEB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12.5</w:t>
            </w:r>
          </w:p>
        </w:tc>
        <w:tc>
          <w:tcPr>
            <w:tcW w:w="0" w:type="auto"/>
            <w:tcBorders>
              <w:tl2br w:val="nil"/>
              <w:tr2bl w:val="nil"/>
            </w:tcBorders>
            <w:shd w:val="clear" w:color="auto" w:fill="auto"/>
            <w:noWrap/>
            <w:vAlign w:val="center"/>
          </w:tcPr>
          <w:p w14:paraId="46D4D62E">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w:t>
            </w:r>
          </w:p>
        </w:tc>
        <w:tc>
          <w:tcPr>
            <w:tcW w:w="0" w:type="auto"/>
            <w:tcBorders>
              <w:tl2br w:val="nil"/>
              <w:tr2bl w:val="nil"/>
            </w:tcBorders>
            <w:shd w:val="clear" w:color="auto" w:fill="auto"/>
            <w:noWrap/>
            <w:vAlign w:val="center"/>
          </w:tcPr>
          <w:p w14:paraId="1C9FB2D1">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25.00%</w:t>
            </w:r>
          </w:p>
        </w:tc>
      </w:tr>
      <w:tr w14:paraId="22FE37F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28" w:hRule="atLeast"/>
        </w:trPr>
        <w:tc>
          <w:tcPr>
            <w:tcW w:w="0" w:type="auto"/>
            <w:tcBorders>
              <w:tl2br w:val="nil"/>
              <w:tr2bl w:val="nil"/>
            </w:tcBorders>
            <w:shd w:val="clear" w:color="auto" w:fill="auto"/>
            <w:noWrap/>
            <w:vAlign w:val="center"/>
          </w:tcPr>
          <w:p w14:paraId="2C328551">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0" w:type="auto"/>
            <w:tcBorders>
              <w:tl2br w:val="nil"/>
              <w:tr2bl w:val="nil"/>
            </w:tcBorders>
            <w:shd w:val="clear" w:color="auto" w:fill="auto"/>
            <w:noWrap/>
            <w:vAlign w:val="center"/>
          </w:tcPr>
          <w:p w14:paraId="62FBC9A6">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[15-20]</w:t>
            </w:r>
          </w:p>
        </w:tc>
        <w:tc>
          <w:tcPr>
            <w:tcW w:w="0" w:type="auto"/>
            <w:tcBorders>
              <w:tl2br w:val="nil"/>
              <w:tr2bl w:val="nil"/>
            </w:tcBorders>
            <w:shd w:val="clear" w:color="auto" w:fill="auto"/>
            <w:noWrap/>
            <w:vAlign w:val="center"/>
          </w:tcPr>
          <w:p w14:paraId="10432B16">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17.5</w:t>
            </w:r>
          </w:p>
        </w:tc>
        <w:tc>
          <w:tcPr>
            <w:tcW w:w="0" w:type="auto"/>
            <w:tcBorders>
              <w:tl2br w:val="nil"/>
              <w:tr2bl w:val="nil"/>
            </w:tcBorders>
            <w:shd w:val="clear" w:color="auto" w:fill="auto"/>
            <w:noWrap/>
            <w:vAlign w:val="center"/>
          </w:tcPr>
          <w:p w14:paraId="01ED947B">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w:t>
            </w:r>
          </w:p>
        </w:tc>
        <w:tc>
          <w:tcPr>
            <w:tcW w:w="0" w:type="auto"/>
            <w:tcBorders>
              <w:tl2br w:val="nil"/>
              <w:tr2bl w:val="nil"/>
            </w:tcBorders>
            <w:shd w:val="clear" w:color="auto" w:fill="auto"/>
            <w:noWrap/>
            <w:vAlign w:val="center"/>
          </w:tcPr>
          <w:p w14:paraId="2E79877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22.00%</w:t>
            </w:r>
          </w:p>
        </w:tc>
      </w:tr>
      <w:tr w14:paraId="081AF9E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28" w:hRule="atLeast"/>
        </w:trPr>
        <w:tc>
          <w:tcPr>
            <w:tcW w:w="0" w:type="auto"/>
            <w:tcBorders>
              <w:tl2br w:val="nil"/>
              <w:tr2bl w:val="nil"/>
            </w:tcBorders>
            <w:shd w:val="clear" w:color="auto" w:fill="auto"/>
            <w:noWrap/>
            <w:vAlign w:val="center"/>
          </w:tcPr>
          <w:p w14:paraId="3BB9E3E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0" w:type="auto"/>
            <w:tcBorders>
              <w:tl2br w:val="nil"/>
              <w:tr2bl w:val="nil"/>
            </w:tcBorders>
            <w:shd w:val="clear" w:color="auto" w:fill="auto"/>
            <w:noWrap/>
            <w:vAlign w:val="center"/>
          </w:tcPr>
          <w:p w14:paraId="14F34D5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[20-25]</w:t>
            </w:r>
          </w:p>
        </w:tc>
        <w:tc>
          <w:tcPr>
            <w:tcW w:w="0" w:type="auto"/>
            <w:tcBorders>
              <w:tl2br w:val="nil"/>
              <w:tr2bl w:val="nil"/>
            </w:tcBorders>
            <w:shd w:val="clear" w:color="auto" w:fill="auto"/>
            <w:noWrap/>
            <w:vAlign w:val="center"/>
          </w:tcPr>
          <w:p w14:paraId="5D73564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22.5</w:t>
            </w:r>
          </w:p>
        </w:tc>
        <w:tc>
          <w:tcPr>
            <w:tcW w:w="0" w:type="auto"/>
            <w:tcBorders>
              <w:tl2br w:val="nil"/>
              <w:tr2bl w:val="nil"/>
            </w:tcBorders>
            <w:shd w:val="clear" w:color="auto" w:fill="auto"/>
            <w:noWrap/>
            <w:vAlign w:val="center"/>
          </w:tcPr>
          <w:p w14:paraId="09938CB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31</w:t>
            </w:r>
          </w:p>
        </w:tc>
        <w:tc>
          <w:tcPr>
            <w:tcW w:w="0" w:type="auto"/>
            <w:tcBorders>
              <w:tl2br w:val="nil"/>
              <w:tr2bl w:val="nil"/>
            </w:tcBorders>
            <w:shd w:val="clear" w:color="auto" w:fill="auto"/>
            <w:noWrap/>
            <w:vAlign w:val="center"/>
          </w:tcPr>
          <w:p w14:paraId="29A92BC2">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31.00%</w:t>
            </w:r>
          </w:p>
        </w:tc>
      </w:tr>
      <w:tr w14:paraId="496EDE6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28" w:hRule="atLeast"/>
        </w:trPr>
        <w:tc>
          <w:tcPr>
            <w:tcW w:w="0" w:type="auto"/>
            <w:tcBorders>
              <w:tl2br w:val="nil"/>
              <w:tr2bl w:val="nil"/>
            </w:tcBorders>
            <w:shd w:val="clear" w:color="auto" w:fill="auto"/>
            <w:noWrap/>
            <w:vAlign w:val="center"/>
          </w:tcPr>
          <w:p w14:paraId="2CEFF4BB">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0" w:type="auto"/>
            <w:tcBorders>
              <w:tl2br w:val="nil"/>
              <w:tr2bl w:val="nil"/>
            </w:tcBorders>
            <w:shd w:val="clear" w:color="auto" w:fill="auto"/>
            <w:noWrap/>
            <w:vAlign w:val="center"/>
          </w:tcPr>
          <w:p w14:paraId="50C910C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[25-30]</w:t>
            </w:r>
          </w:p>
        </w:tc>
        <w:tc>
          <w:tcPr>
            <w:tcW w:w="0" w:type="auto"/>
            <w:tcBorders>
              <w:tl2br w:val="nil"/>
              <w:tr2bl w:val="nil"/>
            </w:tcBorders>
            <w:shd w:val="clear" w:color="auto" w:fill="auto"/>
            <w:noWrap/>
            <w:vAlign w:val="center"/>
          </w:tcPr>
          <w:p w14:paraId="4D4481CF">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27.5</w:t>
            </w:r>
          </w:p>
        </w:tc>
        <w:tc>
          <w:tcPr>
            <w:tcW w:w="0" w:type="auto"/>
            <w:tcBorders>
              <w:tl2br w:val="nil"/>
              <w:tr2bl w:val="nil"/>
            </w:tcBorders>
            <w:shd w:val="clear" w:color="auto" w:fill="auto"/>
            <w:noWrap/>
            <w:vAlign w:val="center"/>
          </w:tcPr>
          <w:p w14:paraId="1B3A3E4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w:t>
            </w:r>
          </w:p>
        </w:tc>
        <w:tc>
          <w:tcPr>
            <w:tcW w:w="0" w:type="auto"/>
            <w:tcBorders>
              <w:tl2br w:val="nil"/>
              <w:tr2bl w:val="nil"/>
            </w:tcBorders>
            <w:shd w:val="clear" w:color="auto" w:fill="auto"/>
            <w:noWrap/>
            <w:vAlign w:val="center"/>
          </w:tcPr>
          <w:p w14:paraId="6703289B">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8.00%</w:t>
            </w:r>
          </w:p>
        </w:tc>
      </w:tr>
      <w:tr w14:paraId="7091888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28" w:hRule="atLeast"/>
        </w:trPr>
        <w:tc>
          <w:tcPr>
            <w:tcW w:w="0" w:type="auto"/>
            <w:tcBorders>
              <w:tl2br w:val="nil"/>
              <w:tr2bl w:val="nil"/>
            </w:tcBorders>
            <w:shd w:val="clear" w:color="auto" w:fill="auto"/>
            <w:noWrap/>
            <w:vAlign w:val="center"/>
          </w:tcPr>
          <w:p w14:paraId="2C95801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w:t>
            </w:r>
          </w:p>
        </w:tc>
        <w:tc>
          <w:tcPr>
            <w:tcW w:w="0" w:type="auto"/>
            <w:tcBorders>
              <w:tl2br w:val="nil"/>
              <w:tr2bl w:val="nil"/>
            </w:tcBorders>
            <w:shd w:val="clear" w:color="auto" w:fill="auto"/>
            <w:noWrap/>
            <w:vAlign w:val="center"/>
          </w:tcPr>
          <w:p w14:paraId="431A197C">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[30-35]</w:t>
            </w:r>
          </w:p>
        </w:tc>
        <w:tc>
          <w:tcPr>
            <w:tcW w:w="0" w:type="auto"/>
            <w:tcBorders>
              <w:tl2br w:val="nil"/>
              <w:tr2bl w:val="nil"/>
            </w:tcBorders>
            <w:shd w:val="clear" w:color="auto" w:fill="auto"/>
            <w:noWrap/>
            <w:vAlign w:val="center"/>
          </w:tcPr>
          <w:p w14:paraId="4FFD3AAF">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32.5</w:t>
            </w:r>
          </w:p>
        </w:tc>
        <w:tc>
          <w:tcPr>
            <w:tcW w:w="0" w:type="auto"/>
            <w:tcBorders>
              <w:tl2br w:val="nil"/>
              <w:tr2bl w:val="nil"/>
            </w:tcBorders>
            <w:shd w:val="clear" w:color="auto" w:fill="auto"/>
            <w:noWrap/>
            <w:vAlign w:val="center"/>
          </w:tcPr>
          <w:p w14:paraId="6A19852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0" w:type="auto"/>
            <w:tcBorders>
              <w:tl2br w:val="nil"/>
              <w:tr2bl w:val="nil"/>
            </w:tcBorders>
            <w:shd w:val="clear" w:color="auto" w:fill="auto"/>
            <w:noWrap/>
            <w:vAlign w:val="center"/>
          </w:tcPr>
          <w:p w14:paraId="3662916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w:t>
            </w:r>
          </w:p>
        </w:tc>
      </w:tr>
      <w:tr w14:paraId="009071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8" w:hRule="atLeast"/>
        </w:trPr>
        <w:tc>
          <w:tcPr>
            <w:tcW w:w="0" w:type="auto"/>
            <w:tcBorders>
              <w:tl2br w:val="nil"/>
              <w:tr2bl w:val="nil"/>
            </w:tcBorders>
            <w:shd w:val="clear" w:color="auto" w:fill="auto"/>
            <w:noWrap/>
            <w:vAlign w:val="center"/>
          </w:tcPr>
          <w:p w14:paraId="1412590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w:t>
            </w:r>
          </w:p>
        </w:tc>
        <w:tc>
          <w:tcPr>
            <w:tcW w:w="0" w:type="auto"/>
            <w:tcBorders>
              <w:tl2br w:val="nil"/>
              <w:tr2bl w:val="nil"/>
            </w:tcBorders>
            <w:shd w:val="clear" w:color="auto" w:fill="auto"/>
            <w:noWrap/>
            <w:vAlign w:val="center"/>
          </w:tcPr>
          <w:p w14:paraId="3079AE1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[35-40]</w:t>
            </w:r>
          </w:p>
        </w:tc>
        <w:tc>
          <w:tcPr>
            <w:tcW w:w="0" w:type="auto"/>
            <w:tcBorders>
              <w:tl2br w:val="nil"/>
              <w:tr2bl w:val="nil"/>
            </w:tcBorders>
            <w:shd w:val="clear" w:color="auto" w:fill="auto"/>
            <w:noWrap/>
            <w:vAlign w:val="center"/>
          </w:tcPr>
          <w:p w14:paraId="3AC3F11E">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37.5</w:t>
            </w:r>
          </w:p>
        </w:tc>
        <w:tc>
          <w:tcPr>
            <w:tcW w:w="0" w:type="auto"/>
            <w:tcBorders>
              <w:tl2br w:val="nil"/>
              <w:tr2bl w:val="nil"/>
            </w:tcBorders>
            <w:shd w:val="clear" w:color="auto" w:fill="auto"/>
            <w:noWrap/>
            <w:vAlign w:val="center"/>
          </w:tcPr>
          <w:p w14:paraId="50CC90E2">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0" w:type="auto"/>
            <w:tcBorders>
              <w:tl2br w:val="nil"/>
              <w:tr2bl w:val="nil"/>
            </w:tcBorders>
            <w:shd w:val="clear" w:color="auto" w:fill="auto"/>
            <w:noWrap/>
            <w:vAlign w:val="center"/>
          </w:tcPr>
          <w:p w14:paraId="3D5C16A2">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5.00%</w:t>
            </w:r>
          </w:p>
        </w:tc>
      </w:tr>
      <w:tr w14:paraId="6BE8612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38" w:hRule="atLeast"/>
        </w:trPr>
        <w:tc>
          <w:tcPr>
            <w:tcW w:w="0" w:type="auto"/>
            <w:tcBorders>
              <w:tl2br w:val="nil"/>
              <w:tr2bl w:val="nil"/>
            </w:tcBorders>
            <w:shd w:val="clear" w:color="auto" w:fill="auto"/>
            <w:noWrap/>
            <w:vAlign w:val="center"/>
          </w:tcPr>
          <w:p w14:paraId="4391E7E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合计</w:t>
            </w:r>
          </w:p>
        </w:tc>
        <w:tc>
          <w:tcPr>
            <w:tcW w:w="0" w:type="auto"/>
            <w:tcBorders>
              <w:tl2br w:val="nil"/>
              <w:tr2bl w:val="nil"/>
            </w:tcBorders>
            <w:shd w:val="clear" w:color="auto" w:fill="auto"/>
            <w:noWrap/>
            <w:vAlign w:val="center"/>
          </w:tcPr>
          <w:p w14:paraId="5EE6A92E">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0" w:type="auto"/>
            <w:tcBorders>
              <w:tl2br w:val="nil"/>
              <w:tr2bl w:val="nil"/>
            </w:tcBorders>
            <w:shd w:val="clear" w:color="auto" w:fill="auto"/>
            <w:noWrap/>
            <w:vAlign w:val="center"/>
          </w:tcPr>
          <w:p w14:paraId="1B51683A">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0" w:type="auto"/>
            <w:tcBorders>
              <w:tl2br w:val="nil"/>
              <w:tr2bl w:val="nil"/>
            </w:tcBorders>
            <w:shd w:val="clear" w:color="auto" w:fill="auto"/>
            <w:noWrap/>
            <w:vAlign w:val="center"/>
          </w:tcPr>
          <w:p w14:paraId="1A355366">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w:t>
            </w:r>
          </w:p>
        </w:tc>
        <w:tc>
          <w:tcPr>
            <w:tcW w:w="0" w:type="auto"/>
            <w:tcBorders>
              <w:tl2br w:val="nil"/>
              <w:tr2bl w:val="nil"/>
            </w:tcBorders>
            <w:shd w:val="clear" w:color="auto" w:fill="auto"/>
            <w:noWrap/>
            <w:vAlign w:val="center"/>
          </w:tcPr>
          <w:p w14:paraId="7832A342">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r>
    </w:tbl>
    <w:p w14:paraId="7B106019">
      <w:pPr>
        <w:adjustRightInd/>
        <w:spacing w:line="360" w:lineRule="auto"/>
        <w:jc w:val="center"/>
        <w:textAlignment w:val="auto"/>
        <w:rPr>
          <w:rFonts w:hint="default" w:ascii="Times New Roman" w:hAnsi="Times New Roman" w:cs="Times New Roman"/>
          <w:kern w:val="2"/>
          <w:sz w:val="21"/>
          <w:szCs w:val="21"/>
          <w:highlight w:val="none"/>
        </w:rPr>
      </w:pPr>
    </w:p>
    <w:p w14:paraId="6A0B8A0C">
      <w:pPr>
        <w:adjustRightInd/>
        <w:spacing w:line="360" w:lineRule="auto"/>
        <w:jc w:val="center"/>
        <w:textAlignment w:val="auto"/>
        <w:rPr>
          <w:rFonts w:hint="default" w:ascii="Times New Roman" w:hAnsi="Times New Roman" w:cs="Times New Roman"/>
          <w:kern w:val="2"/>
          <w:sz w:val="21"/>
          <w:szCs w:val="21"/>
          <w:highlight w:val="none"/>
        </w:rPr>
      </w:pPr>
      <w:r>
        <w:rPr>
          <w:rFonts w:hint="default" w:ascii="Times New Roman" w:hAnsi="Times New Roman" w:cs="Times New Roman"/>
          <w:highlight w:val="none"/>
        </w:rPr>
        <w:drawing>
          <wp:inline distT="0" distB="0" distL="114300" distR="114300">
            <wp:extent cx="5295265" cy="1963420"/>
            <wp:effectExtent l="4445" t="4445" r="15240" b="13335"/>
            <wp:docPr id="1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D7E102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图</w:t>
      </w:r>
      <w:r>
        <w:rPr>
          <w:rFonts w:hint="eastAsia" w:ascii="宋体" w:hAnsi="宋体" w:eastAsia="宋体" w:cs="宋体"/>
          <w:kern w:val="2"/>
          <w:sz w:val="24"/>
          <w:szCs w:val="24"/>
          <w:highlight w:val="none"/>
          <w:lang w:val="en-US" w:eastAsia="zh-CN"/>
        </w:rPr>
        <w:t xml:space="preserve">7  </w:t>
      </w:r>
      <w:r>
        <w:rPr>
          <w:rFonts w:hint="eastAsia" w:ascii="宋体" w:hAnsi="宋体" w:eastAsia="宋体" w:cs="宋体"/>
          <w:kern w:val="2"/>
          <w:sz w:val="24"/>
          <w:szCs w:val="24"/>
          <w:highlight w:val="none"/>
        </w:rPr>
        <w:t xml:space="preserve">T2   </w:t>
      </w:r>
      <w:r>
        <w:rPr>
          <w:rFonts w:hint="eastAsia" w:ascii="宋体" w:hAnsi="宋体" w:eastAsia="宋体" w:cs="宋体"/>
          <w:kern w:val="2"/>
          <w:sz w:val="24"/>
          <w:szCs w:val="24"/>
          <w:highlight w:val="none"/>
          <w:lang w:val="en-US" w:eastAsia="zh-CN"/>
        </w:rPr>
        <w:t>H02</w:t>
      </w:r>
      <w:r>
        <w:rPr>
          <w:rFonts w:hint="eastAsia" w:ascii="宋体" w:hAnsi="宋体" w:eastAsia="宋体" w:cs="宋体"/>
          <w:kern w:val="2"/>
          <w:sz w:val="24"/>
          <w:szCs w:val="24"/>
          <w:highlight w:val="none"/>
        </w:rPr>
        <w:t xml:space="preserve"> </w:t>
      </w:r>
      <w:r>
        <w:rPr>
          <w:rFonts w:hint="eastAsia" w:ascii="宋体" w:hAnsi="宋体" w:eastAsia="宋体" w:cs="宋体"/>
          <w:kern w:val="2"/>
          <w:sz w:val="24"/>
          <w:szCs w:val="24"/>
          <w:highlight w:val="none"/>
          <w:lang w:val="en-US" w:eastAsia="zh-CN"/>
        </w:rPr>
        <w:t>断后伸长率</w:t>
      </w:r>
      <w:r>
        <w:rPr>
          <w:rFonts w:hint="eastAsia" w:ascii="宋体" w:hAnsi="宋体" w:eastAsia="宋体" w:cs="宋体"/>
          <w:kern w:val="2"/>
          <w:sz w:val="24"/>
          <w:szCs w:val="24"/>
          <w:highlight w:val="none"/>
        </w:rPr>
        <w:t xml:space="preserve"> 分布直方图</w:t>
      </w:r>
    </w:p>
    <w:p w14:paraId="60F1DC6C">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由图表可知，性能检测</w:t>
      </w:r>
      <w:r>
        <w:rPr>
          <w:rFonts w:hint="eastAsia" w:ascii="宋体" w:hAnsi="宋体" w:eastAsia="宋体" w:cs="宋体"/>
          <w:kern w:val="2"/>
          <w:sz w:val="24"/>
          <w:szCs w:val="24"/>
          <w:highlight w:val="none"/>
          <w:lang w:val="en-US" w:eastAsia="zh-CN"/>
        </w:rPr>
        <w:t>100</w:t>
      </w:r>
      <w:r>
        <w:rPr>
          <w:rFonts w:hint="eastAsia" w:ascii="宋体" w:hAnsi="宋体" w:eastAsia="宋体" w:cs="宋体"/>
          <w:kern w:val="2"/>
          <w:sz w:val="24"/>
          <w:szCs w:val="24"/>
          <w:highlight w:val="none"/>
        </w:rPr>
        <w:t>项，实际</w:t>
      </w:r>
      <w:r>
        <w:rPr>
          <w:rFonts w:hint="eastAsia" w:ascii="宋体" w:hAnsi="宋体" w:eastAsia="宋体" w:cs="宋体"/>
          <w:kern w:val="2"/>
          <w:sz w:val="24"/>
          <w:szCs w:val="24"/>
          <w:highlight w:val="none"/>
          <w:lang w:val="en-US" w:eastAsia="zh-CN"/>
        </w:rPr>
        <w:t>H02</w:t>
      </w:r>
      <w:r>
        <w:rPr>
          <w:rFonts w:hint="eastAsia" w:ascii="宋体" w:hAnsi="宋体" w:eastAsia="宋体" w:cs="宋体"/>
          <w:kern w:val="2"/>
          <w:sz w:val="24"/>
          <w:szCs w:val="24"/>
          <w:highlight w:val="none"/>
        </w:rPr>
        <w:t>断后伸长率A</w:t>
      </w:r>
      <w:r>
        <w:rPr>
          <w:rFonts w:hint="eastAsia" w:ascii="宋体" w:hAnsi="宋体" w:eastAsia="宋体" w:cs="宋体"/>
          <w:kern w:val="2"/>
          <w:sz w:val="24"/>
          <w:szCs w:val="24"/>
          <w:highlight w:val="none"/>
          <w:vertAlign w:val="subscript"/>
        </w:rPr>
        <w:t>11.3</w:t>
      </w:r>
      <w:r>
        <w:rPr>
          <w:rFonts w:hint="eastAsia" w:ascii="宋体" w:hAnsi="宋体" w:eastAsia="宋体" w:cs="宋体"/>
          <w:kern w:val="2"/>
          <w:sz w:val="24"/>
          <w:szCs w:val="24"/>
          <w:highlight w:val="none"/>
        </w:rPr>
        <w:t>（%）全部在</w:t>
      </w:r>
      <w:r>
        <w:rPr>
          <w:rFonts w:hint="eastAsia" w:ascii="宋体" w:hAnsi="宋体" w:eastAsia="宋体" w:cs="宋体"/>
          <w:kern w:val="2"/>
          <w:sz w:val="24"/>
          <w:szCs w:val="24"/>
          <w:highlight w:val="none"/>
          <w:lang w:val="en-US" w:eastAsia="zh-CN"/>
        </w:rPr>
        <w:t>7</w:t>
      </w:r>
      <w:r>
        <w:rPr>
          <w:rFonts w:hint="eastAsia" w:ascii="宋体" w:hAnsi="宋体" w:eastAsia="宋体" w:cs="宋体"/>
          <w:kern w:val="2"/>
          <w:sz w:val="24"/>
          <w:szCs w:val="24"/>
          <w:highlight w:val="none"/>
        </w:rPr>
        <w:t>%以上。该产品技术指标：该产品技术指标：断后伸长率A</w:t>
      </w:r>
      <w:r>
        <w:rPr>
          <w:rFonts w:hint="eastAsia" w:ascii="宋体" w:hAnsi="宋体" w:eastAsia="宋体" w:cs="宋体"/>
          <w:kern w:val="2"/>
          <w:sz w:val="24"/>
          <w:szCs w:val="24"/>
          <w:highlight w:val="none"/>
          <w:vertAlign w:val="subscript"/>
        </w:rPr>
        <w:t>11.3</w:t>
      </w:r>
      <w:r>
        <w:rPr>
          <w:rFonts w:hint="eastAsia" w:ascii="宋体" w:hAnsi="宋体" w:eastAsia="宋体" w:cs="宋体"/>
          <w:kern w:val="2"/>
          <w:sz w:val="24"/>
          <w:szCs w:val="24"/>
          <w:highlight w:val="none"/>
        </w:rPr>
        <w:t>（%）≥</w:t>
      </w:r>
      <w:r>
        <w:rPr>
          <w:rFonts w:hint="eastAsia" w:ascii="宋体" w:hAnsi="宋体" w:eastAsia="宋体" w:cs="宋体"/>
          <w:kern w:val="2"/>
          <w:sz w:val="24"/>
          <w:szCs w:val="24"/>
          <w:highlight w:val="none"/>
          <w:lang w:val="en-US" w:eastAsia="zh-CN"/>
        </w:rPr>
        <w:t>7</w:t>
      </w:r>
      <w:r>
        <w:rPr>
          <w:rFonts w:hint="eastAsia" w:ascii="宋体" w:hAnsi="宋体" w:eastAsia="宋体" w:cs="宋体"/>
          <w:kern w:val="2"/>
          <w:sz w:val="24"/>
          <w:szCs w:val="24"/>
          <w:highlight w:val="none"/>
        </w:rPr>
        <w:t>%,指标在此范围内的达到100%，指标制定合理。</w:t>
      </w:r>
    </w:p>
    <w:p w14:paraId="05D2C3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highlight w:val="none"/>
          <w:lang w:val="en-US" w:eastAsia="zh-CN"/>
        </w:rPr>
      </w:pPr>
      <w:r>
        <w:rPr>
          <w:rFonts w:hint="eastAsia" w:ascii="宋体" w:hAnsi="宋体" w:eastAsia="宋体" w:cs="宋体"/>
          <w:kern w:val="2"/>
          <w:sz w:val="24"/>
          <w:szCs w:val="24"/>
          <w:highlight w:val="none"/>
          <w:lang w:val="en-US" w:eastAsia="zh-CN"/>
        </w:rPr>
        <w:t>3)</w:t>
      </w:r>
      <w:r>
        <w:rPr>
          <w:rFonts w:hint="eastAsia" w:ascii="宋体" w:hAnsi="宋体" w:eastAsia="宋体" w:cs="宋体"/>
          <w:kern w:val="2"/>
          <w:sz w:val="24"/>
          <w:szCs w:val="24"/>
          <w:highlight w:val="none"/>
        </w:rPr>
        <w:t xml:space="preserve">T2   </w:t>
      </w:r>
      <w:r>
        <w:rPr>
          <w:rFonts w:hint="eastAsia" w:ascii="宋体" w:hAnsi="宋体" w:eastAsia="宋体" w:cs="宋体"/>
          <w:kern w:val="2"/>
          <w:sz w:val="24"/>
          <w:szCs w:val="24"/>
          <w:highlight w:val="none"/>
          <w:lang w:val="en-US" w:eastAsia="zh-CN"/>
        </w:rPr>
        <w:t>H02</w:t>
      </w:r>
      <w:r>
        <w:rPr>
          <w:rFonts w:hint="eastAsia" w:ascii="宋体" w:hAnsi="宋体" w:eastAsia="宋体" w:cs="宋体"/>
          <w:kern w:val="2"/>
          <w:sz w:val="24"/>
          <w:szCs w:val="24"/>
          <w:highlight w:val="none"/>
        </w:rPr>
        <w:t xml:space="preserve"> 维氏硬度HV检测实测统计如表</w:t>
      </w:r>
      <w:r>
        <w:rPr>
          <w:rFonts w:hint="eastAsia" w:ascii="宋体" w:hAnsi="宋体" w:eastAsia="宋体" w:cs="宋体"/>
          <w:kern w:val="2"/>
          <w:sz w:val="24"/>
          <w:szCs w:val="24"/>
          <w:highlight w:val="none"/>
          <w:lang w:val="en-US" w:eastAsia="zh-CN"/>
        </w:rPr>
        <w:t>21</w:t>
      </w:r>
    </w:p>
    <w:p w14:paraId="15A25B98">
      <w:pPr>
        <w:keepNext w:val="0"/>
        <w:keepLines w:val="0"/>
        <w:pageBreakBefore w:val="0"/>
        <w:tabs>
          <w:tab w:val="left" w:pos="2946"/>
          <w:tab w:val="center" w:pos="4212"/>
        </w:tabs>
        <w:kinsoku/>
        <w:wordWrap/>
        <w:overflowPunct/>
        <w:topLinePunct w:val="0"/>
        <w:autoSpaceDE/>
        <w:autoSpaceDN/>
        <w:bidi w:val="0"/>
        <w:snapToGrid/>
        <w:spacing w:line="360" w:lineRule="auto"/>
        <w:jc w:val="center"/>
        <w:rPr>
          <w:rFonts w:hint="eastAsia" w:ascii="宋体" w:hAnsi="宋体" w:eastAsia="宋体" w:cs="宋体"/>
          <w:sz w:val="24"/>
          <w:szCs w:val="20"/>
          <w:highlight w:val="none"/>
        </w:rPr>
      </w:pPr>
      <w:r>
        <w:rPr>
          <w:rFonts w:hint="eastAsia" w:ascii="宋体" w:hAnsi="宋体" w:eastAsia="宋体" w:cs="宋体"/>
          <w:sz w:val="24"/>
          <w:szCs w:val="20"/>
          <w:highlight w:val="none"/>
          <w:lang w:val="en-US" w:eastAsia="zh-CN"/>
        </w:rPr>
        <w:t xml:space="preserve">表21  T2   </w:t>
      </w:r>
      <w:r>
        <w:rPr>
          <w:rFonts w:hint="eastAsia" w:ascii="宋体" w:hAnsi="宋体" w:eastAsia="宋体" w:cs="宋体"/>
          <w:kern w:val="2"/>
          <w:sz w:val="24"/>
          <w:szCs w:val="24"/>
          <w:highlight w:val="none"/>
          <w:lang w:val="en-US" w:eastAsia="zh-CN"/>
        </w:rPr>
        <w:t>H02</w:t>
      </w:r>
      <w:r>
        <w:rPr>
          <w:rFonts w:hint="eastAsia" w:ascii="宋体" w:hAnsi="宋体" w:eastAsia="宋体" w:cs="宋体"/>
          <w:sz w:val="24"/>
          <w:szCs w:val="20"/>
          <w:highlight w:val="none"/>
          <w:lang w:val="en-US" w:eastAsia="zh-CN"/>
        </w:rPr>
        <w:t xml:space="preserve">  硬度HV 频数和频率分布表</w:t>
      </w:r>
    </w:p>
    <w:tbl>
      <w:tblPr>
        <w:tblStyle w:val="21"/>
        <w:tblW w:w="879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325"/>
        <w:gridCol w:w="1859"/>
        <w:gridCol w:w="2081"/>
        <w:gridCol w:w="1712"/>
        <w:gridCol w:w="1822"/>
      </w:tblGrid>
      <w:tr w14:paraId="6D1870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4" w:hRule="atLeast"/>
          <w:jc w:val="center"/>
        </w:trPr>
        <w:tc>
          <w:tcPr>
            <w:tcW w:w="1325" w:type="dxa"/>
            <w:tcBorders>
              <w:tl2br w:val="nil"/>
              <w:tr2bl w:val="nil"/>
            </w:tcBorders>
            <w:shd w:val="clear" w:color="auto" w:fill="auto"/>
            <w:noWrap/>
            <w:vAlign w:val="center"/>
          </w:tcPr>
          <w:p w14:paraId="769663B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组号</w:t>
            </w:r>
          </w:p>
        </w:tc>
        <w:tc>
          <w:tcPr>
            <w:tcW w:w="1859" w:type="dxa"/>
            <w:tcBorders>
              <w:tl2br w:val="nil"/>
              <w:tr2bl w:val="nil"/>
            </w:tcBorders>
            <w:shd w:val="clear" w:color="auto" w:fill="auto"/>
            <w:noWrap/>
            <w:vAlign w:val="center"/>
          </w:tcPr>
          <w:p w14:paraId="057A459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区间</w:t>
            </w:r>
          </w:p>
        </w:tc>
        <w:tc>
          <w:tcPr>
            <w:tcW w:w="2081" w:type="dxa"/>
            <w:tcBorders>
              <w:tl2br w:val="nil"/>
              <w:tr2bl w:val="nil"/>
            </w:tcBorders>
            <w:shd w:val="clear" w:color="auto" w:fill="auto"/>
            <w:noWrap/>
            <w:vAlign w:val="center"/>
          </w:tcPr>
          <w:p w14:paraId="7E823A0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组中值X’i</w:t>
            </w:r>
          </w:p>
        </w:tc>
        <w:tc>
          <w:tcPr>
            <w:tcW w:w="1712" w:type="dxa"/>
            <w:tcBorders>
              <w:tl2br w:val="nil"/>
              <w:tr2bl w:val="nil"/>
            </w:tcBorders>
            <w:shd w:val="clear" w:color="auto" w:fill="auto"/>
            <w:noWrap/>
            <w:vAlign w:val="center"/>
          </w:tcPr>
          <w:p w14:paraId="55097A6C">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频数ni</w:t>
            </w:r>
          </w:p>
        </w:tc>
        <w:tc>
          <w:tcPr>
            <w:tcW w:w="1822" w:type="dxa"/>
            <w:tcBorders>
              <w:tl2br w:val="nil"/>
              <w:tr2bl w:val="nil"/>
            </w:tcBorders>
            <w:shd w:val="clear" w:color="auto" w:fill="auto"/>
            <w:noWrap/>
            <w:vAlign w:val="center"/>
          </w:tcPr>
          <w:p w14:paraId="7D9EB38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频率fi</w:t>
            </w:r>
          </w:p>
        </w:tc>
      </w:tr>
      <w:tr w14:paraId="6BEAAA7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6" w:hRule="atLeast"/>
          <w:jc w:val="center"/>
        </w:trPr>
        <w:tc>
          <w:tcPr>
            <w:tcW w:w="0" w:type="auto"/>
            <w:tcBorders>
              <w:tl2br w:val="nil"/>
              <w:tr2bl w:val="nil"/>
            </w:tcBorders>
            <w:shd w:val="clear" w:color="auto" w:fill="auto"/>
            <w:noWrap/>
            <w:vAlign w:val="center"/>
          </w:tcPr>
          <w:p w14:paraId="654FEB0C">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0" w:type="auto"/>
            <w:tcBorders>
              <w:tl2br w:val="nil"/>
              <w:tr2bl w:val="nil"/>
            </w:tcBorders>
            <w:shd w:val="clear" w:color="auto" w:fill="auto"/>
            <w:noWrap/>
            <w:vAlign w:val="center"/>
          </w:tcPr>
          <w:p w14:paraId="75C9BBB6">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[80-85]</w:t>
            </w:r>
          </w:p>
        </w:tc>
        <w:tc>
          <w:tcPr>
            <w:tcW w:w="0" w:type="auto"/>
            <w:tcBorders>
              <w:tl2br w:val="nil"/>
              <w:tr2bl w:val="nil"/>
            </w:tcBorders>
            <w:shd w:val="clear" w:color="auto" w:fill="auto"/>
            <w:noWrap/>
            <w:vAlign w:val="center"/>
          </w:tcPr>
          <w:p w14:paraId="027F1901">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82.5</w:t>
            </w:r>
          </w:p>
        </w:tc>
        <w:tc>
          <w:tcPr>
            <w:tcW w:w="0" w:type="auto"/>
            <w:tcBorders>
              <w:tl2br w:val="nil"/>
              <w:tr2bl w:val="nil"/>
            </w:tcBorders>
            <w:shd w:val="clear" w:color="auto" w:fill="auto"/>
            <w:noWrap/>
            <w:vAlign w:val="center"/>
          </w:tcPr>
          <w:p w14:paraId="4F9E0EC2">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w:t>
            </w:r>
          </w:p>
        </w:tc>
        <w:tc>
          <w:tcPr>
            <w:tcW w:w="0" w:type="auto"/>
            <w:tcBorders>
              <w:tl2br w:val="nil"/>
              <w:tr2bl w:val="nil"/>
            </w:tcBorders>
            <w:shd w:val="clear" w:color="auto" w:fill="auto"/>
            <w:noWrap/>
            <w:vAlign w:val="center"/>
          </w:tcPr>
          <w:p w14:paraId="1905423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18.00%</w:t>
            </w:r>
          </w:p>
        </w:tc>
      </w:tr>
      <w:tr w14:paraId="207EC3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6" w:hRule="atLeast"/>
          <w:jc w:val="center"/>
        </w:trPr>
        <w:tc>
          <w:tcPr>
            <w:tcW w:w="0" w:type="auto"/>
            <w:tcBorders>
              <w:tl2br w:val="nil"/>
              <w:tr2bl w:val="nil"/>
            </w:tcBorders>
            <w:shd w:val="clear" w:color="auto" w:fill="auto"/>
            <w:noWrap/>
            <w:vAlign w:val="center"/>
          </w:tcPr>
          <w:p w14:paraId="0355D1BC">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0" w:type="auto"/>
            <w:tcBorders>
              <w:tl2br w:val="nil"/>
              <w:tr2bl w:val="nil"/>
            </w:tcBorders>
            <w:shd w:val="clear" w:color="auto" w:fill="auto"/>
            <w:noWrap/>
            <w:vAlign w:val="center"/>
          </w:tcPr>
          <w:p w14:paraId="3B5F078D">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[85-90]</w:t>
            </w:r>
          </w:p>
        </w:tc>
        <w:tc>
          <w:tcPr>
            <w:tcW w:w="0" w:type="auto"/>
            <w:tcBorders>
              <w:tl2br w:val="nil"/>
              <w:tr2bl w:val="nil"/>
            </w:tcBorders>
            <w:shd w:val="clear" w:color="auto" w:fill="auto"/>
            <w:noWrap/>
            <w:vAlign w:val="center"/>
          </w:tcPr>
          <w:p w14:paraId="71ED616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87.5</w:t>
            </w:r>
          </w:p>
        </w:tc>
        <w:tc>
          <w:tcPr>
            <w:tcW w:w="0" w:type="auto"/>
            <w:tcBorders>
              <w:tl2br w:val="nil"/>
              <w:tr2bl w:val="nil"/>
            </w:tcBorders>
            <w:shd w:val="clear" w:color="auto" w:fill="auto"/>
            <w:noWrap/>
            <w:vAlign w:val="center"/>
          </w:tcPr>
          <w:p w14:paraId="397079E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17</w:t>
            </w:r>
          </w:p>
        </w:tc>
        <w:tc>
          <w:tcPr>
            <w:tcW w:w="0" w:type="auto"/>
            <w:tcBorders>
              <w:tl2br w:val="nil"/>
              <w:tr2bl w:val="nil"/>
            </w:tcBorders>
            <w:shd w:val="clear" w:color="auto" w:fill="auto"/>
            <w:noWrap/>
            <w:vAlign w:val="center"/>
          </w:tcPr>
          <w:p w14:paraId="03D2D29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17.00%</w:t>
            </w:r>
          </w:p>
        </w:tc>
      </w:tr>
      <w:tr w14:paraId="43C4F7C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6" w:hRule="atLeast"/>
          <w:jc w:val="center"/>
        </w:trPr>
        <w:tc>
          <w:tcPr>
            <w:tcW w:w="0" w:type="auto"/>
            <w:tcBorders>
              <w:tl2br w:val="nil"/>
              <w:tr2bl w:val="nil"/>
            </w:tcBorders>
            <w:shd w:val="clear" w:color="auto" w:fill="auto"/>
            <w:noWrap/>
            <w:vAlign w:val="center"/>
          </w:tcPr>
          <w:p w14:paraId="7EB335D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0" w:type="auto"/>
            <w:tcBorders>
              <w:tl2br w:val="nil"/>
              <w:tr2bl w:val="nil"/>
            </w:tcBorders>
            <w:shd w:val="clear" w:color="auto" w:fill="auto"/>
            <w:noWrap/>
            <w:vAlign w:val="center"/>
          </w:tcPr>
          <w:p w14:paraId="71196C7D">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[90-95]</w:t>
            </w:r>
          </w:p>
        </w:tc>
        <w:tc>
          <w:tcPr>
            <w:tcW w:w="0" w:type="auto"/>
            <w:tcBorders>
              <w:tl2br w:val="nil"/>
              <w:tr2bl w:val="nil"/>
            </w:tcBorders>
            <w:shd w:val="clear" w:color="auto" w:fill="auto"/>
            <w:noWrap/>
            <w:vAlign w:val="center"/>
          </w:tcPr>
          <w:p w14:paraId="393F5C9F">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92.5</w:t>
            </w:r>
          </w:p>
        </w:tc>
        <w:tc>
          <w:tcPr>
            <w:tcW w:w="0" w:type="auto"/>
            <w:tcBorders>
              <w:tl2br w:val="nil"/>
              <w:tr2bl w:val="nil"/>
            </w:tcBorders>
            <w:shd w:val="clear" w:color="auto" w:fill="auto"/>
            <w:noWrap/>
            <w:vAlign w:val="center"/>
          </w:tcPr>
          <w:p w14:paraId="632AC07F">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w:t>
            </w:r>
          </w:p>
        </w:tc>
        <w:tc>
          <w:tcPr>
            <w:tcW w:w="0" w:type="auto"/>
            <w:tcBorders>
              <w:tl2br w:val="nil"/>
              <w:tr2bl w:val="nil"/>
            </w:tcBorders>
            <w:shd w:val="clear" w:color="auto" w:fill="auto"/>
            <w:noWrap/>
            <w:vAlign w:val="center"/>
          </w:tcPr>
          <w:p w14:paraId="6EF03786">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12.00%</w:t>
            </w:r>
          </w:p>
        </w:tc>
      </w:tr>
      <w:tr w14:paraId="4427F94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0" w:type="auto"/>
            <w:tcBorders>
              <w:tl2br w:val="nil"/>
              <w:tr2bl w:val="nil"/>
            </w:tcBorders>
            <w:shd w:val="clear" w:color="auto" w:fill="auto"/>
            <w:noWrap/>
            <w:vAlign w:val="center"/>
          </w:tcPr>
          <w:p w14:paraId="0A729306">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0" w:type="auto"/>
            <w:tcBorders>
              <w:tl2br w:val="nil"/>
              <w:tr2bl w:val="nil"/>
            </w:tcBorders>
            <w:shd w:val="clear" w:color="auto" w:fill="auto"/>
            <w:noWrap/>
            <w:vAlign w:val="center"/>
          </w:tcPr>
          <w:p w14:paraId="3A057DE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[95-100]</w:t>
            </w:r>
          </w:p>
        </w:tc>
        <w:tc>
          <w:tcPr>
            <w:tcW w:w="0" w:type="auto"/>
            <w:tcBorders>
              <w:tl2br w:val="nil"/>
              <w:tr2bl w:val="nil"/>
            </w:tcBorders>
            <w:shd w:val="clear" w:color="auto" w:fill="auto"/>
            <w:noWrap/>
            <w:vAlign w:val="center"/>
          </w:tcPr>
          <w:p w14:paraId="0D8025C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97.5</w:t>
            </w:r>
          </w:p>
        </w:tc>
        <w:tc>
          <w:tcPr>
            <w:tcW w:w="0" w:type="auto"/>
            <w:tcBorders>
              <w:tl2br w:val="nil"/>
              <w:tr2bl w:val="nil"/>
            </w:tcBorders>
            <w:shd w:val="clear" w:color="auto" w:fill="auto"/>
            <w:noWrap/>
            <w:vAlign w:val="center"/>
          </w:tcPr>
          <w:p w14:paraId="466FF372">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14</w:t>
            </w:r>
          </w:p>
        </w:tc>
        <w:tc>
          <w:tcPr>
            <w:tcW w:w="0" w:type="auto"/>
            <w:tcBorders>
              <w:tl2br w:val="nil"/>
              <w:tr2bl w:val="nil"/>
            </w:tcBorders>
            <w:shd w:val="clear" w:color="auto" w:fill="auto"/>
            <w:noWrap/>
            <w:vAlign w:val="center"/>
          </w:tcPr>
          <w:p w14:paraId="2AA7249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14.00%</w:t>
            </w:r>
          </w:p>
        </w:tc>
      </w:tr>
      <w:tr w14:paraId="59E460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0" w:type="auto"/>
            <w:tcBorders>
              <w:tl2br w:val="nil"/>
              <w:tr2bl w:val="nil"/>
            </w:tcBorders>
            <w:shd w:val="clear" w:color="auto" w:fill="auto"/>
            <w:noWrap/>
            <w:vAlign w:val="center"/>
          </w:tcPr>
          <w:p w14:paraId="2C2531B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0" w:type="auto"/>
            <w:tcBorders>
              <w:tl2br w:val="nil"/>
              <w:tr2bl w:val="nil"/>
            </w:tcBorders>
            <w:shd w:val="clear" w:color="auto" w:fill="auto"/>
            <w:noWrap/>
            <w:vAlign w:val="center"/>
          </w:tcPr>
          <w:p w14:paraId="7B8CFFE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[100-105]</w:t>
            </w:r>
          </w:p>
        </w:tc>
        <w:tc>
          <w:tcPr>
            <w:tcW w:w="0" w:type="auto"/>
            <w:tcBorders>
              <w:tl2br w:val="nil"/>
              <w:tr2bl w:val="nil"/>
            </w:tcBorders>
            <w:shd w:val="clear" w:color="auto" w:fill="auto"/>
            <w:noWrap/>
            <w:vAlign w:val="center"/>
          </w:tcPr>
          <w:p w14:paraId="7E1BCB72">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102.5</w:t>
            </w:r>
          </w:p>
        </w:tc>
        <w:tc>
          <w:tcPr>
            <w:tcW w:w="0" w:type="auto"/>
            <w:tcBorders>
              <w:tl2br w:val="nil"/>
              <w:tr2bl w:val="nil"/>
            </w:tcBorders>
            <w:shd w:val="clear" w:color="auto" w:fill="auto"/>
            <w:noWrap/>
            <w:vAlign w:val="center"/>
          </w:tcPr>
          <w:p w14:paraId="5EE17B4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w:t>
            </w:r>
          </w:p>
        </w:tc>
        <w:tc>
          <w:tcPr>
            <w:tcW w:w="0" w:type="auto"/>
            <w:tcBorders>
              <w:tl2br w:val="nil"/>
              <w:tr2bl w:val="nil"/>
            </w:tcBorders>
            <w:shd w:val="clear" w:color="auto" w:fill="auto"/>
            <w:noWrap/>
            <w:vAlign w:val="center"/>
          </w:tcPr>
          <w:p w14:paraId="6D98B9A1">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18.00%</w:t>
            </w:r>
          </w:p>
        </w:tc>
      </w:tr>
      <w:tr w14:paraId="74F409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0" w:type="auto"/>
            <w:tcBorders>
              <w:tl2br w:val="nil"/>
              <w:tr2bl w:val="nil"/>
            </w:tcBorders>
            <w:shd w:val="clear" w:color="auto" w:fill="auto"/>
            <w:noWrap/>
            <w:vAlign w:val="center"/>
          </w:tcPr>
          <w:p w14:paraId="01DC98C6">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w:t>
            </w:r>
          </w:p>
        </w:tc>
        <w:tc>
          <w:tcPr>
            <w:tcW w:w="0" w:type="auto"/>
            <w:tcBorders>
              <w:tl2br w:val="nil"/>
              <w:tr2bl w:val="nil"/>
            </w:tcBorders>
            <w:shd w:val="clear" w:color="auto" w:fill="auto"/>
            <w:noWrap/>
            <w:vAlign w:val="center"/>
          </w:tcPr>
          <w:p w14:paraId="088B1EB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[105-110]</w:t>
            </w:r>
          </w:p>
        </w:tc>
        <w:tc>
          <w:tcPr>
            <w:tcW w:w="0" w:type="auto"/>
            <w:tcBorders>
              <w:tl2br w:val="nil"/>
              <w:tr2bl w:val="nil"/>
            </w:tcBorders>
            <w:shd w:val="clear" w:color="auto" w:fill="auto"/>
            <w:noWrap/>
            <w:vAlign w:val="center"/>
          </w:tcPr>
          <w:p w14:paraId="2DADAEF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107.5</w:t>
            </w:r>
          </w:p>
        </w:tc>
        <w:tc>
          <w:tcPr>
            <w:tcW w:w="0" w:type="auto"/>
            <w:tcBorders>
              <w:tl2br w:val="nil"/>
              <w:tr2bl w:val="nil"/>
            </w:tcBorders>
            <w:shd w:val="clear" w:color="auto" w:fill="auto"/>
            <w:noWrap/>
            <w:vAlign w:val="center"/>
          </w:tcPr>
          <w:p w14:paraId="492CA2A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w:t>
            </w:r>
          </w:p>
        </w:tc>
        <w:tc>
          <w:tcPr>
            <w:tcW w:w="0" w:type="auto"/>
            <w:tcBorders>
              <w:tl2br w:val="nil"/>
              <w:tr2bl w:val="nil"/>
            </w:tcBorders>
            <w:shd w:val="clear" w:color="auto" w:fill="auto"/>
            <w:noWrap/>
            <w:vAlign w:val="center"/>
          </w:tcPr>
          <w:p w14:paraId="6CF98A3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21.00%</w:t>
            </w:r>
          </w:p>
        </w:tc>
      </w:tr>
      <w:tr w14:paraId="4427EB7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94" w:hRule="atLeast"/>
          <w:jc w:val="center"/>
        </w:trPr>
        <w:tc>
          <w:tcPr>
            <w:tcW w:w="0" w:type="auto"/>
            <w:tcBorders>
              <w:tl2br w:val="nil"/>
              <w:tr2bl w:val="nil"/>
            </w:tcBorders>
            <w:shd w:val="clear" w:color="auto" w:fill="auto"/>
            <w:noWrap/>
            <w:vAlign w:val="center"/>
          </w:tcPr>
          <w:p w14:paraId="467A1CB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合计</w:t>
            </w:r>
          </w:p>
        </w:tc>
        <w:tc>
          <w:tcPr>
            <w:tcW w:w="0" w:type="auto"/>
            <w:tcBorders>
              <w:tl2br w:val="nil"/>
              <w:tr2bl w:val="nil"/>
            </w:tcBorders>
            <w:shd w:val="clear" w:color="auto" w:fill="auto"/>
            <w:noWrap/>
            <w:vAlign w:val="center"/>
          </w:tcPr>
          <w:p w14:paraId="772C6D44">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0" w:type="auto"/>
            <w:tcBorders>
              <w:tl2br w:val="nil"/>
              <w:tr2bl w:val="nil"/>
            </w:tcBorders>
            <w:shd w:val="clear" w:color="auto" w:fill="auto"/>
            <w:noWrap/>
            <w:vAlign w:val="center"/>
          </w:tcPr>
          <w:p w14:paraId="7B18FD36">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0" w:type="auto"/>
            <w:tcBorders>
              <w:tl2br w:val="nil"/>
              <w:tr2bl w:val="nil"/>
            </w:tcBorders>
            <w:shd w:val="clear" w:color="auto" w:fill="auto"/>
            <w:noWrap/>
            <w:vAlign w:val="center"/>
          </w:tcPr>
          <w:p w14:paraId="22AC6A6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w:t>
            </w:r>
          </w:p>
        </w:tc>
        <w:tc>
          <w:tcPr>
            <w:tcW w:w="0" w:type="auto"/>
            <w:tcBorders>
              <w:tl2br w:val="nil"/>
              <w:tr2bl w:val="nil"/>
            </w:tcBorders>
            <w:shd w:val="clear" w:color="auto" w:fill="auto"/>
            <w:noWrap/>
            <w:vAlign w:val="center"/>
          </w:tcPr>
          <w:p w14:paraId="0D19B134">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r>
    </w:tbl>
    <w:p w14:paraId="301B5E15">
      <w:pPr>
        <w:jc w:val="center"/>
        <w:rPr>
          <w:rFonts w:hint="default" w:ascii="Times New Roman" w:hAnsi="Times New Roman" w:eastAsia="宋体" w:cs="Times New Roman"/>
          <w:highlight w:val="none"/>
          <w:lang w:val="en-US" w:eastAsia="zh-CN"/>
        </w:rPr>
      </w:pPr>
    </w:p>
    <w:p w14:paraId="60A203E9">
      <w:pPr>
        <w:jc w:val="center"/>
        <w:rPr>
          <w:rFonts w:hint="default" w:ascii="Times New Roman" w:hAnsi="Times New Roman" w:eastAsia="宋体" w:cs="Times New Roman"/>
          <w:highlight w:val="none"/>
          <w:lang w:val="en-US" w:eastAsia="zh-CN"/>
        </w:rPr>
      </w:pPr>
      <w:r>
        <w:rPr>
          <w:rFonts w:hint="default" w:ascii="Times New Roman" w:hAnsi="Times New Roman" w:cs="Times New Roman"/>
          <w:highlight w:val="none"/>
        </w:rPr>
        <w:drawing>
          <wp:inline distT="0" distB="0" distL="114300" distR="114300">
            <wp:extent cx="5135880" cy="1800860"/>
            <wp:effectExtent l="4445" t="4445" r="22225" b="23495"/>
            <wp:docPr id="1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E52B76E">
      <w:pPr>
        <w:keepNext w:val="0"/>
        <w:keepLines w:val="0"/>
        <w:pageBreakBefore w:val="0"/>
        <w:kinsoku/>
        <w:wordWrap/>
        <w:overflowPunct/>
        <w:topLinePunct w:val="0"/>
        <w:autoSpaceDE/>
        <w:autoSpaceDN/>
        <w:bidi w:val="0"/>
        <w:adjustRightInd/>
        <w:spacing w:line="360" w:lineRule="auto"/>
        <w:jc w:val="center"/>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图</w:t>
      </w:r>
      <w:r>
        <w:rPr>
          <w:rFonts w:hint="eastAsia" w:ascii="宋体" w:hAnsi="宋体" w:eastAsia="宋体" w:cs="宋体"/>
          <w:kern w:val="2"/>
          <w:sz w:val="24"/>
          <w:szCs w:val="24"/>
          <w:highlight w:val="none"/>
          <w:lang w:val="en-US" w:eastAsia="zh-CN"/>
        </w:rPr>
        <w:t xml:space="preserve">8  </w:t>
      </w:r>
      <w:r>
        <w:rPr>
          <w:rFonts w:hint="eastAsia" w:ascii="宋体" w:hAnsi="宋体" w:eastAsia="宋体" w:cs="宋体"/>
          <w:kern w:val="2"/>
          <w:sz w:val="24"/>
          <w:szCs w:val="24"/>
          <w:highlight w:val="none"/>
        </w:rPr>
        <w:t xml:space="preserve">T2   </w:t>
      </w:r>
      <w:r>
        <w:rPr>
          <w:rFonts w:hint="eastAsia" w:ascii="宋体" w:hAnsi="宋体" w:eastAsia="宋体" w:cs="宋体"/>
          <w:kern w:val="2"/>
          <w:sz w:val="24"/>
          <w:szCs w:val="24"/>
          <w:highlight w:val="none"/>
          <w:lang w:val="en-US" w:eastAsia="zh-CN"/>
        </w:rPr>
        <w:t>H02</w:t>
      </w:r>
      <w:r>
        <w:rPr>
          <w:rFonts w:hint="eastAsia" w:ascii="宋体" w:hAnsi="宋体" w:eastAsia="宋体" w:cs="宋体"/>
          <w:kern w:val="2"/>
          <w:sz w:val="24"/>
          <w:szCs w:val="24"/>
          <w:highlight w:val="none"/>
        </w:rPr>
        <w:t xml:space="preserve"> </w:t>
      </w:r>
      <w:r>
        <w:rPr>
          <w:rFonts w:hint="eastAsia" w:ascii="宋体" w:hAnsi="宋体" w:eastAsia="宋体" w:cs="宋体"/>
          <w:sz w:val="24"/>
          <w:szCs w:val="20"/>
          <w:highlight w:val="none"/>
          <w:lang w:val="en-US" w:eastAsia="zh-CN"/>
        </w:rPr>
        <w:t>硬度HV</w:t>
      </w:r>
      <w:r>
        <w:rPr>
          <w:rFonts w:hint="eastAsia" w:ascii="宋体" w:hAnsi="宋体" w:eastAsia="宋体" w:cs="宋体"/>
          <w:kern w:val="2"/>
          <w:sz w:val="24"/>
          <w:szCs w:val="24"/>
          <w:highlight w:val="none"/>
        </w:rPr>
        <w:t xml:space="preserve"> 分布直方图</w:t>
      </w:r>
    </w:p>
    <w:p w14:paraId="674D927A">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由图表可知，性能检测</w:t>
      </w:r>
      <w:r>
        <w:rPr>
          <w:rFonts w:hint="eastAsia" w:ascii="宋体" w:hAnsi="宋体" w:eastAsia="宋体" w:cs="宋体"/>
          <w:kern w:val="2"/>
          <w:sz w:val="24"/>
          <w:szCs w:val="24"/>
          <w:highlight w:val="none"/>
          <w:lang w:val="en-US" w:eastAsia="zh-CN"/>
        </w:rPr>
        <w:t>100</w:t>
      </w:r>
      <w:r>
        <w:rPr>
          <w:rFonts w:hint="eastAsia" w:ascii="宋体" w:hAnsi="宋体" w:eastAsia="宋体" w:cs="宋体"/>
          <w:kern w:val="2"/>
          <w:sz w:val="24"/>
          <w:szCs w:val="24"/>
          <w:highlight w:val="none"/>
        </w:rPr>
        <w:t>项，实际硬度HV全部在</w:t>
      </w:r>
      <w:r>
        <w:rPr>
          <w:rFonts w:hint="eastAsia" w:ascii="宋体" w:hAnsi="宋体" w:eastAsia="宋体" w:cs="宋体"/>
          <w:kern w:val="2"/>
          <w:sz w:val="24"/>
          <w:szCs w:val="24"/>
          <w:highlight w:val="none"/>
          <w:lang w:val="en-US" w:eastAsia="zh-CN"/>
        </w:rPr>
        <w:t>85</w:t>
      </w:r>
      <w:r>
        <w:rPr>
          <w:rFonts w:hint="eastAsia" w:ascii="宋体" w:hAnsi="宋体" w:eastAsia="宋体" w:cs="宋体"/>
          <w:kern w:val="2"/>
          <w:sz w:val="24"/>
          <w:szCs w:val="24"/>
          <w:highlight w:val="none"/>
        </w:rPr>
        <w:t>以上。该产品技术指标：该产品技术指标：HV在</w:t>
      </w:r>
      <w:r>
        <w:rPr>
          <w:rFonts w:hint="eastAsia" w:ascii="宋体" w:hAnsi="宋体" w:eastAsia="宋体" w:cs="宋体"/>
          <w:kern w:val="2"/>
          <w:sz w:val="24"/>
          <w:szCs w:val="24"/>
          <w:highlight w:val="none"/>
          <w:lang w:val="en-US" w:eastAsia="zh-CN"/>
        </w:rPr>
        <w:t>85</w:t>
      </w:r>
      <w:r>
        <w:rPr>
          <w:rFonts w:hint="eastAsia" w:ascii="宋体" w:hAnsi="宋体" w:eastAsia="宋体" w:cs="宋体"/>
          <w:kern w:val="2"/>
          <w:sz w:val="24"/>
          <w:szCs w:val="24"/>
          <w:highlight w:val="none"/>
        </w:rPr>
        <w:t>-</w:t>
      </w:r>
      <w:r>
        <w:rPr>
          <w:rFonts w:hint="eastAsia" w:ascii="宋体" w:hAnsi="宋体" w:eastAsia="宋体" w:cs="宋体"/>
          <w:kern w:val="2"/>
          <w:sz w:val="24"/>
          <w:szCs w:val="24"/>
          <w:highlight w:val="none"/>
          <w:lang w:val="en-US" w:eastAsia="zh-CN"/>
        </w:rPr>
        <w:t>110</w:t>
      </w:r>
      <w:r>
        <w:rPr>
          <w:rFonts w:hint="eastAsia" w:ascii="宋体" w:hAnsi="宋体" w:eastAsia="宋体" w:cs="宋体"/>
          <w:kern w:val="2"/>
          <w:sz w:val="24"/>
          <w:szCs w:val="24"/>
          <w:highlight w:val="none"/>
        </w:rPr>
        <w:t>,指标在此范围内的达到</w:t>
      </w:r>
      <w:r>
        <w:rPr>
          <w:rFonts w:hint="eastAsia" w:ascii="宋体" w:hAnsi="宋体" w:eastAsia="宋体" w:cs="宋体"/>
          <w:kern w:val="2"/>
          <w:sz w:val="24"/>
          <w:szCs w:val="24"/>
          <w:highlight w:val="none"/>
          <w:lang w:val="en-US" w:eastAsia="zh-CN"/>
        </w:rPr>
        <w:t>100</w:t>
      </w:r>
      <w:r>
        <w:rPr>
          <w:rFonts w:hint="eastAsia" w:ascii="宋体" w:hAnsi="宋体" w:eastAsia="宋体" w:cs="宋体"/>
          <w:kern w:val="2"/>
          <w:sz w:val="24"/>
          <w:szCs w:val="24"/>
          <w:highlight w:val="none"/>
        </w:rPr>
        <w:t>%，产品工艺成熟，指标制定合理。</w:t>
      </w:r>
    </w:p>
    <w:p w14:paraId="2BC8E37C">
      <w:pPr>
        <w:keepNext w:val="0"/>
        <w:keepLines w:val="0"/>
        <w:pageBreakBefore w:val="0"/>
        <w:widowControl/>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sz w:val="24"/>
          <w:szCs w:val="20"/>
          <w:highlight w:val="none"/>
          <w:lang w:val="en-US" w:eastAsia="zh-CN"/>
        </w:rPr>
      </w:pPr>
      <w:r>
        <w:rPr>
          <w:rFonts w:hint="eastAsia" w:ascii="宋体" w:hAnsi="宋体" w:eastAsia="宋体" w:cs="宋体"/>
          <w:kern w:val="2"/>
          <w:sz w:val="24"/>
          <w:szCs w:val="24"/>
          <w:highlight w:val="none"/>
          <w:lang w:val="en-US" w:eastAsia="zh-CN"/>
        </w:rPr>
        <w:t>4)</w:t>
      </w:r>
      <w:r>
        <w:rPr>
          <w:rFonts w:hint="eastAsia" w:ascii="宋体" w:hAnsi="宋体" w:eastAsia="宋体" w:cs="宋体"/>
          <w:kern w:val="2"/>
          <w:sz w:val="24"/>
          <w:szCs w:val="24"/>
          <w:highlight w:val="none"/>
        </w:rPr>
        <w:t xml:space="preserve">T2   </w:t>
      </w:r>
      <w:r>
        <w:rPr>
          <w:rFonts w:hint="eastAsia" w:ascii="宋体" w:hAnsi="宋体" w:eastAsia="宋体" w:cs="宋体"/>
          <w:kern w:val="2"/>
          <w:sz w:val="24"/>
          <w:szCs w:val="24"/>
          <w:highlight w:val="none"/>
          <w:lang w:val="en-US" w:eastAsia="zh-CN"/>
        </w:rPr>
        <w:t>H02 导电率</w:t>
      </w:r>
      <w:r>
        <w:rPr>
          <w:rFonts w:hint="eastAsia" w:ascii="宋体" w:hAnsi="宋体" w:eastAsia="宋体" w:cs="宋体"/>
          <w:kern w:val="2"/>
          <w:sz w:val="24"/>
          <w:szCs w:val="24"/>
          <w:highlight w:val="none"/>
        </w:rPr>
        <w:t>检测实测统计如表</w:t>
      </w:r>
      <w:r>
        <w:rPr>
          <w:rFonts w:hint="eastAsia" w:ascii="宋体" w:hAnsi="宋体" w:eastAsia="宋体" w:cs="宋体"/>
          <w:kern w:val="2"/>
          <w:sz w:val="24"/>
          <w:szCs w:val="24"/>
          <w:highlight w:val="none"/>
          <w:lang w:val="en-US" w:eastAsia="zh-CN"/>
        </w:rPr>
        <w:t>22</w:t>
      </w:r>
    </w:p>
    <w:p w14:paraId="6FA9CC1B">
      <w:pPr>
        <w:keepNext w:val="0"/>
        <w:keepLines w:val="0"/>
        <w:pageBreakBefore w:val="0"/>
        <w:tabs>
          <w:tab w:val="left" w:pos="2946"/>
          <w:tab w:val="center" w:pos="4212"/>
        </w:tabs>
        <w:kinsoku/>
        <w:wordWrap/>
        <w:overflowPunct/>
        <w:topLinePunct w:val="0"/>
        <w:autoSpaceDE/>
        <w:autoSpaceDN/>
        <w:bidi w:val="0"/>
        <w:spacing w:line="360" w:lineRule="auto"/>
        <w:jc w:val="center"/>
        <w:rPr>
          <w:rFonts w:hint="eastAsia" w:ascii="宋体" w:hAnsi="宋体" w:eastAsia="宋体" w:cs="宋体"/>
          <w:sz w:val="24"/>
          <w:szCs w:val="20"/>
          <w:highlight w:val="none"/>
        </w:rPr>
      </w:pPr>
      <w:r>
        <w:rPr>
          <w:rFonts w:hint="eastAsia" w:ascii="宋体" w:hAnsi="宋体" w:eastAsia="宋体" w:cs="宋体"/>
          <w:sz w:val="24"/>
          <w:szCs w:val="20"/>
          <w:highlight w:val="none"/>
          <w:lang w:val="en-US" w:eastAsia="zh-CN"/>
        </w:rPr>
        <w:t xml:space="preserve">表22  T2   </w:t>
      </w:r>
      <w:r>
        <w:rPr>
          <w:rFonts w:hint="eastAsia" w:ascii="宋体" w:hAnsi="宋体" w:eastAsia="宋体" w:cs="宋体"/>
          <w:kern w:val="2"/>
          <w:sz w:val="24"/>
          <w:szCs w:val="24"/>
          <w:highlight w:val="none"/>
          <w:lang w:val="en-US" w:eastAsia="zh-CN"/>
        </w:rPr>
        <w:t>H02</w:t>
      </w:r>
      <w:r>
        <w:rPr>
          <w:rFonts w:hint="eastAsia" w:ascii="宋体" w:hAnsi="宋体" w:eastAsia="宋体" w:cs="宋体"/>
          <w:sz w:val="24"/>
          <w:szCs w:val="20"/>
          <w:highlight w:val="none"/>
          <w:lang w:val="en-US" w:eastAsia="zh-CN"/>
        </w:rPr>
        <w:t xml:space="preserve">  导电率 频数和频率分布表</w:t>
      </w:r>
    </w:p>
    <w:tbl>
      <w:tblPr>
        <w:tblStyle w:val="21"/>
        <w:tblW w:w="847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276"/>
        <w:gridCol w:w="1792"/>
        <w:gridCol w:w="2005"/>
        <w:gridCol w:w="1649"/>
        <w:gridCol w:w="1756"/>
      </w:tblGrid>
      <w:tr w14:paraId="023BBC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0" w:hRule="atLeast"/>
          <w:jc w:val="center"/>
        </w:trPr>
        <w:tc>
          <w:tcPr>
            <w:tcW w:w="1276" w:type="dxa"/>
            <w:tcBorders>
              <w:tl2br w:val="nil"/>
              <w:tr2bl w:val="nil"/>
            </w:tcBorders>
            <w:shd w:val="clear" w:color="auto" w:fill="auto"/>
            <w:noWrap/>
            <w:vAlign w:val="center"/>
          </w:tcPr>
          <w:p w14:paraId="0CD2BFF6">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组号</w:t>
            </w:r>
          </w:p>
        </w:tc>
        <w:tc>
          <w:tcPr>
            <w:tcW w:w="1792" w:type="dxa"/>
            <w:tcBorders>
              <w:tl2br w:val="nil"/>
              <w:tr2bl w:val="nil"/>
            </w:tcBorders>
            <w:shd w:val="clear" w:color="auto" w:fill="auto"/>
            <w:noWrap/>
            <w:vAlign w:val="center"/>
          </w:tcPr>
          <w:p w14:paraId="619E024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区间</w:t>
            </w:r>
          </w:p>
        </w:tc>
        <w:tc>
          <w:tcPr>
            <w:tcW w:w="2005" w:type="dxa"/>
            <w:tcBorders>
              <w:tl2br w:val="nil"/>
              <w:tr2bl w:val="nil"/>
            </w:tcBorders>
            <w:shd w:val="clear" w:color="auto" w:fill="auto"/>
            <w:noWrap/>
            <w:vAlign w:val="center"/>
          </w:tcPr>
          <w:p w14:paraId="0EFC89D2">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组中值X’i</w:t>
            </w:r>
          </w:p>
        </w:tc>
        <w:tc>
          <w:tcPr>
            <w:tcW w:w="1649" w:type="dxa"/>
            <w:tcBorders>
              <w:tl2br w:val="nil"/>
              <w:tr2bl w:val="nil"/>
            </w:tcBorders>
            <w:shd w:val="clear" w:color="auto" w:fill="auto"/>
            <w:noWrap/>
            <w:vAlign w:val="center"/>
          </w:tcPr>
          <w:p w14:paraId="59B9087E">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频数ni</w:t>
            </w:r>
          </w:p>
        </w:tc>
        <w:tc>
          <w:tcPr>
            <w:tcW w:w="1756" w:type="dxa"/>
            <w:tcBorders>
              <w:tl2br w:val="nil"/>
              <w:tr2bl w:val="nil"/>
            </w:tcBorders>
            <w:shd w:val="clear" w:color="auto" w:fill="auto"/>
            <w:noWrap/>
            <w:vAlign w:val="center"/>
          </w:tcPr>
          <w:p w14:paraId="3386444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频率fi</w:t>
            </w:r>
          </w:p>
        </w:tc>
      </w:tr>
      <w:tr w14:paraId="05CF138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0" w:type="auto"/>
            <w:tcBorders>
              <w:tl2br w:val="nil"/>
              <w:tr2bl w:val="nil"/>
            </w:tcBorders>
            <w:shd w:val="clear" w:color="auto" w:fill="auto"/>
            <w:noWrap/>
            <w:vAlign w:val="center"/>
          </w:tcPr>
          <w:p w14:paraId="419B2661">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0" w:type="auto"/>
            <w:tcBorders>
              <w:tl2br w:val="nil"/>
              <w:tr2bl w:val="nil"/>
            </w:tcBorders>
            <w:shd w:val="clear" w:color="auto" w:fill="auto"/>
            <w:noWrap/>
            <w:vAlign w:val="center"/>
          </w:tcPr>
          <w:p w14:paraId="5D2D7B9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[95-96]</w:t>
            </w:r>
          </w:p>
        </w:tc>
        <w:tc>
          <w:tcPr>
            <w:tcW w:w="0" w:type="auto"/>
            <w:tcBorders>
              <w:tl2br w:val="nil"/>
              <w:tr2bl w:val="nil"/>
            </w:tcBorders>
            <w:shd w:val="clear" w:color="auto" w:fill="auto"/>
            <w:noWrap/>
            <w:vAlign w:val="center"/>
          </w:tcPr>
          <w:p w14:paraId="559B93B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95.5</w:t>
            </w:r>
          </w:p>
        </w:tc>
        <w:tc>
          <w:tcPr>
            <w:tcW w:w="0" w:type="auto"/>
            <w:tcBorders>
              <w:tl2br w:val="nil"/>
              <w:tr2bl w:val="nil"/>
            </w:tcBorders>
            <w:shd w:val="clear" w:color="auto" w:fill="auto"/>
            <w:noWrap/>
            <w:vAlign w:val="center"/>
          </w:tcPr>
          <w:p w14:paraId="07235F9C">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0" w:type="auto"/>
            <w:tcBorders>
              <w:tl2br w:val="nil"/>
              <w:tr2bl w:val="nil"/>
            </w:tcBorders>
            <w:shd w:val="clear" w:color="auto" w:fill="auto"/>
            <w:noWrap/>
            <w:vAlign w:val="center"/>
          </w:tcPr>
          <w:p w14:paraId="5B9FA15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2.00%</w:t>
            </w:r>
          </w:p>
        </w:tc>
      </w:tr>
      <w:tr w14:paraId="2F255A2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0" w:type="auto"/>
            <w:tcBorders>
              <w:tl2br w:val="nil"/>
              <w:tr2bl w:val="nil"/>
            </w:tcBorders>
            <w:shd w:val="clear" w:color="auto" w:fill="auto"/>
            <w:noWrap/>
            <w:vAlign w:val="center"/>
          </w:tcPr>
          <w:p w14:paraId="3F8B891F">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0" w:type="auto"/>
            <w:tcBorders>
              <w:tl2br w:val="nil"/>
              <w:tr2bl w:val="nil"/>
            </w:tcBorders>
            <w:shd w:val="clear" w:color="auto" w:fill="auto"/>
            <w:noWrap/>
            <w:vAlign w:val="center"/>
          </w:tcPr>
          <w:p w14:paraId="17FD88F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[96-97]</w:t>
            </w:r>
          </w:p>
        </w:tc>
        <w:tc>
          <w:tcPr>
            <w:tcW w:w="0" w:type="auto"/>
            <w:tcBorders>
              <w:tl2br w:val="nil"/>
              <w:tr2bl w:val="nil"/>
            </w:tcBorders>
            <w:shd w:val="clear" w:color="auto" w:fill="auto"/>
            <w:noWrap/>
            <w:vAlign w:val="center"/>
          </w:tcPr>
          <w:p w14:paraId="5C592CD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96.5</w:t>
            </w:r>
          </w:p>
        </w:tc>
        <w:tc>
          <w:tcPr>
            <w:tcW w:w="0" w:type="auto"/>
            <w:tcBorders>
              <w:tl2br w:val="nil"/>
              <w:tr2bl w:val="nil"/>
            </w:tcBorders>
            <w:shd w:val="clear" w:color="auto" w:fill="auto"/>
            <w:noWrap/>
            <w:vAlign w:val="center"/>
          </w:tcPr>
          <w:p w14:paraId="6475335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w:t>
            </w:r>
          </w:p>
        </w:tc>
        <w:tc>
          <w:tcPr>
            <w:tcW w:w="0" w:type="auto"/>
            <w:tcBorders>
              <w:tl2br w:val="nil"/>
              <w:tr2bl w:val="nil"/>
            </w:tcBorders>
            <w:shd w:val="clear" w:color="auto" w:fill="auto"/>
            <w:noWrap/>
            <w:vAlign w:val="center"/>
          </w:tcPr>
          <w:p w14:paraId="61D7FA8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21.00%</w:t>
            </w:r>
          </w:p>
        </w:tc>
      </w:tr>
      <w:tr w14:paraId="5809BB8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0" w:type="auto"/>
            <w:tcBorders>
              <w:tl2br w:val="nil"/>
              <w:tr2bl w:val="nil"/>
            </w:tcBorders>
            <w:shd w:val="clear" w:color="auto" w:fill="auto"/>
            <w:noWrap/>
            <w:vAlign w:val="center"/>
          </w:tcPr>
          <w:p w14:paraId="3DBB714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0" w:type="auto"/>
            <w:tcBorders>
              <w:tl2br w:val="nil"/>
              <w:tr2bl w:val="nil"/>
            </w:tcBorders>
            <w:shd w:val="clear" w:color="auto" w:fill="auto"/>
            <w:noWrap/>
            <w:vAlign w:val="center"/>
          </w:tcPr>
          <w:p w14:paraId="0146AC8B">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[97-98]</w:t>
            </w:r>
          </w:p>
        </w:tc>
        <w:tc>
          <w:tcPr>
            <w:tcW w:w="0" w:type="auto"/>
            <w:tcBorders>
              <w:tl2br w:val="nil"/>
              <w:tr2bl w:val="nil"/>
            </w:tcBorders>
            <w:shd w:val="clear" w:color="auto" w:fill="auto"/>
            <w:noWrap/>
            <w:vAlign w:val="center"/>
          </w:tcPr>
          <w:p w14:paraId="7F41985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97.5</w:t>
            </w:r>
          </w:p>
        </w:tc>
        <w:tc>
          <w:tcPr>
            <w:tcW w:w="0" w:type="auto"/>
            <w:tcBorders>
              <w:tl2br w:val="nil"/>
              <w:tr2bl w:val="nil"/>
            </w:tcBorders>
            <w:shd w:val="clear" w:color="auto" w:fill="auto"/>
            <w:noWrap/>
            <w:vAlign w:val="center"/>
          </w:tcPr>
          <w:p w14:paraId="17A19F5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0" w:type="auto"/>
            <w:tcBorders>
              <w:tl2br w:val="nil"/>
              <w:tr2bl w:val="nil"/>
            </w:tcBorders>
            <w:shd w:val="clear" w:color="auto" w:fill="auto"/>
            <w:noWrap/>
            <w:vAlign w:val="center"/>
          </w:tcPr>
          <w:p w14:paraId="7F4CB0D6">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20.00%</w:t>
            </w:r>
          </w:p>
        </w:tc>
      </w:tr>
      <w:tr w14:paraId="13179E1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66" w:hRule="atLeast"/>
          <w:jc w:val="center"/>
        </w:trPr>
        <w:tc>
          <w:tcPr>
            <w:tcW w:w="0" w:type="auto"/>
            <w:tcBorders>
              <w:tl2br w:val="nil"/>
              <w:tr2bl w:val="nil"/>
            </w:tcBorders>
            <w:shd w:val="clear" w:color="auto" w:fill="auto"/>
            <w:noWrap/>
            <w:vAlign w:val="center"/>
          </w:tcPr>
          <w:p w14:paraId="6C062C0B">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0" w:type="auto"/>
            <w:tcBorders>
              <w:tl2br w:val="nil"/>
              <w:tr2bl w:val="nil"/>
            </w:tcBorders>
            <w:shd w:val="clear" w:color="auto" w:fill="auto"/>
            <w:noWrap/>
            <w:vAlign w:val="center"/>
          </w:tcPr>
          <w:p w14:paraId="665283CB">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[98-99]</w:t>
            </w:r>
          </w:p>
        </w:tc>
        <w:tc>
          <w:tcPr>
            <w:tcW w:w="0" w:type="auto"/>
            <w:tcBorders>
              <w:tl2br w:val="nil"/>
              <w:tr2bl w:val="nil"/>
            </w:tcBorders>
            <w:shd w:val="clear" w:color="auto" w:fill="auto"/>
            <w:noWrap/>
            <w:vAlign w:val="center"/>
          </w:tcPr>
          <w:p w14:paraId="5609DEE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98.5</w:t>
            </w:r>
          </w:p>
        </w:tc>
        <w:tc>
          <w:tcPr>
            <w:tcW w:w="0" w:type="auto"/>
            <w:tcBorders>
              <w:tl2br w:val="nil"/>
              <w:tr2bl w:val="nil"/>
            </w:tcBorders>
            <w:shd w:val="clear" w:color="auto" w:fill="auto"/>
            <w:noWrap/>
            <w:vAlign w:val="center"/>
          </w:tcPr>
          <w:p w14:paraId="4AEC963E">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17</w:t>
            </w:r>
          </w:p>
        </w:tc>
        <w:tc>
          <w:tcPr>
            <w:tcW w:w="0" w:type="auto"/>
            <w:tcBorders>
              <w:tl2br w:val="nil"/>
              <w:tr2bl w:val="nil"/>
            </w:tcBorders>
            <w:shd w:val="clear" w:color="auto" w:fill="auto"/>
            <w:noWrap/>
            <w:vAlign w:val="center"/>
          </w:tcPr>
          <w:p w14:paraId="344E7942">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17.00%</w:t>
            </w:r>
          </w:p>
        </w:tc>
      </w:tr>
      <w:tr w14:paraId="71B20FA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66" w:hRule="atLeast"/>
          <w:jc w:val="center"/>
        </w:trPr>
        <w:tc>
          <w:tcPr>
            <w:tcW w:w="0" w:type="auto"/>
            <w:tcBorders>
              <w:tl2br w:val="nil"/>
              <w:tr2bl w:val="nil"/>
            </w:tcBorders>
            <w:shd w:val="clear" w:color="auto" w:fill="auto"/>
            <w:noWrap/>
            <w:vAlign w:val="center"/>
          </w:tcPr>
          <w:p w14:paraId="14F20D1F">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0" w:type="auto"/>
            <w:tcBorders>
              <w:tl2br w:val="nil"/>
              <w:tr2bl w:val="nil"/>
            </w:tcBorders>
            <w:shd w:val="clear" w:color="auto" w:fill="auto"/>
            <w:noWrap/>
            <w:vAlign w:val="center"/>
          </w:tcPr>
          <w:p w14:paraId="4E344722">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[99-100]</w:t>
            </w:r>
          </w:p>
        </w:tc>
        <w:tc>
          <w:tcPr>
            <w:tcW w:w="0" w:type="auto"/>
            <w:tcBorders>
              <w:tl2br w:val="nil"/>
              <w:tr2bl w:val="nil"/>
            </w:tcBorders>
            <w:shd w:val="clear" w:color="auto" w:fill="auto"/>
            <w:noWrap/>
            <w:vAlign w:val="center"/>
          </w:tcPr>
          <w:p w14:paraId="6F9E5E4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99.5</w:t>
            </w:r>
          </w:p>
        </w:tc>
        <w:tc>
          <w:tcPr>
            <w:tcW w:w="0" w:type="auto"/>
            <w:tcBorders>
              <w:tl2br w:val="nil"/>
              <w:tr2bl w:val="nil"/>
            </w:tcBorders>
            <w:shd w:val="clear" w:color="auto" w:fill="auto"/>
            <w:noWrap/>
            <w:vAlign w:val="center"/>
          </w:tcPr>
          <w:p w14:paraId="60A1145D">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26</w:t>
            </w:r>
          </w:p>
        </w:tc>
        <w:tc>
          <w:tcPr>
            <w:tcW w:w="0" w:type="auto"/>
            <w:tcBorders>
              <w:tl2br w:val="nil"/>
              <w:tr2bl w:val="nil"/>
            </w:tcBorders>
            <w:shd w:val="clear" w:color="auto" w:fill="auto"/>
            <w:noWrap/>
            <w:vAlign w:val="center"/>
          </w:tcPr>
          <w:p w14:paraId="7DA0DCD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26.00%</w:t>
            </w:r>
          </w:p>
        </w:tc>
      </w:tr>
      <w:tr w14:paraId="07C44EA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66" w:hRule="atLeast"/>
          <w:jc w:val="center"/>
        </w:trPr>
        <w:tc>
          <w:tcPr>
            <w:tcW w:w="0" w:type="auto"/>
            <w:tcBorders>
              <w:tl2br w:val="nil"/>
              <w:tr2bl w:val="nil"/>
            </w:tcBorders>
            <w:shd w:val="clear" w:color="auto" w:fill="auto"/>
            <w:noWrap/>
            <w:vAlign w:val="center"/>
          </w:tcPr>
          <w:p w14:paraId="642342A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w:t>
            </w:r>
          </w:p>
        </w:tc>
        <w:tc>
          <w:tcPr>
            <w:tcW w:w="0" w:type="auto"/>
            <w:tcBorders>
              <w:tl2br w:val="nil"/>
              <w:tr2bl w:val="nil"/>
            </w:tcBorders>
            <w:shd w:val="clear" w:color="auto" w:fill="auto"/>
            <w:noWrap/>
            <w:vAlign w:val="center"/>
          </w:tcPr>
          <w:p w14:paraId="77D71CBB">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[100-101]</w:t>
            </w:r>
          </w:p>
        </w:tc>
        <w:tc>
          <w:tcPr>
            <w:tcW w:w="0" w:type="auto"/>
            <w:tcBorders>
              <w:tl2br w:val="nil"/>
              <w:tr2bl w:val="nil"/>
            </w:tcBorders>
            <w:shd w:val="clear" w:color="auto" w:fill="auto"/>
            <w:noWrap/>
            <w:vAlign w:val="center"/>
          </w:tcPr>
          <w:p w14:paraId="3BC5442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100.5</w:t>
            </w:r>
          </w:p>
        </w:tc>
        <w:tc>
          <w:tcPr>
            <w:tcW w:w="0" w:type="auto"/>
            <w:tcBorders>
              <w:tl2br w:val="nil"/>
              <w:tr2bl w:val="nil"/>
            </w:tcBorders>
            <w:shd w:val="clear" w:color="auto" w:fill="auto"/>
            <w:noWrap/>
            <w:vAlign w:val="center"/>
          </w:tcPr>
          <w:p w14:paraId="56C8F7DB">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14</w:t>
            </w:r>
          </w:p>
        </w:tc>
        <w:tc>
          <w:tcPr>
            <w:tcW w:w="0" w:type="auto"/>
            <w:tcBorders>
              <w:tl2br w:val="nil"/>
              <w:tr2bl w:val="nil"/>
            </w:tcBorders>
            <w:shd w:val="clear" w:color="auto" w:fill="auto"/>
            <w:noWrap/>
            <w:vAlign w:val="center"/>
          </w:tcPr>
          <w:p w14:paraId="2C0E8D8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14.00%</w:t>
            </w:r>
          </w:p>
        </w:tc>
      </w:tr>
      <w:tr w14:paraId="208220E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0" w:type="auto"/>
            <w:tcBorders>
              <w:tl2br w:val="nil"/>
              <w:tr2bl w:val="nil"/>
            </w:tcBorders>
            <w:shd w:val="clear" w:color="auto" w:fill="auto"/>
            <w:noWrap/>
            <w:vAlign w:val="center"/>
          </w:tcPr>
          <w:p w14:paraId="73533F3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合计</w:t>
            </w:r>
          </w:p>
        </w:tc>
        <w:tc>
          <w:tcPr>
            <w:tcW w:w="0" w:type="auto"/>
            <w:tcBorders>
              <w:tl2br w:val="nil"/>
              <w:tr2bl w:val="nil"/>
            </w:tcBorders>
            <w:shd w:val="clear" w:color="auto" w:fill="auto"/>
            <w:noWrap/>
            <w:vAlign w:val="center"/>
          </w:tcPr>
          <w:p w14:paraId="21B3A0B7">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0" w:type="auto"/>
            <w:tcBorders>
              <w:tl2br w:val="nil"/>
              <w:tr2bl w:val="nil"/>
            </w:tcBorders>
            <w:shd w:val="clear" w:color="auto" w:fill="auto"/>
            <w:noWrap/>
            <w:vAlign w:val="center"/>
          </w:tcPr>
          <w:p w14:paraId="5C3BD4F5">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0" w:type="auto"/>
            <w:tcBorders>
              <w:tl2br w:val="nil"/>
              <w:tr2bl w:val="nil"/>
            </w:tcBorders>
            <w:shd w:val="clear" w:color="auto" w:fill="auto"/>
            <w:noWrap/>
            <w:vAlign w:val="center"/>
          </w:tcPr>
          <w:p w14:paraId="5139D1D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w:t>
            </w:r>
          </w:p>
        </w:tc>
        <w:tc>
          <w:tcPr>
            <w:tcW w:w="0" w:type="auto"/>
            <w:tcBorders>
              <w:tl2br w:val="nil"/>
              <w:tr2bl w:val="nil"/>
            </w:tcBorders>
            <w:shd w:val="clear" w:color="auto" w:fill="auto"/>
            <w:noWrap/>
            <w:vAlign w:val="center"/>
          </w:tcPr>
          <w:p w14:paraId="1A90EAC5">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r>
    </w:tbl>
    <w:p w14:paraId="404F50E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kern w:val="2"/>
          <w:sz w:val="21"/>
          <w:szCs w:val="21"/>
          <w:highlight w:val="none"/>
        </w:rPr>
      </w:pPr>
    </w:p>
    <w:p w14:paraId="6AB9D6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kern w:val="2"/>
          <w:sz w:val="21"/>
          <w:szCs w:val="21"/>
          <w:highlight w:val="none"/>
        </w:rPr>
      </w:pPr>
      <w:r>
        <w:rPr>
          <w:rFonts w:hint="default" w:ascii="Times New Roman" w:hAnsi="Times New Roman" w:cs="Times New Roman"/>
          <w:highlight w:val="none"/>
        </w:rPr>
        <w:drawing>
          <wp:inline distT="0" distB="0" distL="114300" distR="114300">
            <wp:extent cx="4942840" cy="1899285"/>
            <wp:effectExtent l="4445" t="4445" r="5715" b="20320"/>
            <wp:docPr id="1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7B02335">
      <w:pPr>
        <w:keepNext w:val="0"/>
        <w:keepLines w:val="0"/>
        <w:pageBreakBefore w:val="0"/>
        <w:kinsoku/>
        <w:wordWrap/>
        <w:overflowPunct/>
        <w:topLinePunct w:val="0"/>
        <w:bidi w:val="0"/>
        <w:adjustRightInd/>
        <w:spacing w:line="360" w:lineRule="auto"/>
        <w:jc w:val="center"/>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图</w:t>
      </w:r>
      <w:r>
        <w:rPr>
          <w:rFonts w:hint="eastAsia" w:ascii="宋体" w:hAnsi="宋体" w:eastAsia="宋体" w:cs="宋体"/>
          <w:kern w:val="2"/>
          <w:sz w:val="24"/>
          <w:szCs w:val="24"/>
          <w:highlight w:val="none"/>
          <w:lang w:val="en-US" w:eastAsia="zh-CN"/>
        </w:rPr>
        <w:t xml:space="preserve">9  </w:t>
      </w:r>
      <w:r>
        <w:rPr>
          <w:rFonts w:hint="eastAsia" w:ascii="宋体" w:hAnsi="宋体" w:eastAsia="宋体" w:cs="宋体"/>
          <w:kern w:val="2"/>
          <w:sz w:val="24"/>
          <w:szCs w:val="24"/>
          <w:highlight w:val="none"/>
        </w:rPr>
        <w:t xml:space="preserve">T2   </w:t>
      </w:r>
      <w:r>
        <w:rPr>
          <w:rFonts w:hint="eastAsia" w:ascii="宋体" w:hAnsi="宋体" w:eastAsia="宋体" w:cs="宋体"/>
          <w:kern w:val="2"/>
          <w:sz w:val="24"/>
          <w:szCs w:val="24"/>
          <w:highlight w:val="none"/>
          <w:lang w:val="en-US" w:eastAsia="zh-CN"/>
        </w:rPr>
        <w:t>H02</w:t>
      </w:r>
      <w:r>
        <w:rPr>
          <w:rFonts w:hint="eastAsia" w:ascii="宋体" w:hAnsi="宋体" w:eastAsia="宋体" w:cs="宋体"/>
          <w:kern w:val="2"/>
          <w:sz w:val="24"/>
          <w:szCs w:val="24"/>
          <w:highlight w:val="none"/>
        </w:rPr>
        <w:t xml:space="preserve"> </w:t>
      </w:r>
      <w:r>
        <w:rPr>
          <w:rFonts w:hint="eastAsia" w:ascii="宋体" w:hAnsi="宋体" w:eastAsia="宋体" w:cs="宋体"/>
          <w:kern w:val="2"/>
          <w:sz w:val="24"/>
          <w:szCs w:val="24"/>
          <w:highlight w:val="none"/>
          <w:lang w:val="en-US" w:eastAsia="zh-CN"/>
        </w:rPr>
        <w:t>导电率</w:t>
      </w:r>
      <w:r>
        <w:rPr>
          <w:rFonts w:hint="eastAsia" w:ascii="宋体" w:hAnsi="宋体" w:eastAsia="宋体" w:cs="宋体"/>
          <w:kern w:val="2"/>
          <w:sz w:val="24"/>
          <w:szCs w:val="24"/>
          <w:highlight w:val="none"/>
        </w:rPr>
        <w:t xml:space="preserve"> 分布直方图</w:t>
      </w:r>
    </w:p>
    <w:p w14:paraId="71CABCF7">
      <w:pPr>
        <w:keepNext w:val="0"/>
        <w:keepLines w:val="0"/>
        <w:pageBreakBefore w:val="0"/>
        <w:kinsoku/>
        <w:wordWrap/>
        <w:overflowPunct/>
        <w:topLinePunct w:val="0"/>
        <w:bidi w:val="0"/>
        <w:adjustRightInd/>
        <w:snapToGrid w:val="0"/>
        <w:spacing w:line="360" w:lineRule="auto"/>
        <w:ind w:firstLine="480" w:firstLineChars="200"/>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由图表可知，性能检测</w:t>
      </w:r>
      <w:r>
        <w:rPr>
          <w:rFonts w:hint="eastAsia" w:ascii="宋体" w:hAnsi="宋体" w:eastAsia="宋体" w:cs="宋体"/>
          <w:kern w:val="2"/>
          <w:sz w:val="24"/>
          <w:szCs w:val="24"/>
          <w:highlight w:val="none"/>
          <w:lang w:val="en-US" w:eastAsia="zh-CN"/>
        </w:rPr>
        <w:t>100</w:t>
      </w:r>
      <w:r>
        <w:rPr>
          <w:rFonts w:hint="eastAsia" w:ascii="宋体" w:hAnsi="宋体" w:eastAsia="宋体" w:cs="宋体"/>
          <w:kern w:val="2"/>
          <w:sz w:val="24"/>
          <w:szCs w:val="24"/>
          <w:highlight w:val="none"/>
        </w:rPr>
        <w:t>项，实际</w:t>
      </w:r>
      <w:r>
        <w:rPr>
          <w:rFonts w:hint="eastAsia" w:ascii="宋体" w:hAnsi="宋体" w:eastAsia="宋体" w:cs="宋体"/>
          <w:kern w:val="2"/>
          <w:sz w:val="24"/>
          <w:szCs w:val="24"/>
          <w:highlight w:val="none"/>
          <w:lang w:val="en-US" w:eastAsia="zh-CN"/>
        </w:rPr>
        <w:t>导电率</w:t>
      </w:r>
      <w:r>
        <w:rPr>
          <w:rFonts w:hint="eastAsia" w:ascii="宋体" w:hAnsi="宋体" w:eastAsia="宋体" w:cs="宋体"/>
          <w:kern w:val="2"/>
          <w:sz w:val="24"/>
          <w:szCs w:val="24"/>
          <w:highlight w:val="none"/>
        </w:rPr>
        <w:t>全部在</w:t>
      </w:r>
      <w:r>
        <w:rPr>
          <w:rFonts w:hint="eastAsia" w:ascii="宋体" w:hAnsi="宋体" w:eastAsia="宋体" w:cs="宋体"/>
          <w:kern w:val="2"/>
          <w:sz w:val="24"/>
          <w:szCs w:val="24"/>
          <w:highlight w:val="none"/>
          <w:lang w:val="en-US" w:eastAsia="zh-CN"/>
        </w:rPr>
        <w:t>95</w:t>
      </w:r>
      <w:r>
        <w:rPr>
          <w:rFonts w:hint="eastAsia" w:ascii="宋体" w:hAnsi="宋体" w:eastAsia="宋体" w:cs="宋体"/>
          <w:kern w:val="2"/>
          <w:sz w:val="24"/>
          <w:szCs w:val="24"/>
          <w:highlight w:val="none"/>
        </w:rPr>
        <w:t>以上。该产品技术指标：该产品技术指标</w:t>
      </w:r>
      <w:r>
        <w:rPr>
          <w:rFonts w:hint="eastAsia" w:ascii="宋体" w:hAnsi="宋体" w:eastAsia="宋体" w:cs="宋体"/>
          <w:kern w:val="2"/>
          <w:sz w:val="24"/>
          <w:szCs w:val="24"/>
          <w:highlight w:val="none"/>
          <w:lang w:val="en-US" w:eastAsia="zh-CN"/>
        </w:rPr>
        <w:t>导电率</w:t>
      </w:r>
      <w:r>
        <w:rPr>
          <w:rFonts w:hint="eastAsia" w:ascii="宋体" w:hAnsi="宋体" w:eastAsia="宋体" w:cs="宋体"/>
          <w:kern w:val="2"/>
          <w:sz w:val="24"/>
          <w:szCs w:val="24"/>
          <w:highlight w:val="none"/>
        </w:rPr>
        <w:t>在</w:t>
      </w:r>
      <w:r>
        <w:rPr>
          <w:rFonts w:hint="eastAsia" w:ascii="宋体" w:hAnsi="宋体" w:eastAsia="宋体" w:cs="宋体"/>
          <w:kern w:val="2"/>
          <w:sz w:val="24"/>
          <w:szCs w:val="24"/>
          <w:highlight w:val="none"/>
          <w:lang w:val="en-US" w:eastAsia="zh-CN"/>
        </w:rPr>
        <w:t>96</w:t>
      </w:r>
      <w:r>
        <w:rPr>
          <w:rFonts w:hint="eastAsia" w:ascii="宋体" w:hAnsi="宋体" w:eastAsia="宋体" w:cs="宋体"/>
          <w:kern w:val="2"/>
          <w:sz w:val="24"/>
          <w:szCs w:val="24"/>
          <w:highlight w:val="none"/>
        </w:rPr>
        <w:t>-</w:t>
      </w:r>
      <w:r>
        <w:rPr>
          <w:rFonts w:hint="eastAsia" w:ascii="宋体" w:hAnsi="宋体" w:eastAsia="宋体" w:cs="宋体"/>
          <w:kern w:val="2"/>
          <w:sz w:val="24"/>
          <w:szCs w:val="24"/>
          <w:highlight w:val="none"/>
          <w:lang w:val="en-US" w:eastAsia="zh-CN"/>
        </w:rPr>
        <w:t>101</w:t>
      </w:r>
      <w:r>
        <w:rPr>
          <w:rFonts w:hint="eastAsia" w:ascii="宋体" w:hAnsi="宋体" w:eastAsia="宋体" w:cs="宋体"/>
          <w:kern w:val="2"/>
          <w:sz w:val="24"/>
          <w:szCs w:val="24"/>
          <w:highlight w:val="none"/>
        </w:rPr>
        <w:t>,指标在此范围内的达到</w:t>
      </w:r>
      <w:r>
        <w:rPr>
          <w:rFonts w:hint="eastAsia" w:ascii="宋体" w:hAnsi="宋体" w:eastAsia="宋体" w:cs="宋体"/>
          <w:kern w:val="2"/>
          <w:sz w:val="24"/>
          <w:szCs w:val="24"/>
          <w:highlight w:val="none"/>
          <w:lang w:val="en-US" w:eastAsia="zh-CN"/>
        </w:rPr>
        <w:t>98</w:t>
      </w:r>
      <w:r>
        <w:rPr>
          <w:rFonts w:hint="eastAsia" w:ascii="宋体" w:hAnsi="宋体" w:eastAsia="宋体" w:cs="宋体"/>
          <w:kern w:val="2"/>
          <w:sz w:val="24"/>
          <w:szCs w:val="24"/>
          <w:highlight w:val="none"/>
        </w:rPr>
        <w:t>%，产品工艺成熟，指标制定合理。</w:t>
      </w:r>
    </w:p>
    <w:p w14:paraId="28D938A7">
      <w:pPr>
        <w:keepNext w:val="0"/>
        <w:keepLines w:val="0"/>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4.2.3.</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TU2</w:t>
      </w: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O</w:t>
      </w:r>
      <w:r>
        <w:rPr>
          <w:rFonts w:hint="eastAsia" w:ascii="宋体" w:hAnsi="宋体" w:eastAsia="宋体" w:cs="宋体"/>
          <w:sz w:val="24"/>
          <w:szCs w:val="24"/>
          <w:highlight w:val="none"/>
        </w:rPr>
        <w:t>60态性能</w:t>
      </w:r>
    </w:p>
    <w:p w14:paraId="6DE9186E">
      <w:pPr>
        <w:keepNext w:val="0"/>
        <w:keepLines w:val="0"/>
        <w:pageBreakBefore w:val="0"/>
        <w:kinsoku/>
        <w:wordWrap/>
        <w:overflowPunct/>
        <w:topLinePunct w:val="0"/>
        <w:autoSpaceDE w:val="0"/>
        <w:autoSpaceDN w:val="0"/>
        <w:bidi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TU2 O</w:t>
      </w:r>
      <w:r>
        <w:rPr>
          <w:rFonts w:hint="eastAsia" w:ascii="宋体" w:hAnsi="宋体" w:eastAsia="宋体" w:cs="宋体"/>
          <w:sz w:val="24"/>
          <w:szCs w:val="24"/>
          <w:highlight w:val="none"/>
        </w:rPr>
        <w:t>60态实测的抗拉强度、</w:t>
      </w:r>
      <w:r>
        <w:rPr>
          <w:rFonts w:hint="eastAsia" w:ascii="宋体" w:hAnsi="宋体" w:eastAsia="宋体" w:cs="宋体"/>
          <w:sz w:val="24"/>
          <w:szCs w:val="24"/>
          <w:highlight w:val="none"/>
          <w:lang w:val="en-US" w:eastAsia="zh-CN"/>
        </w:rPr>
        <w:t>屈服强度</w:t>
      </w:r>
      <w:r>
        <w:rPr>
          <w:rFonts w:hint="eastAsia" w:ascii="宋体" w:hAnsi="宋体" w:eastAsia="宋体" w:cs="宋体"/>
          <w:sz w:val="24"/>
          <w:szCs w:val="24"/>
          <w:highlight w:val="none"/>
        </w:rPr>
        <w:t>、断后伸长率、硬度</w:t>
      </w:r>
      <w:r>
        <w:rPr>
          <w:rFonts w:hint="eastAsia" w:ascii="宋体" w:hAnsi="宋体" w:eastAsia="宋体" w:cs="宋体"/>
          <w:sz w:val="24"/>
          <w:szCs w:val="24"/>
          <w:highlight w:val="none"/>
          <w:lang w:val="en-US" w:eastAsia="zh-CN"/>
        </w:rPr>
        <w:t>和导电率</w:t>
      </w:r>
      <w:r>
        <w:rPr>
          <w:rFonts w:hint="eastAsia" w:ascii="宋体" w:hAnsi="宋体" w:eastAsia="宋体" w:cs="宋体"/>
          <w:sz w:val="24"/>
          <w:szCs w:val="24"/>
          <w:highlight w:val="none"/>
        </w:rPr>
        <w:t>统计数据见表</w:t>
      </w:r>
      <w:r>
        <w:rPr>
          <w:rFonts w:hint="eastAsia" w:ascii="宋体" w:hAnsi="宋体" w:eastAsia="宋体" w:cs="宋体"/>
          <w:sz w:val="24"/>
          <w:szCs w:val="24"/>
          <w:highlight w:val="none"/>
          <w:lang w:val="en-US" w:eastAsia="zh-CN"/>
        </w:rPr>
        <w:t>23</w:t>
      </w:r>
      <w:r>
        <w:rPr>
          <w:rFonts w:hint="eastAsia" w:ascii="宋体" w:hAnsi="宋体" w:eastAsia="宋体" w:cs="宋体"/>
          <w:sz w:val="24"/>
          <w:szCs w:val="24"/>
          <w:highlight w:val="none"/>
        </w:rPr>
        <w:t>～表</w:t>
      </w:r>
      <w:r>
        <w:rPr>
          <w:rFonts w:hint="eastAsia" w:ascii="宋体" w:hAnsi="宋体" w:eastAsia="宋体" w:cs="宋体"/>
          <w:sz w:val="24"/>
          <w:szCs w:val="24"/>
          <w:highlight w:val="none"/>
          <w:lang w:val="en-US" w:eastAsia="zh-CN"/>
        </w:rPr>
        <w:t>27</w:t>
      </w:r>
      <w:r>
        <w:rPr>
          <w:rFonts w:hint="eastAsia" w:ascii="宋体" w:hAnsi="宋体" w:eastAsia="宋体" w:cs="宋体"/>
          <w:sz w:val="24"/>
          <w:szCs w:val="24"/>
          <w:highlight w:val="none"/>
        </w:rPr>
        <w:t>，数据分布直方图如图</w:t>
      </w:r>
      <w:r>
        <w:rPr>
          <w:rFonts w:hint="eastAsia" w:ascii="宋体" w:hAnsi="宋体" w:eastAsia="宋体" w:cs="宋体"/>
          <w:sz w:val="24"/>
          <w:szCs w:val="24"/>
          <w:highlight w:val="none"/>
          <w:lang w:val="en-US" w:eastAsia="zh-CN"/>
        </w:rPr>
        <w:t>10</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14</w:t>
      </w:r>
      <w:r>
        <w:rPr>
          <w:rFonts w:hint="eastAsia" w:ascii="宋体" w:hAnsi="宋体" w:eastAsia="宋体" w:cs="宋体"/>
          <w:sz w:val="24"/>
          <w:szCs w:val="24"/>
          <w:highlight w:val="none"/>
        </w:rPr>
        <w:t>所示。</w:t>
      </w:r>
    </w:p>
    <w:p w14:paraId="4AC472DE">
      <w:pPr>
        <w:keepNext w:val="0"/>
        <w:keepLines w:val="0"/>
        <w:pageBreakBefore w:val="0"/>
        <w:widowControl/>
        <w:kinsoku/>
        <w:wordWrap/>
        <w:overflowPunct/>
        <w:topLinePunct w:val="0"/>
        <w:bidi w:val="0"/>
        <w:adjustRightInd/>
        <w:spacing w:line="360" w:lineRule="auto"/>
        <w:ind w:firstLine="480" w:firstLineChars="200"/>
        <w:jc w:val="both"/>
        <w:textAlignment w:val="auto"/>
        <w:rPr>
          <w:rFonts w:hint="eastAsia" w:ascii="宋体" w:hAnsi="宋体" w:eastAsia="宋体" w:cs="宋体"/>
          <w:kern w:val="2"/>
          <w:sz w:val="24"/>
          <w:szCs w:val="24"/>
          <w:highlight w:val="none"/>
          <w:lang w:val="en-US" w:eastAsia="zh-CN"/>
        </w:rPr>
      </w:pPr>
      <w:r>
        <w:rPr>
          <w:rFonts w:hint="eastAsia" w:ascii="宋体" w:hAnsi="宋体" w:eastAsia="宋体" w:cs="宋体"/>
          <w:kern w:val="2"/>
          <w:sz w:val="24"/>
          <w:szCs w:val="24"/>
          <w:highlight w:val="none"/>
          <w:lang w:val="en-US" w:eastAsia="zh-CN"/>
        </w:rPr>
        <w:t>1)</w:t>
      </w:r>
      <w:r>
        <w:rPr>
          <w:rFonts w:hint="eastAsia" w:ascii="宋体" w:hAnsi="宋体" w:eastAsia="宋体" w:cs="宋体"/>
          <w:kern w:val="2"/>
          <w:sz w:val="24"/>
          <w:szCs w:val="24"/>
          <w:highlight w:val="none"/>
        </w:rPr>
        <w:t>T</w:t>
      </w:r>
      <w:r>
        <w:rPr>
          <w:rFonts w:hint="eastAsia" w:ascii="宋体" w:hAnsi="宋体" w:eastAsia="宋体" w:cs="宋体"/>
          <w:kern w:val="2"/>
          <w:sz w:val="24"/>
          <w:szCs w:val="24"/>
          <w:highlight w:val="none"/>
          <w:lang w:val="en-US" w:eastAsia="zh-CN"/>
        </w:rPr>
        <w:t>U</w:t>
      </w:r>
      <w:r>
        <w:rPr>
          <w:rFonts w:hint="eastAsia" w:ascii="宋体" w:hAnsi="宋体" w:eastAsia="宋体" w:cs="宋体"/>
          <w:kern w:val="2"/>
          <w:sz w:val="24"/>
          <w:szCs w:val="24"/>
          <w:highlight w:val="none"/>
        </w:rPr>
        <w:t>2   O60 抗拉强度Rm检测实测统计如表1</w:t>
      </w:r>
      <w:r>
        <w:rPr>
          <w:rFonts w:hint="eastAsia" w:ascii="宋体" w:hAnsi="宋体" w:eastAsia="宋体" w:cs="宋体"/>
          <w:kern w:val="2"/>
          <w:sz w:val="24"/>
          <w:szCs w:val="24"/>
          <w:highlight w:val="none"/>
          <w:lang w:val="en-US" w:eastAsia="zh-CN"/>
        </w:rPr>
        <w:t>4</w:t>
      </w:r>
    </w:p>
    <w:p w14:paraId="7D209D2E">
      <w:pPr>
        <w:keepNext w:val="0"/>
        <w:keepLines w:val="0"/>
        <w:pageBreakBefore w:val="0"/>
        <w:tabs>
          <w:tab w:val="left" w:pos="2946"/>
          <w:tab w:val="center" w:pos="4212"/>
        </w:tabs>
        <w:kinsoku/>
        <w:wordWrap/>
        <w:overflowPunct/>
        <w:topLinePunct w:val="0"/>
        <w:bidi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表23  </w:t>
      </w:r>
      <w:r>
        <w:rPr>
          <w:rFonts w:hint="eastAsia" w:ascii="宋体" w:hAnsi="宋体" w:eastAsia="宋体" w:cs="宋体"/>
          <w:kern w:val="2"/>
          <w:sz w:val="24"/>
          <w:szCs w:val="24"/>
          <w:highlight w:val="none"/>
        </w:rPr>
        <w:t>T</w:t>
      </w:r>
      <w:r>
        <w:rPr>
          <w:rFonts w:hint="eastAsia" w:ascii="宋体" w:hAnsi="宋体" w:eastAsia="宋体" w:cs="宋体"/>
          <w:kern w:val="2"/>
          <w:sz w:val="24"/>
          <w:szCs w:val="24"/>
          <w:highlight w:val="none"/>
          <w:lang w:val="en-US" w:eastAsia="zh-CN"/>
        </w:rPr>
        <w:t>U</w:t>
      </w:r>
      <w:r>
        <w:rPr>
          <w:rFonts w:hint="eastAsia" w:ascii="宋体" w:hAnsi="宋体" w:eastAsia="宋体" w:cs="宋体"/>
          <w:kern w:val="2"/>
          <w:sz w:val="24"/>
          <w:szCs w:val="24"/>
          <w:highlight w:val="none"/>
        </w:rPr>
        <w:t>2</w:t>
      </w:r>
      <w:r>
        <w:rPr>
          <w:rFonts w:hint="eastAsia" w:ascii="宋体" w:hAnsi="宋体" w:eastAsia="宋体" w:cs="宋体"/>
          <w:sz w:val="24"/>
          <w:szCs w:val="24"/>
          <w:highlight w:val="none"/>
          <w:lang w:val="en-US" w:eastAsia="zh-CN"/>
        </w:rPr>
        <w:t xml:space="preserve">   060  抗拉强度 频数和频率分布表</w:t>
      </w:r>
    </w:p>
    <w:tbl>
      <w:tblPr>
        <w:tblStyle w:val="21"/>
        <w:tblW w:w="8958" w:type="dxa"/>
        <w:tblInd w:w="9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2027"/>
        <w:gridCol w:w="2045"/>
        <w:gridCol w:w="1882"/>
        <w:gridCol w:w="1701"/>
        <w:gridCol w:w="1303"/>
      </w:tblGrid>
      <w:tr w14:paraId="7C5BE54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274" w:hRule="atLeast"/>
        </w:trPr>
        <w:tc>
          <w:tcPr>
            <w:tcW w:w="2027" w:type="dxa"/>
            <w:tcBorders>
              <w:tl2br w:val="nil"/>
              <w:tr2bl w:val="nil"/>
            </w:tcBorders>
            <w:shd w:val="clear" w:color="auto" w:fill="auto"/>
            <w:noWrap/>
            <w:vAlign w:val="center"/>
          </w:tcPr>
          <w:p w14:paraId="50C8770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组号</w:t>
            </w:r>
          </w:p>
        </w:tc>
        <w:tc>
          <w:tcPr>
            <w:tcW w:w="2045" w:type="dxa"/>
            <w:tcBorders>
              <w:tl2br w:val="nil"/>
              <w:tr2bl w:val="nil"/>
            </w:tcBorders>
            <w:shd w:val="clear" w:color="auto" w:fill="auto"/>
            <w:noWrap/>
            <w:vAlign w:val="center"/>
          </w:tcPr>
          <w:p w14:paraId="11F35291">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区间</w:t>
            </w:r>
          </w:p>
        </w:tc>
        <w:tc>
          <w:tcPr>
            <w:tcW w:w="1882" w:type="dxa"/>
            <w:tcBorders>
              <w:tl2br w:val="nil"/>
              <w:tr2bl w:val="nil"/>
            </w:tcBorders>
            <w:shd w:val="clear" w:color="auto" w:fill="auto"/>
            <w:noWrap/>
            <w:vAlign w:val="center"/>
          </w:tcPr>
          <w:p w14:paraId="08D83A71">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组中值X’i</w:t>
            </w:r>
          </w:p>
        </w:tc>
        <w:tc>
          <w:tcPr>
            <w:tcW w:w="1701" w:type="dxa"/>
            <w:tcBorders>
              <w:tl2br w:val="nil"/>
              <w:tr2bl w:val="nil"/>
            </w:tcBorders>
            <w:shd w:val="clear" w:color="auto" w:fill="auto"/>
            <w:noWrap/>
            <w:vAlign w:val="center"/>
          </w:tcPr>
          <w:p w14:paraId="07B89D9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频数ni</w:t>
            </w:r>
          </w:p>
        </w:tc>
        <w:tc>
          <w:tcPr>
            <w:tcW w:w="1303" w:type="dxa"/>
            <w:tcBorders>
              <w:tl2br w:val="nil"/>
              <w:tr2bl w:val="nil"/>
            </w:tcBorders>
            <w:shd w:val="clear" w:color="auto" w:fill="auto"/>
            <w:noWrap/>
            <w:vAlign w:val="center"/>
          </w:tcPr>
          <w:p w14:paraId="21CEDBC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频率fi</w:t>
            </w:r>
          </w:p>
        </w:tc>
      </w:tr>
      <w:tr w14:paraId="4396D3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58" w:hRule="atLeast"/>
        </w:trPr>
        <w:tc>
          <w:tcPr>
            <w:tcW w:w="0" w:type="auto"/>
            <w:tcBorders>
              <w:tl2br w:val="nil"/>
              <w:tr2bl w:val="nil"/>
            </w:tcBorders>
            <w:shd w:val="clear" w:color="auto" w:fill="auto"/>
            <w:noWrap/>
            <w:vAlign w:val="center"/>
          </w:tcPr>
          <w:p w14:paraId="0EF9927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0" w:type="auto"/>
            <w:tcBorders>
              <w:tl2br w:val="nil"/>
              <w:tr2bl w:val="nil"/>
            </w:tcBorders>
            <w:shd w:val="clear" w:color="auto" w:fill="auto"/>
            <w:noWrap/>
            <w:vAlign w:val="center"/>
          </w:tcPr>
          <w:p w14:paraId="5279CF3C">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[190-200]</w:t>
            </w:r>
          </w:p>
        </w:tc>
        <w:tc>
          <w:tcPr>
            <w:tcW w:w="0" w:type="auto"/>
            <w:tcBorders>
              <w:tl2br w:val="nil"/>
              <w:tr2bl w:val="nil"/>
            </w:tcBorders>
            <w:shd w:val="clear" w:color="auto" w:fill="auto"/>
            <w:noWrap/>
            <w:vAlign w:val="center"/>
          </w:tcPr>
          <w:p w14:paraId="1F60485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195</w:t>
            </w:r>
          </w:p>
        </w:tc>
        <w:tc>
          <w:tcPr>
            <w:tcW w:w="0" w:type="auto"/>
            <w:tcBorders>
              <w:tl2br w:val="nil"/>
              <w:tr2bl w:val="nil"/>
            </w:tcBorders>
            <w:shd w:val="clear" w:color="auto" w:fill="auto"/>
            <w:noWrap/>
            <w:vAlign w:val="center"/>
          </w:tcPr>
          <w:p w14:paraId="4C41DD52">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0" w:type="auto"/>
            <w:tcBorders>
              <w:tl2br w:val="nil"/>
              <w:tr2bl w:val="nil"/>
            </w:tcBorders>
            <w:shd w:val="clear" w:color="auto" w:fill="auto"/>
            <w:noWrap/>
            <w:vAlign w:val="center"/>
          </w:tcPr>
          <w:p w14:paraId="5EFDCD44">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2.00%</w:t>
            </w:r>
          </w:p>
        </w:tc>
      </w:tr>
      <w:tr w14:paraId="061EA5E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58" w:hRule="atLeast"/>
        </w:trPr>
        <w:tc>
          <w:tcPr>
            <w:tcW w:w="0" w:type="auto"/>
            <w:tcBorders>
              <w:tl2br w:val="nil"/>
              <w:tr2bl w:val="nil"/>
            </w:tcBorders>
            <w:shd w:val="clear" w:color="auto" w:fill="auto"/>
            <w:noWrap/>
            <w:vAlign w:val="center"/>
          </w:tcPr>
          <w:p w14:paraId="218B920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0" w:type="auto"/>
            <w:tcBorders>
              <w:tl2br w:val="nil"/>
              <w:tr2bl w:val="nil"/>
            </w:tcBorders>
            <w:shd w:val="clear" w:color="auto" w:fill="auto"/>
            <w:noWrap/>
            <w:vAlign w:val="center"/>
          </w:tcPr>
          <w:p w14:paraId="4EF70746">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[200-210]</w:t>
            </w:r>
          </w:p>
        </w:tc>
        <w:tc>
          <w:tcPr>
            <w:tcW w:w="0" w:type="auto"/>
            <w:tcBorders>
              <w:tl2br w:val="nil"/>
              <w:tr2bl w:val="nil"/>
            </w:tcBorders>
            <w:shd w:val="clear" w:color="auto" w:fill="auto"/>
            <w:noWrap/>
            <w:vAlign w:val="center"/>
          </w:tcPr>
          <w:p w14:paraId="06152DC6">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205</w:t>
            </w:r>
          </w:p>
        </w:tc>
        <w:tc>
          <w:tcPr>
            <w:tcW w:w="0" w:type="auto"/>
            <w:tcBorders>
              <w:tl2br w:val="nil"/>
              <w:tr2bl w:val="nil"/>
            </w:tcBorders>
            <w:shd w:val="clear" w:color="auto" w:fill="auto"/>
            <w:noWrap/>
            <w:vAlign w:val="center"/>
          </w:tcPr>
          <w:p w14:paraId="0F78E994">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w:t>
            </w:r>
          </w:p>
        </w:tc>
        <w:tc>
          <w:tcPr>
            <w:tcW w:w="0" w:type="auto"/>
            <w:tcBorders>
              <w:tl2br w:val="nil"/>
              <w:tr2bl w:val="nil"/>
            </w:tcBorders>
            <w:shd w:val="clear" w:color="auto" w:fill="auto"/>
            <w:noWrap/>
            <w:vAlign w:val="center"/>
          </w:tcPr>
          <w:p w14:paraId="0364241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7.00%</w:t>
            </w:r>
          </w:p>
        </w:tc>
      </w:tr>
      <w:tr w14:paraId="73A976C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58" w:hRule="atLeast"/>
        </w:trPr>
        <w:tc>
          <w:tcPr>
            <w:tcW w:w="0" w:type="auto"/>
            <w:tcBorders>
              <w:tl2br w:val="nil"/>
              <w:tr2bl w:val="nil"/>
            </w:tcBorders>
            <w:shd w:val="clear" w:color="auto" w:fill="auto"/>
            <w:noWrap/>
            <w:vAlign w:val="center"/>
          </w:tcPr>
          <w:p w14:paraId="1393FC24">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0" w:type="auto"/>
            <w:tcBorders>
              <w:tl2br w:val="nil"/>
              <w:tr2bl w:val="nil"/>
            </w:tcBorders>
            <w:shd w:val="clear" w:color="auto" w:fill="auto"/>
            <w:noWrap/>
            <w:vAlign w:val="center"/>
          </w:tcPr>
          <w:p w14:paraId="100555D4">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[210-220]</w:t>
            </w:r>
          </w:p>
        </w:tc>
        <w:tc>
          <w:tcPr>
            <w:tcW w:w="0" w:type="auto"/>
            <w:tcBorders>
              <w:tl2br w:val="nil"/>
              <w:tr2bl w:val="nil"/>
            </w:tcBorders>
            <w:shd w:val="clear" w:color="auto" w:fill="auto"/>
            <w:noWrap/>
            <w:vAlign w:val="center"/>
          </w:tcPr>
          <w:p w14:paraId="58E1AA9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215</w:t>
            </w:r>
          </w:p>
        </w:tc>
        <w:tc>
          <w:tcPr>
            <w:tcW w:w="0" w:type="auto"/>
            <w:tcBorders>
              <w:tl2br w:val="nil"/>
              <w:tr2bl w:val="nil"/>
            </w:tcBorders>
            <w:shd w:val="clear" w:color="auto" w:fill="auto"/>
            <w:noWrap/>
            <w:vAlign w:val="center"/>
          </w:tcPr>
          <w:p w14:paraId="67F9ECCE">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0" w:type="auto"/>
            <w:tcBorders>
              <w:tl2br w:val="nil"/>
              <w:tr2bl w:val="nil"/>
            </w:tcBorders>
            <w:shd w:val="clear" w:color="auto" w:fill="auto"/>
            <w:noWrap/>
            <w:vAlign w:val="center"/>
          </w:tcPr>
          <w:p w14:paraId="1C7775DE">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4.00%</w:t>
            </w:r>
          </w:p>
        </w:tc>
      </w:tr>
      <w:tr w14:paraId="20F8F0A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58" w:hRule="atLeast"/>
        </w:trPr>
        <w:tc>
          <w:tcPr>
            <w:tcW w:w="0" w:type="auto"/>
            <w:tcBorders>
              <w:tl2br w:val="nil"/>
              <w:tr2bl w:val="nil"/>
            </w:tcBorders>
            <w:shd w:val="clear" w:color="auto" w:fill="auto"/>
            <w:noWrap/>
            <w:vAlign w:val="center"/>
          </w:tcPr>
          <w:p w14:paraId="5495FBE1">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0" w:type="auto"/>
            <w:tcBorders>
              <w:tl2br w:val="nil"/>
              <w:tr2bl w:val="nil"/>
            </w:tcBorders>
            <w:shd w:val="clear" w:color="auto" w:fill="auto"/>
            <w:noWrap/>
            <w:vAlign w:val="center"/>
          </w:tcPr>
          <w:p w14:paraId="2DCC6B1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[220-230]</w:t>
            </w:r>
          </w:p>
        </w:tc>
        <w:tc>
          <w:tcPr>
            <w:tcW w:w="0" w:type="auto"/>
            <w:tcBorders>
              <w:tl2br w:val="nil"/>
              <w:tr2bl w:val="nil"/>
            </w:tcBorders>
            <w:shd w:val="clear" w:color="auto" w:fill="auto"/>
            <w:noWrap/>
            <w:vAlign w:val="center"/>
          </w:tcPr>
          <w:p w14:paraId="4BE6EAE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225</w:t>
            </w:r>
          </w:p>
        </w:tc>
        <w:tc>
          <w:tcPr>
            <w:tcW w:w="0" w:type="auto"/>
            <w:tcBorders>
              <w:tl2br w:val="nil"/>
              <w:tr2bl w:val="nil"/>
            </w:tcBorders>
            <w:shd w:val="clear" w:color="auto" w:fill="auto"/>
            <w:noWrap/>
            <w:vAlign w:val="center"/>
          </w:tcPr>
          <w:p w14:paraId="07FD3CAD">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0" w:type="auto"/>
            <w:tcBorders>
              <w:tl2br w:val="nil"/>
              <w:tr2bl w:val="nil"/>
            </w:tcBorders>
            <w:shd w:val="clear" w:color="auto" w:fill="auto"/>
            <w:noWrap/>
            <w:vAlign w:val="center"/>
          </w:tcPr>
          <w:p w14:paraId="5EDE2CFF">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5.00%</w:t>
            </w:r>
          </w:p>
        </w:tc>
      </w:tr>
      <w:tr w14:paraId="1BC794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58" w:hRule="atLeast"/>
        </w:trPr>
        <w:tc>
          <w:tcPr>
            <w:tcW w:w="0" w:type="auto"/>
            <w:tcBorders>
              <w:tl2br w:val="nil"/>
              <w:tr2bl w:val="nil"/>
            </w:tcBorders>
            <w:shd w:val="clear" w:color="auto" w:fill="auto"/>
            <w:noWrap/>
            <w:vAlign w:val="center"/>
          </w:tcPr>
          <w:p w14:paraId="32BDFE3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0" w:type="auto"/>
            <w:tcBorders>
              <w:tl2br w:val="nil"/>
              <w:tr2bl w:val="nil"/>
            </w:tcBorders>
            <w:shd w:val="clear" w:color="auto" w:fill="auto"/>
            <w:noWrap/>
            <w:vAlign w:val="center"/>
          </w:tcPr>
          <w:p w14:paraId="1011CC6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[230-240]</w:t>
            </w:r>
          </w:p>
        </w:tc>
        <w:tc>
          <w:tcPr>
            <w:tcW w:w="0" w:type="auto"/>
            <w:tcBorders>
              <w:tl2br w:val="nil"/>
              <w:tr2bl w:val="nil"/>
            </w:tcBorders>
            <w:shd w:val="clear" w:color="auto" w:fill="auto"/>
            <w:noWrap/>
            <w:vAlign w:val="center"/>
          </w:tcPr>
          <w:p w14:paraId="69B573CD">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235</w:t>
            </w:r>
          </w:p>
        </w:tc>
        <w:tc>
          <w:tcPr>
            <w:tcW w:w="0" w:type="auto"/>
            <w:tcBorders>
              <w:tl2br w:val="nil"/>
              <w:tr2bl w:val="nil"/>
            </w:tcBorders>
            <w:shd w:val="clear" w:color="auto" w:fill="auto"/>
            <w:noWrap/>
            <w:vAlign w:val="center"/>
          </w:tcPr>
          <w:p w14:paraId="4469371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16</w:t>
            </w:r>
          </w:p>
        </w:tc>
        <w:tc>
          <w:tcPr>
            <w:tcW w:w="0" w:type="auto"/>
            <w:tcBorders>
              <w:tl2br w:val="nil"/>
              <w:tr2bl w:val="nil"/>
            </w:tcBorders>
            <w:shd w:val="clear" w:color="auto" w:fill="auto"/>
            <w:noWrap/>
            <w:vAlign w:val="center"/>
          </w:tcPr>
          <w:p w14:paraId="6A7280B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16.00%</w:t>
            </w:r>
          </w:p>
        </w:tc>
      </w:tr>
      <w:tr w14:paraId="551C303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58" w:hRule="atLeast"/>
        </w:trPr>
        <w:tc>
          <w:tcPr>
            <w:tcW w:w="0" w:type="auto"/>
            <w:tcBorders>
              <w:tl2br w:val="nil"/>
              <w:tr2bl w:val="nil"/>
            </w:tcBorders>
            <w:shd w:val="clear" w:color="auto" w:fill="auto"/>
            <w:noWrap/>
            <w:vAlign w:val="center"/>
          </w:tcPr>
          <w:p w14:paraId="2E959FC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w:t>
            </w:r>
          </w:p>
        </w:tc>
        <w:tc>
          <w:tcPr>
            <w:tcW w:w="0" w:type="auto"/>
            <w:tcBorders>
              <w:tl2br w:val="nil"/>
              <w:tr2bl w:val="nil"/>
            </w:tcBorders>
            <w:shd w:val="clear" w:color="auto" w:fill="auto"/>
            <w:noWrap/>
            <w:vAlign w:val="center"/>
          </w:tcPr>
          <w:p w14:paraId="16699CF2">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[240-250]</w:t>
            </w:r>
          </w:p>
        </w:tc>
        <w:tc>
          <w:tcPr>
            <w:tcW w:w="0" w:type="auto"/>
            <w:tcBorders>
              <w:tl2br w:val="nil"/>
              <w:tr2bl w:val="nil"/>
            </w:tcBorders>
            <w:shd w:val="clear" w:color="auto" w:fill="auto"/>
            <w:noWrap/>
            <w:vAlign w:val="center"/>
          </w:tcPr>
          <w:p w14:paraId="54B10CAB">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245</w:t>
            </w:r>
          </w:p>
        </w:tc>
        <w:tc>
          <w:tcPr>
            <w:tcW w:w="0" w:type="auto"/>
            <w:tcBorders>
              <w:tl2br w:val="nil"/>
              <w:tr2bl w:val="nil"/>
            </w:tcBorders>
            <w:shd w:val="clear" w:color="auto" w:fill="auto"/>
            <w:noWrap/>
            <w:vAlign w:val="center"/>
          </w:tcPr>
          <w:p w14:paraId="69A08F0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63</w:t>
            </w:r>
          </w:p>
        </w:tc>
        <w:tc>
          <w:tcPr>
            <w:tcW w:w="0" w:type="auto"/>
            <w:tcBorders>
              <w:tl2br w:val="nil"/>
              <w:tr2bl w:val="nil"/>
            </w:tcBorders>
            <w:shd w:val="clear" w:color="auto" w:fill="auto"/>
            <w:noWrap/>
            <w:vAlign w:val="center"/>
          </w:tcPr>
          <w:p w14:paraId="40D4B8B4">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63.00%</w:t>
            </w:r>
          </w:p>
        </w:tc>
      </w:tr>
      <w:tr w14:paraId="2ED135F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58" w:hRule="atLeast"/>
        </w:trPr>
        <w:tc>
          <w:tcPr>
            <w:tcW w:w="0" w:type="auto"/>
            <w:tcBorders>
              <w:tl2br w:val="nil"/>
              <w:tr2bl w:val="nil"/>
            </w:tcBorders>
            <w:shd w:val="clear" w:color="auto" w:fill="auto"/>
            <w:noWrap/>
            <w:vAlign w:val="center"/>
          </w:tcPr>
          <w:p w14:paraId="3D86721C">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w:t>
            </w:r>
          </w:p>
        </w:tc>
        <w:tc>
          <w:tcPr>
            <w:tcW w:w="0" w:type="auto"/>
            <w:tcBorders>
              <w:tl2br w:val="nil"/>
              <w:tr2bl w:val="nil"/>
            </w:tcBorders>
            <w:shd w:val="clear" w:color="auto" w:fill="auto"/>
            <w:noWrap/>
            <w:vAlign w:val="center"/>
          </w:tcPr>
          <w:p w14:paraId="16D868A2">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[250-260]</w:t>
            </w:r>
          </w:p>
        </w:tc>
        <w:tc>
          <w:tcPr>
            <w:tcW w:w="0" w:type="auto"/>
            <w:tcBorders>
              <w:tl2br w:val="nil"/>
              <w:tr2bl w:val="nil"/>
            </w:tcBorders>
            <w:shd w:val="clear" w:color="auto" w:fill="auto"/>
            <w:noWrap/>
            <w:vAlign w:val="center"/>
          </w:tcPr>
          <w:p w14:paraId="72E159BC">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255</w:t>
            </w:r>
          </w:p>
        </w:tc>
        <w:tc>
          <w:tcPr>
            <w:tcW w:w="0" w:type="auto"/>
            <w:tcBorders>
              <w:tl2br w:val="nil"/>
              <w:tr2bl w:val="nil"/>
            </w:tcBorders>
            <w:shd w:val="clear" w:color="auto" w:fill="auto"/>
            <w:noWrap/>
            <w:vAlign w:val="center"/>
          </w:tcPr>
          <w:p w14:paraId="47C2B4E6">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0" w:type="auto"/>
            <w:tcBorders>
              <w:tl2br w:val="nil"/>
              <w:tr2bl w:val="nil"/>
            </w:tcBorders>
            <w:shd w:val="clear" w:color="auto" w:fill="auto"/>
            <w:noWrap/>
            <w:vAlign w:val="center"/>
          </w:tcPr>
          <w:p w14:paraId="30C7A3B2">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3.00%</w:t>
            </w:r>
          </w:p>
        </w:tc>
      </w:tr>
      <w:tr w14:paraId="20BF830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0" w:type="auto"/>
            <w:tcBorders>
              <w:tl2br w:val="nil"/>
              <w:tr2bl w:val="nil"/>
            </w:tcBorders>
            <w:shd w:val="clear" w:color="auto" w:fill="auto"/>
            <w:noWrap/>
            <w:vAlign w:val="center"/>
          </w:tcPr>
          <w:p w14:paraId="5D214C76">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合计</w:t>
            </w:r>
          </w:p>
        </w:tc>
        <w:tc>
          <w:tcPr>
            <w:tcW w:w="0" w:type="auto"/>
            <w:tcBorders>
              <w:tl2br w:val="nil"/>
              <w:tr2bl w:val="nil"/>
            </w:tcBorders>
            <w:shd w:val="clear" w:color="auto" w:fill="auto"/>
            <w:noWrap/>
            <w:vAlign w:val="center"/>
          </w:tcPr>
          <w:p w14:paraId="5616E3A9">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0" w:type="auto"/>
            <w:tcBorders>
              <w:tl2br w:val="nil"/>
              <w:tr2bl w:val="nil"/>
            </w:tcBorders>
            <w:shd w:val="clear" w:color="auto" w:fill="auto"/>
            <w:noWrap/>
            <w:vAlign w:val="center"/>
          </w:tcPr>
          <w:p w14:paraId="5542FB60">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0" w:type="auto"/>
            <w:tcBorders>
              <w:tl2br w:val="nil"/>
              <w:tr2bl w:val="nil"/>
            </w:tcBorders>
            <w:shd w:val="clear" w:color="auto" w:fill="auto"/>
            <w:noWrap/>
            <w:vAlign w:val="center"/>
          </w:tcPr>
          <w:p w14:paraId="55884A6D">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w:t>
            </w:r>
          </w:p>
        </w:tc>
        <w:tc>
          <w:tcPr>
            <w:tcW w:w="0" w:type="auto"/>
            <w:tcBorders>
              <w:tl2br w:val="nil"/>
              <w:tr2bl w:val="nil"/>
            </w:tcBorders>
            <w:shd w:val="clear" w:color="auto" w:fill="auto"/>
            <w:noWrap/>
            <w:vAlign w:val="center"/>
          </w:tcPr>
          <w:p w14:paraId="520EF9F2">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r>
    </w:tbl>
    <w:p w14:paraId="1BE789F4">
      <w:pPr>
        <w:jc w:val="center"/>
        <w:rPr>
          <w:rFonts w:hint="default" w:ascii="Times New Roman" w:hAnsi="Times New Roman" w:cs="Times New Roman"/>
          <w:highlight w:val="none"/>
        </w:rPr>
      </w:pPr>
    </w:p>
    <w:p w14:paraId="29E4AE29">
      <w:pPr>
        <w:jc w:val="center"/>
        <w:rPr>
          <w:rFonts w:hint="default" w:ascii="Times New Roman" w:hAnsi="Times New Roman" w:eastAsia="宋体" w:cs="Times New Roman"/>
          <w:highlight w:val="none"/>
          <w:lang w:val="en-US" w:eastAsia="zh-CN"/>
        </w:rPr>
      </w:pPr>
      <w:r>
        <w:rPr>
          <w:rFonts w:hint="default" w:ascii="Times New Roman" w:hAnsi="Times New Roman" w:cs="Times New Roman"/>
          <w:highlight w:val="none"/>
        </w:rPr>
        <w:drawing>
          <wp:inline distT="0" distB="0" distL="114300" distR="114300">
            <wp:extent cx="5238115" cy="1992630"/>
            <wp:effectExtent l="4445" t="4445" r="15240" b="22225"/>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353B79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kern w:val="2"/>
          <w:sz w:val="24"/>
          <w:szCs w:val="24"/>
          <w:highlight w:val="none"/>
        </w:rPr>
      </w:pPr>
      <w:r>
        <w:rPr>
          <w:rFonts w:hint="default" w:ascii="Times New Roman" w:hAnsi="Times New Roman" w:cs="Times New Roman"/>
          <w:kern w:val="2"/>
          <w:sz w:val="24"/>
          <w:szCs w:val="24"/>
          <w:highlight w:val="none"/>
        </w:rPr>
        <w:t>图</w:t>
      </w:r>
      <w:r>
        <w:rPr>
          <w:rFonts w:hint="eastAsia" w:cs="Times New Roman"/>
          <w:kern w:val="2"/>
          <w:sz w:val="24"/>
          <w:szCs w:val="24"/>
          <w:highlight w:val="none"/>
          <w:lang w:val="en-US" w:eastAsia="zh-CN"/>
        </w:rPr>
        <w:t>10</w:t>
      </w:r>
      <w:r>
        <w:rPr>
          <w:rFonts w:hint="default" w:ascii="Times New Roman" w:hAnsi="Times New Roman" w:cs="Times New Roman"/>
          <w:kern w:val="2"/>
          <w:sz w:val="24"/>
          <w:szCs w:val="24"/>
          <w:highlight w:val="none"/>
          <w:lang w:val="en-US" w:eastAsia="zh-CN"/>
        </w:rPr>
        <w:t xml:space="preserve">  </w:t>
      </w:r>
      <w:r>
        <w:rPr>
          <w:rFonts w:hint="default" w:ascii="Times New Roman" w:hAnsi="Times New Roman" w:cs="Times New Roman"/>
          <w:kern w:val="2"/>
          <w:sz w:val="24"/>
          <w:szCs w:val="24"/>
          <w:highlight w:val="none"/>
        </w:rPr>
        <w:t>T</w:t>
      </w:r>
      <w:r>
        <w:rPr>
          <w:rFonts w:hint="eastAsia" w:cs="Times New Roman"/>
          <w:kern w:val="2"/>
          <w:sz w:val="24"/>
          <w:szCs w:val="24"/>
          <w:highlight w:val="none"/>
          <w:lang w:val="en-US" w:eastAsia="zh-CN"/>
        </w:rPr>
        <w:t>U</w:t>
      </w:r>
      <w:r>
        <w:rPr>
          <w:rFonts w:hint="default" w:ascii="Times New Roman" w:hAnsi="Times New Roman" w:cs="Times New Roman"/>
          <w:kern w:val="2"/>
          <w:sz w:val="24"/>
          <w:szCs w:val="24"/>
          <w:highlight w:val="none"/>
        </w:rPr>
        <w:t xml:space="preserve">2   </w:t>
      </w:r>
      <w:r>
        <w:rPr>
          <w:rFonts w:hint="eastAsia" w:cs="Times New Roman"/>
          <w:kern w:val="2"/>
          <w:sz w:val="24"/>
          <w:szCs w:val="24"/>
          <w:highlight w:val="none"/>
          <w:lang w:val="en-US" w:eastAsia="zh-CN"/>
        </w:rPr>
        <w:t>0</w:t>
      </w:r>
      <w:r>
        <w:rPr>
          <w:rFonts w:hint="default" w:ascii="Times New Roman" w:hAnsi="Times New Roman" w:cs="Times New Roman"/>
          <w:kern w:val="2"/>
          <w:sz w:val="24"/>
          <w:szCs w:val="24"/>
          <w:highlight w:val="none"/>
        </w:rPr>
        <w:t xml:space="preserve">60 </w:t>
      </w:r>
      <w:r>
        <w:rPr>
          <w:rFonts w:hint="default" w:ascii="Times New Roman" w:hAnsi="Times New Roman" w:cs="Times New Roman"/>
          <w:sz w:val="24"/>
          <w:szCs w:val="20"/>
          <w:highlight w:val="none"/>
          <w:lang w:val="en-US" w:eastAsia="zh-CN"/>
        </w:rPr>
        <w:t>抗拉强度</w:t>
      </w:r>
      <w:r>
        <w:rPr>
          <w:rFonts w:hint="default" w:ascii="Times New Roman" w:hAnsi="Times New Roman" w:cs="Times New Roman"/>
          <w:kern w:val="2"/>
          <w:sz w:val="24"/>
          <w:szCs w:val="24"/>
          <w:highlight w:val="none"/>
        </w:rPr>
        <w:t xml:space="preserve"> 分布直方图</w:t>
      </w:r>
    </w:p>
    <w:p w14:paraId="03ADBC12">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kern w:val="2"/>
          <w:sz w:val="24"/>
          <w:szCs w:val="24"/>
          <w:highlight w:val="none"/>
        </w:rPr>
      </w:pPr>
      <w:r>
        <w:rPr>
          <w:rFonts w:hint="eastAsia" w:ascii="宋体" w:hAnsi="宋体" w:cs="宋体"/>
          <w:kern w:val="2"/>
          <w:sz w:val="24"/>
          <w:szCs w:val="24"/>
          <w:highlight w:val="none"/>
        </w:rPr>
        <w:t>由图表可知，性能检测</w:t>
      </w:r>
      <w:r>
        <w:rPr>
          <w:rFonts w:hint="eastAsia" w:ascii="宋体" w:hAnsi="宋体" w:cs="宋体"/>
          <w:kern w:val="2"/>
          <w:sz w:val="24"/>
          <w:szCs w:val="24"/>
          <w:highlight w:val="none"/>
          <w:lang w:val="en-US" w:eastAsia="zh-CN"/>
        </w:rPr>
        <w:t>100</w:t>
      </w:r>
      <w:r>
        <w:rPr>
          <w:rFonts w:hint="eastAsia" w:ascii="宋体" w:hAnsi="宋体" w:cs="宋体"/>
          <w:kern w:val="2"/>
          <w:sz w:val="24"/>
          <w:szCs w:val="24"/>
          <w:highlight w:val="none"/>
        </w:rPr>
        <w:t>项，实际抗拉强度Rm全部在</w:t>
      </w:r>
      <w:r>
        <w:rPr>
          <w:rFonts w:hint="eastAsia" w:ascii="宋体" w:hAnsi="宋体" w:cs="宋体"/>
          <w:kern w:val="2"/>
          <w:sz w:val="24"/>
          <w:szCs w:val="24"/>
          <w:highlight w:val="none"/>
          <w:lang w:val="en-US" w:eastAsia="zh-CN"/>
        </w:rPr>
        <w:t>190</w:t>
      </w:r>
      <w:r>
        <w:rPr>
          <w:rFonts w:hint="eastAsia" w:ascii="宋体" w:hAnsi="宋体" w:cs="宋体"/>
          <w:kern w:val="2"/>
          <w:sz w:val="24"/>
          <w:szCs w:val="24"/>
          <w:highlight w:val="none"/>
        </w:rPr>
        <w:t>MPa以上。该产品技术指标：该产品技术指标：抗拉强度Rm≥</w:t>
      </w:r>
      <w:r>
        <w:rPr>
          <w:rFonts w:hint="eastAsia" w:ascii="宋体" w:hAnsi="宋体" w:cs="宋体"/>
          <w:kern w:val="2"/>
          <w:sz w:val="24"/>
          <w:szCs w:val="24"/>
          <w:highlight w:val="none"/>
          <w:lang w:val="en-US" w:eastAsia="zh-CN"/>
        </w:rPr>
        <w:t>200</w:t>
      </w:r>
      <w:r>
        <w:rPr>
          <w:rFonts w:hint="eastAsia" w:ascii="宋体" w:hAnsi="宋体" w:cs="宋体"/>
          <w:kern w:val="2"/>
          <w:sz w:val="24"/>
          <w:szCs w:val="24"/>
          <w:highlight w:val="none"/>
        </w:rPr>
        <w:t>MPa,指标在此范围内的达到9</w:t>
      </w:r>
      <w:r>
        <w:rPr>
          <w:rFonts w:hint="eastAsia" w:ascii="宋体" w:hAnsi="宋体" w:cs="宋体"/>
          <w:kern w:val="2"/>
          <w:sz w:val="24"/>
          <w:szCs w:val="24"/>
          <w:highlight w:val="none"/>
          <w:lang w:val="en-US" w:eastAsia="zh-CN"/>
        </w:rPr>
        <w:t>8</w:t>
      </w:r>
      <w:r>
        <w:rPr>
          <w:rFonts w:hint="eastAsia" w:ascii="宋体" w:hAnsi="宋体" w:cs="宋体"/>
          <w:kern w:val="2"/>
          <w:sz w:val="24"/>
          <w:szCs w:val="24"/>
          <w:highlight w:val="none"/>
        </w:rPr>
        <w:t>%，产品工艺成熟，指标制定合理。</w:t>
      </w:r>
    </w:p>
    <w:p w14:paraId="3CF32A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kern w:val="2"/>
          <w:sz w:val="24"/>
          <w:szCs w:val="24"/>
          <w:highlight w:val="none"/>
          <w:lang w:val="en-US" w:eastAsia="zh-CN"/>
        </w:rPr>
      </w:pPr>
      <w:r>
        <w:rPr>
          <w:rFonts w:hint="eastAsia" w:ascii="宋体" w:hAnsi="宋体"/>
          <w:kern w:val="2"/>
          <w:sz w:val="24"/>
          <w:szCs w:val="24"/>
          <w:highlight w:val="none"/>
          <w:lang w:val="en-US" w:eastAsia="zh-CN"/>
        </w:rPr>
        <w:t>2)</w:t>
      </w:r>
      <w:r>
        <w:rPr>
          <w:rFonts w:hint="eastAsia" w:ascii="宋体" w:hAnsi="宋体"/>
          <w:kern w:val="2"/>
          <w:sz w:val="24"/>
          <w:szCs w:val="24"/>
          <w:highlight w:val="none"/>
        </w:rPr>
        <w:t>T</w:t>
      </w:r>
      <w:r>
        <w:rPr>
          <w:rFonts w:hint="eastAsia" w:ascii="宋体" w:hAnsi="宋体"/>
          <w:kern w:val="2"/>
          <w:sz w:val="24"/>
          <w:szCs w:val="24"/>
          <w:highlight w:val="none"/>
          <w:lang w:val="en-US" w:eastAsia="zh-CN"/>
        </w:rPr>
        <w:t>U</w:t>
      </w:r>
      <w:r>
        <w:rPr>
          <w:rFonts w:hint="eastAsia" w:ascii="宋体" w:hAnsi="宋体"/>
          <w:kern w:val="2"/>
          <w:sz w:val="24"/>
          <w:szCs w:val="24"/>
          <w:highlight w:val="none"/>
        </w:rPr>
        <w:t xml:space="preserve">2   O60 </w:t>
      </w:r>
      <w:r>
        <w:rPr>
          <w:rFonts w:hint="eastAsia" w:ascii="宋体" w:hAnsi="宋体"/>
          <w:kern w:val="2"/>
          <w:sz w:val="24"/>
          <w:szCs w:val="24"/>
          <w:highlight w:val="none"/>
          <w:lang w:val="en-US" w:eastAsia="zh-CN"/>
        </w:rPr>
        <w:t>屈服</w:t>
      </w:r>
      <w:r>
        <w:rPr>
          <w:rFonts w:hint="eastAsia" w:ascii="宋体" w:hAnsi="宋体"/>
          <w:kern w:val="2"/>
          <w:sz w:val="24"/>
          <w:szCs w:val="24"/>
          <w:highlight w:val="none"/>
        </w:rPr>
        <w:t>强度</w:t>
      </w:r>
      <w:r>
        <w:rPr>
          <w:rFonts w:hint="eastAsia" w:ascii="宋体" w:hAnsi="宋体"/>
          <w:kern w:val="2"/>
          <w:sz w:val="24"/>
          <w:szCs w:val="24"/>
          <w:highlight w:val="none"/>
          <w:lang w:val="en-US" w:eastAsia="zh-CN"/>
        </w:rPr>
        <w:t>Rp0.2</w:t>
      </w:r>
      <w:r>
        <w:rPr>
          <w:rFonts w:hint="eastAsia" w:ascii="宋体" w:hAnsi="宋体"/>
          <w:kern w:val="2"/>
          <w:sz w:val="24"/>
          <w:szCs w:val="24"/>
          <w:highlight w:val="none"/>
        </w:rPr>
        <w:t>检测实测统计如表1</w:t>
      </w:r>
      <w:r>
        <w:rPr>
          <w:rFonts w:hint="eastAsia" w:ascii="宋体" w:hAnsi="宋体"/>
          <w:kern w:val="2"/>
          <w:sz w:val="24"/>
          <w:szCs w:val="24"/>
          <w:highlight w:val="none"/>
          <w:lang w:val="en-US" w:eastAsia="zh-CN"/>
        </w:rPr>
        <w:t>5</w:t>
      </w:r>
    </w:p>
    <w:p w14:paraId="6D7C27DE">
      <w:pPr>
        <w:keepNext w:val="0"/>
        <w:keepLines w:val="0"/>
        <w:pageBreakBefore w:val="0"/>
        <w:tabs>
          <w:tab w:val="left" w:pos="2946"/>
          <w:tab w:val="center" w:pos="4212"/>
        </w:tabs>
        <w:kinsoku/>
        <w:wordWrap/>
        <w:overflowPunct/>
        <w:topLinePunct w:val="0"/>
        <w:autoSpaceDE/>
        <w:autoSpaceDN/>
        <w:bidi w:val="0"/>
        <w:snapToGrid/>
        <w:spacing w:line="360" w:lineRule="auto"/>
        <w:jc w:val="center"/>
        <w:rPr>
          <w:rFonts w:hint="default" w:ascii="Times New Roman" w:hAnsi="Times New Roman" w:cs="Times New Roman"/>
          <w:sz w:val="24"/>
          <w:szCs w:val="20"/>
          <w:highlight w:val="none"/>
        </w:rPr>
      </w:pPr>
      <w:r>
        <w:rPr>
          <w:rFonts w:hint="default" w:ascii="Times New Roman" w:hAnsi="Times New Roman" w:cs="Times New Roman"/>
          <w:sz w:val="24"/>
          <w:szCs w:val="20"/>
          <w:highlight w:val="none"/>
          <w:lang w:val="en-US" w:eastAsia="zh-CN"/>
        </w:rPr>
        <w:t>表</w:t>
      </w:r>
      <w:r>
        <w:rPr>
          <w:rFonts w:hint="eastAsia" w:cs="Times New Roman"/>
          <w:sz w:val="24"/>
          <w:szCs w:val="20"/>
          <w:highlight w:val="none"/>
          <w:lang w:val="en-US" w:eastAsia="zh-CN"/>
        </w:rPr>
        <w:t>24</w:t>
      </w:r>
      <w:r>
        <w:rPr>
          <w:rFonts w:hint="default" w:ascii="Times New Roman" w:hAnsi="Times New Roman" w:cs="Times New Roman"/>
          <w:sz w:val="24"/>
          <w:szCs w:val="20"/>
          <w:highlight w:val="none"/>
          <w:lang w:val="en-US" w:eastAsia="zh-CN"/>
        </w:rPr>
        <w:t xml:space="preserve">  T</w:t>
      </w:r>
      <w:r>
        <w:rPr>
          <w:rFonts w:hint="eastAsia" w:cs="Times New Roman"/>
          <w:sz w:val="24"/>
          <w:szCs w:val="20"/>
          <w:highlight w:val="none"/>
          <w:lang w:val="en-US" w:eastAsia="zh-CN"/>
        </w:rPr>
        <w:t>U</w:t>
      </w:r>
      <w:r>
        <w:rPr>
          <w:rFonts w:hint="default" w:ascii="Times New Roman" w:hAnsi="Times New Roman" w:cs="Times New Roman"/>
          <w:sz w:val="24"/>
          <w:szCs w:val="20"/>
          <w:highlight w:val="none"/>
          <w:lang w:val="en-US" w:eastAsia="zh-CN"/>
        </w:rPr>
        <w:t>2   060  屈服强度 频数和频率分布表</w:t>
      </w:r>
    </w:p>
    <w:tbl>
      <w:tblPr>
        <w:tblStyle w:val="21"/>
        <w:tblW w:w="885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2004"/>
        <w:gridCol w:w="2022"/>
        <w:gridCol w:w="1861"/>
        <w:gridCol w:w="1682"/>
        <w:gridCol w:w="1288"/>
      </w:tblGrid>
      <w:tr w14:paraId="15AEBE2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2004" w:type="dxa"/>
            <w:tcBorders>
              <w:tl2br w:val="nil"/>
              <w:tr2bl w:val="nil"/>
            </w:tcBorders>
            <w:shd w:val="clear" w:color="auto" w:fill="auto"/>
            <w:noWrap/>
            <w:vAlign w:val="center"/>
          </w:tcPr>
          <w:p w14:paraId="1C37A5F1">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组号</w:t>
            </w:r>
          </w:p>
        </w:tc>
        <w:tc>
          <w:tcPr>
            <w:tcW w:w="2022" w:type="dxa"/>
            <w:tcBorders>
              <w:tl2br w:val="nil"/>
              <w:tr2bl w:val="nil"/>
            </w:tcBorders>
            <w:shd w:val="clear" w:color="auto" w:fill="auto"/>
            <w:noWrap/>
            <w:vAlign w:val="center"/>
          </w:tcPr>
          <w:p w14:paraId="5F76F2D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区间</w:t>
            </w:r>
          </w:p>
        </w:tc>
        <w:tc>
          <w:tcPr>
            <w:tcW w:w="1861" w:type="dxa"/>
            <w:tcBorders>
              <w:tl2br w:val="nil"/>
              <w:tr2bl w:val="nil"/>
            </w:tcBorders>
            <w:shd w:val="clear" w:color="auto" w:fill="auto"/>
            <w:noWrap/>
            <w:vAlign w:val="center"/>
          </w:tcPr>
          <w:p w14:paraId="77C2DEBF">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组中值X’i</w:t>
            </w:r>
          </w:p>
        </w:tc>
        <w:tc>
          <w:tcPr>
            <w:tcW w:w="1682" w:type="dxa"/>
            <w:tcBorders>
              <w:tl2br w:val="nil"/>
              <w:tr2bl w:val="nil"/>
            </w:tcBorders>
            <w:shd w:val="clear" w:color="auto" w:fill="auto"/>
            <w:noWrap/>
            <w:vAlign w:val="center"/>
          </w:tcPr>
          <w:p w14:paraId="062B31FF">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频数ni</w:t>
            </w:r>
          </w:p>
        </w:tc>
        <w:tc>
          <w:tcPr>
            <w:tcW w:w="1288" w:type="dxa"/>
            <w:tcBorders>
              <w:tl2br w:val="nil"/>
              <w:tr2bl w:val="nil"/>
            </w:tcBorders>
            <w:shd w:val="clear" w:color="auto" w:fill="auto"/>
            <w:noWrap/>
            <w:vAlign w:val="center"/>
          </w:tcPr>
          <w:p w14:paraId="5735E25E">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频率fi</w:t>
            </w:r>
          </w:p>
        </w:tc>
      </w:tr>
      <w:tr w14:paraId="64EC00C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53" w:hRule="atLeast"/>
          <w:jc w:val="center"/>
        </w:trPr>
        <w:tc>
          <w:tcPr>
            <w:tcW w:w="0" w:type="auto"/>
            <w:tcBorders>
              <w:tl2br w:val="nil"/>
              <w:tr2bl w:val="nil"/>
            </w:tcBorders>
            <w:shd w:val="clear" w:color="auto" w:fill="auto"/>
            <w:noWrap/>
            <w:vAlign w:val="center"/>
          </w:tcPr>
          <w:p w14:paraId="5F44D48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0" w:type="auto"/>
            <w:tcBorders>
              <w:tl2br w:val="nil"/>
              <w:tr2bl w:val="nil"/>
            </w:tcBorders>
            <w:shd w:val="clear" w:color="auto" w:fill="auto"/>
            <w:noWrap/>
            <w:vAlign w:val="center"/>
          </w:tcPr>
          <w:p w14:paraId="3FC6E5AB">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[75-80]</w:t>
            </w:r>
          </w:p>
        </w:tc>
        <w:tc>
          <w:tcPr>
            <w:tcW w:w="0" w:type="auto"/>
            <w:tcBorders>
              <w:tl2br w:val="nil"/>
              <w:tr2bl w:val="nil"/>
            </w:tcBorders>
            <w:shd w:val="clear" w:color="auto" w:fill="auto"/>
            <w:noWrap/>
            <w:vAlign w:val="center"/>
          </w:tcPr>
          <w:p w14:paraId="15889B9C">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77.5</w:t>
            </w:r>
          </w:p>
        </w:tc>
        <w:tc>
          <w:tcPr>
            <w:tcW w:w="0" w:type="auto"/>
            <w:tcBorders>
              <w:tl2br w:val="nil"/>
              <w:tr2bl w:val="nil"/>
            </w:tcBorders>
            <w:shd w:val="clear" w:color="auto" w:fill="auto"/>
            <w:noWrap/>
            <w:vAlign w:val="center"/>
          </w:tcPr>
          <w:p w14:paraId="0CCE69A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23</w:t>
            </w:r>
          </w:p>
        </w:tc>
        <w:tc>
          <w:tcPr>
            <w:tcW w:w="0" w:type="auto"/>
            <w:tcBorders>
              <w:tl2br w:val="nil"/>
              <w:tr2bl w:val="nil"/>
            </w:tcBorders>
            <w:shd w:val="clear" w:color="auto" w:fill="auto"/>
            <w:noWrap/>
            <w:vAlign w:val="center"/>
          </w:tcPr>
          <w:p w14:paraId="4A26861F">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23.00%</w:t>
            </w:r>
          </w:p>
        </w:tc>
      </w:tr>
      <w:tr w14:paraId="30009AC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3" w:hRule="atLeast"/>
          <w:jc w:val="center"/>
        </w:trPr>
        <w:tc>
          <w:tcPr>
            <w:tcW w:w="0" w:type="auto"/>
            <w:tcBorders>
              <w:tl2br w:val="nil"/>
              <w:tr2bl w:val="nil"/>
            </w:tcBorders>
            <w:shd w:val="clear" w:color="auto" w:fill="auto"/>
            <w:noWrap/>
            <w:vAlign w:val="center"/>
          </w:tcPr>
          <w:p w14:paraId="3D8017C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0" w:type="auto"/>
            <w:tcBorders>
              <w:tl2br w:val="nil"/>
              <w:tr2bl w:val="nil"/>
            </w:tcBorders>
            <w:shd w:val="clear" w:color="auto" w:fill="auto"/>
            <w:noWrap/>
            <w:vAlign w:val="center"/>
          </w:tcPr>
          <w:p w14:paraId="031C6691">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[80-85]</w:t>
            </w:r>
          </w:p>
        </w:tc>
        <w:tc>
          <w:tcPr>
            <w:tcW w:w="0" w:type="auto"/>
            <w:tcBorders>
              <w:tl2br w:val="nil"/>
              <w:tr2bl w:val="nil"/>
            </w:tcBorders>
            <w:shd w:val="clear" w:color="auto" w:fill="auto"/>
            <w:noWrap/>
            <w:vAlign w:val="center"/>
          </w:tcPr>
          <w:p w14:paraId="71A5EE6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82.5</w:t>
            </w:r>
          </w:p>
        </w:tc>
        <w:tc>
          <w:tcPr>
            <w:tcW w:w="0" w:type="auto"/>
            <w:tcBorders>
              <w:tl2br w:val="nil"/>
              <w:tr2bl w:val="nil"/>
            </w:tcBorders>
            <w:shd w:val="clear" w:color="auto" w:fill="auto"/>
            <w:noWrap/>
            <w:vAlign w:val="center"/>
          </w:tcPr>
          <w:p w14:paraId="1C2D00ED">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w:t>
            </w:r>
          </w:p>
        </w:tc>
        <w:tc>
          <w:tcPr>
            <w:tcW w:w="0" w:type="auto"/>
            <w:tcBorders>
              <w:tl2br w:val="nil"/>
              <w:tr2bl w:val="nil"/>
            </w:tcBorders>
            <w:shd w:val="clear" w:color="auto" w:fill="auto"/>
            <w:noWrap/>
            <w:vAlign w:val="center"/>
          </w:tcPr>
          <w:p w14:paraId="56753D9C">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25.00%</w:t>
            </w:r>
          </w:p>
        </w:tc>
      </w:tr>
      <w:tr w14:paraId="0C3A379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3" w:hRule="atLeast"/>
          <w:jc w:val="center"/>
        </w:trPr>
        <w:tc>
          <w:tcPr>
            <w:tcW w:w="0" w:type="auto"/>
            <w:tcBorders>
              <w:tl2br w:val="nil"/>
              <w:tr2bl w:val="nil"/>
            </w:tcBorders>
            <w:shd w:val="clear" w:color="auto" w:fill="auto"/>
            <w:noWrap/>
            <w:vAlign w:val="center"/>
          </w:tcPr>
          <w:p w14:paraId="53CA73CC">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0" w:type="auto"/>
            <w:tcBorders>
              <w:tl2br w:val="nil"/>
              <w:tr2bl w:val="nil"/>
            </w:tcBorders>
            <w:shd w:val="clear" w:color="auto" w:fill="auto"/>
            <w:noWrap/>
            <w:vAlign w:val="center"/>
          </w:tcPr>
          <w:p w14:paraId="574FAEC4">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[85-90]</w:t>
            </w:r>
          </w:p>
        </w:tc>
        <w:tc>
          <w:tcPr>
            <w:tcW w:w="0" w:type="auto"/>
            <w:tcBorders>
              <w:tl2br w:val="nil"/>
              <w:tr2bl w:val="nil"/>
            </w:tcBorders>
            <w:shd w:val="clear" w:color="auto" w:fill="auto"/>
            <w:noWrap/>
            <w:vAlign w:val="center"/>
          </w:tcPr>
          <w:p w14:paraId="0726E9CE">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87.5</w:t>
            </w:r>
          </w:p>
        </w:tc>
        <w:tc>
          <w:tcPr>
            <w:tcW w:w="0" w:type="auto"/>
            <w:tcBorders>
              <w:tl2br w:val="nil"/>
              <w:tr2bl w:val="nil"/>
            </w:tcBorders>
            <w:shd w:val="clear" w:color="auto" w:fill="auto"/>
            <w:noWrap/>
            <w:vAlign w:val="center"/>
          </w:tcPr>
          <w:p w14:paraId="06DD2D4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w:t>
            </w:r>
          </w:p>
        </w:tc>
        <w:tc>
          <w:tcPr>
            <w:tcW w:w="0" w:type="auto"/>
            <w:tcBorders>
              <w:tl2br w:val="nil"/>
              <w:tr2bl w:val="nil"/>
            </w:tcBorders>
            <w:shd w:val="clear" w:color="auto" w:fill="auto"/>
            <w:noWrap/>
            <w:vAlign w:val="center"/>
          </w:tcPr>
          <w:p w14:paraId="3CF9FE3E">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18.00%</w:t>
            </w:r>
          </w:p>
        </w:tc>
      </w:tr>
      <w:tr w14:paraId="7ED892D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3" w:hRule="atLeast"/>
          <w:jc w:val="center"/>
        </w:trPr>
        <w:tc>
          <w:tcPr>
            <w:tcW w:w="0" w:type="auto"/>
            <w:tcBorders>
              <w:tl2br w:val="nil"/>
              <w:tr2bl w:val="nil"/>
            </w:tcBorders>
            <w:shd w:val="clear" w:color="auto" w:fill="auto"/>
            <w:noWrap/>
            <w:vAlign w:val="center"/>
          </w:tcPr>
          <w:p w14:paraId="73E569CD">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0" w:type="auto"/>
            <w:tcBorders>
              <w:tl2br w:val="nil"/>
              <w:tr2bl w:val="nil"/>
            </w:tcBorders>
            <w:shd w:val="clear" w:color="auto" w:fill="auto"/>
            <w:noWrap/>
            <w:vAlign w:val="center"/>
          </w:tcPr>
          <w:p w14:paraId="4E8C5E4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[90-95]</w:t>
            </w:r>
          </w:p>
        </w:tc>
        <w:tc>
          <w:tcPr>
            <w:tcW w:w="0" w:type="auto"/>
            <w:tcBorders>
              <w:tl2br w:val="nil"/>
              <w:tr2bl w:val="nil"/>
            </w:tcBorders>
            <w:shd w:val="clear" w:color="auto" w:fill="auto"/>
            <w:noWrap/>
            <w:vAlign w:val="center"/>
          </w:tcPr>
          <w:p w14:paraId="31B48BD1">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92.5</w:t>
            </w:r>
          </w:p>
        </w:tc>
        <w:tc>
          <w:tcPr>
            <w:tcW w:w="0" w:type="auto"/>
            <w:tcBorders>
              <w:tl2br w:val="nil"/>
              <w:tr2bl w:val="nil"/>
            </w:tcBorders>
            <w:shd w:val="clear" w:color="auto" w:fill="auto"/>
            <w:noWrap/>
            <w:vAlign w:val="center"/>
          </w:tcPr>
          <w:p w14:paraId="012C5C04">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w:t>
            </w:r>
          </w:p>
        </w:tc>
        <w:tc>
          <w:tcPr>
            <w:tcW w:w="0" w:type="auto"/>
            <w:tcBorders>
              <w:tl2br w:val="nil"/>
              <w:tr2bl w:val="nil"/>
            </w:tcBorders>
            <w:shd w:val="clear" w:color="auto" w:fill="auto"/>
            <w:noWrap/>
            <w:vAlign w:val="center"/>
          </w:tcPr>
          <w:p w14:paraId="16B0AE0F">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15.00%</w:t>
            </w:r>
          </w:p>
        </w:tc>
      </w:tr>
      <w:tr w14:paraId="51A4B4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53" w:hRule="atLeast"/>
          <w:jc w:val="center"/>
        </w:trPr>
        <w:tc>
          <w:tcPr>
            <w:tcW w:w="0" w:type="auto"/>
            <w:tcBorders>
              <w:tl2br w:val="nil"/>
              <w:tr2bl w:val="nil"/>
            </w:tcBorders>
            <w:shd w:val="clear" w:color="auto" w:fill="auto"/>
            <w:noWrap/>
            <w:vAlign w:val="center"/>
          </w:tcPr>
          <w:p w14:paraId="73953FC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0" w:type="auto"/>
            <w:tcBorders>
              <w:tl2br w:val="nil"/>
              <w:tr2bl w:val="nil"/>
            </w:tcBorders>
            <w:shd w:val="clear" w:color="auto" w:fill="auto"/>
            <w:noWrap/>
            <w:vAlign w:val="center"/>
          </w:tcPr>
          <w:p w14:paraId="620B236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[95-100]</w:t>
            </w:r>
          </w:p>
        </w:tc>
        <w:tc>
          <w:tcPr>
            <w:tcW w:w="0" w:type="auto"/>
            <w:tcBorders>
              <w:tl2br w:val="nil"/>
              <w:tr2bl w:val="nil"/>
            </w:tcBorders>
            <w:shd w:val="clear" w:color="auto" w:fill="auto"/>
            <w:noWrap/>
            <w:vAlign w:val="center"/>
          </w:tcPr>
          <w:p w14:paraId="0EDE644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97.5</w:t>
            </w:r>
          </w:p>
        </w:tc>
        <w:tc>
          <w:tcPr>
            <w:tcW w:w="0" w:type="auto"/>
            <w:tcBorders>
              <w:tl2br w:val="nil"/>
              <w:tr2bl w:val="nil"/>
            </w:tcBorders>
            <w:shd w:val="clear" w:color="auto" w:fill="auto"/>
            <w:noWrap/>
            <w:vAlign w:val="center"/>
          </w:tcPr>
          <w:p w14:paraId="70E05C2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14</w:t>
            </w:r>
          </w:p>
        </w:tc>
        <w:tc>
          <w:tcPr>
            <w:tcW w:w="0" w:type="auto"/>
            <w:tcBorders>
              <w:tl2br w:val="nil"/>
              <w:tr2bl w:val="nil"/>
            </w:tcBorders>
            <w:shd w:val="clear" w:color="auto" w:fill="auto"/>
            <w:noWrap/>
            <w:vAlign w:val="center"/>
          </w:tcPr>
          <w:p w14:paraId="3BC8F8C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14.00%</w:t>
            </w:r>
          </w:p>
        </w:tc>
      </w:tr>
      <w:tr w14:paraId="2F843D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53" w:hRule="atLeast"/>
          <w:jc w:val="center"/>
        </w:trPr>
        <w:tc>
          <w:tcPr>
            <w:tcW w:w="0" w:type="auto"/>
            <w:tcBorders>
              <w:tl2br w:val="nil"/>
              <w:tr2bl w:val="nil"/>
            </w:tcBorders>
            <w:shd w:val="clear" w:color="auto" w:fill="auto"/>
            <w:noWrap/>
            <w:vAlign w:val="center"/>
          </w:tcPr>
          <w:p w14:paraId="286A715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w:t>
            </w:r>
          </w:p>
        </w:tc>
        <w:tc>
          <w:tcPr>
            <w:tcW w:w="0" w:type="auto"/>
            <w:tcBorders>
              <w:tl2br w:val="nil"/>
              <w:tr2bl w:val="nil"/>
            </w:tcBorders>
            <w:shd w:val="clear" w:color="auto" w:fill="auto"/>
            <w:noWrap/>
            <w:vAlign w:val="center"/>
          </w:tcPr>
          <w:p w14:paraId="583FEFD2">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[100-105]</w:t>
            </w:r>
          </w:p>
        </w:tc>
        <w:tc>
          <w:tcPr>
            <w:tcW w:w="0" w:type="auto"/>
            <w:tcBorders>
              <w:tl2br w:val="nil"/>
              <w:tr2bl w:val="nil"/>
            </w:tcBorders>
            <w:shd w:val="clear" w:color="auto" w:fill="auto"/>
            <w:noWrap/>
            <w:vAlign w:val="center"/>
          </w:tcPr>
          <w:p w14:paraId="3C62B0BB">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102.5</w:t>
            </w:r>
          </w:p>
        </w:tc>
        <w:tc>
          <w:tcPr>
            <w:tcW w:w="0" w:type="auto"/>
            <w:tcBorders>
              <w:tl2br w:val="nil"/>
              <w:tr2bl w:val="nil"/>
            </w:tcBorders>
            <w:shd w:val="clear" w:color="auto" w:fill="auto"/>
            <w:noWrap/>
            <w:vAlign w:val="center"/>
          </w:tcPr>
          <w:p w14:paraId="5ED7DBE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0" w:type="auto"/>
            <w:tcBorders>
              <w:tl2br w:val="nil"/>
              <w:tr2bl w:val="nil"/>
            </w:tcBorders>
            <w:shd w:val="clear" w:color="auto" w:fill="auto"/>
            <w:noWrap/>
            <w:vAlign w:val="center"/>
          </w:tcPr>
          <w:p w14:paraId="02AF7F0B">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4.00%</w:t>
            </w:r>
          </w:p>
        </w:tc>
      </w:tr>
      <w:tr w14:paraId="2BEBD56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38" w:hRule="atLeast"/>
          <w:jc w:val="center"/>
        </w:trPr>
        <w:tc>
          <w:tcPr>
            <w:tcW w:w="0" w:type="auto"/>
            <w:tcBorders>
              <w:tl2br w:val="nil"/>
              <w:tr2bl w:val="nil"/>
            </w:tcBorders>
            <w:shd w:val="clear" w:color="auto" w:fill="auto"/>
            <w:noWrap/>
            <w:vAlign w:val="center"/>
          </w:tcPr>
          <w:p w14:paraId="6838F57E">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合计</w:t>
            </w:r>
          </w:p>
        </w:tc>
        <w:tc>
          <w:tcPr>
            <w:tcW w:w="0" w:type="auto"/>
            <w:tcBorders>
              <w:tl2br w:val="nil"/>
              <w:tr2bl w:val="nil"/>
            </w:tcBorders>
            <w:shd w:val="clear" w:color="auto" w:fill="auto"/>
            <w:noWrap/>
            <w:vAlign w:val="center"/>
          </w:tcPr>
          <w:p w14:paraId="11A3AC7C">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0" w:type="auto"/>
            <w:tcBorders>
              <w:tl2br w:val="nil"/>
              <w:tr2bl w:val="nil"/>
            </w:tcBorders>
            <w:shd w:val="clear" w:color="auto" w:fill="auto"/>
            <w:noWrap/>
            <w:vAlign w:val="center"/>
          </w:tcPr>
          <w:p w14:paraId="006A8D6E">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0" w:type="auto"/>
            <w:tcBorders>
              <w:tl2br w:val="nil"/>
              <w:tr2bl w:val="nil"/>
            </w:tcBorders>
            <w:shd w:val="clear" w:color="auto" w:fill="auto"/>
            <w:noWrap/>
            <w:vAlign w:val="center"/>
          </w:tcPr>
          <w:p w14:paraId="4809842E">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w:t>
            </w:r>
          </w:p>
        </w:tc>
        <w:tc>
          <w:tcPr>
            <w:tcW w:w="0" w:type="auto"/>
            <w:tcBorders>
              <w:tl2br w:val="nil"/>
              <w:tr2bl w:val="nil"/>
            </w:tcBorders>
            <w:shd w:val="clear" w:color="auto" w:fill="auto"/>
            <w:noWrap/>
            <w:vAlign w:val="center"/>
          </w:tcPr>
          <w:p w14:paraId="792768CE">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r>
    </w:tbl>
    <w:p w14:paraId="4B37313E">
      <w:pPr>
        <w:jc w:val="center"/>
        <w:rPr>
          <w:rFonts w:hint="default" w:ascii="Times New Roman" w:hAnsi="Times New Roman" w:eastAsia="宋体" w:cs="Times New Roman"/>
          <w:highlight w:val="none"/>
          <w:lang w:val="en-US" w:eastAsia="zh-CN"/>
        </w:rPr>
      </w:pPr>
    </w:p>
    <w:p w14:paraId="1EFE1C3F">
      <w:pPr>
        <w:jc w:val="center"/>
        <w:rPr>
          <w:rFonts w:hint="default" w:ascii="Times New Roman" w:hAnsi="Times New Roman" w:eastAsia="宋体" w:cs="Times New Roman"/>
          <w:highlight w:val="none"/>
          <w:lang w:val="en-US" w:eastAsia="zh-CN"/>
        </w:rPr>
      </w:pPr>
      <w:r>
        <w:rPr>
          <w:rFonts w:hint="default" w:ascii="Times New Roman" w:hAnsi="Times New Roman" w:cs="Times New Roman"/>
          <w:highlight w:val="none"/>
        </w:rPr>
        <w:drawing>
          <wp:inline distT="0" distB="0" distL="114300" distR="114300">
            <wp:extent cx="4904740" cy="2082800"/>
            <wp:effectExtent l="4445" t="4445" r="5715" b="8255"/>
            <wp:docPr id="1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67A0EE3">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kern w:val="2"/>
          <w:sz w:val="24"/>
          <w:szCs w:val="24"/>
          <w:highlight w:val="none"/>
        </w:rPr>
      </w:pPr>
      <w:r>
        <w:rPr>
          <w:rFonts w:hint="default" w:ascii="Times New Roman" w:hAnsi="Times New Roman" w:cs="Times New Roman"/>
          <w:kern w:val="2"/>
          <w:sz w:val="24"/>
          <w:szCs w:val="24"/>
          <w:highlight w:val="none"/>
        </w:rPr>
        <w:t>图</w:t>
      </w:r>
      <w:r>
        <w:rPr>
          <w:rFonts w:hint="eastAsia" w:cs="Times New Roman"/>
          <w:kern w:val="2"/>
          <w:sz w:val="24"/>
          <w:szCs w:val="24"/>
          <w:highlight w:val="none"/>
          <w:lang w:val="en-US" w:eastAsia="zh-CN"/>
        </w:rPr>
        <w:t>11</w:t>
      </w:r>
      <w:r>
        <w:rPr>
          <w:rFonts w:hint="default" w:ascii="Times New Roman" w:hAnsi="Times New Roman" w:cs="Times New Roman"/>
          <w:kern w:val="2"/>
          <w:sz w:val="24"/>
          <w:szCs w:val="24"/>
          <w:highlight w:val="none"/>
          <w:lang w:val="en-US" w:eastAsia="zh-CN"/>
        </w:rPr>
        <w:t xml:space="preserve">  </w:t>
      </w:r>
      <w:r>
        <w:rPr>
          <w:rFonts w:hint="default" w:ascii="Times New Roman" w:hAnsi="Times New Roman" w:cs="Times New Roman"/>
          <w:kern w:val="2"/>
          <w:sz w:val="24"/>
          <w:szCs w:val="24"/>
          <w:highlight w:val="none"/>
        </w:rPr>
        <w:t>T</w:t>
      </w:r>
      <w:r>
        <w:rPr>
          <w:rFonts w:hint="eastAsia" w:cs="Times New Roman"/>
          <w:kern w:val="2"/>
          <w:sz w:val="24"/>
          <w:szCs w:val="24"/>
          <w:highlight w:val="none"/>
          <w:lang w:val="en-US" w:eastAsia="zh-CN"/>
        </w:rPr>
        <w:t>U</w:t>
      </w:r>
      <w:r>
        <w:rPr>
          <w:rFonts w:hint="default" w:ascii="Times New Roman" w:hAnsi="Times New Roman" w:cs="Times New Roman"/>
          <w:kern w:val="2"/>
          <w:sz w:val="24"/>
          <w:szCs w:val="24"/>
          <w:highlight w:val="none"/>
        </w:rPr>
        <w:t xml:space="preserve">2   </w:t>
      </w:r>
      <w:r>
        <w:rPr>
          <w:rFonts w:hint="default" w:ascii="Times New Roman" w:hAnsi="Times New Roman" w:cs="Times New Roman"/>
          <w:kern w:val="2"/>
          <w:sz w:val="24"/>
          <w:szCs w:val="24"/>
          <w:highlight w:val="none"/>
          <w:lang w:val="en-US" w:eastAsia="zh-CN"/>
        </w:rPr>
        <w:t>0</w:t>
      </w:r>
      <w:r>
        <w:rPr>
          <w:rFonts w:hint="default" w:ascii="Times New Roman" w:hAnsi="Times New Roman" w:cs="Times New Roman"/>
          <w:kern w:val="2"/>
          <w:sz w:val="24"/>
          <w:szCs w:val="24"/>
          <w:highlight w:val="none"/>
        </w:rPr>
        <w:t xml:space="preserve">60 </w:t>
      </w:r>
      <w:r>
        <w:rPr>
          <w:rFonts w:hint="default" w:ascii="Times New Roman" w:hAnsi="Times New Roman" w:cs="Times New Roman"/>
          <w:kern w:val="2"/>
          <w:sz w:val="24"/>
          <w:szCs w:val="24"/>
          <w:highlight w:val="none"/>
          <w:lang w:val="en-US" w:eastAsia="zh-CN"/>
        </w:rPr>
        <w:t>屈服</w:t>
      </w:r>
      <w:r>
        <w:rPr>
          <w:rFonts w:hint="default" w:ascii="Times New Roman" w:hAnsi="Times New Roman" w:cs="Times New Roman"/>
          <w:sz w:val="24"/>
          <w:szCs w:val="20"/>
          <w:highlight w:val="none"/>
          <w:lang w:val="en-US" w:eastAsia="zh-CN"/>
        </w:rPr>
        <w:t>强度</w:t>
      </w:r>
      <w:r>
        <w:rPr>
          <w:rFonts w:hint="default" w:ascii="Times New Roman" w:hAnsi="Times New Roman" w:cs="Times New Roman"/>
          <w:kern w:val="2"/>
          <w:sz w:val="24"/>
          <w:szCs w:val="24"/>
          <w:highlight w:val="none"/>
        </w:rPr>
        <w:t xml:space="preserve"> 分布直方图</w:t>
      </w:r>
    </w:p>
    <w:p w14:paraId="1FE2DF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kern w:val="2"/>
          <w:sz w:val="24"/>
          <w:szCs w:val="24"/>
          <w:highlight w:val="none"/>
          <w:lang w:val="en-US" w:eastAsia="zh-CN"/>
        </w:rPr>
      </w:pPr>
      <w:r>
        <w:rPr>
          <w:rFonts w:hint="eastAsia" w:ascii="宋体" w:hAnsi="宋体" w:cs="宋体"/>
          <w:kern w:val="2"/>
          <w:sz w:val="24"/>
          <w:szCs w:val="24"/>
          <w:highlight w:val="none"/>
        </w:rPr>
        <w:t>由图表可知，性能检测</w:t>
      </w:r>
      <w:r>
        <w:rPr>
          <w:rFonts w:hint="eastAsia" w:ascii="宋体" w:hAnsi="宋体" w:cs="宋体"/>
          <w:kern w:val="2"/>
          <w:sz w:val="24"/>
          <w:szCs w:val="24"/>
          <w:highlight w:val="none"/>
          <w:lang w:val="en-US" w:eastAsia="zh-CN"/>
        </w:rPr>
        <w:t>100</w:t>
      </w:r>
      <w:r>
        <w:rPr>
          <w:rFonts w:hint="eastAsia" w:ascii="宋体" w:hAnsi="宋体" w:cs="宋体"/>
          <w:kern w:val="2"/>
          <w:sz w:val="24"/>
          <w:szCs w:val="24"/>
          <w:highlight w:val="none"/>
        </w:rPr>
        <w:t>项，实际</w:t>
      </w:r>
      <w:r>
        <w:rPr>
          <w:rFonts w:hint="eastAsia" w:ascii="宋体" w:hAnsi="宋体" w:cs="宋体"/>
          <w:kern w:val="2"/>
          <w:sz w:val="24"/>
          <w:szCs w:val="24"/>
          <w:highlight w:val="none"/>
          <w:lang w:val="en-US" w:eastAsia="zh-CN"/>
        </w:rPr>
        <w:t>屈服</w:t>
      </w:r>
      <w:r>
        <w:rPr>
          <w:rFonts w:hint="eastAsia" w:ascii="宋体" w:hAnsi="宋体" w:cs="宋体"/>
          <w:kern w:val="2"/>
          <w:sz w:val="24"/>
          <w:szCs w:val="24"/>
          <w:highlight w:val="none"/>
        </w:rPr>
        <w:t>强度</w:t>
      </w:r>
      <w:r>
        <w:rPr>
          <w:rFonts w:hint="eastAsia" w:ascii="宋体" w:hAnsi="宋体"/>
          <w:kern w:val="2"/>
          <w:sz w:val="24"/>
          <w:szCs w:val="24"/>
          <w:highlight w:val="none"/>
          <w:lang w:val="en-US" w:eastAsia="zh-CN"/>
        </w:rPr>
        <w:t>Rp0.2</w:t>
      </w:r>
      <w:r>
        <w:rPr>
          <w:rFonts w:hint="eastAsia" w:ascii="宋体" w:hAnsi="宋体" w:cs="宋体"/>
          <w:kern w:val="2"/>
          <w:sz w:val="24"/>
          <w:szCs w:val="24"/>
          <w:highlight w:val="none"/>
        </w:rPr>
        <w:t>全部在</w:t>
      </w:r>
      <w:r>
        <w:rPr>
          <w:rFonts w:hint="eastAsia" w:ascii="宋体" w:hAnsi="宋体" w:cs="宋体"/>
          <w:kern w:val="2"/>
          <w:sz w:val="24"/>
          <w:szCs w:val="24"/>
          <w:highlight w:val="none"/>
          <w:lang w:val="en-US" w:eastAsia="zh-CN"/>
        </w:rPr>
        <w:t>75</w:t>
      </w:r>
      <w:r>
        <w:rPr>
          <w:rFonts w:hint="eastAsia" w:ascii="宋体" w:hAnsi="宋体" w:cs="宋体"/>
          <w:kern w:val="2"/>
          <w:sz w:val="24"/>
          <w:szCs w:val="24"/>
          <w:highlight w:val="none"/>
        </w:rPr>
        <w:t>MPa以上。该产品技术指标：该产品技术指标：</w:t>
      </w:r>
      <w:r>
        <w:rPr>
          <w:rFonts w:hint="eastAsia" w:ascii="宋体" w:hAnsi="宋体" w:cs="宋体"/>
          <w:kern w:val="2"/>
          <w:sz w:val="24"/>
          <w:szCs w:val="24"/>
          <w:highlight w:val="none"/>
          <w:lang w:val="en-US" w:eastAsia="zh-CN"/>
        </w:rPr>
        <w:t>屈服</w:t>
      </w:r>
      <w:r>
        <w:rPr>
          <w:rFonts w:hint="eastAsia" w:ascii="宋体" w:hAnsi="宋体" w:cs="宋体"/>
          <w:kern w:val="2"/>
          <w:sz w:val="24"/>
          <w:szCs w:val="24"/>
          <w:highlight w:val="none"/>
        </w:rPr>
        <w:t>强度Rm≥</w:t>
      </w:r>
      <w:r>
        <w:rPr>
          <w:rFonts w:hint="eastAsia" w:ascii="宋体" w:hAnsi="宋体" w:cs="宋体"/>
          <w:kern w:val="2"/>
          <w:sz w:val="24"/>
          <w:szCs w:val="24"/>
          <w:highlight w:val="none"/>
          <w:lang w:val="en-US" w:eastAsia="zh-CN"/>
        </w:rPr>
        <w:t>75</w:t>
      </w:r>
      <w:r>
        <w:rPr>
          <w:rFonts w:hint="eastAsia" w:ascii="宋体" w:hAnsi="宋体" w:cs="宋体"/>
          <w:kern w:val="2"/>
          <w:sz w:val="24"/>
          <w:szCs w:val="24"/>
          <w:highlight w:val="none"/>
        </w:rPr>
        <w:t>MPa,指标在此范围内的达到</w:t>
      </w:r>
      <w:r>
        <w:rPr>
          <w:rFonts w:hint="eastAsia" w:ascii="宋体" w:hAnsi="宋体" w:cs="宋体"/>
          <w:kern w:val="2"/>
          <w:sz w:val="24"/>
          <w:szCs w:val="24"/>
          <w:highlight w:val="none"/>
          <w:lang w:val="en-US" w:eastAsia="zh-CN"/>
        </w:rPr>
        <w:t>100</w:t>
      </w:r>
      <w:r>
        <w:rPr>
          <w:rFonts w:hint="eastAsia" w:ascii="宋体" w:hAnsi="宋体" w:cs="宋体"/>
          <w:kern w:val="2"/>
          <w:sz w:val="24"/>
          <w:szCs w:val="24"/>
          <w:highlight w:val="none"/>
        </w:rPr>
        <w:t>%，产品工艺成熟，指标制定合理。</w:t>
      </w:r>
    </w:p>
    <w:p w14:paraId="4EC80F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kern w:val="2"/>
          <w:sz w:val="24"/>
          <w:szCs w:val="24"/>
          <w:highlight w:val="none"/>
          <w:lang w:val="en-US" w:eastAsia="zh-CN"/>
        </w:rPr>
      </w:pPr>
      <w:r>
        <w:rPr>
          <w:rFonts w:hint="eastAsia" w:ascii="宋体" w:hAnsi="宋体"/>
          <w:kern w:val="2"/>
          <w:sz w:val="24"/>
          <w:szCs w:val="24"/>
          <w:highlight w:val="none"/>
          <w:lang w:val="en-US" w:eastAsia="zh-CN"/>
        </w:rPr>
        <w:t>3)</w:t>
      </w:r>
      <w:r>
        <w:rPr>
          <w:rFonts w:hint="eastAsia" w:ascii="宋体" w:hAnsi="宋体"/>
          <w:kern w:val="2"/>
          <w:sz w:val="24"/>
          <w:szCs w:val="24"/>
          <w:highlight w:val="none"/>
        </w:rPr>
        <w:t>T</w:t>
      </w:r>
      <w:r>
        <w:rPr>
          <w:rFonts w:hint="eastAsia" w:ascii="宋体" w:hAnsi="宋体"/>
          <w:kern w:val="2"/>
          <w:sz w:val="24"/>
          <w:szCs w:val="24"/>
          <w:highlight w:val="none"/>
          <w:lang w:val="en-US" w:eastAsia="zh-CN"/>
        </w:rPr>
        <w:t>U</w:t>
      </w:r>
      <w:r>
        <w:rPr>
          <w:rFonts w:hint="eastAsia" w:ascii="宋体" w:hAnsi="宋体"/>
          <w:kern w:val="2"/>
          <w:sz w:val="24"/>
          <w:szCs w:val="24"/>
          <w:highlight w:val="none"/>
        </w:rPr>
        <w:t>2   O60 断后伸长率A</w:t>
      </w:r>
      <w:r>
        <w:rPr>
          <w:rFonts w:hint="eastAsia" w:ascii="宋体" w:hAnsi="宋体"/>
          <w:kern w:val="2"/>
          <w:sz w:val="24"/>
          <w:szCs w:val="24"/>
          <w:highlight w:val="none"/>
          <w:vertAlign w:val="subscript"/>
        </w:rPr>
        <w:t>11.3</w:t>
      </w:r>
      <w:r>
        <w:rPr>
          <w:rFonts w:hint="eastAsia" w:ascii="宋体" w:hAnsi="宋体"/>
          <w:kern w:val="2"/>
          <w:sz w:val="24"/>
          <w:szCs w:val="24"/>
          <w:highlight w:val="none"/>
        </w:rPr>
        <w:t>（%）检测实测统计如表1</w:t>
      </w:r>
      <w:r>
        <w:rPr>
          <w:rFonts w:hint="eastAsia" w:ascii="宋体" w:hAnsi="宋体"/>
          <w:kern w:val="2"/>
          <w:sz w:val="24"/>
          <w:szCs w:val="24"/>
          <w:highlight w:val="none"/>
          <w:lang w:val="en-US" w:eastAsia="zh-CN"/>
        </w:rPr>
        <w:t>6</w:t>
      </w:r>
    </w:p>
    <w:p w14:paraId="4F18AAA3">
      <w:pPr>
        <w:keepNext w:val="0"/>
        <w:keepLines w:val="0"/>
        <w:pageBreakBefore w:val="0"/>
        <w:tabs>
          <w:tab w:val="left" w:pos="2946"/>
          <w:tab w:val="center" w:pos="4212"/>
        </w:tabs>
        <w:kinsoku/>
        <w:wordWrap/>
        <w:overflowPunct/>
        <w:topLinePunct w:val="0"/>
        <w:autoSpaceDE/>
        <w:autoSpaceDN/>
        <w:bidi w:val="0"/>
        <w:snapToGrid/>
        <w:spacing w:line="360" w:lineRule="auto"/>
        <w:jc w:val="center"/>
        <w:rPr>
          <w:rFonts w:hint="default" w:ascii="Times New Roman" w:hAnsi="Times New Roman" w:cs="Times New Roman"/>
          <w:sz w:val="24"/>
          <w:szCs w:val="20"/>
          <w:highlight w:val="none"/>
        </w:rPr>
      </w:pPr>
      <w:r>
        <w:rPr>
          <w:rFonts w:hint="default" w:ascii="Times New Roman" w:hAnsi="Times New Roman" w:cs="Times New Roman"/>
          <w:sz w:val="24"/>
          <w:szCs w:val="20"/>
          <w:highlight w:val="none"/>
          <w:lang w:val="en-US" w:eastAsia="zh-CN"/>
        </w:rPr>
        <w:t>表</w:t>
      </w:r>
      <w:r>
        <w:rPr>
          <w:rFonts w:hint="eastAsia" w:cs="Times New Roman"/>
          <w:sz w:val="24"/>
          <w:szCs w:val="20"/>
          <w:highlight w:val="none"/>
          <w:lang w:val="en-US" w:eastAsia="zh-CN"/>
        </w:rPr>
        <w:t>25</w:t>
      </w:r>
      <w:r>
        <w:rPr>
          <w:rFonts w:hint="default" w:ascii="Times New Roman" w:hAnsi="Times New Roman" w:cs="Times New Roman"/>
          <w:sz w:val="24"/>
          <w:szCs w:val="20"/>
          <w:highlight w:val="none"/>
          <w:lang w:val="en-US" w:eastAsia="zh-CN"/>
        </w:rPr>
        <w:t xml:space="preserve">  T</w:t>
      </w:r>
      <w:r>
        <w:rPr>
          <w:rFonts w:hint="eastAsia" w:cs="Times New Roman"/>
          <w:sz w:val="24"/>
          <w:szCs w:val="20"/>
          <w:highlight w:val="none"/>
          <w:lang w:val="en-US" w:eastAsia="zh-CN"/>
        </w:rPr>
        <w:t>U</w:t>
      </w:r>
      <w:r>
        <w:rPr>
          <w:rFonts w:hint="default" w:ascii="Times New Roman" w:hAnsi="Times New Roman" w:cs="Times New Roman"/>
          <w:sz w:val="24"/>
          <w:szCs w:val="20"/>
          <w:highlight w:val="none"/>
          <w:lang w:val="en-US" w:eastAsia="zh-CN"/>
        </w:rPr>
        <w:t>2   060  断后伸长率 频数和频率分布表</w:t>
      </w:r>
    </w:p>
    <w:tbl>
      <w:tblPr>
        <w:tblStyle w:val="21"/>
        <w:tblW w:w="871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973"/>
        <w:gridCol w:w="1990"/>
        <w:gridCol w:w="1832"/>
        <w:gridCol w:w="1655"/>
        <w:gridCol w:w="1268"/>
      </w:tblGrid>
      <w:tr w14:paraId="58B76F1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55" w:hRule="atLeast"/>
          <w:jc w:val="center"/>
        </w:trPr>
        <w:tc>
          <w:tcPr>
            <w:tcW w:w="1973" w:type="dxa"/>
            <w:tcBorders>
              <w:tl2br w:val="nil"/>
              <w:tr2bl w:val="nil"/>
            </w:tcBorders>
            <w:shd w:val="clear" w:color="auto" w:fill="auto"/>
            <w:noWrap/>
            <w:vAlign w:val="center"/>
          </w:tcPr>
          <w:p w14:paraId="24DEAC5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组号</w:t>
            </w:r>
          </w:p>
        </w:tc>
        <w:tc>
          <w:tcPr>
            <w:tcW w:w="1990" w:type="dxa"/>
            <w:tcBorders>
              <w:tl2br w:val="nil"/>
              <w:tr2bl w:val="nil"/>
            </w:tcBorders>
            <w:shd w:val="clear" w:color="auto" w:fill="auto"/>
            <w:noWrap/>
            <w:vAlign w:val="center"/>
          </w:tcPr>
          <w:p w14:paraId="652E6DC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区间</w:t>
            </w:r>
          </w:p>
        </w:tc>
        <w:tc>
          <w:tcPr>
            <w:tcW w:w="1832" w:type="dxa"/>
            <w:tcBorders>
              <w:tl2br w:val="nil"/>
              <w:tr2bl w:val="nil"/>
            </w:tcBorders>
            <w:shd w:val="clear" w:color="auto" w:fill="auto"/>
            <w:noWrap/>
            <w:vAlign w:val="center"/>
          </w:tcPr>
          <w:p w14:paraId="73C3BEB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组中值X’i</w:t>
            </w:r>
          </w:p>
        </w:tc>
        <w:tc>
          <w:tcPr>
            <w:tcW w:w="1655" w:type="dxa"/>
            <w:tcBorders>
              <w:tl2br w:val="nil"/>
              <w:tr2bl w:val="nil"/>
            </w:tcBorders>
            <w:shd w:val="clear" w:color="auto" w:fill="auto"/>
            <w:noWrap/>
            <w:vAlign w:val="center"/>
          </w:tcPr>
          <w:p w14:paraId="18EFF37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频数ni</w:t>
            </w:r>
          </w:p>
        </w:tc>
        <w:tc>
          <w:tcPr>
            <w:tcW w:w="1268" w:type="dxa"/>
            <w:tcBorders>
              <w:tl2br w:val="nil"/>
              <w:tr2bl w:val="nil"/>
            </w:tcBorders>
            <w:shd w:val="clear" w:color="auto" w:fill="auto"/>
            <w:noWrap/>
            <w:vAlign w:val="center"/>
          </w:tcPr>
          <w:p w14:paraId="008F2BC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频率fi</w:t>
            </w:r>
          </w:p>
        </w:tc>
      </w:tr>
      <w:tr w14:paraId="7E538A2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16" w:hRule="atLeast"/>
          <w:jc w:val="center"/>
        </w:trPr>
        <w:tc>
          <w:tcPr>
            <w:tcW w:w="0" w:type="auto"/>
            <w:tcBorders>
              <w:tl2br w:val="nil"/>
              <w:tr2bl w:val="nil"/>
            </w:tcBorders>
            <w:shd w:val="clear" w:color="auto" w:fill="auto"/>
            <w:noWrap/>
            <w:vAlign w:val="center"/>
          </w:tcPr>
          <w:p w14:paraId="00E790B4">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0" w:type="auto"/>
            <w:tcBorders>
              <w:tl2br w:val="nil"/>
              <w:tr2bl w:val="nil"/>
            </w:tcBorders>
            <w:shd w:val="clear" w:color="auto" w:fill="auto"/>
            <w:noWrap/>
            <w:vAlign w:val="center"/>
          </w:tcPr>
          <w:p w14:paraId="0166D11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[36-38]</w:t>
            </w:r>
          </w:p>
        </w:tc>
        <w:tc>
          <w:tcPr>
            <w:tcW w:w="0" w:type="auto"/>
            <w:tcBorders>
              <w:tl2br w:val="nil"/>
              <w:tr2bl w:val="nil"/>
            </w:tcBorders>
            <w:shd w:val="clear" w:color="auto" w:fill="auto"/>
            <w:noWrap/>
            <w:vAlign w:val="center"/>
          </w:tcPr>
          <w:p w14:paraId="29C67B3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37</w:t>
            </w:r>
          </w:p>
        </w:tc>
        <w:tc>
          <w:tcPr>
            <w:tcW w:w="0" w:type="auto"/>
            <w:tcBorders>
              <w:tl2br w:val="nil"/>
              <w:tr2bl w:val="nil"/>
            </w:tcBorders>
            <w:shd w:val="clear" w:color="auto" w:fill="auto"/>
            <w:noWrap/>
            <w:vAlign w:val="center"/>
          </w:tcPr>
          <w:p w14:paraId="19DDD4BF">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0" w:type="auto"/>
            <w:tcBorders>
              <w:tl2br w:val="nil"/>
              <w:tr2bl w:val="nil"/>
            </w:tcBorders>
            <w:shd w:val="clear" w:color="auto" w:fill="auto"/>
            <w:noWrap/>
            <w:vAlign w:val="center"/>
          </w:tcPr>
          <w:p w14:paraId="74992D14">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2.00%</w:t>
            </w:r>
          </w:p>
        </w:tc>
      </w:tr>
      <w:tr w14:paraId="6A27808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16" w:hRule="atLeast"/>
          <w:jc w:val="center"/>
        </w:trPr>
        <w:tc>
          <w:tcPr>
            <w:tcW w:w="0" w:type="auto"/>
            <w:tcBorders>
              <w:tl2br w:val="nil"/>
              <w:tr2bl w:val="nil"/>
            </w:tcBorders>
            <w:shd w:val="clear" w:color="auto" w:fill="auto"/>
            <w:noWrap/>
            <w:vAlign w:val="center"/>
          </w:tcPr>
          <w:p w14:paraId="0536E49E">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0" w:type="auto"/>
            <w:tcBorders>
              <w:tl2br w:val="nil"/>
              <w:tr2bl w:val="nil"/>
            </w:tcBorders>
            <w:shd w:val="clear" w:color="auto" w:fill="auto"/>
            <w:noWrap/>
            <w:vAlign w:val="center"/>
          </w:tcPr>
          <w:p w14:paraId="28185A0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[38-40]</w:t>
            </w:r>
          </w:p>
        </w:tc>
        <w:tc>
          <w:tcPr>
            <w:tcW w:w="0" w:type="auto"/>
            <w:tcBorders>
              <w:tl2br w:val="nil"/>
              <w:tr2bl w:val="nil"/>
            </w:tcBorders>
            <w:shd w:val="clear" w:color="auto" w:fill="auto"/>
            <w:noWrap/>
            <w:vAlign w:val="center"/>
          </w:tcPr>
          <w:p w14:paraId="688D0EFD">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39</w:t>
            </w:r>
          </w:p>
        </w:tc>
        <w:tc>
          <w:tcPr>
            <w:tcW w:w="0" w:type="auto"/>
            <w:tcBorders>
              <w:tl2br w:val="nil"/>
              <w:tr2bl w:val="nil"/>
            </w:tcBorders>
            <w:shd w:val="clear" w:color="auto" w:fill="auto"/>
            <w:noWrap/>
            <w:vAlign w:val="center"/>
          </w:tcPr>
          <w:p w14:paraId="0BD4A3C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0" w:type="auto"/>
            <w:tcBorders>
              <w:tl2br w:val="nil"/>
              <w:tr2bl w:val="nil"/>
            </w:tcBorders>
            <w:shd w:val="clear" w:color="auto" w:fill="auto"/>
            <w:noWrap/>
            <w:vAlign w:val="center"/>
          </w:tcPr>
          <w:p w14:paraId="4DEFB50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10.00%</w:t>
            </w:r>
          </w:p>
        </w:tc>
      </w:tr>
      <w:tr w14:paraId="076096B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6" w:hRule="atLeast"/>
          <w:jc w:val="center"/>
        </w:trPr>
        <w:tc>
          <w:tcPr>
            <w:tcW w:w="0" w:type="auto"/>
            <w:tcBorders>
              <w:tl2br w:val="nil"/>
              <w:tr2bl w:val="nil"/>
            </w:tcBorders>
            <w:shd w:val="clear" w:color="auto" w:fill="auto"/>
            <w:noWrap/>
            <w:vAlign w:val="center"/>
          </w:tcPr>
          <w:p w14:paraId="03FC3B5E">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0" w:type="auto"/>
            <w:tcBorders>
              <w:tl2br w:val="nil"/>
              <w:tr2bl w:val="nil"/>
            </w:tcBorders>
            <w:shd w:val="clear" w:color="auto" w:fill="auto"/>
            <w:noWrap/>
            <w:vAlign w:val="center"/>
          </w:tcPr>
          <w:p w14:paraId="7CEEA244">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[40-42]</w:t>
            </w:r>
          </w:p>
        </w:tc>
        <w:tc>
          <w:tcPr>
            <w:tcW w:w="0" w:type="auto"/>
            <w:tcBorders>
              <w:tl2br w:val="nil"/>
              <w:tr2bl w:val="nil"/>
            </w:tcBorders>
            <w:shd w:val="clear" w:color="auto" w:fill="auto"/>
            <w:noWrap/>
            <w:vAlign w:val="center"/>
          </w:tcPr>
          <w:p w14:paraId="29605A0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41</w:t>
            </w:r>
          </w:p>
        </w:tc>
        <w:tc>
          <w:tcPr>
            <w:tcW w:w="0" w:type="auto"/>
            <w:tcBorders>
              <w:tl2br w:val="nil"/>
              <w:tr2bl w:val="nil"/>
            </w:tcBorders>
            <w:shd w:val="clear" w:color="auto" w:fill="auto"/>
            <w:noWrap/>
            <w:vAlign w:val="center"/>
          </w:tcPr>
          <w:p w14:paraId="3F9A604E">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32</w:t>
            </w:r>
          </w:p>
        </w:tc>
        <w:tc>
          <w:tcPr>
            <w:tcW w:w="0" w:type="auto"/>
            <w:tcBorders>
              <w:tl2br w:val="nil"/>
              <w:tr2bl w:val="nil"/>
            </w:tcBorders>
            <w:shd w:val="clear" w:color="auto" w:fill="auto"/>
            <w:noWrap/>
            <w:vAlign w:val="center"/>
          </w:tcPr>
          <w:p w14:paraId="5AE81B2B">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32.00%</w:t>
            </w:r>
          </w:p>
        </w:tc>
      </w:tr>
      <w:tr w14:paraId="12411A7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6" w:hRule="atLeast"/>
          <w:jc w:val="center"/>
        </w:trPr>
        <w:tc>
          <w:tcPr>
            <w:tcW w:w="0" w:type="auto"/>
            <w:tcBorders>
              <w:tl2br w:val="nil"/>
              <w:tr2bl w:val="nil"/>
            </w:tcBorders>
            <w:shd w:val="clear" w:color="auto" w:fill="auto"/>
            <w:noWrap/>
            <w:vAlign w:val="center"/>
          </w:tcPr>
          <w:p w14:paraId="77B38FE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0" w:type="auto"/>
            <w:tcBorders>
              <w:tl2br w:val="nil"/>
              <w:tr2bl w:val="nil"/>
            </w:tcBorders>
            <w:shd w:val="clear" w:color="auto" w:fill="auto"/>
            <w:noWrap/>
            <w:vAlign w:val="center"/>
          </w:tcPr>
          <w:p w14:paraId="67594242">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[42-44]</w:t>
            </w:r>
          </w:p>
        </w:tc>
        <w:tc>
          <w:tcPr>
            <w:tcW w:w="0" w:type="auto"/>
            <w:tcBorders>
              <w:tl2br w:val="nil"/>
              <w:tr2bl w:val="nil"/>
            </w:tcBorders>
            <w:shd w:val="clear" w:color="auto" w:fill="auto"/>
            <w:noWrap/>
            <w:vAlign w:val="center"/>
          </w:tcPr>
          <w:p w14:paraId="2457C806">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43</w:t>
            </w:r>
          </w:p>
        </w:tc>
        <w:tc>
          <w:tcPr>
            <w:tcW w:w="0" w:type="auto"/>
            <w:tcBorders>
              <w:tl2br w:val="nil"/>
              <w:tr2bl w:val="nil"/>
            </w:tcBorders>
            <w:shd w:val="clear" w:color="auto" w:fill="auto"/>
            <w:noWrap/>
            <w:vAlign w:val="center"/>
          </w:tcPr>
          <w:p w14:paraId="5E13F2B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19</w:t>
            </w:r>
          </w:p>
        </w:tc>
        <w:tc>
          <w:tcPr>
            <w:tcW w:w="0" w:type="auto"/>
            <w:tcBorders>
              <w:tl2br w:val="nil"/>
              <w:tr2bl w:val="nil"/>
            </w:tcBorders>
            <w:shd w:val="clear" w:color="auto" w:fill="auto"/>
            <w:noWrap/>
            <w:vAlign w:val="center"/>
          </w:tcPr>
          <w:p w14:paraId="0D55771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19.00%</w:t>
            </w:r>
          </w:p>
        </w:tc>
      </w:tr>
      <w:tr w14:paraId="72FFF36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16" w:hRule="atLeast"/>
          <w:jc w:val="center"/>
        </w:trPr>
        <w:tc>
          <w:tcPr>
            <w:tcW w:w="0" w:type="auto"/>
            <w:tcBorders>
              <w:tl2br w:val="nil"/>
              <w:tr2bl w:val="nil"/>
            </w:tcBorders>
            <w:shd w:val="clear" w:color="auto" w:fill="auto"/>
            <w:noWrap/>
            <w:vAlign w:val="center"/>
          </w:tcPr>
          <w:p w14:paraId="3C73A9A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0" w:type="auto"/>
            <w:tcBorders>
              <w:tl2br w:val="nil"/>
              <w:tr2bl w:val="nil"/>
            </w:tcBorders>
            <w:shd w:val="clear" w:color="auto" w:fill="auto"/>
            <w:noWrap/>
            <w:vAlign w:val="center"/>
          </w:tcPr>
          <w:p w14:paraId="069FA8EB">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[44-46]</w:t>
            </w:r>
          </w:p>
        </w:tc>
        <w:tc>
          <w:tcPr>
            <w:tcW w:w="0" w:type="auto"/>
            <w:tcBorders>
              <w:tl2br w:val="nil"/>
              <w:tr2bl w:val="nil"/>
            </w:tcBorders>
            <w:shd w:val="clear" w:color="auto" w:fill="auto"/>
            <w:noWrap/>
            <w:vAlign w:val="center"/>
          </w:tcPr>
          <w:p w14:paraId="1F606E9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45</w:t>
            </w:r>
          </w:p>
        </w:tc>
        <w:tc>
          <w:tcPr>
            <w:tcW w:w="0" w:type="auto"/>
            <w:tcBorders>
              <w:tl2br w:val="nil"/>
              <w:tr2bl w:val="nil"/>
            </w:tcBorders>
            <w:shd w:val="clear" w:color="auto" w:fill="auto"/>
            <w:noWrap/>
            <w:vAlign w:val="center"/>
          </w:tcPr>
          <w:p w14:paraId="0AA3870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24</w:t>
            </w:r>
          </w:p>
        </w:tc>
        <w:tc>
          <w:tcPr>
            <w:tcW w:w="0" w:type="auto"/>
            <w:tcBorders>
              <w:tl2br w:val="nil"/>
              <w:tr2bl w:val="nil"/>
            </w:tcBorders>
            <w:shd w:val="clear" w:color="auto" w:fill="auto"/>
            <w:noWrap/>
            <w:vAlign w:val="center"/>
          </w:tcPr>
          <w:p w14:paraId="34356E6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24.00%</w:t>
            </w:r>
          </w:p>
        </w:tc>
      </w:tr>
      <w:tr w14:paraId="65A806A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16" w:hRule="atLeast"/>
          <w:jc w:val="center"/>
        </w:trPr>
        <w:tc>
          <w:tcPr>
            <w:tcW w:w="0" w:type="auto"/>
            <w:tcBorders>
              <w:tl2br w:val="nil"/>
              <w:tr2bl w:val="nil"/>
            </w:tcBorders>
            <w:shd w:val="clear" w:color="auto" w:fill="auto"/>
            <w:noWrap/>
            <w:vAlign w:val="center"/>
          </w:tcPr>
          <w:p w14:paraId="346B097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w:t>
            </w:r>
          </w:p>
        </w:tc>
        <w:tc>
          <w:tcPr>
            <w:tcW w:w="0" w:type="auto"/>
            <w:tcBorders>
              <w:tl2br w:val="nil"/>
              <w:tr2bl w:val="nil"/>
            </w:tcBorders>
            <w:shd w:val="clear" w:color="auto" w:fill="auto"/>
            <w:noWrap/>
            <w:vAlign w:val="center"/>
          </w:tcPr>
          <w:p w14:paraId="57B4E8FC">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[46-48]</w:t>
            </w:r>
          </w:p>
        </w:tc>
        <w:tc>
          <w:tcPr>
            <w:tcW w:w="0" w:type="auto"/>
            <w:tcBorders>
              <w:tl2br w:val="nil"/>
              <w:tr2bl w:val="nil"/>
            </w:tcBorders>
            <w:shd w:val="clear" w:color="auto" w:fill="auto"/>
            <w:noWrap/>
            <w:vAlign w:val="center"/>
          </w:tcPr>
          <w:p w14:paraId="6E276CF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47</w:t>
            </w:r>
          </w:p>
        </w:tc>
        <w:tc>
          <w:tcPr>
            <w:tcW w:w="0" w:type="auto"/>
            <w:tcBorders>
              <w:tl2br w:val="nil"/>
              <w:tr2bl w:val="nil"/>
            </w:tcBorders>
            <w:shd w:val="clear" w:color="auto" w:fill="auto"/>
            <w:noWrap/>
            <w:vAlign w:val="center"/>
          </w:tcPr>
          <w:p w14:paraId="3BE7EF8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w:t>
            </w:r>
          </w:p>
        </w:tc>
        <w:tc>
          <w:tcPr>
            <w:tcW w:w="0" w:type="auto"/>
            <w:tcBorders>
              <w:tl2br w:val="nil"/>
              <w:tr2bl w:val="nil"/>
            </w:tcBorders>
            <w:shd w:val="clear" w:color="auto" w:fill="auto"/>
            <w:noWrap/>
            <w:vAlign w:val="center"/>
          </w:tcPr>
          <w:p w14:paraId="3612FB06">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13.00%</w:t>
            </w:r>
          </w:p>
        </w:tc>
      </w:tr>
      <w:tr w14:paraId="2AE0C96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67" w:hRule="atLeast"/>
          <w:jc w:val="center"/>
        </w:trPr>
        <w:tc>
          <w:tcPr>
            <w:tcW w:w="0" w:type="auto"/>
            <w:tcBorders>
              <w:tl2br w:val="nil"/>
              <w:tr2bl w:val="nil"/>
            </w:tcBorders>
            <w:shd w:val="clear" w:color="auto" w:fill="auto"/>
            <w:noWrap/>
            <w:vAlign w:val="center"/>
          </w:tcPr>
          <w:p w14:paraId="5F2B968B">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合计</w:t>
            </w:r>
          </w:p>
        </w:tc>
        <w:tc>
          <w:tcPr>
            <w:tcW w:w="0" w:type="auto"/>
            <w:tcBorders>
              <w:tl2br w:val="nil"/>
              <w:tr2bl w:val="nil"/>
            </w:tcBorders>
            <w:shd w:val="clear" w:color="auto" w:fill="auto"/>
            <w:noWrap/>
            <w:vAlign w:val="center"/>
          </w:tcPr>
          <w:p w14:paraId="1E8C97BB">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0" w:type="auto"/>
            <w:tcBorders>
              <w:tl2br w:val="nil"/>
              <w:tr2bl w:val="nil"/>
            </w:tcBorders>
            <w:shd w:val="clear" w:color="auto" w:fill="auto"/>
            <w:noWrap/>
            <w:vAlign w:val="center"/>
          </w:tcPr>
          <w:p w14:paraId="2361C901">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0" w:type="auto"/>
            <w:tcBorders>
              <w:tl2br w:val="nil"/>
              <w:tr2bl w:val="nil"/>
            </w:tcBorders>
            <w:shd w:val="clear" w:color="auto" w:fill="auto"/>
            <w:noWrap/>
            <w:vAlign w:val="center"/>
          </w:tcPr>
          <w:p w14:paraId="0D3D17B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w:t>
            </w:r>
          </w:p>
        </w:tc>
        <w:tc>
          <w:tcPr>
            <w:tcW w:w="0" w:type="auto"/>
            <w:tcBorders>
              <w:tl2br w:val="nil"/>
              <w:tr2bl w:val="nil"/>
            </w:tcBorders>
            <w:shd w:val="clear" w:color="auto" w:fill="auto"/>
            <w:noWrap/>
            <w:vAlign w:val="center"/>
          </w:tcPr>
          <w:p w14:paraId="34C6D678">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r>
    </w:tbl>
    <w:p w14:paraId="276EF245">
      <w:pPr>
        <w:widowControl/>
        <w:adjustRightInd/>
        <w:spacing w:line="300" w:lineRule="auto"/>
        <w:ind w:firstLine="420" w:firstLineChars="200"/>
        <w:jc w:val="center"/>
        <w:textAlignment w:val="auto"/>
        <w:rPr>
          <w:rFonts w:hint="eastAsia" w:ascii="宋体" w:hAnsi="宋体"/>
          <w:kern w:val="2"/>
          <w:sz w:val="21"/>
          <w:szCs w:val="21"/>
          <w:highlight w:val="none"/>
        </w:rPr>
      </w:pPr>
    </w:p>
    <w:p w14:paraId="4F7C93D0">
      <w:pPr>
        <w:widowControl/>
        <w:adjustRightInd/>
        <w:spacing w:line="300" w:lineRule="auto"/>
        <w:ind w:firstLine="480" w:firstLineChars="200"/>
        <w:jc w:val="center"/>
        <w:textAlignment w:val="auto"/>
        <w:rPr>
          <w:rFonts w:hint="eastAsia" w:ascii="宋体" w:hAnsi="宋体"/>
          <w:kern w:val="2"/>
          <w:sz w:val="21"/>
          <w:szCs w:val="21"/>
          <w:highlight w:val="none"/>
        </w:rPr>
      </w:pPr>
      <w:r>
        <w:rPr>
          <w:rFonts w:hint="default" w:ascii="Times New Roman" w:hAnsi="Times New Roman" w:cs="Times New Roman"/>
          <w:highlight w:val="none"/>
        </w:rPr>
        <w:drawing>
          <wp:inline distT="0" distB="0" distL="114300" distR="114300">
            <wp:extent cx="5109210" cy="1824355"/>
            <wp:effectExtent l="4445" t="4445" r="10795" b="19050"/>
            <wp:docPr id="2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B180F9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cs="宋体"/>
          <w:kern w:val="2"/>
          <w:sz w:val="24"/>
          <w:szCs w:val="24"/>
          <w:highlight w:val="none"/>
        </w:rPr>
      </w:pPr>
      <w:r>
        <w:rPr>
          <w:rFonts w:hint="default" w:ascii="Times New Roman" w:hAnsi="Times New Roman" w:cs="Times New Roman"/>
          <w:kern w:val="2"/>
          <w:sz w:val="24"/>
          <w:szCs w:val="24"/>
          <w:highlight w:val="none"/>
        </w:rPr>
        <w:t>图</w:t>
      </w:r>
      <w:r>
        <w:rPr>
          <w:rFonts w:hint="eastAsia" w:cs="Times New Roman"/>
          <w:kern w:val="2"/>
          <w:sz w:val="24"/>
          <w:szCs w:val="24"/>
          <w:highlight w:val="none"/>
          <w:lang w:val="en-US" w:eastAsia="zh-CN"/>
        </w:rPr>
        <w:t>12</w:t>
      </w:r>
      <w:r>
        <w:rPr>
          <w:rFonts w:hint="default" w:ascii="Times New Roman" w:hAnsi="Times New Roman" w:cs="Times New Roman"/>
          <w:kern w:val="2"/>
          <w:sz w:val="24"/>
          <w:szCs w:val="24"/>
          <w:highlight w:val="none"/>
          <w:lang w:val="en-US" w:eastAsia="zh-CN"/>
        </w:rPr>
        <w:t xml:space="preserve">  </w:t>
      </w:r>
      <w:r>
        <w:rPr>
          <w:rFonts w:hint="default" w:ascii="Times New Roman" w:hAnsi="Times New Roman" w:cs="Times New Roman"/>
          <w:kern w:val="2"/>
          <w:sz w:val="24"/>
          <w:szCs w:val="24"/>
          <w:highlight w:val="none"/>
        </w:rPr>
        <w:t>T</w:t>
      </w:r>
      <w:r>
        <w:rPr>
          <w:rFonts w:hint="eastAsia" w:cs="Times New Roman"/>
          <w:kern w:val="2"/>
          <w:sz w:val="24"/>
          <w:szCs w:val="24"/>
          <w:highlight w:val="none"/>
          <w:lang w:val="en-US" w:eastAsia="zh-CN"/>
        </w:rPr>
        <w:t>U</w:t>
      </w:r>
      <w:r>
        <w:rPr>
          <w:rFonts w:hint="default" w:ascii="Times New Roman" w:hAnsi="Times New Roman" w:cs="Times New Roman"/>
          <w:kern w:val="2"/>
          <w:sz w:val="24"/>
          <w:szCs w:val="24"/>
          <w:highlight w:val="none"/>
        </w:rPr>
        <w:t xml:space="preserve">2   </w:t>
      </w:r>
      <w:r>
        <w:rPr>
          <w:rFonts w:hint="default" w:ascii="Times New Roman" w:hAnsi="Times New Roman" w:cs="Times New Roman"/>
          <w:kern w:val="2"/>
          <w:sz w:val="24"/>
          <w:szCs w:val="24"/>
          <w:highlight w:val="none"/>
          <w:lang w:val="en-US" w:eastAsia="zh-CN"/>
        </w:rPr>
        <w:t>0</w:t>
      </w:r>
      <w:r>
        <w:rPr>
          <w:rFonts w:hint="default" w:ascii="Times New Roman" w:hAnsi="Times New Roman" w:cs="Times New Roman"/>
          <w:kern w:val="2"/>
          <w:sz w:val="24"/>
          <w:szCs w:val="24"/>
          <w:highlight w:val="none"/>
        </w:rPr>
        <w:t xml:space="preserve">60 </w:t>
      </w:r>
      <w:r>
        <w:rPr>
          <w:rFonts w:hint="default" w:ascii="Times New Roman" w:hAnsi="Times New Roman" w:cs="Times New Roman"/>
          <w:kern w:val="2"/>
          <w:sz w:val="24"/>
          <w:szCs w:val="24"/>
          <w:highlight w:val="none"/>
          <w:lang w:val="en-US" w:eastAsia="zh-CN"/>
        </w:rPr>
        <w:t>断后伸长率</w:t>
      </w:r>
      <w:r>
        <w:rPr>
          <w:rFonts w:hint="default" w:ascii="Times New Roman" w:hAnsi="Times New Roman" w:cs="Times New Roman"/>
          <w:kern w:val="2"/>
          <w:sz w:val="24"/>
          <w:szCs w:val="24"/>
          <w:highlight w:val="none"/>
        </w:rPr>
        <w:t xml:space="preserve"> 分布直方图</w:t>
      </w:r>
    </w:p>
    <w:p w14:paraId="205C34CA">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kern w:val="2"/>
          <w:sz w:val="24"/>
          <w:szCs w:val="24"/>
          <w:highlight w:val="none"/>
        </w:rPr>
      </w:pPr>
      <w:r>
        <w:rPr>
          <w:rFonts w:hint="eastAsia" w:ascii="宋体" w:hAnsi="宋体" w:cs="宋体"/>
          <w:kern w:val="2"/>
          <w:sz w:val="24"/>
          <w:szCs w:val="24"/>
          <w:highlight w:val="none"/>
        </w:rPr>
        <w:t>由图表可知，性能检测</w:t>
      </w:r>
      <w:r>
        <w:rPr>
          <w:rFonts w:hint="eastAsia" w:ascii="宋体" w:hAnsi="宋体" w:cs="宋体"/>
          <w:kern w:val="2"/>
          <w:sz w:val="24"/>
          <w:szCs w:val="24"/>
          <w:highlight w:val="none"/>
          <w:lang w:val="en-US" w:eastAsia="zh-CN"/>
        </w:rPr>
        <w:t>100</w:t>
      </w:r>
      <w:r>
        <w:rPr>
          <w:rFonts w:hint="eastAsia" w:ascii="宋体" w:hAnsi="宋体" w:cs="宋体"/>
          <w:kern w:val="2"/>
          <w:sz w:val="24"/>
          <w:szCs w:val="24"/>
          <w:highlight w:val="none"/>
        </w:rPr>
        <w:t>项，实际O60断后伸长率A</w:t>
      </w:r>
      <w:r>
        <w:rPr>
          <w:rFonts w:hint="eastAsia" w:ascii="宋体" w:hAnsi="宋体" w:cs="宋体"/>
          <w:kern w:val="2"/>
          <w:sz w:val="24"/>
          <w:szCs w:val="24"/>
          <w:highlight w:val="none"/>
          <w:vertAlign w:val="subscript"/>
        </w:rPr>
        <w:t>11.3</w:t>
      </w:r>
      <w:r>
        <w:rPr>
          <w:rFonts w:hint="eastAsia" w:ascii="宋体" w:hAnsi="宋体" w:cs="宋体"/>
          <w:kern w:val="2"/>
          <w:sz w:val="24"/>
          <w:szCs w:val="24"/>
          <w:highlight w:val="none"/>
        </w:rPr>
        <w:t>（%）全部在</w:t>
      </w:r>
      <w:r>
        <w:rPr>
          <w:rFonts w:hint="eastAsia" w:ascii="宋体" w:hAnsi="宋体" w:cs="宋体"/>
          <w:kern w:val="2"/>
          <w:sz w:val="24"/>
          <w:szCs w:val="24"/>
          <w:highlight w:val="none"/>
          <w:lang w:val="en-US" w:eastAsia="zh-CN"/>
        </w:rPr>
        <w:t>35</w:t>
      </w:r>
      <w:r>
        <w:rPr>
          <w:rFonts w:hint="eastAsia" w:ascii="宋体" w:hAnsi="宋体" w:cs="宋体"/>
          <w:kern w:val="2"/>
          <w:sz w:val="24"/>
          <w:szCs w:val="24"/>
          <w:highlight w:val="none"/>
        </w:rPr>
        <w:t>%以上。该产品技术指标：该产品技术指标：断后伸长率A</w:t>
      </w:r>
      <w:r>
        <w:rPr>
          <w:rFonts w:hint="eastAsia" w:ascii="宋体" w:hAnsi="宋体" w:cs="宋体"/>
          <w:kern w:val="2"/>
          <w:sz w:val="24"/>
          <w:szCs w:val="24"/>
          <w:highlight w:val="none"/>
          <w:vertAlign w:val="subscript"/>
        </w:rPr>
        <w:t>11.3</w:t>
      </w:r>
      <w:r>
        <w:rPr>
          <w:rFonts w:hint="eastAsia" w:ascii="宋体" w:hAnsi="宋体" w:cs="宋体"/>
          <w:kern w:val="2"/>
          <w:sz w:val="24"/>
          <w:szCs w:val="24"/>
          <w:highlight w:val="none"/>
        </w:rPr>
        <w:t>（%）≥</w:t>
      </w:r>
      <w:r>
        <w:rPr>
          <w:rFonts w:hint="eastAsia" w:ascii="宋体" w:hAnsi="宋体" w:cs="宋体"/>
          <w:kern w:val="2"/>
          <w:sz w:val="24"/>
          <w:szCs w:val="24"/>
          <w:highlight w:val="none"/>
          <w:lang w:val="en-US" w:eastAsia="zh-CN"/>
        </w:rPr>
        <w:t>35</w:t>
      </w:r>
      <w:r>
        <w:rPr>
          <w:rFonts w:hint="eastAsia" w:ascii="宋体" w:hAnsi="宋体" w:cs="宋体"/>
          <w:kern w:val="2"/>
          <w:sz w:val="24"/>
          <w:szCs w:val="24"/>
          <w:highlight w:val="none"/>
        </w:rPr>
        <w:t>%,指标在此范围内的达到100%，指标制定合理。</w:t>
      </w:r>
    </w:p>
    <w:p w14:paraId="54EAE8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kern w:val="2"/>
          <w:sz w:val="24"/>
          <w:szCs w:val="24"/>
          <w:highlight w:val="none"/>
          <w:lang w:val="en-US" w:eastAsia="zh-CN"/>
        </w:rPr>
      </w:pPr>
      <w:r>
        <w:rPr>
          <w:rFonts w:hint="eastAsia" w:ascii="宋体" w:hAnsi="宋体"/>
          <w:kern w:val="2"/>
          <w:sz w:val="24"/>
          <w:szCs w:val="24"/>
          <w:highlight w:val="none"/>
          <w:lang w:val="en-US" w:eastAsia="zh-CN"/>
        </w:rPr>
        <w:t>4)</w:t>
      </w:r>
      <w:r>
        <w:rPr>
          <w:rFonts w:hint="eastAsia" w:ascii="宋体" w:hAnsi="宋体"/>
          <w:kern w:val="2"/>
          <w:sz w:val="24"/>
          <w:szCs w:val="24"/>
          <w:highlight w:val="none"/>
        </w:rPr>
        <w:t>T</w:t>
      </w:r>
      <w:r>
        <w:rPr>
          <w:rFonts w:hint="eastAsia" w:ascii="宋体" w:hAnsi="宋体"/>
          <w:kern w:val="2"/>
          <w:sz w:val="24"/>
          <w:szCs w:val="24"/>
          <w:highlight w:val="none"/>
          <w:lang w:val="en-US" w:eastAsia="zh-CN"/>
        </w:rPr>
        <w:t>U</w:t>
      </w:r>
      <w:r>
        <w:rPr>
          <w:rFonts w:hint="eastAsia" w:ascii="宋体" w:hAnsi="宋体"/>
          <w:kern w:val="2"/>
          <w:sz w:val="24"/>
          <w:szCs w:val="24"/>
          <w:highlight w:val="none"/>
        </w:rPr>
        <w:t>2   O60 维氏硬度HV检测实测统计如表1</w:t>
      </w:r>
      <w:r>
        <w:rPr>
          <w:rFonts w:hint="eastAsia" w:ascii="宋体" w:hAnsi="宋体"/>
          <w:kern w:val="2"/>
          <w:sz w:val="24"/>
          <w:szCs w:val="24"/>
          <w:highlight w:val="none"/>
          <w:lang w:val="en-US" w:eastAsia="zh-CN"/>
        </w:rPr>
        <w:t>7</w:t>
      </w:r>
    </w:p>
    <w:p w14:paraId="730EA536">
      <w:pPr>
        <w:keepNext w:val="0"/>
        <w:keepLines w:val="0"/>
        <w:pageBreakBefore w:val="0"/>
        <w:tabs>
          <w:tab w:val="left" w:pos="2946"/>
          <w:tab w:val="center" w:pos="4212"/>
        </w:tabs>
        <w:kinsoku/>
        <w:wordWrap/>
        <w:overflowPunct/>
        <w:topLinePunct w:val="0"/>
        <w:autoSpaceDE/>
        <w:autoSpaceDN/>
        <w:bidi w:val="0"/>
        <w:snapToGrid/>
        <w:spacing w:line="360" w:lineRule="auto"/>
        <w:jc w:val="center"/>
        <w:rPr>
          <w:rFonts w:hint="default" w:ascii="Times New Roman" w:hAnsi="Times New Roman" w:cs="Times New Roman"/>
          <w:sz w:val="24"/>
          <w:szCs w:val="20"/>
          <w:highlight w:val="none"/>
        </w:rPr>
      </w:pPr>
      <w:r>
        <w:rPr>
          <w:rFonts w:hint="default" w:ascii="Times New Roman" w:hAnsi="Times New Roman" w:cs="Times New Roman"/>
          <w:sz w:val="24"/>
          <w:szCs w:val="20"/>
          <w:highlight w:val="none"/>
          <w:lang w:val="en-US" w:eastAsia="zh-CN"/>
        </w:rPr>
        <w:t>表</w:t>
      </w:r>
      <w:r>
        <w:rPr>
          <w:rFonts w:hint="eastAsia" w:cs="Times New Roman"/>
          <w:sz w:val="24"/>
          <w:szCs w:val="20"/>
          <w:highlight w:val="none"/>
          <w:lang w:val="en-US" w:eastAsia="zh-CN"/>
        </w:rPr>
        <w:t>26</w:t>
      </w:r>
      <w:r>
        <w:rPr>
          <w:rFonts w:hint="default" w:ascii="Times New Roman" w:hAnsi="Times New Roman" w:cs="Times New Roman"/>
          <w:sz w:val="24"/>
          <w:szCs w:val="20"/>
          <w:highlight w:val="none"/>
          <w:lang w:val="en-US" w:eastAsia="zh-CN"/>
        </w:rPr>
        <w:t xml:space="preserve">  T</w:t>
      </w:r>
      <w:r>
        <w:rPr>
          <w:rFonts w:hint="eastAsia" w:cs="Times New Roman"/>
          <w:sz w:val="24"/>
          <w:szCs w:val="20"/>
          <w:highlight w:val="none"/>
          <w:lang w:val="en-US" w:eastAsia="zh-CN"/>
        </w:rPr>
        <w:t>U</w:t>
      </w:r>
      <w:r>
        <w:rPr>
          <w:rFonts w:hint="default" w:ascii="Times New Roman" w:hAnsi="Times New Roman" w:cs="Times New Roman"/>
          <w:sz w:val="24"/>
          <w:szCs w:val="20"/>
          <w:highlight w:val="none"/>
          <w:lang w:val="en-US" w:eastAsia="zh-CN"/>
        </w:rPr>
        <w:t>2   060  硬度HV 频数和频率分布表</w:t>
      </w:r>
    </w:p>
    <w:tbl>
      <w:tblPr>
        <w:tblStyle w:val="21"/>
        <w:tblW w:w="88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72"/>
        <w:gridCol w:w="1772"/>
        <w:gridCol w:w="1772"/>
        <w:gridCol w:w="1772"/>
        <w:gridCol w:w="1772"/>
      </w:tblGrid>
      <w:tr w14:paraId="4151D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1772" w:type="dxa"/>
            <w:tcBorders>
              <w:top w:val="single" w:color="000000" w:sz="12" w:space="0"/>
              <w:left w:val="single" w:color="000000" w:sz="12" w:space="0"/>
              <w:bottom w:val="single" w:color="000000" w:sz="4" w:space="0"/>
              <w:right w:val="single" w:color="000000" w:sz="4" w:space="0"/>
            </w:tcBorders>
            <w:shd w:val="clear" w:color="auto" w:fill="auto"/>
            <w:noWrap/>
            <w:vAlign w:val="center"/>
          </w:tcPr>
          <w:p w14:paraId="792D68AE">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组号</w:t>
            </w:r>
          </w:p>
        </w:tc>
        <w:tc>
          <w:tcPr>
            <w:tcW w:w="177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4FEA7474">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区间</w:t>
            </w:r>
          </w:p>
        </w:tc>
        <w:tc>
          <w:tcPr>
            <w:tcW w:w="177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53B3E584">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组中值</w:t>
            </w:r>
            <w:r>
              <w:rPr>
                <w:rFonts w:hint="default" w:ascii="Times New Roman" w:hAnsi="Times New Roman" w:eastAsia="宋体" w:cs="Times New Roman"/>
                <w:i w:val="0"/>
                <w:iCs w:val="0"/>
                <w:color w:val="000000"/>
                <w:kern w:val="0"/>
                <w:sz w:val="22"/>
                <w:szCs w:val="22"/>
                <w:highlight w:val="none"/>
                <w:u w:val="none"/>
                <w:lang w:val="en-US" w:eastAsia="zh-CN" w:bidi="ar"/>
              </w:rPr>
              <w:t>X’i</w:t>
            </w:r>
          </w:p>
        </w:tc>
        <w:tc>
          <w:tcPr>
            <w:tcW w:w="177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60D935FB">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频数</w:t>
            </w:r>
            <w:r>
              <w:rPr>
                <w:rFonts w:hint="default" w:ascii="Times New Roman" w:hAnsi="Times New Roman" w:eastAsia="宋体" w:cs="Times New Roman"/>
                <w:i w:val="0"/>
                <w:iCs w:val="0"/>
                <w:color w:val="000000"/>
                <w:kern w:val="0"/>
                <w:sz w:val="22"/>
                <w:szCs w:val="22"/>
                <w:highlight w:val="none"/>
                <w:u w:val="none"/>
                <w:lang w:val="en-US" w:eastAsia="zh-CN" w:bidi="ar"/>
              </w:rPr>
              <w:t>ni</w:t>
            </w:r>
          </w:p>
        </w:tc>
        <w:tc>
          <w:tcPr>
            <w:tcW w:w="1772" w:type="dxa"/>
            <w:tcBorders>
              <w:top w:val="single" w:color="000000" w:sz="12" w:space="0"/>
              <w:left w:val="single" w:color="000000" w:sz="4" w:space="0"/>
              <w:bottom w:val="single" w:color="000000" w:sz="4" w:space="0"/>
              <w:right w:val="single" w:color="000000" w:sz="12" w:space="0"/>
            </w:tcBorders>
            <w:shd w:val="clear" w:color="auto" w:fill="auto"/>
            <w:noWrap/>
            <w:vAlign w:val="center"/>
          </w:tcPr>
          <w:p w14:paraId="0C9F8050">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频率</w:t>
            </w:r>
            <w:r>
              <w:rPr>
                <w:rFonts w:hint="default" w:ascii="Times New Roman" w:hAnsi="Times New Roman" w:eastAsia="宋体" w:cs="Times New Roman"/>
                <w:i w:val="0"/>
                <w:iCs w:val="0"/>
                <w:color w:val="000000"/>
                <w:kern w:val="0"/>
                <w:sz w:val="22"/>
                <w:szCs w:val="22"/>
                <w:highlight w:val="none"/>
                <w:u w:val="none"/>
                <w:lang w:val="en-US" w:eastAsia="zh-CN" w:bidi="ar"/>
              </w:rPr>
              <w:t>fi</w:t>
            </w:r>
          </w:p>
        </w:tc>
      </w:tr>
      <w:tr w14:paraId="6CC77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single" w:color="000000" w:sz="4" w:space="0"/>
              <w:left w:val="single" w:color="000000" w:sz="12" w:space="0"/>
              <w:bottom w:val="single" w:color="000000" w:sz="4" w:space="0"/>
              <w:right w:val="single" w:color="000000" w:sz="4" w:space="0"/>
            </w:tcBorders>
            <w:shd w:val="clear" w:color="auto" w:fill="auto"/>
            <w:noWrap/>
            <w:vAlign w:val="center"/>
          </w:tcPr>
          <w:p w14:paraId="5C5784C2">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2F6F5">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C8DC7">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FC755">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12" w:space="0"/>
            </w:tcBorders>
            <w:shd w:val="clear" w:color="auto" w:fill="auto"/>
            <w:noWrap/>
            <w:vAlign w:val="center"/>
          </w:tcPr>
          <w:p w14:paraId="1DBE7F30">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5.00%</w:t>
            </w:r>
          </w:p>
        </w:tc>
      </w:tr>
      <w:tr w14:paraId="6AA6D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single" w:color="000000" w:sz="4" w:space="0"/>
              <w:left w:val="single" w:color="000000" w:sz="12" w:space="0"/>
              <w:bottom w:val="single" w:color="000000" w:sz="4" w:space="0"/>
              <w:right w:val="single" w:color="000000" w:sz="4" w:space="0"/>
            </w:tcBorders>
            <w:shd w:val="clear" w:color="auto" w:fill="auto"/>
            <w:noWrap/>
            <w:vAlign w:val="center"/>
          </w:tcPr>
          <w:p w14:paraId="224857EC">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A2A29">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012FF">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16C21">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12" w:space="0"/>
            </w:tcBorders>
            <w:shd w:val="clear" w:color="auto" w:fill="auto"/>
            <w:noWrap/>
            <w:vAlign w:val="center"/>
          </w:tcPr>
          <w:p w14:paraId="6A6E2140">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83.00%</w:t>
            </w:r>
          </w:p>
        </w:tc>
      </w:tr>
      <w:tr w14:paraId="5E221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single" w:color="000000" w:sz="4" w:space="0"/>
              <w:left w:val="single" w:color="000000" w:sz="12" w:space="0"/>
              <w:bottom w:val="single" w:color="000000" w:sz="4" w:space="0"/>
              <w:right w:val="single" w:color="000000" w:sz="4" w:space="0"/>
            </w:tcBorders>
            <w:shd w:val="clear" w:color="auto" w:fill="auto"/>
            <w:noWrap/>
            <w:vAlign w:val="center"/>
          </w:tcPr>
          <w:p w14:paraId="68CAF444">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D1D6F">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[54-56]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41BB3">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2D34F">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17</w:t>
            </w:r>
          </w:p>
        </w:tc>
        <w:tc>
          <w:tcPr>
            <w:tcW w:w="0" w:type="auto"/>
            <w:tcBorders>
              <w:top w:val="single" w:color="000000" w:sz="4" w:space="0"/>
              <w:left w:val="single" w:color="000000" w:sz="4" w:space="0"/>
              <w:bottom w:val="single" w:color="000000" w:sz="4" w:space="0"/>
              <w:right w:val="single" w:color="000000" w:sz="12" w:space="0"/>
            </w:tcBorders>
            <w:shd w:val="clear" w:color="auto" w:fill="auto"/>
            <w:noWrap/>
            <w:vAlign w:val="center"/>
          </w:tcPr>
          <w:p w14:paraId="4BBBEF81">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5.00%</w:t>
            </w:r>
          </w:p>
        </w:tc>
      </w:tr>
      <w:tr w14:paraId="1B8CA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single" w:color="000000" w:sz="4" w:space="0"/>
              <w:left w:val="single" w:color="000000" w:sz="12" w:space="0"/>
              <w:bottom w:val="single" w:color="000000" w:sz="4" w:space="0"/>
              <w:right w:val="single" w:color="000000" w:sz="4" w:space="0"/>
            </w:tcBorders>
            <w:shd w:val="clear" w:color="auto" w:fill="auto"/>
            <w:noWrap/>
            <w:vAlign w:val="center"/>
          </w:tcPr>
          <w:p w14:paraId="5C62B7B3">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D7840">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[56-58]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94A8C">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17AAE">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31</w:t>
            </w:r>
          </w:p>
        </w:tc>
        <w:tc>
          <w:tcPr>
            <w:tcW w:w="0" w:type="auto"/>
            <w:tcBorders>
              <w:top w:val="single" w:color="000000" w:sz="4" w:space="0"/>
              <w:left w:val="single" w:color="000000" w:sz="4" w:space="0"/>
              <w:bottom w:val="single" w:color="000000" w:sz="4" w:space="0"/>
              <w:right w:val="single" w:color="000000" w:sz="12" w:space="0"/>
            </w:tcBorders>
            <w:shd w:val="clear" w:color="auto" w:fill="auto"/>
            <w:noWrap/>
            <w:vAlign w:val="center"/>
          </w:tcPr>
          <w:p w14:paraId="5765358C">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3.00%</w:t>
            </w:r>
          </w:p>
        </w:tc>
      </w:tr>
      <w:tr w14:paraId="5D0A5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single" w:color="000000" w:sz="4" w:space="0"/>
              <w:left w:val="single" w:color="000000" w:sz="12" w:space="0"/>
              <w:bottom w:val="single" w:color="000000" w:sz="4" w:space="0"/>
              <w:right w:val="single" w:color="000000" w:sz="4" w:space="0"/>
            </w:tcBorders>
            <w:shd w:val="clear" w:color="auto" w:fill="auto"/>
            <w:noWrap/>
            <w:vAlign w:val="center"/>
          </w:tcPr>
          <w:p w14:paraId="3EC5EFCB">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B118B">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[58-60]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CA04D">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D29DD">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36</w:t>
            </w:r>
          </w:p>
        </w:tc>
        <w:tc>
          <w:tcPr>
            <w:tcW w:w="0" w:type="auto"/>
            <w:tcBorders>
              <w:top w:val="single" w:color="000000" w:sz="4" w:space="0"/>
              <w:left w:val="single" w:color="000000" w:sz="4" w:space="0"/>
              <w:bottom w:val="single" w:color="000000" w:sz="4" w:space="0"/>
              <w:right w:val="single" w:color="000000" w:sz="12" w:space="0"/>
            </w:tcBorders>
            <w:shd w:val="clear" w:color="auto" w:fill="auto"/>
            <w:noWrap/>
            <w:vAlign w:val="center"/>
          </w:tcPr>
          <w:p w14:paraId="5E11DA8A">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4.00%</w:t>
            </w:r>
          </w:p>
        </w:tc>
      </w:tr>
      <w:tr w14:paraId="6429E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0" w:type="auto"/>
            <w:tcBorders>
              <w:top w:val="single" w:color="000000" w:sz="4" w:space="0"/>
              <w:left w:val="single" w:color="000000" w:sz="12" w:space="0"/>
              <w:bottom w:val="single" w:color="000000" w:sz="4" w:space="0"/>
              <w:right w:val="single" w:color="000000" w:sz="4" w:space="0"/>
            </w:tcBorders>
            <w:shd w:val="clear" w:color="auto" w:fill="auto"/>
            <w:noWrap/>
            <w:vAlign w:val="center"/>
          </w:tcPr>
          <w:p w14:paraId="18349E3C">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84D96">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[60-65]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38CF9">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r>
              <w:rPr>
                <w:rFonts w:hint="eastAsia" w:ascii="Times New Roman" w:hAnsi="Times New Roman" w:eastAsia="宋体" w:cs="Times New Roman"/>
                <w:i w:val="0"/>
                <w:iCs w:val="0"/>
                <w:color w:val="000000"/>
                <w:kern w:val="0"/>
                <w:sz w:val="22"/>
                <w:szCs w:val="22"/>
                <w:highlight w:val="none"/>
                <w:u w:val="none"/>
                <w:lang w:val="en-US" w:eastAsia="zh-CN" w:bidi="ar"/>
              </w:rPr>
              <w:t>62.5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7F3BF">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r>
              <w:rPr>
                <w:rFonts w:hint="eastAsia" w:ascii="Times New Roman" w:hAnsi="Times New Roman" w:eastAsia="宋体" w:cs="Times New Roman"/>
                <w:i w:val="0"/>
                <w:iCs w:val="0"/>
                <w:color w:val="000000"/>
                <w:kern w:val="0"/>
                <w:sz w:val="22"/>
                <w:szCs w:val="22"/>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12" w:space="0"/>
            </w:tcBorders>
            <w:shd w:val="clear" w:color="auto" w:fill="auto"/>
            <w:noWrap/>
            <w:vAlign w:val="center"/>
          </w:tcPr>
          <w:p w14:paraId="72A50F09">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r>
              <w:rPr>
                <w:rFonts w:hint="eastAsia" w:ascii="Times New Roman" w:hAnsi="Times New Roman" w:eastAsia="宋体" w:cs="Times New Roman"/>
                <w:i w:val="0"/>
                <w:iCs w:val="0"/>
                <w:color w:val="000000"/>
                <w:kern w:val="0"/>
                <w:sz w:val="22"/>
                <w:szCs w:val="22"/>
                <w:highlight w:val="none"/>
                <w:u w:val="none"/>
                <w:lang w:val="en-US" w:eastAsia="zh-CN" w:bidi="ar"/>
              </w:rPr>
              <w:t>5.00%</w:t>
            </w:r>
          </w:p>
        </w:tc>
      </w:tr>
      <w:tr w14:paraId="7A3C7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0" w:type="auto"/>
            <w:tcBorders>
              <w:top w:val="single" w:color="000000" w:sz="4" w:space="0"/>
              <w:left w:val="single" w:color="000000" w:sz="12" w:space="0"/>
              <w:bottom w:val="single" w:color="000000" w:sz="4" w:space="0"/>
              <w:right w:val="single" w:color="000000" w:sz="4" w:space="0"/>
            </w:tcBorders>
            <w:shd w:val="clear" w:color="auto" w:fill="auto"/>
            <w:noWrap/>
            <w:vAlign w:val="center"/>
          </w:tcPr>
          <w:p w14:paraId="5CF31F4E">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BD6D0">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[65-70]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82CD7">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r>
              <w:rPr>
                <w:rFonts w:hint="eastAsia" w:ascii="Times New Roman" w:hAnsi="Times New Roman" w:eastAsia="宋体" w:cs="Times New Roman"/>
                <w:i w:val="0"/>
                <w:iCs w:val="0"/>
                <w:color w:val="000000"/>
                <w:kern w:val="0"/>
                <w:sz w:val="22"/>
                <w:szCs w:val="22"/>
                <w:highlight w:val="none"/>
                <w:u w:val="none"/>
                <w:lang w:val="en-US" w:eastAsia="zh-CN" w:bidi="ar"/>
              </w:rPr>
              <w:t>67.5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8DB1A">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r>
              <w:rPr>
                <w:rFonts w:hint="eastAsia" w:ascii="Times New Roman" w:hAnsi="Times New Roman" w:eastAsia="宋体" w:cs="Times New Roman"/>
                <w:i w:val="0"/>
                <w:iCs w:val="0"/>
                <w:color w:val="000000"/>
                <w:kern w:val="0"/>
                <w:sz w:val="22"/>
                <w:szCs w:val="22"/>
                <w:highlight w:val="none"/>
                <w:u w:val="none"/>
                <w:lang w:val="en-US" w:eastAsia="zh-CN" w:bidi="ar"/>
              </w:rPr>
              <w:t>7</w:t>
            </w:r>
          </w:p>
        </w:tc>
        <w:tc>
          <w:tcPr>
            <w:tcW w:w="0" w:type="auto"/>
            <w:tcBorders>
              <w:top w:val="single" w:color="000000" w:sz="4" w:space="0"/>
              <w:left w:val="single" w:color="000000" w:sz="4" w:space="0"/>
              <w:bottom w:val="single" w:color="000000" w:sz="4" w:space="0"/>
              <w:right w:val="single" w:color="000000" w:sz="12" w:space="0"/>
            </w:tcBorders>
            <w:shd w:val="clear" w:color="auto" w:fill="auto"/>
            <w:noWrap/>
            <w:vAlign w:val="center"/>
          </w:tcPr>
          <w:p w14:paraId="14597727">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eastAsia" w:ascii="Times New Roman" w:hAnsi="Times New Roman" w:eastAsia="宋体" w:cs="Times New Roman"/>
                <w:i w:val="0"/>
                <w:iCs w:val="0"/>
                <w:color w:val="000000"/>
                <w:kern w:val="0"/>
                <w:sz w:val="22"/>
                <w:szCs w:val="22"/>
                <w:highlight w:val="none"/>
                <w:u w:val="none"/>
                <w:lang w:val="en-US" w:eastAsia="zh-CN" w:bidi="ar"/>
              </w:rPr>
            </w:pPr>
            <w:r>
              <w:rPr>
                <w:rFonts w:hint="eastAsia" w:ascii="Times New Roman" w:hAnsi="Times New Roman" w:eastAsia="宋体" w:cs="Times New Roman"/>
                <w:i w:val="0"/>
                <w:iCs w:val="0"/>
                <w:color w:val="000000"/>
                <w:kern w:val="0"/>
                <w:sz w:val="22"/>
                <w:szCs w:val="22"/>
                <w:highlight w:val="none"/>
                <w:u w:val="none"/>
                <w:lang w:val="en-US" w:eastAsia="zh-CN" w:bidi="ar"/>
              </w:rPr>
              <w:t>7.00%</w:t>
            </w:r>
          </w:p>
        </w:tc>
      </w:tr>
      <w:tr w14:paraId="25FFF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jc w:val="center"/>
        </w:trPr>
        <w:tc>
          <w:tcPr>
            <w:tcW w:w="0" w:type="auto"/>
            <w:tcBorders>
              <w:top w:val="single" w:color="000000" w:sz="4" w:space="0"/>
              <w:left w:val="single" w:color="000000" w:sz="12" w:space="0"/>
              <w:bottom w:val="single" w:color="000000" w:sz="12" w:space="0"/>
              <w:right w:val="single" w:color="000000" w:sz="4" w:space="0"/>
            </w:tcBorders>
            <w:shd w:val="clear" w:color="auto" w:fill="auto"/>
            <w:noWrap/>
            <w:vAlign w:val="center"/>
          </w:tcPr>
          <w:p w14:paraId="55C2392B">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0" w:type="auto"/>
            <w:tcBorders>
              <w:top w:val="single" w:color="000000" w:sz="4" w:space="0"/>
              <w:left w:val="single" w:color="000000" w:sz="4" w:space="0"/>
              <w:bottom w:val="single" w:color="000000" w:sz="12" w:space="0"/>
              <w:right w:val="single" w:color="000000" w:sz="4" w:space="0"/>
            </w:tcBorders>
            <w:shd w:val="clear" w:color="auto" w:fill="auto"/>
            <w:noWrap/>
            <w:vAlign w:val="center"/>
          </w:tcPr>
          <w:p w14:paraId="756D1807">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p>
        </w:tc>
        <w:tc>
          <w:tcPr>
            <w:tcW w:w="0" w:type="auto"/>
            <w:tcBorders>
              <w:top w:val="single" w:color="000000" w:sz="4" w:space="0"/>
              <w:left w:val="single" w:color="000000" w:sz="4" w:space="0"/>
              <w:bottom w:val="single" w:color="000000" w:sz="12" w:space="0"/>
              <w:right w:val="single" w:color="000000" w:sz="4" w:space="0"/>
            </w:tcBorders>
            <w:shd w:val="clear" w:color="auto" w:fill="auto"/>
            <w:noWrap/>
            <w:vAlign w:val="center"/>
          </w:tcPr>
          <w:p w14:paraId="385C9331">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p>
        </w:tc>
        <w:tc>
          <w:tcPr>
            <w:tcW w:w="0" w:type="auto"/>
            <w:tcBorders>
              <w:top w:val="single" w:color="000000" w:sz="4" w:space="0"/>
              <w:left w:val="single" w:color="000000" w:sz="4" w:space="0"/>
              <w:bottom w:val="single" w:color="000000" w:sz="12" w:space="0"/>
              <w:right w:val="single" w:color="000000" w:sz="4" w:space="0"/>
            </w:tcBorders>
            <w:shd w:val="clear" w:color="auto" w:fill="auto"/>
            <w:noWrap/>
            <w:vAlign w:val="center"/>
          </w:tcPr>
          <w:p w14:paraId="310C8A88">
            <w:pPr>
              <w:keepNext w:val="0"/>
              <w:keepLines w:val="0"/>
              <w:pageBreakBefore w:val="0"/>
              <w:widowControl/>
              <w:suppressLineNumbers w:val="0"/>
              <w:kinsoku/>
              <w:wordWrap/>
              <w:overflowPunct/>
              <w:topLinePunct w:val="0"/>
              <w:autoSpaceDE/>
              <w:autoSpaceDN/>
              <w:bidi w:val="0"/>
              <w:adjustRightInd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w:t>
            </w:r>
          </w:p>
        </w:tc>
        <w:tc>
          <w:tcPr>
            <w:tcW w:w="0" w:type="auto"/>
            <w:tcBorders>
              <w:top w:val="single" w:color="000000" w:sz="4" w:space="0"/>
              <w:left w:val="single" w:color="000000" w:sz="4" w:space="0"/>
              <w:bottom w:val="single" w:color="000000" w:sz="12" w:space="0"/>
              <w:right w:val="single" w:color="000000" w:sz="12" w:space="0"/>
            </w:tcBorders>
            <w:shd w:val="clear" w:color="auto" w:fill="auto"/>
            <w:noWrap/>
            <w:vAlign w:val="center"/>
          </w:tcPr>
          <w:p w14:paraId="61463B63">
            <w:pPr>
              <w:keepNext w:val="0"/>
              <w:keepLines w:val="0"/>
              <w:pageBreakBefore w:val="0"/>
              <w:widowControl/>
              <w:kinsoku/>
              <w:wordWrap/>
              <w:overflowPunct/>
              <w:topLinePunct w:val="0"/>
              <w:autoSpaceDE/>
              <w:autoSpaceDN/>
              <w:bidi w:val="0"/>
              <w:adjustRightInd w:val="0"/>
              <w:snapToGrid/>
              <w:spacing w:line="240" w:lineRule="auto"/>
              <w:jc w:val="center"/>
              <w:textAlignment w:val="center"/>
              <w:rPr>
                <w:rFonts w:hint="eastAsia" w:ascii="宋体" w:hAnsi="宋体" w:eastAsia="宋体" w:cs="宋体"/>
                <w:i w:val="0"/>
                <w:iCs w:val="0"/>
                <w:color w:val="000000"/>
                <w:sz w:val="22"/>
                <w:szCs w:val="22"/>
                <w:highlight w:val="none"/>
                <w:u w:val="none"/>
              </w:rPr>
            </w:pPr>
          </w:p>
        </w:tc>
      </w:tr>
    </w:tbl>
    <w:p w14:paraId="2A9B8A8D">
      <w:pPr>
        <w:jc w:val="both"/>
        <w:rPr>
          <w:rFonts w:hint="default" w:ascii="Times New Roman" w:hAnsi="Times New Roman" w:eastAsia="宋体" w:cs="Times New Roman"/>
          <w:highlight w:val="none"/>
          <w:lang w:val="en-US" w:eastAsia="zh-CN"/>
        </w:rPr>
      </w:pPr>
    </w:p>
    <w:p w14:paraId="0048CC1E">
      <w:pPr>
        <w:widowControl/>
        <w:adjustRightInd/>
        <w:spacing w:line="300" w:lineRule="auto"/>
        <w:ind w:firstLine="480" w:firstLineChars="200"/>
        <w:jc w:val="both"/>
        <w:textAlignment w:val="auto"/>
        <w:rPr>
          <w:rFonts w:hint="eastAsia" w:ascii="宋体" w:hAnsi="宋体"/>
          <w:kern w:val="2"/>
          <w:sz w:val="21"/>
          <w:szCs w:val="21"/>
          <w:highlight w:val="none"/>
        </w:rPr>
      </w:pPr>
      <w:r>
        <w:rPr>
          <w:highlight w:val="none"/>
        </w:rPr>
        <w:drawing>
          <wp:inline distT="0" distB="0" distL="114300" distR="114300">
            <wp:extent cx="5138420" cy="1874520"/>
            <wp:effectExtent l="4445" t="4445" r="19685" b="6985"/>
            <wp:docPr id="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FEE940C">
      <w:pPr>
        <w:keepNext w:val="0"/>
        <w:keepLines w:val="0"/>
        <w:pageBreakBefore w:val="0"/>
        <w:kinsoku/>
        <w:wordWrap/>
        <w:overflowPunct/>
        <w:topLinePunct w:val="0"/>
        <w:autoSpaceDE/>
        <w:autoSpaceDN/>
        <w:bidi w:val="0"/>
        <w:adjustRightInd/>
        <w:spacing w:line="360" w:lineRule="auto"/>
        <w:jc w:val="center"/>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图</w:t>
      </w:r>
      <w:r>
        <w:rPr>
          <w:rFonts w:hint="eastAsia" w:ascii="宋体" w:hAnsi="宋体" w:eastAsia="宋体" w:cs="宋体"/>
          <w:kern w:val="2"/>
          <w:sz w:val="24"/>
          <w:szCs w:val="24"/>
          <w:highlight w:val="none"/>
          <w:lang w:val="en-US" w:eastAsia="zh-CN"/>
        </w:rPr>
        <w:t xml:space="preserve">13  </w:t>
      </w:r>
      <w:r>
        <w:rPr>
          <w:rFonts w:hint="eastAsia" w:ascii="宋体" w:hAnsi="宋体" w:eastAsia="宋体" w:cs="宋体"/>
          <w:kern w:val="2"/>
          <w:sz w:val="24"/>
          <w:szCs w:val="24"/>
          <w:highlight w:val="none"/>
        </w:rPr>
        <w:t>T</w:t>
      </w:r>
      <w:r>
        <w:rPr>
          <w:rFonts w:hint="eastAsia" w:ascii="宋体" w:hAnsi="宋体" w:eastAsia="宋体" w:cs="宋体"/>
          <w:kern w:val="2"/>
          <w:sz w:val="24"/>
          <w:szCs w:val="24"/>
          <w:highlight w:val="none"/>
          <w:lang w:val="en-US" w:eastAsia="zh-CN"/>
        </w:rPr>
        <w:t>U</w:t>
      </w:r>
      <w:r>
        <w:rPr>
          <w:rFonts w:hint="eastAsia" w:ascii="宋体" w:hAnsi="宋体" w:eastAsia="宋体" w:cs="宋体"/>
          <w:kern w:val="2"/>
          <w:sz w:val="24"/>
          <w:szCs w:val="24"/>
          <w:highlight w:val="none"/>
        </w:rPr>
        <w:t xml:space="preserve">2   </w:t>
      </w:r>
      <w:r>
        <w:rPr>
          <w:rFonts w:hint="eastAsia" w:ascii="宋体" w:hAnsi="宋体" w:eastAsia="宋体" w:cs="宋体"/>
          <w:kern w:val="2"/>
          <w:sz w:val="24"/>
          <w:szCs w:val="24"/>
          <w:highlight w:val="none"/>
          <w:lang w:val="en-US" w:eastAsia="zh-CN"/>
        </w:rPr>
        <w:t>0</w:t>
      </w:r>
      <w:r>
        <w:rPr>
          <w:rFonts w:hint="eastAsia" w:ascii="宋体" w:hAnsi="宋体" w:eastAsia="宋体" w:cs="宋体"/>
          <w:kern w:val="2"/>
          <w:sz w:val="24"/>
          <w:szCs w:val="24"/>
          <w:highlight w:val="none"/>
        </w:rPr>
        <w:t xml:space="preserve">60 </w:t>
      </w:r>
      <w:r>
        <w:rPr>
          <w:rFonts w:hint="eastAsia" w:ascii="宋体" w:hAnsi="宋体" w:eastAsia="宋体" w:cs="宋体"/>
          <w:sz w:val="24"/>
          <w:szCs w:val="24"/>
          <w:highlight w:val="none"/>
          <w:lang w:val="en-US" w:eastAsia="zh-CN"/>
        </w:rPr>
        <w:t>硬度HV</w:t>
      </w:r>
      <w:r>
        <w:rPr>
          <w:rFonts w:hint="eastAsia" w:ascii="宋体" w:hAnsi="宋体" w:eastAsia="宋体" w:cs="宋体"/>
          <w:kern w:val="2"/>
          <w:sz w:val="24"/>
          <w:szCs w:val="24"/>
          <w:highlight w:val="none"/>
        </w:rPr>
        <w:t xml:space="preserve"> 分布直方图</w:t>
      </w:r>
    </w:p>
    <w:p w14:paraId="6309C0AC">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由图表可知，性能检测</w:t>
      </w:r>
      <w:r>
        <w:rPr>
          <w:rFonts w:hint="eastAsia" w:ascii="宋体" w:hAnsi="宋体" w:eastAsia="宋体" w:cs="宋体"/>
          <w:kern w:val="2"/>
          <w:sz w:val="24"/>
          <w:szCs w:val="24"/>
          <w:highlight w:val="none"/>
          <w:lang w:val="en-US" w:eastAsia="zh-CN"/>
        </w:rPr>
        <w:t>100</w:t>
      </w:r>
      <w:r>
        <w:rPr>
          <w:rFonts w:hint="eastAsia" w:ascii="宋体" w:hAnsi="宋体" w:eastAsia="宋体" w:cs="宋体"/>
          <w:kern w:val="2"/>
          <w:sz w:val="24"/>
          <w:szCs w:val="24"/>
          <w:highlight w:val="none"/>
        </w:rPr>
        <w:t>项，实际硬度HV全部在50以上。该产品技术指标：该产品技术指标：HV在50-</w:t>
      </w:r>
      <w:r>
        <w:rPr>
          <w:rFonts w:hint="eastAsia" w:ascii="宋体" w:hAnsi="宋体" w:eastAsia="宋体" w:cs="宋体"/>
          <w:kern w:val="2"/>
          <w:sz w:val="24"/>
          <w:szCs w:val="24"/>
          <w:highlight w:val="none"/>
          <w:lang w:val="en-US" w:eastAsia="zh-CN"/>
        </w:rPr>
        <w:t>70</w:t>
      </w:r>
      <w:r>
        <w:rPr>
          <w:rFonts w:hint="eastAsia" w:ascii="宋体" w:hAnsi="宋体" w:eastAsia="宋体" w:cs="宋体"/>
          <w:kern w:val="2"/>
          <w:sz w:val="24"/>
          <w:szCs w:val="24"/>
          <w:highlight w:val="none"/>
        </w:rPr>
        <w:t>,指标在此范围内的达到</w:t>
      </w:r>
      <w:r>
        <w:rPr>
          <w:rFonts w:hint="eastAsia" w:ascii="宋体" w:hAnsi="宋体" w:eastAsia="宋体" w:cs="宋体"/>
          <w:kern w:val="2"/>
          <w:sz w:val="24"/>
          <w:szCs w:val="24"/>
          <w:highlight w:val="none"/>
          <w:lang w:val="en-US" w:eastAsia="zh-CN"/>
        </w:rPr>
        <w:t>100</w:t>
      </w:r>
      <w:r>
        <w:rPr>
          <w:rFonts w:hint="eastAsia" w:ascii="宋体" w:hAnsi="宋体" w:eastAsia="宋体" w:cs="宋体"/>
          <w:kern w:val="2"/>
          <w:sz w:val="24"/>
          <w:szCs w:val="24"/>
          <w:highlight w:val="none"/>
        </w:rPr>
        <w:t>%，产品工艺成熟，指标制定合理。</w:t>
      </w:r>
    </w:p>
    <w:p w14:paraId="3AF07BEB">
      <w:pPr>
        <w:keepNext w:val="0"/>
        <w:keepLines w:val="0"/>
        <w:pageBreakBefore w:val="0"/>
        <w:widowControl/>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kern w:val="2"/>
          <w:sz w:val="24"/>
          <w:szCs w:val="24"/>
          <w:highlight w:val="none"/>
          <w:lang w:val="en-US" w:eastAsia="zh-CN"/>
        </w:rPr>
        <w:t>5)</w:t>
      </w:r>
      <w:r>
        <w:rPr>
          <w:rFonts w:hint="eastAsia" w:ascii="宋体" w:hAnsi="宋体" w:eastAsia="宋体" w:cs="宋体"/>
          <w:kern w:val="2"/>
          <w:sz w:val="24"/>
          <w:szCs w:val="24"/>
          <w:highlight w:val="none"/>
        </w:rPr>
        <w:t>T</w:t>
      </w:r>
      <w:r>
        <w:rPr>
          <w:rFonts w:hint="eastAsia" w:ascii="宋体" w:hAnsi="宋体" w:eastAsia="宋体" w:cs="宋体"/>
          <w:kern w:val="2"/>
          <w:sz w:val="24"/>
          <w:szCs w:val="24"/>
          <w:highlight w:val="none"/>
          <w:lang w:val="en-US" w:eastAsia="zh-CN"/>
        </w:rPr>
        <w:t>U</w:t>
      </w:r>
      <w:r>
        <w:rPr>
          <w:rFonts w:hint="eastAsia" w:ascii="宋体" w:hAnsi="宋体" w:eastAsia="宋体" w:cs="宋体"/>
          <w:kern w:val="2"/>
          <w:sz w:val="24"/>
          <w:szCs w:val="24"/>
          <w:highlight w:val="none"/>
        </w:rPr>
        <w:t xml:space="preserve">2   O60 </w:t>
      </w:r>
      <w:r>
        <w:rPr>
          <w:rFonts w:hint="eastAsia" w:ascii="宋体" w:hAnsi="宋体" w:eastAsia="宋体" w:cs="宋体"/>
          <w:kern w:val="2"/>
          <w:sz w:val="24"/>
          <w:szCs w:val="24"/>
          <w:highlight w:val="none"/>
          <w:lang w:val="en-US" w:eastAsia="zh-CN"/>
        </w:rPr>
        <w:t>导电率</w:t>
      </w:r>
      <w:r>
        <w:rPr>
          <w:rFonts w:hint="eastAsia" w:ascii="宋体" w:hAnsi="宋体" w:eastAsia="宋体" w:cs="宋体"/>
          <w:kern w:val="2"/>
          <w:sz w:val="24"/>
          <w:szCs w:val="24"/>
          <w:highlight w:val="none"/>
        </w:rPr>
        <w:t>检测实测统计如表1</w:t>
      </w:r>
      <w:r>
        <w:rPr>
          <w:rFonts w:hint="eastAsia" w:ascii="宋体" w:hAnsi="宋体" w:eastAsia="宋体" w:cs="宋体"/>
          <w:kern w:val="2"/>
          <w:sz w:val="24"/>
          <w:szCs w:val="24"/>
          <w:highlight w:val="none"/>
          <w:lang w:val="en-US" w:eastAsia="zh-CN"/>
        </w:rPr>
        <w:t>8</w:t>
      </w:r>
    </w:p>
    <w:p w14:paraId="1777BC90">
      <w:pPr>
        <w:keepNext w:val="0"/>
        <w:keepLines w:val="0"/>
        <w:pageBreakBefore w:val="0"/>
        <w:tabs>
          <w:tab w:val="left" w:pos="2946"/>
          <w:tab w:val="center" w:pos="4212"/>
        </w:tabs>
        <w:kinsoku/>
        <w:wordWrap/>
        <w:overflowPunct/>
        <w:topLinePunct w:val="0"/>
        <w:autoSpaceDE/>
        <w:autoSpaceDN/>
        <w:bidi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表27  TU2   060  导电率 频数和频率分布表</w:t>
      </w:r>
    </w:p>
    <w:tbl>
      <w:tblPr>
        <w:tblStyle w:val="21"/>
        <w:tblW w:w="845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914"/>
        <w:gridCol w:w="1931"/>
        <w:gridCol w:w="1777"/>
        <w:gridCol w:w="1606"/>
        <w:gridCol w:w="1230"/>
      </w:tblGrid>
      <w:tr w14:paraId="652E864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5" w:hRule="atLeast"/>
          <w:jc w:val="center"/>
        </w:trPr>
        <w:tc>
          <w:tcPr>
            <w:tcW w:w="1914" w:type="dxa"/>
            <w:tcBorders>
              <w:tl2br w:val="nil"/>
              <w:tr2bl w:val="nil"/>
            </w:tcBorders>
            <w:shd w:val="clear" w:color="auto" w:fill="auto"/>
            <w:noWrap/>
            <w:vAlign w:val="center"/>
          </w:tcPr>
          <w:p w14:paraId="5F0D332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组号</w:t>
            </w:r>
          </w:p>
        </w:tc>
        <w:tc>
          <w:tcPr>
            <w:tcW w:w="1931" w:type="dxa"/>
            <w:tcBorders>
              <w:tl2br w:val="nil"/>
              <w:tr2bl w:val="nil"/>
            </w:tcBorders>
            <w:shd w:val="clear" w:color="auto" w:fill="auto"/>
            <w:noWrap/>
            <w:vAlign w:val="center"/>
          </w:tcPr>
          <w:p w14:paraId="59009F41">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区间</w:t>
            </w:r>
          </w:p>
        </w:tc>
        <w:tc>
          <w:tcPr>
            <w:tcW w:w="1777" w:type="dxa"/>
            <w:tcBorders>
              <w:tl2br w:val="nil"/>
              <w:tr2bl w:val="nil"/>
            </w:tcBorders>
            <w:shd w:val="clear" w:color="auto" w:fill="auto"/>
            <w:noWrap/>
            <w:vAlign w:val="center"/>
          </w:tcPr>
          <w:p w14:paraId="69BE804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组中值X’i</w:t>
            </w:r>
          </w:p>
        </w:tc>
        <w:tc>
          <w:tcPr>
            <w:tcW w:w="1606" w:type="dxa"/>
            <w:tcBorders>
              <w:tl2br w:val="nil"/>
              <w:tr2bl w:val="nil"/>
            </w:tcBorders>
            <w:shd w:val="clear" w:color="auto" w:fill="auto"/>
            <w:noWrap/>
            <w:vAlign w:val="center"/>
          </w:tcPr>
          <w:p w14:paraId="72D55A8D">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频数ni</w:t>
            </w:r>
          </w:p>
        </w:tc>
        <w:tc>
          <w:tcPr>
            <w:tcW w:w="1230" w:type="dxa"/>
            <w:tcBorders>
              <w:tl2br w:val="nil"/>
              <w:tr2bl w:val="nil"/>
            </w:tcBorders>
            <w:shd w:val="clear" w:color="auto" w:fill="auto"/>
            <w:noWrap/>
            <w:vAlign w:val="center"/>
          </w:tcPr>
          <w:p w14:paraId="0E09178C">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频率fi</w:t>
            </w:r>
          </w:p>
        </w:tc>
      </w:tr>
      <w:tr w14:paraId="5F31D24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0" w:type="auto"/>
            <w:tcBorders>
              <w:tl2br w:val="nil"/>
              <w:tr2bl w:val="nil"/>
            </w:tcBorders>
            <w:shd w:val="clear" w:color="auto" w:fill="auto"/>
            <w:noWrap/>
            <w:vAlign w:val="center"/>
          </w:tcPr>
          <w:p w14:paraId="35BEFA0E">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0" w:type="auto"/>
            <w:tcBorders>
              <w:tl2br w:val="nil"/>
              <w:tr2bl w:val="nil"/>
            </w:tcBorders>
            <w:shd w:val="clear" w:color="auto" w:fill="auto"/>
            <w:noWrap/>
            <w:vAlign w:val="center"/>
          </w:tcPr>
          <w:p w14:paraId="444A7A8B">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[98-99]</w:t>
            </w:r>
          </w:p>
        </w:tc>
        <w:tc>
          <w:tcPr>
            <w:tcW w:w="0" w:type="auto"/>
            <w:tcBorders>
              <w:tl2br w:val="nil"/>
              <w:tr2bl w:val="nil"/>
            </w:tcBorders>
            <w:shd w:val="clear" w:color="auto" w:fill="auto"/>
            <w:noWrap/>
            <w:vAlign w:val="center"/>
          </w:tcPr>
          <w:p w14:paraId="69A729A1">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98.5</w:t>
            </w:r>
          </w:p>
        </w:tc>
        <w:tc>
          <w:tcPr>
            <w:tcW w:w="0" w:type="auto"/>
            <w:tcBorders>
              <w:tl2br w:val="nil"/>
              <w:tr2bl w:val="nil"/>
            </w:tcBorders>
            <w:shd w:val="clear" w:color="auto" w:fill="auto"/>
            <w:noWrap/>
            <w:vAlign w:val="center"/>
          </w:tcPr>
          <w:p w14:paraId="65C06B4E">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0" w:type="auto"/>
            <w:tcBorders>
              <w:tl2br w:val="nil"/>
              <w:tr2bl w:val="nil"/>
            </w:tcBorders>
            <w:shd w:val="clear" w:color="auto" w:fill="auto"/>
            <w:noWrap/>
            <w:vAlign w:val="center"/>
          </w:tcPr>
          <w:p w14:paraId="0D694F3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3.00%</w:t>
            </w:r>
          </w:p>
        </w:tc>
      </w:tr>
      <w:tr w14:paraId="76566BA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0" w:type="auto"/>
            <w:tcBorders>
              <w:tl2br w:val="nil"/>
              <w:tr2bl w:val="nil"/>
            </w:tcBorders>
            <w:shd w:val="clear" w:color="auto" w:fill="auto"/>
            <w:noWrap/>
            <w:vAlign w:val="center"/>
          </w:tcPr>
          <w:p w14:paraId="3C943782">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0" w:type="auto"/>
            <w:tcBorders>
              <w:tl2br w:val="nil"/>
              <w:tr2bl w:val="nil"/>
            </w:tcBorders>
            <w:shd w:val="clear" w:color="auto" w:fill="auto"/>
            <w:noWrap/>
            <w:vAlign w:val="center"/>
          </w:tcPr>
          <w:p w14:paraId="4E1DA25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[99-100]</w:t>
            </w:r>
          </w:p>
        </w:tc>
        <w:tc>
          <w:tcPr>
            <w:tcW w:w="0" w:type="auto"/>
            <w:tcBorders>
              <w:tl2br w:val="nil"/>
              <w:tr2bl w:val="nil"/>
            </w:tcBorders>
            <w:shd w:val="clear" w:color="auto" w:fill="auto"/>
            <w:noWrap/>
            <w:vAlign w:val="center"/>
          </w:tcPr>
          <w:p w14:paraId="0E87023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99.5</w:t>
            </w:r>
          </w:p>
        </w:tc>
        <w:tc>
          <w:tcPr>
            <w:tcW w:w="0" w:type="auto"/>
            <w:tcBorders>
              <w:tl2br w:val="nil"/>
              <w:tr2bl w:val="nil"/>
            </w:tcBorders>
            <w:shd w:val="clear" w:color="auto" w:fill="auto"/>
            <w:noWrap/>
            <w:vAlign w:val="center"/>
          </w:tcPr>
          <w:p w14:paraId="713F67D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w:t>
            </w:r>
          </w:p>
        </w:tc>
        <w:tc>
          <w:tcPr>
            <w:tcW w:w="0" w:type="auto"/>
            <w:tcBorders>
              <w:tl2br w:val="nil"/>
              <w:tr2bl w:val="nil"/>
            </w:tcBorders>
            <w:shd w:val="clear" w:color="auto" w:fill="auto"/>
            <w:noWrap/>
            <w:vAlign w:val="center"/>
          </w:tcPr>
          <w:p w14:paraId="2113644C">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6.00%</w:t>
            </w:r>
          </w:p>
        </w:tc>
      </w:tr>
      <w:tr w14:paraId="5576409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0" w:type="auto"/>
            <w:tcBorders>
              <w:tl2br w:val="nil"/>
              <w:tr2bl w:val="nil"/>
            </w:tcBorders>
            <w:shd w:val="clear" w:color="auto" w:fill="auto"/>
            <w:noWrap/>
            <w:vAlign w:val="center"/>
          </w:tcPr>
          <w:p w14:paraId="4504A1A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0" w:type="auto"/>
            <w:tcBorders>
              <w:tl2br w:val="nil"/>
              <w:tr2bl w:val="nil"/>
            </w:tcBorders>
            <w:shd w:val="clear" w:color="auto" w:fill="auto"/>
            <w:noWrap/>
            <w:vAlign w:val="center"/>
          </w:tcPr>
          <w:p w14:paraId="01CF675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[100-101]</w:t>
            </w:r>
          </w:p>
        </w:tc>
        <w:tc>
          <w:tcPr>
            <w:tcW w:w="0" w:type="auto"/>
            <w:tcBorders>
              <w:tl2br w:val="nil"/>
              <w:tr2bl w:val="nil"/>
            </w:tcBorders>
            <w:shd w:val="clear" w:color="auto" w:fill="auto"/>
            <w:noWrap/>
            <w:vAlign w:val="center"/>
          </w:tcPr>
          <w:p w14:paraId="732CD27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100.5</w:t>
            </w:r>
          </w:p>
        </w:tc>
        <w:tc>
          <w:tcPr>
            <w:tcW w:w="0" w:type="auto"/>
            <w:tcBorders>
              <w:tl2br w:val="nil"/>
              <w:tr2bl w:val="nil"/>
            </w:tcBorders>
            <w:shd w:val="clear" w:color="auto" w:fill="auto"/>
            <w:noWrap/>
            <w:vAlign w:val="center"/>
          </w:tcPr>
          <w:p w14:paraId="1C27C2D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33</w:t>
            </w:r>
          </w:p>
        </w:tc>
        <w:tc>
          <w:tcPr>
            <w:tcW w:w="0" w:type="auto"/>
            <w:tcBorders>
              <w:tl2br w:val="nil"/>
              <w:tr2bl w:val="nil"/>
            </w:tcBorders>
            <w:shd w:val="clear" w:color="auto" w:fill="auto"/>
            <w:noWrap/>
            <w:vAlign w:val="center"/>
          </w:tcPr>
          <w:p w14:paraId="0E00234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33.00%</w:t>
            </w:r>
          </w:p>
        </w:tc>
      </w:tr>
      <w:tr w14:paraId="0541485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0" w:type="auto"/>
            <w:tcBorders>
              <w:tl2br w:val="nil"/>
              <w:tr2bl w:val="nil"/>
            </w:tcBorders>
            <w:shd w:val="clear" w:color="auto" w:fill="auto"/>
            <w:noWrap/>
            <w:vAlign w:val="center"/>
          </w:tcPr>
          <w:p w14:paraId="1B562B4E">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0" w:type="auto"/>
            <w:tcBorders>
              <w:tl2br w:val="nil"/>
              <w:tr2bl w:val="nil"/>
            </w:tcBorders>
            <w:shd w:val="clear" w:color="auto" w:fill="auto"/>
            <w:noWrap/>
            <w:vAlign w:val="center"/>
          </w:tcPr>
          <w:p w14:paraId="21EB9241">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[101-102]</w:t>
            </w:r>
          </w:p>
        </w:tc>
        <w:tc>
          <w:tcPr>
            <w:tcW w:w="0" w:type="auto"/>
            <w:tcBorders>
              <w:tl2br w:val="nil"/>
              <w:tr2bl w:val="nil"/>
            </w:tcBorders>
            <w:shd w:val="clear" w:color="auto" w:fill="auto"/>
            <w:noWrap/>
            <w:vAlign w:val="center"/>
          </w:tcPr>
          <w:p w14:paraId="130C466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101.5</w:t>
            </w:r>
          </w:p>
        </w:tc>
        <w:tc>
          <w:tcPr>
            <w:tcW w:w="0" w:type="auto"/>
            <w:tcBorders>
              <w:tl2br w:val="nil"/>
              <w:tr2bl w:val="nil"/>
            </w:tcBorders>
            <w:shd w:val="clear" w:color="auto" w:fill="auto"/>
            <w:noWrap/>
            <w:vAlign w:val="center"/>
          </w:tcPr>
          <w:p w14:paraId="663702F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58</w:t>
            </w:r>
          </w:p>
        </w:tc>
        <w:tc>
          <w:tcPr>
            <w:tcW w:w="0" w:type="auto"/>
            <w:tcBorders>
              <w:tl2br w:val="nil"/>
              <w:tr2bl w:val="nil"/>
            </w:tcBorders>
            <w:shd w:val="clear" w:color="auto" w:fill="auto"/>
            <w:noWrap/>
            <w:vAlign w:val="center"/>
          </w:tcPr>
          <w:p w14:paraId="797F911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58.00%</w:t>
            </w:r>
          </w:p>
        </w:tc>
      </w:tr>
      <w:tr w14:paraId="7BBA08E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2" w:hRule="atLeast"/>
          <w:jc w:val="center"/>
        </w:trPr>
        <w:tc>
          <w:tcPr>
            <w:tcW w:w="0" w:type="auto"/>
            <w:tcBorders>
              <w:tl2br w:val="nil"/>
              <w:tr2bl w:val="nil"/>
            </w:tcBorders>
            <w:shd w:val="clear" w:color="auto" w:fill="auto"/>
            <w:noWrap/>
            <w:vAlign w:val="center"/>
          </w:tcPr>
          <w:p w14:paraId="1B13882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合计</w:t>
            </w:r>
          </w:p>
        </w:tc>
        <w:tc>
          <w:tcPr>
            <w:tcW w:w="0" w:type="auto"/>
            <w:tcBorders>
              <w:tl2br w:val="nil"/>
              <w:tr2bl w:val="nil"/>
            </w:tcBorders>
            <w:shd w:val="clear" w:color="auto" w:fill="auto"/>
            <w:noWrap/>
            <w:vAlign w:val="center"/>
          </w:tcPr>
          <w:p w14:paraId="472E9DAB">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0" w:type="auto"/>
            <w:tcBorders>
              <w:tl2br w:val="nil"/>
              <w:tr2bl w:val="nil"/>
            </w:tcBorders>
            <w:shd w:val="clear" w:color="auto" w:fill="auto"/>
            <w:noWrap/>
            <w:vAlign w:val="center"/>
          </w:tcPr>
          <w:p w14:paraId="236D6C26">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0" w:type="auto"/>
            <w:tcBorders>
              <w:tl2br w:val="nil"/>
              <w:tr2bl w:val="nil"/>
            </w:tcBorders>
            <w:shd w:val="clear" w:color="auto" w:fill="auto"/>
            <w:noWrap/>
            <w:vAlign w:val="center"/>
          </w:tcPr>
          <w:p w14:paraId="012A736C">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w:t>
            </w:r>
          </w:p>
        </w:tc>
        <w:tc>
          <w:tcPr>
            <w:tcW w:w="0" w:type="auto"/>
            <w:tcBorders>
              <w:tl2br w:val="nil"/>
              <w:tr2bl w:val="nil"/>
            </w:tcBorders>
            <w:shd w:val="clear" w:color="auto" w:fill="auto"/>
            <w:noWrap/>
            <w:vAlign w:val="center"/>
          </w:tcPr>
          <w:p w14:paraId="39F1B063">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r>
    </w:tbl>
    <w:p w14:paraId="5ED45577">
      <w:pPr>
        <w:widowControl/>
        <w:adjustRightInd/>
        <w:spacing w:line="300" w:lineRule="auto"/>
        <w:ind w:firstLine="420" w:firstLineChars="200"/>
        <w:jc w:val="both"/>
        <w:textAlignment w:val="auto"/>
        <w:rPr>
          <w:rFonts w:hint="eastAsia" w:ascii="宋体" w:hAnsi="宋体"/>
          <w:kern w:val="2"/>
          <w:sz w:val="21"/>
          <w:szCs w:val="21"/>
          <w:highlight w:val="none"/>
        </w:rPr>
      </w:pPr>
    </w:p>
    <w:p w14:paraId="2D507E98">
      <w:pPr>
        <w:widowControl/>
        <w:adjustRightInd/>
        <w:spacing w:line="300" w:lineRule="auto"/>
        <w:jc w:val="center"/>
        <w:textAlignment w:val="auto"/>
        <w:rPr>
          <w:rFonts w:hint="eastAsia" w:ascii="宋体" w:hAnsi="宋体"/>
          <w:kern w:val="2"/>
          <w:sz w:val="21"/>
          <w:szCs w:val="21"/>
          <w:highlight w:val="none"/>
        </w:rPr>
      </w:pPr>
      <w:r>
        <w:rPr>
          <w:rFonts w:hint="default" w:ascii="Times New Roman" w:hAnsi="Times New Roman" w:cs="Times New Roman"/>
          <w:highlight w:val="none"/>
        </w:rPr>
        <w:drawing>
          <wp:inline distT="0" distB="0" distL="114300" distR="114300">
            <wp:extent cx="4718050" cy="1949450"/>
            <wp:effectExtent l="4445" t="4445" r="20955" b="8255"/>
            <wp:docPr id="26"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DEAA468">
      <w:pPr>
        <w:keepNext w:val="0"/>
        <w:keepLines w:val="0"/>
        <w:pageBreakBefore w:val="0"/>
        <w:kinsoku/>
        <w:wordWrap/>
        <w:overflowPunct/>
        <w:topLinePunct w:val="0"/>
        <w:bidi w:val="0"/>
        <w:adjustRightInd/>
        <w:spacing w:line="360" w:lineRule="auto"/>
        <w:jc w:val="center"/>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图</w:t>
      </w:r>
      <w:r>
        <w:rPr>
          <w:rFonts w:hint="eastAsia" w:ascii="宋体" w:hAnsi="宋体" w:eastAsia="宋体" w:cs="宋体"/>
          <w:kern w:val="2"/>
          <w:sz w:val="24"/>
          <w:szCs w:val="24"/>
          <w:highlight w:val="none"/>
          <w:lang w:val="en-US" w:eastAsia="zh-CN"/>
        </w:rPr>
        <w:t xml:space="preserve">14  </w:t>
      </w:r>
      <w:r>
        <w:rPr>
          <w:rFonts w:hint="eastAsia" w:ascii="宋体" w:hAnsi="宋体" w:eastAsia="宋体" w:cs="宋体"/>
          <w:kern w:val="2"/>
          <w:sz w:val="24"/>
          <w:szCs w:val="24"/>
          <w:highlight w:val="none"/>
        </w:rPr>
        <w:t>T</w:t>
      </w:r>
      <w:r>
        <w:rPr>
          <w:rFonts w:hint="eastAsia" w:ascii="宋体" w:hAnsi="宋体" w:eastAsia="宋体" w:cs="宋体"/>
          <w:kern w:val="2"/>
          <w:sz w:val="24"/>
          <w:szCs w:val="24"/>
          <w:highlight w:val="none"/>
          <w:lang w:val="en-US" w:eastAsia="zh-CN"/>
        </w:rPr>
        <w:t>U</w:t>
      </w:r>
      <w:r>
        <w:rPr>
          <w:rFonts w:hint="eastAsia" w:ascii="宋体" w:hAnsi="宋体" w:eastAsia="宋体" w:cs="宋体"/>
          <w:kern w:val="2"/>
          <w:sz w:val="24"/>
          <w:szCs w:val="24"/>
          <w:highlight w:val="none"/>
        </w:rPr>
        <w:t xml:space="preserve">2   </w:t>
      </w:r>
      <w:r>
        <w:rPr>
          <w:rFonts w:hint="eastAsia" w:ascii="宋体" w:hAnsi="宋体" w:eastAsia="宋体" w:cs="宋体"/>
          <w:kern w:val="2"/>
          <w:sz w:val="24"/>
          <w:szCs w:val="24"/>
          <w:highlight w:val="none"/>
          <w:lang w:val="en-US" w:eastAsia="zh-CN"/>
        </w:rPr>
        <w:t>0</w:t>
      </w:r>
      <w:r>
        <w:rPr>
          <w:rFonts w:hint="eastAsia" w:ascii="宋体" w:hAnsi="宋体" w:eastAsia="宋体" w:cs="宋体"/>
          <w:kern w:val="2"/>
          <w:sz w:val="24"/>
          <w:szCs w:val="24"/>
          <w:highlight w:val="none"/>
        </w:rPr>
        <w:t xml:space="preserve">60 </w:t>
      </w:r>
      <w:r>
        <w:rPr>
          <w:rFonts w:hint="eastAsia" w:ascii="宋体" w:hAnsi="宋体" w:eastAsia="宋体" w:cs="宋体"/>
          <w:kern w:val="2"/>
          <w:sz w:val="24"/>
          <w:szCs w:val="24"/>
          <w:highlight w:val="none"/>
          <w:lang w:val="en-US" w:eastAsia="zh-CN"/>
        </w:rPr>
        <w:t>导电率</w:t>
      </w:r>
      <w:r>
        <w:rPr>
          <w:rFonts w:hint="eastAsia" w:ascii="宋体" w:hAnsi="宋体" w:eastAsia="宋体" w:cs="宋体"/>
          <w:kern w:val="2"/>
          <w:sz w:val="24"/>
          <w:szCs w:val="24"/>
          <w:highlight w:val="none"/>
        </w:rPr>
        <w:t xml:space="preserve"> 分布直方图</w:t>
      </w:r>
    </w:p>
    <w:p w14:paraId="4C94F0A4">
      <w:pPr>
        <w:keepNext w:val="0"/>
        <w:keepLines w:val="0"/>
        <w:pageBreakBefore w:val="0"/>
        <w:kinsoku/>
        <w:wordWrap/>
        <w:overflowPunct/>
        <w:topLinePunct w:val="0"/>
        <w:bidi w:val="0"/>
        <w:adjustRightInd/>
        <w:snapToGrid w:val="0"/>
        <w:spacing w:line="360" w:lineRule="auto"/>
        <w:ind w:firstLine="480" w:firstLineChars="200"/>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由图表可知，性能检测</w:t>
      </w:r>
      <w:r>
        <w:rPr>
          <w:rFonts w:hint="eastAsia" w:ascii="宋体" w:hAnsi="宋体" w:eastAsia="宋体" w:cs="宋体"/>
          <w:kern w:val="2"/>
          <w:sz w:val="24"/>
          <w:szCs w:val="24"/>
          <w:highlight w:val="none"/>
          <w:lang w:val="en-US" w:eastAsia="zh-CN"/>
        </w:rPr>
        <w:t>100</w:t>
      </w:r>
      <w:r>
        <w:rPr>
          <w:rFonts w:hint="eastAsia" w:ascii="宋体" w:hAnsi="宋体" w:eastAsia="宋体" w:cs="宋体"/>
          <w:kern w:val="2"/>
          <w:sz w:val="24"/>
          <w:szCs w:val="24"/>
          <w:highlight w:val="none"/>
        </w:rPr>
        <w:t>项，实际</w:t>
      </w:r>
      <w:r>
        <w:rPr>
          <w:rFonts w:hint="eastAsia" w:ascii="宋体" w:hAnsi="宋体" w:eastAsia="宋体" w:cs="宋体"/>
          <w:kern w:val="2"/>
          <w:sz w:val="24"/>
          <w:szCs w:val="24"/>
          <w:highlight w:val="none"/>
          <w:lang w:val="en-US" w:eastAsia="zh-CN"/>
        </w:rPr>
        <w:t>导电率</w:t>
      </w:r>
      <w:r>
        <w:rPr>
          <w:rFonts w:hint="eastAsia" w:ascii="宋体" w:hAnsi="宋体" w:eastAsia="宋体" w:cs="宋体"/>
          <w:kern w:val="2"/>
          <w:sz w:val="24"/>
          <w:szCs w:val="24"/>
          <w:highlight w:val="none"/>
        </w:rPr>
        <w:t>全部在</w:t>
      </w:r>
      <w:r>
        <w:rPr>
          <w:rFonts w:hint="eastAsia" w:ascii="宋体" w:hAnsi="宋体" w:eastAsia="宋体" w:cs="宋体"/>
          <w:kern w:val="2"/>
          <w:sz w:val="24"/>
          <w:szCs w:val="24"/>
          <w:highlight w:val="none"/>
          <w:lang w:val="en-US" w:eastAsia="zh-CN"/>
        </w:rPr>
        <w:t>98</w:t>
      </w:r>
      <w:r>
        <w:rPr>
          <w:rFonts w:hint="eastAsia" w:ascii="宋体" w:hAnsi="宋体" w:eastAsia="宋体" w:cs="宋体"/>
          <w:kern w:val="2"/>
          <w:sz w:val="24"/>
          <w:szCs w:val="24"/>
          <w:highlight w:val="none"/>
        </w:rPr>
        <w:t>以上。该产品技术指标：该产品技术指标</w:t>
      </w:r>
      <w:r>
        <w:rPr>
          <w:rFonts w:hint="eastAsia" w:ascii="宋体" w:hAnsi="宋体" w:eastAsia="宋体" w:cs="宋体"/>
          <w:kern w:val="2"/>
          <w:sz w:val="24"/>
          <w:szCs w:val="24"/>
          <w:highlight w:val="none"/>
          <w:lang w:val="en-US" w:eastAsia="zh-CN"/>
        </w:rPr>
        <w:t>导电率</w:t>
      </w:r>
      <w:r>
        <w:rPr>
          <w:rFonts w:hint="eastAsia" w:ascii="宋体" w:hAnsi="宋体" w:eastAsia="宋体" w:cs="宋体"/>
          <w:kern w:val="2"/>
          <w:sz w:val="24"/>
          <w:szCs w:val="24"/>
          <w:highlight w:val="none"/>
        </w:rPr>
        <w:t>在</w:t>
      </w:r>
      <w:r>
        <w:rPr>
          <w:rFonts w:hint="eastAsia" w:ascii="宋体" w:hAnsi="宋体" w:eastAsia="宋体" w:cs="宋体"/>
          <w:kern w:val="2"/>
          <w:sz w:val="24"/>
          <w:szCs w:val="24"/>
          <w:highlight w:val="none"/>
          <w:lang w:val="en-US" w:eastAsia="zh-CN"/>
        </w:rPr>
        <w:t>98</w:t>
      </w:r>
      <w:r>
        <w:rPr>
          <w:rFonts w:hint="eastAsia" w:ascii="宋体" w:hAnsi="宋体" w:eastAsia="宋体" w:cs="宋体"/>
          <w:kern w:val="2"/>
          <w:sz w:val="24"/>
          <w:szCs w:val="24"/>
          <w:highlight w:val="none"/>
        </w:rPr>
        <w:t>-</w:t>
      </w:r>
      <w:r>
        <w:rPr>
          <w:rFonts w:hint="eastAsia" w:ascii="宋体" w:hAnsi="宋体" w:eastAsia="宋体" w:cs="宋体"/>
          <w:kern w:val="2"/>
          <w:sz w:val="24"/>
          <w:szCs w:val="24"/>
          <w:highlight w:val="none"/>
          <w:lang w:val="en-US" w:eastAsia="zh-CN"/>
        </w:rPr>
        <w:t>102</w:t>
      </w:r>
      <w:r>
        <w:rPr>
          <w:rFonts w:hint="eastAsia" w:ascii="宋体" w:hAnsi="宋体" w:eastAsia="宋体" w:cs="宋体"/>
          <w:kern w:val="2"/>
          <w:sz w:val="24"/>
          <w:szCs w:val="24"/>
          <w:highlight w:val="none"/>
        </w:rPr>
        <w:t>,指标在此范围内的达到</w:t>
      </w:r>
      <w:r>
        <w:rPr>
          <w:rFonts w:hint="eastAsia" w:ascii="宋体" w:hAnsi="宋体" w:eastAsia="宋体" w:cs="宋体"/>
          <w:kern w:val="2"/>
          <w:sz w:val="24"/>
          <w:szCs w:val="24"/>
          <w:highlight w:val="none"/>
          <w:lang w:val="en-US" w:eastAsia="zh-CN"/>
        </w:rPr>
        <w:t>100</w:t>
      </w:r>
      <w:r>
        <w:rPr>
          <w:rFonts w:hint="eastAsia" w:ascii="宋体" w:hAnsi="宋体" w:eastAsia="宋体" w:cs="宋体"/>
          <w:kern w:val="2"/>
          <w:sz w:val="24"/>
          <w:szCs w:val="24"/>
          <w:highlight w:val="none"/>
        </w:rPr>
        <w:t>%，产品工艺成熟，指标制定合理。</w:t>
      </w:r>
    </w:p>
    <w:p w14:paraId="58C75F12">
      <w:pPr>
        <w:keepNext w:val="0"/>
        <w:keepLines w:val="0"/>
        <w:pageBreakBefore w:val="0"/>
        <w:kinsoku/>
        <w:wordWrap/>
        <w:overflowPunct/>
        <w:topLinePunct w:val="0"/>
        <w:bidi w:val="0"/>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4.2.3.</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晶粒度和粗糙度</w:t>
      </w:r>
    </w:p>
    <w:p w14:paraId="718C9396">
      <w:pPr>
        <w:keepNext w:val="0"/>
        <w:keepLines w:val="0"/>
        <w:pageBreakBefore w:val="0"/>
        <w:kinsoku/>
        <w:wordWrap/>
        <w:overflowPunct/>
        <w:topLinePunct w:val="0"/>
        <w:autoSpaceDE w:val="0"/>
        <w:autoSpaceDN w:val="0"/>
        <w:bidi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T2和TU2 </w:t>
      </w:r>
      <w:r>
        <w:rPr>
          <w:rFonts w:hint="eastAsia" w:ascii="宋体" w:hAnsi="宋体" w:eastAsia="宋体" w:cs="宋体"/>
          <w:sz w:val="24"/>
          <w:szCs w:val="24"/>
          <w:highlight w:val="none"/>
        </w:rPr>
        <w:t>实测的</w:t>
      </w:r>
      <w:r>
        <w:rPr>
          <w:rFonts w:hint="eastAsia" w:ascii="宋体" w:hAnsi="宋体" w:eastAsia="宋体" w:cs="宋体"/>
          <w:sz w:val="24"/>
          <w:szCs w:val="24"/>
          <w:highlight w:val="none"/>
          <w:lang w:val="en-US" w:eastAsia="zh-CN"/>
        </w:rPr>
        <w:t>晶粒度和粗糙度</w:t>
      </w:r>
      <w:r>
        <w:rPr>
          <w:rFonts w:hint="eastAsia" w:ascii="宋体" w:hAnsi="宋体" w:eastAsia="宋体" w:cs="宋体"/>
          <w:sz w:val="24"/>
          <w:szCs w:val="24"/>
          <w:highlight w:val="none"/>
        </w:rPr>
        <w:t>统计数据见表</w:t>
      </w:r>
      <w:r>
        <w:rPr>
          <w:rFonts w:hint="eastAsia" w:ascii="宋体" w:hAnsi="宋体" w:eastAsia="宋体" w:cs="宋体"/>
          <w:sz w:val="24"/>
          <w:szCs w:val="24"/>
          <w:highlight w:val="none"/>
          <w:lang w:val="en-US" w:eastAsia="zh-CN"/>
        </w:rPr>
        <w:t>27</w:t>
      </w:r>
      <w:r>
        <w:rPr>
          <w:rFonts w:hint="eastAsia" w:ascii="宋体" w:hAnsi="宋体" w:eastAsia="宋体" w:cs="宋体"/>
          <w:sz w:val="24"/>
          <w:szCs w:val="24"/>
          <w:highlight w:val="none"/>
        </w:rPr>
        <w:t>～表</w:t>
      </w:r>
      <w:r>
        <w:rPr>
          <w:rFonts w:hint="eastAsia" w:ascii="宋体" w:hAnsi="宋体" w:eastAsia="宋体" w:cs="宋体"/>
          <w:sz w:val="24"/>
          <w:szCs w:val="24"/>
          <w:highlight w:val="none"/>
          <w:lang w:val="en-US" w:eastAsia="zh-CN"/>
        </w:rPr>
        <w:t>28</w:t>
      </w:r>
      <w:r>
        <w:rPr>
          <w:rFonts w:hint="eastAsia" w:ascii="宋体" w:hAnsi="宋体" w:eastAsia="宋体" w:cs="宋体"/>
          <w:sz w:val="24"/>
          <w:szCs w:val="24"/>
          <w:highlight w:val="none"/>
        </w:rPr>
        <w:t>，数据分布直方图如图</w:t>
      </w:r>
      <w:r>
        <w:rPr>
          <w:rFonts w:hint="eastAsia" w:ascii="宋体" w:hAnsi="宋体" w:eastAsia="宋体" w:cs="宋体"/>
          <w:sz w:val="24"/>
          <w:szCs w:val="24"/>
          <w:highlight w:val="none"/>
          <w:lang w:val="en-US" w:eastAsia="zh-CN"/>
        </w:rPr>
        <w:t>15</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16</w:t>
      </w:r>
      <w:r>
        <w:rPr>
          <w:rFonts w:hint="eastAsia" w:ascii="宋体" w:hAnsi="宋体" w:eastAsia="宋体" w:cs="宋体"/>
          <w:sz w:val="24"/>
          <w:szCs w:val="24"/>
          <w:highlight w:val="none"/>
        </w:rPr>
        <w:t>所示。</w:t>
      </w:r>
    </w:p>
    <w:p w14:paraId="7134A4C9">
      <w:pPr>
        <w:keepNext w:val="0"/>
        <w:keepLines w:val="0"/>
        <w:pageBreakBefore w:val="0"/>
        <w:widowControl/>
        <w:kinsoku/>
        <w:wordWrap/>
        <w:overflowPunct/>
        <w:topLinePunct w:val="0"/>
        <w:bidi w:val="0"/>
        <w:adjustRightInd/>
        <w:spacing w:line="360" w:lineRule="auto"/>
        <w:ind w:firstLine="480" w:firstLineChars="200"/>
        <w:jc w:val="both"/>
        <w:textAlignment w:val="auto"/>
        <w:rPr>
          <w:rFonts w:hint="eastAsia" w:ascii="宋体" w:hAnsi="宋体" w:eastAsia="宋体" w:cs="宋体"/>
          <w:kern w:val="2"/>
          <w:sz w:val="24"/>
          <w:szCs w:val="24"/>
          <w:highlight w:val="none"/>
          <w:lang w:val="en-US" w:eastAsia="zh-CN"/>
        </w:rPr>
      </w:pPr>
      <w:r>
        <w:rPr>
          <w:rFonts w:hint="eastAsia" w:ascii="宋体" w:hAnsi="宋体" w:eastAsia="宋体" w:cs="宋体"/>
          <w:kern w:val="2"/>
          <w:sz w:val="24"/>
          <w:szCs w:val="24"/>
          <w:highlight w:val="none"/>
          <w:lang w:val="en-US" w:eastAsia="zh-CN"/>
        </w:rPr>
        <w:t>1)晶粒度</w:t>
      </w:r>
      <w:r>
        <w:rPr>
          <w:rFonts w:hint="eastAsia" w:ascii="宋体" w:hAnsi="宋体" w:eastAsia="宋体" w:cs="宋体"/>
          <w:kern w:val="2"/>
          <w:sz w:val="24"/>
          <w:szCs w:val="24"/>
          <w:highlight w:val="none"/>
        </w:rPr>
        <w:t>检测实测统计如表1</w:t>
      </w:r>
      <w:r>
        <w:rPr>
          <w:rFonts w:hint="eastAsia" w:ascii="宋体" w:hAnsi="宋体" w:eastAsia="宋体" w:cs="宋体"/>
          <w:kern w:val="2"/>
          <w:sz w:val="24"/>
          <w:szCs w:val="24"/>
          <w:highlight w:val="none"/>
          <w:lang w:val="en-US" w:eastAsia="zh-CN"/>
        </w:rPr>
        <w:t>4</w:t>
      </w:r>
    </w:p>
    <w:p w14:paraId="03B70CE7">
      <w:pPr>
        <w:keepNext w:val="0"/>
        <w:keepLines w:val="0"/>
        <w:pageBreakBefore w:val="0"/>
        <w:tabs>
          <w:tab w:val="left" w:pos="2946"/>
          <w:tab w:val="center" w:pos="4212"/>
        </w:tabs>
        <w:kinsoku/>
        <w:wordWrap/>
        <w:overflowPunct/>
        <w:topLinePunct w:val="0"/>
        <w:bidi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表27   晶粒度  频数和频率分布表</w:t>
      </w:r>
    </w:p>
    <w:tbl>
      <w:tblPr>
        <w:tblStyle w:val="21"/>
        <w:tblW w:w="887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329"/>
        <w:gridCol w:w="2344"/>
        <w:gridCol w:w="1661"/>
        <w:gridCol w:w="1698"/>
        <w:gridCol w:w="1846"/>
      </w:tblGrid>
      <w:tr w14:paraId="25DFDC6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4" w:hRule="atLeast"/>
          <w:jc w:val="center"/>
        </w:trPr>
        <w:tc>
          <w:tcPr>
            <w:tcW w:w="1329" w:type="dxa"/>
            <w:tcBorders>
              <w:tl2br w:val="nil"/>
              <w:tr2bl w:val="nil"/>
            </w:tcBorders>
            <w:shd w:val="clear" w:color="auto" w:fill="auto"/>
            <w:noWrap/>
            <w:vAlign w:val="center"/>
          </w:tcPr>
          <w:p w14:paraId="605AAFB1">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组号</w:t>
            </w:r>
          </w:p>
        </w:tc>
        <w:tc>
          <w:tcPr>
            <w:tcW w:w="2344" w:type="dxa"/>
            <w:tcBorders>
              <w:tl2br w:val="nil"/>
              <w:tr2bl w:val="nil"/>
            </w:tcBorders>
            <w:shd w:val="clear" w:color="auto" w:fill="auto"/>
            <w:noWrap/>
            <w:vAlign w:val="center"/>
          </w:tcPr>
          <w:p w14:paraId="4ACCD92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区间</w:t>
            </w:r>
          </w:p>
        </w:tc>
        <w:tc>
          <w:tcPr>
            <w:tcW w:w="1661" w:type="dxa"/>
            <w:tcBorders>
              <w:tl2br w:val="nil"/>
              <w:tr2bl w:val="nil"/>
            </w:tcBorders>
            <w:shd w:val="clear" w:color="auto" w:fill="auto"/>
            <w:noWrap/>
            <w:vAlign w:val="center"/>
          </w:tcPr>
          <w:p w14:paraId="4DEEA9D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组中值X’i</w:t>
            </w:r>
          </w:p>
        </w:tc>
        <w:tc>
          <w:tcPr>
            <w:tcW w:w="1698" w:type="dxa"/>
            <w:tcBorders>
              <w:tl2br w:val="nil"/>
              <w:tr2bl w:val="nil"/>
            </w:tcBorders>
            <w:shd w:val="clear" w:color="auto" w:fill="auto"/>
            <w:noWrap/>
            <w:vAlign w:val="center"/>
          </w:tcPr>
          <w:p w14:paraId="0E10C2D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频数ni</w:t>
            </w:r>
          </w:p>
        </w:tc>
        <w:tc>
          <w:tcPr>
            <w:tcW w:w="1846" w:type="dxa"/>
            <w:tcBorders>
              <w:tl2br w:val="nil"/>
              <w:tr2bl w:val="nil"/>
            </w:tcBorders>
            <w:shd w:val="clear" w:color="auto" w:fill="auto"/>
            <w:noWrap/>
            <w:vAlign w:val="center"/>
          </w:tcPr>
          <w:p w14:paraId="725D6A36">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频率fi</w:t>
            </w:r>
          </w:p>
        </w:tc>
      </w:tr>
      <w:tr w14:paraId="3E4D49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9" w:hRule="atLeast"/>
          <w:jc w:val="center"/>
        </w:trPr>
        <w:tc>
          <w:tcPr>
            <w:tcW w:w="0" w:type="auto"/>
            <w:tcBorders>
              <w:tl2br w:val="nil"/>
              <w:tr2bl w:val="nil"/>
            </w:tcBorders>
            <w:shd w:val="clear" w:color="auto" w:fill="auto"/>
            <w:noWrap/>
            <w:vAlign w:val="center"/>
          </w:tcPr>
          <w:p w14:paraId="30D676E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0" w:type="auto"/>
            <w:tcBorders>
              <w:tl2br w:val="nil"/>
              <w:tr2bl w:val="nil"/>
            </w:tcBorders>
            <w:shd w:val="clear" w:color="auto" w:fill="auto"/>
            <w:noWrap/>
            <w:vAlign w:val="center"/>
          </w:tcPr>
          <w:p w14:paraId="484AFF8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[0.010-0.015]</w:t>
            </w:r>
          </w:p>
        </w:tc>
        <w:tc>
          <w:tcPr>
            <w:tcW w:w="0" w:type="auto"/>
            <w:tcBorders>
              <w:tl2br w:val="nil"/>
              <w:tr2bl w:val="nil"/>
            </w:tcBorders>
            <w:shd w:val="clear" w:color="auto" w:fill="auto"/>
            <w:noWrap/>
            <w:vAlign w:val="center"/>
          </w:tcPr>
          <w:p w14:paraId="21055E8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0.0125</w:t>
            </w:r>
          </w:p>
        </w:tc>
        <w:tc>
          <w:tcPr>
            <w:tcW w:w="0" w:type="auto"/>
            <w:tcBorders>
              <w:tl2br w:val="nil"/>
              <w:tr2bl w:val="nil"/>
            </w:tcBorders>
            <w:shd w:val="clear" w:color="auto" w:fill="auto"/>
            <w:noWrap/>
            <w:vAlign w:val="center"/>
          </w:tcPr>
          <w:p w14:paraId="6D07FA6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w:t>
            </w:r>
          </w:p>
        </w:tc>
        <w:tc>
          <w:tcPr>
            <w:tcW w:w="0" w:type="auto"/>
            <w:tcBorders>
              <w:tl2br w:val="nil"/>
              <w:tr2bl w:val="nil"/>
            </w:tcBorders>
            <w:shd w:val="clear" w:color="auto" w:fill="auto"/>
            <w:noWrap/>
            <w:vAlign w:val="center"/>
          </w:tcPr>
          <w:p w14:paraId="518863F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8.00%</w:t>
            </w:r>
          </w:p>
        </w:tc>
      </w:tr>
      <w:tr w14:paraId="7CE4A34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0" w:type="auto"/>
            <w:tcBorders>
              <w:tl2br w:val="nil"/>
              <w:tr2bl w:val="nil"/>
            </w:tcBorders>
            <w:shd w:val="clear" w:color="auto" w:fill="auto"/>
            <w:noWrap/>
            <w:vAlign w:val="center"/>
          </w:tcPr>
          <w:p w14:paraId="0A9AB19F">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0" w:type="auto"/>
            <w:tcBorders>
              <w:tl2br w:val="nil"/>
              <w:tr2bl w:val="nil"/>
            </w:tcBorders>
            <w:shd w:val="clear" w:color="auto" w:fill="auto"/>
            <w:noWrap/>
            <w:vAlign w:val="center"/>
          </w:tcPr>
          <w:p w14:paraId="27E359B6">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[0.015-0.020]</w:t>
            </w:r>
          </w:p>
        </w:tc>
        <w:tc>
          <w:tcPr>
            <w:tcW w:w="0" w:type="auto"/>
            <w:tcBorders>
              <w:tl2br w:val="nil"/>
              <w:tr2bl w:val="nil"/>
            </w:tcBorders>
            <w:shd w:val="clear" w:color="auto" w:fill="auto"/>
            <w:noWrap/>
            <w:vAlign w:val="center"/>
          </w:tcPr>
          <w:p w14:paraId="525B044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0.0175</w:t>
            </w:r>
          </w:p>
        </w:tc>
        <w:tc>
          <w:tcPr>
            <w:tcW w:w="0" w:type="auto"/>
            <w:tcBorders>
              <w:tl2br w:val="nil"/>
              <w:tr2bl w:val="nil"/>
            </w:tcBorders>
            <w:shd w:val="clear" w:color="auto" w:fill="auto"/>
            <w:noWrap/>
            <w:vAlign w:val="center"/>
          </w:tcPr>
          <w:p w14:paraId="47E8EE6E">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19</w:t>
            </w:r>
          </w:p>
        </w:tc>
        <w:tc>
          <w:tcPr>
            <w:tcW w:w="0" w:type="auto"/>
            <w:tcBorders>
              <w:tl2br w:val="nil"/>
              <w:tr2bl w:val="nil"/>
            </w:tcBorders>
            <w:shd w:val="clear" w:color="auto" w:fill="auto"/>
            <w:noWrap/>
            <w:vAlign w:val="center"/>
          </w:tcPr>
          <w:p w14:paraId="6C97608E">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19.00%</w:t>
            </w:r>
          </w:p>
        </w:tc>
      </w:tr>
      <w:tr w14:paraId="0A91C3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79" w:hRule="atLeast"/>
          <w:jc w:val="center"/>
        </w:trPr>
        <w:tc>
          <w:tcPr>
            <w:tcW w:w="0" w:type="auto"/>
            <w:tcBorders>
              <w:tl2br w:val="nil"/>
              <w:tr2bl w:val="nil"/>
            </w:tcBorders>
            <w:shd w:val="clear" w:color="auto" w:fill="auto"/>
            <w:noWrap/>
            <w:vAlign w:val="center"/>
          </w:tcPr>
          <w:p w14:paraId="529293E1">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0" w:type="auto"/>
            <w:tcBorders>
              <w:tl2br w:val="nil"/>
              <w:tr2bl w:val="nil"/>
            </w:tcBorders>
            <w:shd w:val="clear" w:color="auto" w:fill="auto"/>
            <w:noWrap/>
            <w:vAlign w:val="center"/>
          </w:tcPr>
          <w:p w14:paraId="7EEB508B">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[0.020-0.025]</w:t>
            </w:r>
          </w:p>
        </w:tc>
        <w:tc>
          <w:tcPr>
            <w:tcW w:w="0" w:type="auto"/>
            <w:tcBorders>
              <w:tl2br w:val="nil"/>
              <w:tr2bl w:val="nil"/>
            </w:tcBorders>
            <w:shd w:val="clear" w:color="auto" w:fill="auto"/>
            <w:noWrap/>
            <w:vAlign w:val="center"/>
          </w:tcPr>
          <w:p w14:paraId="6AD87501">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0.0225</w:t>
            </w:r>
          </w:p>
        </w:tc>
        <w:tc>
          <w:tcPr>
            <w:tcW w:w="0" w:type="auto"/>
            <w:tcBorders>
              <w:tl2br w:val="nil"/>
              <w:tr2bl w:val="nil"/>
            </w:tcBorders>
            <w:shd w:val="clear" w:color="auto" w:fill="auto"/>
            <w:noWrap/>
            <w:vAlign w:val="center"/>
          </w:tcPr>
          <w:p w14:paraId="5F355AC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w:t>
            </w:r>
          </w:p>
        </w:tc>
        <w:tc>
          <w:tcPr>
            <w:tcW w:w="0" w:type="auto"/>
            <w:tcBorders>
              <w:tl2br w:val="nil"/>
              <w:tr2bl w:val="nil"/>
            </w:tcBorders>
            <w:shd w:val="clear" w:color="auto" w:fill="auto"/>
            <w:noWrap/>
            <w:vAlign w:val="center"/>
          </w:tcPr>
          <w:p w14:paraId="21AF3354">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20.00%</w:t>
            </w:r>
          </w:p>
        </w:tc>
      </w:tr>
      <w:tr w14:paraId="0949BC5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79" w:hRule="atLeast"/>
          <w:jc w:val="center"/>
        </w:trPr>
        <w:tc>
          <w:tcPr>
            <w:tcW w:w="0" w:type="auto"/>
            <w:tcBorders>
              <w:tl2br w:val="nil"/>
              <w:tr2bl w:val="nil"/>
            </w:tcBorders>
            <w:shd w:val="clear" w:color="auto" w:fill="auto"/>
            <w:noWrap/>
            <w:vAlign w:val="center"/>
          </w:tcPr>
          <w:p w14:paraId="5C5D578E">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0" w:type="auto"/>
            <w:tcBorders>
              <w:tl2br w:val="nil"/>
              <w:tr2bl w:val="nil"/>
            </w:tcBorders>
            <w:shd w:val="clear" w:color="auto" w:fill="auto"/>
            <w:noWrap/>
            <w:vAlign w:val="center"/>
          </w:tcPr>
          <w:p w14:paraId="3480216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[0.025-0.030]</w:t>
            </w:r>
          </w:p>
        </w:tc>
        <w:tc>
          <w:tcPr>
            <w:tcW w:w="0" w:type="auto"/>
            <w:tcBorders>
              <w:tl2br w:val="nil"/>
              <w:tr2bl w:val="nil"/>
            </w:tcBorders>
            <w:shd w:val="clear" w:color="auto" w:fill="auto"/>
            <w:noWrap/>
            <w:vAlign w:val="center"/>
          </w:tcPr>
          <w:p w14:paraId="7271D0AD">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0.0275</w:t>
            </w:r>
          </w:p>
        </w:tc>
        <w:tc>
          <w:tcPr>
            <w:tcW w:w="0" w:type="auto"/>
            <w:tcBorders>
              <w:tl2br w:val="nil"/>
              <w:tr2bl w:val="nil"/>
            </w:tcBorders>
            <w:shd w:val="clear" w:color="auto" w:fill="auto"/>
            <w:noWrap/>
            <w:vAlign w:val="center"/>
          </w:tcPr>
          <w:p w14:paraId="4E248AAC">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w:t>
            </w:r>
          </w:p>
        </w:tc>
        <w:tc>
          <w:tcPr>
            <w:tcW w:w="0" w:type="auto"/>
            <w:tcBorders>
              <w:tl2br w:val="nil"/>
              <w:tr2bl w:val="nil"/>
            </w:tcBorders>
            <w:shd w:val="clear" w:color="auto" w:fill="auto"/>
            <w:noWrap/>
            <w:vAlign w:val="center"/>
          </w:tcPr>
          <w:p w14:paraId="7D40E7A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22.00%</w:t>
            </w:r>
          </w:p>
        </w:tc>
      </w:tr>
      <w:tr w14:paraId="5E3B0FF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09" w:hRule="atLeast"/>
          <w:jc w:val="center"/>
        </w:trPr>
        <w:tc>
          <w:tcPr>
            <w:tcW w:w="0" w:type="auto"/>
            <w:tcBorders>
              <w:tl2br w:val="nil"/>
              <w:tr2bl w:val="nil"/>
            </w:tcBorders>
            <w:shd w:val="clear" w:color="auto" w:fill="auto"/>
            <w:noWrap/>
            <w:vAlign w:val="center"/>
          </w:tcPr>
          <w:p w14:paraId="69AE9DFD">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0" w:type="auto"/>
            <w:tcBorders>
              <w:tl2br w:val="nil"/>
              <w:tr2bl w:val="nil"/>
            </w:tcBorders>
            <w:shd w:val="clear" w:color="auto" w:fill="auto"/>
            <w:noWrap/>
            <w:vAlign w:val="center"/>
          </w:tcPr>
          <w:p w14:paraId="08D830DB">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[0.030-0.035]</w:t>
            </w:r>
          </w:p>
        </w:tc>
        <w:tc>
          <w:tcPr>
            <w:tcW w:w="0" w:type="auto"/>
            <w:tcBorders>
              <w:tl2br w:val="nil"/>
              <w:tr2bl w:val="nil"/>
            </w:tcBorders>
            <w:shd w:val="clear" w:color="auto" w:fill="auto"/>
            <w:noWrap/>
            <w:vAlign w:val="center"/>
          </w:tcPr>
          <w:p w14:paraId="67A29434">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0.0325</w:t>
            </w:r>
          </w:p>
        </w:tc>
        <w:tc>
          <w:tcPr>
            <w:tcW w:w="0" w:type="auto"/>
            <w:tcBorders>
              <w:tl2br w:val="nil"/>
              <w:tr2bl w:val="nil"/>
            </w:tcBorders>
            <w:shd w:val="clear" w:color="auto" w:fill="auto"/>
            <w:noWrap/>
            <w:vAlign w:val="center"/>
          </w:tcPr>
          <w:p w14:paraId="089B5C5F">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26</w:t>
            </w:r>
          </w:p>
        </w:tc>
        <w:tc>
          <w:tcPr>
            <w:tcW w:w="0" w:type="auto"/>
            <w:tcBorders>
              <w:tl2br w:val="nil"/>
              <w:tr2bl w:val="nil"/>
            </w:tcBorders>
            <w:shd w:val="clear" w:color="auto" w:fill="auto"/>
            <w:noWrap/>
            <w:vAlign w:val="center"/>
          </w:tcPr>
          <w:p w14:paraId="2C89ED8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26.00%</w:t>
            </w:r>
          </w:p>
        </w:tc>
      </w:tr>
      <w:tr w14:paraId="289E860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79" w:hRule="atLeast"/>
          <w:jc w:val="center"/>
        </w:trPr>
        <w:tc>
          <w:tcPr>
            <w:tcW w:w="0" w:type="auto"/>
            <w:tcBorders>
              <w:tl2br w:val="nil"/>
              <w:tr2bl w:val="nil"/>
            </w:tcBorders>
            <w:shd w:val="clear" w:color="auto" w:fill="auto"/>
            <w:noWrap/>
            <w:vAlign w:val="center"/>
          </w:tcPr>
          <w:p w14:paraId="26DBC96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w:t>
            </w:r>
          </w:p>
        </w:tc>
        <w:tc>
          <w:tcPr>
            <w:tcW w:w="0" w:type="auto"/>
            <w:tcBorders>
              <w:tl2br w:val="nil"/>
              <w:tr2bl w:val="nil"/>
            </w:tcBorders>
            <w:shd w:val="clear" w:color="auto" w:fill="auto"/>
            <w:noWrap/>
            <w:vAlign w:val="center"/>
          </w:tcPr>
          <w:p w14:paraId="4572CAA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[0.035-0.040]</w:t>
            </w:r>
          </w:p>
        </w:tc>
        <w:tc>
          <w:tcPr>
            <w:tcW w:w="0" w:type="auto"/>
            <w:tcBorders>
              <w:tl2br w:val="nil"/>
              <w:tr2bl w:val="nil"/>
            </w:tcBorders>
            <w:shd w:val="clear" w:color="auto" w:fill="auto"/>
            <w:noWrap/>
            <w:vAlign w:val="center"/>
          </w:tcPr>
          <w:p w14:paraId="22CD54AB">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0.0375</w:t>
            </w:r>
          </w:p>
        </w:tc>
        <w:tc>
          <w:tcPr>
            <w:tcW w:w="0" w:type="auto"/>
            <w:tcBorders>
              <w:tl2br w:val="nil"/>
              <w:tr2bl w:val="nil"/>
            </w:tcBorders>
            <w:shd w:val="clear" w:color="auto" w:fill="auto"/>
            <w:noWrap/>
            <w:vAlign w:val="center"/>
          </w:tcPr>
          <w:p w14:paraId="58EE80A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0" w:type="auto"/>
            <w:tcBorders>
              <w:tl2br w:val="nil"/>
              <w:tr2bl w:val="nil"/>
            </w:tcBorders>
            <w:shd w:val="clear" w:color="auto" w:fill="auto"/>
            <w:noWrap/>
            <w:vAlign w:val="center"/>
          </w:tcPr>
          <w:p w14:paraId="3D42551D">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5.00%</w:t>
            </w:r>
          </w:p>
        </w:tc>
      </w:tr>
      <w:tr w14:paraId="396507F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1" w:hRule="atLeast"/>
          <w:jc w:val="center"/>
        </w:trPr>
        <w:tc>
          <w:tcPr>
            <w:tcW w:w="0" w:type="auto"/>
            <w:tcBorders>
              <w:tl2br w:val="nil"/>
              <w:tr2bl w:val="nil"/>
            </w:tcBorders>
            <w:shd w:val="clear" w:color="auto" w:fill="auto"/>
            <w:noWrap/>
            <w:vAlign w:val="center"/>
          </w:tcPr>
          <w:p w14:paraId="3865D34F">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合计</w:t>
            </w:r>
          </w:p>
        </w:tc>
        <w:tc>
          <w:tcPr>
            <w:tcW w:w="0" w:type="auto"/>
            <w:tcBorders>
              <w:tl2br w:val="nil"/>
              <w:tr2bl w:val="nil"/>
            </w:tcBorders>
            <w:shd w:val="clear" w:color="auto" w:fill="auto"/>
            <w:noWrap/>
            <w:vAlign w:val="center"/>
          </w:tcPr>
          <w:p w14:paraId="6600638C">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0" w:type="auto"/>
            <w:tcBorders>
              <w:tl2br w:val="nil"/>
              <w:tr2bl w:val="nil"/>
            </w:tcBorders>
            <w:shd w:val="clear" w:color="auto" w:fill="auto"/>
            <w:noWrap/>
            <w:vAlign w:val="center"/>
          </w:tcPr>
          <w:p w14:paraId="26F186D2">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0" w:type="auto"/>
            <w:tcBorders>
              <w:tl2br w:val="nil"/>
              <w:tr2bl w:val="nil"/>
            </w:tcBorders>
            <w:shd w:val="clear" w:color="auto" w:fill="auto"/>
            <w:noWrap/>
            <w:vAlign w:val="center"/>
          </w:tcPr>
          <w:p w14:paraId="6E7792D1">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100</w:t>
            </w:r>
          </w:p>
        </w:tc>
        <w:tc>
          <w:tcPr>
            <w:tcW w:w="0" w:type="auto"/>
            <w:tcBorders>
              <w:tl2br w:val="nil"/>
              <w:tr2bl w:val="nil"/>
            </w:tcBorders>
            <w:shd w:val="clear" w:color="auto" w:fill="auto"/>
            <w:noWrap/>
            <w:vAlign w:val="center"/>
          </w:tcPr>
          <w:p w14:paraId="6D559C79">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r>
    </w:tbl>
    <w:p w14:paraId="70EAFE13">
      <w:pPr>
        <w:jc w:val="center"/>
        <w:rPr>
          <w:rFonts w:hint="default" w:ascii="Times New Roman" w:hAnsi="Times New Roman" w:cs="Times New Roman"/>
          <w:highlight w:val="none"/>
        </w:rPr>
      </w:pPr>
    </w:p>
    <w:p w14:paraId="62398B66">
      <w:pPr>
        <w:jc w:val="center"/>
        <w:rPr>
          <w:rFonts w:hint="default" w:ascii="Times New Roman" w:hAnsi="Times New Roman" w:eastAsia="宋体" w:cs="Times New Roman"/>
          <w:highlight w:val="none"/>
          <w:lang w:val="en-US" w:eastAsia="zh-CN"/>
        </w:rPr>
      </w:pPr>
      <w:r>
        <w:rPr>
          <w:rFonts w:hint="default" w:ascii="Times New Roman" w:hAnsi="Times New Roman" w:cs="Times New Roman"/>
          <w:highlight w:val="none"/>
        </w:rPr>
        <w:drawing>
          <wp:inline distT="0" distB="0" distL="114300" distR="114300">
            <wp:extent cx="5545455" cy="2200275"/>
            <wp:effectExtent l="4445" t="4445" r="12700" b="5080"/>
            <wp:docPr id="2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142C045">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kern w:val="2"/>
          <w:sz w:val="24"/>
          <w:szCs w:val="24"/>
          <w:highlight w:val="none"/>
        </w:rPr>
      </w:pPr>
      <w:r>
        <w:rPr>
          <w:rFonts w:hint="default" w:ascii="Times New Roman" w:hAnsi="Times New Roman" w:cs="Times New Roman"/>
          <w:kern w:val="2"/>
          <w:sz w:val="24"/>
          <w:szCs w:val="24"/>
          <w:highlight w:val="none"/>
        </w:rPr>
        <w:t>图</w:t>
      </w:r>
      <w:r>
        <w:rPr>
          <w:rFonts w:hint="eastAsia" w:cs="Times New Roman"/>
          <w:kern w:val="2"/>
          <w:sz w:val="24"/>
          <w:szCs w:val="24"/>
          <w:highlight w:val="none"/>
          <w:lang w:val="en-US" w:eastAsia="zh-CN"/>
        </w:rPr>
        <w:t>15</w:t>
      </w:r>
      <w:r>
        <w:rPr>
          <w:rFonts w:hint="default" w:ascii="Times New Roman" w:hAnsi="Times New Roman" w:cs="Times New Roman"/>
          <w:kern w:val="2"/>
          <w:sz w:val="24"/>
          <w:szCs w:val="24"/>
          <w:highlight w:val="none"/>
          <w:lang w:val="en-US" w:eastAsia="zh-CN"/>
        </w:rPr>
        <w:t xml:space="preserve">  </w:t>
      </w:r>
      <w:r>
        <w:rPr>
          <w:rFonts w:hint="default" w:ascii="Times New Roman" w:hAnsi="Times New Roman" w:cs="Times New Roman"/>
          <w:kern w:val="2"/>
          <w:sz w:val="24"/>
          <w:szCs w:val="24"/>
          <w:highlight w:val="none"/>
        </w:rPr>
        <w:t xml:space="preserve"> </w:t>
      </w:r>
      <w:r>
        <w:rPr>
          <w:rFonts w:hint="eastAsia" w:cs="Times New Roman"/>
          <w:kern w:val="2"/>
          <w:sz w:val="24"/>
          <w:szCs w:val="24"/>
          <w:highlight w:val="none"/>
          <w:lang w:val="en-US" w:eastAsia="zh-CN"/>
        </w:rPr>
        <w:t>晶粒度</w:t>
      </w:r>
      <w:r>
        <w:rPr>
          <w:rFonts w:hint="default" w:ascii="Times New Roman" w:hAnsi="Times New Roman" w:cs="Times New Roman"/>
          <w:kern w:val="2"/>
          <w:sz w:val="24"/>
          <w:szCs w:val="24"/>
          <w:highlight w:val="none"/>
        </w:rPr>
        <w:t>分布直方图</w:t>
      </w:r>
    </w:p>
    <w:p w14:paraId="5AF999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kern w:val="2"/>
          <w:sz w:val="24"/>
          <w:szCs w:val="24"/>
          <w:highlight w:val="none"/>
        </w:rPr>
      </w:pPr>
      <w:r>
        <w:rPr>
          <w:rFonts w:hint="eastAsia" w:ascii="宋体" w:hAnsi="宋体" w:cs="宋体"/>
          <w:kern w:val="2"/>
          <w:sz w:val="24"/>
          <w:szCs w:val="24"/>
          <w:highlight w:val="none"/>
        </w:rPr>
        <w:t>由图表可知，性能检测</w:t>
      </w:r>
      <w:r>
        <w:rPr>
          <w:rFonts w:hint="eastAsia" w:ascii="宋体" w:hAnsi="宋体" w:cs="宋体"/>
          <w:kern w:val="2"/>
          <w:sz w:val="24"/>
          <w:szCs w:val="24"/>
          <w:highlight w:val="none"/>
          <w:lang w:val="en-US" w:eastAsia="zh-CN"/>
        </w:rPr>
        <w:t>100</w:t>
      </w:r>
      <w:r>
        <w:rPr>
          <w:rFonts w:hint="eastAsia" w:ascii="宋体" w:hAnsi="宋体" w:cs="宋体"/>
          <w:kern w:val="2"/>
          <w:sz w:val="24"/>
          <w:szCs w:val="24"/>
          <w:highlight w:val="none"/>
        </w:rPr>
        <w:t>项，实际</w:t>
      </w:r>
      <w:r>
        <w:rPr>
          <w:rFonts w:hint="eastAsia" w:ascii="宋体" w:hAnsi="宋体" w:cs="宋体"/>
          <w:kern w:val="2"/>
          <w:sz w:val="24"/>
          <w:szCs w:val="24"/>
          <w:highlight w:val="none"/>
          <w:lang w:val="en-US" w:eastAsia="zh-CN"/>
        </w:rPr>
        <w:t>晶粒度</w:t>
      </w:r>
      <w:r>
        <w:rPr>
          <w:rFonts w:hint="eastAsia" w:ascii="宋体" w:hAnsi="宋体" w:cs="宋体"/>
          <w:kern w:val="2"/>
          <w:sz w:val="24"/>
          <w:szCs w:val="24"/>
          <w:highlight w:val="none"/>
        </w:rPr>
        <w:t>全部在</w:t>
      </w:r>
      <w:r>
        <w:rPr>
          <w:rFonts w:hint="eastAsia" w:ascii="宋体" w:hAnsi="宋体" w:cs="宋体"/>
          <w:kern w:val="2"/>
          <w:sz w:val="24"/>
          <w:szCs w:val="24"/>
          <w:highlight w:val="none"/>
          <w:lang w:val="en-US" w:eastAsia="zh-CN"/>
        </w:rPr>
        <w:t>0.01</w:t>
      </w:r>
      <w:r>
        <w:rPr>
          <w:rFonts w:hint="eastAsia" w:ascii="宋体" w:hAnsi="宋体" w:cs="宋体"/>
          <w:kern w:val="2"/>
          <w:sz w:val="24"/>
          <w:szCs w:val="24"/>
          <w:highlight w:val="none"/>
        </w:rPr>
        <w:t>以上。该产品技术指标：该产品技术指标</w:t>
      </w:r>
      <w:r>
        <w:rPr>
          <w:rFonts w:hint="eastAsia" w:ascii="宋体" w:hAnsi="宋体" w:cs="宋体"/>
          <w:kern w:val="2"/>
          <w:sz w:val="24"/>
          <w:szCs w:val="24"/>
          <w:highlight w:val="none"/>
          <w:lang w:val="en-US" w:eastAsia="zh-CN"/>
        </w:rPr>
        <w:t>导电率</w:t>
      </w:r>
      <w:r>
        <w:rPr>
          <w:rFonts w:hint="eastAsia" w:ascii="宋体" w:hAnsi="宋体" w:cs="宋体"/>
          <w:kern w:val="2"/>
          <w:sz w:val="24"/>
          <w:szCs w:val="24"/>
          <w:highlight w:val="none"/>
        </w:rPr>
        <w:t>在</w:t>
      </w:r>
      <w:r>
        <w:rPr>
          <w:rFonts w:hint="eastAsia" w:ascii="宋体" w:hAnsi="宋体" w:cs="宋体"/>
          <w:kern w:val="2"/>
          <w:sz w:val="24"/>
          <w:szCs w:val="24"/>
          <w:highlight w:val="none"/>
          <w:lang w:val="en-US" w:eastAsia="zh-CN"/>
        </w:rPr>
        <w:t>0.010</w:t>
      </w:r>
      <w:r>
        <w:rPr>
          <w:rFonts w:hint="eastAsia" w:ascii="宋体" w:hAnsi="宋体" w:cs="宋体"/>
          <w:kern w:val="2"/>
          <w:sz w:val="24"/>
          <w:szCs w:val="24"/>
          <w:highlight w:val="none"/>
        </w:rPr>
        <w:t>-</w:t>
      </w:r>
      <w:r>
        <w:rPr>
          <w:rFonts w:hint="eastAsia" w:ascii="宋体" w:hAnsi="宋体" w:cs="宋体"/>
          <w:kern w:val="2"/>
          <w:sz w:val="24"/>
          <w:szCs w:val="24"/>
          <w:highlight w:val="none"/>
          <w:lang w:val="en-US" w:eastAsia="zh-CN"/>
        </w:rPr>
        <w:t>0.040</w:t>
      </w:r>
      <w:r>
        <w:rPr>
          <w:rFonts w:hint="eastAsia" w:ascii="宋体" w:hAnsi="宋体" w:cs="宋体"/>
          <w:kern w:val="2"/>
          <w:sz w:val="24"/>
          <w:szCs w:val="24"/>
          <w:highlight w:val="none"/>
        </w:rPr>
        <w:t>,指标在此范围内的达到</w:t>
      </w:r>
      <w:r>
        <w:rPr>
          <w:rFonts w:hint="eastAsia" w:ascii="宋体" w:hAnsi="宋体" w:cs="宋体"/>
          <w:kern w:val="2"/>
          <w:sz w:val="24"/>
          <w:szCs w:val="24"/>
          <w:highlight w:val="none"/>
          <w:lang w:val="en-US" w:eastAsia="zh-CN"/>
        </w:rPr>
        <w:t>100</w:t>
      </w:r>
      <w:r>
        <w:rPr>
          <w:rFonts w:hint="eastAsia" w:ascii="宋体" w:hAnsi="宋体" w:cs="宋体"/>
          <w:kern w:val="2"/>
          <w:sz w:val="24"/>
          <w:szCs w:val="24"/>
          <w:highlight w:val="none"/>
        </w:rPr>
        <w:t>%，产品工艺成熟，指标制定合理。</w:t>
      </w:r>
    </w:p>
    <w:p w14:paraId="48CE00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kern w:val="2"/>
          <w:sz w:val="24"/>
          <w:szCs w:val="24"/>
          <w:highlight w:val="none"/>
          <w:lang w:val="en-US" w:eastAsia="zh-CN"/>
        </w:rPr>
      </w:pPr>
      <w:r>
        <w:rPr>
          <w:rFonts w:hint="eastAsia" w:ascii="宋体" w:hAnsi="宋体"/>
          <w:kern w:val="2"/>
          <w:sz w:val="24"/>
          <w:szCs w:val="24"/>
          <w:highlight w:val="none"/>
          <w:lang w:val="en-US" w:eastAsia="zh-CN"/>
        </w:rPr>
        <w:t>2)粗糙度</w:t>
      </w:r>
      <w:r>
        <w:rPr>
          <w:rFonts w:hint="eastAsia" w:ascii="宋体" w:hAnsi="宋体"/>
          <w:kern w:val="2"/>
          <w:sz w:val="24"/>
          <w:szCs w:val="24"/>
          <w:highlight w:val="none"/>
        </w:rPr>
        <w:t>检测实测统计如表1</w:t>
      </w:r>
      <w:r>
        <w:rPr>
          <w:rFonts w:hint="eastAsia" w:ascii="宋体" w:hAnsi="宋体"/>
          <w:kern w:val="2"/>
          <w:sz w:val="24"/>
          <w:szCs w:val="24"/>
          <w:highlight w:val="none"/>
          <w:lang w:val="en-US" w:eastAsia="zh-CN"/>
        </w:rPr>
        <w:t>5</w:t>
      </w:r>
    </w:p>
    <w:p w14:paraId="3087523D">
      <w:pPr>
        <w:keepNext w:val="0"/>
        <w:keepLines w:val="0"/>
        <w:pageBreakBefore w:val="0"/>
        <w:tabs>
          <w:tab w:val="left" w:pos="2946"/>
          <w:tab w:val="center" w:pos="4212"/>
        </w:tabs>
        <w:kinsoku/>
        <w:wordWrap/>
        <w:overflowPunct/>
        <w:topLinePunct w:val="0"/>
        <w:autoSpaceDE/>
        <w:autoSpaceDN/>
        <w:bidi w:val="0"/>
        <w:snapToGrid/>
        <w:spacing w:line="360" w:lineRule="auto"/>
        <w:jc w:val="center"/>
        <w:rPr>
          <w:rFonts w:hint="default" w:ascii="Times New Roman" w:hAnsi="Times New Roman" w:cs="Times New Roman"/>
          <w:sz w:val="24"/>
          <w:szCs w:val="20"/>
          <w:highlight w:val="none"/>
        </w:rPr>
      </w:pPr>
      <w:r>
        <w:rPr>
          <w:rFonts w:hint="default" w:ascii="Times New Roman" w:hAnsi="Times New Roman" w:cs="Times New Roman"/>
          <w:sz w:val="24"/>
          <w:szCs w:val="20"/>
          <w:highlight w:val="none"/>
          <w:lang w:val="en-US" w:eastAsia="zh-CN"/>
        </w:rPr>
        <w:t>表</w:t>
      </w:r>
      <w:r>
        <w:rPr>
          <w:rFonts w:hint="eastAsia" w:cs="Times New Roman"/>
          <w:sz w:val="24"/>
          <w:szCs w:val="20"/>
          <w:highlight w:val="none"/>
          <w:lang w:val="en-US" w:eastAsia="zh-CN"/>
        </w:rPr>
        <w:t>28</w:t>
      </w:r>
      <w:r>
        <w:rPr>
          <w:rFonts w:hint="default" w:ascii="Times New Roman" w:hAnsi="Times New Roman" w:cs="Times New Roman"/>
          <w:sz w:val="24"/>
          <w:szCs w:val="20"/>
          <w:highlight w:val="none"/>
          <w:lang w:val="en-US" w:eastAsia="zh-CN"/>
        </w:rPr>
        <w:t xml:space="preserve">  </w:t>
      </w:r>
      <w:r>
        <w:rPr>
          <w:rFonts w:hint="eastAsia" w:cs="Times New Roman"/>
          <w:sz w:val="24"/>
          <w:szCs w:val="20"/>
          <w:highlight w:val="none"/>
          <w:lang w:val="en-US" w:eastAsia="zh-CN"/>
        </w:rPr>
        <w:t>粗糙度</w:t>
      </w:r>
      <w:r>
        <w:rPr>
          <w:rFonts w:hint="default" w:ascii="Times New Roman" w:hAnsi="Times New Roman" w:cs="Times New Roman"/>
          <w:sz w:val="24"/>
          <w:szCs w:val="20"/>
          <w:highlight w:val="none"/>
          <w:lang w:val="en-US" w:eastAsia="zh-CN"/>
        </w:rPr>
        <w:t xml:space="preserve"> 频数和频率分布表</w:t>
      </w:r>
    </w:p>
    <w:tbl>
      <w:tblPr>
        <w:tblStyle w:val="21"/>
        <w:tblW w:w="885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281"/>
        <w:gridCol w:w="2135"/>
        <w:gridCol w:w="1921"/>
        <w:gridCol w:w="1832"/>
        <w:gridCol w:w="1690"/>
      </w:tblGrid>
      <w:tr w14:paraId="05B829F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16" w:hRule="atLeast"/>
          <w:jc w:val="center"/>
        </w:trPr>
        <w:tc>
          <w:tcPr>
            <w:tcW w:w="1281" w:type="dxa"/>
            <w:tcBorders>
              <w:tl2br w:val="nil"/>
              <w:tr2bl w:val="nil"/>
            </w:tcBorders>
            <w:shd w:val="clear" w:color="auto" w:fill="auto"/>
            <w:noWrap/>
            <w:vAlign w:val="center"/>
          </w:tcPr>
          <w:p w14:paraId="6C6652C5">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组号</w:t>
            </w:r>
          </w:p>
        </w:tc>
        <w:tc>
          <w:tcPr>
            <w:tcW w:w="2135" w:type="dxa"/>
            <w:tcBorders>
              <w:tl2br w:val="nil"/>
              <w:tr2bl w:val="nil"/>
            </w:tcBorders>
            <w:shd w:val="clear" w:color="auto" w:fill="auto"/>
            <w:noWrap/>
            <w:vAlign w:val="center"/>
          </w:tcPr>
          <w:p w14:paraId="07B6F214">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区间</w:t>
            </w:r>
          </w:p>
        </w:tc>
        <w:tc>
          <w:tcPr>
            <w:tcW w:w="1921" w:type="dxa"/>
            <w:tcBorders>
              <w:tl2br w:val="nil"/>
              <w:tr2bl w:val="nil"/>
            </w:tcBorders>
            <w:shd w:val="clear" w:color="auto" w:fill="auto"/>
            <w:noWrap/>
            <w:vAlign w:val="center"/>
          </w:tcPr>
          <w:p w14:paraId="0489F496">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组中值X’i</w:t>
            </w:r>
          </w:p>
        </w:tc>
        <w:tc>
          <w:tcPr>
            <w:tcW w:w="1832" w:type="dxa"/>
            <w:tcBorders>
              <w:tl2br w:val="nil"/>
              <w:tr2bl w:val="nil"/>
            </w:tcBorders>
            <w:shd w:val="clear" w:color="auto" w:fill="auto"/>
            <w:noWrap/>
            <w:vAlign w:val="center"/>
          </w:tcPr>
          <w:p w14:paraId="05D9A986">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频数ni</w:t>
            </w:r>
          </w:p>
        </w:tc>
        <w:tc>
          <w:tcPr>
            <w:tcW w:w="1690" w:type="dxa"/>
            <w:tcBorders>
              <w:tl2br w:val="nil"/>
              <w:tr2bl w:val="nil"/>
            </w:tcBorders>
            <w:shd w:val="clear" w:color="auto" w:fill="auto"/>
            <w:noWrap/>
            <w:vAlign w:val="center"/>
          </w:tcPr>
          <w:p w14:paraId="6A21B443">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频率fi</w:t>
            </w:r>
          </w:p>
        </w:tc>
      </w:tr>
      <w:tr w14:paraId="578C83E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2" w:hRule="atLeast"/>
          <w:jc w:val="center"/>
        </w:trPr>
        <w:tc>
          <w:tcPr>
            <w:tcW w:w="0" w:type="auto"/>
            <w:tcBorders>
              <w:tl2br w:val="nil"/>
              <w:tr2bl w:val="nil"/>
            </w:tcBorders>
            <w:shd w:val="clear" w:color="auto" w:fill="auto"/>
            <w:noWrap/>
            <w:vAlign w:val="center"/>
          </w:tcPr>
          <w:p w14:paraId="6424ECE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0" w:type="auto"/>
            <w:tcBorders>
              <w:tl2br w:val="nil"/>
              <w:tr2bl w:val="nil"/>
            </w:tcBorders>
            <w:shd w:val="clear" w:color="auto" w:fill="auto"/>
            <w:noWrap/>
            <w:vAlign w:val="center"/>
          </w:tcPr>
          <w:p w14:paraId="5B5B4326">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[0.1-0.15]</w:t>
            </w:r>
          </w:p>
        </w:tc>
        <w:tc>
          <w:tcPr>
            <w:tcW w:w="0" w:type="auto"/>
            <w:tcBorders>
              <w:tl2br w:val="nil"/>
              <w:tr2bl w:val="nil"/>
            </w:tcBorders>
            <w:shd w:val="clear" w:color="auto" w:fill="auto"/>
            <w:noWrap/>
            <w:vAlign w:val="center"/>
          </w:tcPr>
          <w:p w14:paraId="4C65634B">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0.125</w:t>
            </w:r>
          </w:p>
        </w:tc>
        <w:tc>
          <w:tcPr>
            <w:tcW w:w="0" w:type="auto"/>
            <w:tcBorders>
              <w:tl2br w:val="nil"/>
              <w:tr2bl w:val="nil"/>
            </w:tcBorders>
            <w:shd w:val="clear" w:color="auto" w:fill="auto"/>
            <w:noWrap/>
            <w:vAlign w:val="center"/>
          </w:tcPr>
          <w:p w14:paraId="283E663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35</w:t>
            </w:r>
          </w:p>
        </w:tc>
        <w:tc>
          <w:tcPr>
            <w:tcW w:w="0" w:type="auto"/>
            <w:tcBorders>
              <w:tl2br w:val="nil"/>
              <w:tr2bl w:val="nil"/>
            </w:tcBorders>
            <w:shd w:val="clear" w:color="auto" w:fill="auto"/>
            <w:noWrap/>
            <w:vAlign w:val="center"/>
          </w:tcPr>
          <w:p w14:paraId="5CF2B11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32.11%</w:t>
            </w:r>
          </w:p>
        </w:tc>
      </w:tr>
      <w:tr w14:paraId="42F9A15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2" w:hRule="atLeast"/>
          <w:jc w:val="center"/>
        </w:trPr>
        <w:tc>
          <w:tcPr>
            <w:tcW w:w="0" w:type="auto"/>
            <w:tcBorders>
              <w:tl2br w:val="nil"/>
              <w:tr2bl w:val="nil"/>
            </w:tcBorders>
            <w:shd w:val="clear" w:color="auto" w:fill="auto"/>
            <w:noWrap/>
            <w:vAlign w:val="center"/>
          </w:tcPr>
          <w:p w14:paraId="4DF9314B">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0" w:type="auto"/>
            <w:tcBorders>
              <w:tl2br w:val="nil"/>
              <w:tr2bl w:val="nil"/>
            </w:tcBorders>
            <w:shd w:val="clear" w:color="auto" w:fill="auto"/>
            <w:noWrap/>
            <w:vAlign w:val="center"/>
          </w:tcPr>
          <w:p w14:paraId="3A0C5E2A">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[0.15-0.20]</w:t>
            </w:r>
          </w:p>
        </w:tc>
        <w:tc>
          <w:tcPr>
            <w:tcW w:w="0" w:type="auto"/>
            <w:tcBorders>
              <w:tl2br w:val="nil"/>
              <w:tr2bl w:val="nil"/>
            </w:tcBorders>
            <w:shd w:val="clear" w:color="auto" w:fill="auto"/>
            <w:noWrap/>
            <w:vAlign w:val="center"/>
          </w:tcPr>
          <w:p w14:paraId="5E2B8EAD">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0.175</w:t>
            </w:r>
          </w:p>
        </w:tc>
        <w:tc>
          <w:tcPr>
            <w:tcW w:w="0" w:type="auto"/>
            <w:tcBorders>
              <w:tl2br w:val="nil"/>
              <w:tr2bl w:val="nil"/>
            </w:tcBorders>
            <w:shd w:val="clear" w:color="auto" w:fill="auto"/>
            <w:noWrap/>
            <w:vAlign w:val="center"/>
          </w:tcPr>
          <w:p w14:paraId="4D8B102C">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34</w:t>
            </w:r>
          </w:p>
        </w:tc>
        <w:tc>
          <w:tcPr>
            <w:tcW w:w="0" w:type="auto"/>
            <w:tcBorders>
              <w:tl2br w:val="nil"/>
              <w:tr2bl w:val="nil"/>
            </w:tcBorders>
            <w:shd w:val="clear" w:color="auto" w:fill="auto"/>
            <w:noWrap/>
            <w:vAlign w:val="center"/>
          </w:tcPr>
          <w:p w14:paraId="6426D72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31.19%</w:t>
            </w:r>
          </w:p>
        </w:tc>
      </w:tr>
      <w:tr w14:paraId="59BCB2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2" w:hRule="atLeast"/>
          <w:jc w:val="center"/>
        </w:trPr>
        <w:tc>
          <w:tcPr>
            <w:tcW w:w="0" w:type="auto"/>
            <w:tcBorders>
              <w:tl2br w:val="nil"/>
              <w:tr2bl w:val="nil"/>
            </w:tcBorders>
            <w:shd w:val="clear" w:color="auto" w:fill="auto"/>
            <w:noWrap/>
            <w:vAlign w:val="center"/>
          </w:tcPr>
          <w:p w14:paraId="4AA5857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0" w:type="auto"/>
            <w:tcBorders>
              <w:tl2br w:val="nil"/>
              <w:tr2bl w:val="nil"/>
            </w:tcBorders>
            <w:shd w:val="clear" w:color="auto" w:fill="auto"/>
            <w:noWrap/>
            <w:vAlign w:val="center"/>
          </w:tcPr>
          <w:p w14:paraId="56954D8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[0.20-0.25]</w:t>
            </w:r>
          </w:p>
        </w:tc>
        <w:tc>
          <w:tcPr>
            <w:tcW w:w="0" w:type="auto"/>
            <w:tcBorders>
              <w:tl2br w:val="nil"/>
              <w:tr2bl w:val="nil"/>
            </w:tcBorders>
            <w:shd w:val="clear" w:color="auto" w:fill="auto"/>
            <w:noWrap/>
            <w:vAlign w:val="center"/>
          </w:tcPr>
          <w:p w14:paraId="1E1B02F0">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0.225</w:t>
            </w:r>
          </w:p>
        </w:tc>
        <w:tc>
          <w:tcPr>
            <w:tcW w:w="0" w:type="auto"/>
            <w:tcBorders>
              <w:tl2br w:val="nil"/>
              <w:tr2bl w:val="nil"/>
            </w:tcBorders>
            <w:shd w:val="clear" w:color="auto" w:fill="auto"/>
            <w:noWrap/>
            <w:vAlign w:val="center"/>
          </w:tcPr>
          <w:p w14:paraId="17F607B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37</w:t>
            </w:r>
          </w:p>
        </w:tc>
        <w:tc>
          <w:tcPr>
            <w:tcW w:w="0" w:type="auto"/>
            <w:tcBorders>
              <w:tl2br w:val="nil"/>
              <w:tr2bl w:val="nil"/>
            </w:tcBorders>
            <w:shd w:val="clear" w:color="auto" w:fill="auto"/>
            <w:noWrap/>
            <w:vAlign w:val="center"/>
          </w:tcPr>
          <w:p w14:paraId="502E8024">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33.94%</w:t>
            </w:r>
          </w:p>
        </w:tc>
      </w:tr>
      <w:tr w14:paraId="351894C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2" w:hRule="atLeast"/>
          <w:jc w:val="center"/>
        </w:trPr>
        <w:tc>
          <w:tcPr>
            <w:tcW w:w="0" w:type="auto"/>
            <w:tcBorders>
              <w:tl2br w:val="nil"/>
              <w:tr2bl w:val="nil"/>
            </w:tcBorders>
            <w:shd w:val="clear" w:color="auto" w:fill="auto"/>
            <w:noWrap/>
            <w:vAlign w:val="center"/>
          </w:tcPr>
          <w:p w14:paraId="7712573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0" w:type="auto"/>
            <w:tcBorders>
              <w:tl2br w:val="nil"/>
              <w:tr2bl w:val="nil"/>
            </w:tcBorders>
            <w:shd w:val="clear" w:color="auto" w:fill="auto"/>
            <w:noWrap/>
            <w:vAlign w:val="center"/>
          </w:tcPr>
          <w:p w14:paraId="3F28ED74">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[0.25-0.30]</w:t>
            </w:r>
          </w:p>
        </w:tc>
        <w:tc>
          <w:tcPr>
            <w:tcW w:w="0" w:type="auto"/>
            <w:tcBorders>
              <w:tl2br w:val="nil"/>
              <w:tr2bl w:val="nil"/>
            </w:tcBorders>
            <w:shd w:val="clear" w:color="auto" w:fill="auto"/>
            <w:noWrap/>
            <w:vAlign w:val="center"/>
          </w:tcPr>
          <w:p w14:paraId="0F89FFBF">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0.275</w:t>
            </w:r>
          </w:p>
        </w:tc>
        <w:tc>
          <w:tcPr>
            <w:tcW w:w="0" w:type="auto"/>
            <w:tcBorders>
              <w:tl2br w:val="nil"/>
              <w:tr2bl w:val="nil"/>
            </w:tcBorders>
            <w:shd w:val="clear" w:color="auto" w:fill="auto"/>
            <w:noWrap/>
            <w:vAlign w:val="center"/>
          </w:tcPr>
          <w:p w14:paraId="7A38A2AC">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0" w:type="auto"/>
            <w:tcBorders>
              <w:tl2br w:val="nil"/>
              <w:tr2bl w:val="nil"/>
            </w:tcBorders>
            <w:shd w:val="clear" w:color="auto" w:fill="auto"/>
            <w:noWrap/>
            <w:vAlign w:val="center"/>
          </w:tcPr>
          <w:p w14:paraId="4D4FF751">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2.75%</w:t>
            </w:r>
          </w:p>
        </w:tc>
      </w:tr>
      <w:tr w14:paraId="4281E29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0" w:type="auto"/>
            <w:tcBorders>
              <w:tl2br w:val="nil"/>
              <w:tr2bl w:val="nil"/>
            </w:tcBorders>
            <w:shd w:val="clear" w:color="auto" w:fill="auto"/>
            <w:noWrap/>
            <w:vAlign w:val="center"/>
          </w:tcPr>
          <w:p w14:paraId="5EE1ACD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合计</w:t>
            </w:r>
          </w:p>
        </w:tc>
        <w:tc>
          <w:tcPr>
            <w:tcW w:w="0" w:type="auto"/>
            <w:tcBorders>
              <w:tl2br w:val="nil"/>
              <w:tr2bl w:val="nil"/>
            </w:tcBorders>
            <w:shd w:val="clear" w:color="auto" w:fill="auto"/>
            <w:noWrap/>
            <w:vAlign w:val="center"/>
          </w:tcPr>
          <w:p w14:paraId="2EB33E22">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0" w:type="auto"/>
            <w:tcBorders>
              <w:tl2br w:val="nil"/>
              <w:tr2bl w:val="nil"/>
            </w:tcBorders>
            <w:shd w:val="clear" w:color="auto" w:fill="auto"/>
            <w:noWrap/>
            <w:vAlign w:val="center"/>
          </w:tcPr>
          <w:p w14:paraId="328C9338">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c>
          <w:tcPr>
            <w:tcW w:w="0" w:type="auto"/>
            <w:tcBorders>
              <w:tl2br w:val="nil"/>
              <w:tr2bl w:val="nil"/>
            </w:tcBorders>
            <w:shd w:val="clear" w:color="auto" w:fill="auto"/>
            <w:noWrap/>
            <w:vAlign w:val="center"/>
          </w:tcPr>
          <w:p w14:paraId="00722314">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109</w:t>
            </w:r>
          </w:p>
        </w:tc>
        <w:tc>
          <w:tcPr>
            <w:tcW w:w="0" w:type="auto"/>
            <w:tcBorders>
              <w:tl2br w:val="nil"/>
              <w:tr2bl w:val="nil"/>
            </w:tcBorders>
            <w:shd w:val="clear" w:color="auto" w:fill="auto"/>
            <w:noWrap/>
            <w:vAlign w:val="center"/>
          </w:tcPr>
          <w:p w14:paraId="36AE864C">
            <w:pPr>
              <w:keepNext w:val="0"/>
              <w:keepLines w:val="0"/>
              <w:pageBreakBefore w:val="0"/>
              <w:widowControl/>
              <w:kinsoku/>
              <w:wordWrap/>
              <w:overflowPunct/>
              <w:topLinePunct w:val="0"/>
              <w:autoSpaceDE/>
              <w:autoSpaceDN/>
              <w:bidi w:val="0"/>
              <w:snapToGrid/>
              <w:spacing w:line="240" w:lineRule="auto"/>
              <w:jc w:val="center"/>
              <w:rPr>
                <w:rFonts w:hint="default" w:ascii="Times New Roman" w:hAnsi="Times New Roman" w:eastAsia="宋体" w:cs="Times New Roman"/>
                <w:i w:val="0"/>
                <w:iCs w:val="0"/>
                <w:color w:val="000000"/>
                <w:sz w:val="22"/>
                <w:szCs w:val="22"/>
                <w:highlight w:val="none"/>
                <w:u w:val="none"/>
              </w:rPr>
            </w:pPr>
          </w:p>
        </w:tc>
      </w:tr>
    </w:tbl>
    <w:p w14:paraId="58600CAB">
      <w:pPr>
        <w:jc w:val="center"/>
        <w:rPr>
          <w:rFonts w:hint="default" w:ascii="Times New Roman" w:hAnsi="Times New Roman" w:eastAsia="宋体" w:cs="Times New Roman"/>
          <w:highlight w:val="none"/>
          <w:lang w:val="en-US" w:eastAsia="zh-CN"/>
        </w:rPr>
      </w:pPr>
    </w:p>
    <w:p w14:paraId="185AB374">
      <w:pPr>
        <w:jc w:val="center"/>
        <w:rPr>
          <w:rFonts w:hint="default" w:ascii="Times New Roman" w:hAnsi="Times New Roman" w:eastAsia="宋体" w:cs="Times New Roman"/>
          <w:highlight w:val="none"/>
          <w:lang w:val="en-US" w:eastAsia="zh-CN"/>
        </w:rPr>
      </w:pPr>
      <w:r>
        <w:rPr>
          <w:rFonts w:hint="default" w:ascii="Times New Roman" w:hAnsi="Times New Roman" w:cs="Times New Roman"/>
          <w:highlight w:val="none"/>
        </w:rPr>
        <w:drawing>
          <wp:inline distT="0" distB="0" distL="114300" distR="114300">
            <wp:extent cx="5266690" cy="2133600"/>
            <wp:effectExtent l="4445" t="4445" r="5715" b="14605"/>
            <wp:docPr id="2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3A7C819">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kern w:val="2"/>
          <w:sz w:val="24"/>
          <w:szCs w:val="24"/>
          <w:highlight w:val="none"/>
        </w:rPr>
      </w:pPr>
      <w:r>
        <w:rPr>
          <w:rFonts w:hint="default" w:ascii="Times New Roman" w:hAnsi="Times New Roman" w:cs="Times New Roman"/>
          <w:kern w:val="2"/>
          <w:sz w:val="24"/>
          <w:szCs w:val="24"/>
          <w:highlight w:val="none"/>
        </w:rPr>
        <w:t>图</w:t>
      </w:r>
      <w:r>
        <w:rPr>
          <w:rFonts w:hint="eastAsia" w:cs="Times New Roman"/>
          <w:kern w:val="2"/>
          <w:sz w:val="24"/>
          <w:szCs w:val="24"/>
          <w:highlight w:val="none"/>
          <w:lang w:val="en-US" w:eastAsia="zh-CN"/>
        </w:rPr>
        <w:t>16</w:t>
      </w:r>
      <w:r>
        <w:rPr>
          <w:rFonts w:hint="default" w:ascii="Times New Roman" w:hAnsi="Times New Roman" w:cs="Times New Roman"/>
          <w:kern w:val="2"/>
          <w:sz w:val="24"/>
          <w:szCs w:val="24"/>
          <w:highlight w:val="none"/>
          <w:lang w:val="en-US" w:eastAsia="zh-CN"/>
        </w:rPr>
        <w:t xml:space="preserve">  </w:t>
      </w:r>
      <w:r>
        <w:rPr>
          <w:rFonts w:hint="eastAsia" w:cs="Times New Roman"/>
          <w:kern w:val="2"/>
          <w:sz w:val="24"/>
          <w:szCs w:val="24"/>
          <w:highlight w:val="none"/>
          <w:lang w:val="en-US" w:eastAsia="zh-CN"/>
        </w:rPr>
        <w:t>粗糙度</w:t>
      </w:r>
      <w:r>
        <w:rPr>
          <w:rFonts w:hint="default" w:ascii="Times New Roman" w:hAnsi="Times New Roman" w:cs="Times New Roman"/>
          <w:kern w:val="2"/>
          <w:sz w:val="24"/>
          <w:szCs w:val="24"/>
          <w:highlight w:val="none"/>
        </w:rPr>
        <w:t xml:space="preserve"> 分布直方图</w:t>
      </w:r>
    </w:p>
    <w:p w14:paraId="7FC455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kern w:val="2"/>
          <w:sz w:val="24"/>
          <w:szCs w:val="24"/>
          <w:highlight w:val="none"/>
        </w:rPr>
      </w:pPr>
      <w:r>
        <w:rPr>
          <w:rFonts w:hint="eastAsia" w:ascii="宋体" w:hAnsi="宋体" w:cs="宋体"/>
          <w:kern w:val="2"/>
          <w:sz w:val="24"/>
          <w:szCs w:val="24"/>
          <w:highlight w:val="none"/>
        </w:rPr>
        <w:t>由图表可知，性能检测</w:t>
      </w:r>
      <w:r>
        <w:rPr>
          <w:rFonts w:hint="eastAsia" w:ascii="宋体" w:hAnsi="宋体" w:cs="宋体"/>
          <w:kern w:val="2"/>
          <w:sz w:val="24"/>
          <w:szCs w:val="24"/>
          <w:highlight w:val="none"/>
          <w:lang w:val="en-US" w:eastAsia="zh-CN"/>
        </w:rPr>
        <w:t>100</w:t>
      </w:r>
      <w:r>
        <w:rPr>
          <w:rFonts w:hint="eastAsia" w:ascii="宋体" w:hAnsi="宋体" w:cs="宋体"/>
          <w:kern w:val="2"/>
          <w:sz w:val="24"/>
          <w:szCs w:val="24"/>
          <w:highlight w:val="none"/>
        </w:rPr>
        <w:t>项，实际</w:t>
      </w:r>
      <w:r>
        <w:rPr>
          <w:rFonts w:hint="eastAsia" w:ascii="宋体" w:hAnsi="宋体" w:cs="宋体"/>
          <w:kern w:val="2"/>
          <w:sz w:val="24"/>
          <w:szCs w:val="24"/>
          <w:highlight w:val="none"/>
          <w:lang w:val="en-US" w:eastAsia="zh-CN"/>
        </w:rPr>
        <w:t>粗糙度</w:t>
      </w:r>
      <w:r>
        <w:rPr>
          <w:rFonts w:hint="eastAsia" w:ascii="宋体" w:hAnsi="宋体" w:cs="宋体"/>
          <w:kern w:val="2"/>
          <w:sz w:val="24"/>
          <w:szCs w:val="24"/>
          <w:highlight w:val="none"/>
        </w:rPr>
        <w:t>全部在</w:t>
      </w:r>
      <w:r>
        <w:rPr>
          <w:rFonts w:hint="eastAsia" w:ascii="宋体" w:hAnsi="宋体" w:cs="宋体"/>
          <w:kern w:val="2"/>
          <w:sz w:val="24"/>
          <w:szCs w:val="24"/>
          <w:highlight w:val="none"/>
          <w:lang w:val="en-US" w:eastAsia="zh-CN"/>
        </w:rPr>
        <w:t>0.1</w:t>
      </w:r>
      <w:r>
        <w:rPr>
          <w:rFonts w:hint="eastAsia" w:ascii="宋体" w:hAnsi="宋体" w:cs="宋体"/>
          <w:kern w:val="2"/>
          <w:sz w:val="24"/>
          <w:szCs w:val="24"/>
          <w:highlight w:val="none"/>
        </w:rPr>
        <w:t>以上。该产品技术指标：该产品技术指标</w:t>
      </w:r>
      <w:r>
        <w:rPr>
          <w:rFonts w:hint="eastAsia" w:ascii="宋体" w:hAnsi="宋体" w:cs="宋体"/>
          <w:kern w:val="2"/>
          <w:sz w:val="24"/>
          <w:szCs w:val="24"/>
          <w:highlight w:val="none"/>
          <w:lang w:val="en-US" w:eastAsia="zh-CN"/>
        </w:rPr>
        <w:t>导电率</w:t>
      </w:r>
      <w:r>
        <w:rPr>
          <w:rFonts w:hint="eastAsia" w:ascii="宋体" w:hAnsi="宋体" w:cs="宋体"/>
          <w:kern w:val="2"/>
          <w:sz w:val="24"/>
          <w:szCs w:val="24"/>
          <w:highlight w:val="none"/>
        </w:rPr>
        <w:t>在</w:t>
      </w:r>
      <w:r>
        <w:rPr>
          <w:rFonts w:hint="eastAsia" w:ascii="宋体" w:hAnsi="宋体" w:cs="宋体"/>
          <w:kern w:val="2"/>
          <w:sz w:val="24"/>
          <w:szCs w:val="24"/>
          <w:highlight w:val="none"/>
          <w:lang w:val="en-US" w:eastAsia="zh-CN"/>
        </w:rPr>
        <w:t>0.10</w:t>
      </w:r>
      <w:r>
        <w:rPr>
          <w:rFonts w:hint="eastAsia" w:ascii="宋体" w:hAnsi="宋体" w:cs="宋体"/>
          <w:kern w:val="2"/>
          <w:sz w:val="24"/>
          <w:szCs w:val="24"/>
          <w:highlight w:val="none"/>
        </w:rPr>
        <w:t>-</w:t>
      </w:r>
      <w:r>
        <w:rPr>
          <w:rFonts w:hint="eastAsia" w:ascii="宋体" w:hAnsi="宋体" w:cs="宋体"/>
          <w:kern w:val="2"/>
          <w:sz w:val="24"/>
          <w:szCs w:val="24"/>
          <w:highlight w:val="none"/>
          <w:lang w:val="en-US" w:eastAsia="zh-CN"/>
        </w:rPr>
        <w:t>0.30</w:t>
      </w:r>
      <w:r>
        <w:rPr>
          <w:rFonts w:hint="eastAsia" w:ascii="宋体" w:hAnsi="宋体" w:cs="宋体"/>
          <w:kern w:val="2"/>
          <w:sz w:val="24"/>
          <w:szCs w:val="24"/>
          <w:highlight w:val="none"/>
        </w:rPr>
        <w:t>,指标在此范围内的达到</w:t>
      </w:r>
      <w:r>
        <w:rPr>
          <w:rFonts w:hint="eastAsia" w:ascii="宋体" w:hAnsi="宋体" w:cs="宋体"/>
          <w:kern w:val="2"/>
          <w:sz w:val="24"/>
          <w:szCs w:val="24"/>
          <w:highlight w:val="none"/>
          <w:lang w:val="en-US" w:eastAsia="zh-CN"/>
        </w:rPr>
        <w:t>100</w:t>
      </w:r>
      <w:r>
        <w:rPr>
          <w:rFonts w:hint="eastAsia" w:ascii="宋体" w:hAnsi="宋体" w:cs="宋体"/>
          <w:kern w:val="2"/>
          <w:sz w:val="24"/>
          <w:szCs w:val="24"/>
          <w:highlight w:val="none"/>
        </w:rPr>
        <w:t>%，产品工艺成熟，指标制定合理。</w:t>
      </w:r>
    </w:p>
    <w:p w14:paraId="5D27D7DE">
      <w:pPr>
        <w:spacing w:before="120" w:beforeLines="50" w:after="120" w:afterLines="50" w:line="360" w:lineRule="auto"/>
        <w:rPr>
          <w:rFonts w:ascii="黑体" w:hAnsi="宋体" w:eastAsia="黑体" w:cs="宋体"/>
          <w:bCs/>
          <w:szCs w:val="24"/>
        </w:rPr>
      </w:pPr>
      <w:r>
        <w:rPr>
          <w:rFonts w:hint="eastAsia" w:ascii="黑体" w:hAnsi="宋体" w:eastAsia="黑体" w:cs="宋体"/>
          <w:bCs/>
          <w:szCs w:val="24"/>
        </w:rPr>
        <w:t>四、标准中涉及专利的情况</w:t>
      </w:r>
    </w:p>
    <w:p w14:paraId="3A4AB1EB">
      <w:pPr>
        <w:spacing w:line="360" w:lineRule="auto"/>
        <w:ind w:firstLine="590" w:firstLineChars="246"/>
        <w:rPr>
          <w:szCs w:val="24"/>
        </w:rPr>
      </w:pPr>
      <w:r>
        <w:rPr>
          <w:rFonts w:hint="eastAsia" w:hAnsi="宋体" w:eastAsiaTheme="minorEastAsia" w:cstheme="minorBidi"/>
          <w:kern w:val="2"/>
          <w:szCs w:val="24"/>
        </w:rPr>
        <w:t>本标准不涉及专利问题。</w:t>
      </w:r>
    </w:p>
    <w:p w14:paraId="73942CE1">
      <w:pPr>
        <w:numPr>
          <w:ilvl w:val="0"/>
          <w:numId w:val="4"/>
        </w:numPr>
        <w:adjustRightInd/>
        <w:spacing w:before="120" w:beforeLines="50" w:after="120" w:afterLines="50" w:line="360" w:lineRule="auto"/>
        <w:jc w:val="both"/>
        <w:textAlignment w:val="auto"/>
        <w:rPr>
          <w:rFonts w:ascii="黑体" w:hAnsi="宋体" w:eastAsia="黑体" w:cs="宋体"/>
          <w:bCs/>
          <w:szCs w:val="24"/>
        </w:rPr>
      </w:pPr>
      <w:r>
        <w:rPr>
          <w:rFonts w:hint="eastAsia" w:ascii="黑体" w:hAnsi="宋体" w:eastAsia="黑体" w:cs="宋体"/>
          <w:bCs/>
          <w:szCs w:val="24"/>
        </w:rPr>
        <w:t>预期达到的社会效益等情况</w:t>
      </w:r>
    </w:p>
    <w:p w14:paraId="7EFFB50F">
      <w:pPr>
        <w:pStyle w:val="9"/>
        <w:numPr>
          <w:ilvl w:val="0"/>
          <w:numId w:val="5"/>
        </w:numPr>
        <w:adjustRightInd/>
        <w:spacing w:line="360" w:lineRule="auto"/>
        <w:jc w:val="both"/>
        <w:textAlignment w:val="auto"/>
        <w:rPr>
          <w:rFonts w:ascii="黑体" w:hAnsi="宋体" w:eastAsia="黑体" w:cs="宋体"/>
          <w:bCs/>
          <w:szCs w:val="24"/>
        </w:rPr>
      </w:pPr>
      <w:r>
        <w:rPr>
          <w:rFonts w:hint="eastAsia" w:ascii="黑体" w:hAnsi="宋体" w:eastAsia="黑体" w:cs="宋体"/>
          <w:bCs/>
          <w:szCs w:val="24"/>
        </w:rPr>
        <w:t>项目的必要性阐述</w:t>
      </w:r>
    </w:p>
    <w:p w14:paraId="0175073B">
      <w:pPr>
        <w:spacing w:line="360" w:lineRule="auto"/>
        <w:ind w:firstLine="480" w:firstLineChars="200"/>
        <w:rPr>
          <w:szCs w:val="24"/>
        </w:rPr>
      </w:pPr>
      <w:r>
        <w:rPr>
          <w:rFonts w:hint="eastAsia"/>
          <w:szCs w:val="24"/>
        </w:rPr>
        <w:t>1.国内外现状和发展趋势分析</w:t>
      </w:r>
    </w:p>
    <w:p w14:paraId="55E1CAB7">
      <w:pPr>
        <w:spacing w:line="360" w:lineRule="auto"/>
        <w:ind w:firstLine="480" w:firstLineChars="200"/>
        <w:rPr>
          <w:szCs w:val="24"/>
        </w:rPr>
      </w:pPr>
      <w:r>
        <w:rPr>
          <w:rFonts w:hint="eastAsia"/>
          <w:szCs w:val="24"/>
        </w:rPr>
        <w:t>中国作为铜铝覆合铜带最大的消费和生产国，市场规模不断扩大，预计2024年我国铜铝覆合板带产量达到35万吨左右。但我国对铜铝覆合材料研发开展较晚，加之国外对此进行技术封锁，导致高性能铜铝覆合材料一直依赖进口且价格昂贵，应用仅限于国防等关键领域，本标准的修订有助于铜产品转型升级，并促进新产品、新技术发展，提高国防安全、社会运行等领域关键材料的自主保供能力。同时提高产品质量的可靠性、稳定性、一致性水平，增加高性能、功能化、差别化产品的有效供给，带动原材料工业质量品牌整体提升，为制造业高质量发展提供保障。</w:t>
      </w:r>
    </w:p>
    <w:p w14:paraId="16A62FC9">
      <w:pPr>
        <w:autoSpaceDE w:val="0"/>
        <w:spacing w:line="360" w:lineRule="auto"/>
        <w:ind w:firstLine="435"/>
      </w:pPr>
      <w:r>
        <w:rPr>
          <w:rFonts w:hint="eastAsia" w:ascii="宋体" w:hAnsi="宋体"/>
        </w:rPr>
        <w:t>为了进一步促进新材料的发现、发明和应用，推广技术革命和产业变革。加快发展新材料，推动技术创新，支撑产业升级，对建设制造强国具有重要战略意义。为引导“十三五”期间新材料产业健康有序发展，根据“十三五”规划纲要和《中国制造2025》有关部署，经国务院同意，工信部制定了《新材料产业发展指南》。其中重点提出了布局一批新型复合材料，建立一些新材料重点示范工程，开发关键工艺与专用装备配套工程，完善其标准体系。其中根据《新材料产业发展指南》，建立的《重点新材料首批次应用示范指导目录》中，铜铝复合材料赫然在列，同时，铜铝复合材料项目属于《国家重点支持的高新技术领域》四、新材料- (一)金属材料-5.金属及金属基复合新材料，发展前景广阔给铜铝复合板带进一步快速发展带来了新的机遇。同时国家也在这方面加大了投入力度，首先，在“十一五”规划中，国家发改委在“产业结构调整指导目录”中就把“有色金属复合材料技术开发和应用”列入了优先支持的范围。在《“十一五”资源综合利用指导意见》中明确指出针对铜、镍、铬、锌等国家紧缺矿产，应积极研究开发独具特色的选冶工艺技术，减少改变对紧缺资源的依赖程度”。国家科技部在《2008年度科技型中小企业创新基金若干重点项目指南》中列出“本年度重点项目优先支持可替代纯铜和铜合金的铜铝复合材料导电、导热部件和装置的新技术和相关应用产品”，而且列入了“863”计划新材料技术领域2008年度专项课题“高性能铜包铝复合导体材料短流程高效制备加工”。</w:t>
      </w:r>
    </w:p>
    <w:p w14:paraId="3395A8AC">
      <w:pPr>
        <w:spacing w:line="360" w:lineRule="auto"/>
        <w:ind w:firstLine="480" w:firstLineChars="200"/>
        <w:rPr>
          <w:rFonts w:ascii="宋体" w:hAnsi="宋体" w:cs="宋体"/>
          <w:szCs w:val="24"/>
        </w:rPr>
      </w:pPr>
      <w:r>
        <w:rPr>
          <w:rFonts w:hint="eastAsia"/>
          <w:szCs w:val="24"/>
        </w:rPr>
        <w:t>随着全球经济的快速发展，各行业技术的飞速发展，对材料性能的要求日益严苛，铜铝覆合板带的需求呈上升趋势。一方面，铜铝覆合材料在汽车制造中的应用越来越广泛。由于汽车轻量化的发展趋势，铜铝覆合材料被广泛应用于汽车制造中，以减轻车身重量，提高燃油经济性，减少二氧化碳排放。另一方面，铜铝覆合材料在建筑领域的应用也越来越广泛。由于其高强度、高导热性和耐腐蚀性等优点，铜铝覆合材料被广泛应用于建筑领域中，可以起到保温、隔音、防火等作用。铜钢覆合材料代替传统的铜及铜合金制造铠装电缆，不但保证了导电性和耐蚀性，而且提高了强度，减少了厚度。由铜包钢线制成的绳索已成功应用于铁路电气化方面，在替代至今使用的铜镁、铜镉合金上取得良好效果。用铜包钢线做内导体的同轴电缆具有良好的支撑性和接线性能，在大跨距布线的场合更有独特的优势。</w:t>
      </w:r>
      <w:r>
        <w:rPr>
          <w:rFonts w:hint="eastAsia" w:ascii="宋体" w:hAnsi="宋体" w:cs="宋体"/>
          <w:szCs w:val="24"/>
        </w:rPr>
        <w:t>覆合用铜带作为其中一种关键的基础材料，在众多领域发挥着不可替代的作用。在电子领域，如5G通信基站建设、高性能芯片制造等，覆合用铜带凭借其优良的导电性、导热性以及与其他材料良好的复合特性，成为制造高精度电路板、电子元器件散热结构的理想选择，有力支撑着电子产品不断向小型化、高性能化发展。在电力传输方面，用于制造变压器、电缆等设备，能有效降低电阻损耗，提升输电效率，满足日益增长的电力需求。</w:t>
      </w:r>
    </w:p>
    <w:p w14:paraId="40AAE9FA">
      <w:pPr>
        <w:spacing w:line="360" w:lineRule="auto"/>
        <w:ind w:firstLine="480" w:firstLineChars="200"/>
        <w:rPr>
          <w:rFonts w:ascii="宋体" w:hAnsi="宋体" w:cs="宋体"/>
          <w:szCs w:val="24"/>
        </w:rPr>
      </w:pPr>
      <w:r>
        <w:rPr>
          <w:rFonts w:hint="eastAsia" w:ascii="宋体" w:hAnsi="宋体" w:cs="宋体"/>
          <w:szCs w:val="24"/>
        </w:rPr>
        <w:t>此外，新能源汽车产业的兴起，也为覆合用铜带带来了新的机遇，其在电池模组连接、电机制造等环节不可或缺，有助于提高新能源汽车的续航里程与安全性。然而，目前市场上覆合用铜带产品质量参差不齐，缺乏统一规范的标准来约束生产，导致产品性能不稳定，影响了下游产业的健康发展。制定覆合用铜带相关标准或规范，能有效改善这一局面，确保产品质量，促进产业升级。</w:t>
      </w:r>
    </w:p>
    <w:p w14:paraId="0F63BE5E">
      <w:pPr>
        <w:pStyle w:val="9"/>
        <w:numPr>
          <w:ilvl w:val="0"/>
          <w:numId w:val="5"/>
        </w:numPr>
        <w:adjustRightInd/>
        <w:spacing w:after="0" w:line="360" w:lineRule="auto"/>
        <w:jc w:val="both"/>
        <w:textAlignment w:val="auto"/>
        <w:rPr>
          <w:rFonts w:ascii="黑体" w:hAnsi="宋体" w:eastAsia="黑体" w:cs="宋体"/>
          <w:bCs/>
          <w:szCs w:val="24"/>
        </w:rPr>
      </w:pPr>
      <w:r>
        <w:rPr>
          <w:rFonts w:hint="eastAsia" w:ascii="黑体" w:hAnsi="宋体" w:eastAsia="黑体" w:cs="宋体"/>
          <w:bCs/>
          <w:szCs w:val="24"/>
        </w:rPr>
        <w:t>项目的可行性阐述</w:t>
      </w:r>
    </w:p>
    <w:p w14:paraId="0ED81143">
      <w:pPr>
        <w:pStyle w:val="9"/>
        <w:spacing w:after="0" w:line="360" w:lineRule="auto"/>
        <w:ind w:firstLine="480" w:firstLineChars="200"/>
        <w:rPr>
          <w:rFonts w:ascii="宋体" w:hAnsi="宋体" w:eastAsiaTheme="minorEastAsia" w:cstheme="minorBidi"/>
          <w:kern w:val="2"/>
          <w:szCs w:val="24"/>
        </w:rPr>
      </w:pPr>
      <w:r>
        <w:rPr>
          <w:rFonts w:hint="eastAsia" w:ascii="宋体" w:hAnsi="宋体" w:eastAsiaTheme="minorEastAsia" w:cstheme="minorBidi"/>
          <w:kern w:val="2"/>
          <w:szCs w:val="24"/>
        </w:rPr>
        <w:t>中铝洛阳铜加工有限公司（以下简称洛阳铜加工）是我国“一五”期间156项重点工程之一，为国家高新技术企业，河南省创新龙头企业。主要产品有铜及铜合金板、带、箔、管、棒、型材等，广泛应用于航空、航天、海洋工程、电子信息、新能源、轨道交通、汽车、电气、机械、冶金等新兴领域和传统行业，为国家重大战略工程提供了关键材料保障。</w:t>
      </w:r>
    </w:p>
    <w:p w14:paraId="66B8769D">
      <w:pPr>
        <w:pStyle w:val="9"/>
        <w:spacing w:after="0" w:line="360" w:lineRule="auto"/>
        <w:ind w:firstLine="480" w:firstLineChars="200"/>
        <w:rPr>
          <w:rFonts w:ascii="宋体" w:hAnsi="宋体" w:eastAsiaTheme="minorEastAsia" w:cstheme="minorBidi"/>
          <w:kern w:val="2"/>
          <w:szCs w:val="24"/>
        </w:rPr>
      </w:pPr>
      <w:r>
        <w:rPr>
          <w:rFonts w:hint="eastAsia" w:ascii="宋体" w:hAnsi="宋体" w:eastAsiaTheme="minorEastAsia" w:cstheme="minorBidi"/>
          <w:kern w:val="2"/>
          <w:szCs w:val="24"/>
        </w:rPr>
        <w:t>近七十年来，洛阳铜加工作为铜加工行业最具影响力的企业，始终致力于高性能铜合金的研制及生产,拥有国家级企业技术中心、国家重点领域创新团队、国家实验室认证认可监督管理委员会认可的实验室、中国有色金属工业重金属加工材质检站、河南省铜镁合金加工工程技术研究中心、有色行业铜及铜合金材料与加工工程技术研究中心等多个国家和省部级平台。洛阳铜加工承担863计划、国家重大专项、配套科研项目等国家重大科研及固定资产投资项目64项；获省部级以上科技成果奖励125项。</w:t>
      </w:r>
    </w:p>
    <w:p w14:paraId="339F5693">
      <w:pPr>
        <w:pStyle w:val="9"/>
        <w:spacing w:after="0" w:line="360" w:lineRule="auto"/>
        <w:ind w:firstLine="480" w:firstLineChars="200"/>
        <w:rPr>
          <w:rFonts w:ascii="宋体" w:hAnsi="宋体" w:eastAsiaTheme="minorEastAsia" w:cstheme="minorBidi"/>
          <w:kern w:val="2"/>
          <w:szCs w:val="24"/>
        </w:rPr>
      </w:pPr>
      <w:r>
        <w:rPr>
          <w:rFonts w:hint="eastAsia" w:ascii="宋体" w:hAnsi="宋体" w:eastAsiaTheme="minorEastAsia" w:cstheme="minorBidi"/>
          <w:kern w:val="2"/>
          <w:szCs w:val="24"/>
        </w:rPr>
        <w:t>洛阳铜加工围绕国家战略需求，面向国家重大工程，面向高质量发展，聚焦行业发展方向，瞄准新一代电子信息技术、新能源、国防JG等新兴产业及重点领域，积极开展高性能铜及铜合金材料、国防重点领域“卡脖子”关键材料研究，持续提升创新能力，突破了系列核心制备技术，实现了进口替代，相关产品及技术已在国家重点型号及战略新兴领域应用，满足了国家关键材料需求，行业影响力持续提升。</w:t>
      </w:r>
    </w:p>
    <w:p w14:paraId="2A44C6E9">
      <w:pPr>
        <w:pStyle w:val="9"/>
        <w:spacing w:after="0" w:line="360" w:lineRule="auto"/>
        <w:ind w:firstLine="480" w:firstLineChars="200"/>
        <w:rPr>
          <w:rFonts w:ascii="宋体" w:hAnsi="宋体" w:eastAsiaTheme="minorEastAsia" w:cstheme="minorBidi"/>
          <w:kern w:val="2"/>
          <w:szCs w:val="24"/>
        </w:rPr>
      </w:pPr>
      <w:r>
        <w:rPr>
          <w:rFonts w:hint="eastAsia" w:ascii="宋体" w:hAnsi="宋体" w:eastAsiaTheme="minorEastAsia" w:cstheme="minorBidi"/>
          <w:kern w:val="2"/>
          <w:szCs w:val="24"/>
        </w:rPr>
        <w:t>洛阳铜加工通过系列关键技术突破，产业化生产的覆合用铜及铜合金带材，工艺成熟，产品质量稳定、性能满足国、内外用户的使用要求，技术在全国同行业中处于领先地位。近三年累计生产1.1万余吨，产品应用于铜铝、铜钢产品覆合，实现了进口替代。从技术层面来看，洛阳铜加工经过多年发展，已积累了丰富的技术经验与成熟的生产工艺，在铜带的熔炼、轧制、表面处理等关键技术环节取得了显著突破，具备生产高质量覆合用铜带的技术能力。在设备方面，洛阳铜加工具有国际先进的铜带生产设备，同时设备也在不断更新换代，为大规模、高质量生产覆合用铜带提供了硬件保障。从经济角度分析，国内拥有丰富的铜资源储备，且铜带生产产业链完整，原材料供应稳定，生产成本可控。</w:t>
      </w:r>
    </w:p>
    <w:p w14:paraId="261BEFAC">
      <w:pPr>
        <w:pStyle w:val="9"/>
        <w:spacing w:after="0" w:line="360" w:lineRule="auto"/>
        <w:ind w:firstLine="480" w:firstLineChars="200"/>
        <w:rPr>
          <w:rFonts w:ascii="宋体" w:hAnsi="宋体" w:eastAsiaTheme="minorEastAsia" w:cstheme="minorBidi"/>
          <w:kern w:val="2"/>
          <w:szCs w:val="24"/>
        </w:rPr>
      </w:pPr>
      <w:r>
        <w:rPr>
          <w:rFonts w:hint="eastAsia" w:ascii="宋体" w:hAnsi="宋体" w:eastAsiaTheme="minorEastAsia" w:cstheme="minorBidi"/>
          <w:kern w:val="2"/>
          <w:szCs w:val="24"/>
        </w:rPr>
        <w:t>我国是全球铜加工生产第一大国，作为主要的覆合用铜及铜合金带材尚无专用的技术标准，生产企业对材料的选择很难有针对性。修订现有覆合用铜带国家标准，让其适用于所有覆合用铜带材，是非常有必要的。标准的制定，有助于提高与国际同行企业的产品竞争力，缩短差距，促进国内相关产业向标准化、规范化迈进。随着中国出口量越来越大，及早修订标准对覆合用带材的出口推广将取得重要作用。</w:t>
      </w:r>
    </w:p>
    <w:p w14:paraId="6DD1DFAD">
      <w:pPr>
        <w:pStyle w:val="9"/>
        <w:numPr>
          <w:ilvl w:val="0"/>
          <w:numId w:val="5"/>
        </w:numPr>
        <w:adjustRightInd/>
        <w:spacing w:line="360" w:lineRule="auto"/>
        <w:jc w:val="both"/>
        <w:textAlignment w:val="auto"/>
        <w:rPr>
          <w:rFonts w:ascii="黑体" w:hAnsi="宋体" w:eastAsia="黑体" w:cs="宋体"/>
          <w:bCs/>
          <w:szCs w:val="24"/>
        </w:rPr>
      </w:pPr>
      <w:r>
        <w:rPr>
          <w:rFonts w:hint="eastAsia" w:ascii="黑体" w:hAnsi="宋体" w:eastAsia="黑体" w:cs="宋体"/>
          <w:bCs/>
          <w:szCs w:val="24"/>
        </w:rPr>
        <w:t>标准的先进性、创新性、标准实施后预期产生的经济效益和社会效益</w:t>
      </w:r>
    </w:p>
    <w:p w14:paraId="32BB5760">
      <w:pPr>
        <w:pStyle w:val="9"/>
        <w:spacing w:after="0" w:line="360" w:lineRule="auto"/>
        <w:ind w:firstLine="480" w:firstLineChars="200"/>
        <w:rPr>
          <w:rFonts w:ascii="宋体" w:hAnsi="宋体" w:eastAsiaTheme="minorEastAsia" w:cstheme="minorBidi"/>
          <w:kern w:val="2"/>
          <w:szCs w:val="24"/>
        </w:rPr>
      </w:pPr>
      <w:r>
        <w:rPr>
          <w:rFonts w:ascii="宋体" w:hAnsi="宋体" w:eastAsiaTheme="minorEastAsia" w:cstheme="minorBidi"/>
          <w:kern w:val="2"/>
          <w:szCs w:val="24"/>
        </w:rPr>
        <w:t>随着电</w:t>
      </w:r>
      <w:r>
        <w:rPr>
          <w:rFonts w:hint="eastAsia" w:ascii="宋体" w:hAnsi="宋体" w:eastAsiaTheme="minorEastAsia" w:cstheme="minorBidi"/>
          <w:kern w:val="2"/>
          <w:szCs w:val="24"/>
        </w:rPr>
        <w:t>力、能源、交通、通信及工程建筑等</w:t>
      </w:r>
      <w:r>
        <w:rPr>
          <w:rFonts w:ascii="宋体" w:hAnsi="宋体" w:eastAsiaTheme="minorEastAsia" w:cstheme="minorBidi"/>
          <w:kern w:val="2"/>
          <w:szCs w:val="24"/>
        </w:rPr>
        <w:t>行业的</w:t>
      </w:r>
      <w:r>
        <w:rPr>
          <w:rFonts w:hint="eastAsia" w:ascii="宋体" w:hAnsi="宋体" w:eastAsiaTheme="minorEastAsia" w:cstheme="minorBidi"/>
          <w:kern w:val="2"/>
          <w:szCs w:val="24"/>
        </w:rPr>
        <w:t>快速</w:t>
      </w:r>
      <w:r>
        <w:rPr>
          <w:rFonts w:ascii="宋体" w:hAnsi="宋体" w:eastAsiaTheme="minorEastAsia" w:cstheme="minorBidi"/>
          <w:kern w:val="2"/>
          <w:szCs w:val="24"/>
        </w:rPr>
        <w:t>发展，</w:t>
      </w:r>
      <w:r>
        <w:rPr>
          <w:rFonts w:hint="eastAsia" w:ascii="宋体" w:hAnsi="宋体" w:cs="宋体"/>
          <w:szCs w:val="24"/>
        </w:rPr>
        <w:t>覆合用铜及铜合金带材的使用被越来越多的企业和用户广泛关注，</w:t>
      </w:r>
      <w:r>
        <w:rPr>
          <w:rFonts w:hint="eastAsia" w:ascii="宋体" w:hAnsi="宋体" w:eastAsiaTheme="minorEastAsia" w:cstheme="minorBidi"/>
          <w:kern w:val="2"/>
          <w:szCs w:val="24"/>
        </w:rPr>
        <w:t>覆合材料</w:t>
      </w:r>
      <w:r>
        <w:rPr>
          <w:rFonts w:ascii="宋体" w:hAnsi="宋体" w:eastAsiaTheme="minorEastAsia" w:cstheme="minorBidi"/>
          <w:kern w:val="2"/>
          <w:szCs w:val="24"/>
        </w:rPr>
        <w:t>的需求量越来越大</w:t>
      </w:r>
      <w:r>
        <w:rPr>
          <w:rFonts w:hint="eastAsia" w:ascii="宋体" w:hAnsi="宋体" w:eastAsiaTheme="minorEastAsia" w:cstheme="minorBidi"/>
          <w:kern w:val="2"/>
          <w:szCs w:val="24"/>
        </w:rPr>
        <w:t>，覆合用铜及铜合金带材作为制造覆合带的重要材料，其市场需求量日益增大。本标准涉及的</w:t>
      </w:r>
      <w:r>
        <w:rPr>
          <w:rFonts w:hint="eastAsia" w:ascii="宋体" w:hAnsi="宋体" w:eastAsiaTheme="minorEastAsia" w:cstheme="minorBidi"/>
          <w:bCs/>
          <w:kern w:val="2"/>
          <w:szCs w:val="24"/>
        </w:rPr>
        <w:t>覆合用铜及铜合金带材</w:t>
      </w:r>
      <w:r>
        <w:rPr>
          <w:rFonts w:hint="eastAsia" w:ascii="宋体" w:hAnsi="宋体" w:eastAsiaTheme="minorEastAsia" w:cstheme="minorBidi"/>
          <w:kern w:val="2"/>
          <w:szCs w:val="24"/>
        </w:rPr>
        <w:t>具有很高的技术先进性，市场需求较大，且产品的稳定性高，具有普遍性、广泛性、适用性、科学性，现已形成稳定的批量供货和产业化生产能力，通过本标准的修订，有助于铜板带产品转型升级，促进覆合用铜及铜合金带材的质量提升，为制造业高质量发展提供保障。同时，对于规范覆合用带材市场，推动覆合用铜及铜合金带材的应用，提高产品在国内外市场上的竞争力，有着重要的意义。</w:t>
      </w:r>
    </w:p>
    <w:p w14:paraId="017901DE">
      <w:pPr>
        <w:pStyle w:val="9"/>
        <w:spacing w:after="0" w:line="360" w:lineRule="auto"/>
        <w:ind w:firstLine="480" w:firstLineChars="200"/>
        <w:rPr>
          <w:rFonts w:ascii="宋体" w:hAnsi="宋体" w:cs="宋体"/>
          <w:szCs w:val="24"/>
        </w:rPr>
      </w:pPr>
      <w:r>
        <w:rPr>
          <w:rFonts w:hint="eastAsia" w:ascii="宋体" w:hAnsi="宋体" w:cs="宋体"/>
          <w:szCs w:val="24"/>
        </w:rPr>
        <w:t>目前，我国铜加工处于新常态，也进入转型升级的关键时期，大力发展新型铜合金材料，对于我国有色金属工业改变传统模式、摆脱过剩产能，扩大有色金属应用将起到至关重要的作用。本标准发布后，将更好的规范我国覆合用铜及铜合金带材产品的性能和技术要求，提高产品在国内、外市场上的竞争力，打破国外技术封锁，实现进口替代，给生产企业带来更大的经济效益，保障新兴领域关键材料安全，规范我国覆合用铜及铜合金带材生产和引导市场。</w:t>
      </w:r>
    </w:p>
    <w:p w14:paraId="6A8561E8">
      <w:pPr>
        <w:pStyle w:val="10"/>
        <w:spacing w:line="360" w:lineRule="auto"/>
        <w:ind w:firstLine="480"/>
        <w:jc w:val="left"/>
        <w:rPr>
          <w:rFonts w:ascii="宋体" w:hAnsi="宋体" w:eastAsia="宋体" w:cs="宋体"/>
          <w:sz w:val="24"/>
          <w:szCs w:val="24"/>
        </w:rPr>
      </w:pPr>
      <w:r>
        <w:rPr>
          <w:rFonts w:hint="eastAsia" w:ascii="宋体" w:hAnsi="宋体" w:eastAsia="宋体" w:cs="宋体"/>
          <w:sz w:val="24"/>
          <w:szCs w:val="24"/>
        </w:rPr>
        <w:t>该标准的实施在未来几年内将满足覆合用铜及铜合金市场发展的需求。</w:t>
      </w:r>
    </w:p>
    <w:p w14:paraId="0B6DEDB9">
      <w:pPr>
        <w:numPr>
          <w:ilvl w:val="0"/>
          <w:numId w:val="4"/>
        </w:numPr>
        <w:adjustRightInd/>
        <w:spacing w:before="120" w:beforeLines="50" w:after="120" w:afterLines="50" w:line="360" w:lineRule="auto"/>
        <w:jc w:val="both"/>
        <w:textAlignment w:val="auto"/>
        <w:rPr>
          <w:rFonts w:ascii="黑体" w:hAnsi="宋体" w:eastAsia="黑体" w:cs="宋体"/>
          <w:bCs/>
          <w:szCs w:val="24"/>
        </w:rPr>
      </w:pPr>
      <w:r>
        <w:rPr>
          <w:rFonts w:hint="eastAsia" w:ascii="黑体" w:hAnsi="宋体" w:eastAsia="黑体" w:cs="宋体"/>
          <w:bCs/>
          <w:szCs w:val="24"/>
        </w:rPr>
        <w:t>采用国际标准和国外先进标准的情况</w:t>
      </w:r>
    </w:p>
    <w:p w14:paraId="60723CF3">
      <w:pPr>
        <w:pStyle w:val="9"/>
        <w:spacing w:after="0" w:line="360" w:lineRule="auto"/>
        <w:rPr>
          <w:rFonts w:ascii="宋体" w:hAnsi="宋体" w:eastAsiaTheme="minorEastAsia" w:cstheme="minorBidi"/>
          <w:kern w:val="2"/>
          <w:szCs w:val="24"/>
        </w:rPr>
      </w:pPr>
      <w:r>
        <w:rPr>
          <w:rFonts w:ascii="黑体" w:hAnsi="黑体" w:eastAsia="黑体"/>
          <w:szCs w:val="24"/>
        </w:rPr>
        <w:t>1</w:t>
      </w:r>
      <w:r>
        <w:rPr>
          <w:rFonts w:hint="eastAsia"/>
          <w:szCs w:val="24"/>
        </w:rPr>
        <w:t xml:space="preserve">  </w:t>
      </w:r>
      <w:r>
        <w:rPr>
          <w:rFonts w:hint="eastAsia" w:ascii="宋体" w:hAnsi="宋体" w:eastAsiaTheme="minorEastAsia" w:cstheme="minorBidi"/>
          <w:kern w:val="2"/>
          <w:szCs w:val="24"/>
        </w:rPr>
        <w:t>本标准未采用国际或国外先进标准。</w:t>
      </w:r>
    </w:p>
    <w:p w14:paraId="7E4159E9">
      <w:pPr>
        <w:pStyle w:val="9"/>
        <w:numPr>
          <w:ilvl w:val="0"/>
          <w:numId w:val="6"/>
        </w:numPr>
        <w:spacing w:after="0" w:line="360" w:lineRule="auto"/>
        <w:rPr>
          <w:rFonts w:ascii="宋体" w:hAnsi="宋体" w:eastAsiaTheme="minorEastAsia" w:cstheme="minorBidi"/>
          <w:kern w:val="2"/>
          <w:szCs w:val="24"/>
        </w:rPr>
      </w:pPr>
      <w:r>
        <w:rPr>
          <w:rFonts w:hint="eastAsia" w:ascii="宋体" w:hAnsi="宋体" w:eastAsiaTheme="minorEastAsia" w:cstheme="minorBidi"/>
          <w:kern w:val="2"/>
          <w:szCs w:val="24"/>
        </w:rPr>
        <w:t>国内外标准对比</w:t>
      </w:r>
    </w:p>
    <w:p w14:paraId="197D3A36">
      <w:pPr>
        <w:pStyle w:val="9"/>
        <w:numPr>
          <w:ilvl w:val="1"/>
          <w:numId w:val="6"/>
        </w:numPr>
        <w:spacing w:after="0" w:line="360" w:lineRule="auto"/>
        <w:rPr>
          <w:rFonts w:ascii="宋体" w:hAnsi="宋体" w:eastAsiaTheme="minorEastAsia" w:cstheme="minorBidi"/>
          <w:kern w:val="2"/>
          <w:szCs w:val="24"/>
        </w:rPr>
      </w:pPr>
      <w:r>
        <w:rPr>
          <w:rFonts w:hint="eastAsia" w:ascii="宋体" w:hAnsi="宋体" w:eastAsiaTheme="minorEastAsia" w:cstheme="minorBidi"/>
          <w:kern w:val="2"/>
          <w:szCs w:val="24"/>
        </w:rPr>
        <w:t>国内标准对比情况</w:t>
      </w:r>
    </w:p>
    <w:p w14:paraId="08EA2842">
      <w:pPr>
        <w:pStyle w:val="9"/>
        <w:spacing w:after="0" w:line="360" w:lineRule="auto"/>
        <w:ind w:firstLine="480" w:firstLineChars="200"/>
        <w:rPr>
          <w:rFonts w:ascii="宋体" w:hAnsi="宋体" w:eastAsiaTheme="minorEastAsia" w:cstheme="minorBidi"/>
          <w:kern w:val="2"/>
          <w:szCs w:val="24"/>
        </w:rPr>
      </w:pPr>
      <w:r>
        <w:rPr>
          <w:rFonts w:hint="eastAsia" w:ascii="宋体" w:hAnsi="宋体" w:eastAsiaTheme="minorEastAsia" w:cstheme="minorBidi"/>
          <w:kern w:val="2"/>
          <w:szCs w:val="24"/>
        </w:rPr>
        <w:t>国标GB/T 26330-2023《银、银合金/铜、铜合金复合带材》，适用于复层为银及银合金、金及金合金，基层为铜及铜合金的二层、三层或多层复合带材的制造和检验；GB/T 36162-2018《铜钢复合薄板和带》适用于一般工业用途的铜钢复合薄板和带，属于覆合材料；GB/T 32468-2025《铜铝复合板带箔》适用于电力、通信、电子、建筑、导热等行业用的铜铝复合板带箔。以上标准均为覆合材料，未明确规定覆合用铜带相关技术要求。GB/T 33367-2016《铠装电缆用铜包铝合金带材》，适用于电缆铠装用铜包铝合金带材，是铝合金带材，与本标准金属不一致。</w:t>
      </w:r>
    </w:p>
    <w:p w14:paraId="39E23FEF">
      <w:pPr>
        <w:pStyle w:val="9"/>
        <w:numPr>
          <w:ilvl w:val="1"/>
          <w:numId w:val="6"/>
        </w:numPr>
        <w:spacing w:after="0" w:line="360" w:lineRule="auto"/>
        <w:rPr>
          <w:rFonts w:ascii="宋体" w:hAnsi="宋体" w:eastAsiaTheme="minorEastAsia" w:cstheme="minorBidi"/>
          <w:kern w:val="2"/>
          <w:szCs w:val="24"/>
        </w:rPr>
      </w:pPr>
      <w:r>
        <w:rPr>
          <w:rFonts w:hint="eastAsia" w:ascii="宋体" w:hAnsi="宋体" w:eastAsiaTheme="minorEastAsia" w:cstheme="minorBidi"/>
          <w:kern w:val="2"/>
          <w:szCs w:val="24"/>
        </w:rPr>
        <w:t>国外标准对比情况</w:t>
      </w:r>
    </w:p>
    <w:p w14:paraId="42E12D19">
      <w:pPr>
        <w:pStyle w:val="9"/>
        <w:spacing w:after="0" w:line="360" w:lineRule="auto"/>
        <w:ind w:firstLine="480" w:firstLineChars="200"/>
        <w:rPr>
          <w:rFonts w:ascii="宋体" w:hAnsi="宋体"/>
          <w:szCs w:val="24"/>
        </w:rPr>
      </w:pPr>
      <w:r>
        <w:rPr>
          <w:rFonts w:hint="eastAsia" w:ascii="宋体" w:hAnsi="宋体" w:eastAsiaTheme="minorEastAsia" w:cstheme="minorBidi"/>
          <w:kern w:val="2"/>
          <w:szCs w:val="24"/>
        </w:rPr>
        <w:t>ASTM B432-2009《铜及铜合金包覆钢厚板》主要用于压力容器，属于覆合材料；ASTM B506《建筑结构用铜包覆不锈钢薄板和带材》适用于屋顶、壁板、遮雨板、排水管、窗户、门、幕墙构件和其他建筑用薄板金属产品和建筑结构制造产品，属于覆合材料。以上标准均为覆合材料，其中未明确规定覆合用铜带相关技术要求。</w:t>
      </w:r>
      <w:r>
        <w:rPr>
          <w:rFonts w:hint="eastAsia"/>
          <w:szCs w:val="24"/>
        </w:rPr>
        <w:t>本标准与美标</w:t>
      </w:r>
      <w:r>
        <w:rPr>
          <w:rFonts w:hint="eastAsia" w:ascii="宋体" w:hAnsi="宋体"/>
          <w:szCs w:val="24"/>
        </w:rPr>
        <w:t>ASTM</w:t>
      </w:r>
      <w:r>
        <w:rPr>
          <w:rFonts w:ascii="宋体" w:hAnsi="宋体"/>
          <w:szCs w:val="24"/>
        </w:rPr>
        <w:t xml:space="preserve"> </w:t>
      </w:r>
      <w:r>
        <w:rPr>
          <w:rFonts w:hint="eastAsia" w:ascii="宋体" w:hAnsi="宋体"/>
          <w:szCs w:val="24"/>
        </w:rPr>
        <w:t>B694－2013《电缆护套用铜、铜合金、铜包青铜、铜包不锈钢、铜包合金钢薄板和带材》适用范围、牌号、状态、规格对比如下表</w:t>
      </w:r>
      <w:r>
        <w:rPr>
          <w:rFonts w:hint="eastAsia" w:ascii="宋体" w:hAnsi="宋体"/>
          <w:szCs w:val="24"/>
          <w:lang w:val="en-US" w:eastAsia="zh-CN"/>
        </w:rPr>
        <w:t>29</w:t>
      </w:r>
      <w:r>
        <w:rPr>
          <w:rFonts w:hint="eastAsia" w:ascii="宋体" w:hAnsi="宋体"/>
          <w:szCs w:val="24"/>
        </w:rPr>
        <w:t>。</w:t>
      </w:r>
    </w:p>
    <w:p w14:paraId="58B4E82C">
      <w:pPr>
        <w:pStyle w:val="28"/>
        <w:spacing w:line="360" w:lineRule="auto"/>
        <w:ind w:firstLine="480"/>
        <w:jc w:val="center"/>
        <w:rPr>
          <w:rFonts w:hAnsi="宋体"/>
          <w:sz w:val="24"/>
          <w:szCs w:val="24"/>
        </w:rPr>
      </w:pPr>
      <w:r>
        <w:rPr>
          <w:rFonts w:hint="eastAsia"/>
          <w:sz w:val="24"/>
          <w:szCs w:val="24"/>
        </w:rPr>
        <w:t>表</w:t>
      </w:r>
      <w:r>
        <w:rPr>
          <w:rFonts w:hint="eastAsia"/>
          <w:sz w:val="24"/>
          <w:szCs w:val="24"/>
          <w:lang w:val="en-US" w:eastAsia="zh-CN"/>
        </w:rPr>
        <w:t>29</w:t>
      </w:r>
      <w:r>
        <w:rPr>
          <w:rFonts w:hint="eastAsia"/>
          <w:sz w:val="24"/>
          <w:szCs w:val="24"/>
        </w:rPr>
        <w:t xml:space="preserve">  </w:t>
      </w:r>
      <w:r>
        <w:rPr>
          <w:rFonts w:hint="eastAsia" w:hAnsi="宋体"/>
          <w:sz w:val="24"/>
          <w:szCs w:val="24"/>
        </w:rPr>
        <w:t>适用范围、牌号、状态、规格对比情况</w:t>
      </w:r>
    </w:p>
    <w:tbl>
      <w:tblPr>
        <w:tblStyle w:val="22"/>
        <w:tblW w:w="93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7"/>
        <w:gridCol w:w="3831"/>
        <w:gridCol w:w="4411"/>
      </w:tblGrid>
      <w:tr w14:paraId="5431D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097" w:type="dxa"/>
            <w:vAlign w:val="center"/>
          </w:tcPr>
          <w:p w14:paraId="30DD64A5">
            <w:pPr>
              <w:spacing w:line="360" w:lineRule="auto"/>
              <w:jc w:val="center"/>
              <w:rPr>
                <w:rFonts w:ascii="宋体" w:hAnsi="宋体" w:cs="宋体"/>
                <w:szCs w:val="21"/>
              </w:rPr>
            </w:pPr>
            <w:r>
              <w:rPr>
                <w:rFonts w:hint="eastAsia" w:ascii="宋体" w:hAnsi="宋体" w:cs="宋体"/>
                <w:szCs w:val="21"/>
              </w:rPr>
              <w:t>项目</w:t>
            </w:r>
          </w:p>
        </w:tc>
        <w:tc>
          <w:tcPr>
            <w:tcW w:w="3831" w:type="dxa"/>
            <w:vAlign w:val="center"/>
          </w:tcPr>
          <w:p w14:paraId="022D0EF7">
            <w:pPr>
              <w:spacing w:line="360" w:lineRule="auto"/>
              <w:jc w:val="center"/>
              <w:rPr>
                <w:rFonts w:ascii="宋体" w:hAnsi="宋体" w:cs="宋体"/>
                <w:szCs w:val="21"/>
              </w:rPr>
            </w:pPr>
            <w:r>
              <w:rPr>
                <w:rFonts w:hint="eastAsia" w:ascii="宋体" w:hAnsi="宋体" w:cs="宋体"/>
                <w:szCs w:val="21"/>
              </w:rPr>
              <w:t>本标准</w:t>
            </w:r>
          </w:p>
        </w:tc>
        <w:tc>
          <w:tcPr>
            <w:tcW w:w="4411" w:type="dxa"/>
            <w:vAlign w:val="center"/>
          </w:tcPr>
          <w:p w14:paraId="499EB265">
            <w:pPr>
              <w:spacing w:line="360" w:lineRule="auto"/>
              <w:jc w:val="center"/>
              <w:rPr>
                <w:rFonts w:ascii="宋体" w:hAnsi="宋体" w:cs="宋体"/>
                <w:szCs w:val="21"/>
              </w:rPr>
            </w:pPr>
            <w:r>
              <w:rPr>
                <w:rFonts w:hint="eastAsia" w:ascii="宋体" w:hAnsi="宋体" w:cs="宋体"/>
                <w:szCs w:val="21"/>
              </w:rPr>
              <w:t>美标ASTM B694</w:t>
            </w:r>
          </w:p>
        </w:tc>
      </w:tr>
      <w:tr w14:paraId="5A995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097" w:type="dxa"/>
            <w:vAlign w:val="center"/>
          </w:tcPr>
          <w:p w14:paraId="72CAFBE5">
            <w:pPr>
              <w:spacing w:line="360" w:lineRule="auto"/>
              <w:jc w:val="center"/>
              <w:rPr>
                <w:rFonts w:ascii="宋体" w:hAnsi="宋体" w:cs="宋体"/>
                <w:szCs w:val="21"/>
              </w:rPr>
            </w:pPr>
            <w:r>
              <w:rPr>
                <w:rFonts w:hint="eastAsia" w:ascii="宋体" w:hAnsi="宋体" w:cs="宋体"/>
                <w:szCs w:val="21"/>
              </w:rPr>
              <w:t>标准名称</w:t>
            </w:r>
          </w:p>
        </w:tc>
        <w:tc>
          <w:tcPr>
            <w:tcW w:w="3831" w:type="dxa"/>
            <w:vAlign w:val="center"/>
          </w:tcPr>
          <w:p w14:paraId="3F85DCA2">
            <w:pPr>
              <w:spacing w:line="360" w:lineRule="auto"/>
              <w:jc w:val="center"/>
              <w:rPr>
                <w:rFonts w:ascii="宋体" w:hAnsi="宋体" w:cs="宋体"/>
                <w:szCs w:val="21"/>
              </w:rPr>
            </w:pPr>
            <w:r>
              <w:rPr>
                <w:rFonts w:hint="eastAsia" w:ascii="宋体" w:hAnsi="宋体" w:cs="宋体"/>
                <w:szCs w:val="21"/>
              </w:rPr>
              <w:t>覆合用铜及铜合金带材</w:t>
            </w:r>
          </w:p>
        </w:tc>
        <w:tc>
          <w:tcPr>
            <w:tcW w:w="4411" w:type="dxa"/>
            <w:vAlign w:val="center"/>
          </w:tcPr>
          <w:p w14:paraId="76A93765">
            <w:pPr>
              <w:spacing w:line="360" w:lineRule="auto"/>
              <w:jc w:val="center"/>
              <w:rPr>
                <w:rFonts w:ascii="宋体" w:hAnsi="宋体" w:cs="宋体"/>
                <w:szCs w:val="21"/>
              </w:rPr>
            </w:pPr>
            <w:r>
              <w:rPr>
                <w:rFonts w:hint="eastAsia" w:ascii="宋体" w:hAnsi="宋体" w:cs="宋体"/>
                <w:szCs w:val="21"/>
              </w:rPr>
              <w:t>电缆护套用铜、铜合金、铜包青铜、铜包不锈钢、铜包合金钢薄板和带材</w:t>
            </w:r>
          </w:p>
        </w:tc>
      </w:tr>
      <w:tr w14:paraId="3F211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097" w:type="dxa"/>
            <w:vAlign w:val="center"/>
          </w:tcPr>
          <w:p w14:paraId="0D65E021">
            <w:pPr>
              <w:spacing w:line="360" w:lineRule="auto"/>
              <w:jc w:val="center"/>
              <w:rPr>
                <w:rFonts w:ascii="宋体" w:hAnsi="宋体" w:cs="宋体"/>
                <w:szCs w:val="21"/>
              </w:rPr>
            </w:pPr>
            <w:r>
              <w:rPr>
                <w:rFonts w:hint="eastAsia" w:ascii="宋体" w:hAnsi="宋体" w:cs="宋体"/>
                <w:szCs w:val="21"/>
              </w:rPr>
              <w:t>适用范围</w:t>
            </w:r>
          </w:p>
        </w:tc>
        <w:tc>
          <w:tcPr>
            <w:tcW w:w="3831" w:type="dxa"/>
            <w:vAlign w:val="center"/>
          </w:tcPr>
          <w:p w14:paraId="48243200">
            <w:pPr>
              <w:spacing w:line="360" w:lineRule="auto"/>
              <w:jc w:val="center"/>
              <w:rPr>
                <w:rFonts w:ascii="宋体" w:hAnsi="宋体" w:cs="宋体"/>
                <w:szCs w:val="21"/>
              </w:rPr>
            </w:pPr>
            <w:r>
              <w:rPr>
                <w:rFonts w:hint="eastAsia" w:ascii="宋体" w:hAnsi="宋体" w:cs="宋体"/>
                <w:szCs w:val="21"/>
              </w:rPr>
              <w:t>制造铜-铝、铜-钢覆合用铜及铜合金带材</w:t>
            </w:r>
          </w:p>
        </w:tc>
        <w:tc>
          <w:tcPr>
            <w:tcW w:w="4411" w:type="dxa"/>
            <w:vAlign w:val="center"/>
          </w:tcPr>
          <w:p w14:paraId="17F9216A">
            <w:pPr>
              <w:spacing w:line="360" w:lineRule="auto"/>
              <w:jc w:val="center"/>
              <w:rPr>
                <w:rFonts w:ascii="宋体" w:hAnsi="宋体" w:cs="宋体"/>
                <w:szCs w:val="21"/>
              </w:rPr>
            </w:pPr>
            <w:r>
              <w:rPr>
                <w:rFonts w:hint="eastAsia" w:ascii="宋体" w:hAnsi="宋体" w:cs="宋体"/>
                <w:szCs w:val="21"/>
              </w:rPr>
              <w:t>绝缘、控制、仪表和通讯电缆</w:t>
            </w:r>
          </w:p>
          <w:p w14:paraId="61A7B757">
            <w:pPr>
              <w:spacing w:line="360" w:lineRule="auto"/>
              <w:jc w:val="center"/>
              <w:rPr>
                <w:rFonts w:ascii="宋体" w:hAnsi="宋体" w:cs="宋体"/>
                <w:szCs w:val="21"/>
              </w:rPr>
            </w:pPr>
            <w:r>
              <w:rPr>
                <w:rFonts w:hint="eastAsia" w:ascii="宋体" w:hAnsi="宋体" w:cs="宋体"/>
                <w:szCs w:val="21"/>
              </w:rPr>
              <w:t>的电磁护套用</w:t>
            </w:r>
          </w:p>
        </w:tc>
      </w:tr>
      <w:tr w14:paraId="3332B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097" w:type="dxa"/>
            <w:vAlign w:val="center"/>
          </w:tcPr>
          <w:p w14:paraId="67723F2B">
            <w:pPr>
              <w:spacing w:line="360" w:lineRule="auto"/>
              <w:jc w:val="center"/>
              <w:rPr>
                <w:rFonts w:ascii="宋体" w:hAnsi="宋体" w:cs="宋体"/>
                <w:szCs w:val="21"/>
              </w:rPr>
            </w:pPr>
            <w:r>
              <w:rPr>
                <w:rFonts w:hint="eastAsia" w:ascii="宋体" w:hAnsi="宋体" w:cs="宋体"/>
                <w:szCs w:val="21"/>
              </w:rPr>
              <w:t>牌号</w:t>
            </w:r>
          </w:p>
        </w:tc>
        <w:tc>
          <w:tcPr>
            <w:tcW w:w="3831" w:type="dxa"/>
            <w:vAlign w:val="center"/>
          </w:tcPr>
          <w:p w14:paraId="1AA6969E">
            <w:pPr>
              <w:spacing w:line="360" w:lineRule="auto"/>
              <w:jc w:val="center"/>
              <w:rPr>
                <w:rFonts w:ascii="宋体" w:hAnsi="宋体" w:cs="宋体"/>
                <w:szCs w:val="21"/>
              </w:rPr>
            </w:pPr>
            <w:r>
              <w:rPr>
                <w:rFonts w:hint="eastAsia" w:ascii="宋体" w:hAnsi="宋体" w:cs="宋体"/>
                <w:szCs w:val="21"/>
              </w:rPr>
              <w:t>TU2、T2、H65、H62</w:t>
            </w:r>
          </w:p>
        </w:tc>
        <w:tc>
          <w:tcPr>
            <w:tcW w:w="4411" w:type="dxa"/>
            <w:vAlign w:val="center"/>
          </w:tcPr>
          <w:p w14:paraId="0E62506B">
            <w:pPr>
              <w:spacing w:line="360" w:lineRule="auto"/>
              <w:jc w:val="center"/>
              <w:rPr>
                <w:rFonts w:ascii="宋体" w:hAnsi="宋体" w:cs="宋体"/>
                <w:szCs w:val="21"/>
              </w:rPr>
            </w:pPr>
            <w:r>
              <w:rPr>
                <w:rFonts w:hint="eastAsia" w:ascii="宋体" w:hAnsi="宋体" w:cs="宋体"/>
                <w:szCs w:val="21"/>
              </w:rPr>
              <w:t>纯铜C11000、铜合金C19400、C22000、C23000、覆铜材料等</w:t>
            </w:r>
          </w:p>
        </w:tc>
      </w:tr>
      <w:tr w14:paraId="45874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097" w:type="dxa"/>
            <w:vAlign w:val="center"/>
          </w:tcPr>
          <w:p w14:paraId="727F1417">
            <w:pPr>
              <w:spacing w:line="360" w:lineRule="auto"/>
              <w:jc w:val="center"/>
              <w:rPr>
                <w:rFonts w:ascii="宋体" w:hAnsi="宋体" w:cs="宋体"/>
                <w:szCs w:val="21"/>
              </w:rPr>
            </w:pPr>
            <w:r>
              <w:rPr>
                <w:rFonts w:hint="eastAsia" w:ascii="宋体" w:hAnsi="宋体" w:cs="宋体"/>
                <w:szCs w:val="21"/>
              </w:rPr>
              <w:t>状态</w:t>
            </w:r>
          </w:p>
        </w:tc>
        <w:tc>
          <w:tcPr>
            <w:tcW w:w="3831" w:type="dxa"/>
            <w:vAlign w:val="center"/>
          </w:tcPr>
          <w:p w14:paraId="0C00643A">
            <w:pPr>
              <w:spacing w:line="360" w:lineRule="auto"/>
              <w:jc w:val="center"/>
              <w:rPr>
                <w:rFonts w:ascii="宋体" w:hAnsi="宋体" w:cs="宋体"/>
                <w:szCs w:val="21"/>
              </w:rPr>
            </w:pPr>
            <w:r>
              <w:rPr>
                <w:rFonts w:hint="eastAsia" w:ascii="宋体" w:hAnsi="宋体" w:cs="宋体"/>
                <w:szCs w:val="21"/>
              </w:rPr>
              <w:t>TU2:O60；  T2：O60、H02</w:t>
            </w:r>
          </w:p>
          <w:p w14:paraId="2330AEC7">
            <w:pPr>
              <w:spacing w:line="360" w:lineRule="auto"/>
              <w:jc w:val="center"/>
              <w:rPr>
                <w:rFonts w:ascii="宋体" w:hAnsi="宋体" w:cs="宋体"/>
                <w:szCs w:val="21"/>
              </w:rPr>
            </w:pPr>
            <w:r>
              <w:rPr>
                <w:rFonts w:hint="eastAsia" w:ascii="宋体" w:hAnsi="宋体" w:cs="宋体"/>
                <w:szCs w:val="21"/>
              </w:rPr>
              <w:t>H65:</w:t>
            </w:r>
            <w:r>
              <w:rPr>
                <w:rFonts w:hint="eastAsia" w:ascii="宋体" w:hAnsi="宋体" w:cs="宋体"/>
                <w:szCs w:val="21"/>
              </w:rPr>
              <w:tab/>
            </w:r>
            <w:r>
              <w:rPr>
                <w:rFonts w:hint="eastAsia" w:ascii="宋体" w:hAnsi="宋体" w:cs="宋体"/>
                <w:szCs w:val="21"/>
              </w:rPr>
              <w:t>O60； H62：O60</w:t>
            </w:r>
          </w:p>
        </w:tc>
        <w:tc>
          <w:tcPr>
            <w:tcW w:w="4411" w:type="dxa"/>
            <w:vAlign w:val="center"/>
          </w:tcPr>
          <w:p w14:paraId="2B49C715">
            <w:pPr>
              <w:spacing w:line="360" w:lineRule="auto"/>
              <w:jc w:val="center"/>
              <w:rPr>
                <w:rFonts w:ascii="宋体" w:hAnsi="宋体" w:cs="宋体"/>
                <w:szCs w:val="21"/>
              </w:rPr>
            </w:pPr>
            <w:r>
              <w:rPr>
                <w:rFonts w:hint="eastAsia" w:ascii="宋体" w:hAnsi="宋体" w:cs="宋体"/>
                <w:szCs w:val="21"/>
              </w:rPr>
              <w:t>C11000：O60 、H01、H00、H02</w:t>
            </w:r>
          </w:p>
          <w:p w14:paraId="0BF63BF5">
            <w:pPr>
              <w:spacing w:line="360" w:lineRule="auto"/>
              <w:jc w:val="center"/>
              <w:rPr>
                <w:rFonts w:ascii="宋体" w:hAnsi="宋体" w:cs="宋体"/>
                <w:szCs w:val="21"/>
              </w:rPr>
            </w:pPr>
            <w:r>
              <w:rPr>
                <w:rFonts w:hint="eastAsia" w:ascii="宋体" w:hAnsi="宋体" w:cs="宋体"/>
                <w:szCs w:val="21"/>
              </w:rPr>
              <w:t>C22000：H01、H02、O81</w:t>
            </w:r>
          </w:p>
          <w:p w14:paraId="71A0E50E">
            <w:pPr>
              <w:spacing w:line="360" w:lineRule="auto"/>
              <w:jc w:val="center"/>
              <w:rPr>
                <w:rFonts w:ascii="宋体" w:hAnsi="宋体" w:cs="宋体"/>
                <w:szCs w:val="21"/>
              </w:rPr>
            </w:pPr>
            <w:r>
              <w:rPr>
                <w:rFonts w:hint="eastAsia" w:ascii="宋体" w:hAnsi="宋体" w:cs="宋体"/>
                <w:szCs w:val="21"/>
              </w:rPr>
              <w:t>C23000：H01、H02、O81</w:t>
            </w:r>
          </w:p>
        </w:tc>
      </w:tr>
      <w:tr w14:paraId="3B8F7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097" w:type="dxa"/>
            <w:vAlign w:val="center"/>
          </w:tcPr>
          <w:p w14:paraId="6D95098F">
            <w:pPr>
              <w:spacing w:line="360" w:lineRule="auto"/>
              <w:jc w:val="center"/>
              <w:rPr>
                <w:rFonts w:ascii="宋体" w:hAnsi="宋体" w:cs="宋体"/>
                <w:szCs w:val="21"/>
              </w:rPr>
            </w:pPr>
            <w:r>
              <w:rPr>
                <w:rFonts w:hint="eastAsia" w:ascii="宋体" w:hAnsi="宋体" w:cs="宋体"/>
                <w:szCs w:val="21"/>
              </w:rPr>
              <w:t>规格</w:t>
            </w:r>
          </w:p>
        </w:tc>
        <w:tc>
          <w:tcPr>
            <w:tcW w:w="3831" w:type="dxa"/>
            <w:vAlign w:val="center"/>
          </w:tcPr>
          <w:p w14:paraId="60CE0707">
            <w:pPr>
              <w:spacing w:line="360" w:lineRule="auto"/>
              <w:jc w:val="center"/>
              <w:rPr>
                <w:rFonts w:ascii="宋体" w:hAnsi="宋体" w:cs="宋体"/>
                <w:szCs w:val="21"/>
              </w:rPr>
            </w:pPr>
            <w:r>
              <w:rPr>
                <w:rFonts w:hint="eastAsia" w:ascii="宋体" w:hAnsi="宋体" w:cs="宋体"/>
                <w:szCs w:val="21"/>
              </w:rPr>
              <w:t>TU2/T2：（0.3-4.0）mm*（20-6</w:t>
            </w:r>
            <w:r>
              <w:rPr>
                <w:rFonts w:hint="eastAsia" w:ascii="宋体" w:hAnsi="宋体" w:cs="宋体"/>
                <w:szCs w:val="21"/>
                <w:lang w:val="en-US" w:eastAsia="zh-CN"/>
              </w:rPr>
              <w:t>3</w:t>
            </w:r>
            <w:r>
              <w:rPr>
                <w:rFonts w:hint="eastAsia" w:ascii="宋体" w:hAnsi="宋体" w:cs="宋体"/>
                <w:szCs w:val="21"/>
              </w:rPr>
              <w:t>0）mm</w:t>
            </w:r>
          </w:p>
          <w:p w14:paraId="717796FE">
            <w:pPr>
              <w:spacing w:line="360" w:lineRule="auto"/>
              <w:jc w:val="center"/>
              <w:rPr>
                <w:rFonts w:ascii="宋体" w:hAnsi="宋体" w:cs="宋体"/>
                <w:szCs w:val="21"/>
              </w:rPr>
            </w:pPr>
            <w:r>
              <w:rPr>
                <w:rFonts w:hint="eastAsia" w:ascii="宋体" w:hAnsi="宋体" w:cs="宋体"/>
                <w:szCs w:val="21"/>
              </w:rPr>
              <w:t>H65/H62：（0.2-1.0）mm*（20-6</w:t>
            </w:r>
            <w:r>
              <w:rPr>
                <w:rFonts w:hint="eastAsia" w:ascii="宋体" w:hAnsi="宋体" w:cs="宋体"/>
                <w:szCs w:val="21"/>
                <w:lang w:val="en-US" w:eastAsia="zh-CN"/>
              </w:rPr>
              <w:t>3</w:t>
            </w:r>
            <w:r>
              <w:rPr>
                <w:rFonts w:hint="eastAsia" w:ascii="宋体" w:hAnsi="宋体" w:cs="宋体"/>
                <w:szCs w:val="21"/>
              </w:rPr>
              <w:t>0）mm</w:t>
            </w:r>
          </w:p>
        </w:tc>
        <w:tc>
          <w:tcPr>
            <w:tcW w:w="4411" w:type="dxa"/>
            <w:vAlign w:val="center"/>
          </w:tcPr>
          <w:p w14:paraId="7B0D076D">
            <w:pPr>
              <w:spacing w:line="360" w:lineRule="auto"/>
              <w:jc w:val="center"/>
              <w:rPr>
                <w:rFonts w:ascii="宋体" w:hAnsi="宋体" w:cs="宋体"/>
                <w:szCs w:val="21"/>
              </w:rPr>
            </w:pPr>
            <w:r>
              <w:rPr>
                <w:rFonts w:hint="eastAsia" w:ascii="宋体" w:hAnsi="宋体" w:cs="宋体"/>
                <w:szCs w:val="21"/>
              </w:rPr>
              <w:t>C11000/H65/H62：（0.102-0.33）mm*（≤610）mm</w:t>
            </w:r>
          </w:p>
        </w:tc>
      </w:tr>
    </w:tbl>
    <w:p w14:paraId="5E8B7F24">
      <w:pPr>
        <w:spacing w:line="360" w:lineRule="auto"/>
        <w:rPr>
          <w:rFonts w:ascii="宋体" w:hAnsi="宋体"/>
          <w:szCs w:val="24"/>
        </w:rPr>
      </w:pPr>
      <w:r>
        <w:rPr>
          <w:rFonts w:hint="eastAsia" w:ascii="黑体" w:hAnsi="黑体" w:eastAsia="黑体"/>
          <w:szCs w:val="24"/>
        </w:rPr>
        <w:t xml:space="preserve">3  </w:t>
      </w:r>
      <w:r>
        <w:rPr>
          <w:rFonts w:hint="eastAsia" w:ascii="宋体" w:hAnsi="宋体"/>
          <w:szCs w:val="24"/>
        </w:rPr>
        <w:t>本标准</w:t>
      </w:r>
      <w:r>
        <w:rPr>
          <w:rFonts w:ascii="宋体" w:hAnsi="宋体"/>
          <w:szCs w:val="24"/>
        </w:rPr>
        <w:t>和美标C</w:t>
      </w:r>
      <w:r>
        <w:rPr>
          <w:rFonts w:hint="eastAsia" w:ascii="宋体" w:hAnsi="宋体"/>
          <w:szCs w:val="24"/>
        </w:rPr>
        <w:t>11000牌号技术指标</w:t>
      </w:r>
      <w:r>
        <w:rPr>
          <w:rFonts w:ascii="宋体" w:hAnsi="宋体"/>
          <w:szCs w:val="24"/>
        </w:rPr>
        <w:t>对比分析如下。</w:t>
      </w:r>
    </w:p>
    <w:p w14:paraId="6D3B821E">
      <w:pPr>
        <w:spacing w:line="360" w:lineRule="auto"/>
        <w:rPr>
          <w:rFonts w:ascii="宋体" w:hAnsi="宋体"/>
          <w:szCs w:val="24"/>
        </w:rPr>
      </w:pPr>
      <w:r>
        <w:rPr>
          <w:rFonts w:hint="eastAsia" w:ascii="黑体" w:hAnsi="黑体" w:eastAsia="黑体"/>
          <w:szCs w:val="24"/>
        </w:rPr>
        <w:t>3.</w:t>
      </w:r>
      <w:r>
        <w:rPr>
          <w:rFonts w:ascii="黑体" w:hAnsi="黑体" w:eastAsia="黑体"/>
          <w:szCs w:val="24"/>
        </w:rPr>
        <w:t>1</w:t>
      </w:r>
      <w:r>
        <w:rPr>
          <w:rFonts w:hint="eastAsia" w:ascii="黑体" w:hAnsi="黑体" w:eastAsia="黑体"/>
          <w:szCs w:val="24"/>
        </w:rPr>
        <w:t xml:space="preserve">  </w:t>
      </w:r>
      <w:r>
        <w:rPr>
          <w:rFonts w:hint="eastAsia" w:ascii="宋体" w:hAnsi="宋体"/>
          <w:szCs w:val="24"/>
        </w:rPr>
        <w:t>外形尺寸允许偏差</w:t>
      </w:r>
    </w:p>
    <w:p w14:paraId="49F0B710">
      <w:pPr>
        <w:spacing w:line="360" w:lineRule="auto"/>
        <w:rPr>
          <w:rFonts w:ascii="宋体" w:hAnsi="宋体"/>
          <w:szCs w:val="24"/>
        </w:rPr>
      </w:pPr>
      <w:r>
        <w:rPr>
          <w:rFonts w:hint="eastAsia" w:ascii="宋体" w:hAnsi="宋体"/>
          <w:szCs w:val="24"/>
        </w:rPr>
        <w:t>（1）厚度允许偏差对比情况见表</w:t>
      </w:r>
      <w:r>
        <w:rPr>
          <w:rFonts w:hint="eastAsia" w:ascii="宋体" w:hAnsi="宋体"/>
          <w:szCs w:val="24"/>
          <w:lang w:val="en-US" w:eastAsia="zh-CN"/>
        </w:rPr>
        <w:t>30</w:t>
      </w:r>
      <w:r>
        <w:rPr>
          <w:rFonts w:hint="eastAsia" w:ascii="宋体" w:hAnsi="宋体"/>
          <w:szCs w:val="24"/>
        </w:rPr>
        <w:t>。</w:t>
      </w:r>
    </w:p>
    <w:p w14:paraId="5D3ECC08">
      <w:pPr>
        <w:spacing w:line="360" w:lineRule="auto"/>
        <w:jc w:val="right"/>
        <w:rPr>
          <w:rFonts w:ascii="宋体" w:hAnsi="宋体"/>
          <w:szCs w:val="24"/>
        </w:rPr>
      </w:pPr>
      <w:r>
        <w:rPr>
          <w:rFonts w:hint="eastAsia" w:ascii="宋体" w:hAnsi="宋体"/>
          <w:szCs w:val="24"/>
        </w:rPr>
        <w:t>表</w:t>
      </w:r>
      <w:r>
        <w:rPr>
          <w:rFonts w:hint="eastAsia" w:ascii="宋体" w:hAnsi="宋体"/>
          <w:szCs w:val="24"/>
          <w:lang w:val="en-US" w:eastAsia="zh-CN"/>
        </w:rPr>
        <w:t>30</w:t>
      </w:r>
      <w:r>
        <w:rPr>
          <w:rFonts w:hint="eastAsia" w:ascii="宋体" w:hAnsi="宋体"/>
          <w:szCs w:val="24"/>
        </w:rPr>
        <w:t xml:space="preserve">  本标准厚度及其允许偏差                  单位为：毫米</w:t>
      </w:r>
    </w:p>
    <w:tbl>
      <w:tblPr>
        <w:tblStyle w:val="21"/>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8"/>
        <w:gridCol w:w="1160"/>
        <w:gridCol w:w="1119"/>
        <w:gridCol w:w="1416"/>
        <w:gridCol w:w="1986"/>
        <w:gridCol w:w="1941"/>
      </w:tblGrid>
      <w:tr w14:paraId="5285E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2121" w:type="pct"/>
            <w:gridSpan w:val="3"/>
            <w:vAlign w:val="center"/>
          </w:tcPr>
          <w:p w14:paraId="0C9CFD51">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本标准</w:t>
            </w:r>
          </w:p>
        </w:tc>
        <w:tc>
          <w:tcPr>
            <w:tcW w:w="2879" w:type="pct"/>
            <w:gridSpan w:val="3"/>
            <w:vAlign w:val="center"/>
          </w:tcPr>
          <w:p w14:paraId="17FD488B">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美标ASTM B694</w:t>
            </w:r>
          </w:p>
        </w:tc>
      </w:tr>
      <w:tr w14:paraId="6C9D9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893" w:type="pct"/>
            <w:vMerge w:val="restart"/>
            <w:vAlign w:val="center"/>
          </w:tcPr>
          <w:p w14:paraId="54A81764">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厚度</w:t>
            </w:r>
          </w:p>
        </w:tc>
        <w:tc>
          <w:tcPr>
            <w:tcW w:w="1228" w:type="pct"/>
            <w:gridSpan w:val="2"/>
            <w:vAlign w:val="center"/>
          </w:tcPr>
          <w:p w14:paraId="03DBCE00">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厚度允许偏差</w:t>
            </w:r>
          </w:p>
        </w:tc>
        <w:tc>
          <w:tcPr>
            <w:tcW w:w="763" w:type="pct"/>
            <w:vMerge w:val="restart"/>
            <w:vAlign w:val="center"/>
          </w:tcPr>
          <w:p w14:paraId="6521D537">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厚度</w:t>
            </w:r>
          </w:p>
        </w:tc>
        <w:tc>
          <w:tcPr>
            <w:tcW w:w="1070" w:type="pct"/>
            <w:vMerge w:val="restart"/>
            <w:vAlign w:val="center"/>
          </w:tcPr>
          <w:p w14:paraId="5BF704D9">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厚度允许偏差（宽度≤305mm）</w:t>
            </w:r>
          </w:p>
        </w:tc>
        <w:tc>
          <w:tcPr>
            <w:tcW w:w="1046" w:type="pct"/>
            <w:vMerge w:val="restart"/>
            <w:vAlign w:val="center"/>
          </w:tcPr>
          <w:p w14:paraId="70C201A9">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厚度允许偏差（宽度＞305mm）</w:t>
            </w:r>
          </w:p>
        </w:tc>
      </w:tr>
      <w:tr w14:paraId="54C6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 w:hRule="atLeast"/>
        </w:trPr>
        <w:tc>
          <w:tcPr>
            <w:tcW w:w="893" w:type="pct"/>
            <w:vMerge w:val="continue"/>
            <w:vAlign w:val="center"/>
          </w:tcPr>
          <w:p w14:paraId="42EC3A45">
            <w:pPr>
              <w:spacing w:line="360" w:lineRule="auto"/>
              <w:jc w:val="center"/>
              <w:rPr>
                <w:rFonts w:cs="宋体" w:asciiTheme="minorEastAsia" w:hAnsiTheme="minorEastAsia" w:eastAsiaTheme="minorEastAsia"/>
                <w:szCs w:val="24"/>
              </w:rPr>
            </w:pPr>
          </w:p>
        </w:tc>
        <w:tc>
          <w:tcPr>
            <w:tcW w:w="625" w:type="pct"/>
            <w:vAlign w:val="center"/>
          </w:tcPr>
          <w:p w14:paraId="56BD2936">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普通级</w:t>
            </w:r>
          </w:p>
        </w:tc>
        <w:tc>
          <w:tcPr>
            <w:tcW w:w="603" w:type="pct"/>
            <w:vAlign w:val="center"/>
          </w:tcPr>
          <w:p w14:paraId="3A388F58">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较高级</w:t>
            </w:r>
          </w:p>
        </w:tc>
        <w:tc>
          <w:tcPr>
            <w:tcW w:w="763" w:type="pct"/>
            <w:vMerge w:val="continue"/>
            <w:vAlign w:val="center"/>
          </w:tcPr>
          <w:p w14:paraId="26402F22">
            <w:pPr>
              <w:spacing w:line="360" w:lineRule="auto"/>
              <w:jc w:val="center"/>
              <w:rPr>
                <w:rFonts w:cs="宋体" w:asciiTheme="minorEastAsia" w:hAnsiTheme="minorEastAsia" w:eastAsiaTheme="minorEastAsia"/>
                <w:szCs w:val="24"/>
              </w:rPr>
            </w:pPr>
          </w:p>
        </w:tc>
        <w:tc>
          <w:tcPr>
            <w:tcW w:w="1070" w:type="pct"/>
            <w:vMerge w:val="continue"/>
            <w:vAlign w:val="center"/>
          </w:tcPr>
          <w:p w14:paraId="30963CC8">
            <w:pPr>
              <w:spacing w:line="360" w:lineRule="auto"/>
              <w:jc w:val="center"/>
              <w:rPr>
                <w:rFonts w:cs="宋体" w:asciiTheme="minorEastAsia" w:hAnsiTheme="minorEastAsia" w:eastAsiaTheme="minorEastAsia"/>
                <w:szCs w:val="24"/>
              </w:rPr>
            </w:pPr>
          </w:p>
        </w:tc>
        <w:tc>
          <w:tcPr>
            <w:tcW w:w="1046" w:type="pct"/>
            <w:vMerge w:val="continue"/>
            <w:vAlign w:val="center"/>
          </w:tcPr>
          <w:p w14:paraId="18D52761">
            <w:pPr>
              <w:spacing w:line="360" w:lineRule="auto"/>
              <w:jc w:val="center"/>
              <w:rPr>
                <w:rFonts w:cs="宋体" w:asciiTheme="minorEastAsia" w:hAnsiTheme="minorEastAsia" w:eastAsiaTheme="minorEastAsia"/>
                <w:szCs w:val="24"/>
              </w:rPr>
            </w:pPr>
          </w:p>
        </w:tc>
      </w:tr>
      <w:tr w14:paraId="41508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893" w:type="pct"/>
            <w:vMerge w:val="restart"/>
            <w:vAlign w:val="center"/>
          </w:tcPr>
          <w:p w14:paraId="7232D891">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0.200～0.500</w:t>
            </w:r>
          </w:p>
        </w:tc>
        <w:tc>
          <w:tcPr>
            <w:tcW w:w="625" w:type="pct"/>
            <w:vMerge w:val="restart"/>
            <w:vAlign w:val="center"/>
          </w:tcPr>
          <w:p w14:paraId="68109282">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±0.010</w:t>
            </w:r>
          </w:p>
        </w:tc>
        <w:tc>
          <w:tcPr>
            <w:tcW w:w="603" w:type="pct"/>
            <w:vMerge w:val="restart"/>
            <w:vAlign w:val="center"/>
          </w:tcPr>
          <w:p w14:paraId="647F1283">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±0.008</w:t>
            </w:r>
          </w:p>
        </w:tc>
        <w:tc>
          <w:tcPr>
            <w:tcW w:w="763" w:type="pct"/>
            <w:shd w:val="clear" w:color="auto" w:fill="auto"/>
            <w:vAlign w:val="center"/>
          </w:tcPr>
          <w:p w14:paraId="234DD2CC">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＞0.127～0.229</w:t>
            </w:r>
          </w:p>
        </w:tc>
        <w:tc>
          <w:tcPr>
            <w:tcW w:w="1070" w:type="pct"/>
            <w:shd w:val="clear" w:color="auto" w:fill="auto"/>
            <w:vAlign w:val="center"/>
          </w:tcPr>
          <w:p w14:paraId="53C6AA15">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±0.013</w:t>
            </w:r>
          </w:p>
        </w:tc>
        <w:tc>
          <w:tcPr>
            <w:tcW w:w="1046" w:type="pct"/>
            <w:shd w:val="clear" w:color="auto" w:fill="auto"/>
            <w:vAlign w:val="center"/>
          </w:tcPr>
          <w:p w14:paraId="5E479774">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±0.025</w:t>
            </w:r>
          </w:p>
        </w:tc>
      </w:tr>
      <w:tr w14:paraId="287B6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893" w:type="pct"/>
            <w:vMerge w:val="continue"/>
            <w:vAlign w:val="center"/>
          </w:tcPr>
          <w:p w14:paraId="0449CDC8">
            <w:pPr>
              <w:spacing w:line="360" w:lineRule="auto"/>
              <w:jc w:val="center"/>
              <w:rPr>
                <w:rFonts w:cs="宋体" w:asciiTheme="minorEastAsia" w:hAnsiTheme="minorEastAsia" w:eastAsiaTheme="minorEastAsia"/>
                <w:szCs w:val="24"/>
              </w:rPr>
            </w:pPr>
          </w:p>
        </w:tc>
        <w:tc>
          <w:tcPr>
            <w:tcW w:w="625" w:type="pct"/>
            <w:vMerge w:val="continue"/>
            <w:vAlign w:val="center"/>
          </w:tcPr>
          <w:p w14:paraId="7DDEB526">
            <w:pPr>
              <w:spacing w:line="360" w:lineRule="auto"/>
              <w:jc w:val="center"/>
              <w:rPr>
                <w:rFonts w:cs="宋体" w:asciiTheme="minorEastAsia" w:hAnsiTheme="minorEastAsia" w:eastAsiaTheme="minorEastAsia"/>
                <w:szCs w:val="24"/>
              </w:rPr>
            </w:pPr>
          </w:p>
        </w:tc>
        <w:tc>
          <w:tcPr>
            <w:tcW w:w="603" w:type="pct"/>
            <w:vMerge w:val="continue"/>
            <w:vAlign w:val="center"/>
          </w:tcPr>
          <w:p w14:paraId="42D92077">
            <w:pPr>
              <w:spacing w:line="360" w:lineRule="auto"/>
              <w:jc w:val="center"/>
              <w:rPr>
                <w:rFonts w:cs="宋体" w:asciiTheme="minorEastAsia" w:hAnsiTheme="minorEastAsia" w:eastAsiaTheme="minorEastAsia"/>
                <w:szCs w:val="24"/>
              </w:rPr>
            </w:pPr>
          </w:p>
        </w:tc>
        <w:tc>
          <w:tcPr>
            <w:tcW w:w="763" w:type="pct"/>
            <w:shd w:val="clear" w:color="auto" w:fill="auto"/>
            <w:vAlign w:val="center"/>
          </w:tcPr>
          <w:p w14:paraId="3EB47617">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＞0.229～0.33</w:t>
            </w:r>
          </w:p>
        </w:tc>
        <w:tc>
          <w:tcPr>
            <w:tcW w:w="1070" w:type="pct"/>
            <w:shd w:val="clear" w:color="auto" w:fill="auto"/>
            <w:vAlign w:val="center"/>
          </w:tcPr>
          <w:p w14:paraId="78229997">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±0.020</w:t>
            </w:r>
          </w:p>
        </w:tc>
        <w:tc>
          <w:tcPr>
            <w:tcW w:w="1046" w:type="pct"/>
            <w:shd w:val="clear" w:color="auto" w:fill="auto"/>
            <w:vAlign w:val="center"/>
          </w:tcPr>
          <w:p w14:paraId="59910BCF">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±0.038</w:t>
            </w:r>
          </w:p>
        </w:tc>
      </w:tr>
      <w:tr w14:paraId="5C502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893" w:type="pct"/>
            <w:vAlign w:val="center"/>
          </w:tcPr>
          <w:p w14:paraId="79E17CED">
            <w:pPr>
              <w:spacing w:line="360" w:lineRule="auto"/>
              <w:jc w:val="center"/>
              <w:rPr>
                <w:rFonts w:cs="宋体" w:asciiTheme="minorEastAsia" w:hAnsiTheme="minorEastAsia" w:eastAsiaTheme="minorEastAsia"/>
                <w:szCs w:val="24"/>
              </w:rPr>
            </w:pPr>
            <w:r>
              <w:rPr>
                <w:rFonts w:hint="eastAsia" w:asciiTheme="minorEastAsia" w:hAnsiTheme="minorEastAsia" w:eastAsiaTheme="minorEastAsia"/>
                <w:szCs w:val="24"/>
              </w:rPr>
              <w:t>＞</w:t>
            </w:r>
            <w:r>
              <w:rPr>
                <w:rFonts w:hint="eastAsia" w:cs="宋体" w:asciiTheme="minorEastAsia" w:hAnsiTheme="minorEastAsia" w:eastAsiaTheme="minorEastAsia"/>
                <w:szCs w:val="24"/>
              </w:rPr>
              <w:t>0.500～0.800</w:t>
            </w:r>
          </w:p>
        </w:tc>
        <w:tc>
          <w:tcPr>
            <w:tcW w:w="625" w:type="pct"/>
            <w:vAlign w:val="center"/>
          </w:tcPr>
          <w:p w14:paraId="4DDE8C6B">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±0.035</w:t>
            </w:r>
          </w:p>
        </w:tc>
        <w:tc>
          <w:tcPr>
            <w:tcW w:w="603" w:type="pct"/>
            <w:vAlign w:val="center"/>
          </w:tcPr>
          <w:p w14:paraId="78AD9ECA">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±0.020</w:t>
            </w:r>
          </w:p>
        </w:tc>
        <w:tc>
          <w:tcPr>
            <w:tcW w:w="763" w:type="pct"/>
            <w:vAlign w:val="center"/>
          </w:tcPr>
          <w:p w14:paraId="5BCD638C">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1070" w:type="pct"/>
            <w:vAlign w:val="center"/>
          </w:tcPr>
          <w:p w14:paraId="1EA5B31F">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1046" w:type="pct"/>
            <w:vAlign w:val="center"/>
          </w:tcPr>
          <w:p w14:paraId="781B1BFB">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r>
      <w:tr w14:paraId="2FC50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893" w:type="pct"/>
            <w:vAlign w:val="center"/>
          </w:tcPr>
          <w:p w14:paraId="119F50F3">
            <w:pPr>
              <w:spacing w:line="360" w:lineRule="auto"/>
              <w:jc w:val="center"/>
              <w:rPr>
                <w:rFonts w:cs="宋体" w:asciiTheme="minorEastAsia" w:hAnsiTheme="minorEastAsia" w:eastAsiaTheme="minorEastAsia"/>
                <w:szCs w:val="24"/>
              </w:rPr>
            </w:pPr>
            <w:r>
              <w:rPr>
                <w:rFonts w:hint="eastAsia" w:asciiTheme="minorEastAsia" w:hAnsiTheme="minorEastAsia" w:eastAsiaTheme="minorEastAsia"/>
                <w:szCs w:val="24"/>
              </w:rPr>
              <w:t>＞</w:t>
            </w:r>
            <w:r>
              <w:rPr>
                <w:rFonts w:hint="eastAsia" w:cs="宋体" w:asciiTheme="minorEastAsia" w:hAnsiTheme="minorEastAsia" w:eastAsiaTheme="minorEastAsia"/>
                <w:szCs w:val="24"/>
              </w:rPr>
              <w:t>0.800～1.200</w:t>
            </w:r>
          </w:p>
        </w:tc>
        <w:tc>
          <w:tcPr>
            <w:tcW w:w="625" w:type="pct"/>
            <w:vAlign w:val="center"/>
          </w:tcPr>
          <w:p w14:paraId="2B44433A">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±0.035</w:t>
            </w:r>
          </w:p>
        </w:tc>
        <w:tc>
          <w:tcPr>
            <w:tcW w:w="603" w:type="pct"/>
            <w:vAlign w:val="center"/>
          </w:tcPr>
          <w:p w14:paraId="45A240D9">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±0.030</w:t>
            </w:r>
          </w:p>
        </w:tc>
        <w:tc>
          <w:tcPr>
            <w:tcW w:w="763" w:type="pct"/>
            <w:vAlign w:val="center"/>
          </w:tcPr>
          <w:p w14:paraId="2942CFDB">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1070" w:type="pct"/>
            <w:vAlign w:val="center"/>
          </w:tcPr>
          <w:p w14:paraId="45ABBFBB">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1046" w:type="pct"/>
            <w:vAlign w:val="center"/>
          </w:tcPr>
          <w:p w14:paraId="6C0C85FC">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r>
      <w:tr w14:paraId="01110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893" w:type="pct"/>
            <w:vAlign w:val="center"/>
          </w:tcPr>
          <w:p w14:paraId="615F8B54">
            <w:pPr>
              <w:spacing w:line="360" w:lineRule="auto"/>
              <w:jc w:val="center"/>
              <w:rPr>
                <w:rFonts w:cs="宋体" w:asciiTheme="minorEastAsia" w:hAnsiTheme="minorEastAsia" w:eastAsiaTheme="minorEastAsia"/>
                <w:szCs w:val="24"/>
              </w:rPr>
            </w:pPr>
            <w:r>
              <w:rPr>
                <w:rFonts w:hint="eastAsia" w:asciiTheme="minorEastAsia" w:hAnsiTheme="minorEastAsia" w:eastAsiaTheme="minorEastAsia"/>
                <w:szCs w:val="24"/>
              </w:rPr>
              <w:t>＞</w:t>
            </w:r>
            <w:r>
              <w:rPr>
                <w:rFonts w:hint="eastAsia" w:cs="宋体" w:asciiTheme="minorEastAsia" w:hAnsiTheme="minorEastAsia" w:eastAsiaTheme="minorEastAsia"/>
                <w:szCs w:val="24"/>
              </w:rPr>
              <w:t>1.200～4.000</w:t>
            </w:r>
          </w:p>
        </w:tc>
        <w:tc>
          <w:tcPr>
            <w:tcW w:w="625" w:type="pct"/>
            <w:vAlign w:val="center"/>
          </w:tcPr>
          <w:p w14:paraId="4A733ED4">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±0.050</w:t>
            </w:r>
          </w:p>
        </w:tc>
        <w:tc>
          <w:tcPr>
            <w:tcW w:w="603" w:type="pct"/>
            <w:vAlign w:val="center"/>
          </w:tcPr>
          <w:p w14:paraId="069F2153">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±0.040</w:t>
            </w:r>
          </w:p>
        </w:tc>
        <w:tc>
          <w:tcPr>
            <w:tcW w:w="763" w:type="pct"/>
            <w:vAlign w:val="center"/>
          </w:tcPr>
          <w:p w14:paraId="00EC126A">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1070" w:type="pct"/>
            <w:vAlign w:val="center"/>
          </w:tcPr>
          <w:p w14:paraId="4F7069CE">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1046" w:type="pct"/>
            <w:vAlign w:val="center"/>
          </w:tcPr>
          <w:p w14:paraId="2CC18A43">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r>
    </w:tbl>
    <w:p w14:paraId="7703459F">
      <w:pPr>
        <w:spacing w:line="360" w:lineRule="auto"/>
        <w:ind w:firstLine="480" w:firstLineChars="200"/>
        <w:rPr>
          <w:rFonts w:asciiTheme="minorEastAsia" w:hAnsiTheme="minorEastAsia" w:eastAsiaTheme="minorEastAsia"/>
          <w:szCs w:val="24"/>
        </w:rPr>
      </w:pPr>
      <w:r>
        <w:rPr>
          <w:rFonts w:hint="eastAsia" w:asciiTheme="minorEastAsia" w:hAnsiTheme="minorEastAsia" w:eastAsiaTheme="minorEastAsia"/>
          <w:szCs w:val="24"/>
        </w:rPr>
        <w:t>（2）宽度允许偏差对比情况见表</w:t>
      </w:r>
      <w:r>
        <w:rPr>
          <w:rFonts w:hint="eastAsia" w:asciiTheme="minorEastAsia" w:hAnsiTheme="minorEastAsia" w:eastAsiaTheme="minorEastAsia"/>
          <w:szCs w:val="24"/>
          <w:lang w:val="en-US" w:eastAsia="zh-CN"/>
        </w:rPr>
        <w:t>31</w:t>
      </w:r>
      <w:r>
        <w:rPr>
          <w:rFonts w:hint="eastAsia" w:asciiTheme="minorEastAsia" w:hAnsiTheme="minorEastAsia" w:eastAsiaTheme="minorEastAsia"/>
          <w:szCs w:val="24"/>
        </w:rPr>
        <w:t>。</w:t>
      </w:r>
    </w:p>
    <w:p w14:paraId="6630167A">
      <w:pPr>
        <w:spacing w:line="360" w:lineRule="auto"/>
        <w:jc w:val="right"/>
        <w:rPr>
          <w:rFonts w:asciiTheme="minorEastAsia" w:hAnsiTheme="minorEastAsia" w:eastAsiaTheme="minorEastAsia"/>
          <w:szCs w:val="24"/>
        </w:rPr>
      </w:pPr>
      <w:r>
        <w:rPr>
          <w:rFonts w:hint="eastAsia" w:asciiTheme="minorEastAsia" w:hAnsiTheme="minorEastAsia" w:eastAsiaTheme="minorEastAsia"/>
          <w:szCs w:val="24"/>
        </w:rPr>
        <w:t>表</w:t>
      </w:r>
      <w:r>
        <w:rPr>
          <w:rFonts w:hint="eastAsia" w:asciiTheme="minorEastAsia" w:hAnsiTheme="minorEastAsia" w:eastAsiaTheme="minorEastAsia"/>
          <w:szCs w:val="24"/>
          <w:lang w:val="en-US" w:eastAsia="zh-CN"/>
        </w:rPr>
        <w:t>31</w:t>
      </w:r>
      <w:r>
        <w:rPr>
          <w:rFonts w:hint="eastAsia" w:asciiTheme="minorEastAsia" w:hAnsiTheme="minorEastAsia" w:eastAsiaTheme="minorEastAsia"/>
          <w:szCs w:val="24"/>
        </w:rPr>
        <w:t xml:space="preserve">  本标准宽度及其允许偏差             单位为：毫米</w:t>
      </w:r>
    </w:p>
    <w:tbl>
      <w:tblPr>
        <w:tblStyle w:val="21"/>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3"/>
        <w:gridCol w:w="919"/>
        <w:gridCol w:w="1338"/>
        <w:gridCol w:w="1657"/>
        <w:gridCol w:w="1561"/>
        <w:gridCol w:w="1942"/>
      </w:tblGrid>
      <w:tr w14:paraId="4E377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2220" w:type="pct"/>
            <w:gridSpan w:val="3"/>
            <w:vAlign w:val="center"/>
          </w:tcPr>
          <w:p w14:paraId="6C997931">
            <w:pPr>
              <w:spacing w:line="360" w:lineRule="auto"/>
              <w:jc w:val="center"/>
              <w:rPr>
                <w:rFonts w:ascii="宋体" w:hAnsi="宋体" w:cs="宋体"/>
                <w:szCs w:val="21"/>
              </w:rPr>
            </w:pPr>
            <w:r>
              <w:rPr>
                <w:rFonts w:hint="eastAsia" w:ascii="宋体" w:hAnsi="宋体" w:cs="宋体"/>
                <w:szCs w:val="21"/>
              </w:rPr>
              <w:t>本标准</w:t>
            </w:r>
          </w:p>
        </w:tc>
        <w:tc>
          <w:tcPr>
            <w:tcW w:w="893" w:type="pct"/>
            <w:vAlign w:val="center"/>
          </w:tcPr>
          <w:p w14:paraId="6B73F137">
            <w:pPr>
              <w:spacing w:line="360" w:lineRule="auto"/>
              <w:jc w:val="center"/>
              <w:rPr>
                <w:rFonts w:ascii="宋体" w:hAnsi="宋体" w:cs="宋体"/>
                <w:szCs w:val="21"/>
              </w:rPr>
            </w:pPr>
          </w:p>
        </w:tc>
        <w:tc>
          <w:tcPr>
            <w:tcW w:w="1887" w:type="pct"/>
            <w:gridSpan w:val="2"/>
            <w:vAlign w:val="center"/>
          </w:tcPr>
          <w:p w14:paraId="7184D83C">
            <w:pPr>
              <w:spacing w:line="360" w:lineRule="auto"/>
              <w:jc w:val="center"/>
              <w:rPr>
                <w:rFonts w:ascii="宋体" w:hAnsi="宋体" w:cs="宋体"/>
                <w:szCs w:val="21"/>
              </w:rPr>
            </w:pPr>
            <w:r>
              <w:rPr>
                <w:rFonts w:hint="eastAsia" w:ascii="宋体" w:hAnsi="宋体" w:cs="宋体"/>
                <w:szCs w:val="21"/>
              </w:rPr>
              <w:t>美标ASTM B694</w:t>
            </w:r>
          </w:p>
        </w:tc>
      </w:tr>
      <w:tr w14:paraId="44824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004" w:type="pct"/>
            <w:vMerge w:val="restart"/>
            <w:vAlign w:val="center"/>
          </w:tcPr>
          <w:p w14:paraId="641745F1">
            <w:pPr>
              <w:spacing w:line="360" w:lineRule="auto"/>
              <w:jc w:val="center"/>
              <w:rPr>
                <w:rFonts w:ascii="宋体" w:hAnsi="宋体" w:cs="宋体"/>
                <w:szCs w:val="21"/>
              </w:rPr>
            </w:pPr>
            <w:r>
              <w:rPr>
                <w:rFonts w:hint="eastAsia" w:ascii="宋体" w:hAnsi="宋体" w:cs="宋体"/>
                <w:szCs w:val="21"/>
              </w:rPr>
              <w:t>厚度</w:t>
            </w:r>
          </w:p>
        </w:tc>
        <w:tc>
          <w:tcPr>
            <w:tcW w:w="495" w:type="pct"/>
            <w:vMerge w:val="restart"/>
            <w:vAlign w:val="center"/>
          </w:tcPr>
          <w:p w14:paraId="22F59F58">
            <w:pPr>
              <w:spacing w:line="360" w:lineRule="auto"/>
              <w:jc w:val="center"/>
              <w:rPr>
                <w:rFonts w:ascii="宋体" w:hAnsi="宋体" w:cs="宋体"/>
                <w:szCs w:val="21"/>
              </w:rPr>
            </w:pPr>
            <w:r>
              <w:rPr>
                <w:rFonts w:hint="eastAsia" w:ascii="宋体" w:hAnsi="宋体" w:cs="宋体"/>
                <w:szCs w:val="21"/>
              </w:rPr>
              <w:t>宽度</w:t>
            </w:r>
          </w:p>
        </w:tc>
        <w:tc>
          <w:tcPr>
            <w:tcW w:w="721" w:type="pct"/>
            <w:vAlign w:val="center"/>
          </w:tcPr>
          <w:p w14:paraId="119AA485">
            <w:pPr>
              <w:spacing w:line="360" w:lineRule="auto"/>
              <w:jc w:val="center"/>
              <w:rPr>
                <w:rFonts w:ascii="宋体" w:hAnsi="宋体" w:cs="宋体"/>
                <w:szCs w:val="21"/>
              </w:rPr>
            </w:pPr>
            <w:r>
              <w:rPr>
                <w:rFonts w:hint="eastAsia" w:ascii="宋体" w:hAnsi="宋体" w:cs="宋体"/>
                <w:szCs w:val="21"/>
              </w:rPr>
              <w:t>宽度允许偏差</w:t>
            </w:r>
          </w:p>
        </w:tc>
        <w:tc>
          <w:tcPr>
            <w:tcW w:w="893" w:type="pct"/>
            <w:vMerge w:val="restart"/>
            <w:vAlign w:val="center"/>
          </w:tcPr>
          <w:p w14:paraId="5A66A060">
            <w:pPr>
              <w:spacing w:line="360" w:lineRule="auto"/>
              <w:jc w:val="center"/>
              <w:rPr>
                <w:rFonts w:ascii="宋体" w:hAnsi="宋体" w:cs="宋体"/>
                <w:szCs w:val="21"/>
              </w:rPr>
            </w:pPr>
            <w:r>
              <w:rPr>
                <w:rFonts w:hint="eastAsia" w:ascii="宋体" w:hAnsi="宋体" w:cs="宋体"/>
                <w:szCs w:val="21"/>
              </w:rPr>
              <w:t>厚度</w:t>
            </w:r>
          </w:p>
        </w:tc>
        <w:tc>
          <w:tcPr>
            <w:tcW w:w="841" w:type="pct"/>
            <w:vMerge w:val="restart"/>
            <w:vAlign w:val="center"/>
          </w:tcPr>
          <w:p w14:paraId="0D324A93">
            <w:pPr>
              <w:spacing w:line="360" w:lineRule="auto"/>
              <w:jc w:val="center"/>
              <w:rPr>
                <w:rFonts w:ascii="宋体" w:hAnsi="宋体" w:cs="宋体"/>
                <w:szCs w:val="21"/>
              </w:rPr>
            </w:pPr>
            <w:r>
              <w:rPr>
                <w:rFonts w:hint="eastAsia" w:ascii="宋体" w:hAnsi="宋体" w:cs="宋体"/>
                <w:szCs w:val="21"/>
              </w:rPr>
              <w:t>宽度</w:t>
            </w:r>
          </w:p>
        </w:tc>
        <w:tc>
          <w:tcPr>
            <w:tcW w:w="1046" w:type="pct"/>
            <w:vMerge w:val="restart"/>
            <w:vAlign w:val="center"/>
          </w:tcPr>
          <w:p w14:paraId="3B422388">
            <w:pPr>
              <w:spacing w:line="360" w:lineRule="auto"/>
              <w:jc w:val="center"/>
              <w:rPr>
                <w:rFonts w:ascii="宋体" w:hAnsi="宋体" w:cs="宋体"/>
                <w:szCs w:val="21"/>
              </w:rPr>
            </w:pPr>
            <w:r>
              <w:rPr>
                <w:rFonts w:hint="eastAsia" w:ascii="宋体" w:hAnsi="宋体" w:cs="宋体"/>
                <w:szCs w:val="21"/>
              </w:rPr>
              <w:t>宽度允许偏差</w:t>
            </w:r>
          </w:p>
        </w:tc>
      </w:tr>
      <w:tr w14:paraId="1112D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1004" w:type="pct"/>
            <w:vMerge w:val="continue"/>
            <w:vAlign w:val="center"/>
          </w:tcPr>
          <w:p w14:paraId="4541B5DD">
            <w:pPr>
              <w:spacing w:line="360" w:lineRule="auto"/>
              <w:jc w:val="center"/>
              <w:rPr>
                <w:rFonts w:ascii="宋体" w:hAnsi="宋体" w:cs="宋体"/>
                <w:szCs w:val="21"/>
              </w:rPr>
            </w:pPr>
          </w:p>
        </w:tc>
        <w:tc>
          <w:tcPr>
            <w:tcW w:w="495" w:type="pct"/>
            <w:vMerge w:val="continue"/>
            <w:vAlign w:val="center"/>
          </w:tcPr>
          <w:p w14:paraId="791F61B2">
            <w:pPr>
              <w:spacing w:line="360" w:lineRule="auto"/>
              <w:jc w:val="center"/>
              <w:rPr>
                <w:rFonts w:ascii="宋体" w:hAnsi="宋体" w:cs="宋体"/>
                <w:szCs w:val="21"/>
              </w:rPr>
            </w:pPr>
          </w:p>
        </w:tc>
        <w:tc>
          <w:tcPr>
            <w:tcW w:w="721" w:type="pct"/>
            <w:vAlign w:val="center"/>
          </w:tcPr>
          <w:p w14:paraId="3A1D3321">
            <w:pPr>
              <w:spacing w:line="360" w:lineRule="auto"/>
              <w:jc w:val="center"/>
              <w:rPr>
                <w:rFonts w:ascii="宋体" w:hAnsi="宋体" w:cs="宋体"/>
                <w:szCs w:val="21"/>
              </w:rPr>
            </w:pPr>
            <w:r>
              <w:rPr>
                <w:rFonts w:hint="eastAsia" w:ascii="宋体" w:hAnsi="宋体" w:cs="宋体"/>
                <w:szCs w:val="21"/>
              </w:rPr>
              <w:t>普通级</w:t>
            </w:r>
          </w:p>
        </w:tc>
        <w:tc>
          <w:tcPr>
            <w:tcW w:w="893" w:type="pct"/>
            <w:vMerge w:val="continue"/>
            <w:vAlign w:val="center"/>
          </w:tcPr>
          <w:p w14:paraId="324128DE">
            <w:pPr>
              <w:spacing w:line="360" w:lineRule="auto"/>
              <w:jc w:val="center"/>
              <w:rPr>
                <w:rFonts w:ascii="宋体" w:hAnsi="宋体" w:cs="宋体"/>
                <w:szCs w:val="21"/>
              </w:rPr>
            </w:pPr>
          </w:p>
        </w:tc>
        <w:tc>
          <w:tcPr>
            <w:tcW w:w="841" w:type="pct"/>
            <w:vMerge w:val="continue"/>
            <w:vAlign w:val="center"/>
          </w:tcPr>
          <w:p w14:paraId="1FF14854">
            <w:pPr>
              <w:spacing w:line="360" w:lineRule="auto"/>
              <w:jc w:val="center"/>
              <w:rPr>
                <w:rFonts w:ascii="宋体" w:hAnsi="宋体" w:cs="宋体"/>
                <w:szCs w:val="21"/>
              </w:rPr>
            </w:pPr>
          </w:p>
        </w:tc>
        <w:tc>
          <w:tcPr>
            <w:tcW w:w="1046" w:type="pct"/>
            <w:vMerge w:val="continue"/>
            <w:vAlign w:val="center"/>
          </w:tcPr>
          <w:p w14:paraId="6D6CAFEB">
            <w:pPr>
              <w:spacing w:line="360" w:lineRule="auto"/>
              <w:jc w:val="center"/>
              <w:rPr>
                <w:rFonts w:ascii="宋体" w:hAnsi="宋体" w:cs="宋体"/>
                <w:szCs w:val="21"/>
              </w:rPr>
            </w:pPr>
          </w:p>
        </w:tc>
      </w:tr>
      <w:tr w14:paraId="6B8B1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1004" w:type="pct"/>
            <w:vMerge w:val="restart"/>
            <w:vAlign w:val="center"/>
          </w:tcPr>
          <w:p w14:paraId="3D69C5E8">
            <w:pPr>
              <w:spacing w:line="360" w:lineRule="auto"/>
              <w:jc w:val="center"/>
              <w:rPr>
                <w:rFonts w:ascii="宋体" w:hAnsi="宋体" w:cs="宋体"/>
                <w:szCs w:val="21"/>
              </w:rPr>
            </w:pPr>
            <w:r>
              <w:rPr>
                <w:rFonts w:hint="eastAsia" w:ascii="宋体" w:hAnsi="宋体" w:cs="宋体"/>
                <w:szCs w:val="21"/>
              </w:rPr>
              <w:t>0.200～0.500</w:t>
            </w:r>
          </w:p>
        </w:tc>
        <w:tc>
          <w:tcPr>
            <w:tcW w:w="495" w:type="pct"/>
            <w:vMerge w:val="restart"/>
            <w:vAlign w:val="center"/>
          </w:tcPr>
          <w:p w14:paraId="1A69BEEB">
            <w:pPr>
              <w:spacing w:line="360" w:lineRule="auto"/>
              <w:jc w:val="center"/>
              <w:rPr>
                <w:rFonts w:ascii="宋体" w:hAnsi="宋体" w:cs="宋体"/>
                <w:szCs w:val="21"/>
              </w:rPr>
            </w:pPr>
            <w:r>
              <w:rPr>
                <w:rFonts w:hint="eastAsia" w:ascii="宋体" w:hAnsi="宋体" w:cs="宋体"/>
                <w:szCs w:val="21"/>
              </w:rPr>
              <w:t>20～6</w:t>
            </w:r>
            <w:r>
              <w:rPr>
                <w:rFonts w:hint="eastAsia" w:ascii="宋体" w:hAnsi="宋体" w:cs="宋体"/>
                <w:szCs w:val="21"/>
                <w:lang w:val="en-US" w:eastAsia="zh-CN"/>
              </w:rPr>
              <w:t>3</w:t>
            </w:r>
            <w:r>
              <w:rPr>
                <w:rFonts w:hint="eastAsia" w:ascii="宋体" w:hAnsi="宋体" w:cs="宋体"/>
                <w:szCs w:val="21"/>
              </w:rPr>
              <w:t>0</w:t>
            </w:r>
          </w:p>
        </w:tc>
        <w:tc>
          <w:tcPr>
            <w:tcW w:w="721" w:type="pct"/>
            <w:vMerge w:val="restart"/>
            <w:vAlign w:val="center"/>
          </w:tcPr>
          <w:p w14:paraId="3D9F75C7">
            <w:pPr>
              <w:spacing w:line="360" w:lineRule="auto"/>
              <w:jc w:val="center"/>
              <w:rPr>
                <w:rFonts w:ascii="宋体" w:hAnsi="宋体" w:cs="宋体"/>
                <w:szCs w:val="21"/>
              </w:rPr>
            </w:pPr>
            <w:r>
              <w:rPr>
                <w:rFonts w:hint="eastAsia" w:ascii="宋体" w:hAnsi="宋体" w:cs="宋体"/>
                <w:szCs w:val="21"/>
              </w:rPr>
              <w:t>±0.20</w:t>
            </w:r>
          </w:p>
        </w:tc>
        <w:tc>
          <w:tcPr>
            <w:tcW w:w="893" w:type="pct"/>
            <w:vMerge w:val="restart"/>
            <w:vAlign w:val="center"/>
          </w:tcPr>
          <w:p w14:paraId="427992B9">
            <w:pPr>
              <w:spacing w:line="360" w:lineRule="auto"/>
              <w:jc w:val="center"/>
              <w:rPr>
                <w:rFonts w:ascii="宋体" w:hAnsi="宋体" w:cs="宋体"/>
                <w:szCs w:val="21"/>
              </w:rPr>
            </w:pPr>
            <w:r>
              <w:rPr>
                <w:rFonts w:hint="eastAsia" w:ascii="宋体" w:hAnsi="宋体" w:cs="宋体"/>
                <w:szCs w:val="21"/>
              </w:rPr>
              <w:t>0.102-0.33</w:t>
            </w:r>
          </w:p>
        </w:tc>
        <w:tc>
          <w:tcPr>
            <w:tcW w:w="841" w:type="pct"/>
            <w:tcBorders>
              <w:bottom w:val="single" w:color="auto" w:sz="4" w:space="0"/>
            </w:tcBorders>
            <w:vAlign w:val="center"/>
          </w:tcPr>
          <w:p w14:paraId="0803B6FA">
            <w:pPr>
              <w:spacing w:line="360" w:lineRule="auto"/>
              <w:jc w:val="center"/>
              <w:rPr>
                <w:rFonts w:ascii="宋体" w:hAnsi="宋体" w:cs="宋体"/>
                <w:szCs w:val="21"/>
              </w:rPr>
            </w:pPr>
            <w:r>
              <w:rPr>
                <w:rFonts w:hint="eastAsia" w:ascii="宋体" w:hAnsi="宋体" w:cs="宋体"/>
                <w:szCs w:val="21"/>
              </w:rPr>
              <w:t>≤50.8</w:t>
            </w:r>
          </w:p>
        </w:tc>
        <w:tc>
          <w:tcPr>
            <w:tcW w:w="1046" w:type="pct"/>
            <w:tcBorders>
              <w:bottom w:val="single" w:color="auto" w:sz="4" w:space="0"/>
            </w:tcBorders>
            <w:vAlign w:val="center"/>
          </w:tcPr>
          <w:p w14:paraId="38D86428">
            <w:pPr>
              <w:spacing w:line="360" w:lineRule="auto"/>
              <w:jc w:val="center"/>
              <w:rPr>
                <w:rFonts w:ascii="宋体" w:hAnsi="宋体" w:cs="宋体"/>
                <w:szCs w:val="21"/>
              </w:rPr>
            </w:pPr>
            <w:r>
              <w:rPr>
                <w:rFonts w:hint="eastAsia" w:ascii="宋体" w:hAnsi="宋体" w:cs="宋体"/>
                <w:szCs w:val="21"/>
              </w:rPr>
              <w:t>±0.13</w:t>
            </w:r>
          </w:p>
        </w:tc>
      </w:tr>
      <w:tr w14:paraId="6DE37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trPr>
        <w:tc>
          <w:tcPr>
            <w:tcW w:w="1004" w:type="pct"/>
            <w:vMerge w:val="continue"/>
            <w:vAlign w:val="center"/>
          </w:tcPr>
          <w:p w14:paraId="0F47B0A3">
            <w:pPr>
              <w:spacing w:line="360" w:lineRule="auto"/>
              <w:jc w:val="center"/>
              <w:rPr>
                <w:rFonts w:ascii="宋体" w:hAnsi="宋体" w:cs="宋体"/>
                <w:szCs w:val="21"/>
              </w:rPr>
            </w:pPr>
          </w:p>
        </w:tc>
        <w:tc>
          <w:tcPr>
            <w:tcW w:w="495" w:type="pct"/>
            <w:vMerge w:val="continue"/>
            <w:vAlign w:val="center"/>
          </w:tcPr>
          <w:p w14:paraId="09F70442">
            <w:pPr>
              <w:spacing w:line="360" w:lineRule="auto"/>
              <w:jc w:val="center"/>
              <w:rPr>
                <w:rFonts w:ascii="宋体" w:hAnsi="宋体" w:cs="宋体"/>
                <w:szCs w:val="21"/>
              </w:rPr>
            </w:pPr>
          </w:p>
        </w:tc>
        <w:tc>
          <w:tcPr>
            <w:tcW w:w="721" w:type="pct"/>
            <w:vMerge w:val="continue"/>
            <w:vAlign w:val="center"/>
          </w:tcPr>
          <w:p w14:paraId="49CB48D0">
            <w:pPr>
              <w:spacing w:line="360" w:lineRule="auto"/>
              <w:jc w:val="center"/>
              <w:rPr>
                <w:rFonts w:ascii="宋体" w:hAnsi="宋体" w:cs="宋体"/>
                <w:szCs w:val="21"/>
              </w:rPr>
            </w:pPr>
          </w:p>
        </w:tc>
        <w:tc>
          <w:tcPr>
            <w:tcW w:w="893" w:type="pct"/>
            <w:vMerge w:val="continue"/>
            <w:vAlign w:val="center"/>
          </w:tcPr>
          <w:p w14:paraId="17A13BE4">
            <w:pPr>
              <w:spacing w:line="360" w:lineRule="auto"/>
              <w:jc w:val="center"/>
              <w:rPr>
                <w:rFonts w:ascii="宋体" w:hAnsi="宋体" w:cs="宋体"/>
                <w:szCs w:val="21"/>
              </w:rPr>
            </w:pPr>
          </w:p>
        </w:tc>
        <w:tc>
          <w:tcPr>
            <w:tcW w:w="841" w:type="pct"/>
            <w:shd w:val="clear" w:color="auto" w:fill="auto"/>
            <w:vAlign w:val="center"/>
          </w:tcPr>
          <w:p w14:paraId="38A6CC63">
            <w:pPr>
              <w:spacing w:line="360" w:lineRule="auto"/>
              <w:jc w:val="center"/>
              <w:rPr>
                <w:rFonts w:ascii="宋体" w:hAnsi="宋体" w:cs="宋体"/>
                <w:szCs w:val="21"/>
              </w:rPr>
            </w:pPr>
            <w:r>
              <w:rPr>
                <w:rFonts w:hint="eastAsia" w:ascii="宋体" w:hAnsi="宋体" w:cs="宋体"/>
                <w:szCs w:val="21"/>
              </w:rPr>
              <w:t>＞50.8～305</w:t>
            </w:r>
          </w:p>
        </w:tc>
        <w:tc>
          <w:tcPr>
            <w:tcW w:w="1046" w:type="pct"/>
            <w:shd w:val="clear" w:color="auto" w:fill="auto"/>
            <w:vAlign w:val="center"/>
          </w:tcPr>
          <w:p w14:paraId="74672A56">
            <w:pPr>
              <w:spacing w:line="360" w:lineRule="auto"/>
              <w:jc w:val="center"/>
              <w:rPr>
                <w:rFonts w:ascii="宋体" w:hAnsi="宋体" w:cs="宋体"/>
                <w:szCs w:val="21"/>
              </w:rPr>
            </w:pPr>
            <w:r>
              <w:rPr>
                <w:rFonts w:hint="eastAsia" w:ascii="宋体" w:hAnsi="宋体" w:cs="宋体"/>
                <w:szCs w:val="21"/>
              </w:rPr>
              <w:t>±0.20</w:t>
            </w:r>
          </w:p>
        </w:tc>
      </w:tr>
      <w:tr w14:paraId="58940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trPr>
        <w:tc>
          <w:tcPr>
            <w:tcW w:w="1004" w:type="pct"/>
            <w:vMerge w:val="continue"/>
            <w:vAlign w:val="center"/>
          </w:tcPr>
          <w:p w14:paraId="38DEF857">
            <w:pPr>
              <w:spacing w:line="360" w:lineRule="auto"/>
              <w:jc w:val="center"/>
              <w:rPr>
                <w:rFonts w:ascii="宋体" w:hAnsi="宋体" w:cs="宋体"/>
                <w:szCs w:val="21"/>
              </w:rPr>
            </w:pPr>
          </w:p>
        </w:tc>
        <w:tc>
          <w:tcPr>
            <w:tcW w:w="495" w:type="pct"/>
            <w:vMerge w:val="continue"/>
            <w:vAlign w:val="center"/>
          </w:tcPr>
          <w:p w14:paraId="745B820E">
            <w:pPr>
              <w:spacing w:line="360" w:lineRule="auto"/>
              <w:jc w:val="center"/>
              <w:rPr>
                <w:rFonts w:ascii="宋体" w:hAnsi="宋体" w:cs="宋体"/>
                <w:szCs w:val="21"/>
              </w:rPr>
            </w:pPr>
          </w:p>
        </w:tc>
        <w:tc>
          <w:tcPr>
            <w:tcW w:w="721" w:type="pct"/>
            <w:vMerge w:val="continue"/>
            <w:vAlign w:val="center"/>
          </w:tcPr>
          <w:p w14:paraId="7356FFB3">
            <w:pPr>
              <w:spacing w:line="360" w:lineRule="auto"/>
              <w:jc w:val="center"/>
              <w:rPr>
                <w:rFonts w:ascii="宋体" w:hAnsi="宋体" w:cs="宋体"/>
                <w:szCs w:val="21"/>
              </w:rPr>
            </w:pPr>
          </w:p>
        </w:tc>
        <w:tc>
          <w:tcPr>
            <w:tcW w:w="893" w:type="pct"/>
            <w:vMerge w:val="continue"/>
            <w:vAlign w:val="center"/>
          </w:tcPr>
          <w:p w14:paraId="40689E14">
            <w:pPr>
              <w:spacing w:line="360" w:lineRule="auto"/>
              <w:jc w:val="center"/>
              <w:rPr>
                <w:rFonts w:ascii="宋体" w:hAnsi="宋体" w:cs="宋体"/>
                <w:szCs w:val="21"/>
              </w:rPr>
            </w:pPr>
          </w:p>
        </w:tc>
        <w:tc>
          <w:tcPr>
            <w:tcW w:w="841" w:type="pct"/>
            <w:shd w:val="clear" w:color="auto" w:fill="auto"/>
            <w:vAlign w:val="center"/>
          </w:tcPr>
          <w:p w14:paraId="251A8905">
            <w:pPr>
              <w:spacing w:line="360" w:lineRule="auto"/>
              <w:jc w:val="center"/>
              <w:rPr>
                <w:rFonts w:ascii="宋体" w:hAnsi="宋体" w:cs="宋体"/>
                <w:szCs w:val="21"/>
              </w:rPr>
            </w:pPr>
            <w:r>
              <w:rPr>
                <w:rFonts w:hint="eastAsia" w:ascii="宋体" w:hAnsi="宋体" w:cs="宋体"/>
                <w:szCs w:val="21"/>
              </w:rPr>
              <w:t>＞50.8～610</w:t>
            </w:r>
          </w:p>
        </w:tc>
        <w:tc>
          <w:tcPr>
            <w:tcW w:w="1046" w:type="pct"/>
            <w:shd w:val="clear" w:color="auto" w:fill="auto"/>
            <w:vAlign w:val="center"/>
          </w:tcPr>
          <w:p w14:paraId="535A4714">
            <w:pPr>
              <w:spacing w:line="360" w:lineRule="auto"/>
              <w:jc w:val="center"/>
              <w:rPr>
                <w:rFonts w:ascii="宋体" w:hAnsi="宋体" w:cs="宋体"/>
                <w:szCs w:val="21"/>
              </w:rPr>
            </w:pPr>
            <w:r>
              <w:rPr>
                <w:rFonts w:hint="eastAsia" w:ascii="宋体" w:hAnsi="宋体" w:cs="宋体"/>
                <w:szCs w:val="21"/>
              </w:rPr>
              <w:t>±0.38</w:t>
            </w:r>
          </w:p>
        </w:tc>
      </w:tr>
      <w:tr w14:paraId="6586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trPr>
        <w:tc>
          <w:tcPr>
            <w:tcW w:w="1004" w:type="pct"/>
            <w:vAlign w:val="center"/>
          </w:tcPr>
          <w:p w14:paraId="57B882DE">
            <w:pPr>
              <w:spacing w:line="360" w:lineRule="auto"/>
              <w:jc w:val="center"/>
              <w:rPr>
                <w:rFonts w:ascii="宋体" w:hAnsi="宋体" w:cs="宋体"/>
                <w:szCs w:val="21"/>
              </w:rPr>
            </w:pPr>
            <w:r>
              <w:rPr>
                <w:rFonts w:hint="eastAsia" w:ascii="宋体" w:hAnsi="宋体" w:cs="宋体"/>
                <w:szCs w:val="21"/>
              </w:rPr>
              <w:t>＞0.500～4.000</w:t>
            </w:r>
          </w:p>
        </w:tc>
        <w:tc>
          <w:tcPr>
            <w:tcW w:w="495" w:type="pct"/>
            <w:vMerge w:val="continue"/>
            <w:vAlign w:val="center"/>
          </w:tcPr>
          <w:p w14:paraId="1C0A71FE">
            <w:pPr>
              <w:spacing w:line="360" w:lineRule="auto"/>
              <w:jc w:val="center"/>
              <w:rPr>
                <w:rFonts w:ascii="宋体" w:hAnsi="宋体" w:cs="宋体"/>
                <w:szCs w:val="21"/>
              </w:rPr>
            </w:pPr>
          </w:p>
        </w:tc>
        <w:tc>
          <w:tcPr>
            <w:tcW w:w="721" w:type="pct"/>
            <w:vAlign w:val="center"/>
          </w:tcPr>
          <w:p w14:paraId="2493962D">
            <w:pPr>
              <w:spacing w:line="360" w:lineRule="auto"/>
              <w:jc w:val="center"/>
              <w:rPr>
                <w:rFonts w:ascii="宋体" w:hAnsi="宋体" w:cs="宋体"/>
                <w:szCs w:val="21"/>
              </w:rPr>
            </w:pPr>
            <w:r>
              <w:rPr>
                <w:rFonts w:hint="eastAsia" w:ascii="宋体" w:hAnsi="宋体" w:cs="宋体"/>
                <w:szCs w:val="21"/>
              </w:rPr>
              <w:t>±0.50</w:t>
            </w:r>
          </w:p>
        </w:tc>
        <w:tc>
          <w:tcPr>
            <w:tcW w:w="893" w:type="pct"/>
            <w:vAlign w:val="center"/>
          </w:tcPr>
          <w:p w14:paraId="4F5D8E29">
            <w:pPr>
              <w:spacing w:line="360" w:lineRule="auto"/>
              <w:jc w:val="center"/>
              <w:rPr>
                <w:rFonts w:ascii="宋体" w:hAnsi="宋体" w:cs="宋体"/>
                <w:szCs w:val="21"/>
              </w:rPr>
            </w:pPr>
            <w:r>
              <w:rPr>
                <w:rFonts w:hint="eastAsia" w:ascii="宋体" w:hAnsi="宋体" w:cs="宋体"/>
                <w:szCs w:val="21"/>
              </w:rPr>
              <w:t>－</w:t>
            </w:r>
          </w:p>
        </w:tc>
        <w:tc>
          <w:tcPr>
            <w:tcW w:w="841" w:type="pct"/>
            <w:vAlign w:val="center"/>
          </w:tcPr>
          <w:p w14:paraId="3691826F">
            <w:pPr>
              <w:spacing w:line="360" w:lineRule="auto"/>
              <w:jc w:val="center"/>
              <w:rPr>
                <w:rFonts w:ascii="宋体" w:hAnsi="宋体" w:cs="宋体"/>
                <w:szCs w:val="21"/>
              </w:rPr>
            </w:pPr>
            <w:r>
              <w:rPr>
                <w:rFonts w:hint="eastAsia" w:ascii="宋体" w:hAnsi="宋体" w:cs="宋体"/>
                <w:szCs w:val="21"/>
              </w:rPr>
              <w:t>－</w:t>
            </w:r>
          </w:p>
        </w:tc>
        <w:tc>
          <w:tcPr>
            <w:tcW w:w="1046" w:type="pct"/>
            <w:vAlign w:val="center"/>
          </w:tcPr>
          <w:p w14:paraId="415EE0CC">
            <w:pPr>
              <w:spacing w:line="360" w:lineRule="auto"/>
              <w:jc w:val="center"/>
              <w:rPr>
                <w:rFonts w:ascii="宋体" w:hAnsi="宋体" w:cs="宋体"/>
                <w:szCs w:val="21"/>
              </w:rPr>
            </w:pPr>
            <w:r>
              <w:rPr>
                <w:rFonts w:hint="eastAsia" w:ascii="宋体" w:hAnsi="宋体" w:cs="宋体"/>
                <w:szCs w:val="21"/>
              </w:rPr>
              <w:t>－</w:t>
            </w:r>
          </w:p>
        </w:tc>
      </w:tr>
    </w:tbl>
    <w:p w14:paraId="00ECF885">
      <w:pPr>
        <w:spacing w:line="360" w:lineRule="auto"/>
        <w:ind w:firstLine="480" w:firstLineChars="200"/>
        <w:rPr>
          <w:rFonts w:asciiTheme="minorEastAsia" w:hAnsiTheme="minorEastAsia" w:eastAsiaTheme="minorEastAsia"/>
          <w:szCs w:val="24"/>
        </w:rPr>
      </w:pPr>
      <w:r>
        <w:rPr>
          <w:rFonts w:hint="eastAsia" w:asciiTheme="minorEastAsia" w:hAnsiTheme="minorEastAsia" w:eastAsiaTheme="minorEastAsia"/>
          <w:szCs w:val="24"/>
        </w:rPr>
        <w:t>（3）侧边弯曲度的对比情况见表</w:t>
      </w:r>
      <w:r>
        <w:rPr>
          <w:rFonts w:hint="eastAsia" w:asciiTheme="minorEastAsia" w:hAnsiTheme="minorEastAsia" w:eastAsiaTheme="minorEastAsia"/>
          <w:szCs w:val="24"/>
          <w:lang w:val="en-US" w:eastAsia="zh-CN"/>
        </w:rPr>
        <w:t>32</w:t>
      </w:r>
      <w:r>
        <w:rPr>
          <w:rFonts w:hint="eastAsia" w:asciiTheme="minorEastAsia" w:hAnsiTheme="minorEastAsia" w:eastAsiaTheme="minorEastAsia"/>
          <w:szCs w:val="24"/>
        </w:rPr>
        <w:t>。</w:t>
      </w:r>
    </w:p>
    <w:p w14:paraId="66B52DC7">
      <w:pPr>
        <w:spacing w:line="360" w:lineRule="auto"/>
        <w:jc w:val="center"/>
        <w:rPr>
          <w:rFonts w:asciiTheme="minorEastAsia" w:hAnsiTheme="minorEastAsia" w:eastAsiaTheme="minorEastAsia"/>
          <w:szCs w:val="24"/>
        </w:rPr>
      </w:pPr>
      <w:r>
        <w:rPr>
          <w:rFonts w:hint="eastAsia" w:asciiTheme="minorEastAsia" w:hAnsiTheme="minorEastAsia" w:eastAsiaTheme="minorEastAsia"/>
          <w:szCs w:val="24"/>
        </w:rPr>
        <w:t>表</w:t>
      </w:r>
      <w:r>
        <w:rPr>
          <w:rFonts w:hint="eastAsia" w:asciiTheme="minorEastAsia" w:hAnsiTheme="minorEastAsia" w:eastAsiaTheme="minorEastAsia"/>
          <w:szCs w:val="24"/>
          <w:lang w:val="en-US" w:eastAsia="zh-CN"/>
        </w:rPr>
        <w:t>32</w:t>
      </w:r>
      <w:r>
        <w:rPr>
          <w:rFonts w:hint="eastAsia" w:asciiTheme="minorEastAsia" w:hAnsiTheme="minorEastAsia" w:eastAsiaTheme="minorEastAsia"/>
          <w:szCs w:val="24"/>
        </w:rPr>
        <w:t xml:space="preserve">  本标准侧边弯曲度</w:t>
      </w:r>
    </w:p>
    <w:tbl>
      <w:tblPr>
        <w:tblStyle w:val="21"/>
        <w:tblW w:w="505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9"/>
        <w:gridCol w:w="2352"/>
        <w:gridCol w:w="4696"/>
      </w:tblGrid>
      <w:tr w14:paraId="1A308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2501" w:type="pct"/>
            <w:gridSpan w:val="2"/>
            <w:shd w:val="clear" w:color="auto" w:fill="auto"/>
            <w:vAlign w:val="center"/>
          </w:tcPr>
          <w:p w14:paraId="53805474">
            <w:pPr>
              <w:tabs>
                <w:tab w:val="left" w:pos="6120"/>
              </w:tabs>
              <w:spacing w:line="360" w:lineRule="auto"/>
              <w:jc w:val="center"/>
              <w:rPr>
                <w:rFonts w:ascii="宋体" w:hAnsi="宋体" w:cs="宋体"/>
                <w:szCs w:val="21"/>
              </w:rPr>
            </w:pPr>
            <w:r>
              <w:rPr>
                <w:rFonts w:hint="eastAsia" w:ascii="宋体" w:hAnsi="宋体" w:cs="宋体"/>
                <w:szCs w:val="21"/>
              </w:rPr>
              <w:t>本标准</w:t>
            </w:r>
          </w:p>
        </w:tc>
        <w:tc>
          <w:tcPr>
            <w:tcW w:w="2498" w:type="pct"/>
            <w:vAlign w:val="center"/>
          </w:tcPr>
          <w:p w14:paraId="1909EE94">
            <w:pPr>
              <w:tabs>
                <w:tab w:val="left" w:pos="6120"/>
              </w:tabs>
              <w:spacing w:line="360" w:lineRule="auto"/>
              <w:jc w:val="center"/>
              <w:rPr>
                <w:rFonts w:ascii="宋体" w:hAnsi="宋体" w:cs="宋体"/>
                <w:szCs w:val="21"/>
              </w:rPr>
            </w:pPr>
            <w:bookmarkStart w:id="20" w:name="OLE_LINK2"/>
            <w:bookmarkStart w:id="21" w:name="OLE_LINK5"/>
            <w:r>
              <w:rPr>
                <w:rFonts w:hint="eastAsia" w:ascii="宋体" w:hAnsi="宋体" w:cs="宋体"/>
                <w:szCs w:val="21"/>
              </w:rPr>
              <w:t>美标ASTM B694</w:t>
            </w:r>
            <w:bookmarkEnd w:id="20"/>
            <w:bookmarkEnd w:id="21"/>
          </w:p>
        </w:tc>
      </w:tr>
      <w:tr w14:paraId="465F4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250" w:type="pct"/>
            <w:shd w:val="clear" w:color="auto" w:fill="auto"/>
            <w:vAlign w:val="center"/>
          </w:tcPr>
          <w:p w14:paraId="3177C6A6">
            <w:pPr>
              <w:tabs>
                <w:tab w:val="left" w:pos="6120"/>
              </w:tabs>
              <w:spacing w:line="360" w:lineRule="auto"/>
              <w:jc w:val="center"/>
              <w:rPr>
                <w:rFonts w:ascii="宋体" w:hAnsi="宋体" w:cs="宋体"/>
                <w:szCs w:val="21"/>
              </w:rPr>
            </w:pPr>
            <w:r>
              <w:rPr>
                <w:rFonts w:hint="eastAsia" w:ascii="宋体" w:hAnsi="宋体" w:cs="宋体"/>
                <w:szCs w:val="21"/>
              </w:rPr>
              <w:t>宽度</w:t>
            </w:r>
          </w:p>
        </w:tc>
        <w:tc>
          <w:tcPr>
            <w:tcW w:w="1251" w:type="pct"/>
            <w:shd w:val="clear" w:color="auto" w:fill="auto"/>
            <w:vAlign w:val="center"/>
          </w:tcPr>
          <w:p w14:paraId="3E92CBA8">
            <w:pPr>
              <w:tabs>
                <w:tab w:val="left" w:pos="6120"/>
              </w:tabs>
              <w:spacing w:line="360" w:lineRule="auto"/>
              <w:jc w:val="center"/>
              <w:rPr>
                <w:rFonts w:ascii="宋体" w:hAnsi="宋体" w:cs="宋体"/>
                <w:szCs w:val="21"/>
              </w:rPr>
            </w:pPr>
            <w:r>
              <w:rPr>
                <w:rFonts w:hint="eastAsia" w:ascii="宋体" w:hAnsi="宋体" w:cs="宋体"/>
                <w:szCs w:val="21"/>
              </w:rPr>
              <w:t>直度/mm/m</w:t>
            </w:r>
          </w:p>
        </w:tc>
        <w:tc>
          <w:tcPr>
            <w:tcW w:w="2498" w:type="pct"/>
            <w:vMerge w:val="restart"/>
            <w:vAlign w:val="center"/>
          </w:tcPr>
          <w:p w14:paraId="0205EAD9">
            <w:pPr>
              <w:tabs>
                <w:tab w:val="left" w:pos="6120"/>
              </w:tabs>
              <w:spacing w:line="360" w:lineRule="auto"/>
              <w:jc w:val="center"/>
              <w:rPr>
                <w:rFonts w:ascii="宋体" w:hAnsi="宋体" w:cs="宋体"/>
                <w:szCs w:val="21"/>
              </w:rPr>
            </w:pPr>
            <w:r>
              <w:rPr>
                <w:rFonts w:hint="eastAsia" w:ascii="宋体" w:hAnsi="宋体" w:cs="宋体"/>
                <w:szCs w:val="21"/>
              </w:rPr>
              <w:t>无</w:t>
            </w:r>
          </w:p>
        </w:tc>
      </w:tr>
      <w:tr w14:paraId="7904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1250" w:type="pct"/>
            <w:shd w:val="clear" w:color="auto" w:fill="auto"/>
            <w:vAlign w:val="center"/>
          </w:tcPr>
          <w:p w14:paraId="2D9D6A48">
            <w:pPr>
              <w:snapToGrid w:val="0"/>
              <w:spacing w:line="360" w:lineRule="auto"/>
              <w:jc w:val="center"/>
              <w:outlineLvl w:val="1"/>
              <w:rPr>
                <w:rFonts w:ascii="宋体" w:hAnsi="宋体" w:cs="宋体"/>
                <w:szCs w:val="21"/>
              </w:rPr>
            </w:pPr>
            <w:r>
              <w:rPr>
                <w:rFonts w:hint="eastAsia" w:ascii="宋体" w:hAnsi="宋体" w:cs="宋体"/>
                <w:smallCaps/>
                <w:szCs w:val="21"/>
              </w:rPr>
              <w:t>≤100.00</w:t>
            </w:r>
          </w:p>
        </w:tc>
        <w:tc>
          <w:tcPr>
            <w:tcW w:w="1251" w:type="pct"/>
            <w:shd w:val="clear" w:color="auto" w:fill="auto"/>
            <w:vAlign w:val="center"/>
          </w:tcPr>
          <w:p w14:paraId="13FD24C8">
            <w:pPr>
              <w:snapToGrid w:val="0"/>
              <w:spacing w:line="360" w:lineRule="auto"/>
              <w:jc w:val="center"/>
              <w:outlineLvl w:val="1"/>
              <w:rPr>
                <w:rFonts w:ascii="宋体" w:hAnsi="宋体" w:cs="宋体"/>
                <w:szCs w:val="21"/>
              </w:rPr>
            </w:pPr>
            <w:r>
              <w:rPr>
                <w:rFonts w:hint="eastAsia" w:ascii="宋体" w:hAnsi="宋体" w:cs="宋体"/>
                <w:smallCaps/>
                <w:szCs w:val="21"/>
              </w:rPr>
              <w:t>≤4.00</w:t>
            </w:r>
          </w:p>
        </w:tc>
        <w:tc>
          <w:tcPr>
            <w:tcW w:w="2498" w:type="pct"/>
            <w:vMerge w:val="continue"/>
            <w:vAlign w:val="center"/>
          </w:tcPr>
          <w:p w14:paraId="234C9273">
            <w:pPr>
              <w:tabs>
                <w:tab w:val="left" w:pos="6120"/>
              </w:tabs>
              <w:spacing w:line="360" w:lineRule="auto"/>
              <w:jc w:val="center"/>
              <w:rPr>
                <w:rFonts w:ascii="宋体" w:hAnsi="宋体" w:cs="宋体"/>
                <w:szCs w:val="21"/>
              </w:rPr>
            </w:pPr>
          </w:p>
        </w:tc>
      </w:tr>
      <w:tr w14:paraId="2388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250" w:type="pct"/>
            <w:shd w:val="clear" w:color="auto" w:fill="auto"/>
            <w:vAlign w:val="center"/>
          </w:tcPr>
          <w:p w14:paraId="4C16BD7E">
            <w:pPr>
              <w:snapToGrid w:val="0"/>
              <w:spacing w:line="360" w:lineRule="auto"/>
              <w:jc w:val="center"/>
              <w:outlineLvl w:val="1"/>
              <w:rPr>
                <w:rFonts w:ascii="宋体" w:hAnsi="宋体" w:cs="宋体"/>
                <w:szCs w:val="21"/>
              </w:rPr>
            </w:pPr>
            <w:r>
              <w:rPr>
                <w:rFonts w:hint="eastAsia" w:ascii="宋体" w:hAnsi="宋体" w:cs="宋体"/>
                <w:smallCaps/>
                <w:szCs w:val="21"/>
              </w:rPr>
              <w:t>＞100.00</w:t>
            </w:r>
          </w:p>
        </w:tc>
        <w:tc>
          <w:tcPr>
            <w:tcW w:w="1251" w:type="pct"/>
            <w:shd w:val="clear" w:color="auto" w:fill="auto"/>
            <w:vAlign w:val="center"/>
          </w:tcPr>
          <w:p w14:paraId="13ED2F79">
            <w:pPr>
              <w:snapToGrid w:val="0"/>
              <w:spacing w:line="360" w:lineRule="auto"/>
              <w:jc w:val="center"/>
              <w:outlineLvl w:val="1"/>
              <w:rPr>
                <w:rFonts w:ascii="宋体" w:hAnsi="宋体" w:cs="宋体"/>
                <w:szCs w:val="21"/>
              </w:rPr>
            </w:pPr>
            <w:r>
              <w:rPr>
                <w:rFonts w:hint="eastAsia" w:ascii="宋体" w:hAnsi="宋体" w:cs="宋体"/>
                <w:smallCaps/>
                <w:szCs w:val="21"/>
              </w:rPr>
              <w:t>≤3.00</w:t>
            </w:r>
          </w:p>
        </w:tc>
        <w:tc>
          <w:tcPr>
            <w:tcW w:w="2498" w:type="pct"/>
            <w:vMerge w:val="continue"/>
            <w:vAlign w:val="center"/>
          </w:tcPr>
          <w:p w14:paraId="24CE419B">
            <w:pPr>
              <w:tabs>
                <w:tab w:val="left" w:pos="6120"/>
              </w:tabs>
              <w:spacing w:line="360" w:lineRule="auto"/>
              <w:jc w:val="center"/>
              <w:rPr>
                <w:rFonts w:ascii="宋体" w:hAnsi="宋体" w:cs="宋体"/>
                <w:szCs w:val="21"/>
              </w:rPr>
            </w:pPr>
          </w:p>
        </w:tc>
      </w:tr>
    </w:tbl>
    <w:p w14:paraId="669CBCB7">
      <w:pPr>
        <w:spacing w:line="360" w:lineRule="auto"/>
        <w:jc w:val="both"/>
        <w:rPr>
          <w:rFonts w:ascii="宋体" w:hAnsi="宋体"/>
          <w:szCs w:val="24"/>
        </w:rPr>
      </w:pPr>
      <w:r>
        <w:rPr>
          <w:rFonts w:hint="eastAsia" w:ascii="宋体" w:hAnsi="宋体"/>
          <w:szCs w:val="24"/>
        </w:rPr>
        <w:t>3.2  力学性能对比情况见表</w:t>
      </w:r>
      <w:r>
        <w:rPr>
          <w:rFonts w:hint="eastAsia" w:ascii="宋体" w:hAnsi="宋体"/>
          <w:szCs w:val="24"/>
          <w:lang w:val="en-US" w:eastAsia="zh-CN"/>
        </w:rPr>
        <w:t>33</w:t>
      </w:r>
      <w:r>
        <w:rPr>
          <w:rFonts w:hint="eastAsia" w:ascii="宋体" w:hAnsi="宋体"/>
          <w:szCs w:val="24"/>
        </w:rPr>
        <w:t>。</w:t>
      </w:r>
    </w:p>
    <w:p w14:paraId="298B6432">
      <w:pPr>
        <w:tabs>
          <w:tab w:val="left" w:pos="6120"/>
        </w:tabs>
        <w:spacing w:line="360" w:lineRule="auto"/>
        <w:jc w:val="center"/>
        <w:rPr>
          <w:rFonts w:asciiTheme="minorEastAsia" w:hAnsiTheme="minorEastAsia" w:eastAsiaTheme="minorEastAsia"/>
          <w:szCs w:val="24"/>
        </w:rPr>
      </w:pPr>
      <w:r>
        <w:rPr>
          <w:rFonts w:hint="eastAsia" w:asciiTheme="minorEastAsia" w:hAnsiTheme="minorEastAsia" w:eastAsiaTheme="minorEastAsia"/>
          <w:szCs w:val="24"/>
        </w:rPr>
        <w:t>表</w:t>
      </w:r>
      <w:r>
        <w:rPr>
          <w:rFonts w:hint="eastAsia" w:asciiTheme="minorEastAsia" w:hAnsiTheme="minorEastAsia" w:eastAsiaTheme="minorEastAsia"/>
          <w:szCs w:val="24"/>
          <w:lang w:val="en-US" w:eastAsia="zh-CN"/>
        </w:rPr>
        <w:t>33</w:t>
      </w:r>
      <w:r>
        <w:rPr>
          <w:rFonts w:hint="eastAsia" w:asciiTheme="minorEastAsia" w:hAnsiTheme="minorEastAsia" w:eastAsiaTheme="minorEastAsia"/>
          <w:szCs w:val="24"/>
        </w:rPr>
        <w:t xml:space="preserve"> 标准力学性能对比</w:t>
      </w:r>
    </w:p>
    <w:tbl>
      <w:tblPr>
        <w:tblStyle w:val="2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977"/>
        <w:gridCol w:w="990"/>
        <w:gridCol w:w="967"/>
        <w:gridCol w:w="991"/>
        <w:gridCol w:w="995"/>
        <w:gridCol w:w="707"/>
        <w:gridCol w:w="765"/>
        <w:gridCol w:w="1188"/>
        <w:gridCol w:w="986"/>
      </w:tblGrid>
      <w:tr w14:paraId="7F1D9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35" w:type="pct"/>
            <w:gridSpan w:val="6"/>
            <w:vAlign w:val="center"/>
          </w:tcPr>
          <w:p w14:paraId="4C8A47FD">
            <w:pPr>
              <w:spacing w:line="360" w:lineRule="auto"/>
              <w:ind w:firstLine="360"/>
              <w:jc w:val="center"/>
              <w:rPr>
                <w:rFonts w:cs="宋体" w:asciiTheme="minorEastAsia" w:hAnsiTheme="minorEastAsia" w:eastAsiaTheme="minorEastAsia"/>
                <w:szCs w:val="24"/>
              </w:rPr>
            </w:pPr>
            <w:r>
              <w:rPr>
                <w:rFonts w:hint="eastAsia" w:cs="宋体" w:asciiTheme="minorEastAsia" w:hAnsiTheme="minorEastAsia" w:eastAsiaTheme="minorEastAsia"/>
                <w:szCs w:val="24"/>
              </w:rPr>
              <w:t>本标准</w:t>
            </w:r>
          </w:p>
        </w:tc>
        <w:tc>
          <w:tcPr>
            <w:tcW w:w="380" w:type="pct"/>
            <w:vAlign w:val="center"/>
          </w:tcPr>
          <w:p w14:paraId="5071C893">
            <w:pPr>
              <w:spacing w:line="360" w:lineRule="auto"/>
              <w:ind w:firstLine="360"/>
              <w:jc w:val="center"/>
              <w:rPr>
                <w:rFonts w:cs="宋体" w:asciiTheme="minorEastAsia" w:hAnsiTheme="minorEastAsia" w:eastAsiaTheme="minorEastAsia"/>
                <w:szCs w:val="24"/>
              </w:rPr>
            </w:pPr>
          </w:p>
        </w:tc>
        <w:tc>
          <w:tcPr>
            <w:tcW w:w="1583" w:type="pct"/>
            <w:gridSpan w:val="3"/>
            <w:vAlign w:val="center"/>
          </w:tcPr>
          <w:p w14:paraId="5F0EF054">
            <w:pPr>
              <w:spacing w:line="360" w:lineRule="auto"/>
              <w:ind w:firstLine="360"/>
              <w:jc w:val="center"/>
              <w:rPr>
                <w:rFonts w:cs="宋体" w:asciiTheme="minorEastAsia" w:hAnsiTheme="minorEastAsia" w:eastAsiaTheme="minorEastAsia"/>
                <w:szCs w:val="24"/>
              </w:rPr>
            </w:pPr>
            <w:r>
              <w:rPr>
                <w:rFonts w:hint="eastAsia" w:cs="宋体" w:asciiTheme="minorEastAsia" w:hAnsiTheme="minorEastAsia" w:eastAsiaTheme="minorEastAsia"/>
                <w:szCs w:val="24"/>
              </w:rPr>
              <w:t>美标ASTM B694</w:t>
            </w:r>
          </w:p>
        </w:tc>
      </w:tr>
      <w:tr w14:paraId="00210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4" w:type="pct"/>
            <w:vAlign w:val="center"/>
          </w:tcPr>
          <w:p w14:paraId="7981B0AF">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牌号</w:t>
            </w:r>
          </w:p>
        </w:tc>
        <w:tc>
          <w:tcPr>
            <w:tcW w:w="526" w:type="pct"/>
            <w:vAlign w:val="center"/>
          </w:tcPr>
          <w:p w14:paraId="3710A393">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状态</w:t>
            </w:r>
          </w:p>
        </w:tc>
        <w:tc>
          <w:tcPr>
            <w:tcW w:w="533" w:type="pct"/>
            <w:vAlign w:val="center"/>
          </w:tcPr>
          <w:p w14:paraId="74EB42D4">
            <w:pPr>
              <w:spacing w:line="360" w:lineRule="auto"/>
              <w:jc w:val="center"/>
              <w:rPr>
                <w:rFonts w:cs="宋体" w:asciiTheme="minorEastAsia" w:hAnsiTheme="minorEastAsia" w:eastAsiaTheme="minorEastAsia"/>
                <w:szCs w:val="24"/>
                <w:vertAlign w:val="subscript"/>
              </w:rPr>
            </w:pPr>
            <w:r>
              <w:rPr>
                <w:rFonts w:hint="eastAsia" w:cs="宋体" w:asciiTheme="minorEastAsia" w:hAnsiTheme="minorEastAsia" w:eastAsiaTheme="minorEastAsia"/>
                <w:szCs w:val="24"/>
              </w:rPr>
              <w:t>抗拉强度（</w:t>
            </w:r>
            <w:r>
              <w:rPr>
                <w:rFonts w:hint="eastAsia" w:cs="宋体" w:asciiTheme="minorEastAsia" w:hAnsiTheme="minorEastAsia" w:eastAsiaTheme="minorEastAsia"/>
                <w:i/>
                <w:szCs w:val="24"/>
              </w:rPr>
              <w:t>R</w:t>
            </w:r>
            <w:r>
              <w:rPr>
                <w:rFonts w:hint="eastAsia" w:cs="宋体" w:asciiTheme="minorEastAsia" w:hAnsiTheme="minorEastAsia" w:eastAsiaTheme="minorEastAsia"/>
                <w:szCs w:val="24"/>
                <w:vertAlign w:val="subscript"/>
              </w:rPr>
              <w:t>m</w:t>
            </w:r>
            <w:r>
              <w:rPr>
                <w:rFonts w:hint="eastAsia" w:cs="宋体" w:asciiTheme="minorEastAsia" w:hAnsiTheme="minorEastAsia" w:eastAsiaTheme="minorEastAsia"/>
                <w:szCs w:val="24"/>
              </w:rPr>
              <w:t>）</w:t>
            </w:r>
          </w:p>
          <w:p w14:paraId="0C61BDDC">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pacing w:val="-12"/>
                <w:szCs w:val="24"/>
              </w:rPr>
              <w:t>MPa</w:t>
            </w:r>
          </w:p>
        </w:tc>
        <w:tc>
          <w:tcPr>
            <w:tcW w:w="521" w:type="pct"/>
            <w:vAlign w:val="center"/>
          </w:tcPr>
          <w:p w14:paraId="2BDD1593">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屈服强度（</w:t>
            </w:r>
            <w:r>
              <w:rPr>
                <w:rFonts w:hint="eastAsia" w:cs="宋体" w:asciiTheme="minorEastAsia" w:hAnsiTheme="minorEastAsia" w:eastAsiaTheme="minorEastAsia"/>
                <w:i/>
                <w:szCs w:val="24"/>
              </w:rPr>
              <w:t>R</w:t>
            </w:r>
            <w:r>
              <w:rPr>
                <w:rFonts w:hint="eastAsia" w:cs="宋体" w:asciiTheme="minorEastAsia" w:hAnsiTheme="minorEastAsia" w:eastAsiaTheme="minorEastAsia"/>
                <w:szCs w:val="24"/>
                <w:vertAlign w:val="subscript"/>
              </w:rPr>
              <w:t>p0.2</w:t>
            </w:r>
            <w:r>
              <w:rPr>
                <w:rFonts w:hint="eastAsia" w:cs="宋体" w:asciiTheme="minorEastAsia" w:hAnsiTheme="minorEastAsia" w:eastAsiaTheme="minorEastAsia"/>
                <w:spacing w:val="-12"/>
                <w:szCs w:val="24"/>
              </w:rPr>
              <w:t xml:space="preserve"> </w:t>
            </w:r>
            <w:r>
              <w:rPr>
                <w:rFonts w:hint="eastAsia" w:cs="宋体" w:asciiTheme="minorEastAsia" w:hAnsiTheme="minorEastAsia" w:eastAsiaTheme="minorEastAsia"/>
                <w:szCs w:val="24"/>
              </w:rPr>
              <w:t>）</w:t>
            </w:r>
            <w:r>
              <w:rPr>
                <w:rFonts w:hint="eastAsia" w:cs="宋体" w:asciiTheme="minorEastAsia" w:hAnsiTheme="minorEastAsia" w:eastAsiaTheme="minorEastAsia"/>
                <w:spacing w:val="-12"/>
                <w:szCs w:val="24"/>
              </w:rPr>
              <w:t>MPa</w:t>
            </w:r>
          </w:p>
        </w:tc>
        <w:tc>
          <w:tcPr>
            <w:tcW w:w="533" w:type="pct"/>
            <w:vAlign w:val="center"/>
          </w:tcPr>
          <w:p w14:paraId="6495567C">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伸长率（</w:t>
            </w:r>
            <w:r>
              <w:rPr>
                <w:rFonts w:hint="eastAsia" w:cs="宋体" w:asciiTheme="minorEastAsia" w:hAnsiTheme="minorEastAsia" w:eastAsiaTheme="minorEastAsia"/>
                <w:i/>
                <w:szCs w:val="24"/>
              </w:rPr>
              <w:t>A</w:t>
            </w:r>
            <w:r>
              <w:rPr>
                <w:rFonts w:hint="eastAsia" w:cs="宋体" w:asciiTheme="minorEastAsia" w:hAnsiTheme="minorEastAsia" w:eastAsiaTheme="minorEastAsia"/>
                <w:szCs w:val="24"/>
                <w:vertAlign w:val="subscript"/>
              </w:rPr>
              <w:t>11.3</w:t>
            </w:r>
            <w:r>
              <w:rPr>
                <w:rFonts w:hint="eastAsia" w:cs="宋体" w:asciiTheme="minorEastAsia" w:hAnsiTheme="minorEastAsia" w:eastAsiaTheme="minorEastAsia"/>
                <w:szCs w:val="24"/>
              </w:rPr>
              <w:t>）</w:t>
            </w:r>
          </w:p>
          <w:p w14:paraId="79F2D134">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536" w:type="pct"/>
            <w:vAlign w:val="center"/>
          </w:tcPr>
          <w:p w14:paraId="5C80A4D3">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维氏硬度（HV）</w:t>
            </w:r>
          </w:p>
        </w:tc>
        <w:tc>
          <w:tcPr>
            <w:tcW w:w="380" w:type="pct"/>
            <w:vAlign w:val="center"/>
          </w:tcPr>
          <w:p w14:paraId="7161EB8E">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牌号</w:t>
            </w:r>
          </w:p>
        </w:tc>
        <w:tc>
          <w:tcPr>
            <w:tcW w:w="412" w:type="pct"/>
            <w:vAlign w:val="center"/>
          </w:tcPr>
          <w:p w14:paraId="01A821D1">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状态</w:t>
            </w:r>
          </w:p>
        </w:tc>
        <w:tc>
          <w:tcPr>
            <w:tcW w:w="640" w:type="pct"/>
            <w:vAlign w:val="center"/>
          </w:tcPr>
          <w:p w14:paraId="40ACABFB">
            <w:pPr>
              <w:snapToGrid w:val="0"/>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抗拉强度</w:t>
            </w:r>
          </w:p>
          <w:p w14:paraId="0AA12B8C">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Rm/MPa</w:t>
            </w:r>
          </w:p>
        </w:tc>
        <w:tc>
          <w:tcPr>
            <w:tcW w:w="531" w:type="pct"/>
            <w:vAlign w:val="center"/>
          </w:tcPr>
          <w:p w14:paraId="65E27018">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HRF</w:t>
            </w:r>
          </w:p>
        </w:tc>
      </w:tr>
      <w:tr w14:paraId="4F313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4" w:type="pct"/>
            <w:vAlign w:val="center"/>
          </w:tcPr>
          <w:p w14:paraId="20F2F8B2">
            <w:pPr>
              <w:spacing w:before="100" w:beforeAutospacing="1" w:after="100" w:afterAutospacing="1" w:line="240" w:lineRule="auto"/>
              <w:jc w:val="center"/>
              <w:rPr>
                <w:rFonts w:asciiTheme="minorEastAsia" w:hAnsiTheme="minorEastAsia" w:eastAsiaTheme="minorEastAsia"/>
              </w:rPr>
            </w:pPr>
            <w:r>
              <w:rPr>
                <w:rFonts w:asciiTheme="minorEastAsia" w:hAnsiTheme="minorEastAsia" w:eastAsiaTheme="minorEastAsia"/>
              </w:rPr>
              <w:t>TU2</w:t>
            </w:r>
          </w:p>
        </w:tc>
        <w:tc>
          <w:tcPr>
            <w:tcW w:w="526" w:type="pct"/>
            <w:vAlign w:val="center"/>
          </w:tcPr>
          <w:p w14:paraId="0B3DD2C2">
            <w:pPr>
              <w:spacing w:before="100" w:beforeAutospacing="1" w:after="100" w:afterAutospacing="1" w:line="240" w:lineRule="auto"/>
              <w:jc w:val="center"/>
              <w:rPr>
                <w:rFonts w:asciiTheme="minorEastAsia" w:hAnsiTheme="minorEastAsia" w:eastAsiaTheme="minorEastAsia"/>
              </w:rPr>
            </w:pPr>
            <w:r>
              <w:rPr>
                <w:rFonts w:asciiTheme="minorEastAsia" w:hAnsiTheme="minorEastAsia" w:eastAsiaTheme="minorEastAsia"/>
                <w:snapToGrid w:val="0"/>
                <w:szCs w:val="18"/>
              </w:rPr>
              <w:t>O60</w:t>
            </w:r>
          </w:p>
        </w:tc>
        <w:tc>
          <w:tcPr>
            <w:tcW w:w="533" w:type="pct"/>
            <w:vAlign w:val="center"/>
          </w:tcPr>
          <w:p w14:paraId="64E3EB7A">
            <w:pPr>
              <w:spacing w:before="100" w:beforeAutospacing="1" w:after="100" w:afterAutospacing="1" w:line="240" w:lineRule="auto"/>
              <w:jc w:val="center"/>
              <w:rPr>
                <w:rFonts w:asciiTheme="minorEastAsia" w:hAnsiTheme="minorEastAsia" w:eastAsiaTheme="minorEastAsia"/>
              </w:rPr>
            </w:pPr>
            <w:r>
              <w:rPr>
                <w:rFonts w:asciiTheme="minorEastAsia" w:hAnsiTheme="minorEastAsia" w:eastAsiaTheme="minorEastAsia"/>
              </w:rPr>
              <w:t>200</w:t>
            </w:r>
            <w:r>
              <w:rPr>
                <w:rFonts w:hint="eastAsia" w:asciiTheme="minorEastAsia" w:hAnsiTheme="minorEastAsia" w:eastAsiaTheme="minorEastAsia"/>
              </w:rPr>
              <w:t>～</w:t>
            </w:r>
            <w:r>
              <w:rPr>
                <w:rFonts w:asciiTheme="minorEastAsia" w:hAnsiTheme="minorEastAsia" w:eastAsiaTheme="minorEastAsia"/>
              </w:rPr>
              <w:t>250</w:t>
            </w:r>
          </w:p>
        </w:tc>
        <w:tc>
          <w:tcPr>
            <w:tcW w:w="521" w:type="pct"/>
            <w:vAlign w:val="center"/>
          </w:tcPr>
          <w:p w14:paraId="4D3DD4C9">
            <w:pPr>
              <w:spacing w:before="100" w:beforeAutospacing="1" w:after="100" w:afterAutospacing="1" w:line="240" w:lineRule="auto"/>
              <w:jc w:val="center"/>
              <w:rPr>
                <w:rFonts w:asciiTheme="minorEastAsia" w:hAnsiTheme="minorEastAsia" w:eastAsiaTheme="minorEastAsia"/>
              </w:rPr>
            </w:pPr>
            <w:r>
              <w:rPr>
                <w:rFonts w:asciiTheme="minorEastAsia" w:hAnsiTheme="minorEastAsia" w:eastAsiaTheme="minorEastAsia"/>
                <w:szCs w:val="18"/>
              </w:rPr>
              <w:t>≤</w:t>
            </w:r>
            <w:r>
              <w:rPr>
                <w:rFonts w:asciiTheme="minorEastAsia" w:hAnsiTheme="minorEastAsia" w:eastAsiaTheme="minorEastAsia"/>
              </w:rPr>
              <w:t>100</w:t>
            </w:r>
          </w:p>
        </w:tc>
        <w:tc>
          <w:tcPr>
            <w:tcW w:w="533" w:type="pct"/>
            <w:vAlign w:val="center"/>
          </w:tcPr>
          <w:p w14:paraId="55D3CC9C">
            <w:pPr>
              <w:spacing w:before="100" w:beforeAutospacing="1" w:after="100" w:afterAutospacing="1" w:line="240" w:lineRule="auto"/>
              <w:jc w:val="center"/>
              <w:rPr>
                <w:rFonts w:hint="eastAsia" w:asciiTheme="minorEastAsia" w:hAnsiTheme="minorEastAsia" w:eastAsiaTheme="minorEastAsia"/>
                <w:lang w:eastAsia="zh-CN"/>
              </w:rPr>
            </w:pPr>
            <w:r>
              <w:rPr>
                <w:rFonts w:asciiTheme="minorEastAsia" w:hAnsiTheme="minorEastAsia" w:eastAsiaTheme="minorEastAsia"/>
              </w:rPr>
              <w:t>≥4</w:t>
            </w:r>
            <w:r>
              <w:rPr>
                <w:rFonts w:hint="eastAsia" w:asciiTheme="minorEastAsia" w:hAnsiTheme="minorEastAsia" w:eastAsiaTheme="minorEastAsia"/>
                <w:lang w:val="en-US" w:eastAsia="zh-CN"/>
              </w:rPr>
              <w:t>0</w:t>
            </w:r>
          </w:p>
        </w:tc>
        <w:tc>
          <w:tcPr>
            <w:tcW w:w="536" w:type="pct"/>
            <w:vAlign w:val="center"/>
          </w:tcPr>
          <w:p w14:paraId="20728453">
            <w:pPr>
              <w:spacing w:before="100" w:beforeAutospacing="1" w:after="100" w:afterAutospacing="1" w:line="240" w:lineRule="auto"/>
              <w:jc w:val="center"/>
              <w:rPr>
                <w:rFonts w:asciiTheme="minorEastAsia" w:hAnsiTheme="minorEastAsia" w:eastAsiaTheme="minorEastAsia"/>
              </w:rPr>
            </w:pPr>
            <w:r>
              <w:rPr>
                <w:rFonts w:asciiTheme="minorEastAsia" w:hAnsiTheme="minorEastAsia" w:eastAsiaTheme="minorEastAsia"/>
                <w:szCs w:val="18"/>
              </w:rPr>
              <w:t>≤70</w:t>
            </w:r>
          </w:p>
        </w:tc>
        <w:tc>
          <w:tcPr>
            <w:tcW w:w="380" w:type="pct"/>
            <w:vAlign w:val="center"/>
          </w:tcPr>
          <w:p w14:paraId="71170EAA">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412" w:type="pct"/>
            <w:vAlign w:val="center"/>
          </w:tcPr>
          <w:p w14:paraId="57906DCF">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640" w:type="pct"/>
            <w:vAlign w:val="center"/>
          </w:tcPr>
          <w:p w14:paraId="3FF33325">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531" w:type="pct"/>
            <w:vAlign w:val="center"/>
          </w:tcPr>
          <w:p w14:paraId="72EB94E7">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r>
      <w:tr w14:paraId="71511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4" w:type="pct"/>
            <w:vMerge w:val="restart"/>
            <w:vAlign w:val="center"/>
          </w:tcPr>
          <w:p w14:paraId="625FAA32">
            <w:pPr>
              <w:spacing w:before="100" w:beforeAutospacing="1" w:after="100" w:afterAutospacing="1" w:line="240" w:lineRule="auto"/>
              <w:jc w:val="center"/>
              <w:rPr>
                <w:rFonts w:asciiTheme="minorEastAsia" w:hAnsiTheme="minorEastAsia" w:eastAsiaTheme="minorEastAsia"/>
              </w:rPr>
            </w:pPr>
            <w:r>
              <w:rPr>
                <w:rFonts w:asciiTheme="minorEastAsia" w:hAnsiTheme="minorEastAsia" w:eastAsiaTheme="minorEastAsia"/>
              </w:rPr>
              <w:t>T2</w:t>
            </w:r>
          </w:p>
          <w:p w14:paraId="3754CB2B">
            <w:pPr>
              <w:spacing w:before="100" w:beforeAutospacing="1" w:after="100" w:afterAutospacing="1" w:line="240" w:lineRule="auto"/>
              <w:jc w:val="center"/>
              <w:rPr>
                <w:rFonts w:asciiTheme="minorEastAsia" w:hAnsiTheme="minorEastAsia" w:eastAsiaTheme="minorEastAsia"/>
              </w:rPr>
            </w:pPr>
            <w:r>
              <w:rPr>
                <w:rFonts w:asciiTheme="minorEastAsia" w:hAnsiTheme="minorEastAsia" w:eastAsiaTheme="minorEastAsia"/>
              </w:rPr>
              <w:t>H65</w:t>
            </w:r>
          </w:p>
          <w:p w14:paraId="557A22DA">
            <w:pPr>
              <w:spacing w:before="100" w:beforeAutospacing="1" w:after="100" w:afterAutospacing="1" w:line="240" w:lineRule="auto"/>
              <w:jc w:val="center"/>
              <w:rPr>
                <w:rFonts w:asciiTheme="minorEastAsia" w:hAnsiTheme="minorEastAsia" w:eastAsiaTheme="minorEastAsia"/>
              </w:rPr>
            </w:pPr>
            <w:r>
              <w:rPr>
                <w:rFonts w:asciiTheme="minorEastAsia" w:hAnsiTheme="minorEastAsia" w:eastAsiaTheme="minorEastAsia"/>
              </w:rPr>
              <w:t>H62</w:t>
            </w:r>
          </w:p>
        </w:tc>
        <w:tc>
          <w:tcPr>
            <w:tcW w:w="526" w:type="pct"/>
            <w:vAlign w:val="center"/>
          </w:tcPr>
          <w:p w14:paraId="22820E7F">
            <w:pPr>
              <w:spacing w:before="100" w:beforeAutospacing="1" w:after="100" w:afterAutospacing="1" w:line="240" w:lineRule="auto"/>
              <w:jc w:val="center"/>
              <w:rPr>
                <w:rFonts w:asciiTheme="minorEastAsia" w:hAnsiTheme="minorEastAsia" w:eastAsiaTheme="minorEastAsia"/>
              </w:rPr>
            </w:pPr>
            <w:r>
              <w:rPr>
                <w:rFonts w:asciiTheme="minorEastAsia" w:hAnsiTheme="minorEastAsia" w:eastAsiaTheme="minorEastAsia"/>
                <w:snapToGrid w:val="0"/>
                <w:szCs w:val="18"/>
              </w:rPr>
              <w:t>O60</w:t>
            </w:r>
          </w:p>
        </w:tc>
        <w:tc>
          <w:tcPr>
            <w:tcW w:w="533" w:type="pct"/>
            <w:vAlign w:val="center"/>
          </w:tcPr>
          <w:p w14:paraId="389F7538">
            <w:pPr>
              <w:spacing w:before="100" w:beforeAutospacing="1" w:after="100" w:afterAutospacing="1" w:line="240" w:lineRule="auto"/>
              <w:jc w:val="center"/>
              <w:rPr>
                <w:rFonts w:asciiTheme="minorEastAsia" w:hAnsiTheme="minorEastAsia" w:eastAsiaTheme="minorEastAsia"/>
              </w:rPr>
            </w:pPr>
            <w:r>
              <w:rPr>
                <w:rFonts w:asciiTheme="minorEastAsia" w:hAnsiTheme="minorEastAsia" w:eastAsiaTheme="minorEastAsia"/>
                <w:szCs w:val="18"/>
              </w:rPr>
              <w:t>195</w:t>
            </w:r>
            <w:r>
              <w:rPr>
                <w:rFonts w:hint="eastAsia" w:asciiTheme="minorEastAsia" w:hAnsiTheme="minorEastAsia" w:eastAsiaTheme="minorEastAsia"/>
              </w:rPr>
              <w:t>～</w:t>
            </w:r>
            <w:r>
              <w:rPr>
                <w:rFonts w:asciiTheme="minorEastAsia" w:hAnsiTheme="minorEastAsia" w:eastAsiaTheme="minorEastAsia"/>
                <w:szCs w:val="18"/>
              </w:rPr>
              <w:t>260</w:t>
            </w:r>
          </w:p>
        </w:tc>
        <w:tc>
          <w:tcPr>
            <w:tcW w:w="521" w:type="pct"/>
            <w:vAlign w:val="center"/>
          </w:tcPr>
          <w:p w14:paraId="011AFBA7">
            <w:pPr>
              <w:spacing w:before="100" w:beforeAutospacing="1" w:after="100" w:afterAutospacing="1" w:line="240" w:lineRule="auto"/>
              <w:jc w:val="center"/>
              <w:rPr>
                <w:rFonts w:asciiTheme="minorEastAsia" w:hAnsiTheme="minorEastAsia" w:eastAsiaTheme="minorEastAsia"/>
              </w:rPr>
            </w:pPr>
            <w:r>
              <w:rPr>
                <w:rFonts w:asciiTheme="minorEastAsia" w:hAnsiTheme="minorEastAsia" w:eastAsiaTheme="minorEastAsia"/>
                <w:szCs w:val="18"/>
              </w:rPr>
              <w:t>≤</w:t>
            </w:r>
            <w:r>
              <w:rPr>
                <w:rFonts w:asciiTheme="minorEastAsia" w:hAnsiTheme="minorEastAsia" w:eastAsiaTheme="minorEastAsia"/>
              </w:rPr>
              <w:t>100</w:t>
            </w:r>
          </w:p>
        </w:tc>
        <w:tc>
          <w:tcPr>
            <w:tcW w:w="533" w:type="pct"/>
            <w:vAlign w:val="center"/>
          </w:tcPr>
          <w:p w14:paraId="4203BDE5">
            <w:pPr>
              <w:spacing w:before="100" w:beforeAutospacing="1" w:after="100" w:afterAutospacing="1" w:line="240" w:lineRule="auto"/>
              <w:jc w:val="center"/>
              <w:rPr>
                <w:rFonts w:hint="default" w:asciiTheme="minorEastAsia" w:hAnsiTheme="minorEastAsia" w:eastAsiaTheme="minorEastAsia"/>
                <w:lang w:val="en-US" w:eastAsia="zh-CN"/>
              </w:rPr>
            </w:pPr>
            <w:r>
              <w:rPr>
                <w:rFonts w:asciiTheme="minorEastAsia" w:hAnsiTheme="minorEastAsia" w:eastAsiaTheme="minorEastAsia"/>
              </w:rPr>
              <w:t>≥</w:t>
            </w:r>
            <w:r>
              <w:rPr>
                <w:rFonts w:hint="eastAsia" w:asciiTheme="minorEastAsia" w:hAnsiTheme="minorEastAsia" w:eastAsiaTheme="minorEastAsia"/>
                <w:lang w:val="en-US" w:eastAsia="zh-CN"/>
              </w:rPr>
              <w:t>35</w:t>
            </w:r>
          </w:p>
        </w:tc>
        <w:tc>
          <w:tcPr>
            <w:tcW w:w="536" w:type="pct"/>
            <w:vAlign w:val="center"/>
          </w:tcPr>
          <w:p w14:paraId="0F4711FA">
            <w:pPr>
              <w:spacing w:before="100" w:beforeAutospacing="1" w:after="100" w:afterAutospacing="1" w:line="240" w:lineRule="auto"/>
              <w:jc w:val="center"/>
              <w:rPr>
                <w:rFonts w:asciiTheme="minorEastAsia" w:hAnsiTheme="minorEastAsia" w:eastAsiaTheme="minorEastAsia"/>
              </w:rPr>
            </w:pPr>
            <w:r>
              <w:rPr>
                <w:rFonts w:asciiTheme="minorEastAsia" w:hAnsiTheme="minorEastAsia" w:eastAsiaTheme="minorEastAsia"/>
                <w:szCs w:val="18"/>
              </w:rPr>
              <w:t>≤65</w:t>
            </w:r>
          </w:p>
        </w:tc>
        <w:tc>
          <w:tcPr>
            <w:tcW w:w="380" w:type="pct"/>
            <w:vMerge w:val="restart"/>
            <w:vAlign w:val="center"/>
          </w:tcPr>
          <w:p w14:paraId="1A80D307">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C11000</w:t>
            </w:r>
          </w:p>
        </w:tc>
        <w:tc>
          <w:tcPr>
            <w:tcW w:w="412" w:type="pct"/>
            <w:shd w:val="clear" w:color="auto" w:fill="auto"/>
            <w:vAlign w:val="center"/>
          </w:tcPr>
          <w:p w14:paraId="7D97C74A">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O61</w:t>
            </w:r>
          </w:p>
        </w:tc>
        <w:tc>
          <w:tcPr>
            <w:tcW w:w="640" w:type="pct"/>
            <w:shd w:val="clear" w:color="auto" w:fill="auto"/>
            <w:vAlign w:val="center"/>
          </w:tcPr>
          <w:p w14:paraId="15431E6C">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≤235</w:t>
            </w:r>
          </w:p>
        </w:tc>
        <w:tc>
          <w:tcPr>
            <w:tcW w:w="531" w:type="pct"/>
            <w:shd w:val="clear" w:color="auto" w:fill="auto"/>
            <w:vAlign w:val="center"/>
          </w:tcPr>
          <w:p w14:paraId="16DB2C26">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54</w:t>
            </w:r>
          </w:p>
        </w:tc>
      </w:tr>
      <w:tr w14:paraId="335B2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4" w:type="pct"/>
            <w:vMerge w:val="continue"/>
            <w:vAlign w:val="center"/>
          </w:tcPr>
          <w:p w14:paraId="513345AA">
            <w:pPr>
              <w:spacing w:line="360" w:lineRule="auto"/>
              <w:jc w:val="center"/>
              <w:rPr>
                <w:rFonts w:cs="宋体" w:asciiTheme="minorEastAsia" w:hAnsiTheme="minorEastAsia" w:eastAsiaTheme="minorEastAsia"/>
                <w:szCs w:val="24"/>
              </w:rPr>
            </w:pPr>
          </w:p>
        </w:tc>
        <w:tc>
          <w:tcPr>
            <w:tcW w:w="526" w:type="pct"/>
            <w:vAlign w:val="center"/>
          </w:tcPr>
          <w:p w14:paraId="291331CD">
            <w:pPr>
              <w:spacing w:before="100" w:beforeAutospacing="1" w:after="100" w:afterAutospacing="1" w:line="360" w:lineRule="auto"/>
              <w:jc w:val="center"/>
              <w:rPr>
                <w:rFonts w:cs="宋体" w:asciiTheme="minorEastAsia" w:hAnsiTheme="minorEastAsia" w:eastAsiaTheme="minorEastAsia"/>
                <w:szCs w:val="24"/>
              </w:rPr>
            </w:pPr>
            <w:r>
              <w:rPr>
                <w:rFonts w:asciiTheme="minorEastAsia" w:hAnsiTheme="minorEastAsia" w:eastAsiaTheme="minorEastAsia"/>
                <w:snapToGrid w:val="0"/>
                <w:szCs w:val="18"/>
              </w:rPr>
              <w:t>H02</w:t>
            </w:r>
          </w:p>
        </w:tc>
        <w:tc>
          <w:tcPr>
            <w:tcW w:w="533" w:type="pct"/>
            <w:vAlign w:val="center"/>
          </w:tcPr>
          <w:p w14:paraId="0D893ADA">
            <w:pPr>
              <w:spacing w:before="100" w:beforeAutospacing="1" w:after="100" w:afterAutospacing="1" w:line="360" w:lineRule="auto"/>
              <w:jc w:val="center"/>
              <w:rPr>
                <w:rFonts w:cs="宋体" w:asciiTheme="minorEastAsia" w:hAnsiTheme="minorEastAsia" w:eastAsiaTheme="minorEastAsia"/>
                <w:szCs w:val="24"/>
              </w:rPr>
            </w:pPr>
            <w:r>
              <w:rPr>
                <w:rFonts w:hint="eastAsia" w:asciiTheme="minorEastAsia" w:hAnsiTheme="minorEastAsia" w:eastAsiaTheme="minorEastAsia"/>
              </w:rPr>
              <w:t>230～310</w:t>
            </w:r>
          </w:p>
        </w:tc>
        <w:tc>
          <w:tcPr>
            <w:tcW w:w="521" w:type="pct"/>
            <w:vAlign w:val="center"/>
          </w:tcPr>
          <w:p w14:paraId="5428B762">
            <w:pPr>
              <w:spacing w:before="100" w:beforeAutospacing="1" w:after="100" w:afterAutospacing="1" w:line="360" w:lineRule="auto"/>
              <w:jc w:val="center"/>
              <w:rPr>
                <w:rFonts w:cs="宋体" w:asciiTheme="minorEastAsia" w:hAnsiTheme="minorEastAsia" w:eastAsiaTheme="minorEastAsia"/>
                <w:szCs w:val="24"/>
              </w:rPr>
            </w:pPr>
            <w:r>
              <w:rPr>
                <w:rFonts w:asciiTheme="minorEastAsia" w:hAnsiTheme="minorEastAsia" w:eastAsiaTheme="minorEastAsia"/>
                <w:szCs w:val="18"/>
              </w:rPr>
              <w:t>-</w:t>
            </w:r>
          </w:p>
        </w:tc>
        <w:tc>
          <w:tcPr>
            <w:tcW w:w="533" w:type="pct"/>
            <w:vAlign w:val="center"/>
          </w:tcPr>
          <w:p w14:paraId="0214DEE9">
            <w:pPr>
              <w:spacing w:before="100" w:beforeAutospacing="1" w:after="100" w:afterAutospacing="1" w:line="360" w:lineRule="auto"/>
              <w:jc w:val="center"/>
              <w:rPr>
                <w:rFonts w:cs="宋体" w:asciiTheme="minorEastAsia" w:hAnsiTheme="minorEastAsia" w:eastAsiaTheme="minorEastAsia"/>
                <w:szCs w:val="24"/>
              </w:rPr>
            </w:pPr>
            <w:r>
              <w:rPr>
                <w:rFonts w:asciiTheme="minorEastAsia" w:hAnsiTheme="minorEastAsia" w:eastAsiaTheme="minorEastAsia"/>
              </w:rPr>
              <w:t>≥8</w:t>
            </w:r>
          </w:p>
        </w:tc>
        <w:tc>
          <w:tcPr>
            <w:tcW w:w="536" w:type="pct"/>
            <w:vAlign w:val="center"/>
          </w:tcPr>
          <w:p w14:paraId="6FEC375F">
            <w:pPr>
              <w:spacing w:before="100" w:beforeAutospacing="1" w:after="100" w:afterAutospacing="1" w:line="360" w:lineRule="auto"/>
              <w:jc w:val="center"/>
              <w:rPr>
                <w:rFonts w:cs="宋体" w:asciiTheme="minorEastAsia" w:hAnsiTheme="minorEastAsia" w:eastAsiaTheme="minorEastAsia"/>
                <w:szCs w:val="24"/>
              </w:rPr>
            </w:pPr>
            <w:r>
              <w:rPr>
                <w:rFonts w:asciiTheme="minorEastAsia" w:hAnsiTheme="minorEastAsia" w:eastAsiaTheme="minorEastAsia"/>
                <w:szCs w:val="18"/>
              </w:rPr>
              <w:t>80-110</w:t>
            </w:r>
          </w:p>
        </w:tc>
        <w:tc>
          <w:tcPr>
            <w:tcW w:w="380" w:type="pct"/>
            <w:vMerge w:val="continue"/>
            <w:vAlign w:val="center"/>
          </w:tcPr>
          <w:p w14:paraId="165641C6">
            <w:pPr>
              <w:spacing w:line="360" w:lineRule="auto"/>
              <w:jc w:val="center"/>
              <w:rPr>
                <w:rFonts w:cs="宋体" w:asciiTheme="minorEastAsia" w:hAnsiTheme="minorEastAsia" w:eastAsiaTheme="minorEastAsia"/>
                <w:szCs w:val="24"/>
              </w:rPr>
            </w:pPr>
          </w:p>
        </w:tc>
        <w:tc>
          <w:tcPr>
            <w:tcW w:w="412" w:type="pct"/>
            <w:shd w:val="clear" w:color="auto" w:fill="auto"/>
            <w:vAlign w:val="center"/>
          </w:tcPr>
          <w:p w14:paraId="7A0B5AF9">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H00</w:t>
            </w:r>
          </w:p>
        </w:tc>
        <w:tc>
          <w:tcPr>
            <w:tcW w:w="640" w:type="pct"/>
            <w:shd w:val="clear" w:color="auto" w:fill="auto"/>
            <w:vAlign w:val="center"/>
          </w:tcPr>
          <w:p w14:paraId="2B04A5CE">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220～275</w:t>
            </w:r>
          </w:p>
        </w:tc>
        <w:tc>
          <w:tcPr>
            <w:tcW w:w="531" w:type="pct"/>
            <w:shd w:val="clear" w:color="auto" w:fill="auto"/>
            <w:vAlign w:val="center"/>
          </w:tcPr>
          <w:p w14:paraId="6D78A72C">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60～84</w:t>
            </w:r>
          </w:p>
        </w:tc>
      </w:tr>
      <w:tr w14:paraId="69E1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4" w:type="pct"/>
            <w:vMerge w:val="continue"/>
            <w:vAlign w:val="center"/>
          </w:tcPr>
          <w:p w14:paraId="71C66E16">
            <w:pPr>
              <w:spacing w:line="360" w:lineRule="auto"/>
              <w:jc w:val="center"/>
              <w:rPr>
                <w:rFonts w:cs="宋体" w:asciiTheme="minorEastAsia" w:hAnsiTheme="minorEastAsia" w:eastAsiaTheme="minorEastAsia"/>
                <w:szCs w:val="24"/>
              </w:rPr>
            </w:pPr>
          </w:p>
        </w:tc>
        <w:tc>
          <w:tcPr>
            <w:tcW w:w="526" w:type="pct"/>
            <w:shd w:val="clear" w:color="auto" w:fill="auto"/>
            <w:vAlign w:val="center"/>
          </w:tcPr>
          <w:p w14:paraId="26606C42">
            <w:pPr>
              <w:spacing w:before="100" w:beforeAutospacing="1" w:after="100" w:afterAutospacing="1" w:line="360" w:lineRule="auto"/>
              <w:jc w:val="center"/>
              <w:rPr>
                <w:rFonts w:cs="宋体" w:asciiTheme="minorEastAsia" w:hAnsiTheme="minorEastAsia" w:eastAsiaTheme="minorEastAsia"/>
                <w:szCs w:val="24"/>
              </w:rPr>
            </w:pPr>
            <w:r>
              <w:rPr>
                <w:rFonts w:asciiTheme="minorEastAsia" w:hAnsiTheme="minorEastAsia" w:eastAsiaTheme="minorEastAsia"/>
                <w:snapToGrid w:val="0"/>
                <w:szCs w:val="18"/>
              </w:rPr>
              <w:t>O60</w:t>
            </w:r>
          </w:p>
        </w:tc>
        <w:tc>
          <w:tcPr>
            <w:tcW w:w="533" w:type="pct"/>
            <w:shd w:val="clear" w:color="auto" w:fill="auto"/>
            <w:vAlign w:val="center"/>
          </w:tcPr>
          <w:p w14:paraId="3B56D1AD">
            <w:pPr>
              <w:spacing w:before="100" w:beforeAutospacing="1" w:after="100" w:afterAutospacing="1" w:line="360" w:lineRule="auto"/>
              <w:jc w:val="center"/>
              <w:rPr>
                <w:rFonts w:cs="宋体" w:asciiTheme="minorEastAsia" w:hAnsiTheme="minorEastAsia" w:eastAsiaTheme="minorEastAsia"/>
                <w:szCs w:val="24"/>
              </w:rPr>
            </w:pPr>
            <w:r>
              <w:rPr>
                <w:rFonts w:asciiTheme="minorEastAsia" w:hAnsiTheme="minorEastAsia" w:eastAsiaTheme="minorEastAsia"/>
              </w:rPr>
              <w:t>≥290</w:t>
            </w:r>
          </w:p>
        </w:tc>
        <w:tc>
          <w:tcPr>
            <w:tcW w:w="521" w:type="pct"/>
            <w:shd w:val="clear" w:color="auto" w:fill="auto"/>
            <w:vAlign w:val="center"/>
          </w:tcPr>
          <w:p w14:paraId="5AE5CC7B">
            <w:pPr>
              <w:spacing w:before="100" w:beforeAutospacing="1" w:after="100" w:afterAutospacing="1" w:line="360" w:lineRule="auto"/>
              <w:jc w:val="center"/>
              <w:rPr>
                <w:rFonts w:cs="宋体" w:asciiTheme="minorEastAsia" w:hAnsiTheme="minorEastAsia" w:eastAsiaTheme="minorEastAsia"/>
                <w:szCs w:val="24"/>
              </w:rPr>
            </w:pPr>
            <w:r>
              <w:rPr>
                <w:rFonts w:asciiTheme="minorEastAsia" w:hAnsiTheme="minorEastAsia" w:eastAsiaTheme="minorEastAsia"/>
                <w:szCs w:val="18"/>
              </w:rPr>
              <w:t>-</w:t>
            </w:r>
          </w:p>
        </w:tc>
        <w:tc>
          <w:tcPr>
            <w:tcW w:w="533" w:type="pct"/>
            <w:shd w:val="clear" w:color="auto" w:fill="auto"/>
            <w:vAlign w:val="center"/>
          </w:tcPr>
          <w:p w14:paraId="2FCADA35">
            <w:pPr>
              <w:spacing w:before="100" w:beforeAutospacing="1" w:after="100" w:afterAutospacing="1" w:line="360" w:lineRule="auto"/>
              <w:jc w:val="center"/>
              <w:rPr>
                <w:rFonts w:cs="宋体" w:asciiTheme="minorEastAsia" w:hAnsiTheme="minorEastAsia" w:eastAsiaTheme="minorEastAsia"/>
                <w:szCs w:val="24"/>
              </w:rPr>
            </w:pPr>
            <w:r>
              <w:rPr>
                <w:rFonts w:asciiTheme="minorEastAsia" w:hAnsiTheme="minorEastAsia" w:eastAsiaTheme="minorEastAsia"/>
              </w:rPr>
              <w:t>≥40</w:t>
            </w:r>
          </w:p>
        </w:tc>
        <w:tc>
          <w:tcPr>
            <w:tcW w:w="536" w:type="pct"/>
            <w:shd w:val="clear" w:color="auto" w:fill="auto"/>
            <w:vAlign w:val="center"/>
          </w:tcPr>
          <w:p w14:paraId="43C833FD">
            <w:pPr>
              <w:spacing w:before="100" w:beforeAutospacing="1" w:after="100" w:afterAutospacing="1" w:line="360" w:lineRule="auto"/>
              <w:jc w:val="center"/>
              <w:rPr>
                <w:rFonts w:cs="宋体" w:asciiTheme="minorEastAsia" w:hAnsiTheme="minorEastAsia" w:eastAsiaTheme="minorEastAsia"/>
                <w:szCs w:val="24"/>
              </w:rPr>
            </w:pPr>
            <w:r>
              <w:rPr>
                <w:rFonts w:asciiTheme="minorEastAsia" w:hAnsiTheme="minorEastAsia" w:eastAsiaTheme="minorEastAsia"/>
                <w:szCs w:val="18"/>
              </w:rPr>
              <w:t>≤85</w:t>
            </w:r>
          </w:p>
        </w:tc>
        <w:tc>
          <w:tcPr>
            <w:tcW w:w="380" w:type="pct"/>
            <w:vMerge w:val="continue"/>
            <w:vAlign w:val="center"/>
          </w:tcPr>
          <w:p w14:paraId="19EA3DB9">
            <w:pPr>
              <w:spacing w:line="360" w:lineRule="auto"/>
              <w:jc w:val="center"/>
              <w:rPr>
                <w:rFonts w:cs="宋体" w:asciiTheme="minorEastAsia" w:hAnsiTheme="minorEastAsia" w:eastAsiaTheme="minorEastAsia"/>
                <w:szCs w:val="24"/>
              </w:rPr>
            </w:pPr>
          </w:p>
        </w:tc>
        <w:tc>
          <w:tcPr>
            <w:tcW w:w="412" w:type="pct"/>
            <w:shd w:val="clear" w:color="auto" w:fill="auto"/>
            <w:vAlign w:val="center"/>
          </w:tcPr>
          <w:p w14:paraId="07FC0101">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H01</w:t>
            </w:r>
          </w:p>
        </w:tc>
        <w:tc>
          <w:tcPr>
            <w:tcW w:w="640" w:type="pct"/>
            <w:shd w:val="clear" w:color="auto" w:fill="auto"/>
            <w:vAlign w:val="center"/>
          </w:tcPr>
          <w:p w14:paraId="11EF7257">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235～290</w:t>
            </w:r>
          </w:p>
        </w:tc>
        <w:tc>
          <w:tcPr>
            <w:tcW w:w="531" w:type="pct"/>
            <w:shd w:val="clear" w:color="auto" w:fill="auto"/>
            <w:vAlign w:val="center"/>
          </w:tcPr>
          <w:p w14:paraId="16148B62">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77～89</w:t>
            </w:r>
          </w:p>
        </w:tc>
      </w:tr>
      <w:tr w14:paraId="5CF90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4" w:type="pct"/>
            <w:vMerge w:val="continue"/>
            <w:vAlign w:val="center"/>
          </w:tcPr>
          <w:p w14:paraId="329B299A">
            <w:pPr>
              <w:spacing w:line="360" w:lineRule="auto"/>
              <w:jc w:val="center"/>
              <w:rPr>
                <w:rFonts w:cs="宋体" w:asciiTheme="minorEastAsia" w:hAnsiTheme="minorEastAsia" w:eastAsiaTheme="minorEastAsia"/>
                <w:szCs w:val="24"/>
              </w:rPr>
            </w:pPr>
          </w:p>
        </w:tc>
        <w:tc>
          <w:tcPr>
            <w:tcW w:w="526" w:type="pct"/>
            <w:shd w:val="clear" w:color="auto" w:fill="auto"/>
            <w:vAlign w:val="center"/>
          </w:tcPr>
          <w:p w14:paraId="62B1BA82">
            <w:pPr>
              <w:spacing w:before="100" w:beforeAutospacing="1" w:after="100" w:afterAutospacing="1" w:line="360" w:lineRule="auto"/>
              <w:jc w:val="center"/>
              <w:rPr>
                <w:rFonts w:cs="宋体" w:asciiTheme="minorEastAsia" w:hAnsiTheme="minorEastAsia" w:eastAsiaTheme="minorEastAsia"/>
                <w:szCs w:val="24"/>
              </w:rPr>
            </w:pPr>
            <w:r>
              <w:rPr>
                <w:rFonts w:asciiTheme="minorEastAsia" w:hAnsiTheme="minorEastAsia" w:eastAsiaTheme="minorEastAsia"/>
                <w:snapToGrid w:val="0"/>
                <w:szCs w:val="18"/>
              </w:rPr>
              <w:t>O60</w:t>
            </w:r>
          </w:p>
        </w:tc>
        <w:tc>
          <w:tcPr>
            <w:tcW w:w="533" w:type="pct"/>
            <w:shd w:val="clear" w:color="auto" w:fill="auto"/>
            <w:vAlign w:val="center"/>
          </w:tcPr>
          <w:p w14:paraId="41E2C77A">
            <w:pPr>
              <w:spacing w:before="100" w:beforeAutospacing="1" w:after="100" w:afterAutospacing="1" w:line="360" w:lineRule="auto"/>
              <w:jc w:val="center"/>
              <w:rPr>
                <w:rFonts w:cs="宋体" w:asciiTheme="minorEastAsia" w:hAnsiTheme="minorEastAsia" w:eastAsiaTheme="minorEastAsia"/>
                <w:szCs w:val="24"/>
              </w:rPr>
            </w:pPr>
            <w:r>
              <w:rPr>
                <w:rFonts w:asciiTheme="minorEastAsia" w:hAnsiTheme="minorEastAsia" w:eastAsiaTheme="minorEastAsia"/>
              </w:rPr>
              <w:t>≥290</w:t>
            </w:r>
          </w:p>
        </w:tc>
        <w:tc>
          <w:tcPr>
            <w:tcW w:w="521" w:type="pct"/>
            <w:shd w:val="clear" w:color="auto" w:fill="auto"/>
            <w:vAlign w:val="center"/>
          </w:tcPr>
          <w:p w14:paraId="47B148ED">
            <w:pPr>
              <w:spacing w:before="100" w:beforeAutospacing="1" w:after="100" w:afterAutospacing="1" w:line="360" w:lineRule="auto"/>
              <w:jc w:val="center"/>
              <w:rPr>
                <w:rFonts w:cs="宋体" w:asciiTheme="minorEastAsia" w:hAnsiTheme="minorEastAsia" w:eastAsiaTheme="minorEastAsia"/>
                <w:szCs w:val="24"/>
              </w:rPr>
            </w:pPr>
            <w:r>
              <w:rPr>
                <w:rFonts w:asciiTheme="minorEastAsia" w:hAnsiTheme="minorEastAsia" w:eastAsiaTheme="minorEastAsia"/>
                <w:szCs w:val="18"/>
              </w:rPr>
              <w:t>-</w:t>
            </w:r>
          </w:p>
        </w:tc>
        <w:tc>
          <w:tcPr>
            <w:tcW w:w="533" w:type="pct"/>
            <w:shd w:val="clear" w:color="auto" w:fill="auto"/>
            <w:vAlign w:val="center"/>
          </w:tcPr>
          <w:p w14:paraId="28683306">
            <w:pPr>
              <w:spacing w:before="100" w:beforeAutospacing="1" w:after="100" w:afterAutospacing="1" w:line="360" w:lineRule="auto"/>
              <w:jc w:val="center"/>
              <w:rPr>
                <w:rFonts w:cs="宋体" w:asciiTheme="minorEastAsia" w:hAnsiTheme="minorEastAsia" w:eastAsiaTheme="minorEastAsia"/>
                <w:szCs w:val="24"/>
              </w:rPr>
            </w:pPr>
            <w:r>
              <w:rPr>
                <w:rFonts w:asciiTheme="minorEastAsia" w:hAnsiTheme="minorEastAsia" w:eastAsiaTheme="minorEastAsia"/>
              </w:rPr>
              <w:t>≥35</w:t>
            </w:r>
          </w:p>
        </w:tc>
        <w:tc>
          <w:tcPr>
            <w:tcW w:w="536" w:type="pct"/>
            <w:shd w:val="clear" w:color="auto" w:fill="auto"/>
            <w:vAlign w:val="center"/>
          </w:tcPr>
          <w:p w14:paraId="7BB36BF9">
            <w:pPr>
              <w:spacing w:before="100" w:beforeAutospacing="1" w:after="100" w:afterAutospacing="1" w:line="360" w:lineRule="auto"/>
              <w:jc w:val="center"/>
              <w:rPr>
                <w:rFonts w:cs="宋体" w:asciiTheme="minorEastAsia" w:hAnsiTheme="minorEastAsia" w:eastAsiaTheme="minorEastAsia"/>
                <w:szCs w:val="24"/>
              </w:rPr>
            </w:pPr>
            <w:r>
              <w:rPr>
                <w:rFonts w:asciiTheme="minorEastAsia" w:hAnsiTheme="minorEastAsia" w:eastAsiaTheme="minorEastAsia"/>
                <w:szCs w:val="18"/>
              </w:rPr>
              <w:t>≤</w:t>
            </w:r>
            <w:r>
              <w:rPr>
                <w:rFonts w:asciiTheme="minorEastAsia" w:hAnsiTheme="minorEastAsia" w:eastAsiaTheme="minorEastAsia"/>
              </w:rPr>
              <w:t>95</w:t>
            </w:r>
          </w:p>
        </w:tc>
        <w:tc>
          <w:tcPr>
            <w:tcW w:w="380" w:type="pct"/>
            <w:vMerge w:val="continue"/>
            <w:vAlign w:val="center"/>
          </w:tcPr>
          <w:p w14:paraId="6B08D6C1">
            <w:pPr>
              <w:spacing w:line="360" w:lineRule="auto"/>
              <w:jc w:val="center"/>
              <w:rPr>
                <w:rFonts w:cs="宋体" w:asciiTheme="minorEastAsia" w:hAnsiTheme="minorEastAsia" w:eastAsiaTheme="minorEastAsia"/>
                <w:szCs w:val="24"/>
              </w:rPr>
            </w:pPr>
          </w:p>
        </w:tc>
        <w:tc>
          <w:tcPr>
            <w:tcW w:w="412" w:type="pct"/>
            <w:shd w:val="clear" w:color="auto" w:fill="auto"/>
            <w:vAlign w:val="center"/>
          </w:tcPr>
          <w:p w14:paraId="7FC2AA1C">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H02</w:t>
            </w:r>
          </w:p>
        </w:tc>
        <w:tc>
          <w:tcPr>
            <w:tcW w:w="640" w:type="pct"/>
            <w:shd w:val="clear" w:color="auto" w:fill="auto"/>
            <w:vAlign w:val="center"/>
          </w:tcPr>
          <w:p w14:paraId="2D00C4AE">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255～315</w:t>
            </w:r>
          </w:p>
        </w:tc>
        <w:tc>
          <w:tcPr>
            <w:tcW w:w="531" w:type="pct"/>
            <w:shd w:val="clear" w:color="auto" w:fill="auto"/>
            <w:vAlign w:val="center"/>
          </w:tcPr>
          <w:p w14:paraId="5672D787">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54</w:t>
            </w:r>
          </w:p>
        </w:tc>
      </w:tr>
      <w:tr w14:paraId="6F51F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4" w:type="pct"/>
            <w:vAlign w:val="center"/>
          </w:tcPr>
          <w:p w14:paraId="384D633D">
            <w:pPr>
              <w:spacing w:before="100" w:beforeAutospacing="1" w:after="100" w:afterAutospacing="1"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rPr>
              <w:t>H65</w:t>
            </w:r>
          </w:p>
        </w:tc>
        <w:tc>
          <w:tcPr>
            <w:tcW w:w="526" w:type="pct"/>
            <w:vAlign w:val="center"/>
          </w:tcPr>
          <w:p w14:paraId="4CC65667">
            <w:pPr>
              <w:spacing w:before="100" w:beforeAutospacing="1" w:after="100" w:afterAutospacing="1" w:line="240" w:lineRule="auto"/>
              <w:jc w:val="center"/>
              <w:rPr>
                <w:rFonts w:hint="eastAsia" w:ascii="宋体" w:hAnsi="宋体" w:eastAsia="宋体" w:cs="宋体"/>
                <w:sz w:val="24"/>
                <w:szCs w:val="24"/>
              </w:rPr>
            </w:pPr>
            <w:r>
              <w:rPr>
                <w:rFonts w:hint="eastAsia" w:ascii="宋体" w:hAnsi="宋体" w:eastAsia="宋体" w:cs="宋体"/>
                <w:snapToGrid w:val="0"/>
                <w:sz w:val="24"/>
                <w:szCs w:val="24"/>
              </w:rPr>
              <w:t>O60</w:t>
            </w:r>
          </w:p>
        </w:tc>
        <w:tc>
          <w:tcPr>
            <w:tcW w:w="533" w:type="pct"/>
            <w:vAlign w:val="center"/>
          </w:tcPr>
          <w:p w14:paraId="28E00A6B">
            <w:pPr>
              <w:spacing w:before="100" w:beforeAutospacing="1" w:after="100" w:afterAutospacing="1" w:line="240" w:lineRule="auto"/>
              <w:jc w:val="center"/>
              <w:rPr>
                <w:rFonts w:hint="eastAsia" w:ascii="宋体" w:hAnsi="宋体" w:eastAsia="宋体" w:cs="宋体"/>
                <w:sz w:val="24"/>
                <w:szCs w:val="24"/>
              </w:rPr>
            </w:pPr>
            <w:r>
              <w:rPr>
                <w:rFonts w:hint="eastAsia" w:ascii="宋体" w:hAnsi="宋体" w:eastAsia="宋体" w:cs="宋体"/>
                <w:sz w:val="24"/>
                <w:szCs w:val="24"/>
              </w:rPr>
              <w:t>≥290</w:t>
            </w:r>
          </w:p>
        </w:tc>
        <w:tc>
          <w:tcPr>
            <w:tcW w:w="521" w:type="pct"/>
            <w:vAlign w:val="center"/>
          </w:tcPr>
          <w:p w14:paraId="77B3FECE">
            <w:pPr>
              <w:spacing w:before="100" w:beforeAutospacing="1" w:after="100" w:afterAutospacing="1"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533" w:type="pct"/>
            <w:vAlign w:val="center"/>
          </w:tcPr>
          <w:p w14:paraId="1330BF91">
            <w:pPr>
              <w:spacing w:before="100" w:beforeAutospacing="1" w:after="100" w:afterAutospacing="1" w:line="240" w:lineRule="auto"/>
              <w:jc w:val="center"/>
              <w:rPr>
                <w:rFonts w:hint="eastAsia" w:ascii="宋体" w:hAnsi="宋体" w:eastAsia="宋体" w:cs="宋体"/>
                <w:sz w:val="24"/>
                <w:szCs w:val="24"/>
              </w:rPr>
            </w:pPr>
            <w:r>
              <w:rPr>
                <w:rFonts w:hint="eastAsia" w:ascii="宋体" w:hAnsi="宋体" w:eastAsia="宋体" w:cs="宋体"/>
                <w:sz w:val="24"/>
                <w:szCs w:val="24"/>
              </w:rPr>
              <w:t>≥40</w:t>
            </w:r>
          </w:p>
        </w:tc>
        <w:tc>
          <w:tcPr>
            <w:tcW w:w="536" w:type="pct"/>
            <w:vAlign w:val="center"/>
          </w:tcPr>
          <w:p w14:paraId="58280232">
            <w:pPr>
              <w:spacing w:before="100" w:beforeAutospacing="1" w:after="100" w:afterAutospacing="1" w:line="240" w:lineRule="auto"/>
              <w:jc w:val="center"/>
              <w:rPr>
                <w:rFonts w:hint="eastAsia" w:ascii="宋体" w:hAnsi="宋体" w:eastAsia="宋体" w:cs="宋体"/>
                <w:sz w:val="24"/>
                <w:szCs w:val="24"/>
              </w:rPr>
            </w:pPr>
            <w:r>
              <w:rPr>
                <w:rFonts w:hint="eastAsia" w:ascii="宋体" w:hAnsi="宋体" w:eastAsia="宋体" w:cs="宋体"/>
                <w:sz w:val="24"/>
                <w:szCs w:val="24"/>
              </w:rPr>
              <w:t>≤85</w:t>
            </w:r>
          </w:p>
        </w:tc>
        <w:tc>
          <w:tcPr>
            <w:tcW w:w="380" w:type="pct"/>
            <w:vAlign w:val="center"/>
          </w:tcPr>
          <w:p w14:paraId="2F4B48C1">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412" w:type="pct"/>
            <w:vAlign w:val="center"/>
          </w:tcPr>
          <w:p w14:paraId="01887A2A">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640" w:type="pct"/>
            <w:vAlign w:val="center"/>
          </w:tcPr>
          <w:p w14:paraId="5EE19814">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531" w:type="pct"/>
            <w:vAlign w:val="center"/>
          </w:tcPr>
          <w:p w14:paraId="69F06CFA">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r>
      <w:tr w14:paraId="7D16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4" w:type="pct"/>
            <w:vAlign w:val="center"/>
          </w:tcPr>
          <w:p w14:paraId="615CDBD9">
            <w:pPr>
              <w:spacing w:before="100" w:beforeAutospacing="1" w:after="100" w:afterAutospacing="1"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rPr>
              <w:t>H62</w:t>
            </w:r>
          </w:p>
        </w:tc>
        <w:tc>
          <w:tcPr>
            <w:tcW w:w="526" w:type="pct"/>
            <w:vAlign w:val="center"/>
          </w:tcPr>
          <w:p w14:paraId="0DF433CE">
            <w:pPr>
              <w:spacing w:before="100" w:beforeAutospacing="1" w:after="100" w:afterAutospacing="1" w:line="240" w:lineRule="auto"/>
              <w:jc w:val="center"/>
              <w:rPr>
                <w:rFonts w:hint="eastAsia" w:ascii="宋体" w:hAnsi="宋体" w:eastAsia="宋体" w:cs="宋体"/>
                <w:sz w:val="24"/>
                <w:szCs w:val="24"/>
              </w:rPr>
            </w:pPr>
            <w:r>
              <w:rPr>
                <w:rFonts w:hint="eastAsia" w:ascii="宋体" w:hAnsi="宋体" w:eastAsia="宋体" w:cs="宋体"/>
                <w:snapToGrid w:val="0"/>
                <w:sz w:val="24"/>
                <w:szCs w:val="24"/>
              </w:rPr>
              <w:t>O60</w:t>
            </w:r>
          </w:p>
        </w:tc>
        <w:tc>
          <w:tcPr>
            <w:tcW w:w="533" w:type="pct"/>
            <w:vAlign w:val="center"/>
          </w:tcPr>
          <w:p w14:paraId="17F617CC">
            <w:pPr>
              <w:spacing w:before="100" w:beforeAutospacing="1" w:after="100" w:afterAutospacing="1" w:line="240" w:lineRule="auto"/>
              <w:jc w:val="center"/>
              <w:rPr>
                <w:rFonts w:hint="eastAsia" w:ascii="宋体" w:hAnsi="宋体" w:eastAsia="宋体" w:cs="宋体"/>
                <w:sz w:val="24"/>
                <w:szCs w:val="24"/>
              </w:rPr>
            </w:pPr>
            <w:r>
              <w:rPr>
                <w:rFonts w:hint="eastAsia" w:ascii="宋体" w:hAnsi="宋体" w:eastAsia="宋体" w:cs="宋体"/>
                <w:sz w:val="24"/>
                <w:szCs w:val="24"/>
              </w:rPr>
              <w:t>≥290</w:t>
            </w:r>
          </w:p>
        </w:tc>
        <w:tc>
          <w:tcPr>
            <w:tcW w:w="521" w:type="pct"/>
            <w:vAlign w:val="center"/>
          </w:tcPr>
          <w:p w14:paraId="0699B141">
            <w:pPr>
              <w:spacing w:before="100" w:beforeAutospacing="1" w:after="100" w:afterAutospacing="1"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533" w:type="pct"/>
            <w:vAlign w:val="center"/>
          </w:tcPr>
          <w:p w14:paraId="094FBBD6">
            <w:pPr>
              <w:spacing w:before="100" w:beforeAutospacing="1" w:after="100" w:afterAutospacing="1" w:line="240" w:lineRule="auto"/>
              <w:jc w:val="center"/>
              <w:rPr>
                <w:rFonts w:hint="eastAsia" w:ascii="宋体" w:hAnsi="宋体" w:eastAsia="宋体" w:cs="宋体"/>
                <w:sz w:val="24"/>
                <w:szCs w:val="24"/>
              </w:rPr>
            </w:pPr>
            <w:r>
              <w:rPr>
                <w:rFonts w:hint="eastAsia" w:ascii="宋体" w:hAnsi="宋体" w:eastAsia="宋体" w:cs="宋体"/>
                <w:sz w:val="24"/>
                <w:szCs w:val="24"/>
              </w:rPr>
              <w:t>≥35</w:t>
            </w:r>
          </w:p>
        </w:tc>
        <w:tc>
          <w:tcPr>
            <w:tcW w:w="536" w:type="pct"/>
            <w:vAlign w:val="center"/>
          </w:tcPr>
          <w:p w14:paraId="20FBAC61">
            <w:pPr>
              <w:spacing w:before="100" w:beforeAutospacing="1" w:after="100" w:afterAutospacing="1" w:line="240" w:lineRule="auto"/>
              <w:jc w:val="center"/>
              <w:rPr>
                <w:rFonts w:hint="eastAsia" w:ascii="宋体" w:hAnsi="宋体" w:eastAsia="宋体" w:cs="宋体"/>
                <w:sz w:val="24"/>
                <w:szCs w:val="24"/>
              </w:rPr>
            </w:pPr>
            <w:r>
              <w:rPr>
                <w:rFonts w:hint="eastAsia" w:ascii="宋体" w:hAnsi="宋体" w:eastAsia="宋体" w:cs="宋体"/>
                <w:sz w:val="24"/>
                <w:szCs w:val="24"/>
              </w:rPr>
              <w:t>≤95</w:t>
            </w:r>
          </w:p>
        </w:tc>
        <w:tc>
          <w:tcPr>
            <w:tcW w:w="380" w:type="pct"/>
            <w:vAlign w:val="center"/>
          </w:tcPr>
          <w:p w14:paraId="57F655CF">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412" w:type="pct"/>
            <w:vAlign w:val="center"/>
          </w:tcPr>
          <w:p w14:paraId="447E1AB3">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640" w:type="pct"/>
            <w:vAlign w:val="center"/>
          </w:tcPr>
          <w:p w14:paraId="3039E82E">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531" w:type="pct"/>
            <w:vAlign w:val="center"/>
          </w:tcPr>
          <w:p w14:paraId="7D472638">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r>
    </w:tbl>
    <w:p w14:paraId="5E50AFBC">
      <w:pPr>
        <w:tabs>
          <w:tab w:val="left" w:pos="6120"/>
        </w:tabs>
        <w:spacing w:line="360" w:lineRule="auto"/>
        <w:rPr>
          <w:rFonts w:ascii="宋体" w:hAnsi="宋体"/>
          <w:szCs w:val="24"/>
        </w:rPr>
      </w:pPr>
      <w:r>
        <w:rPr>
          <w:rFonts w:hint="eastAsia" w:ascii="宋体" w:hAnsi="宋体"/>
          <w:szCs w:val="24"/>
        </w:rPr>
        <w:t>3.3  导电率对比情况见表</w:t>
      </w:r>
      <w:r>
        <w:rPr>
          <w:rFonts w:hint="eastAsia" w:ascii="宋体" w:hAnsi="宋体"/>
          <w:szCs w:val="24"/>
          <w:lang w:val="en-US" w:eastAsia="zh-CN"/>
        </w:rPr>
        <w:t>34</w:t>
      </w:r>
      <w:r>
        <w:rPr>
          <w:rFonts w:hint="eastAsia" w:ascii="宋体" w:hAnsi="宋体"/>
          <w:szCs w:val="24"/>
        </w:rPr>
        <w:t>。</w:t>
      </w:r>
    </w:p>
    <w:p w14:paraId="2D677D4B">
      <w:pPr>
        <w:tabs>
          <w:tab w:val="left" w:pos="6120"/>
        </w:tabs>
        <w:spacing w:line="360" w:lineRule="auto"/>
        <w:jc w:val="center"/>
        <w:rPr>
          <w:rFonts w:asciiTheme="minorEastAsia" w:hAnsiTheme="minorEastAsia" w:eastAsiaTheme="minorEastAsia"/>
          <w:szCs w:val="24"/>
        </w:rPr>
      </w:pPr>
      <w:r>
        <w:rPr>
          <w:rFonts w:hint="eastAsia" w:asciiTheme="minorEastAsia" w:hAnsiTheme="minorEastAsia" w:eastAsiaTheme="minorEastAsia"/>
          <w:szCs w:val="24"/>
        </w:rPr>
        <w:t>表</w:t>
      </w:r>
      <w:r>
        <w:rPr>
          <w:rFonts w:hint="eastAsia" w:asciiTheme="minorEastAsia" w:hAnsiTheme="minorEastAsia" w:eastAsiaTheme="minorEastAsia"/>
          <w:szCs w:val="24"/>
          <w:lang w:val="en-US" w:eastAsia="zh-CN"/>
        </w:rPr>
        <w:t>34</w:t>
      </w:r>
      <w:r>
        <w:rPr>
          <w:rFonts w:hint="eastAsia" w:asciiTheme="minorEastAsia" w:hAnsiTheme="minorEastAsia" w:eastAsiaTheme="minorEastAsia"/>
          <w:szCs w:val="24"/>
        </w:rPr>
        <w:t xml:space="preserve">  电性能对比情况</w:t>
      </w:r>
    </w:p>
    <w:tbl>
      <w:tblPr>
        <w:tblStyle w:val="21"/>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7"/>
        <w:gridCol w:w="1017"/>
        <w:gridCol w:w="2736"/>
        <w:gridCol w:w="1140"/>
        <w:gridCol w:w="937"/>
        <w:gridCol w:w="1991"/>
      </w:tblGrid>
      <w:tr w14:paraId="559F9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807" w:type="pct"/>
            <w:gridSpan w:val="3"/>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65F13AD8">
            <w:pPr>
              <w:spacing w:line="360" w:lineRule="auto"/>
              <w:jc w:val="center"/>
              <w:rPr>
                <w:rFonts w:ascii="宋体" w:hAnsi="宋体" w:cs="宋体"/>
                <w:color w:val="000000"/>
                <w:szCs w:val="21"/>
              </w:rPr>
            </w:pPr>
            <w:r>
              <w:rPr>
                <w:rFonts w:hint="eastAsia" w:ascii="宋体" w:hAnsi="宋体" w:cs="宋体"/>
                <w:color w:val="000000"/>
                <w:szCs w:val="21"/>
              </w:rPr>
              <w:t>本标准</w:t>
            </w:r>
          </w:p>
        </w:tc>
        <w:tc>
          <w:tcPr>
            <w:tcW w:w="2192"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E1D3D8C">
            <w:pPr>
              <w:spacing w:line="360" w:lineRule="auto"/>
              <w:jc w:val="center"/>
              <w:rPr>
                <w:rFonts w:ascii="宋体" w:hAnsi="宋体" w:cs="宋体"/>
                <w:color w:val="000000"/>
                <w:szCs w:val="21"/>
              </w:rPr>
            </w:pPr>
            <w:r>
              <w:rPr>
                <w:rFonts w:hint="eastAsia" w:ascii="宋体" w:hAnsi="宋体" w:cs="宋体"/>
                <w:color w:val="000000"/>
                <w:szCs w:val="21"/>
              </w:rPr>
              <w:t>ASTM标准</w:t>
            </w:r>
          </w:p>
        </w:tc>
      </w:tr>
      <w:tr w14:paraId="50D0F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7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A4D67F">
            <w:pPr>
              <w:spacing w:line="360" w:lineRule="auto"/>
              <w:jc w:val="center"/>
              <w:rPr>
                <w:rFonts w:ascii="宋体" w:hAnsi="宋体" w:cs="宋体"/>
                <w:color w:val="000000"/>
                <w:szCs w:val="21"/>
              </w:rPr>
            </w:pPr>
            <w:r>
              <w:rPr>
                <w:rFonts w:hint="eastAsia" w:ascii="宋体" w:hAnsi="宋体" w:cs="宋体"/>
                <w:color w:val="000000"/>
                <w:szCs w:val="21"/>
              </w:rPr>
              <w:t>合金牌号</w:t>
            </w:r>
          </w:p>
        </w:tc>
        <w:tc>
          <w:tcPr>
            <w:tcW w:w="5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24653B">
            <w:pPr>
              <w:spacing w:line="360" w:lineRule="auto"/>
              <w:jc w:val="center"/>
              <w:rPr>
                <w:rFonts w:ascii="宋体" w:hAnsi="宋体" w:cs="宋体"/>
                <w:color w:val="000000"/>
                <w:szCs w:val="21"/>
              </w:rPr>
            </w:pPr>
            <w:r>
              <w:rPr>
                <w:rFonts w:hint="eastAsia" w:ascii="宋体" w:hAnsi="宋体" w:cs="宋体"/>
                <w:color w:val="000000"/>
                <w:szCs w:val="21"/>
              </w:rPr>
              <w:t>状态</w:t>
            </w:r>
          </w:p>
        </w:tc>
        <w:tc>
          <w:tcPr>
            <w:tcW w:w="14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D64D4D">
            <w:pPr>
              <w:spacing w:line="360" w:lineRule="auto"/>
              <w:jc w:val="center"/>
              <w:rPr>
                <w:rFonts w:ascii="宋体" w:hAnsi="宋体" w:cs="宋体"/>
                <w:color w:val="000000"/>
                <w:szCs w:val="21"/>
              </w:rPr>
            </w:pPr>
            <w:r>
              <w:rPr>
                <w:rFonts w:hint="eastAsia" w:ascii="宋体" w:hAnsi="宋体" w:cs="宋体"/>
                <w:color w:val="000000"/>
                <w:szCs w:val="21"/>
              </w:rPr>
              <w:t>导电率/%IACS，不小于</w:t>
            </w:r>
          </w:p>
        </w:tc>
        <w:tc>
          <w:tcPr>
            <w:tcW w:w="61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186069">
            <w:pPr>
              <w:spacing w:line="360" w:lineRule="auto"/>
              <w:jc w:val="center"/>
              <w:rPr>
                <w:rFonts w:ascii="宋体" w:hAnsi="宋体" w:cs="宋体"/>
                <w:color w:val="000000"/>
                <w:szCs w:val="21"/>
              </w:rPr>
            </w:pPr>
            <w:r>
              <w:rPr>
                <w:rFonts w:hint="eastAsia" w:ascii="宋体" w:hAnsi="宋体" w:cs="宋体"/>
                <w:color w:val="000000"/>
                <w:szCs w:val="21"/>
              </w:rPr>
              <w:t>合金牌号</w:t>
            </w:r>
          </w:p>
        </w:tc>
        <w:tc>
          <w:tcPr>
            <w:tcW w:w="5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91295C">
            <w:pPr>
              <w:spacing w:line="360" w:lineRule="auto"/>
              <w:jc w:val="center"/>
              <w:rPr>
                <w:rFonts w:ascii="宋体" w:hAnsi="宋体" w:cs="宋体"/>
                <w:color w:val="000000"/>
                <w:szCs w:val="21"/>
              </w:rPr>
            </w:pPr>
            <w:r>
              <w:rPr>
                <w:rFonts w:hint="eastAsia" w:ascii="宋体" w:hAnsi="宋体" w:cs="宋体"/>
                <w:color w:val="000000"/>
                <w:szCs w:val="21"/>
              </w:rPr>
              <w:t>状态</w:t>
            </w:r>
          </w:p>
        </w:tc>
        <w:tc>
          <w:tcPr>
            <w:tcW w:w="107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D901A5">
            <w:pPr>
              <w:spacing w:line="360" w:lineRule="auto"/>
              <w:jc w:val="center"/>
              <w:rPr>
                <w:rFonts w:ascii="宋体" w:hAnsi="宋体" w:cs="宋体"/>
                <w:color w:val="000000"/>
                <w:szCs w:val="21"/>
              </w:rPr>
            </w:pPr>
            <w:r>
              <w:rPr>
                <w:rFonts w:hint="eastAsia" w:ascii="宋体" w:hAnsi="宋体" w:cs="宋体"/>
                <w:color w:val="000000"/>
                <w:szCs w:val="21"/>
              </w:rPr>
              <w:t>导电率/%IACS，不小于</w:t>
            </w:r>
          </w:p>
        </w:tc>
      </w:tr>
      <w:tr w14:paraId="5C963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7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462115">
            <w:pPr>
              <w:spacing w:line="360" w:lineRule="auto"/>
              <w:jc w:val="center"/>
              <w:rPr>
                <w:rFonts w:ascii="宋体" w:hAnsi="宋体" w:cs="宋体"/>
                <w:color w:val="000000"/>
                <w:szCs w:val="21"/>
              </w:rPr>
            </w:pPr>
            <w:r>
              <w:rPr>
                <w:rFonts w:hint="eastAsia" w:ascii="宋体" w:hAnsi="宋体" w:cs="宋体"/>
                <w:color w:val="000000"/>
                <w:szCs w:val="21"/>
              </w:rPr>
              <w:t>TU2</w:t>
            </w:r>
          </w:p>
        </w:tc>
        <w:tc>
          <w:tcPr>
            <w:tcW w:w="5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322B40">
            <w:pPr>
              <w:spacing w:line="360" w:lineRule="auto"/>
              <w:jc w:val="center"/>
              <w:rPr>
                <w:rFonts w:ascii="宋体" w:hAnsi="宋体" w:cs="宋体"/>
                <w:color w:val="000000"/>
                <w:szCs w:val="21"/>
              </w:rPr>
            </w:pPr>
            <w:r>
              <w:rPr>
                <w:rFonts w:hint="eastAsia" w:ascii="宋体" w:hAnsi="宋体" w:cs="宋体"/>
                <w:color w:val="000000"/>
                <w:szCs w:val="21"/>
              </w:rPr>
              <w:t>O60</w:t>
            </w:r>
          </w:p>
        </w:tc>
        <w:tc>
          <w:tcPr>
            <w:tcW w:w="14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9D92B1">
            <w:pPr>
              <w:spacing w:line="360" w:lineRule="auto"/>
              <w:jc w:val="center"/>
              <w:rPr>
                <w:rFonts w:ascii="宋体" w:hAnsi="宋体" w:cs="宋体"/>
                <w:color w:val="000000"/>
                <w:szCs w:val="21"/>
              </w:rPr>
            </w:pPr>
            <w:r>
              <w:rPr>
                <w:rFonts w:hint="eastAsia" w:ascii="宋体" w:hAnsi="宋体" w:cs="宋体"/>
                <w:color w:val="000000"/>
                <w:szCs w:val="21"/>
              </w:rPr>
              <w:t>100</w:t>
            </w:r>
          </w:p>
        </w:tc>
        <w:tc>
          <w:tcPr>
            <w:tcW w:w="614" w:type="pct"/>
            <w:vMerge w:val="restart"/>
            <w:tcBorders>
              <w:top w:val="single" w:color="000000" w:sz="4" w:space="0"/>
              <w:left w:val="single" w:color="000000" w:sz="4" w:space="0"/>
              <w:right w:val="single" w:color="000000" w:sz="4" w:space="0"/>
            </w:tcBorders>
            <w:shd w:val="clear" w:color="auto" w:fill="FFFFFF"/>
            <w:vAlign w:val="center"/>
          </w:tcPr>
          <w:p w14:paraId="46A9C6F3">
            <w:pPr>
              <w:spacing w:line="360" w:lineRule="auto"/>
              <w:jc w:val="center"/>
              <w:rPr>
                <w:rFonts w:ascii="宋体" w:hAnsi="宋体" w:cs="宋体"/>
                <w:color w:val="000000"/>
                <w:szCs w:val="21"/>
              </w:rPr>
            </w:pPr>
            <w:r>
              <w:rPr>
                <w:rFonts w:hint="eastAsia" w:ascii="宋体" w:hAnsi="宋体" w:cs="宋体"/>
                <w:color w:val="000000"/>
                <w:szCs w:val="21"/>
              </w:rPr>
              <w:t>C11000</w:t>
            </w:r>
          </w:p>
        </w:tc>
        <w:tc>
          <w:tcPr>
            <w:tcW w:w="505" w:type="pct"/>
            <w:vMerge w:val="restart"/>
            <w:tcBorders>
              <w:top w:val="single" w:color="000000" w:sz="4" w:space="0"/>
              <w:left w:val="single" w:color="000000" w:sz="4" w:space="0"/>
              <w:right w:val="single" w:color="000000" w:sz="4" w:space="0"/>
            </w:tcBorders>
            <w:shd w:val="clear" w:color="auto" w:fill="FFFFFF"/>
            <w:vAlign w:val="center"/>
          </w:tcPr>
          <w:p w14:paraId="06D0EFFE">
            <w:pPr>
              <w:spacing w:line="360" w:lineRule="auto"/>
              <w:jc w:val="center"/>
              <w:rPr>
                <w:rFonts w:ascii="宋体" w:hAnsi="宋体" w:cs="宋体"/>
                <w:color w:val="000000"/>
                <w:szCs w:val="21"/>
              </w:rPr>
            </w:pPr>
            <w:r>
              <w:rPr>
                <w:rFonts w:hint="eastAsia" w:ascii="宋体" w:hAnsi="宋体" w:cs="宋体"/>
                <w:color w:val="000000"/>
                <w:szCs w:val="21"/>
              </w:rPr>
              <w:t>退火</w:t>
            </w:r>
          </w:p>
        </w:tc>
        <w:tc>
          <w:tcPr>
            <w:tcW w:w="1072" w:type="pct"/>
            <w:vMerge w:val="restart"/>
            <w:tcBorders>
              <w:top w:val="single" w:color="000000" w:sz="4" w:space="0"/>
              <w:left w:val="single" w:color="000000" w:sz="4" w:space="0"/>
              <w:right w:val="single" w:color="000000" w:sz="4" w:space="0"/>
            </w:tcBorders>
            <w:shd w:val="clear" w:color="auto" w:fill="FFFFFF"/>
            <w:vAlign w:val="center"/>
          </w:tcPr>
          <w:p w14:paraId="16190AD9">
            <w:pPr>
              <w:spacing w:line="360" w:lineRule="auto"/>
              <w:jc w:val="center"/>
              <w:rPr>
                <w:rFonts w:ascii="宋体" w:hAnsi="宋体" w:cs="宋体"/>
                <w:color w:val="000000"/>
                <w:szCs w:val="21"/>
              </w:rPr>
            </w:pPr>
            <w:r>
              <w:rPr>
                <w:rFonts w:hint="eastAsia" w:ascii="宋体" w:hAnsi="宋体" w:cs="宋体"/>
                <w:color w:val="000000"/>
                <w:szCs w:val="21"/>
              </w:rPr>
              <w:t>100</w:t>
            </w:r>
          </w:p>
        </w:tc>
      </w:tr>
      <w:tr w14:paraId="55CA5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jc w:val="center"/>
        </w:trPr>
        <w:tc>
          <w:tcPr>
            <w:tcW w:w="78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E2F7D62">
            <w:pPr>
              <w:spacing w:line="360" w:lineRule="auto"/>
              <w:jc w:val="center"/>
              <w:rPr>
                <w:rFonts w:ascii="宋体" w:hAnsi="宋体" w:cs="宋体"/>
                <w:color w:val="000000"/>
                <w:szCs w:val="21"/>
              </w:rPr>
            </w:pPr>
            <w:r>
              <w:rPr>
                <w:rFonts w:hint="eastAsia" w:ascii="宋体" w:hAnsi="宋体" w:cs="宋体"/>
                <w:color w:val="000000"/>
                <w:szCs w:val="21"/>
              </w:rPr>
              <w:t>T2</w:t>
            </w:r>
          </w:p>
        </w:tc>
        <w:tc>
          <w:tcPr>
            <w:tcW w:w="548" w:type="pct"/>
            <w:tcBorders>
              <w:top w:val="single" w:color="000000" w:sz="4" w:space="0"/>
              <w:left w:val="single" w:color="000000" w:sz="4" w:space="0"/>
              <w:right w:val="single" w:color="000000" w:sz="4" w:space="0"/>
            </w:tcBorders>
            <w:shd w:val="clear" w:color="auto" w:fill="FFFFFF"/>
            <w:vAlign w:val="center"/>
          </w:tcPr>
          <w:p w14:paraId="24C26C57">
            <w:pPr>
              <w:spacing w:line="360" w:lineRule="auto"/>
              <w:jc w:val="center"/>
              <w:rPr>
                <w:rFonts w:ascii="宋体" w:hAnsi="宋体" w:cs="宋体"/>
                <w:color w:val="000000"/>
                <w:szCs w:val="21"/>
              </w:rPr>
            </w:pPr>
            <w:r>
              <w:rPr>
                <w:rFonts w:hint="eastAsia" w:ascii="宋体" w:hAnsi="宋体" w:cs="宋体"/>
                <w:color w:val="000000"/>
                <w:szCs w:val="21"/>
              </w:rPr>
              <w:t>O60</w:t>
            </w:r>
          </w:p>
        </w:tc>
        <w:tc>
          <w:tcPr>
            <w:tcW w:w="1473" w:type="pct"/>
            <w:tcBorders>
              <w:top w:val="single" w:color="000000" w:sz="4" w:space="0"/>
              <w:left w:val="single" w:color="000000" w:sz="4" w:space="0"/>
              <w:right w:val="single" w:color="000000" w:sz="4" w:space="0"/>
            </w:tcBorders>
            <w:shd w:val="clear" w:color="auto" w:fill="FFFFFF"/>
            <w:vAlign w:val="center"/>
          </w:tcPr>
          <w:p w14:paraId="11B4846D">
            <w:pPr>
              <w:spacing w:line="360" w:lineRule="auto"/>
              <w:jc w:val="center"/>
              <w:rPr>
                <w:rFonts w:ascii="宋体" w:hAnsi="宋体" w:cs="宋体"/>
                <w:color w:val="000000"/>
                <w:szCs w:val="21"/>
              </w:rPr>
            </w:pPr>
            <w:r>
              <w:rPr>
                <w:rFonts w:hint="eastAsia" w:ascii="宋体" w:hAnsi="宋体" w:cs="宋体"/>
                <w:color w:val="000000"/>
                <w:szCs w:val="21"/>
              </w:rPr>
              <w:t>98</w:t>
            </w:r>
          </w:p>
        </w:tc>
        <w:tc>
          <w:tcPr>
            <w:tcW w:w="614" w:type="pct"/>
            <w:vMerge w:val="continue"/>
            <w:tcBorders>
              <w:left w:val="single" w:color="000000" w:sz="4" w:space="0"/>
              <w:right w:val="single" w:color="000000" w:sz="4" w:space="0"/>
            </w:tcBorders>
            <w:shd w:val="clear" w:color="auto" w:fill="FFFFFF"/>
            <w:vAlign w:val="center"/>
          </w:tcPr>
          <w:p w14:paraId="16ACA462">
            <w:pPr>
              <w:spacing w:line="360" w:lineRule="auto"/>
              <w:jc w:val="center"/>
              <w:rPr>
                <w:rFonts w:ascii="宋体" w:hAnsi="宋体" w:cs="宋体"/>
                <w:color w:val="000000"/>
                <w:szCs w:val="21"/>
              </w:rPr>
            </w:pPr>
          </w:p>
        </w:tc>
        <w:tc>
          <w:tcPr>
            <w:tcW w:w="505" w:type="pct"/>
            <w:vMerge w:val="continue"/>
            <w:tcBorders>
              <w:left w:val="single" w:color="000000" w:sz="4" w:space="0"/>
              <w:right w:val="single" w:color="000000" w:sz="4" w:space="0"/>
            </w:tcBorders>
            <w:shd w:val="clear" w:color="auto" w:fill="FFFFFF"/>
            <w:vAlign w:val="center"/>
          </w:tcPr>
          <w:p w14:paraId="696951E9">
            <w:pPr>
              <w:spacing w:line="360" w:lineRule="auto"/>
              <w:jc w:val="center"/>
              <w:rPr>
                <w:rFonts w:ascii="宋体" w:hAnsi="宋体" w:cs="宋体"/>
                <w:color w:val="000000"/>
                <w:szCs w:val="21"/>
              </w:rPr>
            </w:pPr>
          </w:p>
        </w:tc>
        <w:tc>
          <w:tcPr>
            <w:tcW w:w="1072" w:type="pct"/>
            <w:vMerge w:val="continue"/>
            <w:tcBorders>
              <w:left w:val="single" w:color="000000" w:sz="4" w:space="0"/>
              <w:right w:val="single" w:color="000000" w:sz="4" w:space="0"/>
            </w:tcBorders>
            <w:shd w:val="clear" w:color="auto" w:fill="FFFFFF"/>
            <w:vAlign w:val="center"/>
          </w:tcPr>
          <w:p w14:paraId="7D23A122">
            <w:pPr>
              <w:spacing w:line="360" w:lineRule="auto"/>
              <w:jc w:val="center"/>
              <w:rPr>
                <w:rFonts w:ascii="宋体" w:hAnsi="宋体" w:cs="宋体"/>
                <w:color w:val="000000"/>
                <w:szCs w:val="21"/>
              </w:rPr>
            </w:pPr>
          </w:p>
        </w:tc>
      </w:tr>
      <w:tr w14:paraId="51E80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78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E7899D">
            <w:pPr>
              <w:spacing w:line="360" w:lineRule="auto"/>
              <w:jc w:val="center"/>
              <w:rPr>
                <w:rFonts w:ascii="宋体" w:hAnsi="宋体" w:cs="宋体"/>
                <w:color w:val="000000"/>
                <w:szCs w:val="21"/>
              </w:rPr>
            </w:pPr>
          </w:p>
        </w:tc>
        <w:tc>
          <w:tcPr>
            <w:tcW w:w="5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17ED0A">
            <w:pPr>
              <w:spacing w:line="360" w:lineRule="auto"/>
              <w:jc w:val="center"/>
              <w:rPr>
                <w:rFonts w:ascii="宋体" w:hAnsi="宋体" w:cs="宋体"/>
                <w:color w:val="000000"/>
                <w:szCs w:val="21"/>
              </w:rPr>
            </w:pPr>
            <w:r>
              <w:rPr>
                <w:rFonts w:hint="eastAsia" w:ascii="宋体" w:hAnsi="宋体" w:cs="宋体"/>
                <w:color w:val="000000"/>
                <w:szCs w:val="21"/>
              </w:rPr>
              <w:t>H02</w:t>
            </w:r>
          </w:p>
        </w:tc>
        <w:tc>
          <w:tcPr>
            <w:tcW w:w="14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B5B128">
            <w:pPr>
              <w:spacing w:line="360" w:lineRule="auto"/>
              <w:jc w:val="center"/>
              <w:rPr>
                <w:rFonts w:ascii="宋体" w:hAnsi="宋体" w:cs="宋体"/>
                <w:color w:val="000000"/>
                <w:szCs w:val="21"/>
              </w:rPr>
            </w:pPr>
            <w:r>
              <w:rPr>
                <w:rFonts w:hint="eastAsia" w:ascii="宋体" w:hAnsi="宋体" w:cs="宋体"/>
                <w:color w:val="000000"/>
                <w:szCs w:val="21"/>
              </w:rPr>
              <w:t>96</w:t>
            </w:r>
          </w:p>
        </w:tc>
        <w:tc>
          <w:tcPr>
            <w:tcW w:w="614" w:type="pct"/>
            <w:vMerge w:val="continue"/>
            <w:tcBorders>
              <w:left w:val="single" w:color="000000" w:sz="4" w:space="0"/>
              <w:bottom w:val="single" w:color="000000" w:sz="4" w:space="0"/>
              <w:right w:val="single" w:color="000000" w:sz="4" w:space="0"/>
            </w:tcBorders>
            <w:shd w:val="clear" w:color="auto" w:fill="FFFFFF"/>
            <w:vAlign w:val="center"/>
          </w:tcPr>
          <w:p w14:paraId="5C83E0B1">
            <w:pPr>
              <w:spacing w:line="360" w:lineRule="auto"/>
              <w:jc w:val="center"/>
              <w:rPr>
                <w:rFonts w:ascii="宋体" w:hAnsi="宋体" w:cs="宋体"/>
                <w:color w:val="000000"/>
                <w:szCs w:val="21"/>
              </w:rPr>
            </w:pPr>
          </w:p>
        </w:tc>
        <w:tc>
          <w:tcPr>
            <w:tcW w:w="505" w:type="pct"/>
            <w:vMerge w:val="continue"/>
            <w:tcBorders>
              <w:left w:val="single" w:color="000000" w:sz="4" w:space="0"/>
              <w:bottom w:val="single" w:color="000000" w:sz="4" w:space="0"/>
              <w:right w:val="single" w:color="000000" w:sz="4" w:space="0"/>
            </w:tcBorders>
            <w:shd w:val="clear" w:color="auto" w:fill="FFFFFF"/>
            <w:vAlign w:val="center"/>
          </w:tcPr>
          <w:p w14:paraId="68A51E5F">
            <w:pPr>
              <w:spacing w:line="360" w:lineRule="auto"/>
              <w:jc w:val="center"/>
              <w:rPr>
                <w:rFonts w:ascii="宋体" w:hAnsi="宋体" w:cs="宋体"/>
                <w:color w:val="000000"/>
                <w:szCs w:val="21"/>
              </w:rPr>
            </w:pPr>
          </w:p>
        </w:tc>
        <w:tc>
          <w:tcPr>
            <w:tcW w:w="1072" w:type="pct"/>
            <w:vMerge w:val="continue"/>
            <w:tcBorders>
              <w:left w:val="single" w:color="000000" w:sz="4" w:space="0"/>
              <w:bottom w:val="single" w:color="000000" w:sz="4" w:space="0"/>
              <w:right w:val="single" w:color="000000" w:sz="4" w:space="0"/>
            </w:tcBorders>
            <w:shd w:val="clear" w:color="auto" w:fill="FFFFFF"/>
            <w:vAlign w:val="center"/>
          </w:tcPr>
          <w:p w14:paraId="227F5276">
            <w:pPr>
              <w:spacing w:line="360" w:lineRule="auto"/>
              <w:jc w:val="center"/>
              <w:rPr>
                <w:rFonts w:ascii="宋体" w:hAnsi="宋体" w:cs="宋体"/>
                <w:color w:val="000000"/>
                <w:szCs w:val="21"/>
              </w:rPr>
            </w:pPr>
          </w:p>
        </w:tc>
      </w:tr>
    </w:tbl>
    <w:p w14:paraId="2D5D2D6D">
      <w:pPr>
        <w:tabs>
          <w:tab w:val="left" w:pos="6120"/>
        </w:tabs>
        <w:spacing w:line="360" w:lineRule="auto"/>
        <w:rPr>
          <w:rFonts w:ascii="宋体" w:hAnsi="宋体"/>
          <w:szCs w:val="24"/>
        </w:rPr>
      </w:pPr>
      <w:r>
        <w:rPr>
          <w:rFonts w:ascii="宋体" w:hAnsi="宋体"/>
          <w:szCs w:val="24"/>
        </w:rPr>
        <w:t xml:space="preserve">3.4  </w:t>
      </w:r>
      <w:r>
        <w:rPr>
          <w:rFonts w:hint="eastAsia" w:ascii="宋体" w:hAnsi="宋体"/>
          <w:szCs w:val="24"/>
        </w:rPr>
        <w:t>与美标ASTM B694-2013标准技术指标比情况汇总见表</w:t>
      </w:r>
      <w:r>
        <w:rPr>
          <w:rFonts w:hint="eastAsia" w:ascii="宋体" w:hAnsi="宋体"/>
          <w:szCs w:val="24"/>
          <w:lang w:val="en-US" w:eastAsia="zh-CN"/>
        </w:rPr>
        <w:t>35</w:t>
      </w:r>
      <w:r>
        <w:rPr>
          <w:rFonts w:hint="eastAsia" w:ascii="宋体" w:hAnsi="宋体"/>
          <w:szCs w:val="24"/>
        </w:rPr>
        <w:t>.</w:t>
      </w:r>
    </w:p>
    <w:p w14:paraId="2A3D6D3F">
      <w:pPr>
        <w:tabs>
          <w:tab w:val="left" w:pos="6120"/>
        </w:tabs>
        <w:spacing w:line="360" w:lineRule="auto"/>
        <w:ind w:firstLine="480" w:firstLineChars="200"/>
        <w:jc w:val="center"/>
        <w:rPr>
          <w:rFonts w:ascii="宋体" w:hAnsi="宋体"/>
          <w:szCs w:val="24"/>
        </w:rPr>
      </w:pPr>
      <w:r>
        <w:rPr>
          <w:rFonts w:hint="eastAsia" w:ascii="宋体" w:hAnsi="宋体"/>
          <w:szCs w:val="24"/>
        </w:rPr>
        <w:t>表</w:t>
      </w:r>
      <w:r>
        <w:rPr>
          <w:rFonts w:hint="eastAsia" w:ascii="宋体" w:hAnsi="宋体"/>
          <w:szCs w:val="24"/>
          <w:lang w:val="en-US" w:eastAsia="zh-CN"/>
        </w:rPr>
        <w:t>35</w:t>
      </w:r>
      <w:r>
        <w:rPr>
          <w:rFonts w:ascii="宋体" w:hAnsi="宋体"/>
          <w:szCs w:val="24"/>
        </w:rPr>
        <w:t xml:space="preserve">  </w:t>
      </w:r>
      <w:r>
        <w:rPr>
          <w:rFonts w:hint="eastAsia" w:ascii="宋体" w:hAnsi="宋体"/>
          <w:szCs w:val="24"/>
        </w:rPr>
        <w:t>对比情况汇总表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1376"/>
        <w:gridCol w:w="1721"/>
        <w:gridCol w:w="1559"/>
        <w:gridCol w:w="3623"/>
      </w:tblGrid>
      <w:tr w14:paraId="72FC2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215" w:type="dxa"/>
            <w:gridSpan w:val="2"/>
            <w:vAlign w:val="center"/>
          </w:tcPr>
          <w:p w14:paraId="7DB2331E">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项目</w:t>
            </w:r>
          </w:p>
        </w:tc>
        <w:tc>
          <w:tcPr>
            <w:tcW w:w="1721" w:type="dxa"/>
            <w:vAlign w:val="center"/>
          </w:tcPr>
          <w:p w14:paraId="73CCDFB6">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本标准</w:t>
            </w:r>
          </w:p>
        </w:tc>
        <w:tc>
          <w:tcPr>
            <w:tcW w:w="1559" w:type="dxa"/>
            <w:vAlign w:val="center"/>
          </w:tcPr>
          <w:p w14:paraId="11C6CC70">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美标</w:t>
            </w:r>
          </w:p>
        </w:tc>
        <w:tc>
          <w:tcPr>
            <w:tcW w:w="3623" w:type="dxa"/>
            <w:vAlign w:val="center"/>
          </w:tcPr>
          <w:p w14:paraId="5397EE21">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对比情况</w:t>
            </w:r>
          </w:p>
        </w:tc>
      </w:tr>
      <w:tr w14:paraId="63FD8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215" w:type="dxa"/>
            <w:gridSpan w:val="2"/>
            <w:vAlign w:val="center"/>
          </w:tcPr>
          <w:p w14:paraId="18700145">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适用范围</w:t>
            </w:r>
          </w:p>
        </w:tc>
        <w:tc>
          <w:tcPr>
            <w:tcW w:w="1721" w:type="dxa"/>
            <w:vAlign w:val="center"/>
          </w:tcPr>
          <w:p w14:paraId="16B02386">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适用于制造制造铜-铝、铜-钢覆合用铜及铜合金带材</w:t>
            </w:r>
          </w:p>
        </w:tc>
        <w:tc>
          <w:tcPr>
            <w:tcW w:w="1559" w:type="dxa"/>
            <w:vAlign w:val="center"/>
          </w:tcPr>
          <w:p w14:paraId="71B5A678">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适用于绝缘、控制、仪表和通讯电缆</w:t>
            </w:r>
          </w:p>
        </w:tc>
        <w:tc>
          <w:tcPr>
            <w:tcW w:w="3623" w:type="dxa"/>
            <w:vAlign w:val="center"/>
          </w:tcPr>
          <w:p w14:paraId="4AD5DBA8">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本标准针对覆合带适用性更强</w:t>
            </w:r>
          </w:p>
        </w:tc>
      </w:tr>
      <w:tr w14:paraId="04D6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215" w:type="dxa"/>
            <w:gridSpan w:val="2"/>
            <w:vAlign w:val="center"/>
          </w:tcPr>
          <w:p w14:paraId="3B40A764">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牌号</w:t>
            </w:r>
          </w:p>
        </w:tc>
        <w:tc>
          <w:tcPr>
            <w:tcW w:w="1721" w:type="dxa"/>
            <w:vAlign w:val="center"/>
          </w:tcPr>
          <w:p w14:paraId="782F41CC">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2个纯铜、2个黄铜</w:t>
            </w:r>
          </w:p>
        </w:tc>
        <w:tc>
          <w:tcPr>
            <w:tcW w:w="1559" w:type="dxa"/>
            <w:vAlign w:val="center"/>
          </w:tcPr>
          <w:p w14:paraId="21056514">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1个纯铜、2个黄铜</w:t>
            </w:r>
          </w:p>
        </w:tc>
        <w:tc>
          <w:tcPr>
            <w:tcW w:w="3623" w:type="dxa"/>
            <w:vAlign w:val="center"/>
          </w:tcPr>
          <w:p w14:paraId="269B6999">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牌号更多，适用性、针对性更强更强</w:t>
            </w:r>
          </w:p>
        </w:tc>
      </w:tr>
      <w:tr w14:paraId="74054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839" w:type="dxa"/>
            <w:vMerge w:val="restart"/>
            <w:vAlign w:val="center"/>
          </w:tcPr>
          <w:p w14:paraId="152C73C2">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尺寸允许偏差</w:t>
            </w:r>
          </w:p>
        </w:tc>
        <w:tc>
          <w:tcPr>
            <w:tcW w:w="1376" w:type="dxa"/>
            <w:vAlign w:val="center"/>
          </w:tcPr>
          <w:p w14:paraId="7C1790C4">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厚度</w:t>
            </w:r>
          </w:p>
        </w:tc>
        <w:tc>
          <w:tcPr>
            <w:tcW w:w="1721" w:type="dxa"/>
            <w:vAlign w:val="center"/>
          </w:tcPr>
          <w:p w14:paraId="3FB4D47D">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1559" w:type="dxa"/>
            <w:vAlign w:val="center"/>
          </w:tcPr>
          <w:p w14:paraId="62AAB4C5">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3623" w:type="dxa"/>
            <w:vMerge w:val="restart"/>
            <w:vAlign w:val="center"/>
          </w:tcPr>
          <w:p w14:paraId="505BDC59">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本标准产品的厚度允许偏差、宽度允许偏差严于美标，增加了美标未作规定的带材侧边弯曲度的相关规定。</w:t>
            </w:r>
          </w:p>
        </w:tc>
      </w:tr>
      <w:tr w14:paraId="1AA8E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839" w:type="dxa"/>
            <w:vMerge w:val="continue"/>
            <w:vAlign w:val="center"/>
          </w:tcPr>
          <w:p w14:paraId="19FAA5B2">
            <w:pPr>
              <w:spacing w:line="360" w:lineRule="auto"/>
              <w:jc w:val="center"/>
              <w:rPr>
                <w:rFonts w:cs="宋体" w:asciiTheme="minorEastAsia" w:hAnsiTheme="minorEastAsia" w:eastAsiaTheme="minorEastAsia"/>
                <w:szCs w:val="24"/>
              </w:rPr>
            </w:pPr>
          </w:p>
        </w:tc>
        <w:tc>
          <w:tcPr>
            <w:tcW w:w="1376" w:type="dxa"/>
            <w:vAlign w:val="center"/>
          </w:tcPr>
          <w:p w14:paraId="60F3FBCC">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宽度</w:t>
            </w:r>
          </w:p>
        </w:tc>
        <w:tc>
          <w:tcPr>
            <w:tcW w:w="1721" w:type="dxa"/>
            <w:vAlign w:val="center"/>
          </w:tcPr>
          <w:p w14:paraId="3795376A">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1559" w:type="dxa"/>
            <w:vAlign w:val="center"/>
          </w:tcPr>
          <w:p w14:paraId="16934FDC">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3623" w:type="dxa"/>
            <w:vMerge w:val="continue"/>
            <w:vAlign w:val="center"/>
          </w:tcPr>
          <w:p w14:paraId="7B85B681">
            <w:pPr>
              <w:spacing w:line="360" w:lineRule="auto"/>
              <w:jc w:val="center"/>
              <w:rPr>
                <w:rFonts w:cs="宋体" w:asciiTheme="minorEastAsia" w:hAnsiTheme="minorEastAsia" w:eastAsiaTheme="minorEastAsia"/>
                <w:szCs w:val="24"/>
              </w:rPr>
            </w:pPr>
          </w:p>
        </w:tc>
      </w:tr>
      <w:tr w14:paraId="79354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9" w:type="dxa"/>
            <w:vMerge w:val="continue"/>
            <w:vAlign w:val="center"/>
          </w:tcPr>
          <w:p w14:paraId="2E037509">
            <w:pPr>
              <w:spacing w:line="360" w:lineRule="auto"/>
              <w:jc w:val="center"/>
              <w:rPr>
                <w:rFonts w:cs="宋体" w:asciiTheme="minorEastAsia" w:hAnsiTheme="minorEastAsia" w:eastAsiaTheme="minorEastAsia"/>
                <w:szCs w:val="24"/>
              </w:rPr>
            </w:pPr>
          </w:p>
        </w:tc>
        <w:tc>
          <w:tcPr>
            <w:tcW w:w="1376" w:type="dxa"/>
            <w:vAlign w:val="center"/>
          </w:tcPr>
          <w:p w14:paraId="3EB572C1">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侧边弯曲度</w:t>
            </w:r>
          </w:p>
        </w:tc>
        <w:tc>
          <w:tcPr>
            <w:tcW w:w="1721" w:type="dxa"/>
            <w:vAlign w:val="center"/>
          </w:tcPr>
          <w:p w14:paraId="7B503D4F">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1559" w:type="dxa"/>
            <w:vAlign w:val="center"/>
          </w:tcPr>
          <w:p w14:paraId="50646180">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3623" w:type="dxa"/>
            <w:vMerge w:val="continue"/>
            <w:vAlign w:val="center"/>
          </w:tcPr>
          <w:p w14:paraId="5E54175D">
            <w:pPr>
              <w:spacing w:line="360" w:lineRule="auto"/>
              <w:jc w:val="center"/>
              <w:rPr>
                <w:rFonts w:cs="宋体" w:asciiTheme="minorEastAsia" w:hAnsiTheme="minorEastAsia" w:eastAsiaTheme="minorEastAsia"/>
                <w:szCs w:val="24"/>
              </w:rPr>
            </w:pPr>
          </w:p>
        </w:tc>
      </w:tr>
      <w:tr w14:paraId="17BEC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839" w:type="dxa"/>
            <w:vMerge w:val="restart"/>
            <w:vAlign w:val="center"/>
          </w:tcPr>
          <w:p w14:paraId="117C6888">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力学性能</w:t>
            </w:r>
          </w:p>
        </w:tc>
        <w:tc>
          <w:tcPr>
            <w:tcW w:w="1376" w:type="dxa"/>
            <w:vAlign w:val="center"/>
          </w:tcPr>
          <w:p w14:paraId="753D7D30">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抗拉强度</w:t>
            </w:r>
          </w:p>
        </w:tc>
        <w:tc>
          <w:tcPr>
            <w:tcW w:w="1721" w:type="dxa"/>
            <w:vAlign w:val="center"/>
          </w:tcPr>
          <w:p w14:paraId="4A439CA9">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1559" w:type="dxa"/>
            <w:vAlign w:val="center"/>
          </w:tcPr>
          <w:p w14:paraId="6BB83EF3">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3623" w:type="dxa"/>
            <w:vMerge w:val="restart"/>
            <w:vAlign w:val="center"/>
          </w:tcPr>
          <w:p w14:paraId="45495DB7">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本标准规定了带箔材的抗拉强度、断后伸长率指标，同时给出来屈服强度和维氏硬度的指标，符合目前覆合用铜及铜合金带材客户的通用要求；美标仅规定了材料抗拉强度及洛氏硬度近似值</w:t>
            </w:r>
          </w:p>
        </w:tc>
      </w:tr>
      <w:tr w14:paraId="26B38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839" w:type="dxa"/>
            <w:vMerge w:val="continue"/>
            <w:vAlign w:val="center"/>
          </w:tcPr>
          <w:p w14:paraId="1CA60B90">
            <w:pPr>
              <w:spacing w:line="360" w:lineRule="auto"/>
              <w:jc w:val="center"/>
              <w:rPr>
                <w:rFonts w:cs="宋体" w:asciiTheme="minorEastAsia" w:hAnsiTheme="minorEastAsia" w:eastAsiaTheme="minorEastAsia"/>
                <w:szCs w:val="24"/>
              </w:rPr>
            </w:pPr>
          </w:p>
        </w:tc>
        <w:tc>
          <w:tcPr>
            <w:tcW w:w="1376" w:type="dxa"/>
            <w:vAlign w:val="center"/>
          </w:tcPr>
          <w:p w14:paraId="6E880802">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屈服强度</w:t>
            </w:r>
          </w:p>
        </w:tc>
        <w:tc>
          <w:tcPr>
            <w:tcW w:w="1721" w:type="dxa"/>
            <w:vAlign w:val="center"/>
          </w:tcPr>
          <w:p w14:paraId="06A21746">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1559" w:type="dxa"/>
            <w:vAlign w:val="center"/>
          </w:tcPr>
          <w:p w14:paraId="2F0C3B2A">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3623" w:type="dxa"/>
            <w:vMerge w:val="continue"/>
            <w:vAlign w:val="center"/>
          </w:tcPr>
          <w:p w14:paraId="5909B5BD">
            <w:pPr>
              <w:spacing w:line="360" w:lineRule="auto"/>
              <w:jc w:val="center"/>
              <w:rPr>
                <w:rFonts w:cs="宋体" w:asciiTheme="minorEastAsia" w:hAnsiTheme="minorEastAsia" w:eastAsiaTheme="minorEastAsia"/>
                <w:szCs w:val="24"/>
              </w:rPr>
            </w:pPr>
          </w:p>
        </w:tc>
      </w:tr>
      <w:tr w14:paraId="5DEE4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839" w:type="dxa"/>
            <w:vMerge w:val="continue"/>
            <w:vAlign w:val="center"/>
          </w:tcPr>
          <w:p w14:paraId="3ABF8834">
            <w:pPr>
              <w:spacing w:line="360" w:lineRule="auto"/>
              <w:jc w:val="center"/>
              <w:rPr>
                <w:rFonts w:cs="宋体" w:asciiTheme="minorEastAsia" w:hAnsiTheme="minorEastAsia" w:eastAsiaTheme="minorEastAsia"/>
                <w:szCs w:val="24"/>
              </w:rPr>
            </w:pPr>
          </w:p>
        </w:tc>
        <w:tc>
          <w:tcPr>
            <w:tcW w:w="1376" w:type="dxa"/>
            <w:vAlign w:val="center"/>
          </w:tcPr>
          <w:p w14:paraId="0727EA65">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断后伸长率</w:t>
            </w:r>
          </w:p>
        </w:tc>
        <w:tc>
          <w:tcPr>
            <w:tcW w:w="1721" w:type="dxa"/>
            <w:vAlign w:val="center"/>
          </w:tcPr>
          <w:p w14:paraId="2432B225">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1559" w:type="dxa"/>
            <w:vAlign w:val="center"/>
          </w:tcPr>
          <w:p w14:paraId="0ED10026">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3623" w:type="dxa"/>
            <w:vMerge w:val="continue"/>
            <w:vAlign w:val="center"/>
          </w:tcPr>
          <w:p w14:paraId="18AF3B6E">
            <w:pPr>
              <w:spacing w:line="360" w:lineRule="auto"/>
              <w:jc w:val="center"/>
              <w:rPr>
                <w:rFonts w:cs="宋体" w:asciiTheme="minorEastAsia" w:hAnsiTheme="minorEastAsia" w:eastAsiaTheme="minorEastAsia"/>
                <w:szCs w:val="24"/>
              </w:rPr>
            </w:pPr>
          </w:p>
        </w:tc>
      </w:tr>
      <w:tr w14:paraId="65F56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839" w:type="dxa"/>
            <w:vMerge w:val="continue"/>
            <w:vAlign w:val="center"/>
          </w:tcPr>
          <w:p w14:paraId="3780697E">
            <w:pPr>
              <w:spacing w:line="360" w:lineRule="auto"/>
              <w:jc w:val="center"/>
              <w:rPr>
                <w:rFonts w:cs="宋体" w:asciiTheme="minorEastAsia" w:hAnsiTheme="minorEastAsia" w:eastAsiaTheme="minorEastAsia"/>
                <w:szCs w:val="24"/>
              </w:rPr>
            </w:pPr>
          </w:p>
        </w:tc>
        <w:tc>
          <w:tcPr>
            <w:tcW w:w="1376" w:type="dxa"/>
            <w:vAlign w:val="center"/>
          </w:tcPr>
          <w:p w14:paraId="390F1CDF">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维氏硬度</w:t>
            </w:r>
          </w:p>
        </w:tc>
        <w:tc>
          <w:tcPr>
            <w:tcW w:w="1721" w:type="dxa"/>
            <w:vAlign w:val="center"/>
          </w:tcPr>
          <w:p w14:paraId="28FA77E7">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1559" w:type="dxa"/>
            <w:vAlign w:val="center"/>
          </w:tcPr>
          <w:p w14:paraId="052BECD3">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3623" w:type="dxa"/>
            <w:vMerge w:val="continue"/>
            <w:vAlign w:val="center"/>
          </w:tcPr>
          <w:p w14:paraId="2A86DADA">
            <w:pPr>
              <w:spacing w:line="360" w:lineRule="auto"/>
              <w:jc w:val="center"/>
              <w:rPr>
                <w:rFonts w:cs="宋体" w:asciiTheme="minorEastAsia" w:hAnsiTheme="minorEastAsia" w:eastAsiaTheme="minorEastAsia"/>
                <w:szCs w:val="24"/>
              </w:rPr>
            </w:pPr>
          </w:p>
        </w:tc>
      </w:tr>
      <w:tr w14:paraId="7D3E5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839" w:type="dxa"/>
            <w:vMerge w:val="continue"/>
            <w:vAlign w:val="center"/>
          </w:tcPr>
          <w:p w14:paraId="005FD612">
            <w:pPr>
              <w:spacing w:line="360" w:lineRule="auto"/>
              <w:jc w:val="center"/>
              <w:rPr>
                <w:rFonts w:cs="宋体" w:asciiTheme="minorEastAsia" w:hAnsiTheme="minorEastAsia" w:eastAsiaTheme="minorEastAsia"/>
                <w:szCs w:val="24"/>
              </w:rPr>
            </w:pPr>
          </w:p>
        </w:tc>
        <w:tc>
          <w:tcPr>
            <w:tcW w:w="1376" w:type="dxa"/>
            <w:vAlign w:val="center"/>
          </w:tcPr>
          <w:p w14:paraId="631EA91C">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洛氏硬度</w:t>
            </w:r>
          </w:p>
        </w:tc>
        <w:tc>
          <w:tcPr>
            <w:tcW w:w="1721" w:type="dxa"/>
            <w:vAlign w:val="center"/>
          </w:tcPr>
          <w:p w14:paraId="3558FACB">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1559" w:type="dxa"/>
            <w:vAlign w:val="center"/>
          </w:tcPr>
          <w:p w14:paraId="040D221B">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3623" w:type="dxa"/>
            <w:vMerge w:val="continue"/>
            <w:vAlign w:val="center"/>
          </w:tcPr>
          <w:p w14:paraId="1AC8C774">
            <w:pPr>
              <w:spacing w:line="360" w:lineRule="auto"/>
              <w:jc w:val="center"/>
              <w:rPr>
                <w:rFonts w:cs="宋体" w:asciiTheme="minorEastAsia" w:hAnsiTheme="minorEastAsia" w:eastAsiaTheme="minorEastAsia"/>
                <w:szCs w:val="24"/>
              </w:rPr>
            </w:pPr>
          </w:p>
        </w:tc>
      </w:tr>
      <w:tr w14:paraId="100A1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215" w:type="dxa"/>
            <w:gridSpan w:val="2"/>
            <w:vAlign w:val="center"/>
          </w:tcPr>
          <w:p w14:paraId="23B7D571">
            <w:pPr>
              <w:spacing w:line="360" w:lineRule="auto"/>
              <w:jc w:val="center"/>
              <w:rPr>
                <w:rFonts w:hint="eastAsia" w:cs="宋体" w:asciiTheme="minorEastAsia" w:hAnsiTheme="minorEastAsia" w:eastAsiaTheme="minorEastAsia"/>
                <w:szCs w:val="24"/>
                <w:lang w:val="en-US" w:eastAsia="zh-CN"/>
              </w:rPr>
            </w:pPr>
            <w:r>
              <w:rPr>
                <w:rFonts w:hint="eastAsia" w:cs="宋体" w:asciiTheme="minorEastAsia" w:hAnsiTheme="minorEastAsia" w:eastAsiaTheme="minorEastAsia"/>
                <w:szCs w:val="24"/>
                <w:lang w:val="en-US" w:eastAsia="zh-CN"/>
              </w:rPr>
              <w:t>晶粒度</w:t>
            </w:r>
          </w:p>
        </w:tc>
        <w:tc>
          <w:tcPr>
            <w:tcW w:w="1721" w:type="dxa"/>
            <w:vAlign w:val="center"/>
          </w:tcPr>
          <w:p w14:paraId="2E790CB3">
            <w:pPr>
              <w:spacing w:line="360" w:lineRule="auto"/>
              <w:jc w:val="center"/>
              <w:rPr>
                <w:rFonts w:hint="eastAsia"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1559" w:type="dxa"/>
            <w:vAlign w:val="center"/>
          </w:tcPr>
          <w:p w14:paraId="4FF5CC59">
            <w:pPr>
              <w:spacing w:line="360" w:lineRule="auto"/>
              <w:jc w:val="center"/>
              <w:rPr>
                <w:rFonts w:hint="eastAsia"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3623" w:type="dxa"/>
            <w:vAlign w:val="center"/>
          </w:tcPr>
          <w:p w14:paraId="175E11AC">
            <w:pPr>
              <w:spacing w:line="360" w:lineRule="auto"/>
              <w:jc w:val="center"/>
              <w:rPr>
                <w:rFonts w:hint="eastAsia" w:cs="宋体" w:asciiTheme="minorEastAsia" w:hAnsiTheme="minorEastAsia" w:eastAsiaTheme="minorEastAsia"/>
                <w:szCs w:val="24"/>
              </w:rPr>
            </w:pPr>
            <w:r>
              <w:rPr>
                <w:rFonts w:hint="eastAsia" w:cs="宋体" w:asciiTheme="minorEastAsia" w:hAnsiTheme="minorEastAsia" w:eastAsiaTheme="minorEastAsia"/>
                <w:szCs w:val="24"/>
              </w:rPr>
              <w:t>美标无粗糙度的规定。</w:t>
            </w:r>
          </w:p>
        </w:tc>
      </w:tr>
      <w:tr w14:paraId="24C1A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215" w:type="dxa"/>
            <w:gridSpan w:val="2"/>
            <w:vAlign w:val="center"/>
          </w:tcPr>
          <w:p w14:paraId="407A1805">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导电率</w:t>
            </w:r>
          </w:p>
        </w:tc>
        <w:tc>
          <w:tcPr>
            <w:tcW w:w="1721" w:type="dxa"/>
            <w:vAlign w:val="center"/>
          </w:tcPr>
          <w:p w14:paraId="15E61BAD">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1559" w:type="dxa"/>
            <w:vAlign w:val="center"/>
          </w:tcPr>
          <w:p w14:paraId="5343B898">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3623" w:type="dxa"/>
            <w:vAlign w:val="center"/>
          </w:tcPr>
          <w:p w14:paraId="31B6E4B1">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美标中仅规定了退火O60态C11000的导电率不小于100% IACS，与本标准TU2O60态产品导电率相当，高于T2 O60态产品导电率98% IACS的要求。本标准规定了不同状态产品的电性能，可供不同的客户进行选择。</w:t>
            </w:r>
          </w:p>
        </w:tc>
      </w:tr>
      <w:tr w14:paraId="4650D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2215" w:type="dxa"/>
            <w:gridSpan w:val="2"/>
            <w:vAlign w:val="center"/>
          </w:tcPr>
          <w:p w14:paraId="502170E6">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粗糙度</w:t>
            </w:r>
          </w:p>
        </w:tc>
        <w:tc>
          <w:tcPr>
            <w:tcW w:w="1721" w:type="dxa"/>
            <w:vAlign w:val="center"/>
          </w:tcPr>
          <w:p w14:paraId="684F3D44">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1559" w:type="dxa"/>
            <w:vAlign w:val="center"/>
          </w:tcPr>
          <w:p w14:paraId="0C9248A8">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w:t>
            </w:r>
          </w:p>
        </w:tc>
        <w:tc>
          <w:tcPr>
            <w:tcW w:w="3623" w:type="dxa"/>
            <w:vAlign w:val="center"/>
          </w:tcPr>
          <w:p w14:paraId="00B0B744">
            <w:pPr>
              <w:spacing w:line="36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美标无粗糙度的规定。</w:t>
            </w:r>
          </w:p>
        </w:tc>
      </w:tr>
    </w:tbl>
    <w:p w14:paraId="3604F3A8">
      <w:pPr>
        <w:spacing w:line="360" w:lineRule="auto"/>
        <w:ind w:firstLine="480" w:firstLineChars="200"/>
        <w:rPr>
          <w:rFonts w:ascii="宋体" w:hAnsi="宋体"/>
          <w:szCs w:val="24"/>
        </w:rPr>
      </w:pPr>
      <w:r>
        <w:rPr>
          <w:rFonts w:hint="eastAsia" w:ascii="宋体" w:hAnsi="宋体"/>
          <w:szCs w:val="24"/>
        </w:rPr>
        <w:t>从上述对比可以看出，本标准除电性能指标与美标相当外，其余各项指标均高于美标ASTM B694-2013。本标准达到国际先进水平，满足电池模组连接、电机、变压器、电缆等电子信息、新能源等领域用覆合用铜及铜合金带材的使用要求。</w:t>
      </w:r>
    </w:p>
    <w:p w14:paraId="3612A7AD">
      <w:pPr>
        <w:numPr>
          <w:ilvl w:val="0"/>
          <w:numId w:val="4"/>
        </w:numPr>
        <w:adjustRightInd/>
        <w:spacing w:before="120" w:beforeLines="50" w:after="120" w:afterLines="50" w:line="360" w:lineRule="auto"/>
        <w:jc w:val="both"/>
        <w:textAlignment w:val="auto"/>
        <w:rPr>
          <w:rFonts w:ascii="黑体" w:hAnsi="宋体" w:eastAsia="黑体" w:cs="宋体"/>
          <w:bCs/>
          <w:szCs w:val="24"/>
        </w:rPr>
      </w:pPr>
      <w:r>
        <w:rPr>
          <w:rFonts w:hint="eastAsia" w:ascii="黑体" w:hAnsi="宋体" w:eastAsia="黑体" w:cs="宋体"/>
          <w:bCs/>
          <w:szCs w:val="24"/>
        </w:rPr>
        <w:t>与现行法律、法规、强制性国家标准及相关标准协调配套情况</w:t>
      </w:r>
    </w:p>
    <w:p w14:paraId="2D8FD287">
      <w:pPr>
        <w:spacing w:line="360" w:lineRule="auto"/>
        <w:ind w:firstLine="480" w:firstLineChars="200"/>
        <w:rPr>
          <w:rFonts w:ascii="宋体" w:hAnsi="宋体"/>
          <w:szCs w:val="24"/>
        </w:rPr>
      </w:pPr>
      <w:r>
        <w:rPr>
          <w:rFonts w:hint="eastAsia" w:ascii="宋体" w:hAnsi="宋体"/>
          <w:szCs w:val="24"/>
        </w:rPr>
        <w:t>本标准的制定过程、技术指标的选定、检验项目的设置符合现行法律、法规和强制性国家标准的规定，并与其他同类国家标准、国家J用标准、行业标准无冲突、重叠和不协调之处。</w:t>
      </w:r>
    </w:p>
    <w:p w14:paraId="7C771175">
      <w:pPr>
        <w:spacing w:before="120" w:beforeLines="50" w:after="120" w:afterLines="50" w:line="360" w:lineRule="auto"/>
        <w:rPr>
          <w:rFonts w:ascii="黑体" w:hAnsi="宋体" w:eastAsia="黑体" w:cs="宋体"/>
          <w:bCs/>
          <w:szCs w:val="24"/>
        </w:rPr>
      </w:pPr>
      <w:bookmarkStart w:id="22" w:name="_Toc32100"/>
      <w:r>
        <w:rPr>
          <w:rFonts w:hint="eastAsia" w:ascii="黑体" w:hAnsi="宋体" w:eastAsia="黑体" w:cs="宋体"/>
          <w:bCs/>
          <w:szCs w:val="24"/>
        </w:rPr>
        <w:t>八、重大分歧意见的处理经过和依据</w:t>
      </w:r>
      <w:bookmarkEnd w:id="22"/>
    </w:p>
    <w:p w14:paraId="6B862640">
      <w:pPr>
        <w:spacing w:line="360" w:lineRule="auto"/>
        <w:ind w:firstLine="480" w:firstLineChars="200"/>
        <w:rPr>
          <w:rFonts w:ascii="宋体" w:hAnsi="宋体"/>
          <w:szCs w:val="24"/>
        </w:rPr>
      </w:pPr>
      <w:r>
        <w:rPr>
          <w:rFonts w:hint="eastAsia" w:ascii="宋体" w:hAnsi="宋体"/>
          <w:szCs w:val="24"/>
        </w:rPr>
        <w:t>暂无。</w:t>
      </w:r>
    </w:p>
    <w:p w14:paraId="0A268A45">
      <w:pPr>
        <w:spacing w:before="120" w:beforeLines="50" w:after="120" w:afterLines="50" w:line="360" w:lineRule="auto"/>
        <w:rPr>
          <w:rFonts w:ascii="黑体" w:hAnsi="宋体" w:eastAsia="黑体" w:cs="宋体"/>
          <w:bCs/>
          <w:szCs w:val="24"/>
        </w:rPr>
      </w:pPr>
      <w:bookmarkStart w:id="23" w:name="_Toc15989"/>
      <w:r>
        <w:rPr>
          <w:rFonts w:hint="eastAsia" w:ascii="黑体" w:hAnsi="宋体" w:eastAsia="黑体" w:cs="宋体"/>
          <w:bCs/>
          <w:szCs w:val="24"/>
        </w:rPr>
        <w:t>九、作为强制性或推荐性国家标准的建议</w:t>
      </w:r>
      <w:bookmarkEnd w:id="23"/>
    </w:p>
    <w:p w14:paraId="2E9259F6">
      <w:pPr>
        <w:spacing w:line="360" w:lineRule="auto"/>
        <w:ind w:firstLine="480" w:firstLineChars="200"/>
        <w:rPr>
          <w:rFonts w:ascii="宋体" w:hAnsi="宋体"/>
          <w:szCs w:val="24"/>
        </w:rPr>
      </w:pPr>
      <w:r>
        <w:rPr>
          <w:rFonts w:hint="eastAsia" w:ascii="宋体" w:hAnsi="宋体" w:cs="宋体"/>
          <w:szCs w:val="24"/>
        </w:rPr>
        <w:t>本标准建议作为推荐性国家标准发布。</w:t>
      </w:r>
    </w:p>
    <w:p w14:paraId="345718AB">
      <w:pPr>
        <w:spacing w:before="120" w:beforeLines="50" w:after="120" w:afterLines="50" w:line="360" w:lineRule="auto"/>
        <w:rPr>
          <w:rFonts w:ascii="黑体" w:hAnsi="宋体" w:eastAsia="黑体" w:cs="宋体"/>
          <w:bCs/>
          <w:szCs w:val="24"/>
        </w:rPr>
      </w:pPr>
      <w:bookmarkStart w:id="24" w:name="_Toc15588"/>
      <w:r>
        <w:rPr>
          <w:rFonts w:hint="eastAsia" w:ascii="黑体" w:hAnsi="宋体" w:eastAsia="黑体" w:cs="宋体"/>
          <w:bCs/>
          <w:szCs w:val="24"/>
        </w:rPr>
        <w:t>十、贯彻标准的要求和措施建议</w:t>
      </w:r>
      <w:bookmarkEnd w:id="24"/>
    </w:p>
    <w:p w14:paraId="569EA35B">
      <w:pPr>
        <w:spacing w:line="360" w:lineRule="auto"/>
        <w:ind w:firstLine="480" w:firstLineChars="200"/>
        <w:rPr>
          <w:rFonts w:ascii="宋体" w:hAnsi="宋体" w:cs="宋体"/>
          <w:color w:val="000000"/>
          <w:szCs w:val="24"/>
        </w:rPr>
      </w:pPr>
      <w:r>
        <w:rPr>
          <w:rFonts w:hint="eastAsia" w:ascii="宋体" w:hAnsi="宋体" w:cs="宋体"/>
          <w:color w:val="000000"/>
          <w:szCs w:val="24"/>
        </w:rPr>
        <w:t>本标准</w:t>
      </w:r>
      <w:r>
        <w:rPr>
          <w:rFonts w:hint="eastAsia" w:hAnsi="宋体"/>
          <w:kern w:val="2"/>
          <w:szCs w:val="21"/>
        </w:rPr>
        <w:t>以我国</w:t>
      </w:r>
      <w:r>
        <w:rPr>
          <w:rFonts w:hint="eastAsia" w:ascii="宋体" w:hAnsi="宋体" w:cs="宋体"/>
          <w:szCs w:val="24"/>
        </w:rPr>
        <w:t>覆合用铜及铜合金带材</w:t>
      </w:r>
      <w:r>
        <w:rPr>
          <w:rFonts w:hint="eastAsia" w:hAnsi="宋体"/>
          <w:kern w:val="2"/>
          <w:szCs w:val="21"/>
        </w:rPr>
        <w:t>产品生产的实际生产现状为基础，结合国内、外订货合同要求，</w:t>
      </w:r>
      <w:r>
        <w:rPr>
          <w:rFonts w:hint="eastAsia" w:ascii="宋体" w:hAnsi="宋体" w:cs="宋体"/>
          <w:color w:val="000000"/>
          <w:szCs w:val="24"/>
        </w:rPr>
        <w:t>市场的需求和客户的</w:t>
      </w:r>
      <w:r>
        <w:rPr>
          <w:rFonts w:hint="eastAsia" w:ascii="宋体" w:hAnsi="宋体" w:cs="宋体"/>
          <w:szCs w:val="24"/>
        </w:rPr>
        <w:t>技术要求对标准</w:t>
      </w:r>
      <w:r>
        <w:rPr>
          <w:rFonts w:hint="eastAsia" w:ascii="宋体" w:hAnsi="宋体" w:cs="宋体"/>
          <w:color w:val="000000"/>
          <w:szCs w:val="24"/>
        </w:rPr>
        <w:t>进行了修订，标准全面覆盖了</w:t>
      </w:r>
      <w:r>
        <w:rPr>
          <w:rFonts w:hint="eastAsia" w:ascii="宋体" w:hAnsi="宋体" w:cs="宋体"/>
          <w:szCs w:val="24"/>
        </w:rPr>
        <w:t>覆合用铜及铜合金带材</w:t>
      </w:r>
      <w:r>
        <w:rPr>
          <w:rFonts w:hint="eastAsia" w:ascii="宋体" w:hAnsi="宋体" w:cs="宋体"/>
          <w:color w:val="000000"/>
          <w:szCs w:val="24"/>
        </w:rPr>
        <w:t>的技术要求，建议相关单位组织专项标准宣贯会并进行系统学习。本标准发布后，各企业应积极宣传和贯彻，并采用新标准订货，以保证产品质量，满足国内外市场及用户的需求。</w:t>
      </w:r>
    </w:p>
    <w:p w14:paraId="6DF7D39B">
      <w:pPr>
        <w:spacing w:before="120" w:beforeLines="50" w:after="120" w:afterLines="50" w:line="360" w:lineRule="auto"/>
        <w:rPr>
          <w:rFonts w:ascii="黑体" w:hAnsi="宋体" w:eastAsia="黑体" w:cs="宋体"/>
          <w:bCs/>
          <w:szCs w:val="24"/>
        </w:rPr>
      </w:pPr>
      <w:bookmarkStart w:id="25" w:name="_Toc7802"/>
      <w:r>
        <w:rPr>
          <w:rFonts w:hint="eastAsia" w:ascii="黑体" w:hAnsi="宋体" w:eastAsia="黑体" w:cs="宋体"/>
          <w:bCs/>
          <w:szCs w:val="24"/>
        </w:rPr>
        <w:t>十一、废止现行有关标准的建议</w:t>
      </w:r>
      <w:bookmarkEnd w:id="25"/>
    </w:p>
    <w:p w14:paraId="1DC6AE73">
      <w:pPr>
        <w:spacing w:line="360" w:lineRule="auto"/>
        <w:ind w:firstLine="480" w:firstLineChars="200"/>
        <w:rPr>
          <w:rFonts w:ascii="宋体" w:hAnsi="宋体" w:cs="宋体"/>
          <w:szCs w:val="24"/>
        </w:rPr>
      </w:pPr>
      <w:r>
        <w:rPr>
          <w:rFonts w:hint="eastAsia" w:ascii="宋体" w:hAnsi="宋体" w:cs="宋体"/>
          <w:szCs w:val="24"/>
        </w:rPr>
        <w:t>本标准发布实施之日起，代替GB/T</w:t>
      </w:r>
      <w:r>
        <w:rPr>
          <w:rFonts w:hint="eastAsia" w:ascii="黑体" w:hAnsi="宋体" w:eastAsia="黑体"/>
          <w:bCs/>
          <w:szCs w:val="24"/>
        </w:rPr>
        <w:t>26015－2010</w:t>
      </w:r>
      <w:r>
        <w:rPr>
          <w:rFonts w:hint="eastAsia" w:ascii="宋体" w:hAnsi="宋体" w:cs="宋体"/>
          <w:szCs w:val="24"/>
        </w:rPr>
        <w:t>《覆合用铜带》。</w:t>
      </w:r>
    </w:p>
    <w:p w14:paraId="66C969C4">
      <w:pPr>
        <w:spacing w:before="120" w:beforeLines="50" w:after="120" w:afterLines="50" w:line="360" w:lineRule="auto"/>
        <w:rPr>
          <w:rFonts w:ascii="黑体" w:hAnsi="宋体" w:eastAsia="黑体" w:cs="宋体"/>
          <w:bCs/>
          <w:szCs w:val="24"/>
        </w:rPr>
      </w:pPr>
      <w:bookmarkStart w:id="26" w:name="_Toc22451"/>
      <w:r>
        <w:rPr>
          <w:rFonts w:hint="eastAsia" w:ascii="黑体" w:hAnsi="宋体" w:eastAsia="黑体" w:cs="宋体"/>
          <w:bCs/>
          <w:szCs w:val="24"/>
        </w:rPr>
        <w:t>十二、其他主要内容的解释和其他需要说明的事项。</w:t>
      </w:r>
      <w:bookmarkEnd w:id="26"/>
    </w:p>
    <w:p w14:paraId="4FF1ACED">
      <w:pPr>
        <w:spacing w:line="360" w:lineRule="auto"/>
        <w:ind w:firstLine="480" w:firstLineChars="200"/>
        <w:rPr>
          <w:szCs w:val="24"/>
        </w:rPr>
      </w:pPr>
      <w:r>
        <w:rPr>
          <w:rFonts w:hint="eastAsia" w:ascii="宋体" w:hAnsi="宋体" w:cs="宋体"/>
          <w:szCs w:val="24"/>
        </w:rPr>
        <w:t>本标准根据目前国内覆合用铜及铜合金带材的实际生产现状为基础，结合客户技术标准要求而制定的，采用的牌号、状态、规格和性能，考虑随着新材料的开发使用的更新，如果以后生产或订货合同中有其他牌号、规格或性能需求可在下一版中进行补充修订。本标准全面覆盖了覆合用铜及铜合金带材产品的技术要求，建议相关生产及使用单位组织专项标准宣贯会进行系统学习。本标准发布后，各企业应积极宣传和贯彻，并按照新标准进行组织生产，以保证产品质量，满足国内、外市场及用户的需要。</w:t>
      </w:r>
      <w:r>
        <w:rPr>
          <w:rFonts w:hint="eastAsia"/>
          <w:szCs w:val="24"/>
        </w:rPr>
        <w:t xml:space="preserve">                             </w:t>
      </w:r>
    </w:p>
    <w:p w14:paraId="7898D8EA">
      <w:pPr>
        <w:spacing w:line="360" w:lineRule="auto"/>
        <w:ind w:firstLine="480" w:firstLineChars="200"/>
        <w:rPr>
          <w:szCs w:val="24"/>
        </w:rPr>
      </w:pPr>
    </w:p>
    <w:p w14:paraId="43C8B3B6">
      <w:pPr>
        <w:pStyle w:val="9"/>
        <w:rPr>
          <w:szCs w:val="24"/>
        </w:rPr>
      </w:pPr>
    </w:p>
    <w:p w14:paraId="7F7739F1">
      <w:pPr>
        <w:pStyle w:val="10"/>
        <w:ind w:firstLine="880"/>
      </w:pPr>
    </w:p>
    <w:p w14:paraId="0DE89D13">
      <w:pPr>
        <w:spacing w:line="360" w:lineRule="auto"/>
        <w:ind w:firstLine="480" w:firstLineChars="200"/>
        <w:rPr>
          <w:szCs w:val="24"/>
        </w:rPr>
      </w:pPr>
    </w:p>
    <w:p w14:paraId="56EE12B0">
      <w:pPr>
        <w:spacing w:line="360" w:lineRule="auto"/>
        <w:ind w:firstLine="4560" w:firstLineChars="1900"/>
        <w:rPr>
          <w:rFonts w:ascii="宋体" w:hAnsi="宋体"/>
          <w:szCs w:val="24"/>
        </w:rPr>
      </w:pPr>
      <w:r>
        <w:rPr>
          <w:rFonts w:hint="eastAsia"/>
          <w:szCs w:val="24"/>
        </w:rPr>
        <w:t>《</w:t>
      </w:r>
      <w:r>
        <w:rPr>
          <w:rFonts w:hint="eastAsia" w:ascii="宋体" w:hAnsi="宋体"/>
          <w:szCs w:val="24"/>
        </w:rPr>
        <w:t>覆合用铜及铜合金带材</w:t>
      </w:r>
      <w:r>
        <w:rPr>
          <w:rFonts w:hint="eastAsia"/>
          <w:szCs w:val="24"/>
        </w:rPr>
        <w:t>》标准</w:t>
      </w:r>
      <w:r>
        <w:rPr>
          <w:rFonts w:hint="eastAsia" w:ascii="宋体" w:hAnsi="宋体"/>
          <w:szCs w:val="24"/>
        </w:rPr>
        <w:t>编制组</w:t>
      </w:r>
    </w:p>
    <w:p w14:paraId="15DC102C">
      <w:pPr>
        <w:spacing w:before="240" w:beforeLines="100" w:line="360" w:lineRule="auto"/>
        <w:jc w:val="center"/>
        <w:rPr>
          <w:rFonts w:hAnsi="宋体"/>
          <w:szCs w:val="24"/>
        </w:rPr>
      </w:pPr>
      <w:r>
        <w:rPr>
          <w:rFonts w:hint="eastAsia" w:ascii="宋体" w:hAnsi="宋体"/>
          <w:szCs w:val="24"/>
        </w:rPr>
        <w:t xml:space="preserve">       </w:t>
      </w:r>
      <w:r>
        <w:rPr>
          <w:rFonts w:hint="eastAsia" w:ascii="宋体" w:hAnsi="宋体"/>
          <w:szCs w:val="24"/>
          <w:lang w:val="en-US" w:eastAsia="zh-CN"/>
        </w:rPr>
        <w:t xml:space="preserve">                              </w:t>
      </w:r>
      <w:bookmarkStart w:id="27" w:name="_GoBack"/>
      <w:bookmarkEnd w:id="27"/>
      <w:r>
        <w:rPr>
          <w:rFonts w:hint="eastAsia" w:ascii="宋体" w:hAnsi="宋体"/>
          <w:szCs w:val="24"/>
        </w:rPr>
        <w:t>2025年8月11日</w:t>
      </w:r>
    </w:p>
    <w:p w14:paraId="4BF031F1">
      <w:pPr>
        <w:pStyle w:val="28"/>
        <w:spacing w:line="360" w:lineRule="auto"/>
        <w:ind w:firstLine="480"/>
        <w:rPr>
          <w:rFonts w:hAnsi="宋体"/>
          <w:sz w:val="24"/>
          <w:szCs w:val="24"/>
        </w:rPr>
      </w:pPr>
    </w:p>
    <w:p w14:paraId="53507E6C">
      <w:pPr>
        <w:pStyle w:val="28"/>
        <w:spacing w:line="360" w:lineRule="auto"/>
        <w:ind w:firstLine="480"/>
        <w:rPr>
          <w:sz w:val="24"/>
          <w:szCs w:val="24"/>
        </w:rPr>
      </w:pPr>
    </w:p>
    <w:sectPr>
      <w:headerReference r:id="rId5" w:type="first"/>
      <w:footerReference r:id="rId6" w:type="default"/>
      <w:footerReference r:id="rId7" w:type="even"/>
      <w:pgSz w:w="11907" w:h="16840"/>
      <w:pgMar w:top="1361" w:right="1418" w:bottom="1361" w:left="1418" w:header="1588"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146EA">
    <w:pPr>
      <w:pStyle w:val="15"/>
      <w:framePr w:wrap="around" w:vAnchor="text" w:hAnchor="margin" w:xAlign="center" w:y="1"/>
      <w:rPr>
        <w:rStyle w:val="25"/>
      </w:rPr>
    </w:pPr>
    <w:r>
      <w:fldChar w:fldCharType="begin"/>
    </w:r>
    <w:r>
      <w:rPr>
        <w:rStyle w:val="25"/>
      </w:rPr>
      <w:instrText xml:space="preserve">PAGE  </w:instrText>
    </w:r>
    <w:r>
      <w:fldChar w:fldCharType="separate"/>
    </w:r>
    <w:r>
      <w:rPr>
        <w:rStyle w:val="25"/>
      </w:rPr>
      <w:t>23</w:t>
    </w:r>
    <w:r>
      <w:fldChar w:fldCharType="end"/>
    </w:r>
  </w:p>
  <w:p w14:paraId="2E214995">
    <w:pPr>
      <w:pStyle w:val="1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E5F2E">
    <w:pPr>
      <w:pStyle w:val="15"/>
      <w:framePr w:wrap="around" w:vAnchor="text" w:hAnchor="margin" w:xAlign="center" w:y="1"/>
      <w:rPr>
        <w:rStyle w:val="25"/>
      </w:rPr>
    </w:pPr>
    <w:r>
      <w:fldChar w:fldCharType="begin"/>
    </w:r>
    <w:r>
      <w:rPr>
        <w:rStyle w:val="25"/>
      </w:rPr>
      <w:instrText xml:space="preserve">PAGE  </w:instrText>
    </w:r>
    <w:r>
      <w:fldChar w:fldCharType="end"/>
    </w:r>
  </w:p>
  <w:p w14:paraId="7AC55F14">
    <w:pPr>
      <w:pStyle w:val="1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EA043">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BB37C6"/>
    <w:multiLevelType w:val="multilevel"/>
    <w:tmpl w:val="8DBB37C6"/>
    <w:lvl w:ilvl="0" w:tentative="0">
      <w:start w:val="2"/>
      <w:numFmt w:val="decimal"/>
      <w:lvlText w:val="%1."/>
      <w:lvlJc w:val="left"/>
      <w:pPr>
        <w:tabs>
          <w:tab w:val="left" w:pos="312"/>
        </w:tabs>
      </w:pPr>
      <w:rPr>
        <w:rFonts w:ascii="黑体" w:hAnsi="黑体" w:eastAsia="黑体"/>
      </w:rPr>
    </w:lvl>
    <w:lvl w:ilvl="1" w:tentative="0">
      <w:start w:val="1"/>
      <w:numFmt w:val="decimal"/>
      <w:suff w:val="space"/>
      <w:lvlText w:val="%1.%2"/>
      <w:lvlJc w:val="left"/>
      <w:pPr>
        <w:ind w:left="0" w:firstLine="0"/>
      </w:pPr>
      <w:rPr>
        <w:rFonts w:hint="default" w:ascii="黑体" w:hAnsi="黑体" w:eastAsia="黑体"/>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DA9F0784"/>
    <w:multiLevelType w:val="singleLevel"/>
    <w:tmpl w:val="DA9F0784"/>
    <w:lvl w:ilvl="0" w:tentative="0">
      <w:start w:val="5"/>
      <w:numFmt w:val="chineseCounting"/>
      <w:suff w:val="nothing"/>
      <w:lvlText w:val="%1、"/>
      <w:lvlJc w:val="left"/>
      <w:rPr>
        <w:rFonts w:hint="eastAsia"/>
      </w:rPr>
    </w:lvl>
  </w:abstractNum>
  <w:abstractNum w:abstractNumId="2">
    <w:nsid w:val="F116BB8D"/>
    <w:multiLevelType w:val="singleLevel"/>
    <w:tmpl w:val="F116BB8D"/>
    <w:lvl w:ilvl="0" w:tentative="0">
      <w:start w:val="1"/>
      <w:numFmt w:val="chineseCounting"/>
      <w:suff w:val="nothing"/>
      <w:lvlText w:val="（%1）"/>
      <w:lvlJc w:val="left"/>
      <w:rPr>
        <w:rFonts w:hint="eastAsia"/>
      </w:rPr>
    </w:lvl>
  </w:abstractNum>
  <w:abstractNum w:abstractNumId="3">
    <w:nsid w:val="12C1F597"/>
    <w:multiLevelType w:val="singleLevel"/>
    <w:tmpl w:val="12C1F597"/>
    <w:lvl w:ilvl="0" w:tentative="0">
      <w:start w:val="2"/>
      <w:numFmt w:val="decimal"/>
      <w:lvlText w:val="%1)"/>
      <w:lvlJc w:val="left"/>
      <w:pPr>
        <w:tabs>
          <w:tab w:val="left" w:pos="312"/>
        </w:tabs>
      </w:pPr>
    </w:lvl>
  </w:abstractNum>
  <w:abstractNum w:abstractNumId="4">
    <w:nsid w:val="2987C08E"/>
    <w:multiLevelType w:val="singleLevel"/>
    <w:tmpl w:val="2987C08E"/>
    <w:lvl w:ilvl="0" w:tentative="0">
      <w:start w:val="2"/>
      <w:numFmt w:val="decimal"/>
      <w:suff w:val="nothing"/>
      <w:lvlText w:val="（%1）"/>
      <w:lvlJc w:val="left"/>
    </w:lvl>
  </w:abstractNum>
  <w:abstractNum w:abstractNumId="5">
    <w:nsid w:val="3EBF5EDB"/>
    <w:multiLevelType w:val="multilevel"/>
    <w:tmpl w:val="3EBF5EDB"/>
    <w:lvl w:ilvl="0" w:tentative="0">
      <w:start w:val="1"/>
      <w:numFmt w:val="decimal"/>
      <w:suff w:val="space"/>
      <w:lvlText w:val="%1 "/>
      <w:lvlJc w:val="left"/>
      <w:pPr>
        <w:ind w:left="0" w:firstLine="0"/>
      </w:pPr>
      <w:rPr>
        <w:rFonts w:hint="default" w:ascii="Verdana" w:hAnsi="Verdana" w:eastAsia="黑体"/>
        <w:sz w:val="21"/>
      </w:rPr>
    </w:lvl>
    <w:lvl w:ilvl="1" w:tentative="0">
      <w:start w:val="1"/>
      <w:numFmt w:val="decimal"/>
      <w:suff w:val="space"/>
      <w:lvlText w:val="%1.%2 "/>
      <w:lvlJc w:val="left"/>
      <w:pPr>
        <w:ind w:left="0" w:firstLine="0"/>
      </w:pPr>
      <w:rPr>
        <w:rFonts w:hint="default" w:ascii="Verdana" w:hAnsi="Verdana" w:eastAsia="宋体"/>
        <w:sz w:val="21"/>
      </w:rPr>
    </w:lvl>
    <w:lvl w:ilvl="2" w:tentative="0">
      <w:start w:val="1"/>
      <w:numFmt w:val="decimal"/>
      <w:suff w:val="space"/>
      <w:lvlText w:val="%1.%2.%3 "/>
      <w:lvlJc w:val="left"/>
      <w:pPr>
        <w:ind w:left="0" w:firstLine="0"/>
      </w:pPr>
      <w:rPr>
        <w:rFonts w:hint="default" w:ascii="Verdana" w:hAnsi="Verdana" w:eastAsia="宋体"/>
        <w:sz w:val="21"/>
      </w:rPr>
    </w:lvl>
    <w:lvl w:ilvl="3" w:tentative="0">
      <w:start w:val="1"/>
      <w:numFmt w:val="decimal"/>
      <w:suff w:val="space"/>
      <w:lvlText w:val="%1.%2.%3.%4 "/>
      <w:lvlJc w:val="left"/>
      <w:pPr>
        <w:ind w:left="0" w:firstLine="0"/>
      </w:pPr>
      <w:rPr>
        <w:rFonts w:hint="default" w:ascii="Verdana" w:hAnsi="Verdana" w:eastAsia="宋体"/>
        <w:sz w:val="21"/>
      </w:rPr>
    </w:lvl>
    <w:lvl w:ilvl="4" w:tentative="0">
      <w:start w:val="1"/>
      <w:numFmt w:val="decimal"/>
      <w:suff w:val="space"/>
      <w:lvlText w:val="%1.%2.%3.%4.%5 "/>
      <w:lvlJc w:val="left"/>
      <w:pPr>
        <w:ind w:left="0" w:firstLine="0"/>
      </w:pPr>
      <w:rPr>
        <w:rFonts w:hint="default" w:ascii="Verdana" w:hAnsi="Verdana"/>
        <w:sz w:val="24"/>
      </w:rPr>
    </w:lvl>
    <w:lvl w:ilvl="5" w:tentative="0">
      <w:start w:val="1"/>
      <w:numFmt w:val="decimal"/>
      <w:suff w:val="space"/>
      <w:lvlText w:val="%1.%2.%3.%4.%5.%6"/>
      <w:lvlJc w:val="left"/>
      <w:pPr>
        <w:ind w:left="0" w:firstLine="0"/>
      </w:pPr>
      <w:rPr>
        <w:rFonts w:hint="eastAsia"/>
      </w:rPr>
    </w:lvl>
    <w:lvl w:ilvl="6" w:tentative="0">
      <w:start w:val="1"/>
      <w:numFmt w:val="decimal"/>
      <w:suff w:val="space"/>
      <w:lvlText w:val="%1.%2.%3.%4.%5.%6.%7"/>
      <w:lvlJc w:val="left"/>
      <w:pPr>
        <w:ind w:left="0" w:firstLine="0"/>
      </w:pPr>
      <w:rPr>
        <w:rFonts w:hint="eastAsia"/>
      </w:rPr>
    </w:lvl>
    <w:lvl w:ilvl="7" w:tentative="0">
      <w:start w:val="1"/>
      <w:numFmt w:val="decimal"/>
      <w:suff w:val="space"/>
      <w:lvlText w:val="%1.%2.%3.%4.%5.%6.%7.%8"/>
      <w:lvlJc w:val="left"/>
      <w:pPr>
        <w:ind w:left="0" w:firstLine="0"/>
      </w:pPr>
      <w:rPr>
        <w:rFonts w:hint="eastAsia"/>
      </w:rPr>
    </w:lvl>
    <w:lvl w:ilvl="8" w:tentative="0">
      <w:start w:val="1"/>
      <w:numFmt w:val="decimal"/>
      <w:suff w:val="space"/>
      <w:lvlText w:val="%1.%2.%3.%4.%5.%6.%7.%8.%9"/>
      <w:lvlJc w:val="left"/>
      <w:pPr>
        <w:ind w:left="0" w:firstLine="0"/>
      </w:pPr>
      <w:rPr>
        <w:rFonts w:hint="eastAsia"/>
      </w:rPr>
    </w:lvl>
  </w:abstractNum>
  <w:num w:numId="1">
    <w:abstractNumId w:val="5"/>
  </w:num>
  <w:num w:numId="2">
    <w:abstractNumId w:val="4"/>
  </w:num>
  <w:num w:numId="3">
    <w:abstractNumId w:val="3"/>
  </w:num>
  <w:num w:numId="4">
    <w:abstractNumId w:val="1"/>
  </w:num>
  <w:num w:numId="5">
    <w:abstractNumId w:val="2"/>
  </w:num>
  <w:num w:numId="6">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微软用户">
    <w15:presenceInfo w15:providerId="None" w15:userId="微软用户"/>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attachedTemplate r:id="rId1"/>
  <w:documentProtection w:enforcement="0"/>
  <w:defaultTabStop w:val="425"/>
  <w:drawingGridHorizontalSpacing w:val="120"/>
  <w:drawingGridVerticalSpacing w:val="16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doNotWrapTextWithPunct/>
    <w:doNotUseEastAsianBreakRules/>
    <w:useFELayout/>
    <w:compatSetting w:name="compatibilityMode" w:uri="http://schemas.microsoft.com/office/word" w:val="12"/>
  </w:compat>
  <w:docVars>
    <w:docVar w:name="commondata" w:val="eyJoZGlkIjoiMjliNmM5YzJkZDc1MzliMmM2MWJiZmYxOTI5NTU0YWMifQ=="/>
    <w:docVar w:name="ProtectValume" w:val="Protected"/>
  </w:docVars>
  <w:rsids>
    <w:rsidRoot w:val="00815842"/>
    <w:rsid w:val="000012F9"/>
    <w:rsid w:val="0000130C"/>
    <w:rsid w:val="00002334"/>
    <w:rsid w:val="000024F8"/>
    <w:rsid w:val="00002CA5"/>
    <w:rsid w:val="00002FEE"/>
    <w:rsid w:val="00004197"/>
    <w:rsid w:val="00004C2B"/>
    <w:rsid w:val="00004C41"/>
    <w:rsid w:val="0000562D"/>
    <w:rsid w:val="000068A1"/>
    <w:rsid w:val="00010AC4"/>
    <w:rsid w:val="000112CE"/>
    <w:rsid w:val="00012FFB"/>
    <w:rsid w:val="0001365E"/>
    <w:rsid w:val="00014746"/>
    <w:rsid w:val="00015246"/>
    <w:rsid w:val="0001684B"/>
    <w:rsid w:val="00021480"/>
    <w:rsid w:val="00021AB0"/>
    <w:rsid w:val="00023FC9"/>
    <w:rsid w:val="00026319"/>
    <w:rsid w:val="00026B78"/>
    <w:rsid w:val="0002723C"/>
    <w:rsid w:val="00030499"/>
    <w:rsid w:val="00033645"/>
    <w:rsid w:val="00033CA0"/>
    <w:rsid w:val="00033F33"/>
    <w:rsid w:val="000344F9"/>
    <w:rsid w:val="00034654"/>
    <w:rsid w:val="00035284"/>
    <w:rsid w:val="00035B56"/>
    <w:rsid w:val="00040751"/>
    <w:rsid w:val="00042035"/>
    <w:rsid w:val="00042702"/>
    <w:rsid w:val="00045027"/>
    <w:rsid w:val="000466B9"/>
    <w:rsid w:val="00047D25"/>
    <w:rsid w:val="0005040B"/>
    <w:rsid w:val="00051311"/>
    <w:rsid w:val="00051EC5"/>
    <w:rsid w:val="00051EF5"/>
    <w:rsid w:val="00055E1C"/>
    <w:rsid w:val="00056392"/>
    <w:rsid w:val="00056783"/>
    <w:rsid w:val="0005751F"/>
    <w:rsid w:val="0006055B"/>
    <w:rsid w:val="00061816"/>
    <w:rsid w:val="00062F0C"/>
    <w:rsid w:val="0006323A"/>
    <w:rsid w:val="00066D05"/>
    <w:rsid w:val="00067890"/>
    <w:rsid w:val="00067E0A"/>
    <w:rsid w:val="00070207"/>
    <w:rsid w:val="00073BDB"/>
    <w:rsid w:val="00074A6F"/>
    <w:rsid w:val="00077D32"/>
    <w:rsid w:val="00080334"/>
    <w:rsid w:val="000808C5"/>
    <w:rsid w:val="00080995"/>
    <w:rsid w:val="00080CB8"/>
    <w:rsid w:val="00081ED6"/>
    <w:rsid w:val="00082EC5"/>
    <w:rsid w:val="00084065"/>
    <w:rsid w:val="00085F56"/>
    <w:rsid w:val="000872A1"/>
    <w:rsid w:val="0009120D"/>
    <w:rsid w:val="000913E8"/>
    <w:rsid w:val="00091FE3"/>
    <w:rsid w:val="0009288D"/>
    <w:rsid w:val="000933B2"/>
    <w:rsid w:val="0009482F"/>
    <w:rsid w:val="00095177"/>
    <w:rsid w:val="000956D5"/>
    <w:rsid w:val="000967DE"/>
    <w:rsid w:val="00096C16"/>
    <w:rsid w:val="000A27CA"/>
    <w:rsid w:val="000A283A"/>
    <w:rsid w:val="000A414D"/>
    <w:rsid w:val="000A423D"/>
    <w:rsid w:val="000A43AF"/>
    <w:rsid w:val="000A449E"/>
    <w:rsid w:val="000A4BA7"/>
    <w:rsid w:val="000A612C"/>
    <w:rsid w:val="000B0193"/>
    <w:rsid w:val="000B174A"/>
    <w:rsid w:val="000B1B7A"/>
    <w:rsid w:val="000B441D"/>
    <w:rsid w:val="000B45D7"/>
    <w:rsid w:val="000B73D7"/>
    <w:rsid w:val="000B76E5"/>
    <w:rsid w:val="000C2193"/>
    <w:rsid w:val="000D0DD6"/>
    <w:rsid w:val="000D2F2B"/>
    <w:rsid w:val="000D3530"/>
    <w:rsid w:val="000D52E4"/>
    <w:rsid w:val="000D56A5"/>
    <w:rsid w:val="000D77D0"/>
    <w:rsid w:val="000D7992"/>
    <w:rsid w:val="000E1372"/>
    <w:rsid w:val="000E1BCB"/>
    <w:rsid w:val="000E26B3"/>
    <w:rsid w:val="000E31F0"/>
    <w:rsid w:val="000E3455"/>
    <w:rsid w:val="000E6367"/>
    <w:rsid w:val="000E6E75"/>
    <w:rsid w:val="000F1121"/>
    <w:rsid w:val="000F2D17"/>
    <w:rsid w:val="000F3C89"/>
    <w:rsid w:val="000F3FDC"/>
    <w:rsid w:val="001017CC"/>
    <w:rsid w:val="00102E5F"/>
    <w:rsid w:val="00103ED6"/>
    <w:rsid w:val="00104CF0"/>
    <w:rsid w:val="00106D52"/>
    <w:rsid w:val="00107217"/>
    <w:rsid w:val="00110E92"/>
    <w:rsid w:val="001114A1"/>
    <w:rsid w:val="0011295C"/>
    <w:rsid w:val="001148D5"/>
    <w:rsid w:val="0012060B"/>
    <w:rsid w:val="00122007"/>
    <w:rsid w:val="001254BB"/>
    <w:rsid w:val="00125890"/>
    <w:rsid w:val="001261F0"/>
    <w:rsid w:val="00130A96"/>
    <w:rsid w:val="00130AAD"/>
    <w:rsid w:val="0013118A"/>
    <w:rsid w:val="00133F8B"/>
    <w:rsid w:val="00137B44"/>
    <w:rsid w:val="001409E2"/>
    <w:rsid w:val="00140AB7"/>
    <w:rsid w:val="0014231B"/>
    <w:rsid w:val="00146E66"/>
    <w:rsid w:val="00150717"/>
    <w:rsid w:val="001536AC"/>
    <w:rsid w:val="0016787A"/>
    <w:rsid w:val="00173524"/>
    <w:rsid w:val="001749A4"/>
    <w:rsid w:val="0017712E"/>
    <w:rsid w:val="00177517"/>
    <w:rsid w:val="0018567F"/>
    <w:rsid w:val="001865FB"/>
    <w:rsid w:val="00186848"/>
    <w:rsid w:val="001868BC"/>
    <w:rsid w:val="001910D8"/>
    <w:rsid w:val="001923DD"/>
    <w:rsid w:val="0019243A"/>
    <w:rsid w:val="00192493"/>
    <w:rsid w:val="001937BA"/>
    <w:rsid w:val="001A3B23"/>
    <w:rsid w:val="001A4ED1"/>
    <w:rsid w:val="001A5DDA"/>
    <w:rsid w:val="001A6CF6"/>
    <w:rsid w:val="001A6D8C"/>
    <w:rsid w:val="001A7F72"/>
    <w:rsid w:val="001B2571"/>
    <w:rsid w:val="001B3430"/>
    <w:rsid w:val="001B770B"/>
    <w:rsid w:val="001B7F4C"/>
    <w:rsid w:val="001C5728"/>
    <w:rsid w:val="001D335D"/>
    <w:rsid w:val="001D33A6"/>
    <w:rsid w:val="001D4291"/>
    <w:rsid w:val="001D5A8F"/>
    <w:rsid w:val="001D65A6"/>
    <w:rsid w:val="001D6C27"/>
    <w:rsid w:val="001E2E87"/>
    <w:rsid w:val="001E2EB6"/>
    <w:rsid w:val="001E3574"/>
    <w:rsid w:val="001E362F"/>
    <w:rsid w:val="001E5C77"/>
    <w:rsid w:val="001E6C13"/>
    <w:rsid w:val="001E6C39"/>
    <w:rsid w:val="001F19FD"/>
    <w:rsid w:val="001F46FF"/>
    <w:rsid w:val="002022DD"/>
    <w:rsid w:val="00202551"/>
    <w:rsid w:val="00203C5E"/>
    <w:rsid w:val="00204204"/>
    <w:rsid w:val="002042D6"/>
    <w:rsid w:val="0020700E"/>
    <w:rsid w:val="00210141"/>
    <w:rsid w:val="00210FC0"/>
    <w:rsid w:val="002142E5"/>
    <w:rsid w:val="0022031D"/>
    <w:rsid w:val="00220587"/>
    <w:rsid w:val="00221D34"/>
    <w:rsid w:val="00222101"/>
    <w:rsid w:val="002225EE"/>
    <w:rsid w:val="00222EAC"/>
    <w:rsid w:val="002237CF"/>
    <w:rsid w:val="00225B21"/>
    <w:rsid w:val="0022622D"/>
    <w:rsid w:val="002263D1"/>
    <w:rsid w:val="00226C0C"/>
    <w:rsid w:val="002300E2"/>
    <w:rsid w:val="0023206D"/>
    <w:rsid w:val="00234599"/>
    <w:rsid w:val="002352F5"/>
    <w:rsid w:val="00242DDA"/>
    <w:rsid w:val="00243423"/>
    <w:rsid w:val="002445C1"/>
    <w:rsid w:val="002468B4"/>
    <w:rsid w:val="00246EAD"/>
    <w:rsid w:val="002502CE"/>
    <w:rsid w:val="00253C29"/>
    <w:rsid w:val="00254605"/>
    <w:rsid w:val="00261218"/>
    <w:rsid w:val="002615D6"/>
    <w:rsid w:val="002619B9"/>
    <w:rsid w:val="00261E03"/>
    <w:rsid w:val="002633A4"/>
    <w:rsid w:val="00263B27"/>
    <w:rsid w:val="00263BFC"/>
    <w:rsid w:val="00266053"/>
    <w:rsid w:val="00266398"/>
    <w:rsid w:val="002663E4"/>
    <w:rsid w:val="00275A17"/>
    <w:rsid w:val="0028189B"/>
    <w:rsid w:val="00282051"/>
    <w:rsid w:val="002854CE"/>
    <w:rsid w:val="00285D8B"/>
    <w:rsid w:val="002908CE"/>
    <w:rsid w:val="00291A4D"/>
    <w:rsid w:val="002923D7"/>
    <w:rsid w:val="0029271B"/>
    <w:rsid w:val="0029322E"/>
    <w:rsid w:val="00293397"/>
    <w:rsid w:val="002936C9"/>
    <w:rsid w:val="00293BD6"/>
    <w:rsid w:val="00297277"/>
    <w:rsid w:val="00297B3C"/>
    <w:rsid w:val="002A0EC4"/>
    <w:rsid w:val="002A1B11"/>
    <w:rsid w:val="002A26C9"/>
    <w:rsid w:val="002A30FF"/>
    <w:rsid w:val="002A373D"/>
    <w:rsid w:val="002A5388"/>
    <w:rsid w:val="002A5E36"/>
    <w:rsid w:val="002A714F"/>
    <w:rsid w:val="002A7494"/>
    <w:rsid w:val="002A7581"/>
    <w:rsid w:val="002A7BF3"/>
    <w:rsid w:val="002B0166"/>
    <w:rsid w:val="002B0A8A"/>
    <w:rsid w:val="002B14AC"/>
    <w:rsid w:val="002B1F86"/>
    <w:rsid w:val="002B24F0"/>
    <w:rsid w:val="002B763E"/>
    <w:rsid w:val="002C019A"/>
    <w:rsid w:val="002C25C0"/>
    <w:rsid w:val="002C2979"/>
    <w:rsid w:val="002C2DD2"/>
    <w:rsid w:val="002C49D8"/>
    <w:rsid w:val="002C555A"/>
    <w:rsid w:val="002C7FEE"/>
    <w:rsid w:val="002D0AA0"/>
    <w:rsid w:val="002D1572"/>
    <w:rsid w:val="002D279C"/>
    <w:rsid w:val="002D2957"/>
    <w:rsid w:val="002D33FA"/>
    <w:rsid w:val="002D415E"/>
    <w:rsid w:val="002D41C7"/>
    <w:rsid w:val="002D41D4"/>
    <w:rsid w:val="002D6BCB"/>
    <w:rsid w:val="002D766B"/>
    <w:rsid w:val="002D7CDF"/>
    <w:rsid w:val="002E0857"/>
    <w:rsid w:val="002E3041"/>
    <w:rsid w:val="002E5613"/>
    <w:rsid w:val="002E5BEE"/>
    <w:rsid w:val="002E5EBA"/>
    <w:rsid w:val="002E673F"/>
    <w:rsid w:val="002E79EE"/>
    <w:rsid w:val="002E7A85"/>
    <w:rsid w:val="002F02EF"/>
    <w:rsid w:val="002F260B"/>
    <w:rsid w:val="002F46B0"/>
    <w:rsid w:val="002F511E"/>
    <w:rsid w:val="002F78C0"/>
    <w:rsid w:val="00301968"/>
    <w:rsid w:val="00302F4C"/>
    <w:rsid w:val="00303368"/>
    <w:rsid w:val="00303447"/>
    <w:rsid w:val="00310E14"/>
    <w:rsid w:val="00312FCF"/>
    <w:rsid w:val="003228BF"/>
    <w:rsid w:val="00322EC6"/>
    <w:rsid w:val="00324139"/>
    <w:rsid w:val="00324A7B"/>
    <w:rsid w:val="0032571F"/>
    <w:rsid w:val="00325752"/>
    <w:rsid w:val="00325AF3"/>
    <w:rsid w:val="00332334"/>
    <w:rsid w:val="00332C75"/>
    <w:rsid w:val="0033487B"/>
    <w:rsid w:val="003413FD"/>
    <w:rsid w:val="00341C9E"/>
    <w:rsid w:val="00343E77"/>
    <w:rsid w:val="003448DC"/>
    <w:rsid w:val="00345AAB"/>
    <w:rsid w:val="00345BB8"/>
    <w:rsid w:val="00346917"/>
    <w:rsid w:val="00347BC5"/>
    <w:rsid w:val="00350AFA"/>
    <w:rsid w:val="00351183"/>
    <w:rsid w:val="00351DF7"/>
    <w:rsid w:val="00352A20"/>
    <w:rsid w:val="0035467B"/>
    <w:rsid w:val="0035594A"/>
    <w:rsid w:val="00357250"/>
    <w:rsid w:val="00357587"/>
    <w:rsid w:val="0035759B"/>
    <w:rsid w:val="00360DBE"/>
    <w:rsid w:val="00362069"/>
    <w:rsid w:val="00367090"/>
    <w:rsid w:val="00371D04"/>
    <w:rsid w:val="00372A22"/>
    <w:rsid w:val="00372D20"/>
    <w:rsid w:val="00373F98"/>
    <w:rsid w:val="00376624"/>
    <w:rsid w:val="00380041"/>
    <w:rsid w:val="003854F5"/>
    <w:rsid w:val="00385B33"/>
    <w:rsid w:val="00386EB4"/>
    <w:rsid w:val="003921D5"/>
    <w:rsid w:val="003940F9"/>
    <w:rsid w:val="003960B9"/>
    <w:rsid w:val="003964A2"/>
    <w:rsid w:val="0039746E"/>
    <w:rsid w:val="00397FA0"/>
    <w:rsid w:val="003A127B"/>
    <w:rsid w:val="003A232F"/>
    <w:rsid w:val="003A5255"/>
    <w:rsid w:val="003B0C7F"/>
    <w:rsid w:val="003B30CA"/>
    <w:rsid w:val="003B3562"/>
    <w:rsid w:val="003C21EF"/>
    <w:rsid w:val="003C259B"/>
    <w:rsid w:val="003C4178"/>
    <w:rsid w:val="003C604E"/>
    <w:rsid w:val="003D1215"/>
    <w:rsid w:val="003D2A61"/>
    <w:rsid w:val="003D36F3"/>
    <w:rsid w:val="003D5AA1"/>
    <w:rsid w:val="003E05D6"/>
    <w:rsid w:val="003E1497"/>
    <w:rsid w:val="003E1510"/>
    <w:rsid w:val="003E2319"/>
    <w:rsid w:val="003F01DD"/>
    <w:rsid w:val="003F3AE6"/>
    <w:rsid w:val="003F3E4C"/>
    <w:rsid w:val="003F4D11"/>
    <w:rsid w:val="003F4E05"/>
    <w:rsid w:val="003F76AA"/>
    <w:rsid w:val="00401168"/>
    <w:rsid w:val="00401B47"/>
    <w:rsid w:val="004024EA"/>
    <w:rsid w:val="00403250"/>
    <w:rsid w:val="004069D2"/>
    <w:rsid w:val="0040760A"/>
    <w:rsid w:val="00411DB8"/>
    <w:rsid w:val="0041231D"/>
    <w:rsid w:val="004134B0"/>
    <w:rsid w:val="0042474C"/>
    <w:rsid w:val="00424815"/>
    <w:rsid w:val="0042607B"/>
    <w:rsid w:val="00426B57"/>
    <w:rsid w:val="0043021B"/>
    <w:rsid w:val="00430FD7"/>
    <w:rsid w:val="00432BDB"/>
    <w:rsid w:val="00432FEA"/>
    <w:rsid w:val="004347C8"/>
    <w:rsid w:val="004401ED"/>
    <w:rsid w:val="00440896"/>
    <w:rsid w:val="00450106"/>
    <w:rsid w:val="00450E44"/>
    <w:rsid w:val="0045580C"/>
    <w:rsid w:val="00464DF1"/>
    <w:rsid w:val="00466B04"/>
    <w:rsid w:val="004717A6"/>
    <w:rsid w:val="0047225E"/>
    <w:rsid w:val="004736F9"/>
    <w:rsid w:val="0047401F"/>
    <w:rsid w:val="00474361"/>
    <w:rsid w:val="004747C0"/>
    <w:rsid w:val="00482F5C"/>
    <w:rsid w:val="0048304F"/>
    <w:rsid w:val="004859F4"/>
    <w:rsid w:val="00487487"/>
    <w:rsid w:val="00487DE4"/>
    <w:rsid w:val="00490402"/>
    <w:rsid w:val="00490ECD"/>
    <w:rsid w:val="00491EC4"/>
    <w:rsid w:val="004933D6"/>
    <w:rsid w:val="00494290"/>
    <w:rsid w:val="00495375"/>
    <w:rsid w:val="004A06E0"/>
    <w:rsid w:val="004A078C"/>
    <w:rsid w:val="004A576E"/>
    <w:rsid w:val="004A5D62"/>
    <w:rsid w:val="004A7188"/>
    <w:rsid w:val="004A74C1"/>
    <w:rsid w:val="004B008F"/>
    <w:rsid w:val="004B1638"/>
    <w:rsid w:val="004B34FF"/>
    <w:rsid w:val="004B7078"/>
    <w:rsid w:val="004C0DCA"/>
    <w:rsid w:val="004C18DA"/>
    <w:rsid w:val="004C43A2"/>
    <w:rsid w:val="004C5D0D"/>
    <w:rsid w:val="004D10EE"/>
    <w:rsid w:val="004D3C95"/>
    <w:rsid w:val="004D3F60"/>
    <w:rsid w:val="004D7143"/>
    <w:rsid w:val="004E178D"/>
    <w:rsid w:val="004E25A0"/>
    <w:rsid w:val="004E29AD"/>
    <w:rsid w:val="004E38F4"/>
    <w:rsid w:val="004E5B27"/>
    <w:rsid w:val="004E7ED1"/>
    <w:rsid w:val="004F06AD"/>
    <w:rsid w:val="004F1B80"/>
    <w:rsid w:val="004F4537"/>
    <w:rsid w:val="004F4A12"/>
    <w:rsid w:val="004F57A4"/>
    <w:rsid w:val="004F6214"/>
    <w:rsid w:val="004F73E1"/>
    <w:rsid w:val="004F76F4"/>
    <w:rsid w:val="004F7BB3"/>
    <w:rsid w:val="00500538"/>
    <w:rsid w:val="005015CE"/>
    <w:rsid w:val="00503C59"/>
    <w:rsid w:val="00506805"/>
    <w:rsid w:val="00506C14"/>
    <w:rsid w:val="005075C6"/>
    <w:rsid w:val="00507727"/>
    <w:rsid w:val="00511D3D"/>
    <w:rsid w:val="00511E47"/>
    <w:rsid w:val="005123DF"/>
    <w:rsid w:val="00512EC3"/>
    <w:rsid w:val="005156B6"/>
    <w:rsid w:val="00517312"/>
    <w:rsid w:val="005260CB"/>
    <w:rsid w:val="00530A00"/>
    <w:rsid w:val="00531176"/>
    <w:rsid w:val="0053372A"/>
    <w:rsid w:val="0053432D"/>
    <w:rsid w:val="0053591F"/>
    <w:rsid w:val="00535D87"/>
    <w:rsid w:val="00535FE5"/>
    <w:rsid w:val="005364BB"/>
    <w:rsid w:val="00540CC0"/>
    <w:rsid w:val="0054154A"/>
    <w:rsid w:val="00541658"/>
    <w:rsid w:val="00542200"/>
    <w:rsid w:val="005426DA"/>
    <w:rsid w:val="00542CF0"/>
    <w:rsid w:val="00556F21"/>
    <w:rsid w:val="0056133E"/>
    <w:rsid w:val="00563FCC"/>
    <w:rsid w:val="00566E41"/>
    <w:rsid w:val="00572983"/>
    <w:rsid w:val="005749CE"/>
    <w:rsid w:val="00576049"/>
    <w:rsid w:val="0057799B"/>
    <w:rsid w:val="0058069E"/>
    <w:rsid w:val="00582A08"/>
    <w:rsid w:val="00582C69"/>
    <w:rsid w:val="00583769"/>
    <w:rsid w:val="0058602F"/>
    <w:rsid w:val="0058787E"/>
    <w:rsid w:val="00590C4F"/>
    <w:rsid w:val="00590F30"/>
    <w:rsid w:val="00591E17"/>
    <w:rsid w:val="005926AA"/>
    <w:rsid w:val="005946B5"/>
    <w:rsid w:val="00595DC5"/>
    <w:rsid w:val="00596A87"/>
    <w:rsid w:val="005A01D2"/>
    <w:rsid w:val="005A1166"/>
    <w:rsid w:val="005A138A"/>
    <w:rsid w:val="005A142B"/>
    <w:rsid w:val="005A2F2E"/>
    <w:rsid w:val="005A3498"/>
    <w:rsid w:val="005A4CDE"/>
    <w:rsid w:val="005A72A4"/>
    <w:rsid w:val="005B25B6"/>
    <w:rsid w:val="005B29D5"/>
    <w:rsid w:val="005B2C78"/>
    <w:rsid w:val="005B35AE"/>
    <w:rsid w:val="005B3AD7"/>
    <w:rsid w:val="005B3AE2"/>
    <w:rsid w:val="005B3E51"/>
    <w:rsid w:val="005B4071"/>
    <w:rsid w:val="005B7D6A"/>
    <w:rsid w:val="005C0E3D"/>
    <w:rsid w:val="005C1712"/>
    <w:rsid w:val="005C198C"/>
    <w:rsid w:val="005C32AA"/>
    <w:rsid w:val="005C4781"/>
    <w:rsid w:val="005D0C71"/>
    <w:rsid w:val="005D3AE3"/>
    <w:rsid w:val="005D5BDF"/>
    <w:rsid w:val="005E1901"/>
    <w:rsid w:val="005E21D6"/>
    <w:rsid w:val="005F0836"/>
    <w:rsid w:val="005F20DE"/>
    <w:rsid w:val="005F2C1A"/>
    <w:rsid w:val="005F4F95"/>
    <w:rsid w:val="005F50FC"/>
    <w:rsid w:val="005F6EB8"/>
    <w:rsid w:val="0060160B"/>
    <w:rsid w:val="00604399"/>
    <w:rsid w:val="00606C06"/>
    <w:rsid w:val="006103BE"/>
    <w:rsid w:val="00611CEC"/>
    <w:rsid w:val="0061382F"/>
    <w:rsid w:val="00614B61"/>
    <w:rsid w:val="00614FBC"/>
    <w:rsid w:val="00615B7A"/>
    <w:rsid w:val="006165AA"/>
    <w:rsid w:val="00616759"/>
    <w:rsid w:val="00617C93"/>
    <w:rsid w:val="00620CAD"/>
    <w:rsid w:val="00625D9E"/>
    <w:rsid w:val="00625F18"/>
    <w:rsid w:val="006322F7"/>
    <w:rsid w:val="00633185"/>
    <w:rsid w:val="00636128"/>
    <w:rsid w:val="00637E31"/>
    <w:rsid w:val="00641A2C"/>
    <w:rsid w:val="00641F20"/>
    <w:rsid w:val="00642D1A"/>
    <w:rsid w:val="006445A4"/>
    <w:rsid w:val="00644D63"/>
    <w:rsid w:val="0064513F"/>
    <w:rsid w:val="006457BE"/>
    <w:rsid w:val="00647C35"/>
    <w:rsid w:val="00650144"/>
    <w:rsid w:val="00650F3E"/>
    <w:rsid w:val="00652962"/>
    <w:rsid w:val="00652CF1"/>
    <w:rsid w:val="006539CB"/>
    <w:rsid w:val="00654789"/>
    <w:rsid w:val="006553E7"/>
    <w:rsid w:val="00656573"/>
    <w:rsid w:val="00661F0E"/>
    <w:rsid w:val="00663AAE"/>
    <w:rsid w:val="00663F1B"/>
    <w:rsid w:val="00665A60"/>
    <w:rsid w:val="00666236"/>
    <w:rsid w:val="00671A62"/>
    <w:rsid w:val="00676D4B"/>
    <w:rsid w:val="00680376"/>
    <w:rsid w:val="00682A32"/>
    <w:rsid w:val="00683CDB"/>
    <w:rsid w:val="00686C0C"/>
    <w:rsid w:val="006902C8"/>
    <w:rsid w:val="00691A3D"/>
    <w:rsid w:val="00691C02"/>
    <w:rsid w:val="006942B3"/>
    <w:rsid w:val="0069465D"/>
    <w:rsid w:val="0069659E"/>
    <w:rsid w:val="00696B91"/>
    <w:rsid w:val="0069705A"/>
    <w:rsid w:val="00697173"/>
    <w:rsid w:val="006A08B8"/>
    <w:rsid w:val="006A22D7"/>
    <w:rsid w:val="006A55CF"/>
    <w:rsid w:val="006C14CF"/>
    <w:rsid w:val="006C1CD9"/>
    <w:rsid w:val="006C75FF"/>
    <w:rsid w:val="006C76E4"/>
    <w:rsid w:val="006D3EC1"/>
    <w:rsid w:val="006E1D88"/>
    <w:rsid w:val="006E2663"/>
    <w:rsid w:val="006E329B"/>
    <w:rsid w:val="006E3E08"/>
    <w:rsid w:val="006E47E6"/>
    <w:rsid w:val="006E5C84"/>
    <w:rsid w:val="006E61E0"/>
    <w:rsid w:val="006E76B8"/>
    <w:rsid w:val="006F0152"/>
    <w:rsid w:val="006F0F9E"/>
    <w:rsid w:val="006F1E65"/>
    <w:rsid w:val="006F290B"/>
    <w:rsid w:val="006F433E"/>
    <w:rsid w:val="006F5168"/>
    <w:rsid w:val="006F7A4C"/>
    <w:rsid w:val="007003B5"/>
    <w:rsid w:val="00700872"/>
    <w:rsid w:val="007028DF"/>
    <w:rsid w:val="007050FB"/>
    <w:rsid w:val="00705ACA"/>
    <w:rsid w:val="00711A4D"/>
    <w:rsid w:val="00711BC6"/>
    <w:rsid w:val="0071247D"/>
    <w:rsid w:val="00715A91"/>
    <w:rsid w:val="007217DD"/>
    <w:rsid w:val="00723520"/>
    <w:rsid w:val="00724BC2"/>
    <w:rsid w:val="0072636F"/>
    <w:rsid w:val="00726C8F"/>
    <w:rsid w:val="00731036"/>
    <w:rsid w:val="00732EFB"/>
    <w:rsid w:val="00734BDE"/>
    <w:rsid w:val="0073556A"/>
    <w:rsid w:val="00744EAB"/>
    <w:rsid w:val="00745866"/>
    <w:rsid w:val="00745B37"/>
    <w:rsid w:val="00747927"/>
    <w:rsid w:val="007515BD"/>
    <w:rsid w:val="007516E5"/>
    <w:rsid w:val="00752150"/>
    <w:rsid w:val="00753BE4"/>
    <w:rsid w:val="007547C5"/>
    <w:rsid w:val="00756524"/>
    <w:rsid w:val="00756855"/>
    <w:rsid w:val="007568FE"/>
    <w:rsid w:val="007570DC"/>
    <w:rsid w:val="00763979"/>
    <w:rsid w:val="007647C7"/>
    <w:rsid w:val="007664D2"/>
    <w:rsid w:val="0076674C"/>
    <w:rsid w:val="00766DBF"/>
    <w:rsid w:val="00770387"/>
    <w:rsid w:val="00771A8C"/>
    <w:rsid w:val="00771B66"/>
    <w:rsid w:val="007731FD"/>
    <w:rsid w:val="00774704"/>
    <w:rsid w:val="00775650"/>
    <w:rsid w:val="00783166"/>
    <w:rsid w:val="0078432C"/>
    <w:rsid w:val="0078613A"/>
    <w:rsid w:val="00786213"/>
    <w:rsid w:val="00786A96"/>
    <w:rsid w:val="00787BFD"/>
    <w:rsid w:val="00790268"/>
    <w:rsid w:val="00791E27"/>
    <w:rsid w:val="0079344D"/>
    <w:rsid w:val="00793776"/>
    <w:rsid w:val="00795AF3"/>
    <w:rsid w:val="00795BBC"/>
    <w:rsid w:val="007971D8"/>
    <w:rsid w:val="007A191F"/>
    <w:rsid w:val="007A56B7"/>
    <w:rsid w:val="007A59AB"/>
    <w:rsid w:val="007A72BE"/>
    <w:rsid w:val="007B10AC"/>
    <w:rsid w:val="007B52FB"/>
    <w:rsid w:val="007B5DEA"/>
    <w:rsid w:val="007C1474"/>
    <w:rsid w:val="007C192A"/>
    <w:rsid w:val="007C464D"/>
    <w:rsid w:val="007C5283"/>
    <w:rsid w:val="007C58E0"/>
    <w:rsid w:val="007C6731"/>
    <w:rsid w:val="007C6D7E"/>
    <w:rsid w:val="007D2452"/>
    <w:rsid w:val="007D2E63"/>
    <w:rsid w:val="007D7212"/>
    <w:rsid w:val="007E06E0"/>
    <w:rsid w:val="007E3B26"/>
    <w:rsid w:val="007E4249"/>
    <w:rsid w:val="007E49F0"/>
    <w:rsid w:val="007E7A98"/>
    <w:rsid w:val="007F1B0C"/>
    <w:rsid w:val="007F1BA5"/>
    <w:rsid w:val="007F296B"/>
    <w:rsid w:val="007F6B77"/>
    <w:rsid w:val="0080077E"/>
    <w:rsid w:val="0080083C"/>
    <w:rsid w:val="00801B89"/>
    <w:rsid w:val="008023B5"/>
    <w:rsid w:val="00802746"/>
    <w:rsid w:val="008058DE"/>
    <w:rsid w:val="00806809"/>
    <w:rsid w:val="00807C44"/>
    <w:rsid w:val="00810797"/>
    <w:rsid w:val="00810F4F"/>
    <w:rsid w:val="00812D03"/>
    <w:rsid w:val="00813C77"/>
    <w:rsid w:val="00815842"/>
    <w:rsid w:val="00817147"/>
    <w:rsid w:val="00817AC6"/>
    <w:rsid w:val="00817C4B"/>
    <w:rsid w:val="0082434A"/>
    <w:rsid w:val="0083258C"/>
    <w:rsid w:val="0083389C"/>
    <w:rsid w:val="0083444D"/>
    <w:rsid w:val="00834BDA"/>
    <w:rsid w:val="00836200"/>
    <w:rsid w:val="008367E2"/>
    <w:rsid w:val="00837874"/>
    <w:rsid w:val="00837A37"/>
    <w:rsid w:val="00837FC6"/>
    <w:rsid w:val="00840177"/>
    <w:rsid w:val="00840BB0"/>
    <w:rsid w:val="00842253"/>
    <w:rsid w:val="008449A0"/>
    <w:rsid w:val="00844EA9"/>
    <w:rsid w:val="00846EE1"/>
    <w:rsid w:val="0085270F"/>
    <w:rsid w:val="008529C1"/>
    <w:rsid w:val="00854FA2"/>
    <w:rsid w:val="008555CF"/>
    <w:rsid w:val="00855C52"/>
    <w:rsid w:val="0085688C"/>
    <w:rsid w:val="00861CA1"/>
    <w:rsid w:val="00864648"/>
    <w:rsid w:val="00865AE7"/>
    <w:rsid w:val="008679D0"/>
    <w:rsid w:val="00867D80"/>
    <w:rsid w:val="00870955"/>
    <w:rsid w:val="00871A98"/>
    <w:rsid w:val="00871BB0"/>
    <w:rsid w:val="00872337"/>
    <w:rsid w:val="0087259D"/>
    <w:rsid w:val="00880539"/>
    <w:rsid w:val="00883EAB"/>
    <w:rsid w:val="00885EE4"/>
    <w:rsid w:val="00887330"/>
    <w:rsid w:val="008911FA"/>
    <w:rsid w:val="00892C15"/>
    <w:rsid w:val="008947A6"/>
    <w:rsid w:val="00894E63"/>
    <w:rsid w:val="008967F0"/>
    <w:rsid w:val="0089737F"/>
    <w:rsid w:val="008A1BA0"/>
    <w:rsid w:val="008A20E1"/>
    <w:rsid w:val="008A2FF9"/>
    <w:rsid w:val="008A4C97"/>
    <w:rsid w:val="008A7077"/>
    <w:rsid w:val="008B04AF"/>
    <w:rsid w:val="008B0628"/>
    <w:rsid w:val="008B2AF3"/>
    <w:rsid w:val="008B415F"/>
    <w:rsid w:val="008C243A"/>
    <w:rsid w:val="008C2BAC"/>
    <w:rsid w:val="008C4539"/>
    <w:rsid w:val="008C5873"/>
    <w:rsid w:val="008D5CBF"/>
    <w:rsid w:val="008D68C2"/>
    <w:rsid w:val="008D6AE8"/>
    <w:rsid w:val="008D6F1B"/>
    <w:rsid w:val="008D712B"/>
    <w:rsid w:val="008E0EB9"/>
    <w:rsid w:val="008E15FB"/>
    <w:rsid w:val="008E2843"/>
    <w:rsid w:val="008E4B42"/>
    <w:rsid w:val="008E5889"/>
    <w:rsid w:val="008F080C"/>
    <w:rsid w:val="008F35DB"/>
    <w:rsid w:val="008F733F"/>
    <w:rsid w:val="008F75AD"/>
    <w:rsid w:val="008F776E"/>
    <w:rsid w:val="008F7DD5"/>
    <w:rsid w:val="009020F7"/>
    <w:rsid w:val="00902262"/>
    <w:rsid w:val="009029E6"/>
    <w:rsid w:val="00903635"/>
    <w:rsid w:val="00907DD4"/>
    <w:rsid w:val="00913D3C"/>
    <w:rsid w:val="00915478"/>
    <w:rsid w:val="00915AC6"/>
    <w:rsid w:val="009168F2"/>
    <w:rsid w:val="00916E91"/>
    <w:rsid w:val="0091783B"/>
    <w:rsid w:val="00926EC5"/>
    <w:rsid w:val="009279B1"/>
    <w:rsid w:val="00927A37"/>
    <w:rsid w:val="00931FFF"/>
    <w:rsid w:val="009349D8"/>
    <w:rsid w:val="00935EFD"/>
    <w:rsid w:val="0093745C"/>
    <w:rsid w:val="0094199C"/>
    <w:rsid w:val="009420D1"/>
    <w:rsid w:val="00945549"/>
    <w:rsid w:val="0094589F"/>
    <w:rsid w:val="00945ADE"/>
    <w:rsid w:val="00946614"/>
    <w:rsid w:val="0094661F"/>
    <w:rsid w:val="009605F3"/>
    <w:rsid w:val="00960836"/>
    <w:rsid w:val="00963772"/>
    <w:rsid w:val="00964712"/>
    <w:rsid w:val="00965C38"/>
    <w:rsid w:val="00966098"/>
    <w:rsid w:val="00967780"/>
    <w:rsid w:val="0097117D"/>
    <w:rsid w:val="00972745"/>
    <w:rsid w:val="00976663"/>
    <w:rsid w:val="00982FE7"/>
    <w:rsid w:val="00983B81"/>
    <w:rsid w:val="00987766"/>
    <w:rsid w:val="00994441"/>
    <w:rsid w:val="0099504E"/>
    <w:rsid w:val="00995685"/>
    <w:rsid w:val="0099717E"/>
    <w:rsid w:val="009973D5"/>
    <w:rsid w:val="00997D5F"/>
    <w:rsid w:val="009A44C9"/>
    <w:rsid w:val="009A5CF3"/>
    <w:rsid w:val="009A6D8C"/>
    <w:rsid w:val="009A7B13"/>
    <w:rsid w:val="009B4D8A"/>
    <w:rsid w:val="009B7E73"/>
    <w:rsid w:val="009C1C72"/>
    <w:rsid w:val="009C4B35"/>
    <w:rsid w:val="009C64B3"/>
    <w:rsid w:val="009D1DC1"/>
    <w:rsid w:val="009D2445"/>
    <w:rsid w:val="009D6AFD"/>
    <w:rsid w:val="009D74CF"/>
    <w:rsid w:val="009E042C"/>
    <w:rsid w:val="009E0FF9"/>
    <w:rsid w:val="009E1192"/>
    <w:rsid w:val="009E37DC"/>
    <w:rsid w:val="009E3AF6"/>
    <w:rsid w:val="009E77E0"/>
    <w:rsid w:val="009F038A"/>
    <w:rsid w:val="009F1881"/>
    <w:rsid w:val="009F3CC5"/>
    <w:rsid w:val="009F52FB"/>
    <w:rsid w:val="009F78B7"/>
    <w:rsid w:val="009F7BDB"/>
    <w:rsid w:val="00A01E09"/>
    <w:rsid w:val="00A03A62"/>
    <w:rsid w:val="00A1511D"/>
    <w:rsid w:val="00A20806"/>
    <w:rsid w:val="00A275CA"/>
    <w:rsid w:val="00A30D19"/>
    <w:rsid w:val="00A32856"/>
    <w:rsid w:val="00A337AB"/>
    <w:rsid w:val="00A373CA"/>
    <w:rsid w:val="00A40D59"/>
    <w:rsid w:val="00A41A46"/>
    <w:rsid w:val="00A424C5"/>
    <w:rsid w:val="00A42FBB"/>
    <w:rsid w:val="00A44A7E"/>
    <w:rsid w:val="00A45D05"/>
    <w:rsid w:val="00A47933"/>
    <w:rsid w:val="00A505F4"/>
    <w:rsid w:val="00A508B6"/>
    <w:rsid w:val="00A512CF"/>
    <w:rsid w:val="00A525A9"/>
    <w:rsid w:val="00A52FA0"/>
    <w:rsid w:val="00A537A3"/>
    <w:rsid w:val="00A56907"/>
    <w:rsid w:val="00A57870"/>
    <w:rsid w:val="00A60990"/>
    <w:rsid w:val="00A62F11"/>
    <w:rsid w:val="00A639DD"/>
    <w:rsid w:val="00A71595"/>
    <w:rsid w:val="00A718FD"/>
    <w:rsid w:val="00A7530D"/>
    <w:rsid w:val="00A76DAC"/>
    <w:rsid w:val="00A776BE"/>
    <w:rsid w:val="00A80A74"/>
    <w:rsid w:val="00A824C0"/>
    <w:rsid w:val="00A84C59"/>
    <w:rsid w:val="00A8579A"/>
    <w:rsid w:val="00A861A0"/>
    <w:rsid w:val="00A861DC"/>
    <w:rsid w:val="00A86358"/>
    <w:rsid w:val="00A875AB"/>
    <w:rsid w:val="00A90DAF"/>
    <w:rsid w:val="00A9358C"/>
    <w:rsid w:val="00A95D52"/>
    <w:rsid w:val="00A96CF0"/>
    <w:rsid w:val="00AA0EDA"/>
    <w:rsid w:val="00AA275B"/>
    <w:rsid w:val="00AA2995"/>
    <w:rsid w:val="00AA394D"/>
    <w:rsid w:val="00AA4162"/>
    <w:rsid w:val="00AA4F5B"/>
    <w:rsid w:val="00AA52AF"/>
    <w:rsid w:val="00AA5DF8"/>
    <w:rsid w:val="00AA6F92"/>
    <w:rsid w:val="00AB2724"/>
    <w:rsid w:val="00AB4FC5"/>
    <w:rsid w:val="00AB5E21"/>
    <w:rsid w:val="00AC196E"/>
    <w:rsid w:val="00AC488A"/>
    <w:rsid w:val="00AC5444"/>
    <w:rsid w:val="00AC78D5"/>
    <w:rsid w:val="00AD07EB"/>
    <w:rsid w:val="00AD1DAD"/>
    <w:rsid w:val="00AD20F8"/>
    <w:rsid w:val="00AD3B67"/>
    <w:rsid w:val="00AD5641"/>
    <w:rsid w:val="00AD57ED"/>
    <w:rsid w:val="00AD64AF"/>
    <w:rsid w:val="00AE341A"/>
    <w:rsid w:val="00AE360F"/>
    <w:rsid w:val="00AF20BE"/>
    <w:rsid w:val="00AF4516"/>
    <w:rsid w:val="00B03F2B"/>
    <w:rsid w:val="00B041EB"/>
    <w:rsid w:val="00B10E10"/>
    <w:rsid w:val="00B14B21"/>
    <w:rsid w:val="00B17782"/>
    <w:rsid w:val="00B2247C"/>
    <w:rsid w:val="00B27B04"/>
    <w:rsid w:val="00B27D0D"/>
    <w:rsid w:val="00B310E4"/>
    <w:rsid w:val="00B317D2"/>
    <w:rsid w:val="00B31ED6"/>
    <w:rsid w:val="00B32FCB"/>
    <w:rsid w:val="00B3333E"/>
    <w:rsid w:val="00B36989"/>
    <w:rsid w:val="00B4160A"/>
    <w:rsid w:val="00B41BEB"/>
    <w:rsid w:val="00B4227F"/>
    <w:rsid w:val="00B422AB"/>
    <w:rsid w:val="00B42787"/>
    <w:rsid w:val="00B428E0"/>
    <w:rsid w:val="00B43AA3"/>
    <w:rsid w:val="00B46848"/>
    <w:rsid w:val="00B50788"/>
    <w:rsid w:val="00B5602A"/>
    <w:rsid w:val="00B5796E"/>
    <w:rsid w:val="00B601C2"/>
    <w:rsid w:val="00B60D46"/>
    <w:rsid w:val="00B62106"/>
    <w:rsid w:val="00B651F2"/>
    <w:rsid w:val="00B669C4"/>
    <w:rsid w:val="00B66E04"/>
    <w:rsid w:val="00B67D56"/>
    <w:rsid w:val="00B70B21"/>
    <w:rsid w:val="00B71FA7"/>
    <w:rsid w:val="00B72EC2"/>
    <w:rsid w:val="00B767DA"/>
    <w:rsid w:val="00B815B1"/>
    <w:rsid w:val="00B86078"/>
    <w:rsid w:val="00B91204"/>
    <w:rsid w:val="00B955D3"/>
    <w:rsid w:val="00BA6237"/>
    <w:rsid w:val="00BA7D44"/>
    <w:rsid w:val="00BB28ED"/>
    <w:rsid w:val="00BB33CD"/>
    <w:rsid w:val="00BB36FA"/>
    <w:rsid w:val="00BB5D4F"/>
    <w:rsid w:val="00BB78CA"/>
    <w:rsid w:val="00BC2DA0"/>
    <w:rsid w:val="00BC2FB9"/>
    <w:rsid w:val="00BC4F1F"/>
    <w:rsid w:val="00BD0B04"/>
    <w:rsid w:val="00BD2989"/>
    <w:rsid w:val="00BD513B"/>
    <w:rsid w:val="00BD7765"/>
    <w:rsid w:val="00BE006C"/>
    <w:rsid w:val="00BE00C7"/>
    <w:rsid w:val="00BE6537"/>
    <w:rsid w:val="00BF1244"/>
    <w:rsid w:val="00BF2520"/>
    <w:rsid w:val="00BF474A"/>
    <w:rsid w:val="00C01D12"/>
    <w:rsid w:val="00C02572"/>
    <w:rsid w:val="00C043F2"/>
    <w:rsid w:val="00C049C2"/>
    <w:rsid w:val="00C05C9B"/>
    <w:rsid w:val="00C06219"/>
    <w:rsid w:val="00C120B6"/>
    <w:rsid w:val="00C13E89"/>
    <w:rsid w:val="00C14DE2"/>
    <w:rsid w:val="00C20CA3"/>
    <w:rsid w:val="00C2236A"/>
    <w:rsid w:val="00C252D2"/>
    <w:rsid w:val="00C25912"/>
    <w:rsid w:val="00C25BBD"/>
    <w:rsid w:val="00C26733"/>
    <w:rsid w:val="00C26C80"/>
    <w:rsid w:val="00C32D81"/>
    <w:rsid w:val="00C37177"/>
    <w:rsid w:val="00C400B4"/>
    <w:rsid w:val="00C43F6B"/>
    <w:rsid w:val="00C449CA"/>
    <w:rsid w:val="00C47D71"/>
    <w:rsid w:val="00C51395"/>
    <w:rsid w:val="00C54BF5"/>
    <w:rsid w:val="00C55619"/>
    <w:rsid w:val="00C60282"/>
    <w:rsid w:val="00C613F1"/>
    <w:rsid w:val="00C632C2"/>
    <w:rsid w:val="00C64E93"/>
    <w:rsid w:val="00C719D4"/>
    <w:rsid w:val="00C73548"/>
    <w:rsid w:val="00C74472"/>
    <w:rsid w:val="00C77221"/>
    <w:rsid w:val="00C80256"/>
    <w:rsid w:val="00C81558"/>
    <w:rsid w:val="00C81CFF"/>
    <w:rsid w:val="00C81E34"/>
    <w:rsid w:val="00C82D40"/>
    <w:rsid w:val="00C84C02"/>
    <w:rsid w:val="00C874C5"/>
    <w:rsid w:val="00C87CD6"/>
    <w:rsid w:val="00C90114"/>
    <w:rsid w:val="00C90534"/>
    <w:rsid w:val="00C941B2"/>
    <w:rsid w:val="00C9609E"/>
    <w:rsid w:val="00C9692D"/>
    <w:rsid w:val="00C96C3D"/>
    <w:rsid w:val="00C9739C"/>
    <w:rsid w:val="00CA25B3"/>
    <w:rsid w:val="00CA40CF"/>
    <w:rsid w:val="00CA4397"/>
    <w:rsid w:val="00CA5BCF"/>
    <w:rsid w:val="00CB0464"/>
    <w:rsid w:val="00CB1CE6"/>
    <w:rsid w:val="00CB2B2F"/>
    <w:rsid w:val="00CB2E65"/>
    <w:rsid w:val="00CB6BCD"/>
    <w:rsid w:val="00CB7948"/>
    <w:rsid w:val="00CC2C2B"/>
    <w:rsid w:val="00CC2D16"/>
    <w:rsid w:val="00CC325C"/>
    <w:rsid w:val="00CC6271"/>
    <w:rsid w:val="00CC6C7D"/>
    <w:rsid w:val="00CD51A2"/>
    <w:rsid w:val="00CD7D74"/>
    <w:rsid w:val="00CE1DC0"/>
    <w:rsid w:val="00CE4A8C"/>
    <w:rsid w:val="00CE4CBE"/>
    <w:rsid w:val="00CE4EFE"/>
    <w:rsid w:val="00CE683A"/>
    <w:rsid w:val="00CF21CC"/>
    <w:rsid w:val="00CF458D"/>
    <w:rsid w:val="00CF788A"/>
    <w:rsid w:val="00D000F7"/>
    <w:rsid w:val="00D02ACB"/>
    <w:rsid w:val="00D0314E"/>
    <w:rsid w:val="00D04498"/>
    <w:rsid w:val="00D04913"/>
    <w:rsid w:val="00D04E4A"/>
    <w:rsid w:val="00D04FE1"/>
    <w:rsid w:val="00D067E4"/>
    <w:rsid w:val="00D072BE"/>
    <w:rsid w:val="00D07E6E"/>
    <w:rsid w:val="00D10419"/>
    <w:rsid w:val="00D11080"/>
    <w:rsid w:val="00D11BD0"/>
    <w:rsid w:val="00D14527"/>
    <w:rsid w:val="00D14691"/>
    <w:rsid w:val="00D17611"/>
    <w:rsid w:val="00D17867"/>
    <w:rsid w:val="00D21BA5"/>
    <w:rsid w:val="00D22A42"/>
    <w:rsid w:val="00D22B0E"/>
    <w:rsid w:val="00D24369"/>
    <w:rsid w:val="00D244F7"/>
    <w:rsid w:val="00D2452E"/>
    <w:rsid w:val="00D24EE3"/>
    <w:rsid w:val="00D2582A"/>
    <w:rsid w:val="00D30A61"/>
    <w:rsid w:val="00D35F54"/>
    <w:rsid w:val="00D407F7"/>
    <w:rsid w:val="00D4191B"/>
    <w:rsid w:val="00D45783"/>
    <w:rsid w:val="00D45DCB"/>
    <w:rsid w:val="00D45F45"/>
    <w:rsid w:val="00D46232"/>
    <w:rsid w:val="00D467A8"/>
    <w:rsid w:val="00D50B02"/>
    <w:rsid w:val="00D50BA2"/>
    <w:rsid w:val="00D530D2"/>
    <w:rsid w:val="00D56513"/>
    <w:rsid w:val="00D56B52"/>
    <w:rsid w:val="00D57476"/>
    <w:rsid w:val="00D57CA2"/>
    <w:rsid w:val="00D60CDE"/>
    <w:rsid w:val="00D624EA"/>
    <w:rsid w:val="00D6259D"/>
    <w:rsid w:val="00D64FEC"/>
    <w:rsid w:val="00D7183F"/>
    <w:rsid w:val="00D73275"/>
    <w:rsid w:val="00D76AC1"/>
    <w:rsid w:val="00D853D5"/>
    <w:rsid w:val="00D8786F"/>
    <w:rsid w:val="00DA1B71"/>
    <w:rsid w:val="00DA78A2"/>
    <w:rsid w:val="00DB0473"/>
    <w:rsid w:val="00DB0E23"/>
    <w:rsid w:val="00DB3F2D"/>
    <w:rsid w:val="00DB3FCB"/>
    <w:rsid w:val="00DC0375"/>
    <w:rsid w:val="00DC05B6"/>
    <w:rsid w:val="00DC0B37"/>
    <w:rsid w:val="00DC1C9B"/>
    <w:rsid w:val="00DC2B55"/>
    <w:rsid w:val="00DC44DA"/>
    <w:rsid w:val="00DC4862"/>
    <w:rsid w:val="00DD36A7"/>
    <w:rsid w:val="00DD3761"/>
    <w:rsid w:val="00DD512F"/>
    <w:rsid w:val="00DD527E"/>
    <w:rsid w:val="00DE1181"/>
    <w:rsid w:val="00DE1C15"/>
    <w:rsid w:val="00DE2FB5"/>
    <w:rsid w:val="00DE42FD"/>
    <w:rsid w:val="00DE58A2"/>
    <w:rsid w:val="00DE5B93"/>
    <w:rsid w:val="00DE5C2E"/>
    <w:rsid w:val="00DE6025"/>
    <w:rsid w:val="00DE71A6"/>
    <w:rsid w:val="00DE75CB"/>
    <w:rsid w:val="00DE7B32"/>
    <w:rsid w:val="00DF23BF"/>
    <w:rsid w:val="00DF2AE3"/>
    <w:rsid w:val="00DF4B90"/>
    <w:rsid w:val="00DF7026"/>
    <w:rsid w:val="00E01818"/>
    <w:rsid w:val="00E0189B"/>
    <w:rsid w:val="00E05FCF"/>
    <w:rsid w:val="00E060FB"/>
    <w:rsid w:val="00E0685A"/>
    <w:rsid w:val="00E07202"/>
    <w:rsid w:val="00E13278"/>
    <w:rsid w:val="00E14500"/>
    <w:rsid w:val="00E14C3B"/>
    <w:rsid w:val="00E15F1C"/>
    <w:rsid w:val="00E17EA2"/>
    <w:rsid w:val="00E2111E"/>
    <w:rsid w:val="00E242F2"/>
    <w:rsid w:val="00E2585D"/>
    <w:rsid w:val="00E26024"/>
    <w:rsid w:val="00E26250"/>
    <w:rsid w:val="00E2777B"/>
    <w:rsid w:val="00E30951"/>
    <w:rsid w:val="00E30DA2"/>
    <w:rsid w:val="00E315A2"/>
    <w:rsid w:val="00E339E7"/>
    <w:rsid w:val="00E3494E"/>
    <w:rsid w:val="00E35403"/>
    <w:rsid w:val="00E35440"/>
    <w:rsid w:val="00E35EEB"/>
    <w:rsid w:val="00E3647D"/>
    <w:rsid w:val="00E368B2"/>
    <w:rsid w:val="00E37C3B"/>
    <w:rsid w:val="00E4004B"/>
    <w:rsid w:val="00E40190"/>
    <w:rsid w:val="00E401E9"/>
    <w:rsid w:val="00E42017"/>
    <w:rsid w:val="00E430C2"/>
    <w:rsid w:val="00E445B7"/>
    <w:rsid w:val="00E454BC"/>
    <w:rsid w:val="00E5044C"/>
    <w:rsid w:val="00E51896"/>
    <w:rsid w:val="00E524E3"/>
    <w:rsid w:val="00E528EA"/>
    <w:rsid w:val="00E5295C"/>
    <w:rsid w:val="00E57D9C"/>
    <w:rsid w:val="00E6373B"/>
    <w:rsid w:val="00E64250"/>
    <w:rsid w:val="00E676AE"/>
    <w:rsid w:val="00E705DC"/>
    <w:rsid w:val="00E70A84"/>
    <w:rsid w:val="00E74D53"/>
    <w:rsid w:val="00E74E88"/>
    <w:rsid w:val="00E769CB"/>
    <w:rsid w:val="00E76E1C"/>
    <w:rsid w:val="00E77268"/>
    <w:rsid w:val="00E7759D"/>
    <w:rsid w:val="00E836AA"/>
    <w:rsid w:val="00E84F58"/>
    <w:rsid w:val="00E860D7"/>
    <w:rsid w:val="00E915C6"/>
    <w:rsid w:val="00E91D68"/>
    <w:rsid w:val="00E941A4"/>
    <w:rsid w:val="00E960BF"/>
    <w:rsid w:val="00E97610"/>
    <w:rsid w:val="00E97DEB"/>
    <w:rsid w:val="00EA0B45"/>
    <w:rsid w:val="00EA23DF"/>
    <w:rsid w:val="00EA4673"/>
    <w:rsid w:val="00EA4C5C"/>
    <w:rsid w:val="00EA60F0"/>
    <w:rsid w:val="00EA6D98"/>
    <w:rsid w:val="00EB0683"/>
    <w:rsid w:val="00EB070F"/>
    <w:rsid w:val="00EB15C9"/>
    <w:rsid w:val="00EB3F61"/>
    <w:rsid w:val="00EB3F67"/>
    <w:rsid w:val="00EB6112"/>
    <w:rsid w:val="00EB7C3D"/>
    <w:rsid w:val="00EC0554"/>
    <w:rsid w:val="00EC16B4"/>
    <w:rsid w:val="00EC170B"/>
    <w:rsid w:val="00EC427F"/>
    <w:rsid w:val="00EC481E"/>
    <w:rsid w:val="00EC5D93"/>
    <w:rsid w:val="00EC5FB0"/>
    <w:rsid w:val="00EC7873"/>
    <w:rsid w:val="00ED00B2"/>
    <w:rsid w:val="00ED0383"/>
    <w:rsid w:val="00ED328E"/>
    <w:rsid w:val="00ED4559"/>
    <w:rsid w:val="00ED45B0"/>
    <w:rsid w:val="00ED4B10"/>
    <w:rsid w:val="00ED5A7E"/>
    <w:rsid w:val="00ED6599"/>
    <w:rsid w:val="00EE72C8"/>
    <w:rsid w:val="00EE79A9"/>
    <w:rsid w:val="00EF0106"/>
    <w:rsid w:val="00EF1048"/>
    <w:rsid w:val="00F01B2A"/>
    <w:rsid w:val="00F024D7"/>
    <w:rsid w:val="00F03F5D"/>
    <w:rsid w:val="00F0519A"/>
    <w:rsid w:val="00F05343"/>
    <w:rsid w:val="00F07A4A"/>
    <w:rsid w:val="00F07DA7"/>
    <w:rsid w:val="00F14A17"/>
    <w:rsid w:val="00F14E74"/>
    <w:rsid w:val="00F15A1E"/>
    <w:rsid w:val="00F17824"/>
    <w:rsid w:val="00F2030F"/>
    <w:rsid w:val="00F20F88"/>
    <w:rsid w:val="00F20FCA"/>
    <w:rsid w:val="00F21029"/>
    <w:rsid w:val="00F27ED7"/>
    <w:rsid w:val="00F32E5E"/>
    <w:rsid w:val="00F33931"/>
    <w:rsid w:val="00F34838"/>
    <w:rsid w:val="00F374C5"/>
    <w:rsid w:val="00F37E44"/>
    <w:rsid w:val="00F37FD7"/>
    <w:rsid w:val="00F4252D"/>
    <w:rsid w:val="00F43841"/>
    <w:rsid w:val="00F43C23"/>
    <w:rsid w:val="00F444C5"/>
    <w:rsid w:val="00F465D2"/>
    <w:rsid w:val="00F54BC1"/>
    <w:rsid w:val="00F55F3F"/>
    <w:rsid w:val="00F60D8D"/>
    <w:rsid w:val="00F62736"/>
    <w:rsid w:val="00F62D8E"/>
    <w:rsid w:val="00F632A2"/>
    <w:rsid w:val="00F633B5"/>
    <w:rsid w:val="00F65936"/>
    <w:rsid w:val="00F7385D"/>
    <w:rsid w:val="00F773CE"/>
    <w:rsid w:val="00F80571"/>
    <w:rsid w:val="00F824BE"/>
    <w:rsid w:val="00F82FE5"/>
    <w:rsid w:val="00F86A1D"/>
    <w:rsid w:val="00F86DA6"/>
    <w:rsid w:val="00F87DD5"/>
    <w:rsid w:val="00F91B5D"/>
    <w:rsid w:val="00F93490"/>
    <w:rsid w:val="00F942EE"/>
    <w:rsid w:val="00F95DA2"/>
    <w:rsid w:val="00FA0ACE"/>
    <w:rsid w:val="00FA10F6"/>
    <w:rsid w:val="00FA4232"/>
    <w:rsid w:val="00FA7020"/>
    <w:rsid w:val="00FB134F"/>
    <w:rsid w:val="00FB4A37"/>
    <w:rsid w:val="00FB6EDE"/>
    <w:rsid w:val="00FC58DE"/>
    <w:rsid w:val="00FC7A8D"/>
    <w:rsid w:val="00FD0E72"/>
    <w:rsid w:val="00FD334D"/>
    <w:rsid w:val="00FD59CA"/>
    <w:rsid w:val="00FE0391"/>
    <w:rsid w:val="00FE15C7"/>
    <w:rsid w:val="00FE2118"/>
    <w:rsid w:val="00FE2767"/>
    <w:rsid w:val="00FE2A36"/>
    <w:rsid w:val="00FE2E27"/>
    <w:rsid w:val="00FE3F73"/>
    <w:rsid w:val="00FE7709"/>
    <w:rsid w:val="00FE7DB7"/>
    <w:rsid w:val="00FF1DBD"/>
    <w:rsid w:val="00FF3353"/>
    <w:rsid w:val="00FF4C51"/>
    <w:rsid w:val="00FF7575"/>
    <w:rsid w:val="012104EA"/>
    <w:rsid w:val="01301A17"/>
    <w:rsid w:val="015E034F"/>
    <w:rsid w:val="045412A6"/>
    <w:rsid w:val="04C342FE"/>
    <w:rsid w:val="05107626"/>
    <w:rsid w:val="068E0F51"/>
    <w:rsid w:val="073961A7"/>
    <w:rsid w:val="075C28A3"/>
    <w:rsid w:val="08C2594B"/>
    <w:rsid w:val="08C75B02"/>
    <w:rsid w:val="09D9119E"/>
    <w:rsid w:val="0AE4604C"/>
    <w:rsid w:val="0B5730A8"/>
    <w:rsid w:val="0B8E1003"/>
    <w:rsid w:val="0C3F7D74"/>
    <w:rsid w:val="0C644F23"/>
    <w:rsid w:val="0D002248"/>
    <w:rsid w:val="0D8A1D43"/>
    <w:rsid w:val="0F5130FD"/>
    <w:rsid w:val="0FD41C88"/>
    <w:rsid w:val="101B45FA"/>
    <w:rsid w:val="1219663F"/>
    <w:rsid w:val="138836C6"/>
    <w:rsid w:val="14E54E1F"/>
    <w:rsid w:val="1702763A"/>
    <w:rsid w:val="179813DB"/>
    <w:rsid w:val="180369BF"/>
    <w:rsid w:val="180E64B6"/>
    <w:rsid w:val="182D3DF1"/>
    <w:rsid w:val="187B08B7"/>
    <w:rsid w:val="18FC6CA0"/>
    <w:rsid w:val="19C50AE5"/>
    <w:rsid w:val="1AEC0E8B"/>
    <w:rsid w:val="1B2202F2"/>
    <w:rsid w:val="1C042150"/>
    <w:rsid w:val="1D1C50CD"/>
    <w:rsid w:val="1DD96785"/>
    <w:rsid w:val="1E2A50C1"/>
    <w:rsid w:val="1E9601BD"/>
    <w:rsid w:val="1FA053FD"/>
    <w:rsid w:val="2087096D"/>
    <w:rsid w:val="20A36C18"/>
    <w:rsid w:val="20AD230B"/>
    <w:rsid w:val="210A78C1"/>
    <w:rsid w:val="21582609"/>
    <w:rsid w:val="21D770C4"/>
    <w:rsid w:val="22196184"/>
    <w:rsid w:val="22D401B1"/>
    <w:rsid w:val="22E72F61"/>
    <w:rsid w:val="22EB0997"/>
    <w:rsid w:val="23244644"/>
    <w:rsid w:val="239960D7"/>
    <w:rsid w:val="24813F3B"/>
    <w:rsid w:val="24970ECA"/>
    <w:rsid w:val="251251DD"/>
    <w:rsid w:val="25D21D98"/>
    <w:rsid w:val="25FE3CD8"/>
    <w:rsid w:val="266A7053"/>
    <w:rsid w:val="27277595"/>
    <w:rsid w:val="28877790"/>
    <w:rsid w:val="28A7603E"/>
    <w:rsid w:val="2B355A43"/>
    <w:rsid w:val="2C3F0EDD"/>
    <w:rsid w:val="2DC71DD6"/>
    <w:rsid w:val="2E4E753A"/>
    <w:rsid w:val="2F406212"/>
    <w:rsid w:val="2F835584"/>
    <w:rsid w:val="2FF46FBA"/>
    <w:rsid w:val="30416F25"/>
    <w:rsid w:val="30F74D2A"/>
    <w:rsid w:val="31A33A40"/>
    <w:rsid w:val="31BC43A8"/>
    <w:rsid w:val="33FC1F27"/>
    <w:rsid w:val="3510486F"/>
    <w:rsid w:val="35BF1FB9"/>
    <w:rsid w:val="36BF3807"/>
    <w:rsid w:val="37A00AEE"/>
    <w:rsid w:val="37F94635"/>
    <w:rsid w:val="38662298"/>
    <w:rsid w:val="387D0312"/>
    <w:rsid w:val="38F70502"/>
    <w:rsid w:val="39737E60"/>
    <w:rsid w:val="3993038F"/>
    <w:rsid w:val="39F0651B"/>
    <w:rsid w:val="39F913A9"/>
    <w:rsid w:val="3A75533F"/>
    <w:rsid w:val="3B0F5B70"/>
    <w:rsid w:val="3BBB1B47"/>
    <w:rsid w:val="3CE028C1"/>
    <w:rsid w:val="3D3D2A3E"/>
    <w:rsid w:val="3E766354"/>
    <w:rsid w:val="3E9349DA"/>
    <w:rsid w:val="3F3A5144"/>
    <w:rsid w:val="3FC905B8"/>
    <w:rsid w:val="3FFA2304"/>
    <w:rsid w:val="41ED7508"/>
    <w:rsid w:val="42613D77"/>
    <w:rsid w:val="42FB06F2"/>
    <w:rsid w:val="45783434"/>
    <w:rsid w:val="46166C6B"/>
    <w:rsid w:val="4625166E"/>
    <w:rsid w:val="46885E2A"/>
    <w:rsid w:val="47AD4C9A"/>
    <w:rsid w:val="47F6211F"/>
    <w:rsid w:val="49834DA9"/>
    <w:rsid w:val="4A154C94"/>
    <w:rsid w:val="4A5965ED"/>
    <w:rsid w:val="4B3812AB"/>
    <w:rsid w:val="4BDE7186"/>
    <w:rsid w:val="4BE11987"/>
    <w:rsid w:val="4C4C6056"/>
    <w:rsid w:val="4CC20A7E"/>
    <w:rsid w:val="4D4B515F"/>
    <w:rsid w:val="4D4D4DDF"/>
    <w:rsid w:val="4DB73BEA"/>
    <w:rsid w:val="4E3A6FE6"/>
    <w:rsid w:val="4F8D6993"/>
    <w:rsid w:val="513B5792"/>
    <w:rsid w:val="51551B6A"/>
    <w:rsid w:val="52E43031"/>
    <w:rsid w:val="52E84E04"/>
    <w:rsid w:val="53462EAB"/>
    <w:rsid w:val="53AF7057"/>
    <w:rsid w:val="53B74464"/>
    <w:rsid w:val="55B83D89"/>
    <w:rsid w:val="55F43F02"/>
    <w:rsid w:val="55FF0454"/>
    <w:rsid w:val="56025D12"/>
    <w:rsid w:val="572D0488"/>
    <w:rsid w:val="593B649F"/>
    <w:rsid w:val="595A68AE"/>
    <w:rsid w:val="59841A6C"/>
    <w:rsid w:val="59A85123"/>
    <w:rsid w:val="59B2243E"/>
    <w:rsid w:val="59EA6E92"/>
    <w:rsid w:val="5AE562E2"/>
    <w:rsid w:val="5AE7002E"/>
    <w:rsid w:val="5C437288"/>
    <w:rsid w:val="5C6D112F"/>
    <w:rsid w:val="5CE63DA4"/>
    <w:rsid w:val="5D6800CD"/>
    <w:rsid w:val="5DA66C83"/>
    <w:rsid w:val="5E1101E3"/>
    <w:rsid w:val="5E497100"/>
    <w:rsid w:val="5FAA7CEE"/>
    <w:rsid w:val="6071407C"/>
    <w:rsid w:val="60EC26DA"/>
    <w:rsid w:val="61032E37"/>
    <w:rsid w:val="612001E9"/>
    <w:rsid w:val="62502FB6"/>
    <w:rsid w:val="62BC7C0A"/>
    <w:rsid w:val="631F4E04"/>
    <w:rsid w:val="6364711E"/>
    <w:rsid w:val="64056CA7"/>
    <w:rsid w:val="65AA4DDA"/>
    <w:rsid w:val="65BD2897"/>
    <w:rsid w:val="665048BF"/>
    <w:rsid w:val="66DB514B"/>
    <w:rsid w:val="674C0CA6"/>
    <w:rsid w:val="67FA1B80"/>
    <w:rsid w:val="688F59F4"/>
    <w:rsid w:val="69216C99"/>
    <w:rsid w:val="6A2A10BB"/>
    <w:rsid w:val="6ABE1F48"/>
    <w:rsid w:val="6B59536D"/>
    <w:rsid w:val="6BA563A9"/>
    <w:rsid w:val="6C8C4686"/>
    <w:rsid w:val="6CEA1421"/>
    <w:rsid w:val="6D4312CD"/>
    <w:rsid w:val="6D763A57"/>
    <w:rsid w:val="6E6B7BA4"/>
    <w:rsid w:val="70F729E3"/>
    <w:rsid w:val="717E613F"/>
    <w:rsid w:val="72F328D8"/>
    <w:rsid w:val="73FA42D5"/>
    <w:rsid w:val="7490511A"/>
    <w:rsid w:val="749F02E6"/>
    <w:rsid w:val="75FA284F"/>
    <w:rsid w:val="760D66D5"/>
    <w:rsid w:val="770C4421"/>
    <w:rsid w:val="79A11793"/>
    <w:rsid w:val="7BD86D3E"/>
    <w:rsid w:val="7BED0907"/>
    <w:rsid w:val="7E264004"/>
    <w:rsid w:val="7E3D24D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35"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Times New Roman" w:hAnsi="Times New Roman" w:eastAsia="宋体" w:cs="Times New Roman"/>
      <w:sz w:val="24"/>
      <w:lang w:val="en-US" w:eastAsia="zh-CN" w:bidi="ar-SA"/>
    </w:rPr>
  </w:style>
  <w:style w:type="paragraph" w:styleId="2">
    <w:name w:val="heading 1"/>
    <w:basedOn w:val="1"/>
    <w:next w:val="1"/>
    <w:qFormat/>
    <w:uiPriority w:val="0"/>
    <w:pPr>
      <w:keepNext/>
      <w:keepLines/>
      <w:spacing w:before="340" w:after="330" w:line="578" w:lineRule="atLeast"/>
      <w:outlineLvl w:val="0"/>
    </w:pPr>
    <w:rPr>
      <w:b/>
      <w:kern w:val="44"/>
      <w:sz w:val="44"/>
    </w:rPr>
  </w:style>
  <w:style w:type="paragraph" w:styleId="3">
    <w:name w:val="heading 2"/>
    <w:basedOn w:val="1"/>
    <w:next w:val="1"/>
    <w:qFormat/>
    <w:uiPriority w:val="0"/>
    <w:pPr>
      <w:keepNext/>
      <w:keepLines/>
      <w:spacing w:before="260" w:after="260" w:line="416" w:lineRule="atLeast"/>
      <w:outlineLvl w:val="1"/>
    </w:pPr>
    <w:rPr>
      <w:rFonts w:ascii="Arial" w:hAnsi="Arial" w:eastAsia="黑体"/>
      <w:b/>
      <w:sz w:val="32"/>
    </w:rPr>
  </w:style>
  <w:style w:type="paragraph" w:styleId="4">
    <w:name w:val="heading 3"/>
    <w:basedOn w:val="1"/>
    <w:next w:val="1"/>
    <w:qFormat/>
    <w:uiPriority w:val="0"/>
    <w:pPr>
      <w:keepNext/>
      <w:keepLines/>
      <w:spacing w:before="260" w:after="260" w:line="416" w:lineRule="atLeast"/>
      <w:outlineLvl w:val="2"/>
    </w:pPr>
    <w:rPr>
      <w:b/>
      <w:sz w:val="32"/>
    </w:rPr>
  </w:style>
  <w:style w:type="paragraph" w:styleId="5">
    <w:name w:val="heading 5"/>
    <w:basedOn w:val="1"/>
    <w:next w:val="1"/>
    <w:link w:val="37"/>
    <w:semiHidden/>
    <w:unhideWhenUsed/>
    <w:qFormat/>
    <w:uiPriority w:val="0"/>
    <w:pPr>
      <w:keepNext/>
      <w:keepLines/>
      <w:spacing w:before="280" w:after="290" w:line="376" w:lineRule="atLeast"/>
      <w:outlineLvl w:val="4"/>
    </w:pPr>
    <w:rPr>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spacing w:line="340" w:lineRule="exact"/>
      <w:jc w:val="center"/>
    </w:pPr>
    <w:rPr>
      <w:sz w:val="18"/>
      <w:szCs w:val="24"/>
    </w:rPr>
  </w:style>
  <w:style w:type="paragraph" w:styleId="7">
    <w:name w:val="caption"/>
    <w:basedOn w:val="1"/>
    <w:next w:val="1"/>
    <w:qFormat/>
    <w:uiPriority w:val="35"/>
    <w:pPr>
      <w:spacing w:before="152" w:after="160"/>
    </w:pPr>
    <w:rPr>
      <w:rFonts w:ascii="Arial" w:hAnsi="Arial" w:eastAsia="黑体"/>
    </w:rPr>
  </w:style>
  <w:style w:type="paragraph" w:styleId="8">
    <w:name w:val="annotation text"/>
    <w:basedOn w:val="1"/>
    <w:link w:val="39"/>
    <w:unhideWhenUsed/>
    <w:qFormat/>
    <w:uiPriority w:val="0"/>
  </w:style>
  <w:style w:type="paragraph" w:styleId="9">
    <w:name w:val="Body Text"/>
    <w:basedOn w:val="1"/>
    <w:next w:val="10"/>
    <w:qFormat/>
    <w:uiPriority w:val="0"/>
    <w:pPr>
      <w:spacing w:after="120"/>
    </w:pPr>
  </w:style>
  <w:style w:type="paragraph" w:styleId="10">
    <w:name w:val="Title"/>
    <w:next w:val="1"/>
    <w:qFormat/>
    <w:uiPriority w:val="0"/>
    <w:pPr>
      <w:widowControl w:val="0"/>
      <w:spacing w:line="560" w:lineRule="exact"/>
      <w:ind w:firstLine="720" w:firstLineChars="200"/>
      <w:jc w:val="center"/>
      <w:outlineLvl w:val="0"/>
    </w:pPr>
    <w:rPr>
      <w:rFonts w:ascii="方正小标宋_GBK" w:hAnsi="方正小标宋_GBK" w:eastAsia="方正小标宋_GBK" w:cs="方正小标宋_GBK"/>
      <w:kern w:val="2"/>
      <w:sz w:val="44"/>
      <w:szCs w:val="44"/>
      <w:lang w:val="en-US" w:eastAsia="zh-CN" w:bidi="ar-SA"/>
    </w:rPr>
  </w:style>
  <w:style w:type="paragraph" w:styleId="11">
    <w:name w:val="Body Text Indent"/>
    <w:basedOn w:val="1"/>
    <w:qFormat/>
    <w:uiPriority w:val="0"/>
    <w:pPr>
      <w:adjustRightInd/>
      <w:spacing w:after="120" w:line="240" w:lineRule="auto"/>
      <w:ind w:left="420" w:leftChars="200"/>
      <w:jc w:val="both"/>
      <w:textAlignment w:val="auto"/>
    </w:pPr>
    <w:rPr>
      <w:kern w:val="2"/>
      <w:sz w:val="21"/>
      <w:szCs w:val="24"/>
    </w:rPr>
  </w:style>
  <w:style w:type="paragraph" w:styleId="12">
    <w:name w:val="Plain Text"/>
    <w:basedOn w:val="1"/>
    <w:qFormat/>
    <w:uiPriority w:val="0"/>
    <w:rPr>
      <w:rFonts w:ascii="宋体" w:hAnsi="Courier New" w:cs="Courier New"/>
      <w:szCs w:val="21"/>
    </w:rPr>
  </w:style>
  <w:style w:type="paragraph" w:styleId="13">
    <w:name w:val="Date"/>
    <w:basedOn w:val="1"/>
    <w:next w:val="1"/>
    <w:link w:val="34"/>
    <w:qFormat/>
    <w:uiPriority w:val="0"/>
    <w:pPr>
      <w:ind w:left="100" w:leftChars="2500"/>
    </w:pPr>
  </w:style>
  <w:style w:type="paragraph" w:styleId="14">
    <w:name w:val="Balloon Text"/>
    <w:basedOn w:val="1"/>
    <w:link w:val="32"/>
    <w:qFormat/>
    <w:uiPriority w:val="0"/>
    <w:pPr>
      <w:spacing w:line="240" w:lineRule="auto"/>
    </w:pPr>
    <w:rPr>
      <w:sz w:val="18"/>
      <w:szCs w:val="18"/>
    </w:rPr>
  </w:style>
  <w:style w:type="paragraph" w:styleId="15">
    <w:name w:val="footer"/>
    <w:basedOn w:val="1"/>
    <w:link w:val="36"/>
    <w:qFormat/>
    <w:uiPriority w:val="99"/>
    <w:pPr>
      <w:tabs>
        <w:tab w:val="center" w:pos="4153"/>
        <w:tab w:val="right" w:pos="8306"/>
      </w:tabs>
      <w:spacing w:line="240" w:lineRule="atLeast"/>
    </w:pPr>
    <w:rPr>
      <w:sz w:val="18"/>
    </w:rPr>
  </w:style>
  <w:style w:type="paragraph" w:styleId="16">
    <w:name w:val="header"/>
    <w:basedOn w:val="1"/>
    <w:qFormat/>
    <w:uiPriority w:val="0"/>
    <w:pPr>
      <w:pBdr>
        <w:bottom w:val="single" w:color="auto" w:sz="6" w:space="1"/>
      </w:pBdr>
      <w:tabs>
        <w:tab w:val="center" w:pos="4153"/>
        <w:tab w:val="right" w:pos="8306"/>
      </w:tabs>
      <w:spacing w:line="240" w:lineRule="atLeast"/>
      <w:jc w:val="center"/>
    </w:pPr>
    <w:rPr>
      <w:sz w:val="18"/>
    </w:rPr>
  </w:style>
  <w:style w:type="paragraph" w:styleId="17">
    <w:name w:val="toc 2"/>
    <w:basedOn w:val="1"/>
    <w:next w:val="1"/>
    <w:qFormat/>
    <w:uiPriority w:val="39"/>
    <w:pPr>
      <w:ind w:left="420" w:leftChars="200"/>
    </w:pPr>
  </w:style>
  <w:style w:type="paragraph" w:styleId="18">
    <w:name w:val="Body Text 2"/>
    <w:basedOn w:val="1"/>
    <w:link w:val="35"/>
    <w:qFormat/>
    <w:uiPriority w:val="0"/>
    <w:pPr>
      <w:spacing w:after="120" w:line="480" w:lineRule="auto"/>
    </w:pPr>
  </w:style>
  <w:style w:type="paragraph" w:styleId="19">
    <w:name w:val="Normal (Web)"/>
    <w:basedOn w:val="1"/>
    <w:qFormat/>
    <w:uiPriority w:val="0"/>
    <w:pPr>
      <w:widowControl/>
      <w:adjustRightInd/>
      <w:spacing w:before="100" w:beforeAutospacing="1" w:after="100" w:afterAutospacing="1" w:line="240" w:lineRule="auto"/>
      <w:textAlignment w:val="auto"/>
    </w:pPr>
    <w:rPr>
      <w:rFonts w:ascii="宋体" w:hAnsi="宋体" w:cs="宋体"/>
      <w:szCs w:val="24"/>
    </w:rPr>
  </w:style>
  <w:style w:type="paragraph" w:styleId="20">
    <w:name w:val="Body Text First Indent"/>
    <w:basedOn w:val="9"/>
    <w:qFormat/>
    <w:uiPriority w:val="0"/>
    <w:pPr>
      <w:ind w:firstLine="420" w:firstLineChars="100"/>
    </w:pPr>
  </w:style>
  <w:style w:type="table" w:styleId="22">
    <w:name w:val="Table Grid"/>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basedOn w:val="23"/>
    <w:qFormat/>
    <w:uiPriority w:val="0"/>
    <w:rPr>
      <w:b/>
      <w:bCs/>
    </w:rPr>
  </w:style>
  <w:style w:type="character" w:styleId="25">
    <w:name w:val="page number"/>
    <w:basedOn w:val="23"/>
    <w:qFormat/>
    <w:uiPriority w:val="0"/>
  </w:style>
  <w:style w:type="character" w:styleId="26">
    <w:name w:val="Hyperlink"/>
    <w:basedOn w:val="23"/>
    <w:qFormat/>
    <w:uiPriority w:val="0"/>
    <w:rPr>
      <w:rFonts w:hint="eastAsia" w:ascii="宋体" w:hAnsi="宋体" w:eastAsia="宋体"/>
      <w:color w:val="000000"/>
      <w:sz w:val="18"/>
      <w:szCs w:val="18"/>
      <w:u w:val="none"/>
    </w:rPr>
  </w:style>
  <w:style w:type="character" w:styleId="27">
    <w:name w:val="annotation reference"/>
    <w:basedOn w:val="23"/>
    <w:semiHidden/>
    <w:unhideWhenUsed/>
    <w:qFormat/>
    <w:uiPriority w:val="0"/>
    <w:rPr>
      <w:sz w:val="21"/>
      <w:szCs w:val="21"/>
    </w:rPr>
  </w:style>
  <w:style w:type="paragraph" w:customStyle="1" w:styleId="28">
    <w:name w:val="段"/>
    <w:link w:val="29"/>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9">
    <w:name w:val="段 Char"/>
    <w:link w:val="28"/>
    <w:qFormat/>
    <w:uiPriority w:val="0"/>
    <w:rPr>
      <w:rFonts w:ascii="宋体"/>
      <w:sz w:val="21"/>
      <w:lang w:val="en-US" w:eastAsia="zh-CN" w:bidi="ar-SA"/>
    </w:rPr>
  </w:style>
  <w:style w:type="paragraph" w:customStyle="1" w:styleId="30">
    <w:name w:val="Char"/>
    <w:basedOn w:val="1"/>
    <w:qFormat/>
    <w:uiPriority w:val="0"/>
    <w:pPr>
      <w:widowControl/>
      <w:spacing w:after="160" w:line="240" w:lineRule="exact"/>
    </w:pPr>
    <w:rPr>
      <w:rFonts w:ascii="Verdana" w:hAnsi="Verdana"/>
      <w:sz w:val="20"/>
      <w:lang w:eastAsia="en-US"/>
    </w:rPr>
  </w:style>
  <w:style w:type="paragraph" w:customStyle="1" w:styleId="31">
    <w:name w:val="章标题"/>
    <w:next w:val="28"/>
    <w:qFormat/>
    <w:uiPriority w:val="0"/>
    <w:pPr>
      <w:spacing w:beforeLines="50" w:afterLines="50"/>
      <w:jc w:val="both"/>
      <w:outlineLvl w:val="1"/>
    </w:pPr>
    <w:rPr>
      <w:rFonts w:ascii="黑体" w:hAnsi="Times New Roman" w:eastAsia="黑体" w:cs="Times New Roman"/>
      <w:sz w:val="21"/>
      <w:lang w:val="en-US" w:eastAsia="zh-CN" w:bidi="ar-SA"/>
    </w:rPr>
  </w:style>
  <w:style w:type="character" w:customStyle="1" w:styleId="32">
    <w:name w:val="批注框文本 Char"/>
    <w:basedOn w:val="23"/>
    <w:link w:val="14"/>
    <w:qFormat/>
    <w:uiPriority w:val="0"/>
    <w:rPr>
      <w:sz w:val="18"/>
      <w:szCs w:val="18"/>
    </w:rPr>
  </w:style>
  <w:style w:type="paragraph" w:styleId="33">
    <w:name w:val="List Paragraph"/>
    <w:basedOn w:val="1"/>
    <w:qFormat/>
    <w:uiPriority w:val="99"/>
    <w:pPr>
      <w:ind w:firstLine="420" w:firstLineChars="200"/>
    </w:pPr>
  </w:style>
  <w:style w:type="character" w:customStyle="1" w:styleId="34">
    <w:name w:val="日期 Char"/>
    <w:basedOn w:val="23"/>
    <w:link w:val="13"/>
    <w:qFormat/>
    <w:uiPriority w:val="0"/>
    <w:rPr>
      <w:sz w:val="24"/>
    </w:rPr>
  </w:style>
  <w:style w:type="character" w:customStyle="1" w:styleId="35">
    <w:name w:val="正文文本 2 Char"/>
    <w:basedOn w:val="23"/>
    <w:link w:val="18"/>
    <w:qFormat/>
    <w:uiPriority w:val="0"/>
    <w:rPr>
      <w:sz w:val="24"/>
    </w:rPr>
  </w:style>
  <w:style w:type="character" w:customStyle="1" w:styleId="36">
    <w:name w:val="页脚 Char"/>
    <w:basedOn w:val="23"/>
    <w:link w:val="15"/>
    <w:qFormat/>
    <w:uiPriority w:val="99"/>
    <w:rPr>
      <w:sz w:val="18"/>
    </w:rPr>
  </w:style>
  <w:style w:type="character" w:customStyle="1" w:styleId="37">
    <w:name w:val="标题 5 Char"/>
    <w:basedOn w:val="23"/>
    <w:link w:val="5"/>
    <w:semiHidden/>
    <w:qFormat/>
    <w:uiPriority w:val="0"/>
    <w:rPr>
      <w:b/>
      <w:bCs/>
      <w:sz w:val="28"/>
      <w:szCs w:val="28"/>
    </w:rPr>
  </w:style>
  <w:style w:type="character" w:customStyle="1" w:styleId="38">
    <w:name w:val="font01"/>
    <w:basedOn w:val="23"/>
    <w:qFormat/>
    <w:uiPriority w:val="0"/>
    <w:rPr>
      <w:rFonts w:hint="eastAsia" w:ascii="宋体" w:hAnsi="宋体" w:eastAsia="宋体" w:cs="宋体"/>
      <w:color w:val="000000"/>
      <w:sz w:val="18"/>
      <w:szCs w:val="18"/>
      <w:u w:val="none"/>
    </w:rPr>
  </w:style>
  <w:style w:type="character" w:customStyle="1" w:styleId="39">
    <w:name w:val="批注文字 Char"/>
    <w:basedOn w:val="23"/>
    <w:link w:val="8"/>
    <w:qFormat/>
    <w:uiPriority w:val="0"/>
    <w:rPr>
      <w:sz w:val="24"/>
    </w:rPr>
  </w:style>
  <w:style w:type="character" w:customStyle="1" w:styleId="40">
    <w:name w:val="font31"/>
    <w:basedOn w:val="23"/>
    <w:qFormat/>
    <w:uiPriority w:val="0"/>
    <w:rPr>
      <w:rFonts w:hint="default" w:ascii="Times New Roman" w:hAnsi="Times New Roman" w:cs="Times New Roman"/>
      <w:color w:val="000000"/>
      <w:sz w:val="18"/>
      <w:szCs w:val="18"/>
      <w:u w:val="none"/>
      <w:vertAlign w:val="superscript"/>
    </w:rPr>
  </w:style>
  <w:style w:type="character" w:customStyle="1" w:styleId="41">
    <w:name w:val="font11"/>
    <w:basedOn w:val="23"/>
    <w:qFormat/>
    <w:uiPriority w:val="0"/>
    <w:rPr>
      <w:rFonts w:hint="eastAsia" w:ascii="宋体" w:hAnsi="宋体" w:eastAsia="宋体" w:cs="宋体"/>
      <w:color w:val="000000"/>
      <w:sz w:val="18"/>
      <w:szCs w:val="18"/>
      <w:u w:val="none"/>
    </w:rPr>
  </w:style>
  <w:style w:type="character" w:customStyle="1" w:styleId="42">
    <w:name w:val="font21"/>
    <w:basedOn w:val="23"/>
    <w:qFormat/>
    <w:uiPriority w:val="0"/>
    <w:rPr>
      <w:rFonts w:hint="default" w:ascii="Times New Roman" w:hAnsi="Times New Roman" w:cs="Times New Roman"/>
      <w:color w:val="000000"/>
      <w:sz w:val="18"/>
      <w:szCs w:val="18"/>
      <w:u w:val="none"/>
    </w:rPr>
  </w:style>
  <w:style w:type="table" w:customStyle="1" w:styleId="43">
    <w:name w:val="网格型1"/>
    <w:basedOn w:val="21"/>
    <w:qFormat/>
    <w:uiPriority w:val="0"/>
    <w:pPr>
      <w:widowControl w:val="0"/>
      <w:adjustRightInd w:val="0"/>
      <w:spacing w:line="36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8" Type="http://schemas.microsoft.com/office/2011/relationships/people" Target="people.xml"/><Relationship Id="rId27" Type="http://schemas.openxmlformats.org/officeDocument/2006/relationships/fontTable" Target="fontTable.xml"/><Relationship Id="rId26" Type="http://schemas.openxmlformats.org/officeDocument/2006/relationships/customXml" Target="../customXml/item1.xml"/><Relationship Id="rId25" Type="http://schemas.openxmlformats.org/officeDocument/2006/relationships/numbering" Target="numbering.xml"/><Relationship Id="rId24" Type="http://schemas.openxmlformats.org/officeDocument/2006/relationships/chart" Target="charts/chart16.xml"/><Relationship Id="rId23" Type="http://schemas.openxmlformats.org/officeDocument/2006/relationships/chart" Target="charts/chart15.xml"/><Relationship Id="rId22" Type="http://schemas.openxmlformats.org/officeDocument/2006/relationships/chart" Target="charts/chart14.xml"/><Relationship Id="rId21" Type="http://schemas.openxmlformats.org/officeDocument/2006/relationships/chart" Target="charts/chart13.xml"/><Relationship Id="rId20" Type="http://schemas.openxmlformats.org/officeDocument/2006/relationships/chart" Target="charts/chart12.xml"/><Relationship Id="rId2" Type="http://schemas.openxmlformats.org/officeDocument/2006/relationships/settings" Target="settings.xml"/><Relationship Id="rId19" Type="http://schemas.openxmlformats.org/officeDocument/2006/relationships/chart" Target="charts/chart11.xml"/><Relationship Id="rId18" Type="http://schemas.openxmlformats.org/officeDocument/2006/relationships/chart" Target="charts/chart10.xml"/><Relationship Id="rId17" Type="http://schemas.openxmlformats.org/officeDocument/2006/relationships/chart" Target="charts/chart9.xml"/><Relationship Id="rId16" Type="http://schemas.openxmlformats.org/officeDocument/2006/relationships/chart" Target="charts/chart8.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b\bzsma4.DOT" TargetMode="Externa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4920;%20&#22312;%2016&#20010;&#34920;&#26684;&#21644;&#22270;.docx" TargetMode="External"/></Relationships>
</file>

<file path=word/charts/_rels/chart10.xml.rels><?xml version="1.0" encoding="UTF-8" standalone="yes"?>
<Relationships xmlns="http://schemas.openxmlformats.org/package/2006/relationships"><Relationship Id="rId3" Type="http://schemas.microsoft.com/office/2011/relationships/chartColorStyle" Target="colors10.xml"/><Relationship Id="rId2" Type="http://schemas.microsoft.com/office/2011/relationships/chartStyle" Target="style10.xml"/><Relationship Id="rId1" Type="http://schemas.openxmlformats.org/officeDocument/2006/relationships/oleObject" Target="&#24037;&#20316;&#34920;%20&#22312;%2016&#20010;&#34920;&#26684;&#21644;&#22270;.docx" TargetMode="External"/></Relationships>
</file>

<file path=word/charts/_rels/chart11.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24037;&#20316;&#34920;%20&#22312;%2016&#20010;&#34920;&#26684;&#21644;&#22270;.docx" TargetMode="External"/></Relationships>
</file>

<file path=word/charts/_rels/chart12.xml.rels><?xml version="1.0" encoding="UTF-8" standalone="yes"?>
<Relationships xmlns="http://schemas.openxmlformats.org/package/2006/relationships"><Relationship Id="rId3" Type="http://schemas.microsoft.com/office/2011/relationships/chartColorStyle" Target="colors16.xml"/><Relationship Id="rId2" Type="http://schemas.microsoft.com/office/2011/relationships/chartStyle" Target="style16.xml"/><Relationship Id="rId1" Type="http://schemas.openxmlformats.org/officeDocument/2006/relationships/oleObject" Target="&#24037;&#20316;&#34920;%20&#22312;%2016&#20010;&#34920;&#26684;&#21644;&#22270;.docx" TargetMode="External"/></Relationships>
</file>

<file path=word/charts/_rels/chart13.xml.rels><?xml version="1.0" encoding="UTF-8" standalone="yes"?>
<Relationships xmlns="http://schemas.openxmlformats.org/package/2006/relationships"><Relationship Id="rId3" Type="http://schemas.microsoft.com/office/2011/relationships/chartColorStyle" Target="colors15.xml"/><Relationship Id="rId2" Type="http://schemas.microsoft.com/office/2011/relationships/chartStyle" Target="style15.xml"/><Relationship Id="rId1" Type="http://schemas.openxmlformats.org/officeDocument/2006/relationships/oleObject" Target="file:///C:\Users\Administrator\Desktop\&#35206;&#21512;&#29992;&#38108;&#21450;&#38108;&#21512;&#37329;&#24102;&#26448;&#30456;&#20851;&#26631;&#20934;\J1-&#12298;&#35206;&#21512;&#29992;&#38108;&#21450;&#38108;&#21512;&#37329;&#24102;&#26448;&#12299;&#25968;&#25454;&#32479;&#35745;&#34920;-2025.8.11(1).xls" TargetMode="External"/></Relationships>
</file>

<file path=word/charts/_rels/chart14.xml.rels><?xml version="1.0" encoding="UTF-8" standalone="yes"?>
<Relationships xmlns="http://schemas.openxmlformats.org/package/2006/relationships"><Relationship Id="rId3" Type="http://schemas.microsoft.com/office/2011/relationships/chartColorStyle" Target="colors13.xml"/><Relationship Id="rId2" Type="http://schemas.microsoft.com/office/2011/relationships/chartStyle" Target="style13.xml"/><Relationship Id="rId1" Type="http://schemas.openxmlformats.org/officeDocument/2006/relationships/oleObject" Target="&#24037;&#20316;&#34920;%20&#22312;%2016&#20010;&#34920;&#26684;&#21644;&#22270;.docx" TargetMode="External"/></Relationships>
</file>

<file path=word/charts/_rels/chart15.xml.rels><?xml version="1.0" encoding="UTF-8" standalone="yes"?>
<Relationships xmlns="http://schemas.openxmlformats.org/package/2006/relationships"><Relationship Id="rId3" Type="http://schemas.microsoft.com/office/2011/relationships/chartColorStyle" Target="colors14.xml"/><Relationship Id="rId2" Type="http://schemas.microsoft.com/office/2011/relationships/chartStyle" Target="style14.xml"/><Relationship Id="rId1" Type="http://schemas.openxmlformats.org/officeDocument/2006/relationships/oleObject" Target="&#24037;&#20316;&#34920;%20&#22312;%2016&#20010;&#34920;&#26684;&#21644;&#22270;.docx" TargetMode="External"/></Relationships>
</file>

<file path=word/charts/_rels/chart16.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oleObject" Target="&#24037;&#20316;&#34920;%20&#22312;%2016&#20010;&#34920;&#26684;&#21644;&#22270;.doc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4920;%20&#22312;%2016&#20010;&#34920;&#26684;&#21644;&#22270;.doc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4920;%20&#22312;%2016&#20010;&#34920;&#26684;&#21644;&#22270;.doc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4920;%20&#22312;%2016&#20010;&#34920;&#26684;&#21644;&#22270;.doc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4920;%20&#22312;%2016&#20010;&#34920;&#26684;&#21644;&#22270;.doc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4920;%20&#22312;%2016&#20010;&#34920;&#26684;&#21644;&#22270;.doc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4920;%20&#22312;%2016&#20010;&#34920;&#26684;&#21644;&#22270;.docx" TargetMode="External"/></Relationships>
</file>

<file path=word/charts/_rels/chart8.xml.rels><?xml version="1.0" encoding="UTF-8" standalone="yes"?>
<Relationships xmlns="http://schemas.openxmlformats.org/package/2006/relationships"><Relationship Id="rId3" Type="http://schemas.microsoft.com/office/2011/relationships/chartColorStyle" Target="colors12.xml"/><Relationship Id="rId2" Type="http://schemas.microsoft.com/office/2011/relationships/chartStyle" Target="style12.xml"/><Relationship Id="rId1" Type="http://schemas.openxmlformats.org/officeDocument/2006/relationships/oleObject" Target="&#24037;&#20316;&#34920;%20&#22312;%2016&#20010;&#34920;&#26684;&#21644;&#22270;.docx" TargetMode="External"/></Relationships>
</file>

<file path=word/charts/_rels/chart9.xml.rels><?xml version="1.0" encoding="UTF-8" standalone="yes"?>
<Relationships xmlns="http://schemas.openxmlformats.org/package/2006/relationships"><Relationship Id="rId3" Type="http://schemas.microsoft.com/office/2011/relationships/chartColorStyle" Target="colors11.xml"/><Relationship Id="rId2" Type="http://schemas.microsoft.com/office/2011/relationships/chartStyle" Target="style11.xml"/><Relationship Id="rId1" Type="http://schemas.openxmlformats.org/officeDocument/2006/relationships/oleObject" Target="&#24037;&#20316;&#34920;%20&#22312;%2016&#20010;&#34920;&#26684;&#21644;&#22270;.doc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507928880346"/>
          <c:y val="0.0927384076990376"/>
          <c:w val="0.847116770783277"/>
          <c:h val="0.65424321959755"/>
        </c:manualLayout>
      </c:layout>
      <c:barChart>
        <c:barDir val="col"/>
        <c:grouping val="clustered"/>
        <c:varyColors val="0"/>
        <c:ser>
          <c:idx val="0"/>
          <c:order val="0"/>
          <c:tx>
            <c:strRef>
              <c:f>'[工作表 在 16个表格和图.docx]T2力学性能-O60'!$P$9</c:f>
              <c:strCache>
                <c:ptCount val="1"/>
                <c:pt idx="0">
                  <c:v>频数ni</c:v>
                </c:pt>
              </c:strCache>
            </c:strRef>
          </c:tx>
          <c:spPr>
            <a:solidFill>
              <a:schemeClr val="accent1"/>
            </a:solidFill>
            <a:ln>
              <a:noFill/>
            </a:ln>
            <a:effectLst/>
          </c:spPr>
          <c:invertIfNegative val="0"/>
          <c:dLbls>
            <c:delete val="1"/>
          </c:dLbls>
          <c:cat>
            <c:strRef>
              <c:f>'[004f5bcb1]T2力学性能-O60'!$N$10:$N$16</c:f>
              <c:strCache>
                <c:ptCount val="7"/>
                <c:pt idx="0">
                  <c:v>[195-205]</c:v>
                </c:pt>
                <c:pt idx="1">
                  <c:v>[205-215]</c:v>
                </c:pt>
                <c:pt idx="2">
                  <c:v>[215-225]</c:v>
                </c:pt>
                <c:pt idx="3">
                  <c:v>[225-235]</c:v>
                </c:pt>
                <c:pt idx="4">
                  <c:v>[235-245]</c:v>
                </c:pt>
                <c:pt idx="5">
                  <c:v>[245-255]</c:v>
                </c:pt>
                <c:pt idx="6">
                  <c:v>[255-265]</c:v>
                </c:pt>
              </c:strCache>
            </c:strRef>
          </c:cat>
          <c:val>
            <c:numRef>
              <c:f>'[004f5bcb1]T2力学性能-O60'!$P$10:$P$16</c:f>
              <c:numCache>
                <c:formatCode>General</c:formatCode>
                <c:ptCount val="7"/>
                <c:pt idx="0">
                  <c:v>11</c:v>
                </c:pt>
                <c:pt idx="1">
                  <c:v>6</c:v>
                </c:pt>
                <c:pt idx="2">
                  <c:v>3</c:v>
                </c:pt>
                <c:pt idx="3">
                  <c:v>10</c:v>
                </c:pt>
                <c:pt idx="4">
                  <c:v>41</c:v>
                </c:pt>
                <c:pt idx="5">
                  <c:v>66</c:v>
                </c:pt>
                <c:pt idx="6">
                  <c:v>12</c:v>
                </c:pt>
              </c:numCache>
            </c:numRef>
          </c:val>
        </c:ser>
        <c:dLbls>
          <c:showLegendKey val="0"/>
          <c:showVal val="0"/>
          <c:showCatName val="0"/>
          <c:showSerName val="0"/>
          <c:showPercent val="0"/>
          <c:showBubbleSize val="0"/>
        </c:dLbls>
        <c:gapWidth val="219"/>
        <c:overlap val="-27"/>
        <c:axId val="871707374"/>
        <c:axId val="612835707"/>
      </c:barChart>
      <c:catAx>
        <c:axId val="871707374"/>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b="1"/>
                  <a:t>区间</a:t>
                </a:r>
                <a:endParaRPr lang="en-US" altLang="zh-CN" b="1"/>
              </a:p>
            </c:rich>
          </c:tx>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crossAx val="612835707"/>
        <c:crosses val="autoZero"/>
        <c:auto val="1"/>
        <c:lblAlgn val="ctr"/>
        <c:lblOffset val="100"/>
        <c:noMultiLvlLbl val="0"/>
      </c:catAx>
      <c:valAx>
        <c:axId val="6128357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b="1"/>
                  <a:t>频</a:t>
                </a:r>
                <a:endParaRPr b="1"/>
              </a:p>
              <a:p>
                <a:pPr defTabSz="914400">
                  <a:defRPr lang="zh-CN" sz="1000" b="0" i="0" u="none" strike="noStrike" kern="1200" baseline="0">
                    <a:solidFill>
                      <a:schemeClr val="tx1">
                        <a:lumMod val="65000"/>
                        <a:lumOff val="35000"/>
                      </a:schemeClr>
                    </a:solidFill>
                    <a:latin typeface="+mn-lt"/>
                    <a:ea typeface="+mn-ea"/>
                    <a:cs typeface="+mn-cs"/>
                  </a:defRPr>
                </a:pPr>
                <a:r>
                  <a:rPr b="1"/>
                  <a:t>数</a:t>
                </a:r>
                <a:endParaRPr b="1"/>
              </a:p>
            </c:rich>
          </c:tx>
          <c:layout/>
          <c:overlay val="0"/>
          <c:spPr>
            <a:noFill/>
            <a:ln>
              <a:noFill/>
            </a:ln>
            <a:effectLst/>
          </c:spPr>
        </c:title>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crossAx val="871707374"/>
        <c:crosses val="autoZero"/>
        <c:crossBetween val="between"/>
      </c:valAx>
      <c:spPr>
        <a:noFill/>
        <a:ln>
          <a:noFill/>
        </a:ln>
        <a:effectLst/>
      </c:spPr>
    </c:plotArea>
    <c:plotVisOnly val="1"/>
    <c:dispBlanksAs val="gap"/>
    <c:showDLblsOverMax val="0"/>
    <c:extLst>
      <c:ext uri="{0b15fc19-7d7d-44ad-8c2d-2c3a37ce22c3}">
        <chartProps xmlns="https://web.wps.cn/et/2018/main" chartId="{626601d4-e066-4b3f-afbf-9c51cf9b86ba}"/>
      </c:ext>
    </c:extLst>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722148139168"/>
          <c:y val="0.106559810032651"/>
          <c:w val="0.847181476542611"/>
          <c:h val="0.630572870287919"/>
        </c:manualLayout>
      </c:layout>
      <c:barChart>
        <c:barDir val="col"/>
        <c:grouping val="clustered"/>
        <c:varyColors val="0"/>
        <c:ser>
          <c:idx val="0"/>
          <c:order val="0"/>
          <c:spPr>
            <a:solidFill>
              <a:schemeClr val="accent1"/>
            </a:solidFill>
            <a:ln>
              <a:noFill/>
            </a:ln>
            <a:effectLst/>
          </c:spPr>
          <c:invertIfNegative val="0"/>
          <c:dLbls>
            <c:delete val="1"/>
          </c:dLbls>
          <c:cat>
            <c:strRef>
              <c:f>'[工作表 在 16个表格和图.docx]TU2力学性能'!$O$6:$O$12</c:f>
              <c:strCache>
                <c:ptCount val="7"/>
                <c:pt idx="0">
                  <c:v>[190-200]</c:v>
                </c:pt>
                <c:pt idx="1">
                  <c:v>[200-210]</c:v>
                </c:pt>
                <c:pt idx="2">
                  <c:v>[210-220]</c:v>
                </c:pt>
                <c:pt idx="3">
                  <c:v>[220-230]</c:v>
                </c:pt>
                <c:pt idx="4">
                  <c:v>[230-240]</c:v>
                </c:pt>
                <c:pt idx="5">
                  <c:v>[240-250]</c:v>
                </c:pt>
                <c:pt idx="6">
                  <c:v>[250-260]</c:v>
                </c:pt>
              </c:strCache>
            </c:strRef>
          </c:cat>
          <c:val>
            <c:numRef>
              <c:f>'[工作表 在 16个表格和图.docx]TU2力学性能'!$Q$6:$Q$12</c:f>
              <c:numCache>
                <c:formatCode>General</c:formatCode>
                <c:ptCount val="7"/>
                <c:pt idx="0">
                  <c:v>2</c:v>
                </c:pt>
                <c:pt idx="1">
                  <c:v>7</c:v>
                </c:pt>
                <c:pt idx="2">
                  <c:v>4</c:v>
                </c:pt>
                <c:pt idx="3">
                  <c:v>5</c:v>
                </c:pt>
                <c:pt idx="4">
                  <c:v>16</c:v>
                </c:pt>
                <c:pt idx="5">
                  <c:v>63</c:v>
                </c:pt>
                <c:pt idx="6">
                  <c:v>3</c:v>
                </c:pt>
              </c:numCache>
            </c:numRef>
          </c:val>
        </c:ser>
        <c:dLbls>
          <c:showLegendKey val="0"/>
          <c:showVal val="0"/>
          <c:showCatName val="0"/>
          <c:showSerName val="0"/>
          <c:showPercent val="0"/>
          <c:showBubbleSize val="0"/>
        </c:dLbls>
        <c:gapWidth val="219"/>
        <c:overlap val="-27"/>
        <c:axId val="80912565"/>
        <c:axId val="16333045"/>
      </c:barChart>
      <c:catAx>
        <c:axId val="80912565"/>
        <c:scaling>
          <c:orientation val="minMax"/>
        </c:scaling>
        <c:delete val="0"/>
        <c:axPos val="b"/>
        <c:title>
          <c:tx>
            <c:rich>
              <a:bodyPr rot="0" spcFirstLastPara="0" vertOverflow="ellipsis" vert="horz" wrap="square" anchor="ctr" anchorCtr="1"/>
              <a:lstStyle/>
              <a:p>
                <a:pPr defTabSz="914400">
                  <a:defRPr lang="zh-CN" sz="1000" b="1" i="0" u="none" strike="noStrike" kern="1200" baseline="0">
                    <a:solidFill>
                      <a:schemeClr val="tx1">
                        <a:lumMod val="65000"/>
                        <a:lumOff val="35000"/>
                      </a:schemeClr>
                    </a:solidFill>
                    <a:latin typeface="+mn-lt"/>
                    <a:ea typeface="+mn-ea"/>
                    <a:cs typeface="+mn-cs"/>
                  </a:defRPr>
                </a:pPr>
                <a:r>
                  <a:t>区间</a:t>
                </a:r>
              </a:p>
            </c:rich>
          </c:tx>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1" i="0" u="none" strike="noStrike" kern="1200" baseline="0">
                <a:solidFill>
                  <a:srgbClr val="000000"/>
                </a:solidFill>
                <a:latin typeface="+mn-lt"/>
                <a:ea typeface="+mn-ea"/>
                <a:cs typeface="+mn-cs"/>
              </a:defRPr>
            </a:pPr>
          </a:p>
        </c:txPr>
        <c:crossAx val="16333045"/>
        <c:crosses val="autoZero"/>
        <c:auto val="1"/>
        <c:lblAlgn val="ctr"/>
        <c:lblOffset val="100"/>
        <c:noMultiLvlLbl val="0"/>
      </c:catAx>
      <c:valAx>
        <c:axId val="1633304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0" vertOverflow="ellipsis" vert="horz" wrap="square" anchor="ctr" anchorCtr="1"/>
              <a:lstStyle/>
              <a:p>
                <a:pPr defTabSz="914400">
                  <a:defRPr lang="zh-CN" sz="1000" b="1" i="0" u="none" strike="noStrike" kern="1200" baseline="0">
                    <a:solidFill>
                      <a:schemeClr val="tx1">
                        <a:lumMod val="65000"/>
                        <a:lumOff val="35000"/>
                      </a:schemeClr>
                    </a:solidFill>
                    <a:latin typeface="+mn-lt"/>
                    <a:ea typeface="+mn-ea"/>
                    <a:cs typeface="+mn-cs"/>
                  </a:defRPr>
                </a:pPr>
                <a:r>
                  <a:rPr b="1">
                    <a:solidFill>
                      <a:srgbClr val="000000"/>
                    </a:solidFill>
                  </a:rPr>
                  <a:t>频</a:t>
                </a:r>
                <a:endParaRPr b="1">
                  <a:solidFill>
                    <a:srgbClr val="000000"/>
                  </a:solidFill>
                </a:endParaRPr>
              </a:p>
              <a:p>
                <a:pPr defTabSz="914400">
                  <a:defRPr lang="zh-CN" sz="1000" b="1" i="0" u="none" strike="noStrike" kern="1200" baseline="0">
                    <a:solidFill>
                      <a:schemeClr val="tx1">
                        <a:lumMod val="65000"/>
                        <a:lumOff val="35000"/>
                      </a:schemeClr>
                    </a:solidFill>
                    <a:latin typeface="+mn-lt"/>
                    <a:ea typeface="+mn-ea"/>
                    <a:cs typeface="+mn-cs"/>
                  </a:defRPr>
                </a:pPr>
                <a:r>
                  <a:rPr b="1">
                    <a:solidFill>
                      <a:srgbClr val="000000"/>
                    </a:solidFill>
                  </a:rPr>
                  <a:t>数</a:t>
                </a:r>
                <a:endParaRPr b="1">
                  <a:solidFill>
                    <a:srgbClr val="000000"/>
                  </a:solidFill>
                </a:endParaRP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80912565"/>
        <c:crosses val="autoZero"/>
        <c:crossBetween val="between"/>
      </c:valAx>
      <c:spPr>
        <a:noFill/>
        <a:ln>
          <a:noFill/>
        </a:ln>
        <a:effectLst/>
      </c:spPr>
    </c:plotArea>
    <c:plotVisOnly val="1"/>
    <c:dispBlanksAs val="gap"/>
    <c:showDLblsOverMax val="0"/>
    <c:extLst>
      <c:ext uri="{0b15fc19-7d7d-44ad-8c2d-2c3a37ce22c3}">
        <chartProps xmlns="https://web.wps.cn/et/2018/main" chartId="{50250068-1984-4e9f-aadb-c37ee9d2e485}"/>
      </c:ext>
    </c:extLst>
  </c:chart>
  <c:spPr>
    <a:solidFill>
      <a:schemeClr val="bg1"/>
    </a:solidFill>
    <a:ln w="9525" cap="flat" cmpd="sng" algn="ctr">
      <a:solidFill>
        <a:schemeClr val="tx1"/>
      </a:solidFill>
      <a:round/>
    </a:ln>
    <a:effectLst/>
  </c:spPr>
  <c:txPr>
    <a:bodyPr/>
    <a:lstStyle/>
    <a:p>
      <a:pPr>
        <a:defRPr lang="zh-CN" b="1"/>
      </a:pP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664422578975"/>
          <c:y val="0.106377417668583"/>
          <c:w val="0.847151734852408"/>
          <c:h val="0.661108207004705"/>
        </c:manualLayout>
      </c:layout>
      <c:barChart>
        <c:barDir val="col"/>
        <c:grouping val="clustered"/>
        <c:varyColors val="0"/>
        <c:ser>
          <c:idx val="0"/>
          <c:order val="0"/>
          <c:spPr>
            <a:solidFill>
              <a:schemeClr val="accent1"/>
            </a:solidFill>
            <a:ln>
              <a:noFill/>
            </a:ln>
            <a:effectLst/>
          </c:spPr>
          <c:invertIfNegative val="0"/>
          <c:dLbls>
            <c:delete val="1"/>
          </c:dLbls>
          <c:cat>
            <c:strRef>
              <c:f>'[工作表 在 16个表格和图.docx]TU2力学性能'!$O$6:$O$11</c:f>
              <c:strCache>
                <c:ptCount val="6"/>
                <c:pt idx="0">
                  <c:v>[75-80]</c:v>
                </c:pt>
                <c:pt idx="1">
                  <c:v>[80-85]</c:v>
                </c:pt>
                <c:pt idx="2">
                  <c:v>[85-90]</c:v>
                </c:pt>
                <c:pt idx="3">
                  <c:v>[90-95]</c:v>
                </c:pt>
                <c:pt idx="4">
                  <c:v>[95-100]</c:v>
                </c:pt>
                <c:pt idx="5">
                  <c:v>[100-105]</c:v>
                </c:pt>
              </c:strCache>
            </c:strRef>
          </c:cat>
          <c:val>
            <c:numRef>
              <c:f>'[工作表 在 16个表格和图.docx]TU2力学性能'!$Q$6:$Q$11</c:f>
              <c:numCache>
                <c:formatCode>General</c:formatCode>
                <c:ptCount val="6"/>
                <c:pt idx="0">
                  <c:v>23</c:v>
                </c:pt>
                <c:pt idx="1">
                  <c:v>25</c:v>
                </c:pt>
                <c:pt idx="2">
                  <c:v>18</c:v>
                </c:pt>
                <c:pt idx="3">
                  <c:v>15</c:v>
                </c:pt>
                <c:pt idx="4">
                  <c:v>14</c:v>
                </c:pt>
                <c:pt idx="5">
                  <c:v>4</c:v>
                </c:pt>
              </c:numCache>
            </c:numRef>
          </c:val>
        </c:ser>
        <c:dLbls>
          <c:showLegendKey val="0"/>
          <c:showVal val="0"/>
          <c:showCatName val="0"/>
          <c:showSerName val="0"/>
          <c:showPercent val="0"/>
          <c:showBubbleSize val="0"/>
        </c:dLbls>
        <c:gapWidth val="219"/>
        <c:overlap val="-27"/>
        <c:axId val="80912565"/>
        <c:axId val="16333045"/>
      </c:barChart>
      <c:catAx>
        <c:axId val="80912565"/>
        <c:scaling>
          <c:orientation val="minMax"/>
        </c:scaling>
        <c:delete val="0"/>
        <c:axPos val="b"/>
        <c:title>
          <c:tx>
            <c:rich>
              <a:bodyPr rot="0" spcFirstLastPara="0" vertOverflow="ellipsis" vert="horz" wrap="square" anchor="ctr" anchorCtr="1"/>
              <a:lstStyle/>
              <a:p>
                <a:pPr defTabSz="914400">
                  <a:defRPr lang="zh-CN" sz="1000" b="1" i="0" u="none" strike="noStrike" kern="1200" baseline="0">
                    <a:solidFill>
                      <a:schemeClr val="tx1">
                        <a:lumMod val="65000"/>
                        <a:lumOff val="35000"/>
                      </a:schemeClr>
                    </a:solidFill>
                    <a:latin typeface="+mn-lt"/>
                    <a:ea typeface="+mn-ea"/>
                    <a:cs typeface="+mn-cs"/>
                  </a:defRPr>
                </a:pPr>
                <a:r>
                  <a:t>区间</a:t>
                </a:r>
              </a:p>
            </c:rich>
          </c:tx>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1" i="0" u="none" strike="noStrike" kern="1200" baseline="0">
                <a:solidFill>
                  <a:srgbClr val="000000"/>
                </a:solidFill>
                <a:latin typeface="+mn-lt"/>
                <a:ea typeface="+mn-ea"/>
                <a:cs typeface="+mn-cs"/>
              </a:defRPr>
            </a:pPr>
          </a:p>
        </c:txPr>
        <c:crossAx val="16333045"/>
        <c:crosses val="autoZero"/>
        <c:auto val="1"/>
        <c:lblAlgn val="ctr"/>
        <c:lblOffset val="100"/>
        <c:noMultiLvlLbl val="0"/>
      </c:catAx>
      <c:valAx>
        <c:axId val="1633304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0" vertOverflow="ellipsis" vert="horz" wrap="square" anchor="ctr" anchorCtr="1"/>
              <a:lstStyle/>
              <a:p>
                <a:pPr defTabSz="914400">
                  <a:defRPr lang="zh-CN" sz="1000" b="1" i="0" u="none" strike="noStrike" kern="1200" baseline="0">
                    <a:solidFill>
                      <a:schemeClr val="tx1">
                        <a:lumMod val="65000"/>
                        <a:lumOff val="35000"/>
                      </a:schemeClr>
                    </a:solidFill>
                    <a:latin typeface="+mn-lt"/>
                    <a:ea typeface="+mn-ea"/>
                    <a:cs typeface="+mn-cs"/>
                  </a:defRPr>
                </a:pPr>
                <a:r>
                  <a:rPr b="1">
                    <a:solidFill>
                      <a:srgbClr val="000000"/>
                    </a:solidFill>
                  </a:rPr>
                  <a:t>频</a:t>
                </a:r>
                <a:endParaRPr b="1">
                  <a:solidFill>
                    <a:srgbClr val="000000"/>
                  </a:solidFill>
                </a:endParaRPr>
              </a:p>
              <a:p>
                <a:pPr defTabSz="914400">
                  <a:defRPr lang="zh-CN" sz="1000" b="1" i="0" u="none" strike="noStrike" kern="1200" baseline="0">
                    <a:solidFill>
                      <a:schemeClr val="tx1">
                        <a:lumMod val="65000"/>
                        <a:lumOff val="35000"/>
                      </a:schemeClr>
                    </a:solidFill>
                    <a:latin typeface="+mn-lt"/>
                    <a:ea typeface="+mn-ea"/>
                    <a:cs typeface="+mn-cs"/>
                  </a:defRPr>
                </a:pPr>
                <a:r>
                  <a:rPr b="1">
                    <a:solidFill>
                      <a:srgbClr val="000000"/>
                    </a:solidFill>
                  </a:rPr>
                  <a:t>数</a:t>
                </a:r>
                <a:endParaRPr b="1">
                  <a:solidFill>
                    <a:srgbClr val="000000"/>
                  </a:solidFill>
                </a:endParaRP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80912565"/>
        <c:crosses val="autoZero"/>
        <c:crossBetween val="between"/>
      </c:valAx>
      <c:spPr>
        <a:noFill/>
        <a:ln>
          <a:noFill/>
        </a:ln>
        <a:effectLst/>
      </c:spPr>
    </c:plotArea>
    <c:plotVisOnly val="1"/>
    <c:dispBlanksAs val="gap"/>
    <c:showDLblsOverMax val="0"/>
    <c:extLst>
      <c:ext uri="{0b15fc19-7d7d-44ad-8c2d-2c3a37ce22c3}">
        <chartProps xmlns="https://web.wps.cn/et/2018/main" chartId="{8121f8a1-b01c-427d-ba7e-f4d2b5572b89}"/>
      </c:ext>
    </c:extLst>
  </c:chart>
  <c:spPr>
    <a:solidFill>
      <a:schemeClr val="bg1"/>
    </a:solidFill>
    <a:ln w="9525" cap="flat" cmpd="sng" algn="ctr">
      <a:solidFill>
        <a:schemeClr val="tx1"/>
      </a:solidFill>
      <a:round/>
    </a:ln>
    <a:effectLst/>
  </c:spPr>
  <c:txPr>
    <a:bodyPr/>
    <a:lstStyle/>
    <a:p>
      <a:pPr>
        <a:defRPr lang="zh-CN" b="1"/>
      </a:pP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705692269451"/>
          <c:y val="0.106508875739645"/>
          <c:w val="0.847178722346507"/>
          <c:h val="0.63954054994779"/>
        </c:manualLayout>
      </c:layout>
      <c:barChart>
        <c:barDir val="col"/>
        <c:grouping val="clustered"/>
        <c:varyColors val="0"/>
        <c:ser>
          <c:idx val="0"/>
          <c:order val="0"/>
          <c:spPr>
            <a:solidFill>
              <a:schemeClr val="accent1"/>
            </a:solidFill>
            <a:ln>
              <a:noFill/>
            </a:ln>
            <a:effectLst/>
          </c:spPr>
          <c:invertIfNegative val="0"/>
          <c:dLbls>
            <c:delete val="1"/>
          </c:dLbls>
          <c:cat>
            <c:strRef>
              <c:f>'[工作表 在 16个表格和图.docx]TU2力学性能'!$O$6:$O$11</c:f>
              <c:strCache>
                <c:ptCount val="6"/>
                <c:pt idx="0">
                  <c:v>[36-38]</c:v>
                </c:pt>
                <c:pt idx="1">
                  <c:v>[38-40]</c:v>
                </c:pt>
                <c:pt idx="2">
                  <c:v>[40-42]</c:v>
                </c:pt>
                <c:pt idx="3">
                  <c:v>[42-44]</c:v>
                </c:pt>
                <c:pt idx="4">
                  <c:v>[44-46]</c:v>
                </c:pt>
                <c:pt idx="5">
                  <c:v>[46-48]</c:v>
                </c:pt>
              </c:strCache>
            </c:strRef>
          </c:cat>
          <c:val>
            <c:numRef>
              <c:f>'[工作表 在 16个表格和图.docx]TU2力学性能'!$Q$6:$Q$11</c:f>
              <c:numCache>
                <c:formatCode>General</c:formatCode>
                <c:ptCount val="6"/>
                <c:pt idx="0">
                  <c:v>2</c:v>
                </c:pt>
                <c:pt idx="1">
                  <c:v>10</c:v>
                </c:pt>
                <c:pt idx="2">
                  <c:v>32</c:v>
                </c:pt>
                <c:pt idx="3">
                  <c:v>19</c:v>
                </c:pt>
                <c:pt idx="4">
                  <c:v>24</c:v>
                </c:pt>
                <c:pt idx="5">
                  <c:v>13</c:v>
                </c:pt>
              </c:numCache>
            </c:numRef>
          </c:val>
        </c:ser>
        <c:dLbls>
          <c:showLegendKey val="0"/>
          <c:showVal val="0"/>
          <c:showCatName val="0"/>
          <c:showSerName val="0"/>
          <c:showPercent val="0"/>
          <c:showBubbleSize val="0"/>
        </c:dLbls>
        <c:gapWidth val="219"/>
        <c:overlap val="-27"/>
        <c:axId val="80912565"/>
        <c:axId val="16333045"/>
      </c:barChart>
      <c:catAx>
        <c:axId val="80912565"/>
        <c:scaling>
          <c:orientation val="minMax"/>
        </c:scaling>
        <c:delete val="0"/>
        <c:axPos val="b"/>
        <c:title>
          <c:tx>
            <c:rich>
              <a:bodyPr rot="0" spcFirstLastPara="0" vertOverflow="ellipsis" vert="horz" wrap="square" anchor="ctr" anchorCtr="1"/>
              <a:lstStyle/>
              <a:p>
                <a:pPr defTabSz="914400">
                  <a:defRPr lang="zh-CN" sz="1000" b="1" i="0" u="none" strike="noStrike" kern="1200" baseline="0">
                    <a:solidFill>
                      <a:schemeClr val="tx1">
                        <a:lumMod val="65000"/>
                        <a:lumOff val="35000"/>
                      </a:schemeClr>
                    </a:solidFill>
                    <a:latin typeface="+mn-lt"/>
                    <a:ea typeface="+mn-ea"/>
                    <a:cs typeface="+mn-cs"/>
                  </a:defRPr>
                </a:pPr>
                <a:r>
                  <a:t>区间</a:t>
                </a:r>
              </a:p>
            </c:rich>
          </c:tx>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1" i="0" u="none" strike="noStrike" kern="1200" baseline="0">
                <a:solidFill>
                  <a:srgbClr val="000000"/>
                </a:solidFill>
                <a:latin typeface="+mn-lt"/>
                <a:ea typeface="+mn-ea"/>
                <a:cs typeface="+mn-cs"/>
              </a:defRPr>
            </a:pPr>
          </a:p>
        </c:txPr>
        <c:crossAx val="16333045"/>
        <c:crosses val="autoZero"/>
        <c:auto val="1"/>
        <c:lblAlgn val="ctr"/>
        <c:lblOffset val="100"/>
        <c:noMultiLvlLbl val="0"/>
      </c:catAx>
      <c:valAx>
        <c:axId val="1633304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0" vertOverflow="ellipsis" vert="horz" wrap="square" anchor="ctr" anchorCtr="1"/>
              <a:lstStyle/>
              <a:p>
                <a:pPr defTabSz="914400">
                  <a:defRPr lang="zh-CN" sz="1000" b="1" i="0" u="none" strike="noStrike" kern="1200" baseline="0">
                    <a:solidFill>
                      <a:schemeClr val="tx1">
                        <a:lumMod val="65000"/>
                        <a:lumOff val="35000"/>
                      </a:schemeClr>
                    </a:solidFill>
                    <a:latin typeface="+mn-lt"/>
                    <a:ea typeface="+mn-ea"/>
                    <a:cs typeface="+mn-cs"/>
                  </a:defRPr>
                </a:pPr>
                <a:r>
                  <a:rPr b="1">
                    <a:solidFill>
                      <a:srgbClr val="000000"/>
                    </a:solidFill>
                  </a:rPr>
                  <a:t>频</a:t>
                </a:r>
                <a:endParaRPr b="1">
                  <a:solidFill>
                    <a:srgbClr val="000000"/>
                  </a:solidFill>
                </a:endParaRPr>
              </a:p>
              <a:p>
                <a:pPr defTabSz="914400">
                  <a:defRPr lang="zh-CN" sz="1000" b="1" i="0" u="none" strike="noStrike" kern="1200" baseline="0">
                    <a:solidFill>
                      <a:schemeClr val="tx1">
                        <a:lumMod val="65000"/>
                        <a:lumOff val="35000"/>
                      </a:schemeClr>
                    </a:solidFill>
                    <a:latin typeface="+mn-lt"/>
                    <a:ea typeface="+mn-ea"/>
                    <a:cs typeface="+mn-cs"/>
                  </a:defRPr>
                </a:pPr>
                <a:r>
                  <a:rPr b="1">
                    <a:solidFill>
                      <a:srgbClr val="000000"/>
                    </a:solidFill>
                  </a:rPr>
                  <a:t>数</a:t>
                </a:r>
                <a:endParaRPr b="1">
                  <a:solidFill>
                    <a:srgbClr val="000000"/>
                  </a:solidFill>
                </a:endParaRP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80912565"/>
        <c:crosses val="autoZero"/>
        <c:crossBetween val="between"/>
      </c:valAx>
      <c:spPr>
        <a:noFill/>
        <a:ln>
          <a:noFill/>
        </a:ln>
        <a:effectLst/>
      </c:spPr>
    </c:plotArea>
    <c:plotVisOnly val="1"/>
    <c:dispBlanksAs val="gap"/>
    <c:showDLblsOverMax val="0"/>
    <c:extLst>
      <c:ext uri="{0b15fc19-7d7d-44ad-8c2d-2c3a37ce22c3}">
        <chartProps xmlns="https://web.wps.cn/et/2018/main" chartId="{a7a7c4d0-d92a-4ef5-a909-b99498187cfd}"/>
      </c:ext>
    </c:extLst>
  </c:chart>
  <c:spPr>
    <a:solidFill>
      <a:schemeClr val="bg1"/>
    </a:solidFill>
    <a:ln w="9525" cap="flat" cmpd="sng" algn="ctr">
      <a:solidFill>
        <a:schemeClr val="tx1"/>
      </a:solidFill>
      <a:round/>
    </a:ln>
    <a:effectLst/>
  </c:spPr>
  <c:txPr>
    <a:bodyPr/>
    <a:lstStyle/>
    <a:p>
      <a:pPr>
        <a:defRPr lang="zh-CN" b="1"/>
      </a:pPr>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91952820343821"/>
          <c:y val="0.0446801671488267"/>
          <c:w val="0.847138888888889"/>
          <c:h val="0.740833333333333"/>
        </c:manualLayout>
      </c:layout>
      <c:barChart>
        <c:barDir val="col"/>
        <c:grouping val="clustered"/>
        <c:varyColors val="0"/>
        <c:ser>
          <c:idx val="0"/>
          <c:order val="0"/>
          <c:spPr>
            <a:solidFill>
              <a:schemeClr val="accent1"/>
            </a:solidFill>
            <a:ln>
              <a:noFill/>
            </a:ln>
            <a:effectLst/>
          </c:spPr>
          <c:invertIfNegative val="0"/>
          <c:dLbls>
            <c:delete val="1"/>
          </c:dLbls>
          <c:cat>
            <c:strRef>
              <c:f>'[J1-《覆合用铜及铜合金带材》数据统计表-2025.8.11(1).xls]TU2力学性能'!$O$13:$O$19</c:f>
              <c:strCache>
                <c:ptCount val="7"/>
                <c:pt idx="0">
                  <c:v>[50-52]</c:v>
                </c:pt>
                <c:pt idx="1">
                  <c:v>[52-54]</c:v>
                </c:pt>
                <c:pt idx="2">
                  <c:v>[54-56]</c:v>
                </c:pt>
                <c:pt idx="3">
                  <c:v>[56-58]</c:v>
                </c:pt>
                <c:pt idx="4">
                  <c:v>[58-60]</c:v>
                </c:pt>
                <c:pt idx="5">
                  <c:v>[60-65]</c:v>
                </c:pt>
                <c:pt idx="6">
                  <c:v>[65-70]</c:v>
                </c:pt>
              </c:strCache>
            </c:strRef>
          </c:cat>
          <c:val>
            <c:numRef>
              <c:f>'[J1-《覆合用铜及铜合金带材》数据统计表-2025.8.11(1).xls]TU2力学性能'!$Q$13:$Q$19</c:f>
              <c:numCache>
                <c:formatCode>General</c:formatCode>
                <c:ptCount val="7"/>
                <c:pt idx="0">
                  <c:v>1</c:v>
                </c:pt>
                <c:pt idx="1">
                  <c:v>3</c:v>
                </c:pt>
                <c:pt idx="2">
                  <c:v>17</c:v>
                </c:pt>
                <c:pt idx="3">
                  <c:v>31</c:v>
                </c:pt>
                <c:pt idx="4">
                  <c:v>36</c:v>
                </c:pt>
                <c:pt idx="5">
                  <c:v>5</c:v>
                </c:pt>
                <c:pt idx="6">
                  <c:v>7</c:v>
                </c:pt>
              </c:numCache>
            </c:numRef>
          </c:val>
        </c:ser>
        <c:dLbls>
          <c:showLegendKey val="0"/>
          <c:showVal val="0"/>
          <c:showCatName val="0"/>
          <c:showSerName val="0"/>
          <c:showPercent val="0"/>
          <c:showBubbleSize val="0"/>
        </c:dLbls>
        <c:gapWidth val="219"/>
        <c:overlap val="-27"/>
        <c:axId val="80912565"/>
        <c:axId val="16333045"/>
      </c:barChart>
      <c:catAx>
        <c:axId val="80912565"/>
        <c:scaling>
          <c:orientation val="minMax"/>
        </c:scaling>
        <c:delete val="0"/>
        <c:axPos val="b"/>
        <c:title>
          <c:tx>
            <c:rich>
              <a:bodyPr rot="0" spcFirstLastPara="0" vertOverflow="ellipsis" vert="horz" wrap="square" anchor="ctr" anchorCtr="1"/>
              <a:lstStyle/>
              <a:p>
                <a:pPr defTabSz="914400">
                  <a:defRPr lang="zh-CN" sz="1000" b="1" i="0" u="none" strike="noStrike" kern="1200" baseline="0">
                    <a:solidFill>
                      <a:schemeClr val="tx1">
                        <a:lumMod val="65000"/>
                        <a:lumOff val="35000"/>
                      </a:schemeClr>
                    </a:solidFill>
                    <a:latin typeface="+mn-lt"/>
                    <a:ea typeface="+mn-ea"/>
                    <a:cs typeface="+mn-cs"/>
                  </a:defRPr>
                </a:pPr>
                <a:r>
                  <a:t>区间</a:t>
                </a:r>
              </a:p>
            </c:rich>
          </c:tx>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1" i="0" u="none" strike="noStrike" kern="1200" baseline="0">
                <a:solidFill>
                  <a:srgbClr val="000000"/>
                </a:solidFill>
                <a:latin typeface="+mn-lt"/>
                <a:ea typeface="+mn-ea"/>
                <a:cs typeface="+mn-cs"/>
              </a:defRPr>
            </a:pPr>
          </a:p>
        </c:txPr>
        <c:crossAx val="16333045"/>
        <c:crosses val="autoZero"/>
        <c:auto val="1"/>
        <c:lblAlgn val="ctr"/>
        <c:lblOffset val="100"/>
        <c:noMultiLvlLbl val="0"/>
      </c:catAx>
      <c:valAx>
        <c:axId val="1633304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0" vertOverflow="ellipsis" vert="horz" wrap="square" anchor="ctr" anchorCtr="1"/>
              <a:lstStyle/>
              <a:p>
                <a:pPr defTabSz="914400">
                  <a:defRPr lang="zh-CN" sz="1000" b="1" i="0" u="none" strike="noStrike" kern="1200" baseline="0">
                    <a:solidFill>
                      <a:schemeClr val="tx1">
                        <a:lumMod val="65000"/>
                        <a:lumOff val="35000"/>
                      </a:schemeClr>
                    </a:solidFill>
                    <a:latin typeface="+mn-lt"/>
                    <a:ea typeface="+mn-ea"/>
                    <a:cs typeface="+mn-cs"/>
                  </a:defRPr>
                </a:pPr>
                <a:r>
                  <a:rPr b="1">
                    <a:solidFill>
                      <a:srgbClr val="000000"/>
                    </a:solidFill>
                  </a:rPr>
                  <a:t>频</a:t>
                </a:r>
                <a:endParaRPr b="1">
                  <a:solidFill>
                    <a:srgbClr val="000000"/>
                  </a:solidFill>
                </a:endParaRPr>
              </a:p>
              <a:p>
                <a:pPr defTabSz="914400">
                  <a:defRPr lang="zh-CN" sz="1000" b="1" i="0" u="none" strike="noStrike" kern="1200" baseline="0">
                    <a:solidFill>
                      <a:schemeClr val="tx1">
                        <a:lumMod val="65000"/>
                        <a:lumOff val="35000"/>
                      </a:schemeClr>
                    </a:solidFill>
                    <a:latin typeface="+mn-lt"/>
                    <a:ea typeface="+mn-ea"/>
                    <a:cs typeface="+mn-cs"/>
                  </a:defRPr>
                </a:pPr>
                <a:r>
                  <a:rPr b="1">
                    <a:solidFill>
                      <a:srgbClr val="000000"/>
                    </a:solidFill>
                  </a:rPr>
                  <a:t>数</a:t>
                </a:r>
                <a:endParaRPr b="1">
                  <a:solidFill>
                    <a:srgbClr val="000000"/>
                  </a:solidFill>
                </a:endParaRP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80912565"/>
        <c:crosses val="autoZero"/>
        <c:crossBetween val="between"/>
      </c:valAx>
      <c:spPr>
        <a:noFill/>
        <a:ln>
          <a:noFill/>
        </a:ln>
        <a:effectLst/>
      </c:spPr>
    </c:plotArea>
    <c:plotVisOnly val="1"/>
    <c:dispBlanksAs val="gap"/>
    <c:showDLblsOverMax val="0"/>
    <c:extLst>
      <c:ext uri="{0b15fc19-7d7d-44ad-8c2d-2c3a37ce22c3}">
        <chartProps xmlns="https://web.wps.cn/et/2018/main" chartId="{f1e98d09-1fce-498a-90a0-41a184ce2d2f}"/>
      </c:ext>
    </c:extLst>
  </c:chart>
  <c:spPr>
    <a:solidFill>
      <a:schemeClr val="bg1"/>
    </a:solidFill>
    <a:ln w="9525" cap="flat" cmpd="sng" algn="ctr">
      <a:solidFill>
        <a:schemeClr val="tx1"/>
      </a:solidFill>
      <a:round/>
    </a:ln>
    <a:effectLst/>
  </c:spPr>
  <c:txPr>
    <a:bodyPr/>
    <a:lstStyle/>
    <a:p>
      <a:pPr>
        <a:defRPr lang="zh-CN" b="1"/>
      </a:pPr>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752355316285"/>
          <c:y val="0.106514657980456"/>
          <c:w val="0.847160161507402"/>
          <c:h val="0.669837133550489"/>
        </c:manualLayout>
      </c:layout>
      <c:barChart>
        <c:barDir val="col"/>
        <c:grouping val="clustered"/>
        <c:varyColors val="0"/>
        <c:ser>
          <c:idx val="0"/>
          <c:order val="0"/>
          <c:spPr>
            <a:solidFill>
              <a:schemeClr val="accent1"/>
            </a:solidFill>
            <a:ln>
              <a:noFill/>
            </a:ln>
            <a:effectLst/>
          </c:spPr>
          <c:invertIfNegative val="0"/>
          <c:dLbls>
            <c:delete val="1"/>
          </c:dLbls>
          <c:cat>
            <c:strRef>
              <c:f>'[工作表 在 16个表格和图.docx]TU2力学性能'!$O$6:$O$9</c:f>
              <c:strCache>
                <c:ptCount val="4"/>
                <c:pt idx="0">
                  <c:v>[98-99]</c:v>
                </c:pt>
                <c:pt idx="1">
                  <c:v>[99-100]</c:v>
                </c:pt>
                <c:pt idx="2">
                  <c:v>[100-101]</c:v>
                </c:pt>
                <c:pt idx="3">
                  <c:v>[101-102]</c:v>
                </c:pt>
              </c:strCache>
            </c:strRef>
          </c:cat>
          <c:val>
            <c:numRef>
              <c:f>'[工作表 在 16个表格和图.docx]TU2力学性能'!$Q$6:$Q$9</c:f>
              <c:numCache>
                <c:formatCode>General</c:formatCode>
                <c:ptCount val="4"/>
                <c:pt idx="0">
                  <c:v>3</c:v>
                </c:pt>
                <c:pt idx="1">
                  <c:v>6</c:v>
                </c:pt>
                <c:pt idx="2">
                  <c:v>33</c:v>
                </c:pt>
                <c:pt idx="3">
                  <c:v>58</c:v>
                </c:pt>
              </c:numCache>
            </c:numRef>
          </c:val>
        </c:ser>
        <c:dLbls>
          <c:showLegendKey val="0"/>
          <c:showVal val="0"/>
          <c:showCatName val="0"/>
          <c:showSerName val="0"/>
          <c:showPercent val="0"/>
          <c:showBubbleSize val="0"/>
        </c:dLbls>
        <c:gapWidth val="219"/>
        <c:overlap val="-27"/>
        <c:axId val="80912565"/>
        <c:axId val="16333045"/>
      </c:barChart>
      <c:catAx>
        <c:axId val="80912565"/>
        <c:scaling>
          <c:orientation val="minMax"/>
        </c:scaling>
        <c:delete val="0"/>
        <c:axPos val="b"/>
        <c:title>
          <c:tx>
            <c:rich>
              <a:bodyPr rot="0" spcFirstLastPara="0" vertOverflow="ellipsis" vert="horz" wrap="square" anchor="ctr" anchorCtr="1"/>
              <a:lstStyle/>
              <a:p>
                <a:pPr defTabSz="914400">
                  <a:defRPr lang="zh-CN" sz="1000" b="1" i="0" u="none" strike="noStrike" kern="1200" baseline="0">
                    <a:solidFill>
                      <a:schemeClr val="tx1">
                        <a:lumMod val="65000"/>
                        <a:lumOff val="35000"/>
                      </a:schemeClr>
                    </a:solidFill>
                    <a:latin typeface="+mn-lt"/>
                    <a:ea typeface="+mn-ea"/>
                    <a:cs typeface="+mn-cs"/>
                  </a:defRPr>
                </a:pPr>
                <a:r>
                  <a:t>区间</a:t>
                </a:r>
              </a:p>
            </c:rich>
          </c:tx>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1" i="0" u="none" strike="noStrike" kern="1200" baseline="0">
                <a:solidFill>
                  <a:srgbClr val="000000"/>
                </a:solidFill>
                <a:latin typeface="+mn-lt"/>
                <a:ea typeface="+mn-ea"/>
                <a:cs typeface="+mn-cs"/>
              </a:defRPr>
            </a:pPr>
          </a:p>
        </c:txPr>
        <c:crossAx val="16333045"/>
        <c:crosses val="autoZero"/>
        <c:auto val="1"/>
        <c:lblAlgn val="ctr"/>
        <c:lblOffset val="100"/>
        <c:noMultiLvlLbl val="0"/>
      </c:catAx>
      <c:valAx>
        <c:axId val="16333045"/>
        <c:scaling>
          <c:orientation val="minMax"/>
          <c:max val="60"/>
        </c:scaling>
        <c:delete val="0"/>
        <c:axPos val="l"/>
        <c:majorGridlines>
          <c:spPr>
            <a:ln w="9525" cap="flat" cmpd="sng" algn="ctr">
              <a:solidFill>
                <a:schemeClr val="tx1">
                  <a:lumMod val="15000"/>
                  <a:lumOff val="85000"/>
                </a:schemeClr>
              </a:solidFill>
              <a:round/>
            </a:ln>
            <a:effectLst/>
          </c:spPr>
        </c:majorGridlines>
        <c:title>
          <c:tx>
            <c:rich>
              <a:bodyPr rot="0" spcFirstLastPara="0" vertOverflow="ellipsis" vert="horz" wrap="square" anchor="ctr" anchorCtr="1"/>
              <a:lstStyle/>
              <a:p>
                <a:pPr defTabSz="914400">
                  <a:defRPr lang="zh-CN" sz="1000" b="1" i="0" u="none" strike="noStrike" kern="1200" baseline="0">
                    <a:solidFill>
                      <a:schemeClr val="tx1">
                        <a:lumMod val="65000"/>
                        <a:lumOff val="35000"/>
                      </a:schemeClr>
                    </a:solidFill>
                    <a:latin typeface="+mn-lt"/>
                    <a:ea typeface="+mn-ea"/>
                    <a:cs typeface="+mn-cs"/>
                  </a:defRPr>
                </a:pPr>
                <a:r>
                  <a:rPr b="1">
                    <a:solidFill>
                      <a:srgbClr val="000000"/>
                    </a:solidFill>
                  </a:rPr>
                  <a:t>频</a:t>
                </a:r>
                <a:endParaRPr b="1">
                  <a:solidFill>
                    <a:srgbClr val="000000"/>
                  </a:solidFill>
                </a:endParaRPr>
              </a:p>
              <a:p>
                <a:pPr defTabSz="914400">
                  <a:defRPr lang="zh-CN" sz="1000" b="1" i="0" u="none" strike="noStrike" kern="1200" baseline="0">
                    <a:solidFill>
                      <a:schemeClr val="tx1">
                        <a:lumMod val="65000"/>
                        <a:lumOff val="35000"/>
                      </a:schemeClr>
                    </a:solidFill>
                    <a:latin typeface="+mn-lt"/>
                    <a:ea typeface="+mn-ea"/>
                    <a:cs typeface="+mn-cs"/>
                  </a:defRPr>
                </a:pPr>
                <a:r>
                  <a:rPr b="1">
                    <a:solidFill>
                      <a:srgbClr val="000000"/>
                    </a:solidFill>
                  </a:rPr>
                  <a:t>数</a:t>
                </a:r>
                <a:endParaRPr b="1">
                  <a:solidFill>
                    <a:srgbClr val="000000"/>
                  </a:solidFill>
                </a:endParaRP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80912565"/>
        <c:crosses val="autoZero"/>
        <c:crossBetween val="between"/>
      </c:valAx>
      <c:spPr>
        <a:noFill/>
        <a:ln>
          <a:noFill/>
        </a:ln>
        <a:effectLst/>
      </c:spPr>
    </c:plotArea>
    <c:plotVisOnly val="1"/>
    <c:dispBlanksAs val="gap"/>
    <c:showDLblsOverMax val="0"/>
    <c:extLst>
      <c:ext uri="{0b15fc19-7d7d-44ad-8c2d-2c3a37ce22c3}">
        <chartProps xmlns="https://web.wps.cn/et/2018/main" chartId="{13e34e99-bab1-4d78-b76d-d553c3ad4ab0}"/>
      </c:ext>
    </c:extLst>
  </c:chart>
  <c:spPr>
    <a:solidFill>
      <a:schemeClr val="bg1"/>
    </a:solidFill>
    <a:ln w="9525" cap="flat" cmpd="sng" algn="ctr">
      <a:solidFill>
        <a:schemeClr val="tx1"/>
      </a:solidFill>
      <a:round/>
    </a:ln>
    <a:effectLst/>
  </c:spPr>
  <c:txPr>
    <a:bodyPr/>
    <a:lstStyle/>
    <a:p>
      <a:pPr>
        <a:defRPr lang="zh-CN" b="1"/>
      </a:pPr>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538532005038"/>
          <c:y val="0.0536487837387538"/>
          <c:w val="0.847177373182182"/>
          <c:h val="0.681572809063645"/>
        </c:manualLayout>
      </c:layout>
      <c:barChart>
        <c:barDir val="col"/>
        <c:grouping val="clustered"/>
        <c:varyColors val="0"/>
        <c:ser>
          <c:idx val="0"/>
          <c:order val="0"/>
          <c:spPr>
            <a:solidFill>
              <a:schemeClr val="accent1"/>
            </a:solidFill>
            <a:ln>
              <a:noFill/>
            </a:ln>
            <a:effectLst/>
          </c:spPr>
          <c:invertIfNegative val="0"/>
          <c:dLbls>
            <c:delete val="1"/>
          </c:dLbls>
          <c:cat>
            <c:strRef>
              <c:f>'[工作表 在 16个表格和图.docx]晶粒度'!$K$10:$K$15</c:f>
              <c:strCache>
                <c:ptCount val="6"/>
                <c:pt idx="0">
                  <c:v>[0.010-0.015]</c:v>
                </c:pt>
                <c:pt idx="1">
                  <c:v>[0.015-0.020]</c:v>
                </c:pt>
                <c:pt idx="2">
                  <c:v>[0.020-0.025]</c:v>
                </c:pt>
                <c:pt idx="3">
                  <c:v>[0.025-0.030]</c:v>
                </c:pt>
                <c:pt idx="4">
                  <c:v>[0.030-0.035]</c:v>
                </c:pt>
                <c:pt idx="5">
                  <c:v>[0.035-0.040]</c:v>
                </c:pt>
              </c:strCache>
            </c:strRef>
          </c:cat>
          <c:val>
            <c:numRef>
              <c:f>'[工作表 在 16个表格和图.docx]晶粒度'!$M$10:$M$15</c:f>
              <c:numCache>
                <c:formatCode>General</c:formatCode>
                <c:ptCount val="6"/>
                <c:pt idx="0">
                  <c:v>8</c:v>
                </c:pt>
                <c:pt idx="1">
                  <c:v>19</c:v>
                </c:pt>
                <c:pt idx="2">
                  <c:v>20</c:v>
                </c:pt>
                <c:pt idx="3">
                  <c:v>22</c:v>
                </c:pt>
                <c:pt idx="4">
                  <c:v>26</c:v>
                </c:pt>
                <c:pt idx="5">
                  <c:v>5</c:v>
                </c:pt>
              </c:numCache>
            </c:numRef>
          </c:val>
        </c:ser>
        <c:dLbls>
          <c:showLegendKey val="0"/>
          <c:showVal val="0"/>
          <c:showCatName val="0"/>
          <c:showSerName val="0"/>
          <c:showPercent val="0"/>
          <c:showBubbleSize val="0"/>
        </c:dLbls>
        <c:gapWidth val="219"/>
        <c:overlap val="-27"/>
        <c:axId val="80912565"/>
        <c:axId val="16333045"/>
      </c:barChart>
      <c:catAx>
        <c:axId val="80912565"/>
        <c:scaling>
          <c:orientation val="minMax"/>
        </c:scaling>
        <c:delete val="0"/>
        <c:axPos val="b"/>
        <c:title>
          <c:tx>
            <c:rich>
              <a:bodyPr rot="0" spcFirstLastPara="0" vertOverflow="ellipsis" vert="horz" wrap="square" anchor="ctr" anchorCtr="1"/>
              <a:lstStyle/>
              <a:p>
                <a:pPr defTabSz="914400">
                  <a:defRPr lang="zh-CN" sz="1000" b="1" i="0" u="none" strike="noStrike" kern="1200" baseline="0">
                    <a:solidFill>
                      <a:schemeClr val="tx1">
                        <a:lumMod val="65000"/>
                        <a:lumOff val="35000"/>
                      </a:schemeClr>
                    </a:solidFill>
                    <a:latin typeface="+mn-lt"/>
                    <a:ea typeface="+mn-ea"/>
                    <a:cs typeface="+mn-cs"/>
                  </a:defRPr>
                </a:pPr>
                <a:r>
                  <a:t>区间</a:t>
                </a:r>
              </a:p>
            </c:rich>
          </c:tx>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1" i="0" u="none" strike="noStrike" kern="1200" baseline="0">
                <a:solidFill>
                  <a:srgbClr val="000000"/>
                </a:solidFill>
                <a:latin typeface="+mn-lt"/>
                <a:ea typeface="+mn-ea"/>
                <a:cs typeface="+mn-cs"/>
              </a:defRPr>
            </a:pPr>
          </a:p>
        </c:txPr>
        <c:crossAx val="16333045"/>
        <c:crosses val="autoZero"/>
        <c:auto val="1"/>
        <c:lblAlgn val="ctr"/>
        <c:lblOffset val="100"/>
        <c:noMultiLvlLbl val="0"/>
      </c:catAx>
      <c:valAx>
        <c:axId val="16333045"/>
        <c:scaling>
          <c:orientation val="minMax"/>
          <c:max val="30"/>
        </c:scaling>
        <c:delete val="0"/>
        <c:axPos val="l"/>
        <c:majorGridlines>
          <c:spPr>
            <a:ln w="9525" cap="flat" cmpd="sng" algn="ctr">
              <a:solidFill>
                <a:schemeClr val="tx1">
                  <a:lumMod val="15000"/>
                  <a:lumOff val="85000"/>
                </a:schemeClr>
              </a:solidFill>
              <a:round/>
            </a:ln>
            <a:effectLst/>
          </c:spPr>
        </c:majorGridlines>
        <c:title>
          <c:tx>
            <c:rich>
              <a:bodyPr rot="0" spcFirstLastPara="0" vertOverflow="ellipsis" vert="horz" wrap="square" anchor="ctr" anchorCtr="1"/>
              <a:lstStyle/>
              <a:p>
                <a:pPr defTabSz="914400">
                  <a:defRPr lang="zh-CN" sz="1000" b="1" i="0" u="none" strike="noStrike" kern="1200" baseline="0">
                    <a:solidFill>
                      <a:schemeClr val="tx1">
                        <a:lumMod val="65000"/>
                        <a:lumOff val="35000"/>
                      </a:schemeClr>
                    </a:solidFill>
                    <a:latin typeface="+mn-lt"/>
                    <a:ea typeface="+mn-ea"/>
                    <a:cs typeface="+mn-cs"/>
                  </a:defRPr>
                </a:pPr>
                <a:r>
                  <a:rPr b="1">
                    <a:solidFill>
                      <a:srgbClr val="000000"/>
                    </a:solidFill>
                  </a:rPr>
                  <a:t>频</a:t>
                </a:r>
                <a:endParaRPr b="1">
                  <a:solidFill>
                    <a:srgbClr val="000000"/>
                  </a:solidFill>
                </a:endParaRPr>
              </a:p>
              <a:p>
                <a:pPr defTabSz="914400">
                  <a:defRPr lang="zh-CN" sz="1000" b="1" i="0" u="none" strike="noStrike" kern="1200" baseline="0">
                    <a:solidFill>
                      <a:schemeClr val="tx1">
                        <a:lumMod val="65000"/>
                        <a:lumOff val="35000"/>
                      </a:schemeClr>
                    </a:solidFill>
                    <a:latin typeface="+mn-lt"/>
                    <a:ea typeface="+mn-ea"/>
                    <a:cs typeface="+mn-cs"/>
                  </a:defRPr>
                </a:pPr>
                <a:r>
                  <a:rPr b="1">
                    <a:solidFill>
                      <a:srgbClr val="000000"/>
                    </a:solidFill>
                  </a:rPr>
                  <a:t>数</a:t>
                </a:r>
                <a:endParaRPr b="1">
                  <a:solidFill>
                    <a:srgbClr val="000000"/>
                  </a:solidFill>
                </a:endParaRP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80912565"/>
        <c:crosses val="autoZero"/>
        <c:crossBetween val="between"/>
      </c:valAx>
      <c:spPr>
        <a:noFill/>
        <a:ln>
          <a:noFill/>
        </a:ln>
        <a:effectLst/>
      </c:spPr>
    </c:plotArea>
    <c:plotVisOnly val="1"/>
    <c:dispBlanksAs val="gap"/>
    <c:showDLblsOverMax val="0"/>
    <c:extLst>
      <c:ext uri="{0b15fc19-7d7d-44ad-8c2d-2c3a37ce22c3}">
        <chartProps xmlns="https://web.wps.cn/et/2018/main" chartId="{16ab7a9f-d537-4a65-9fa6-6de833286adb}"/>
      </c:ext>
    </c:extLst>
  </c:chart>
  <c:spPr>
    <a:solidFill>
      <a:schemeClr val="bg1"/>
    </a:solidFill>
    <a:ln w="9525" cap="flat" cmpd="sng" algn="ctr">
      <a:solidFill>
        <a:schemeClr val="tx1"/>
      </a:solidFill>
      <a:round/>
    </a:ln>
    <a:effectLst/>
  </c:spPr>
  <c:txPr>
    <a:bodyPr/>
    <a:lstStyle/>
    <a:p>
      <a:pPr>
        <a:defRPr lang="zh-CN" b="1"/>
      </a:pPr>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913685930927"/>
          <c:y val="0.0886243386243381"/>
          <c:w val="0.847138888888889"/>
          <c:h val="0.740833333333333"/>
        </c:manualLayout>
      </c:layout>
      <c:barChart>
        <c:barDir val="col"/>
        <c:grouping val="clustered"/>
        <c:varyColors val="0"/>
        <c:ser>
          <c:idx val="0"/>
          <c:order val="0"/>
          <c:spPr>
            <a:solidFill>
              <a:schemeClr val="accent1"/>
            </a:solidFill>
            <a:ln>
              <a:noFill/>
            </a:ln>
            <a:effectLst/>
          </c:spPr>
          <c:invertIfNegative val="0"/>
          <c:dLbls>
            <c:delete val="1"/>
          </c:dLbls>
          <c:cat>
            <c:strRef>
              <c:f>'[工作表 在 16个表格和图.docx]粗糙度'!$K$9:$K$12</c:f>
              <c:strCache>
                <c:ptCount val="4"/>
                <c:pt idx="0">
                  <c:v>[0.1-0.15]</c:v>
                </c:pt>
                <c:pt idx="1">
                  <c:v>[0.15-0.20]</c:v>
                </c:pt>
                <c:pt idx="2">
                  <c:v>[0.20-0.25]</c:v>
                </c:pt>
                <c:pt idx="3">
                  <c:v>[0.25-0.30]</c:v>
                </c:pt>
              </c:strCache>
            </c:strRef>
          </c:cat>
          <c:val>
            <c:numRef>
              <c:f>'[工作表 在 16个表格和图.docx]粗糙度'!$M$9:$M$12</c:f>
              <c:numCache>
                <c:formatCode>General</c:formatCode>
                <c:ptCount val="4"/>
                <c:pt idx="0">
                  <c:v>35</c:v>
                </c:pt>
                <c:pt idx="1">
                  <c:v>34</c:v>
                </c:pt>
                <c:pt idx="2">
                  <c:v>37</c:v>
                </c:pt>
                <c:pt idx="3">
                  <c:v>3</c:v>
                </c:pt>
              </c:numCache>
            </c:numRef>
          </c:val>
        </c:ser>
        <c:dLbls>
          <c:showLegendKey val="0"/>
          <c:showVal val="0"/>
          <c:showCatName val="0"/>
          <c:showSerName val="0"/>
          <c:showPercent val="0"/>
          <c:showBubbleSize val="0"/>
        </c:dLbls>
        <c:gapWidth val="219"/>
        <c:overlap val="-27"/>
        <c:axId val="80912565"/>
        <c:axId val="16333045"/>
      </c:barChart>
      <c:catAx>
        <c:axId val="80912565"/>
        <c:scaling>
          <c:orientation val="minMax"/>
        </c:scaling>
        <c:delete val="0"/>
        <c:axPos val="b"/>
        <c:title>
          <c:tx>
            <c:rich>
              <a:bodyPr rot="0" spcFirstLastPara="0" vertOverflow="ellipsis" vert="horz" wrap="square" anchor="ctr" anchorCtr="1"/>
              <a:lstStyle/>
              <a:p>
                <a:pPr defTabSz="914400">
                  <a:defRPr lang="zh-CN" sz="1000" b="1" i="0" u="none" strike="noStrike" kern="1200" baseline="0">
                    <a:solidFill>
                      <a:schemeClr val="tx1">
                        <a:lumMod val="65000"/>
                        <a:lumOff val="35000"/>
                      </a:schemeClr>
                    </a:solidFill>
                    <a:latin typeface="+mn-lt"/>
                    <a:ea typeface="+mn-ea"/>
                    <a:cs typeface="+mn-cs"/>
                  </a:defRPr>
                </a:pPr>
                <a:r>
                  <a:t>区间</a:t>
                </a:r>
              </a:p>
            </c:rich>
          </c:tx>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1" i="0" u="none" strike="noStrike" kern="1200" baseline="0">
                <a:solidFill>
                  <a:srgbClr val="000000"/>
                </a:solidFill>
                <a:latin typeface="+mn-lt"/>
                <a:ea typeface="+mn-ea"/>
                <a:cs typeface="+mn-cs"/>
              </a:defRPr>
            </a:pPr>
          </a:p>
        </c:txPr>
        <c:crossAx val="16333045"/>
        <c:crosses val="autoZero"/>
        <c:auto val="1"/>
        <c:lblAlgn val="ctr"/>
        <c:lblOffset val="100"/>
        <c:noMultiLvlLbl val="0"/>
      </c:catAx>
      <c:valAx>
        <c:axId val="16333045"/>
        <c:scaling>
          <c:orientation val="minMax"/>
          <c:max val="40"/>
        </c:scaling>
        <c:delete val="0"/>
        <c:axPos val="l"/>
        <c:majorGridlines>
          <c:spPr>
            <a:ln w="9525" cap="flat" cmpd="sng" algn="ctr">
              <a:solidFill>
                <a:schemeClr val="tx1">
                  <a:lumMod val="15000"/>
                  <a:lumOff val="85000"/>
                </a:schemeClr>
              </a:solidFill>
              <a:round/>
            </a:ln>
            <a:effectLst/>
          </c:spPr>
        </c:majorGridlines>
        <c:title>
          <c:tx>
            <c:rich>
              <a:bodyPr rot="0" spcFirstLastPara="0" vertOverflow="ellipsis" vert="horz" wrap="square" anchor="ctr" anchorCtr="1"/>
              <a:lstStyle/>
              <a:p>
                <a:pPr defTabSz="914400">
                  <a:defRPr lang="zh-CN" sz="1000" b="1" i="0" u="none" strike="noStrike" kern="1200" baseline="0">
                    <a:solidFill>
                      <a:schemeClr val="tx1">
                        <a:lumMod val="65000"/>
                        <a:lumOff val="35000"/>
                      </a:schemeClr>
                    </a:solidFill>
                    <a:latin typeface="+mn-lt"/>
                    <a:ea typeface="+mn-ea"/>
                    <a:cs typeface="+mn-cs"/>
                  </a:defRPr>
                </a:pPr>
                <a:r>
                  <a:rPr b="1">
                    <a:solidFill>
                      <a:srgbClr val="000000"/>
                    </a:solidFill>
                  </a:rPr>
                  <a:t>频</a:t>
                </a:r>
                <a:endParaRPr b="1">
                  <a:solidFill>
                    <a:srgbClr val="000000"/>
                  </a:solidFill>
                </a:endParaRPr>
              </a:p>
              <a:p>
                <a:pPr defTabSz="914400">
                  <a:defRPr lang="zh-CN" sz="1000" b="1" i="0" u="none" strike="noStrike" kern="1200" baseline="0">
                    <a:solidFill>
                      <a:schemeClr val="tx1">
                        <a:lumMod val="65000"/>
                        <a:lumOff val="35000"/>
                      </a:schemeClr>
                    </a:solidFill>
                    <a:latin typeface="+mn-lt"/>
                    <a:ea typeface="+mn-ea"/>
                    <a:cs typeface="+mn-cs"/>
                  </a:defRPr>
                </a:pPr>
                <a:r>
                  <a:rPr b="1">
                    <a:solidFill>
                      <a:srgbClr val="000000"/>
                    </a:solidFill>
                  </a:rPr>
                  <a:t>数</a:t>
                </a:r>
                <a:endParaRPr b="1">
                  <a:solidFill>
                    <a:srgbClr val="000000"/>
                  </a:solidFill>
                </a:endParaRP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80912565"/>
        <c:crosses val="autoZero"/>
        <c:crossBetween val="between"/>
      </c:valAx>
      <c:spPr>
        <a:noFill/>
        <a:ln>
          <a:noFill/>
        </a:ln>
        <a:effectLst/>
      </c:spPr>
    </c:plotArea>
    <c:plotVisOnly val="1"/>
    <c:dispBlanksAs val="gap"/>
    <c:showDLblsOverMax val="0"/>
    <c:extLst>
      <c:ext uri="{0b15fc19-7d7d-44ad-8c2d-2c3a37ce22c3}">
        <chartProps xmlns="https://web.wps.cn/et/2018/main" chartId="{7b3498b7-f010-468f-9027-ee95f7403cb9}"/>
      </c:ext>
    </c:extLst>
  </c:chart>
  <c:spPr>
    <a:solidFill>
      <a:schemeClr val="bg1"/>
    </a:solidFill>
    <a:ln w="9525" cap="flat" cmpd="sng" algn="ctr">
      <a:solidFill>
        <a:schemeClr val="tx1"/>
      </a:solidFill>
      <a:round/>
    </a:ln>
    <a:effectLst/>
  </c:spPr>
  <c:txPr>
    <a:bodyPr/>
    <a:lstStyle/>
    <a:p>
      <a:pPr>
        <a:defRPr lang="zh-CN" b="1"/>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732430478841"/>
          <c:y val="0.0664506793492717"/>
          <c:w val="0.847138888888889"/>
          <c:h val="0.740833333333333"/>
        </c:manualLayout>
      </c:layout>
      <c:barChart>
        <c:barDir val="col"/>
        <c:grouping val="clustered"/>
        <c:varyColors val="0"/>
        <c:ser>
          <c:idx val="0"/>
          <c:order val="0"/>
          <c:tx>
            <c:strRef>
              <c:f>'[工作表 在 16个表格和图.docx]T2力学性能-O60'!$P$9</c:f>
              <c:strCache>
                <c:ptCount val="1"/>
                <c:pt idx="0">
                  <c:v>频数ni</c:v>
                </c:pt>
              </c:strCache>
            </c:strRef>
          </c:tx>
          <c:spPr>
            <a:solidFill>
              <a:schemeClr val="accent1"/>
            </a:solidFill>
            <a:ln>
              <a:noFill/>
            </a:ln>
            <a:effectLst/>
          </c:spPr>
          <c:invertIfNegative val="0"/>
          <c:dLbls>
            <c:delete val="1"/>
          </c:dLbls>
          <c:cat>
            <c:strRef>
              <c:extLst>
                <c:ext xmlns:c15="http://schemas.microsoft.com/office/drawing/2012/chart" uri="{02D57815-91ED-43cb-92C2-25804820EDAC}">
                  <c15:fullRef>
                    <c15:sqref>'[工作表 在 16个表格和图.docx]T2力学性能-O60'!$N$10:$N$16</c15:sqref>
                  </c15:fullRef>
                </c:ext>
              </c:extLst>
              <c:f>'[工作表 在 16个表格和图.docx]T2力学性能-O60'!$N$10:$N$15</c:f>
              <c:strCache>
                <c:ptCount val="6"/>
                <c:pt idx="0">
                  <c:v>[75-80]</c:v>
                </c:pt>
                <c:pt idx="1">
                  <c:v>[80-85]</c:v>
                </c:pt>
                <c:pt idx="2">
                  <c:v>[85-90]</c:v>
                </c:pt>
                <c:pt idx="3">
                  <c:v>[90-95]</c:v>
                </c:pt>
                <c:pt idx="4">
                  <c:v>[95-100]</c:v>
                </c:pt>
                <c:pt idx="5">
                  <c:v>[100-105]</c:v>
                </c:pt>
              </c:strCache>
            </c:strRef>
          </c:cat>
          <c:val>
            <c:numRef>
              <c:extLst>
                <c:ext xmlns:c15="http://schemas.microsoft.com/office/drawing/2012/chart" uri="{02D57815-91ED-43cb-92C2-25804820EDAC}">
                  <c15:fullRef>
                    <c15:sqref>'T2力学性能-O60'!$P$10:$P$16</c15:sqref>
                  </c15:fullRef>
                </c:ext>
              </c:extLst>
              <c:f>'[工作表 在 16个表格和图.docx]T2力学性能-O60'!$P$10:$P$15</c:f>
              <c:numCache>
                <c:formatCode>General</c:formatCode>
                <c:ptCount val="6"/>
                <c:pt idx="0">
                  <c:v>4</c:v>
                </c:pt>
                <c:pt idx="1">
                  <c:v>1</c:v>
                </c:pt>
                <c:pt idx="2">
                  <c:v>39</c:v>
                </c:pt>
                <c:pt idx="3">
                  <c:v>41</c:v>
                </c:pt>
                <c:pt idx="4">
                  <c:v>59</c:v>
                </c:pt>
                <c:pt idx="5">
                  <c:v>5</c:v>
                </c:pt>
              </c:numCache>
            </c:numRef>
          </c:val>
        </c:ser>
        <c:dLbls>
          <c:showLegendKey val="0"/>
          <c:showVal val="0"/>
          <c:showCatName val="0"/>
          <c:showSerName val="0"/>
          <c:showPercent val="0"/>
          <c:showBubbleSize val="0"/>
        </c:dLbls>
        <c:gapWidth val="219"/>
        <c:overlap val="-27"/>
        <c:axId val="871707374"/>
        <c:axId val="612835707"/>
      </c:barChart>
      <c:catAx>
        <c:axId val="871707374"/>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b="1"/>
                  <a:t>区间</a:t>
                </a:r>
                <a:endParaRPr lang="en-US" altLang="zh-CN" b="1"/>
              </a:p>
            </c:rich>
          </c:tx>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crossAx val="612835707"/>
        <c:crosses val="autoZero"/>
        <c:auto val="1"/>
        <c:lblAlgn val="ctr"/>
        <c:lblOffset val="100"/>
        <c:noMultiLvlLbl val="0"/>
      </c:catAx>
      <c:valAx>
        <c:axId val="612835707"/>
        <c:scaling>
          <c:orientation val="minMax"/>
          <c:max val="60"/>
        </c:scaling>
        <c:delete val="0"/>
        <c:axPos val="l"/>
        <c:majorGridlines>
          <c:spPr>
            <a:ln w="9525" cap="flat" cmpd="sng" algn="ctr">
              <a:solidFill>
                <a:schemeClr val="tx1">
                  <a:lumMod val="15000"/>
                  <a:lumOff val="85000"/>
                </a:schemeClr>
              </a:solidFill>
              <a:round/>
            </a:ln>
            <a:effectLst/>
          </c:spPr>
        </c:majorGridlines>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b="1"/>
                  <a:t>频</a:t>
                </a:r>
                <a:endParaRPr b="1"/>
              </a:p>
              <a:p>
                <a:pPr defTabSz="914400">
                  <a:defRPr lang="zh-CN" sz="1000" b="0" i="0" u="none" strike="noStrike" kern="1200" baseline="0">
                    <a:solidFill>
                      <a:schemeClr val="tx1">
                        <a:lumMod val="65000"/>
                        <a:lumOff val="35000"/>
                      </a:schemeClr>
                    </a:solidFill>
                    <a:latin typeface="+mn-lt"/>
                    <a:ea typeface="+mn-ea"/>
                    <a:cs typeface="+mn-cs"/>
                  </a:defRPr>
                </a:pPr>
                <a:r>
                  <a:rPr b="1"/>
                  <a:t>数</a:t>
                </a:r>
                <a:endParaRPr b="1"/>
              </a:p>
            </c:rich>
          </c:tx>
          <c:layout/>
          <c:overlay val="0"/>
          <c:spPr>
            <a:noFill/>
            <a:ln>
              <a:noFill/>
            </a:ln>
            <a:effectLst/>
          </c:spPr>
        </c:title>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crossAx val="871707374"/>
        <c:crosses val="autoZero"/>
        <c:crossBetween val="between"/>
      </c:valAx>
      <c:spPr>
        <a:noFill/>
        <a:ln>
          <a:noFill/>
        </a:ln>
        <a:effectLst/>
      </c:spPr>
    </c:plotArea>
    <c:plotVisOnly val="1"/>
    <c:dispBlanksAs val="gap"/>
    <c:showDLblsOverMax val="0"/>
    <c:extLst>
      <c:ext uri="{0b15fc19-7d7d-44ad-8c2d-2c3a37ce22c3}">
        <chartProps xmlns="https://web.wps.cn/et/2018/main" chartId="{0bdc2cb9-6e22-4d42-815d-fc6315e63556}"/>
      </c:ext>
    </c:extLst>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555555555556"/>
          <c:y val="0.0925925925925926"/>
          <c:w val="0.847138888888889"/>
          <c:h val="0.740833333333333"/>
        </c:manualLayout>
      </c:layout>
      <c:barChart>
        <c:barDir val="col"/>
        <c:grouping val="clustered"/>
        <c:varyColors val="0"/>
        <c:ser>
          <c:idx val="0"/>
          <c:order val="0"/>
          <c:tx>
            <c:strRef>
              <c:f>'[工作表 在 16个表格和图.docx]T2力学性能-O60'!$P$9</c:f>
              <c:strCache>
                <c:ptCount val="1"/>
                <c:pt idx="0">
                  <c:v>频数ni</c:v>
                </c:pt>
              </c:strCache>
            </c:strRef>
          </c:tx>
          <c:spPr>
            <a:solidFill>
              <a:schemeClr val="accent1"/>
            </a:solidFill>
            <a:ln>
              <a:noFill/>
            </a:ln>
            <a:effectLst/>
          </c:spPr>
          <c:invertIfNegative val="0"/>
          <c:dLbls>
            <c:delete val="1"/>
          </c:dLbls>
          <c:cat>
            <c:strRef>
              <c:extLst>
                <c:ext xmlns:c15="http://schemas.microsoft.com/office/drawing/2012/chart" uri="{02D57815-91ED-43cb-92C2-25804820EDAC}">
                  <c15:fullRef>
                    <c15:sqref>'[工作表 在 16个表格和图.docx]T2力学性能-O60'!$N$10:$N$15</c15:sqref>
                  </c15:fullRef>
                </c:ext>
              </c:extLst>
              <c:f>'[工作表 在 16个表格和图.docx]T2力学性能-O60'!$N$10:$N$13</c:f>
              <c:strCache>
                <c:ptCount val="4"/>
                <c:pt idx="0">
                  <c:v>[25-30]</c:v>
                </c:pt>
                <c:pt idx="1">
                  <c:v>[30-35]</c:v>
                </c:pt>
                <c:pt idx="2">
                  <c:v>[35-40]</c:v>
                </c:pt>
                <c:pt idx="3">
                  <c:v>[40-45]</c:v>
                </c:pt>
              </c:strCache>
            </c:strRef>
          </c:cat>
          <c:val>
            <c:numRef>
              <c:extLst>
                <c:ext xmlns:c15="http://schemas.microsoft.com/office/drawing/2012/chart" uri="{02D57815-91ED-43cb-92C2-25804820EDAC}">
                  <c15:fullRef>
                    <c15:sqref>'T2力学性能-O60'!$P$10:$P$15</c15:sqref>
                  </c15:fullRef>
                </c:ext>
              </c:extLst>
              <c:f>'[工作表 在 16个表格和图.docx]T2力学性能-O60'!$P$10:$P$13</c:f>
              <c:numCache>
                <c:formatCode>General</c:formatCode>
                <c:ptCount val="4"/>
                <c:pt idx="0">
                  <c:v>13</c:v>
                </c:pt>
                <c:pt idx="1">
                  <c:v>43</c:v>
                </c:pt>
                <c:pt idx="2">
                  <c:v>50</c:v>
                </c:pt>
                <c:pt idx="3">
                  <c:v>43</c:v>
                </c:pt>
              </c:numCache>
            </c:numRef>
          </c:val>
        </c:ser>
        <c:dLbls>
          <c:showLegendKey val="0"/>
          <c:showVal val="0"/>
          <c:showCatName val="0"/>
          <c:showSerName val="0"/>
          <c:showPercent val="0"/>
          <c:showBubbleSize val="0"/>
        </c:dLbls>
        <c:gapWidth val="219"/>
        <c:overlap val="-27"/>
        <c:axId val="871707374"/>
        <c:axId val="612835707"/>
      </c:barChart>
      <c:catAx>
        <c:axId val="871707374"/>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b="1"/>
                  <a:t>区间</a:t>
                </a:r>
                <a:endParaRPr lang="en-US" altLang="zh-CN" b="1"/>
              </a:p>
            </c:rich>
          </c:tx>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rgbClr val="000000"/>
                </a:solidFill>
                <a:latin typeface="+mn-lt"/>
                <a:ea typeface="+mn-ea"/>
                <a:cs typeface="+mn-cs"/>
              </a:defRPr>
            </a:pPr>
          </a:p>
        </c:txPr>
        <c:crossAx val="612835707"/>
        <c:crosses val="autoZero"/>
        <c:auto val="1"/>
        <c:lblAlgn val="ctr"/>
        <c:lblOffset val="100"/>
        <c:noMultiLvlLbl val="0"/>
      </c:catAx>
      <c:valAx>
        <c:axId val="612835707"/>
        <c:scaling>
          <c:orientation val="minMax"/>
          <c:max val="50"/>
        </c:scaling>
        <c:delete val="0"/>
        <c:axPos val="l"/>
        <c:majorGridlines>
          <c:spPr>
            <a:ln w="9525" cap="flat" cmpd="sng" algn="ctr">
              <a:solidFill>
                <a:schemeClr val="tx1">
                  <a:lumMod val="15000"/>
                  <a:lumOff val="85000"/>
                </a:schemeClr>
              </a:solidFill>
              <a:round/>
            </a:ln>
            <a:effectLst/>
          </c:spPr>
        </c:majorGridlines>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b="1"/>
                  <a:t>频</a:t>
                </a:r>
                <a:endParaRPr b="1"/>
              </a:p>
              <a:p>
                <a:pPr defTabSz="914400">
                  <a:defRPr lang="zh-CN" sz="1000" b="0" i="0" u="none" strike="noStrike" kern="1200" baseline="0">
                    <a:solidFill>
                      <a:schemeClr val="tx1">
                        <a:lumMod val="65000"/>
                        <a:lumOff val="35000"/>
                      </a:schemeClr>
                    </a:solidFill>
                    <a:latin typeface="+mn-lt"/>
                    <a:ea typeface="+mn-ea"/>
                    <a:cs typeface="+mn-cs"/>
                  </a:defRPr>
                </a:pPr>
                <a:r>
                  <a:rPr b="1"/>
                  <a:t>数</a:t>
                </a:r>
                <a:endParaRPr b="1"/>
              </a:p>
            </c:rich>
          </c:tx>
          <c:layout/>
          <c:overlay val="0"/>
          <c:spPr>
            <a:noFill/>
            <a:ln>
              <a:noFill/>
            </a:ln>
            <a:effectLst/>
          </c:spPr>
        </c:title>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000000"/>
                </a:solidFill>
                <a:latin typeface="+mn-lt"/>
                <a:ea typeface="+mn-ea"/>
                <a:cs typeface="+mn-cs"/>
              </a:defRPr>
            </a:pPr>
          </a:p>
        </c:txPr>
        <c:crossAx val="871707374"/>
        <c:crosses val="autoZero"/>
        <c:crossBetween val="between"/>
        <c:majorUnit val="10"/>
        <c:minorUnit val="5"/>
      </c:valAx>
      <c:spPr>
        <a:noFill/>
        <a:ln>
          <a:noFill/>
        </a:ln>
        <a:effectLst/>
      </c:spPr>
    </c:plotArea>
    <c:plotVisOnly val="1"/>
    <c:dispBlanksAs val="gap"/>
    <c:showDLblsOverMax val="0"/>
    <c:extLst>
      <c:ext uri="{0b15fc19-7d7d-44ad-8c2d-2c3a37ce22c3}">
        <chartProps xmlns="https://web.wps.cn/et/2018/main" chartId="{5ba0f4e7-82ac-4b95-b85e-d8317e3513fc}"/>
      </c:ext>
    </c:extLst>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521491455205"/>
          <c:y val="0.0927260812581913"/>
          <c:w val="0.847151734852408"/>
          <c:h val="0.657077326343381"/>
        </c:manualLayout>
      </c:layout>
      <c:barChart>
        <c:barDir val="col"/>
        <c:grouping val="clustered"/>
        <c:varyColors val="0"/>
        <c:ser>
          <c:idx val="0"/>
          <c:order val="0"/>
          <c:tx>
            <c:strRef>
              <c:f>'[工作表 在 16个表格和图.docx]T2力学性能-O60'!$P$9</c:f>
              <c:strCache>
                <c:ptCount val="1"/>
                <c:pt idx="0">
                  <c:v>频数ni</c:v>
                </c:pt>
              </c:strCache>
            </c:strRef>
          </c:tx>
          <c:spPr>
            <a:solidFill>
              <a:schemeClr val="accent1"/>
            </a:solidFill>
            <a:ln>
              <a:noFill/>
            </a:ln>
            <a:effectLst/>
          </c:spPr>
          <c:invertIfNegative val="0"/>
          <c:dLbls>
            <c:delete val="1"/>
          </c:dLbls>
          <c:cat>
            <c:strRef>
              <c:f>'[工作表 在 16个表格和图.docx]T2力学性能-O60'!$N$10:$N$16</c:f>
              <c:strCache>
                <c:ptCount val="7"/>
                <c:pt idx="0">
                  <c:v>[50-52]</c:v>
                </c:pt>
                <c:pt idx="1">
                  <c:v>[52-54]</c:v>
                </c:pt>
                <c:pt idx="2">
                  <c:v>[54-56]</c:v>
                </c:pt>
                <c:pt idx="3">
                  <c:v>[56-58]</c:v>
                </c:pt>
                <c:pt idx="4">
                  <c:v>[58-60]</c:v>
                </c:pt>
                <c:pt idx="5">
                  <c:v>[60-62]</c:v>
                </c:pt>
                <c:pt idx="6">
                  <c:v>[62-65]</c:v>
                </c:pt>
              </c:strCache>
            </c:strRef>
          </c:cat>
          <c:val>
            <c:numRef>
              <c:f>'[工作表 在 16个表格和图.docx]T2力学性能-O60'!$P$10:$P$16</c:f>
              <c:numCache>
                <c:formatCode>General</c:formatCode>
                <c:ptCount val="7"/>
                <c:pt idx="0">
                  <c:v>1</c:v>
                </c:pt>
                <c:pt idx="1">
                  <c:v>1</c:v>
                </c:pt>
                <c:pt idx="2">
                  <c:v>3</c:v>
                </c:pt>
                <c:pt idx="3">
                  <c:v>26</c:v>
                </c:pt>
                <c:pt idx="4">
                  <c:v>74</c:v>
                </c:pt>
                <c:pt idx="5">
                  <c:v>10</c:v>
                </c:pt>
                <c:pt idx="6">
                  <c:v>34</c:v>
                </c:pt>
              </c:numCache>
            </c:numRef>
          </c:val>
        </c:ser>
        <c:dLbls>
          <c:showLegendKey val="0"/>
          <c:showVal val="0"/>
          <c:showCatName val="0"/>
          <c:showSerName val="0"/>
          <c:showPercent val="0"/>
          <c:showBubbleSize val="0"/>
        </c:dLbls>
        <c:gapWidth val="219"/>
        <c:overlap val="-27"/>
        <c:axId val="871707374"/>
        <c:axId val="612835707"/>
      </c:barChart>
      <c:catAx>
        <c:axId val="871707374"/>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b="1"/>
                  <a:t>区间</a:t>
                </a:r>
                <a:endParaRPr lang="en-US" altLang="zh-CN" b="1"/>
              </a:p>
            </c:rich>
          </c:tx>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rgbClr val="000000"/>
                </a:solidFill>
                <a:latin typeface="+mn-lt"/>
                <a:ea typeface="+mn-ea"/>
                <a:cs typeface="+mn-cs"/>
              </a:defRPr>
            </a:pPr>
          </a:p>
        </c:txPr>
        <c:crossAx val="612835707"/>
        <c:crosses val="autoZero"/>
        <c:auto val="1"/>
        <c:lblAlgn val="ctr"/>
        <c:lblOffset val="100"/>
        <c:noMultiLvlLbl val="0"/>
      </c:catAx>
      <c:valAx>
        <c:axId val="612835707"/>
        <c:scaling>
          <c:orientation val="minMax"/>
          <c:max val="80"/>
        </c:scaling>
        <c:delete val="0"/>
        <c:axPos val="l"/>
        <c:majorGridlines>
          <c:spPr>
            <a:ln w="9525" cap="flat" cmpd="sng" algn="ctr">
              <a:solidFill>
                <a:schemeClr val="tx1">
                  <a:lumMod val="15000"/>
                  <a:lumOff val="85000"/>
                </a:schemeClr>
              </a:solidFill>
              <a:round/>
            </a:ln>
            <a:effectLst/>
          </c:spPr>
        </c:majorGridlines>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b="1"/>
                  <a:t>频</a:t>
                </a:r>
                <a:endParaRPr b="1"/>
              </a:p>
              <a:p>
                <a:pPr defTabSz="914400">
                  <a:defRPr lang="zh-CN" sz="1000" b="0" i="0" u="none" strike="noStrike" kern="1200" baseline="0">
                    <a:solidFill>
                      <a:schemeClr val="tx1">
                        <a:lumMod val="65000"/>
                        <a:lumOff val="35000"/>
                      </a:schemeClr>
                    </a:solidFill>
                    <a:latin typeface="+mn-lt"/>
                    <a:ea typeface="+mn-ea"/>
                    <a:cs typeface="+mn-cs"/>
                  </a:defRPr>
                </a:pPr>
                <a:r>
                  <a:rPr b="1"/>
                  <a:t>数</a:t>
                </a:r>
                <a:endParaRPr b="1"/>
              </a:p>
            </c:rich>
          </c:tx>
          <c:layout/>
          <c:overlay val="0"/>
          <c:spPr>
            <a:noFill/>
            <a:ln>
              <a:noFill/>
            </a:ln>
            <a:effectLst/>
          </c:spPr>
        </c:title>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000000"/>
                </a:solidFill>
                <a:latin typeface="+mn-lt"/>
                <a:ea typeface="+mn-ea"/>
                <a:cs typeface="+mn-cs"/>
              </a:defRPr>
            </a:pPr>
          </a:p>
        </c:txPr>
        <c:crossAx val="871707374"/>
        <c:crosses val="autoZero"/>
        <c:crossBetween val="between"/>
        <c:majorUnit val="10"/>
        <c:minorUnit val="5"/>
      </c:valAx>
      <c:spPr>
        <a:noFill/>
        <a:ln>
          <a:noFill/>
        </a:ln>
        <a:effectLst/>
      </c:spPr>
    </c:plotArea>
    <c:plotVisOnly val="1"/>
    <c:dispBlanksAs val="gap"/>
    <c:showDLblsOverMax val="0"/>
    <c:extLst>
      <c:ext uri="{0b15fc19-7d7d-44ad-8c2d-2c3a37ce22c3}">
        <chartProps xmlns="https://web.wps.cn/et/2018/main" chartId="{efad287b-980e-4487-8d2a-8038e0238d68}"/>
      </c:ext>
    </c:extLst>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565891472868"/>
          <c:y val="0.0925812385039853"/>
          <c:w val="0.847080103359173"/>
          <c:h val="0.644512568976088"/>
        </c:manualLayout>
      </c:layout>
      <c:barChart>
        <c:barDir val="col"/>
        <c:grouping val="clustered"/>
        <c:varyColors val="0"/>
        <c:ser>
          <c:idx val="0"/>
          <c:order val="0"/>
          <c:tx>
            <c:strRef>
              <c:f>'[工作表 在 16个表格和图.docx]T2力学性能-O60'!$P$9</c:f>
              <c:strCache>
                <c:ptCount val="1"/>
                <c:pt idx="0">
                  <c:v>频数ni</c:v>
                </c:pt>
              </c:strCache>
            </c:strRef>
          </c:tx>
          <c:spPr>
            <a:solidFill>
              <a:schemeClr val="accent1"/>
            </a:solidFill>
            <a:ln>
              <a:noFill/>
            </a:ln>
            <a:effectLst/>
          </c:spPr>
          <c:invertIfNegative val="0"/>
          <c:dLbls>
            <c:delete val="1"/>
          </c:dLbls>
          <c:cat>
            <c:strRef>
              <c:extLst>
                <c:ext xmlns:c15="http://schemas.microsoft.com/office/drawing/2012/chart" uri="{02D57815-91ED-43cb-92C2-25804820EDAC}">
                  <c15:fullRef>
                    <c15:sqref>'[工作表 在 16个表格和图.docx]T2力学性能-O60'!$N$10:$N$14</c15:sqref>
                  </c15:fullRef>
                </c:ext>
              </c:extLst>
              <c:f>'[工作表 在 16个表格和图.docx]T2力学性能-O60'!$N$10:$N$14</c:f>
              <c:strCache>
                <c:ptCount val="5"/>
                <c:pt idx="0">
                  <c:v>[97-98]</c:v>
                </c:pt>
                <c:pt idx="1">
                  <c:v>[98-99]</c:v>
                </c:pt>
                <c:pt idx="2">
                  <c:v>[99-100]</c:v>
                </c:pt>
                <c:pt idx="3">
                  <c:v>[100-101]</c:v>
                </c:pt>
                <c:pt idx="4">
                  <c:v>[101-102]</c:v>
                </c:pt>
              </c:strCache>
            </c:strRef>
          </c:cat>
          <c:val>
            <c:numRef>
              <c:extLst>
                <c:ext xmlns:c15="http://schemas.microsoft.com/office/drawing/2012/chart" uri="{02D57815-91ED-43cb-92C2-25804820EDAC}">
                  <c15:fullRef>
                    <c15:sqref>'T2力学性能-O60'!$P$10:$P$14</c15:sqref>
                  </c15:fullRef>
                </c:ext>
              </c:extLst>
              <c:f>'[工作表 在 16个表格和图.docx]T2力学性能-O60'!$P$10:$P$14</c:f>
              <c:numCache>
                <c:formatCode>General</c:formatCode>
                <c:ptCount val="5"/>
                <c:pt idx="0">
                  <c:v>7</c:v>
                </c:pt>
                <c:pt idx="1">
                  <c:v>41</c:v>
                </c:pt>
                <c:pt idx="2">
                  <c:v>37</c:v>
                </c:pt>
                <c:pt idx="3">
                  <c:v>28</c:v>
                </c:pt>
                <c:pt idx="4">
                  <c:v>36</c:v>
                </c:pt>
              </c:numCache>
            </c:numRef>
          </c:val>
        </c:ser>
        <c:dLbls>
          <c:showLegendKey val="0"/>
          <c:showVal val="0"/>
          <c:showCatName val="0"/>
          <c:showSerName val="0"/>
          <c:showPercent val="0"/>
          <c:showBubbleSize val="0"/>
        </c:dLbls>
        <c:gapWidth val="219"/>
        <c:overlap val="-27"/>
        <c:axId val="871707374"/>
        <c:axId val="612835707"/>
      </c:barChart>
      <c:catAx>
        <c:axId val="871707374"/>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b="1"/>
                  <a:t>区间</a:t>
                </a:r>
                <a:endParaRPr lang="en-US" altLang="zh-CN" b="1"/>
              </a:p>
            </c:rich>
          </c:tx>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rgbClr val="000000"/>
                </a:solidFill>
                <a:latin typeface="+mn-lt"/>
                <a:ea typeface="+mn-ea"/>
                <a:cs typeface="+mn-cs"/>
              </a:defRPr>
            </a:pPr>
          </a:p>
        </c:txPr>
        <c:crossAx val="612835707"/>
        <c:crosses val="autoZero"/>
        <c:auto val="1"/>
        <c:lblAlgn val="ctr"/>
        <c:lblOffset val="100"/>
        <c:noMultiLvlLbl val="0"/>
      </c:catAx>
      <c:valAx>
        <c:axId val="612835707"/>
        <c:scaling>
          <c:orientation val="minMax"/>
          <c:max val="50"/>
        </c:scaling>
        <c:delete val="0"/>
        <c:axPos val="l"/>
        <c:majorGridlines>
          <c:spPr>
            <a:ln w="9525" cap="flat" cmpd="sng" algn="ctr">
              <a:solidFill>
                <a:schemeClr val="tx1">
                  <a:lumMod val="15000"/>
                  <a:lumOff val="85000"/>
                </a:schemeClr>
              </a:solidFill>
              <a:round/>
            </a:ln>
            <a:effectLst/>
          </c:spPr>
        </c:majorGridlines>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b="1"/>
                  <a:t>频</a:t>
                </a:r>
                <a:endParaRPr b="1"/>
              </a:p>
              <a:p>
                <a:pPr defTabSz="914400">
                  <a:defRPr lang="zh-CN" sz="1000" b="0" i="0" u="none" strike="noStrike" kern="1200" baseline="0">
                    <a:solidFill>
                      <a:schemeClr val="tx1">
                        <a:lumMod val="65000"/>
                        <a:lumOff val="35000"/>
                      </a:schemeClr>
                    </a:solidFill>
                    <a:latin typeface="+mn-lt"/>
                    <a:ea typeface="+mn-ea"/>
                    <a:cs typeface="+mn-cs"/>
                  </a:defRPr>
                </a:pPr>
                <a:r>
                  <a:rPr b="1"/>
                  <a:t>数</a:t>
                </a:r>
                <a:endParaRPr b="1"/>
              </a:p>
            </c:rich>
          </c:tx>
          <c:layout/>
          <c:overlay val="0"/>
          <c:spPr>
            <a:noFill/>
            <a:ln>
              <a:noFill/>
            </a:ln>
            <a:effectLst/>
          </c:spPr>
        </c:title>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000000"/>
                </a:solidFill>
                <a:latin typeface="+mn-lt"/>
                <a:ea typeface="+mn-ea"/>
                <a:cs typeface="+mn-cs"/>
              </a:defRPr>
            </a:pPr>
          </a:p>
        </c:txPr>
        <c:crossAx val="871707374"/>
        <c:crosses val="autoZero"/>
        <c:crossBetween val="between"/>
        <c:majorUnit val="10"/>
        <c:minorUnit val="5"/>
      </c:valAx>
      <c:spPr>
        <a:noFill/>
        <a:ln>
          <a:noFill/>
        </a:ln>
        <a:effectLst/>
      </c:spPr>
    </c:plotArea>
    <c:plotVisOnly val="1"/>
    <c:dispBlanksAs val="gap"/>
    <c:showDLblsOverMax val="0"/>
    <c:extLst>
      <c:ext uri="{0b15fc19-7d7d-44ad-8c2d-2c3a37ce22c3}">
        <chartProps xmlns="https://web.wps.cn/et/2018/main" chartId="{3e3cba46-739f-4ed6-bdb9-239d8cdd23a2}"/>
      </c:ext>
    </c:extLst>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92196494818984"/>
          <c:y val="0.0679960771493952"/>
          <c:w val="0.889266982218242"/>
          <c:h val="0.696436744033998"/>
        </c:manualLayout>
      </c:layout>
      <c:barChart>
        <c:barDir val="col"/>
        <c:grouping val="clustered"/>
        <c:varyColors val="0"/>
        <c:ser>
          <c:idx val="0"/>
          <c:order val="0"/>
          <c:spPr>
            <a:solidFill>
              <a:schemeClr val="accent1"/>
            </a:solidFill>
            <a:ln>
              <a:noFill/>
            </a:ln>
            <a:effectLst/>
          </c:spPr>
          <c:invertIfNegative val="0"/>
          <c:dLbls>
            <c:delete val="1"/>
          </c:dLbls>
          <c:cat>
            <c:strRef>
              <c:f>'[工作表 在 16个表格和图.docx]T2力学性能-H02'!$L$8:$L$13</c:f>
              <c:strCache>
                <c:ptCount val="6"/>
                <c:pt idx="0">
                  <c:v>[225-240]</c:v>
                </c:pt>
                <c:pt idx="1">
                  <c:v>[240-255]</c:v>
                </c:pt>
                <c:pt idx="2">
                  <c:v>[255-270]</c:v>
                </c:pt>
                <c:pt idx="3">
                  <c:v>[270-285]</c:v>
                </c:pt>
                <c:pt idx="4">
                  <c:v>[285-300]</c:v>
                </c:pt>
                <c:pt idx="5">
                  <c:v>[300-315]</c:v>
                </c:pt>
              </c:strCache>
            </c:strRef>
          </c:cat>
          <c:val>
            <c:numRef>
              <c:f>'[工作表 在 16个表格和图.docx]T2力学性能-H02'!$N$8:$N$13</c:f>
              <c:numCache>
                <c:formatCode>General</c:formatCode>
                <c:ptCount val="6"/>
                <c:pt idx="0">
                  <c:v>5</c:v>
                </c:pt>
                <c:pt idx="1">
                  <c:v>31</c:v>
                </c:pt>
                <c:pt idx="2">
                  <c:v>18</c:v>
                </c:pt>
                <c:pt idx="3">
                  <c:v>19</c:v>
                </c:pt>
                <c:pt idx="4">
                  <c:v>20</c:v>
                </c:pt>
                <c:pt idx="5">
                  <c:v>7</c:v>
                </c:pt>
              </c:numCache>
            </c:numRef>
          </c:val>
        </c:ser>
        <c:dLbls>
          <c:showLegendKey val="0"/>
          <c:showVal val="0"/>
          <c:showCatName val="0"/>
          <c:showSerName val="0"/>
          <c:showPercent val="0"/>
          <c:showBubbleSize val="0"/>
        </c:dLbls>
        <c:gapWidth val="219"/>
        <c:overlap val="-27"/>
        <c:axId val="871707374"/>
        <c:axId val="612835707"/>
      </c:barChart>
      <c:catAx>
        <c:axId val="871707374"/>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b="1"/>
                  <a:t>区间</a:t>
                </a:r>
                <a:endParaRPr lang="en-US" altLang="zh-CN" b="1"/>
              </a:p>
            </c:rich>
          </c:tx>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rgbClr val="000000"/>
                </a:solidFill>
                <a:latin typeface="+mn-lt"/>
                <a:ea typeface="+mn-ea"/>
                <a:cs typeface="+mn-cs"/>
              </a:defRPr>
            </a:pPr>
          </a:p>
        </c:txPr>
        <c:crossAx val="612835707"/>
        <c:crosses val="autoZero"/>
        <c:auto val="1"/>
        <c:lblAlgn val="ctr"/>
        <c:lblOffset val="100"/>
        <c:noMultiLvlLbl val="0"/>
      </c:catAx>
      <c:valAx>
        <c:axId val="612835707"/>
        <c:scaling>
          <c:orientation val="minMax"/>
          <c:max val="35"/>
        </c:scaling>
        <c:delete val="0"/>
        <c:axPos val="l"/>
        <c:majorGridlines>
          <c:spPr>
            <a:ln w="9525" cap="flat" cmpd="sng" algn="ctr">
              <a:solidFill>
                <a:schemeClr val="tx1">
                  <a:lumMod val="15000"/>
                  <a:lumOff val="85000"/>
                </a:schemeClr>
              </a:solidFill>
              <a:round/>
            </a:ln>
            <a:effectLst/>
          </c:spPr>
        </c:majorGridlines>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b="1"/>
                  <a:t>频</a:t>
                </a:r>
                <a:endParaRPr b="1"/>
              </a:p>
              <a:p>
                <a:pPr defTabSz="914400">
                  <a:defRPr lang="zh-CN" sz="1000" b="0" i="0" u="none" strike="noStrike" kern="1200" baseline="0">
                    <a:solidFill>
                      <a:schemeClr val="tx1">
                        <a:lumMod val="65000"/>
                        <a:lumOff val="35000"/>
                      </a:schemeClr>
                    </a:solidFill>
                    <a:latin typeface="+mn-lt"/>
                    <a:ea typeface="+mn-ea"/>
                    <a:cs typeface="+mn-cs"/>
                  </a:defRPr>
                </a:pPr>
                <a:r>
                  <a:rPr b="1"/>
                  <a:t>数</a:t>
                </a:r>
                <a:endParaRPr b="1"/>
              </a:p>
            </c:rich>
          </c:tx>
          <c:layout/>
          <c:overlay val="0"/>
          <c:spPr>
            <a:noFill/>
            <a:ln>
              <a:noFill/>
            </a:ln>
            <a:effectLst/>
          </c:spPr>
        </c:title>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000000"/>
                </a:solidFill>
                <a:latin typeface="+mn-lt"/>
                <a:ea typeface="+mn-ea"/>
                <a:cs typeface="+mn-cs"/>
              </a:defRPr>
            </a:pPr>
          </a:p>
        </c:txPr>
        <c:crossAx val="871707374"/>
        <c:crosses val="autoZero"/>
        <c:crossBetween val="between"/>
        <c:majorUnit val="5"/>
        <c:minorUnit val="5"/>
      </c:valAx>
      <c:spPr>
        <a:noFill/>
        <a:ln>
          <a:noFill/>
        </a:ln>
        <a:effectLst/>
      </c:spPr>
    </c:plotArea>
    <c:plotVisOnly val="1"/>
    <c:dispBlanksAs val="gap"/>
    <c:showDLblsOverMax val="0"/>
    <c:extLst>
      <c:ext uri="{0b15fc19-7d7d-44ad-8c2d-2c3a37ce22c3}">
        <chartProps xmlns="https://web.wps.cn/et/2018/main" chartId="{325629a8-0269-424b-a734-9ce10dd0d1ba}"/>
      </c:ext>
    </c:extLst>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561578126874"/>
          <c:y val="0.0924447174447174"/>
          <c:w val="0.847151936683055"/>
          <c:h val="0.658292383292383"/>
        </c:manualLayout>
      </c:layout>
      <c:barChart>
        <c:barDir val="col"/>
        <c:grouping val="clustered"/>
        <c:varyColors val="0"/>
        <c:ser>
          <c:idx val="0"/>
          <c:order val="0"/>
          <c:spPr>
            <a:solidFill>
              <a:schemeClr val="accent1"/>
            </a:solidFill>
            <a:ln>
              <a:noFill/>
            </a:ln>
            <a:effectLst/>
          </c:spPr>
          <c:invertIfNegative val="0"/>
          <c:dLbls>
            <c:delete val="1"/>
          </c:dLbls>
          <c:cat>
            <c:strRef>
              <c:f>'[工作表 在 16个表格和图.docx]T2力学性能-H02'!$L$8:$L$14</c:f>
              <c:strCache>
                <c:ptCount val="7"/>
                <c:pt idx="0">
                  <c:v>[5-10]</c:v>
                </c:pt>
                <c:pt idx="1">
                  <c:v>[10-15]</c:v>
                </c:pt>
                <c:pt idx="2">
                  <c:v>[15-20]</c:v>
                </c:pt>
                <c:pt idx="3">
                  <c:v>[20-25]</c:v>
                </c:pt>
                <c:pt idx="4">
                  <c:v>[25-30]</c:v>
                </c:pt>
                <c:pt idx="5">
                  <c:v>[30-35]</c:v>
                </c:pt>
                <c:pt idx="6">
                  <c:v>[35-40]</c:v>
                </c:pt>
              </c:strCache>
            </c:strRef>
          </c:cat>
          <c:val>
            <c:numRef>
              <c:f>'[工作表 在 16个表格和图.docx]T2力学性能-H02'!$N$8:$N$14</c:f>
              <c:numCache>
                <c:formatCode>General</c:formatCode>
                <c:ptCount val="7"/>
                <c:pt idx="0">
                  <c:v>8</c:v>
                </c:pt>
                <c:pt idx="1">
                  <c:v>25</c:v>
                </c:pt>
                <c:pt idx="2">
                  <c:v>22</c:v>
                </c:pt>
                <c:pt idx="3">
                  <c:v>31</c:v>
                </c:pt>
                <c:pt idx="4">
                  <c:v>8</c:v>
                </c:pt>
                <c:pt idx="5">
                  <c:v>1</c:v>
                </c:pt>
                <c:pt idx="6">
                  <c:v>5</c:v>
                </c:pt>
              </c:numCache>
            </c:numRef>
          </c:val>
        </c:ser>
        <c:dLbls>
          <c:showLegendKey val="0"/>
          <c:showVal val="0"/>
          <c:showCatName val="0"/>
          <c:showSerName val="0"/>
          <c:showPercent val="0"/>
          <c:showBubbleSize val="0"/>
        </c:dLbls>
        <c:gapWidth val="219"/>
        <c:overlap val="-27"/>
        <c:axId val="871707374"/>
        <c:axId val="612835707"/>
      </c:barChart>
      <c:catAx>
        <c:axId val="871707374"/>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b="1"/>
                  <a:t>区间</a:t>
                </a:r>
                <a:endParaRPr lang="en-US" altLang="zh-CN" b="1"/>
              </a:p>
            </c:rich>
          </c:tx>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rgbClr val="000000"/>
                </a:solidFill>
                <a:latin typeface="+mn-lt"/>
                <a:ea typeface="+mn-ea"/>
                <a:cs typeface="+mn-cs"/>
              </a:defRPr>
            </a:pPr>
          </a:p>
        </c:txPr>
        <c:crossAx val="612835707"/>
        <c:crosses val="autoZero"/>
        <c:auto val="1"/>
        <c:lblAlgn val="ctr"/>
        <c:lblOffset val="100"/>
        <c:noMultiLvlLbl val="0"/>
      </c:catAx>
      <c:valAx>
        <c:axId val="612835707"/>
        <c:scaling>
          <c:orientation val="minMax"/>
          <c:max val="35"/>
        </c:scaling>
        <c:delete val="0"/>
        <c:axPos val="l"/>
        <c:majorGridlines>
          <c:spPr>
            <a:ln w="9525" cap="flat" cmpd="sng" algn="ctr">
              <a:solidFill>
                <a:schemeClr val="tx1">
                  <a:lumMod val="15000"/>
                  <a:lumOff val="85000"/>
                </a:schemeClr>
              </a:solidFill>
              <a:round/>
            </a:ln>
            <a:effectLst/>
          </c:spPr>
        </c:majorGridlines>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b="1"/>
                  <a:t>频</a:t>
                </a:r>
                <a:endParaRPr b="1"/>
              </a:p>
              <a:p>
                <a:pPr defTabSz="914400">
                  <a:defRPr lang="zh-CN" sz="1000" b="0" i="0" u="none" strike="noStrike" kern="1200" baseline="0">
                    <a:solidFill>
                      <a:schemeClr val="tx1">
                        <a:lumMod val="65000"/>
                        <a:lumOff val="35000"/>
                      </a:schemeClr>
                    </a:solidFill>
                    <a:latin typeface="+mn-lt"/>
                    <a:ea typeface="+mn-ea"/>
                    <a:cs typeface="+mn-cs"/>
                  </a:defRPr>
                </a:pPr>
                <a:r>
                  <a:rPr b="1"/>
                  <a:t>数</a:t>
                </a:r>
                <a:endParaRPr b="1"/>
              </a:p>
            </c:rich>
          </c:tx>
          <c:layout/>
          <c:overlay val="0"/>
          <c:spPr>
            <a:noFill/>
            <a:ln>
              <a:noFill/>
            </a:ln>
            <a:effectLst/>
          </c:spPr>
        </c:title>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000000"/>
                </a:solidFill>
                <a:latin typeface="+mn-lt"/>
                <a:ea typeface="+mn-ea"/>
                <a:cs typeface="+mn-cs"/>
              </a:defRPr>
            </a:pPr>
          </a:p>
        </c:txPr>
        <c:crossAx val="871707374"/>
        <c:crosses val="autoZero"/>
        <c:crossBetween val="between"/>
        <c:majorUnit val="5"/>
        <c:minorUnit val="5"/>
      </c:valAx>
      <c:spPr>
        <a:noFill/>
        <a:ln>
          <a:noFill/>
        </a:ln>
        <a:effectLst/>
      </c:spPr>
    </c:plotArea>
    <c:plotVisOnly val="1"/>
    <c:dispBlanksAs val="gap"/>
    <c:showDLblsOverMax val="0"/>
    <c:extLst>
      <c:ext uri="{0b15fc19-7d7d-44ad-8c2d-2c3a37ce22c3}">
        <chartProps xmlns="https://web.wps.cn/et/2018/main" chartId="{b19dc1c5-c032-46e0-9a89-928d89bb8a06}"/>
      </c:ext>
    </c:extLst>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759854959855"/>
          <c:y val="0.0778584478136048"/>
          <c:w val="0.847138888888889"/>
          <c:h val="0.740833333333333"/>
        </c:manualLayout>
      </c:layout>
      <c:barChart>
        <c:barDir val="col"/>
        <c:grouping val="clustered"/>
        <c:varyColors val="0"/>
        <c:ser>
          <c:idx val="0"/>
          <c:order val="0"/>
          <c:spPr>
            <a:solidFill>
              <a:schemeClr val="accent1"/>
            </a:solidFill>
            <a:ln>
              <a:noFill/>
            </a:ln>
            <a:effectLst/>
          </c:spPr>
          <c:invertIfNegative val="0"/>
          <c:dLbls>
            <c:delete val="1"/>
          </c:dLbls>
          <c:cat>
            <c:strRef>
              <c:f>'[工作表 在 16个表格和图.docx]T2力学性能-H02'!$L$8:$L$13</c:f>
              <c:strCache>
                <c:ptCount val="6"/>
                <c:pt idx="0">
                  <c:v>[80-85]</c:v>
                </c:pt>
                <c:pt idx="1">
                  <c:v>[85-90]</c:v>
                </c:pt>
                <c:pt idx="2">
                  <c:v>[90-95]</c:v>
                </c:pt>
                <c:pt idx="3">
                  <c:v>[95-100]</c:v>
                </c:pt>
                <c:pt idx="4">
                  <c:v>[100-105]</c:v>
                </c:pt>
                <c:pt idx="5">
                  <c:v>[105-110]</c:v>
                </c:pt>
              </c:strCache>
            </c:strRef>
          </c:cat>
          <c:val>
            <c:numRef>
              <c:f>'[工作表 在 16个表格和图.docx]T2力学性能-H02'!$N$8:$N$13</c:f>
              <c:numCache>
                <c:formatCode>General</c:formatCode>
                <c:ptCount val="6"/>
                <c:pt idx="0">
                  <c:v>18</c:v>
                </c:pt>
                <c:pt idx="1">
                  <c:v>17</c:v>
                </c:pt>
                <c:pt idx="2">
                  <c:v>12</c:v>
                </c:pt>
                <c:pt idx="3">
                  <c:v>14</c:v>
                </c:pt>
                <c:pt idx="4">
                  <c:v>18</c:v>
                </c:pt>
                <c:pt idx="5">
                  <c:v>21</c:v>
                </c:pt>
              </c:numCache>
            </c:numRef>
          </c:val>
        </c:ser>
        <c:dLbls>
          <c:showLegendKey val="0"/>
          <c:showVal val="0"/>
          <c:showCatName val="0"/>
          <c:showSerName val="0"/>
          <c:showPercent val="0"/>
          <c:showBubbleSize val="0"/>
        </c:dLbls>
        <c:gapWidth val="219"/>
        <c:overlap val="-27"/>
        <c:axId val="871707374"/>
        <c:axId val="612835707"/>
      </c:barChart>
      <c:catAx>
        <c:axId val="871707374"/>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b="1"/>
                  <a:t>区间</a:t>
                </a:r>
                <a:endParaRPr lang="en-US" altLang="zh-CN" b="1"/>
              </a:p>
            </c:rich>
          </c:tx>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rgbClr val="000000"/>
                </a:solidFill>
                <a:latin typeface="+mn-lt"/>
                <a:ea typeface="+mn-ea"/>
                <a:cs typeface="+mn-cs"/>
              </a:defRPr>
            </a:pPr>
          </a:p>
        </c:txPr>
        <c:crossAx val="612835707"/>
        <c:crosses val="autoZero"/>
        <c:auto val="1"/>
        <c:lblAlgn val="ctr"/>
        <c:lblOffset val="100"/>
        <c:noMultiLvlLbl val="0"/>
      </c:catAx>
      <c:valAx>
        <c:axId val="612835707"/>
        <c:scaling>
          <c:orientation val="minMax"/>
          <c:max val="25"/>
        </c:scaling>
        <c:delete val="0"/>
        <c:axPos val="l"/>
        <c:majorGridlines>
          <c:spPr>
            <a:ln w="9525" cap="flat" cmpd="sng" algn="ctr">
              <a:solidFill>
                <a:schemeClr val="tx1">
                  <a:lumMod val="15000"/>
                  <a:lumOff val="85000"/>
                </a:schemeClr>
              </a:solidFill>
              <a:round/>
            </a:ln>
            <a:effectLst/>
          </c:spPr>
        </c:majorGridlines>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b="1"/>
                  <a:t>频</a:t>
                </a:r>
                <a:endParaRPr b="1"/>
              </a:p>
              <a:p>
                <a:pPr defTabSz="914400">
                  <a:defRPr lang="zh-CN" sz="1000" b="0" i="0" u="none" strike="noStrike" kern="1200" baseline="0">
                    <a:solidFill>
                      <a:schemeClr val="tx1">
                        <a:lumMod val="65000"/>
                        <a:lumOff val="35000"/>
                      </a:schemeClr>
                    </a:solidFill>
                    <a:latin typeface="+mn-lt"/>
                    <a:ea typeface="+mn-ea"/>
                    <a:cs typeface="+mn-cs"/>
                  </a:defRPr>
                </a:pPr>
                <a:r>
                  <a:rPr b="1"/>
                  <a:t>数</a:t>
                </a:r>
                <a:endParaRPr b="1"/>
              </a:p>
            </c:rich>
          </c:tx>
          <c:layout/>
          <c:overlay val="0"/>
          <c:spPr>
            <a:noFill/>
            <a:ln>
              <a:noFill/>
            </a:ln>
            <a:effectLst/>
          </c:spPr>
        </c:title>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000000"/>
                </a:solidFill>
                <a:latin typeface="+mn-lt"/>
                <a:ea typeface="+mn-ea"/>
                <a:cs typeface="+mn-cs"/>
              </a:defRPr>
            </a:pPr>
          </a:p>
        </c:txPr>
        <c:crossAx val="871707374"/>
        <c:crosses val="autoZero"/>
        <c:crossBetween val="between"/>
        <c:majorUnit val="5"/>
        <c:minorUnit val="5"/>
      </c:valAx>
      <c:spPr>
        <a:noFill/>
        <a:ln>
          <a:noFill/>
        </a:ln>
        <a:effectLst/>
      </c:spPr>
    </c:plotArea>
    <c:plotVisOnly val="1"/>
    <c:dispBlanksAs val="gap"/>
    <c:showDLblsOverMax val="0"/>
    <c:extLst>
      <c:ext uri="{0b15fc19-7d7d-44ad-8c2d-2c3a37ce22c3}">
        <chartProps xmlns="https://web.wps.cn/et/2018/main" chartId="{685da6c5-e039-41ed-81b8-77cf059a7ede}"/>
      </c:ext>
    </c:extLst>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494347379239"/>
          <c:y val="0.0925925925925926"/>
          <c:w val="0.847173689619733"/>
          <c:h val="0.676467236467236"/>
        </c:manualLayout>
      </c:layout>
      <c:barChart>
        <c:barDir val="col"/>
        <c:grouping val="clustered"/>
        <c:varyColors val="0"/>
        <c:ser>
          <c:idx val="0"/>
          <c:order val="0"/>
          <c:spPr>
            <a:solidFill>
              <a:schemeClr val="accent1"/>
            </a:solidFill>
            <a:ln>
              <a:noFill/>
            </a:ln>
            <a:effectLst/>
          </c:spPr>
          <c:invertIfNegative val="0"/>
          <c:dLbls>
            <c:delete val="1"/>
          </c:dLbls>
          <c:cat>
            <c:strRef>
              <c:f>'[工作表 在 16个表格和图.docx]T2力学性能-H02'!$L$8:$L$13</c:f>
              <c:strCache>
                <c:ptCount val="6"/>
                <c:pt idx="0">
                  <c:v>[95-96]</c:v>
                </c:pt>
                <c:pt idx="1">
                  <c:v>[96-97]</c:v>
                </c:pt>
                <c:pt idx="2">
                  <c:v>[97-98]</c:v>
                </c:pt>
                <c:pt idx="3">
                  <c:v>[98-99]</c:v>
                </c:pt>
                <c:pt idx="4">
                  <c:v>[99-100]</c:v>
                </c:pt>
                <c:pt idx="5">
                  <c:v>[100-101]</c:v>
                </c:pt>
              </c:strCache>
            </c:strRef>
          </c:cat>
          <c:val>
            <c:numRef>
              <c:f>'[工作表 在 16个表格和图.docx]T2力学性能-H02'!$N$8:$N$13</c:f>
              <c:numCache>
                <c:formatCode>General</c:formatCode>
                <c:ptCount val="6"/>
                <c:pt idx="0">
                  <c:v>2</c:v>
                </c:pt>
                <c:pt idx="1">
                  <c:v>21</c:v>
                </c:pt>
                <c:pt idx="2">
                  <c:v>20</c:v>
                </c:pt>
                <c:pt idx="3">
                  <c:v>17</c:v>
                </c:pt>
                <c:pt idx="4">
                  <c:v>26</c:v>
                </c:pt>
                <c:pt idx="5">
                  <c:v>14</c:v>
                </c:pt>
              </c:numCache>
            </c:numRef>
          </c:val>
        </c:ser>
        <c:dLbls>
          <c:showLegendKey val="0"/>
          <c:showVal val="0"/>
          <c:showCatName val="0"/>
          <c:showSerName val="0"/>
          <c:showPercent val="0"/>
          <c:showBubbleSize val="0"/>
        </c:dLbls>
        <c:gapWidth val="219"/>
        <c:overlap val="-27"/>
        <c:axId val="871707374"/>
        <c:axId val="612835707"/>
      </c:barChart>
      <c:catAx>
        <c:axId val="871707374"/>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altLang="en-US" b="1"/>
                  <a:t>区间</a:t>
                </a:r>
                <a:endParaRPr lang="en-US" altLang="zh-CN" b="1"/>
              </a:p>
            </c:rich>
          </c:tx>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rgbClr val="000000"/>
                </a:solidFill>
                <a:latin typeface="+mn-lt"/>
                <a:ea typeface="+mn-ea"/>
                <a:cs typeface="+mn-cs"/>
              </a:defRPr>
            </a:pPr>
          </a:p>
        </c:txPr>
        <c:crossAx val="612835707"/>
        <c:crosses val="autoZero"/>
        <c:auto val="1"/>
        <c:lblAlgn val="ctr"/>
        <c:lblOffset val="100"/>
        <c:noMultiLvlLbl val="0"/>
      </c:catAx>
      <c:valAx>
        <c:axId val="612835707"/>
        <c:scaling>
          <c:orientation val="minMax"/>
          <c:max val="30"/>
        </c:scaling>
        <c:delete val="0"/>
        <c:axPos val="l"/>
        <c:majorGridlines>
          <c:spPr>
            <a:ln w="9525" cap="flat" cmpd="sng" algn="ctr">
              <a:solidFill>
                <a:schemeClr val="tx1">
                  <a:lumMod val="15000"/>
                  <a:lumOff val="85000"/>
                </a:schemeClr>
              </a:solidFill>
              <a:round/>
            </a:ln>
            <a:effectLst/>
          </c:spPr>
        </c:majorGridlines>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b="1"/>
                  <a:t>频</a:t>
                </a:r>
                <a:endParaRPr b="1"/>
              </a:p>
              <a:p>
                <a:pPr defTabSz="914400">
                  <a:defRPr lang="zh-CN" sz="1000" b="0" i="0" u="none" strike="noStrike" kern="1200" baseline="0">
                    <a:solidFill>
                      <a:schemeClr val="tx1">
                        <a:lumMod val="65000"/>
                        <a:lumOff val="35000"/>
                      </a:schemeClr>
                    </a:solidFill>
                    <a:latin typeface="+mn-lt"/>
                    <a:ea typeface="+mn-ea"/>
                    <a:cs typeface="+mn-cs"/>
                  </a:defRPr>
                </a:pPr>
                <a:r>
                  <a:rPr b="1"/>
                  <a:t>数</a:t>
                </a:r>
                <a:endParaRPr b="1"/>
              </a:p>
            </c:rich>
          </c:tx>
          <c:layout/>
          <c:overlay val="0"/>
          <c:spPr>
            <a:noFill/>
            <a:ln>
              <a:noFill/>
            </a:ln>
            <a:effectLst/>
          </c:spPr>
        </c:title>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000000"/>
                </a:solidFill>
                <a:latin typeface="+mn-lt"/>
                <a:ea typeface="+mn-ea"/>
                <a:cs typeface="+mn-cs"/>
              </a:defRPr>
            </a:pPr>
          </a:p>
        </c:txPr>
        <c:crossAx val="871707374"/>
        <c:crosses val="autoZero"/>
        <c:crossBetween val="between"/>
        <c:majorUnit val="5"/>
        <c:minorUnit val="5"/>
      </c:valAx>
      <c:spPr>
        <a:noFill/>
        <a:ln>
          <a:noFill/>
        </a:ln>
        <a:effectLst/>
      </c:spPr>
    </c:plotArea>
    <c:plotVisOnly val="1"/>
    <c:dispBlanksAs val="gap"/>
    <c:showDLblsOverMax val="0"/>
    <c:extLst>
      <c:ext uri="{0b15fc19-7d7d-44ad-8c2d-2c3a37ce22c3}">
        <chartProps xmlns="https://web.wps.cn/et/2018/main" chartId="{676a9e71-db59-4e74-b211-4be3613a386e}"/>
      </c:ext>
    </c:extLst>
  </c:chart>
  <c:spPr>
    <a:solidFill>
      <a:schemeClr val="bg1"/>
    </a:solidFill>
    <a:ln w="9525" cap="flat" cmpd="sng" algn="ctr">
      <a:solidFill>
        <a:schemeClr val="tx1"/>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0A556C-3F5A-42FA-8204-9A3CADA932F0}">
  <ds:schemaRefs/>
</ds:datastoreItem>
</file>

<file path=docProps/app.xml><?xml version="1.0" encoding="utf-8"?>
<Properties xmlns="http://schemas.openxmlformats.org/officeDocument/2006/extended-properties" xmlns:vt="http://schemas.openxmlformats.org/officeDocument/2006/docPropsVTypes">
  <Template>bzsma4.DOT</Template>
  <Company>bz</Company>
  <Pages>32</Pages>
  <Words>7696</Words>
  <Characters>9120</Characters>
  <Lines>41</Lines>
  <Paragraphs>39</Paragraphs>
  <TotalTime>8</TotalTime>
  <ScaleCrop>false</ScaleCrop>
  <LinksUpToDate>false</LinksUpToDate>
  <CharactersWithSpaces>9192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2023-03-20T10:35:00Z</dcterms:created>
  <dc:creator>技术质量部</dc:creator>
  <cp:lastModifiedBy>王梦娜</cp:lastModifiedBy>
  <cp:lastPrinted>2007-04-16T07:55:00Z</cp:lastPrinted>
  <dcterms:modified xsi:type="dcterms:W3CDTF">2025-08-12T08:43:42Z</dcterms:modified>
  <dc:title>意 见 汇 总 处 理 表</dc:title>
  <cp:revision>133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3B906B1B2D9C42E99F733B72807657D1</vt:lpwstr>
  </property>
  <property fmtid="{D5CDD505-2E9C-101B-9397-08002B2CF9AE}" pid="4" name="KSOTemplateDocerSaveRecord">
    <vt:lpwstr>eyJoZGlkIjoiZDAxNTIwODRlMzY0NzkwOWRjOGIwNDIzMWQxNzQ1YjEiLCJ1c2VySWQiOiI0NTM2OTkzMzUifQ==</vt:lpwstr>
  </property>
</Properties>
</file>