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黑体"/>
          <w:sz w:val="28"/>
          <w:szCs w:val="28"/>
        </w:rPr>
      </w:pPr>
      <w:r>
        <w:rPr>
          <w:rFonts w:hint="eastAsia" w:eastAsia="黑体"/>
          <w:sz w:val="28"/>
          <w:szCs w:val="28"/>
        </w:rPr>
        <w:t>冶炼副产品氧化锡—编制说明</w:t>
      </w:r>
    </w:p>
    <w:p>
      <w:pPr>
        <w:jc w:val="center"/>
        <w:rPr>
          <w:rFonts w:ascii="宋体"/>
          <w:sz w:val="28"/>
          <w:szCs w:val="28"/>
          <w:lang w:val="de-DE"/>
        </w:rPr>
      </w:pPr>
      <w:r>
        <w:rPr>
          <w:rFonts w:hint="eastAsia" w:eastAsia="黑体"/>
          <w:sz w:val="28"/>
          <w:szCs w:val="28"/>
        </w:rPr>
        <w:t>（送审稿）</w:t>
      </w:r>
    </w:p>
    <w:p>
      <w:pPr>
        <w:pStyle w:val="12"/>
        <w:spacing w:before="0" w:beforeAutospacing="0" w:after="0" w:afterAutospacing="0" w:line="440" w:lineRule="exact"/>
        <w:jc w:val="both"/>
        <w:rPr>
          <w:rFonts w:hint="eastAsia" w:ascii="黑体" w:eastAsia="黑体" w:cs="Arial"/>
          <w:sz w:val="21"/>
          <w:szCs w:val="21"/>
        </w:rPr>
      </w:pPr>
      <w:r>
        <w:rPr>
          <w:rFonts w:hint="eastAsia" w:ascii="黑体" w:eastAsia="黑体" w:cs="Arial"/>
          <w:sz w:val="21"/>
          <w:szCs w:val="21"/>
        </w:rPr>
        <w:t>一、工作简况</w:t>
      </w:r>
    </w:p>
    <w:p>
      <w:pPr>
        <w:pStyle w:val="12"/>
        <w:spacing w:before="0" w:beforeAutospacing="0" w:after="0" w:afterAutospacing="0" w:line="440" w:lineRule="exact"/>
        <w:jc w:val="both"/>
        <w:rPr>
          <w:rFonts w:hint="eastAsia" w:ascii="黑体" w:eastAsia="黑体" w:cs="Arial"/>
          <w:sz w:val="21"/>
          <w:szCs w:val="21"/>
        </w:rPr>
      </w:pPr>
      <w:r>
        <w:rPr>
          <w:rFonts w:hint="eastAsia" w:ascii="黑体" w:eastAsia="黑体" w:cs="Arial"/>
          <w:sz w:val="21"/>
          <w:szCs w:val="21"/>
        </w:rPr>
        <w:t>1.1任务来源</w:t>
      </w:r>
    </w:p>
    <w:p>
      <w:pPr>
        <w:pStyle w:val="3"/>
        <w:keepNext w:val="0"/>
        <w:keepLines w:val="0"/>
        <w:shd w:val="clear" w:color="auto" w:fill="FFFFFF"/>
        <w:wordWrap w:val="0"/>
        <w:spacing w:before="0" w:after="0" w:line="450" w:lineRule="atLeast"/>
        <w:ind w:firstLine="420" w:firstLineChars="200"/>
        <w:rPr>
          <w:rFonts w:eastAsia="仿宋_GB2312"/>
        </w:rPr>
      </w:pPr>
      <w:r>
        <w:rPr>
          <w:rFonts w:hint="eastAsia" w:cs="宋体" w:asciiTheme="minorEastAsia" w:hAnsiTheme="minorEastAsia" w:eastAsiaTheme="minorEastAsia"/>
          <w:bCs w:val="0"/>
          <w:sz w:val="21"/>
          <w:szCs w:val="21"/>
        </w:rPr>
        <w:t>2024年9月14日，</w:t>
      </w:r>
      <w:r>
        <w:rPr>
          <w:rFonts w:hint="eastAsia" w:eastAsia="宋体" w:cs="Times New Roman"/>
          <w:color w:val="000000"/>
          <w:kern w:val="0"/>
          <w:sz w:val="21"/>
          <w:szCs w:val="21"/>
          <w:shd w:val="clear" w:color="auto" w:fill="FFFFFF"/>
        </w:rPr>
        <w:t>工业和信息</w:t>
      </w:r>
      <w:r>
        <w:rPr>
          <w:rFonts w:hint="eastAsia" w:cs="宋体" w:asciiTheme="minorEastAsia" w:hAnsiTheme="minorEastAsia" w:eastAsiaTheme="minorEastAsia"/>
          <w:bCs w:val="0"/>
          <w:sz w:val="21"/>
          <w:szCs w:val="21"/>
        </w:rPr>
        <w:t>化部办公厅《工业和信息化部办公厅关于印发2024年第四批行业标准制修订计划的通知》（工信厅科函﹝2024﹞352号），行业标准《冶炼副产品氧化锡》编制项目由全国有色金属标准化技术委员会归口，计划编号：</w:t>
      </w:r>
      <w:r>
        <w:fldChar w:fldCharType="begin"/>
      </w:r>
      <w:r>
        <w:instrText xml:space="preserve"> HYPERLINK "http://219.239.107.155:8080/TaskBook.aspx?id=YSCPZT07142020" </w:instrText>
      </w:r>
      <w:r>
        <w:fldChar w:fldCharType="separate"/>
      </w:r>
      <w:r>
        <w:rPr>
          <w:rFonts w:hint="eastAsia" w:cs="宋体" w:asciiTheme="minorEastAsia" w:hAnsiTheme="minorEastAsia" w:eastAsiaTheme="minorEastAsia"/>
          <w:bCs w:val="0"/>
          <w:sz w:val="21"/>
          <w:szCs w:val="21"/>
        </w:rPr>
        <w:t>2024-1226T-YS</w:t>
      </w:r>
      <w:r>
        <w:rPr>
          <w:rFonts w:hint="eastAsia" w:cs="宋体" w:asciiTheme="minorEastAsia" w:hAnsiTheme="minorEastAsia" w:eastAsiaTheme="minorEastAsia"/>
          <w:bCs w:val="0"/>
          <w:sz w:val="21"/>
          <w:szCs w:val="21"/>
        </w:rPr>
        <w:fldChar w:fldCharType="end"/>
      </w:r>
      <w:r>
        <w:rPr>
          <w:rFonts w:hint="eastAsia" w:cs="宋体" w:asciiTheme="minorEastAsia" w:hAnsiTheme="minorEastAsia" w:eastAsiaTheme="minorEastAsia"/>
          <w:bCs w:val="0"/>
          <w:sz w:val="21"/>
          <w:szCs w:val="21"/>
        </w:rPr>
        <w:t>，完成年限为2025年。由湖南柿竹园有色金属有限责任公司郴州钨制品分公司，河南豫光 金铅股份有限公司，矿冶科技集团有限公司，广西华锡集团股份有限公司等进行编制。</w:t>
      </w:r>
    </w:p>
    <w:p>
      <w:pPr>
        <w:pStyle w:val="20"/>
        <w:spacing w:beforeLines="0" w:afterLines="0" w:line="440" w:lineRule="exact"/>
        <w:outlineLvl w:val="9"/>
        <w:rPr>
          <w:rFonts w:hint="eastAsia" w:hAnsi="黑体" w:cs="黑体"/>
          <w:szCs w:val="21"/>
        </w:rPr>
      </w:pPr>
      <w:r>
        <w:rPr>
          <w:rFonts w:hint="eastAsia" w:hAnsi="黑体" w:cs="黑体"/>
          <w:szCs w:val="21"/>
        </w:rPr>
        <w:t>1.2制定背景</w:t>
      </w:r>
    </w:p>
    <w:p>
      <w:pPr>
        <w:pStyle w:val="3"/>
        <w:keepNext w:val="0"/>
        <w:keepLines w:val="0"/>
        <w:shd w:val="clear" w:color="auto" w:fill="FFFFFF"/>
        <w:wordWrap w:val="0"/>
        <w:spacing w:before="0" w:after="0" w:line="450" w:lineRule="atLeast"/>
        <w:ind w:firstLine="420" w:firstLineChars="200"/>
        <w:rPr>
          <w:rFonts w:hint="eastAsia" w:cs="宋体" w:asciiTheme="minorEastAsia" w:hAnsiTheme="minorEastAsia" w:eastAsiaTheme="minorEastAsia"/>
          <w:bCs w:val="0"/>
          <w:sz w:val="21"/>
          <w:szCs w:val="21"/>
        </w:rPr>
      </w:pPr>
      <w:r>
        <w:rPr>
          <w:rFonts w:hint="eastAsia" w:cs="宋体" w:asciiTheme="minorEastAsia" w:hAnsiTheme="minorEastAsia" w:eastAsiaTheme="minorEastAsia"/>
          <w:bCs w:val="0"/>
          <w:sz w:val="21"/>
          <w:szCs w:val="21"/>
        </w:rPr>
        <w:t>锡用途广泛，主要用于生产马口铁、电镀、腐蚀科学、焊接、材料、锡化工产品及其他冶炼产品。其具有熔点低、展性好、易与许多金属形成合金、并且无毒、耐腐蚀、以及外表美观等特性，所以锡及其合金在工业和人们的日常生活中有着广泛的应用。大规模开采锡矿始于19世纪工业化以后，尤其是20世纪初，随着锡工业的不断发展，锡逐渐成为现代工业不可缺少的关键稀有金属。由于焊接工艺的改进，焊料的用量有所减少，但随着电子工业(包括计算机、电视机和通讯系统)的迅速发展，焊料的用量仍在稳步增长。中国不仅是全球锡资源储备和锡供给的第一大国，同时也是全球锡消费的第一大国。近年来，全球基础锡储量整体呈逐年下降趋势，按照每年开采30万吨计算，全球锡的静态可采年限不到16年。锡资源短缺已经成为全球性的问题，并引起了主要生产国的重视。</w:t>
      </w:r>
    </w:p>
    <w:p>
      <w:pPr>
        <w:pStyle w:val="20"/>
        <w:spacing w:beforeLines="0" w:afterLines="0" w:line="440" w:lineRule="exact"/>
        <w:outlineLvl w:val="9"/>
        <w:rPr>
          <w:rFonts w:hint="eastAsia" w:hAnsi="黑体" w:cs="黑体"/>
          <w:szCs w:val="21"/>
        </w:rPr>
      </w:pPr>
      <w:r>
        <w:rPr>
          <w:rFonts w:hint="eastAsia" w:hAnsi="黑体" w:cs="黑体"/>
          <w:szCs w:val="21"/>
        </w:rPr>
        <w:t>1.2.1目的和意义</w:t>
      </w:r>
    </w:p>
    <w:p>
      <w:pPr>
        <w:pStyle w:val="20"/>
        <w:spacing w:beforeLines="0" w:afterLines="0" w:line="440" w:lineRule="exact"/>
        <w:ind w:firstLine="420" w:firstLineChars="200"/>
        <w:outlineLvl w:val="9"/>
        <w:rPr>
          <w:rFonts w:hint="eastAsia" w:hAnsi="黑体" w:cs="黑体"/>
          <w:szCs w:val="21"/>
        </w:rPr>
      </w:pPr>
      <w:r>
        <w:rPr>
          <w:rFonts w:hint="eastAsia" w:cs="宋体" w:asciiTheme="minorEastAsia" w:hAnsiTheme="minorEastAsia" w:eastAsiaTheme="minorEastAsia"/>
          <w:kern w:val="44"/>
          <w:szCs w:val="21"/>
        </w:rPr>
        <w:t>工业与信息化部印发《有色金属工业发展规划（2016-2020）》及四部委发的《新材料发展指南》中明确要求：提高新材料的技术创新能力，在新材料方面要实现战略崛起，在绿色发展理念中要提高资源的综合利用并实现产业的可持续发展。制定《冶炼副产品氧化锡》是为了解决相关企业在冶炼副产品氧化锡的生产和流通过程中的相应加工、运输、储存、销售、处置等各种需求，为相关企业提供一个符合规范要求的标准依据。如何提高综合利用率，发展循环经济产业，加强矿业秩序整治力度迫在眉睫。</w:t>
      </w:r>
    </w:p>
    <w:p>
      <w:pPr>
        <w:pStyle w:val="20"/>
        <w:spacing w:beforeLines="0" w:afterLines="0" w:line="440" w:lineRule="exact"/>
        <w:outlineLvl w:val="9"/>
        <w:rPr>
          <w:rFonts w:hint="eastAsia" w:hAnsi="黑体" w:cs="黑体"/>
          <w:szCs w:val="21"/>
        </w:rPr>
      </w:pPr>
      <w:r>
        <w:rPr>
          <w:rFonts w:hint="eastAsia" w:hAnsi="黑体" w:cs="黑体"/>
          <w:szCs w:val="21"/>
        </w:rPr>
        <w:t>1.2.2项目的必要性阐述</w:t>
      </w:r>
    </w:p>
    <w:p>
      <w:pPr>
        <w:pStyle w:val="3"/>
        <w:keepNext w:val="0"/>
        <w:keepLines w:val="0"/>
        <w:shd w:val="clear" w:color="auto" w:fill="FFFFFF"/>
        <w:wordWrap w:val="0"/>
        <w:spacing w:before="0" w:after="0" w:line="450" w:lineRule="atLeast"/>
        <w:ind w:firstLine="420" w:firstLineChars="200"/>
        <w:rPr>
          <w:rFonts w:hint="eastAsia" w:cs="宋体" w:asciiTheme="minorEastAsia" w:hAnsiTheme="minorEastAsia" w:eastAsiaTheme="minorEastAsia"/>
          <w:bCs w:val="0"/>
          <w:sz w:val="21"/>
          <w:szCs w:val="21"/>
        </w:rPr>
      </w:pPr>
      <w:r>
        <w:rPr>
          <w:rFonts w:hint="eastAsia" w:cs="宋体" w:asciiTheme="minorEastAsia" w:hAnsiTheme="minorEastAsia" w:eastAsiaTheme="minorEastAsia"/>
          <w:bCs w:val="0"/>
          <w:sz w:val="21"/>
          <w:szCs w:val="21"/>
        </w:rPr>
        <w:t>本标准的制定和实施符合了《中国制造2025》中提出的绿色发展，加强节能技术、工艺、装备推广应用，全面推行清洁生产，也符合《关于加快推进再生资源产业发展的指导意见》规定以产生量大、战略性强、易于回收利用的再生资源品种为重点，分类指导，实行分重点、分品种、分领域的定制化管理。本项目的立项和实施将为国家环保和危险固废的减量化提供技术支撑，维护国家和企业的共同利益，促进国家循环经济以及环保事业的发展。</w:t>
      </w:r>
    </w:p>
    <w:p>
      <w:pPr>
        <w:pStyle w:val="20"/>
        <w:spacing w:beforeLines="0" w:afterLines="0" w:line="440" w:lineRule="exact"/>
        <w:outlineLvl w:val="9"/>
        <w:rPr>
          <w:rFonts w:hint="eastAsia" w:hAnsi="黑体" w:cs="黑体"/>
          <w:szCs w:val="21"/>
        </w:rPr>
      </w:pPr>
      <w:r>
        <w:rPr>
          <w:rFonts w:hint="eastAsia" w:hAnsi="黑体" w:cs="黑体"/>
          <w:szCs w:val="21"/>
        </w:rPr>
        <w:t>1.2.3项目的可行性阐述</w:t>
      </w:r>
    </w:p>
    <w:p>
      <w:pPr>
        <w:pStyle w:val="3"/>
        <w:keepNext w:val="0"/>
        <w:keepLines w:val="0"/>
        <w:shd w:val="clear" w:color="auto" w:fill="FFFFFF"/>
        <w:wordWrap w:val="0"/>
        <w:spacing w:before="0" w:after="0" w:line="450" w:lineRule="atLeast"/>
        <w:ind w:firstLine="420" w:firstLineChars="200"/>
        <w:rPr>
          <w:rFonts w:hint="eastAsia" w:cs="宋体" w:asciiTheme="minorEastAsia" w:hAnsiTheme="minorEastAsia" w:eastAsiaTheme="minorEastAsia"/>
          <w:bCs w:val="0"/>
          <w:sz w:val="21"/>
          <w:szCs w:val="21"/>
        </w:rPr>
      </w:pPr>
      <w:r>
        <w:rPr>
          <w:rFonts w:hint="eastAsia" w:cs="宋体" w:asciiTheme="minorEastAsia" w:hAnsiTheme="minorEastAsia" w:eastAsiaTheme="minorEastAsia"/>
          <w:bCs w:val="0"/>
          <w:sz w:val="21"/>
          <w:szCs w:val="21"/>
        </w:rPr>
        <w:t>冶炼副产品氧化锡是含锡的钨矿冶炼过程重要的副产品，如湖南柿竹园有色金属有限责任公司、江西铁山垅的钨精矿中锡含量达2%以上，经过该生产过程可以将锡元素富集到10%～30%的高含量富集物</w:t>
      </w:r>
      <w:r>
        <w:rPr>
          <w:rFonts w:hint="eastAsia" w:cs="宋体" w:asciiTheme="minorEastAsia" w:hAnsiTheme="minorEastAsia" w:eastAsiaTheme="minorEastAsia"/>
          <w:bCs w:val="0"/>
          <w:sz w:val="21"/>
          <w:szCs w:val="21"/>
          <w:lang w:eastAsia="zh-CN"/>
        </w:rPr>
        <w:t>，钨冶炼行业副产品氧化锡折金属量超</w:t>
      </w:r>
      <w:r>
        <w:rPr>
          <w:rFonts w:hint="eastAsia" w:cs="宋体" w:asciiTheme="minorEastAsia" w:hAnsiTheme="minorEastAsia" w:eastAsiaTheme="minorEastAsia"/>
          <w:bCs w:val="0"/>
          <w:sz w:val="21"/>
          <w:szCs w:val="21"/>
          <w:lang w:val="en-US" w:eastAsia="zh-CN"/>
        </w:rPr>
        <w:t>1000吨/年</w:t>
      </w:r>
      <w:r>
        <w:rPr>
          <w:rFonts w:hint="eastAsia" w:cs="宋体" w:asciiTheme="minorEastAsia" w:hAnsiTheme="minorEastAsia" w:eastAsiaTheme="minorEastAsia"/>
          <w:bCs w:val="0"/>
          <w:sz w:val="21"/>
          <w:szCs w:val="21"/>
        </w:rPr>
        <w:t>。冶炼副产品氧化锡属于对钨精矿锡杂质元素的二次提炼，对其锡杂质的二次提炼无论是经济效益还是锡的有效利用率来说都十分可观，目前此类商品已形成自由市场，一般通过参照锡精矿价格</w:t>
      </w:r>
      <w:r>
        <w:rPr>
          <w:rFonts w:hint="eastAsia" w:cs="宋体" w:asciiTheme="minorEastAsia" w:hAnsiTheme="minorEastAsia" w:eastAsiaTheme="minorEastAsia"/>
          <w:bCs w:val="0"/>
          <w:sz w:val="21"/>
          <w:szCs w:val="21"/>
          <w:lang w:eastAsia="zh-CN"/>
        </w:rPr>
        <w:t>比例</w:t>
      </w:r>
      <w:r>
        <w:rPr>
          <w:rFonts w:hint="eastAsia" w:cs="宋体" w:asciiTheme="minorEastAsia" w:hAnsiTheme="minorEastAsia" w:eastAsiaTheme="minorEastAsia"/>
          <w:bCs w:val="0"/>
          <w:sz w:val="21"/>
          <w:szCs w:val="21"/>
        </w:rPr>
        <w:t>报价，但缺乏相应的产品标准</w:t>
      </w:r>
      <w:r>
        <w:rPr>
          <w:rFonts w:hint="eastAsia" w:cs="宋体" w:asciiTheme="minorEastAsia" w:hAnsiTheme="minorEastAsia" w:eastAsiaTheme="minorEastAsia"/>
          <w:bCs w:val="0"/>
          <w:sz w:val="21"/>
          <w:szCs w:val="21"/>
          <w:lang w:eastAsia="zh-CN"/>
        </w:rPr>
        <w:t>，价格比例波动巨大</w:t>
      </w:r>
      <w:r>
        <w:rPr>
          <w:rFonts w:hint="eastAsia" w:cs="宋体" w:asciiTheme="minorEastAsia" w:hAnsiTheme="minorEastAsia" w:eastAsiaTheme="minorEastAsia"/>
          <w:bCs w:val="0"/>
          <w:sz w:val="21"/>
          <w:szCs w:val="21"/>
        </w:rPr>
        <w:t xml:space="preserve">。 </w:t>
      </w:r>
    </w:p>
    <w:p>
      <w:pPr>
        <w:pStyle w:val="3"/>
        <w:keepNext w:val="0"/>
        <w:keepLines w:val="0"/>
        <w:shd w:val="clear" w:color="auto" w:fill="FFFFFF"/>
        <w:wordWrap w:val="0"/>
        <w:spacing w:before="0" w:after="0" w:line="450" w:lineRule="atLeast"/>
        <w:ind w:firstLine="420" w:firstLineChars="200"/>
        <w:rPr>
          <w:rFonts w:hint="eastAsia" w:cs="宋体" w:asciiTheme="minorEastAsia" w:hAnsiTheme="minorEastAsia" w:eastAsiaTheme="minorEastAsia"/>
          <w:bCs w:val="0"/>
          <w:sz w:val="21"/>
          <w:szCs w:val="21"/>
        </w:rPr>
      </w:pPr>
      <w:r>
        <w:rPr>
          <w:rFonts w:hint="eastAsia" w:cs="宋体" w:asciiTheme="minorEastAsia" w:hAnsiTheme="minorEastAsia" w:eastAsiaTheme="minorEastAsia"/>
          <w:bCs w:val="0"/>
          <w:sz w:val="21"/>
          <w:szCs w:val="21"/>
        </w:rPr>
        <w:t>铅冶炼行业中，在铅电解精炼的生产中使用的粗铅，有一部分锡品位达0.3—0.4%左右，高可达0.6-0.8%的粗铅。锡属于稀贵金属，如果将这部分锡回收，将产生可观的经济效益。国内铅年产量500多万吨，原生铅占比60%左右，能产出富含锡0.8%左右的粗铅18-30万吨将该部分含锡高的粗铅经过火法预精炼除铜后进行氧化除锡，可产出含锡40%左右的</w:t>
      </w:r>
      <w:r>
        <w:rPr>
          <w:rFonts w:hint="eastAsia" w:cs="宋体" w:asciiTheme="minorEastAsia" w:hAnsiTheme="minorEastAsia" w:eastAsiaTheme="minorEastAsia"/>
          <w:bCs w:val="0"/>
          <w:sz w:val="21"/>
          <w:szCs w:val="21"/>
          <w:lang w:eastAsia="zh-CN"/>
        </w:rPr>
        <w:t>铅</w:t>
      </w:r>
      <w:r>
        <w:rPr>
          <w:rFonts w:hint="eastAsia" w:cs="宋体" w:asciiTheme="minorEastAsia" w:hAnsiTheme="minorEastAsia" w:eastAsiaTheme="minorEastAsia"/>
          <w:bCs w:val="0"/>
          <w:sz w:val="21"/>
          <w:szCs w:val="21"/>
        </w:rPr>
        <w:t>冶炼副产品氧化锡，</w:t>
      </w:r>
      <w:r>
        <w:rPr>
          <w:rFonts w:hint="eastAsia" w:cs="宋体" w:asciiTheme="minorEastAsia" w:hAnsiTheme="minorEastAsia" w:eastAsiaTheme="minorEastAsia"/>
          <w:bCs w:val="0"/>
          <w:sz w:val="21"/>
          <w:szCs w:val="21"/>
          <w:lang w:eastAsia="zh-CN"/>
        </w:rPr>
        <w:t>铅冶炼行业副产品氧化锡折金属量超</w:t>
      </w:r>
      <w:r>
        <w:rPr>
          <w:rFonts w:hint="eastAsia" w:cs="宋体" w:asciiTheme="minorEastAsia" w:hAnsiTheme="minorEastAsia" w:eastAsiaTheme="minorEastAsia"/>
          <w:bCs w:val="0"/>
          <w:sz w:val="21"/>
          <w:szCs w:val="21"/>
          <w:lang w:val="en-US" w:eastAsia="zh-CN"/>
        </w:rPr>
        <w:t>1500吨/年</w:t>
      </w:r>
      <w:r>
        <w:rPr>
          <w:rFonts w:hint="eastAsia" w:cs="宋体" w:asciiTheme="minorEastAsia" w:hAnsiTheme="minorEastAsia" w:eastAsiaTheme="minorEastAsia"/>
          <w:bCs w:val="0"/>
          <w:sz w:val="21"/>
          <w:szCs w:val="21"/>
        </w:rPr>
        <w:t>。</w:t>
      </w:r>
    </w:p>
    <w:p>
      <w:pPr>
        <w:pStyle w:val="3"/>
        <w:keepNext w:val="0"/>
        <w:keepLines w:val="0"/>
        <w:shd w:val="clear" w:color="auto" w:fill="FFFFFF"/>
        <w:wordWrap w:val="0"/>
        <w:spacing w:before="0" w:after="0" w:line="450" w:lineRule="atLeast"/>
        <w:ind w:firstLine="420" w:firstLineChars="200"/>
        <w:rPr>
          <w:rFonts w:hint="eastAsia" w:cs="宋体" w:asciiTheme="minorEastAsia" w:hAnsiTheme="minorEastAsia" w:eastAsiaTheme="minorEastAsia"/>
          <w:bCs w:val="0"/>
          <w:sz w:val="21"/>
          <w:szCs w:val="21"/>
        </w:rPr>
      </w:pPr>
      <w:r>
        <w:rPr>
          <w:rFonts w:hint="eastAsia" w:cs="宋体" w:asciiTheme="minorEastAsia" w:hAnsiTheme="minorEastAsia" w:eastAsiaTheme="minorEastAsia"/>
          <w:bCs w:val="0"/>
          <w:sz w:val="21"/>
          <w:szCs w:val="21"/>
        </w:rPr>
        <w:t xml:space="preserve"> 铜冶炼行业中，锡作为铜矿中的伴生元素之一常被分散至铜冶炼烟尘和铜阳极泥中，铜阳极泥经进一步分银处理后得到铜冶炼分银渣，该物料中锡的品位达到1-10%不等，具有较大的回收价值和意义。将分银渣经焙烧转型-浸出-沉锡后可得含锡在30%以上的铜冶炼副产品氧化锡，</w:t>
      </w:r>
      <w:r>
        <w:rPr>
          <w:rFonts w:hint="eastAsia" w:cs="宋体" w:asciiTheme="minorEastAsia" w:hAnsiTheme="minorEastAsia" w:eastAsiaTheme="minorEastAsia"/>
          <w:bCs w:val="0"/>
          <w:sz w:val="21"/>
          <w:szCs w:val="21"/>
          <w:lang w:eastAsia="zh-CN"/>
        </w:rPr>
        <w:t>铜冶炼行业副产品氧化锡折金属量超</w:t>
      </w:r>
      <w:r>
        <w:rPr>
          <w:rFonts w:hint="eastAsia" w:cs="宋体" w:asciiTheme="minorEastAsia" w:hAnsiTheme="minorEastAsia" w:eastAsiaTheme="minorEastAsia"/>
          <w:bCs w:val="0"/>
          <w:sz w:val="21"/>
          <w:szCs w:val="21"/>
          <w:lang w:val="en-US" w:eastAsia="zh-CN"/>
        </w:rPr>
        <w:t>1500吨/年，</w:t>
      </w:r>
      <w:r>
        <w:rPr>
          <w:rFonts w:hint="eastAsia" w:cs="宋体" w:asciiTheme="minorEastAsia" w:hAnsiTheme="minorEastAsia" w:eastAsiaTheme="minorEastAsia"/>
          <w:bCs w:val="0"/>
          <w:sz w:val="21"/>
          <w:szCs w:val="21"/>
        </w:rPr>
        <w:t>同样由于缺乏相应产品标准，该副产品在市场流通过程中同电子、化工等其它行业产出的含锡物料混合在一起，计价混乱。</w:t>
      </w:r>
    </w:p>
    <w:p>
      <w:pPr>
        <w:pStyle w:val="20"/>
        <w:spacing w:beforeLines="0" w:afterLines="0" w:line="440" w:lineRule="exact"/>
        <w:outlineLvl w:val="9"/>
        <w:rPr>
          <w:rFonts w:hint="eastAsia" w:hAnsi="黑体" w:cs="黑体"/>
          <w:szCs w:val="21"/>
        </w:rPr>
      </w:pPr>
      <w:r>
        <w:rPr>
          <w:rFonts w:hint="eastAsia" w:hAnsi="黑体" w:cs="黑体"/>
          <w:szCs w:val="21"/>
        </w:rPr>
        <w:t>1.3主要参加单位和工作成员所作的工作</w:t>
      </w:r>
    </w:p>
    <w:p>
      <w:pPr>
        <w:spacing w:line="520" w:lineRule="exact"/>
        <w:ind w:firstLine="420" w:firstLineChars="200"/>
        <w:rPr>
          <w:rFonts w:ascii="Times New Roman" w:hAnsi="Times New Roman" w:cs="Times New Roman"/>
          <w:color w:val="000000"/>
          <w:kern w:val="0"/>
          <w:szCs w:val="21"/>
        </w:rPr>
      </w:pPr>
      <w:r>
        <w:rPr>
          <w:rFonts w:hint="eastAsia" w:ascii="Times New Roman" w:hAnsi="Times New Roman" w:cs="Times New Roman"/>
          <w:color w:val="000000"/>
          <w:kern w:val="0"/>
          <w:szCs w:val="21"/>
        </w:rPr>
        <w:t>本标准主要起草人及工作职责见表1。</w:t>
      </w:r>
    </w:p>
    <w:p>
      <w:pPr>
        <w:spacing w:before="50" w:after="50" w:line="520" w:lineRule="exact"/>
        <w:ind w:firstLine="360" w:firstLineChars="200"/>
        <w:jc w:val="center"/>
        <w:rPr>
          <w:rFonts w:hint="eastAsia" w:ascii="黑体" w:hAnsi="宋体" w:eastAsia="黑体"/>
          <w:kern w:val="0"/>
          <w:sz w:val="18"/>
          <w:szCs w:val="18"/>
        </w:rPr>
      </w:pPr>
      <w:r>
        <w:rPr>
          <w:rFonts w:hint="eastAsia" w:ascii="黑体" w:hAnsi="宋体" w:eastAsia="黑体"/>
          <w:kern w:val="0"/>
          <w:sz w:val="18"/>
          <w:szCs w:val="18"/>
        </w:rPr>
        <w:t>表1</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22"/>
        <w:gridCol w:w="5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22" w:type="dxa"/>
            <w:vAlign w:val="center"/>
          </w:tcPr>
          <w:p>
            <w:pPr>
              <w:spacing w:line="520" w:lineRule="exact"/>
              <w:jc w:val="center"/>
              <w:rPr>
                <w:rFonts w:hint="eastAsia" w:ascii="宋体" w:hAnsi="宋体" w:cs="Times New Roman"/>
                <w:kern w:val="0"/>
                <w:szCs w:val="21"/>
              </w:rPr>
            </w:pPr>
            <w:r>
              <w:rPr>
                <w:rFonts w:hint="eastAsia" w:ascii="宋体" w:hAnsi="宋体" w:cs="Times New Roman"/>
                <w:kern w:val="0"/>
                <w:szCs w:val="21"/>
              </w:rPr>
              <w:t>起草人</w:t>
            </w:r>
          </w:p>
        </w:tc>
        <w:tc>
          <w:tcPr>
            <w:tcW w:w="5400" w:type="dxa"/>
            <w:vAlign w:val="center"/>
          </w:tcPr>
          <w:p>
            <w:pPr>
              <w:spacing w:line="520" w:lineRule="exact"/>
              <w:jc w:val="center"/>
              <w:rPr>
                <w:rFonts w:hint="eastAsia" w:ascii="宋体" w:hAnsi="宋体" w:eastAsia="宋体" w:cs="Times New Roman"/>
                <w:kern w:val="0"/>
                <w:szCs w:val="21"/>
              </w:rPr>
            </w:pPr>
            <w:r>
              <w:rPr>
                <w:rFonts w:hint="eastAsia" w:ascii="宋体" w:hAnsi="宋体" w:cs="Times New Roman"/>
                <w:kern w:val="0"/>
                <w:szCs w:val="21"/>
              </w:rPr>
              <w:t>工作职责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22" w:type="dxa"/>
            <w:vAlign w:val="center"/>
          </w:tcPr>
          <w:p>
            <w:pPr>
              <w:spacing w:line="520" w:lineRule="exact"/>
              <w:jc w:val="center"/>
              <w:rPr>
                <w:rFonts w:hint="eastAsia" w:ascii="宋体" w:hAnsi="宋体" w:eastAsia="宋体" w:cs="Times New Roman"/>
                <w:kern w:val="0"/>
                <w:szCs w:val="21"/>
              </w:rPr>
            </w:pPr>
            <w:r>
              <w:rPr>
                <w:rFonts w:hint="eastAsia" w:ascii="宋体" w:hAnsi="宋体" w:cs="Times New Roman"/>
                <w:kern w:val="0"/>
                <w:szCs w:val="21"/>
              </w:rPr>
              <w:t>侯贵琼</w:t>
            </w:r>
          </w:p>
        </w:tc>
        <w:tc>
          <w:tcPr>
            <w:tcW w:w="5400" w:type="dxa"/>
            <w:vAlign w:val="center"/>
          </w:tcPr>
          <w:p>
            <w:pPr>
              <w:spacing w:line="520" w:lineRule="exact"/>
              <w:jc w:val="center"/>
              <w:rPr>
                <w:rFonts w:hint="eastAsia" w:ascii="宋体" w:hAnsi="宋体" w:eastAsia="宋体" w:cs="Times New Roman"/>
                <w:kern w:val="0"/>
                <w:szCs w:val="21"/>
              </w:rPr>
            </w:pPr>
            <w:r>
              <w:rPr>
                <w:rFonts w:hint="eastAsia" w:ascii="宋体" w:hAnsi="宋体" w:cs="Times New Roman"/>
                <w:kern w:val="0"/>
                <w:szCs w:val="21"/>
              </w:rPr>
              <w:t>负责方案制定、产品确定、指标确定、以及标准条款编写等工作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122" w:type="dxa"/>
            <w:vAlign w:val="center"/>
          </w:tcPr>
          <w:p>
            <w:pPr>
              <w:spacing w:line="520" w:lineRule="exact"/>
              <w:jc w:val="center"/>
              <w:rPr>
                <w:rFonts w:hint="eastAsia" w:ascii="宋体" w:hAnsi="宋体" w:eastAsia="宋体" w:cs="Times New Roman"/>
                <w:kern w:val="0"/>
                <w:szCs w:val="21"/>
              </w:rPr>
            </w:pPr>
            <w:r>
              <w:rPr>
                <w:rFonts w:hint="eastAsia" w:ascii="宋体" w:hAnsi="宋体" w:cs="Times New Roman"/>
                <w:kern w:val="0"/>
                <w:szCs w:val="21"/>
              </w:rPr>
              <w:t>申志均、李春海、张秋江、李泽、李军</w:t>
            </w:r>
          </w:p>
        </w:tc>
        <w:tc>
          <w:tcPr>
            <w:tcW w:w="5400" w:type="dxa"/>
            <w:vAlign w:val="center"/>
          </w:tcPr>
          <w:p>
            <w:pPr>
              <w:spacing w:line="520" w:lineRule="exact"/>
              <w:jc w:val="center"/>
              <w:rPr>
                <w:rFonts w:hint="eastAsia" w:ascii="宋体" w:hAnsi="宋体" w:eastAsia="宋体" w:cs="Times New Roman"/>
                <w:kern w:val="0"/>
                <w:szCs w:val="21"/>
              </w:rPr>
            </w:pPr>
            <w:r>
              <w:rPr>
                <w:rFonts w:hint="eastAsia" w:ascii="宋体" w:hAnsi="宋体" w:cs="Times New Roman"/>
                <w:kern w:val="0"/>
                <w:szCs w:val="21"/>
              </w:rPr>
              <w:t>负责标准资料收集、使用情况调研、指标确认核对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22" w:type="dxa"/>
            <w:vAlign w:val="center"/>
          </w:tcPr>
          <w:p>
            <w:pPr>
              <w:spacing w:line="520" w:lineRule="exact"/>
              <w:jc w:val="center"/>
              <w:rPr>
                <w:rFonts w:hint="eastAsia" w:ascii="宋体" w:hAnsi="宋体" w:eastAsia="宋体" w:cs="Times New Roman"/>
                <w:kern w:val="0"/>
                <w:szCs w:val="21"/>
              </w:rPr>
            </w:pPr>
            <w:r>
              <w:rPr>
                <w:rFonts w:hint="eastAsia" w:ascii="宋体" w:hAnsi="宋体" w:cs="Times New Roman"/>
                <w:kern w:val="0"/>
                <w:szCs w:val="21"/>
              </w:rPr>
              <w:t>高文谦、王振兴、张碧兰、刘永松、覃祚明、付军浩</w:t>
            </w:r>
          </w:p>
        </w:tc>
        <w:tc>
          <w:tcPr>
            <w:tcW w:w="5400" w:type="dxa"/>
            <w:vAlign w:val="center"/>
          </w:tcPr>
          <w:p>
            <w:pPr>
              <w:spacing w:line="520" w:lineRule="exact"/>
              <w:jc w:val="center"/>
              <w:rPr>
                <w:rFonts w:hint="eastAsia" w:ascii="宋体" w:hAnsi="宋体" w:cs="Times New Roman"/>
                <w:kern w:val="0"/>
                <w:szCs w:val="21"/>
              </w:rPr>
            </w:pPr>
            <w:r>
              <w:rPr>
                <w:rFonts w:hint="eastAsia" w:ascii="宋体" w:hAnsi="宋体"/>
                <w:color w:val="000000"/>
                <w:kern w:val="0"/>
                <w:szCs w:val="21"/>
              </w:rPr>
              <w:t>负责标准文本核对及校正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22" w:type="dxa"/>
            <w:vAlign w:val="center"/>
          </w:tcPr>
          <w:p>
            <w:pPr>
              <w:spacing w:line="520" w:lineRule="exact"/>
              <w:jc w:val="center"/>
              <w:rPr>
                <w:rFonts w:hint="eastAsia" w:ascii="宋体" w:hAnsi="宋体" w:eastAsia="宋体" w:cs="Times New Roman"/>
                <w:kern w:val="0"/>
                <w:szCs w:val="21"/>
              </w:rPr>
            </w:pPr>
          </w:p>
        </w:tc>
        <w:tc>
          <w:tcPr>
            <w:tcW w:w="5400" w:type="dxa"/>
            <w:vAlign w:val="center"/>
          </w:tcPr>
          <w:p>
            <w:pPr>
              <w:widowControl/>
              <w:tabs>
                <w:tab w:val="left" w:pos="567"/>
              </w:tabs>
              <w:spacing w:line="520" w:lineRule="exact"/>
              <w:jc w:val="center"/>
              <w:outlineLvl w:val="2"/>
              <w:rPr>
                <w:rFonts w:hint="eastAsia" w:ascii="宋体" w:hAnsi="宋体" w:cs="Times New Roman"/>
                <w:kern w:val="0"/>
                <w:szCs w:val="21"/>
              </w:rPr>
            </w:pPr>
            <w:r>
              <w:rPr>
                <w:rFonts w:hint="eastAsia" w:ascii="宋体" w:hAnsi="宋体"/>
                <w:kern w:val="0"/>
                <w:szCs w:val="21"/>
              </w:rPr>
              <w:t>提供理论支撑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22" w:type="dxa"/>
            <w:vAlign w:val="center"/>
          </w:tcPr>
          <w:p>
            <w:pPr>
              <w:spacing w:line="520" w:lineRule="exact"/>
              <w:jc w:val="center"/>
              <w:rPr>
                <w:rFonts w:ascii="Times New Roman" w:hAnsi="Times New Roman" w:eastAsia="宋体" w:cs="Times New Roman"/>
                <w:szCs w:val="21"/>
              </w:rPr>
            </w:pPr>
          </w:p>
        </w:tc>
        <w:tc>
          <w:tcPr>
            <w:tcW w:w="5400" w:type="dxa"/>
            <w:vAlign w:val="center"/>
          </w:tcPr>
          <w:p>
            <w:pPr>
              <w:widowControl/>
              <w:tabs>
                <w:tab w:val="left" w:pos="567"/>
              </w:tabs>
              <w:spacing w:line="520" w:lineRule="exact"/>
              <w:jc w:val="center"/>
              <w:outlineLvl w:val="2"/>
              <w:rPr>
                <w:rFonts w:hint="eastAsia" w:ascii="宋体" w:hAnsi="宋体" w:cs="Times New Roman"/>
                <w:kern w:val="0"/>
                <w:szCs w:val="21"/>
              </w:rPr>
            </w:pPr>
            <w:r>
              <w:rPr>
                <w:rFonts w:hint="eastAsia" w:ascii="宋体" w:hAnsi="宋体"/>
                <w:kern w:val="0"/>
                <w:szCs w:val="21"/>
              </w:rPr>
              <w:t>提供技术指导</w:t>
            </w:r>
          </w:p>
        </w:tc>
      </w:tr>
    </w:tbl>
    <w:p>
      <w:pPr>
        <w:pStyle w:val="20"/>
        <w:spacing w:beforeLines="0" w:afterLines="0" w:line="440" w:lineRule="exact"/>
        <w:outlineLvl w:val="9"/>
        <w:rPr>
          <w:rFonts w:hint="eastAsia" w:hAnsi="黑体" w:cs="黑体"/>
          <w:szCs w:val="21"/>
        </w:rPr>
      </w:pPr>
      <w:r>
        <w:rPr>
          <w:rFonts w:hint="eastAsia" w:hAnsi="黑体" w:cs="黑体"/>
          <w:szCs w:val="21"/>
        </w:rPr>
        <w:t>1.4 起草过程</w:t>
      </w:r>
    </w:p>
    <w:p>
      <w:pPr>
        <w:pStyle w:val="20"/>
        <w:spacing w:beforeLines="0" w:afterLines="0" w:line="440" w:lineRule="exact"/>
        <w:outlineLvl w:val="9"/>
        <w:rPr>
          <w:rFonts w:hint="eastAsia" w:hAnsi="黑体" w:cs="黑体"/>
          <w:szCs w:val="21"/>
        </w:rPr>
      </w:pPr>
      <w:r>
        <w:rPr>
          <w:rFonts w:hint="eastAsia" w:hAnsi="黑体" w:cs="黑体"/>
          <w:szCs w:val="21"/>
        </w:rPr>
        <w:t>1.4.1预研阶段</w:t>
      </w:r>
    </w:p>
    <w:p>
      <w:pPr>
        <w:pStyle w:val="3"/>
        <w:keepNext w:val="0"/>
        <w:keepLines w:val="0"/>
        <w:shd w:val="clear" w:color="auto" w:fill="FFFFFF"/>
        <w:wordWrap w:val="0"/>
        <w:spacing w:before="0" w:after="0" w:line="450" w:lineRule="atLeast"/>
        <w:ind w:firstLine="420" w:firstLineChars="200"/>
        <w:rPr>
          <w:rFonts w:hint="eastAsia" w:hAnsi="黑体" w:cs="黑体"/>
          <w:szCs w:val="21"/>
        </w:rPr>
      </w:pPr>
      <w:r>
        <w:rPr>
          <w:rFonts w:hint="eastAsia" w:cs="宋体" w:asciiTheme="minorEastAsia" w:hAnsiTheme="minorEastAsia" w:eastAsiaTheme="minorEastAsia"/>
          <w:bCs w:val="0"/>
          <w:sz w:val="21"/>
          <w:szCs w:val="21"/>
        </w:rPr>
        <w:t>2022年6月，湖南柿竹园有色金属有限责任公司郴州钨制品分公司以电话咨询方式，分别向河南豫光金铅股份有限公司、广西华锡集团股份有限公司、云南锡业股份有限公司等十多家用户单位进行交流调研。根据调研情况，整理并编制形成了《冶炼副产品氧化锡》标准项目建议书、标准草案及标准立项说明等材料。</w:t>
      </w:r>
    </w:p>
    <w:p>
      <w:pPr>
        <w:pStyle w:val="20"/>
        <w:spacing w:beforeLines="0" w:afterLines="0" w:line="440" w:lineRule="exact"/>
        <w:outlineLvl w:val="9"/>
        <w:rPr>
          <w:rFonts w:hint="eastAsia" w:hAnsi="黑体" w:cs="黑体"/>
          <w:szCs w:val="21"/>
        </w:rPr>
      </w:pPr>
      <w:r>
        <w:rPr>
          <w:rFonts w:hint="eastAsia" w:hAnsi="黑体" w:cs="黑体"/>
          <w:szCs w:val="21"/>
        </w:rPr>
        <w:t>1.4.2标准立项</w:t>
      </w:r>
    </w:p>
    <w:p>
      <w:pPr>
        <w:pStyle w:val="3"/>
        <w:keepNext w:val="0"/>
        <w:keepLines w:val="0"/>
        <w:shd w:val="clear" w:color="auto" w:fill="FFFFFF"/>
        <w:wordWrap w:val="0"/>
        <w:spacing w:before="0" w:after="0" w:line="450" w:lineRule="atLeast"/>
        <w:ind w:firstLine="420" w:firstLineChars="200"/>
        <w:rPr>
          <w:rFonts w:hint="eastAsia" w:cs="宋体" w:asciiTheme="minorEastAsia" w:hAnsiTheme="minorEastAsia" w:eastAsiaTheme="minorEastAsia"/>
          <w:bCs w:val="0"/>
          <w:sz w:val="21"/>
          <w:szCs w:val="21"/>
        </w:rPr>
      </w:pPr>
      <w:r>
        <w:rPr>
          <w:rFonts w:hint="eastAsia" w:cs="宋体" w:asciiTheme="minorEastAsia" w:hAnsiTheme="minorEastAsia" w:eastAsiaTheme="minorEastAsia"/>
          <w:bCs w:val="0"/>
          <w:sz w:val="21"/>
          <w:szCs w:val="21"/>
        </w:rPr>
        <w:t xml:space="preserve"> 2022年9月，湖南柿竹园有色金属有限责任公司郴州钨制品分公司向国家有色重金属分标委提交了《冶炼副产品氧化锡》的标准项目建议书、标准草案及标准立项说明等材料，全体委员会议论证结论为同意行业标准立项。</w:t>
      </w:r>
    </w:p>
    <w:p>
      <w:pPr>
        <w:pStyle w:val="3"/>
        <w:keepNext w:val="0"/>
        <w:keepLines w:val="0"/>
        <w:shd w:val="clear" w:color="auto" w:fill="FFFFFF"/>
        <w:wordWrap w:val="0"/>
        <w:spacing w:before="0" w:after="0" w:line="450" w:lineRule="atLeast"/>
        <w:ind w:firstLine="420" w:firstLineChars="200"/>
        <w:rPr>
          <w:rFonts w:hint="eastAsia" w:ascii="宋体" w:hAnsi="宋体" w:eastAsia="宋体" w:cs="宋体"/>
          <w:szCs w:val="21"/>
        </w:rPr>
      </w:pPr>
      <w:r>
        <w:rPr>
          <w:rFonts w:hint="eastAsia" w:cs="宋体" w:asciiTheme="minorEastAsia" w:hAnsiTheme="minorEastAsia" w:eastAsiaTheme="minorEastAsia"/>
          <w:bCs w:val="0"/>
          <w:sz w:val="21"/>
          <w:szCs w:val="21"/>
        </w:rPr>
        <w:t>2024年9月14日，工业和信息化部办公厅《工业和信息化部办公厅关于印发2024年第四批行业标准制修订计划的通知》（工信厅科函﹝2024﹞352号），行业标准《冶炼副产品氧化锡》编制项目由全国有色金属标准化技术委员会归口，计划编号：</w:t>
      </w:r>
      <w:r>
        <w:fldChar w:fldCharType="begin"/>
      </w:r>
      <w:r>
        <w:instrText xml:space="preserve"> HYPERLINK "http://219.239.107.155:8080/TaskBook.aspx?id=YSCPZT07142020" </w:instrText>
      </w:r>
      <w:r>
        <w:fldChar w:fldCharType="separate"/>
      </w:r>
      <w:r>
        <w:rPr>
          <w:rFonts w:hint="eastAsia" w:cs="宋体" w:asciiTheme="minorEastAsia" w:hAnsiTheme="minorEastAsia" w:eastAsiaTheme="minorEastAsia"/>
          <w:bCs w:val="0"/>
          <w:sz w:val="21"/>
          <w:szCs w:val="21"/>
        </w:rPr>
        <w:t>2024-1226T-YS</w:t>
      </w:r>
      <w:r>
        <w:rPr>
          <w:rFonts w:hint="eastAsia" w:cs="宋体" w:asciiTheme="minorEastAsia" w:hAnsiTheme="minorEastAsia" w:eastAsiaTheme="minorEastAsia"/>
          <w:bCs w:val="0"/>
          <w:sz w:val="21"/>
          <w:szCs w:val="21"/>
        </w:rPr>
        <w:fldChar w:fldCharType="end"/>
      </w:r>
      <w:r>
        <w:rPr>
          <w:rFonts w:hint="eastAsia" w:cs="宋体" w:asciiTheme="minorEastAsia" w:hAnsiTheme="minorEastAsia" w:eastAsiaTheme="minorEastAsia"/>
          <w:bCs w:val="0"/>
          <w:sz w:val="21"/>
          <w:szCs w:val="21"/>
        </w:rPr>
        <w:t>，完成年限为2025年。由湖南柿竹园有色金属有限责任公司郴州钨制品分公司，河南豫光 金铅股份有限公司，矿冶科技集团有限公司，广西华锡集团股份有限公司等进行编制。</w:t>
      </w:r>
    </w:p>
    <w:p>
      <w:pPr>
        <w:pStyle w:val="20"/>
        <w:spacing w:beforeLines="0" w:afterLines="0" w:line="440" w:lineRule="exact"/>
        <w:outlineLvl w:val="9"/>
        <w:rPr>
          <w:rFonts w:hint="eastAsia" w:hAnsi="黑体" w:cs="黑体"/>
          <w:szCs w:val="21"/>
        </w:rPr>
      </w:pPr>
      <w:r>
        <w:rPr>
          <w:rFonts w:hint="eastAsia" w:hAnsi="黑体" w:cs="黑体"/>
          <w:szCs w:val="21"/>
        </w:rPr>
        <w:t>1.4.3起草阶段</w:t>
      </w:r>
    </w:p>
    <w:p>
      <w:pPr>
        <w:pStyle w:val="28"/>
        <w:spacing w:beforeLines="0" w:afterLines="0" w:line="520" w:lineRule="exact"/>
        <w:ind w:firstLine="420" w:firstLineChars="200"/>
        <w:rPr>
          <w:rFonts w:ascii="Times New Roman"/>
          <w:color w:val="000000"/>
          <w:szCs w:val="21"/>
        </w:rPr>
      </w:pPr>
      <w:r>
        <w:rPr>
          <w:rFonts w:hint="eastAsia" w:ascii="宋体" w:hAnsi="宋体" w:eastAsia="宋体" w:cs="宋体"/>
          <w:szCs w:val="21"/>
        </w:rPr>
        <w:t>本标准为新制定标准，在起草阶段进行了大量的数据收集，同时兼顾全国锡冶炼生产厂家的现状。</w:t>
      </w:r>
    </w:p>
    <w:p>
      <w:pPr>
        <w:spacing w:line="520" w:lineRule="exact"/>
        <w:ind w:firstLine="480" w:firstLineChars="200"/>
        <w:rPr>
          <w:rFonts w:ascii="Times New Roman" w:hAnsi="Times New Roman" w:cs="Times New Roman"/>
          <w:color w:val="000000"/>
          <w:kern w:val="0"/>
          <w:szCs w:val="21"/>
        </w:rPr>
      </w:pPr>
      <w:r>
        <w:rPr>
          <w:rFonts w:hint="eastAsia" w:ascii="宋体" w:hAnsi="宋体"/>
          <w:color w:val="000000"/>
          <w:kern w:val="0"/>
          <w:sz w:val="24"/>
        </w:rPr>
        <w:t>1）</w:t>
      </w:r>
      <w:r>
        <w:rPr>
          <w:rFonts w:hint="eastAsia" w:ascii="宋体" w:hAnsi="宋体" w:cs="宋体"/>
          <w:color w:val="000000"/>
          <w:kern w:val="0"/>
          <w:szCs w:val="21"/>
        </w:rPr>
        <w:t>2024</w:t>
      </w:r>
      <w:r>
        <w:rPr>
          <w:rFonts w:hint="eastAsia" w:ascii="Times New Roman" w:hAnsi="Times New Roman" w:cs="Times New Roman"/>
          <w:color w:val="000000"/>
          <w:kern w:val="0"/>
          <w:szCs w:val="21"/>
        </w:rPr>
        <w:t>年9月，</w:t>
      </w:r>
      <w:r>
        <w:rPr>
          <w:rFonts w:hint="eastAsia" w:ascii="宋体" w:hAnsi="宋体" w:cs="宋体"/>
          <w:color w:val="000000"/>
          <w:kern w:val="0"/>
          <w:szCs w:val="21"/>
        </w:rPr>
        <w:t>全国重金属分标准化技术委员会传达《关于转发2024年第四批有色金属国家标准及相关标准外文版、行业标准（修）订项目计划并征集起草单位的通知》</w:t>
      </w:r>
      <w:r>
        <w:rPr>
          <w:rFonts w:hint="eastAsia" w:ascii="Times New Roman" w:hAnsi="Times New Roman" w:cs="Times New Roman"/>
          <w:color w:val="000000"/>
          <w:kern w:val="0"/>
          <w:szCs w:val="21"/>
        </w:rPr>
        <w:t>，经过任务落实，《冶炼副产品氧化锡》行业标准</w:t>
      </w:r>
      <w:r>
        <w:rPr>
          <w:rFonts w:hint="eastAsia" w:cs="Times New Roman"/>
          <w:color w:val="000000"/>
          <w:kern w:val="0"/>
          <w:szCs w:val="21"/>
        </w:rPr>
        <w:t>起草与参与单位为</w:t>
      </w:r>
      <w:r>
        <w:rPr>
          <w:rFonts w:hint="eastAsia" w:ascii="Times New Roman" w:hAnsi="Times New Roman" w:cs="Times New Roman"/>
          <w:color w:val="000000"/>
          <w:kern w:val="0"/>
          <w:szCs w:val="21"/>
        </w:rPr>
        <w:t>湖南柿竹园有色金属有限责任公司郴州钨制品分公司</w:t>
      </w:r>
      <w:r>
        <w:rPr>
          <w:rFonts w:hint="eastAsia" w:cs="Times New Roman"/>
          <w:color w:val="000000"/>
          <w:kern w:val="0"/>
          <w:szCs w:val="21"/>
        </w:rPr>
        <w:t>、</w:t>
      </w:r>
      <w:r>
        <w:rPr>
          <w:rFonts w:hint="eastAsia" w:cs="宋体" w:asciiTheme="minorEastAsia" w:hAnsiTheme="minorEastAsia"/>
          <w:kern w:val="44"/>
          <w:szCs w:val="21"/>
        </w:rPr>
        <w:t>河南豫光金铅股份有限公司，矿冶科技集团有限公司，广西华锡集团股份有限公司</w:t>
      </w:r>
      <w:r>
        <w:rPr>
          <w:rFonts w:hint="eastAsia" w:cs="Times New Roman"/>
          <w:color w:val="000000"/>
          <w:kern w:val="0"/>
          <w:szCs w:val="21"/>
        </w:rPr>
        <w:t>等</w:t>
      </w:r>
      <w:r>
        <w:rPr>
          <w:rFonts w:hint="eastAsia" w:ascii="Times New Roman" w:hAnsi="Times New Roman" w:cs="Times New Roman"/>
          <w:color w:val="000000"/>
          <w:kern w:val="0"/>
          <w:szCs w:val="21"/>
        </w:rPr>
        <w:t>。</w:t>
      </w:r>
    </w:p>
    <w:p>
      <w:pPr>
        <w:spacing w:line="520" w:lineRule="exact"/>
        <w:ind w:firstLine="480" w:firstLineChars="200"/>
        <w:rPr>
          <w:rFonts w:ascii="Times New Roman" w:hAnsi="Times New Roman" w:cs="Times New Roman"/>
          <w:color w:val="000000"/>
          <w:kern w:val="0"/>
          <w:szCs w:val="21"/>
        </w:rPr>
      </w:pPr>
      <w:r>
        <w:rPr>
          <w:rFonts w:hint="eastAsia" w:ascii="宋体" w:hAnsi="宋体"/>
          <w:color w:val="000000"/>
          <w:kern w:val="0"/>
          <w:sz w:val="24"/>
        </w:rPr>
        <w:t>2）</w:t>
      </w:r>
      <w:r>
        <w:rPr>
          <w:rFonts w:hint="eastAsia" w:ascii="宋体" w:hAnsi="宋体" w:cs="宋体"/>
          <w:color w:val="000000"/>
          <w:kern w:val="0"/>
          <w:szCs w:val="21"/>
        </w:rPr>
        <w:t>2024年9月30日，</w:t>
      </w:r>
      <w:r>
        <w:rPr>
          <w:rFonts w:hint="eastAsia" w:ascii="Times New Roman" w:hAnsi="Times New Roman" w:cs="Times New Roman"/>
          <w:color w:val="000000"/>
          <w:kern w:val="0"/>
          <w:szCs w:val="21"/>
        </w:rPr>
        <w:t>组建《冶炼副产品氧化锡》起草小组，确定了各成员的工作职能和任务，制定了工作计划和进度安排。</w:t>
      </w:r>
    </w:p>
    <w:p>
      <w:pPr>
        <w:spacing w:line="520" w:lineRule="exact"/>
        <w:ind w:firstLine="480" w:firstLineChars="200"/>
        <w:rPr>
          <w:rFonts w:hint="eastAsia" w:asciiTheme="minorEastAsia" w:hAnsiTheme="minorEastAsia"/>
          <w:bCs/>
          <w:szCs w:val="21"/>
          <w:highlight w:val="yellow"/>
        </w:rPr>
      </w:pPr>
      <w:r>
        <w:rPr>
          <w:rFonts w:hint="eastAsia" w:ascii="宋体" w:hAnsi="宋体"/>
          <w:color w:val="000000"/>
          <w:kern w:val="0"/>
          <w:sz w:val="24"/>
        </w:rPr>
        <w:t>3）</w:t>
      </w:r>
      <w:r>
        <w:rPr>
          <w:rFonts w:hint="eastAsia" w:ascii="宋体" w:hAnsi="宋体" w:cs="宋体"/>
          <w:color w:val="000000"/>
          <w:kern w:val="0"/>
          <w:szCs w:val="21"/>
        </w:rPr>
        <w:t>2024年10月</w:t>
      </w:r>
      <w:r>
        <w:rPr>
          <w:rFonts w:hint="eastAsia" w:ascii="Times New Roman" w:hAnsi="Times New Roman" w:cs="Times New Roman"/>
          <w:color w:val="000000"/>
          <w:kern w:val="0"/>
          <w:szCs w:val="21"/>
        </w:rPr>
        <w:t>，经与上下游企业的交流，</w:t>
      </w:r>
      <w:r>
        <w:rPr>
          <w:rFonts w:hint="eastAsia" w:cs="Times New Roman"/>
          <w:color w:val="000000"/>
          <w:kern w:val="0"/>
          <w:szCs w:val="21"/>
        </w:rPr>
        <w:t>收集市场需求、检验数据，</w:t>
      </w:r>
      <w:r>
        <w:rPr>
          <w:rFonts w:hint="eastAsia" w:ascii="宋体" w:hAnsi="宋体" w:eastAsia="宋体" w:cs="宋体"/>
          <w:szCs w:val="21"/>
        </w:rPr>
        <w:t>由本标准的编制单位湖南柿竹园有色金属有限责任公司郴州钨制品分公司与编制单位根据收集的资料、调研结果进行了建议汇总处理，</w:t>
      </w:r>
      <w:r>
        <w:rPr>
          <w:rFonts w:hint="eastAsia" w:cs="Times New Roman"/>
          <w:color w:val="000000"/>
          <w:kern w:val="0"/>
          <w:szCs w:val="21"/>
        </w:rPr>
        <w:t>形成行业标准</w:t>
      </w:r>
      <w:r>
        <w:rPr>
          <w:rFonts w:hint="eastAsia" w:ascii="Times New Roman" w:hAnsi="Times New Roman" w:cs="Times New Roman"/>
          <w:color w:val="000000"/>
          <w:kern w:val="0"/>
          <w:szCs w:val="21"/>
        </w:rPr>
        <w:t>《冶炼副产品氧化锡》</w:t>
      </w:r>
      <w:r>
        <w:rPr>
          <w:rFonts w:hint="eastAsia"/>
          <w:color w:val="000000"/>
          <w:szCs w:val="21"/>
        </w:rPr>
        <w:t>（</w:t>
      </w:r>
      <w:r>
        <w:rPr>
          <w:rFonts w:hint="eastAsia" w:cs="Times New Roman"/>
          <w:color w:val="000000"/>
          <w:kern w:val="0"/>
          <w:szCs w:val="21"/>
        </w:rPr>
        <w:t>草案</w:t>
      </w:r>
      <w:r>
        <w:rPr>
          <w:rFonts w:hint="eastAsia"/>
          <w:color w:val="000000"/>
          <w:szCs w:val="21"/>
        </w:rPr>
        <w:t>）</w:t>
      </w:r>
      <w:r>
        <w:rPr>
          <w:rFonts w:hint="eastAsia" w:cs="Times New Roman"/>
          <w:color w:val="000000"/>
          <w:kern w:val="0"/>
          <w:szCs w:val="21"/>
        </w:rPr>
        <w:t>并撰写编制说明。</w:t>
      </w:r>
    </w:p>
    <w:p>
      <w:pPr>
        <w:pStyle w:val="5"/>
        <w:rPr>
          <w:rFonts w:hint="eastAsia" w:ascii="黑体" w:hAnsi="黑体" w:eastAsia="黑体" w:cs="黑体"/>
          <w:kern w:val="0"/>
          <w:szCs w:val="21"/>
        </w:rPr>
      </w:pPr>
      <w:r>
        <w:rPr>
          <w:rFonts w:hint="eastAsia" w:ascii="黑体" w:hAnsi="黑体" w:eastAsia="黑体" w:cs="黑体"/>
          <w:kern w:val="0"/>
          <w:szCs w:val="21"/>
        </w:rPr>
        <w:t>1.4.4征求意见阶段</w:t>
      </w:r>
    </w:p>
    <w:p>
      <w:pPr>
        <w:spacing w:line="520" w:lineRule="exact"/>
        <w:ind w:firstLine="420" w:firstLineChars="200"/>
        <w:rPr>
          <w:rFonts w:ascii="Times New Roman" w:hAnsi="Times New Roman" w:eastAsia="宋体" w:cs="Times New Roman"/>
          <w:color w:val="000000"/>
          <w:kern w:val="0"/>
          <w:szCs w:val="21"/>
        </w:rPr>
      </w:pPr>
      <w:r>
        <w:rPr>
          <w:rFonts w:hint="eastAsia" w:ascii="宋体" w:hAnsi="宋体" w:cs="宋体"/>
          <w:color w:val="000000"/>
          <w:kern w:val="0"/>
          <w:szCs w:val="21"/>
        </w:rPr>
        <w:t>2024</w:t>
      </w:r>
      <w:r>
        <w:rPr>
          <w:rFonts w:hint="eastAsia" w:ascii="Times New Roman" w:hAnsi="Times New Roman" w:cs="Times New Roman"/>
          <w:color w:val="000000"/>
          <w:kern w:val="0"/>
          <w:szCs w:val="21"/>
        </w:rPr>
        <w:t>年11月21日，由</w:t>
      </w:r>
      <w:r>
        <w:rPr>
          <w:rFonts w:hint="eastAsia" w:ascii="宋体" w:hAnsi="宋体" w:cs="宋体"/>
          <w:color w:val="000000"/>
          <w:kern w:val="0"/>
          <w:szCs w:val="21"/>
        </w:rPr>
        <w:t>全国有色金属标准化技术委员会组织，在海口召开标准讨论会，会上各位专家对《冶炼副产品氧化锡》（草</w:t>
      </w:r>
      <w:r>
        <w:rPr>
          <w:rFonts w:hint="eastAsia" w:cs="Times New Roman"/>
          <w:color w:val="000000"/>
          <w:kern w:val="0"/>
          <w:szCs w:val="21"/>
        </w:rPr>
        <w:t>案</w:t>
      </w:r>
      <w:r>
        <w:rPr>
          <w:rFonts w:hint="eastAsia"/>
          <w:color w:val="000000"/>
          <w:kern w:val="0"/>
          <w:szCs w:val="21"/>
        </w:rPr>
        <w:t>）进行了讨论，来自江西铜业</w:t>
      </w:r>
      <w:r>
        <w:rPr>
          <w:rFonts w:hint="eastAsia" w:ascii="Times New Roman" w:hAnsi="Times New Roman" w:cs="Times New Roman"/>
          <w:color w:val="000000"/>
          <w:kern w:val="0"/>
          <w:szCs w:val="21"/>
        </w:rPr>
        <w:t>等39家</w:t>
      </w:r>
      <w:r>
        <w:rPr>
          <w:rFonts w:hint="eastAsia" w:ascii="Times New Roman" w:hAnsi="Times New Roman" w:eastAsia="宋体" w:cs="Times New Roman"/>
          <w:color w:val="000000"/>
          <w:kern w:val="0"/>
          <w:szCs w:val="21"/>
        </w:rPr>
        <w:t>单位的80余名专家代表对本标准文本积极提出宝贵意见。海口会议结束之后，标准编制组根据讨论结果，对讨论稿进行修改完善，形成了行业标准《冶炼副产品氧化锡》（征求意见稿）。</w:t>
      </w:r>
    </w:p>
    <w:p>
      <w:pPr>
        <w:spacing w:line="520" w:lineRule="exact"/>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征求意见稿发送（包括工作会议发送和函送、电话、微信等）的单位（需阐述发放单位总数、回函情况及其中的用户、科研、其他单位所占比例）。详细内容见《标准征求意见稿意见处理汇总表》。</w:t>
      </w:r>
    </w:p>
    <w:p>
      <w:pPr>
        <w:spacing w:line="520" w:lineRule="exact"/>
        <w:ind w:firstLine="420" w:firstLineChars="200"/>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2025年5月15日，由</w:t>
      </w:r>
      <w:r>
        <w:rPr>
          <w:rFonts w:hint="eastAsia" w:ascii="宋体" w:hAnsi="宋体" w:cs="宋体"/>
          <w:color w:val="000000"/>
          <w:kern w:val="0"/>
          <w:szCs w:val="21"/>
        </w:rPr>
        <w:t>全国有色金属标准化技术委员会组织，在运城召开《冶炼副产品氧化锡》标准预审会，</w:t>
      </w:r>
      <w:r>
        <w:rPr>
          <w:rFonts w:hint="eastAsia" w:ascii="Times New Roman" w:hAnsi="Times New Roman" w:eastAsia="宋体" w:cs="Times New Roman"/>
          <w:color w:val="000000"/>
          <w:kern w:val="0"/>
          <w:szCs w:val="21"/>
        </w:rPr>
        <w:t>来自江西铜业股份有限公司等28</w:t>
      </w:r>
      <w:r>
        <w:rPr>
          <w:rFonts w:hint="eastAsia" w:ascii="Times New Roman" w:hAnsi="Times New Roman" w:cs="Times New Roman"/>
          <w:color w:val="000000"/>
          <w:kern w:val="0"/>
          <w:szCs w:val="21"/>
        </w:rPr>
        <w:t>家</w:t>
      </w:r>
      <w:r>
        <w:rPr>
          <w:rFonts w:hint="eastAsia" w:ascii="Times New Roman" w:hAnsi="Times New Roman" w:eastAsia="宋体" w:cs="Times New Roman"/>
          <w:color w:val="000000"/>
          <w:kern w:val="0"/>
          <w:szCs w:val="21"/>
        </w:rPr>
        <w:t>单位的42名专家代表参加了会议。与会专家及企业代表对</w:t>
      </w:r>
      <w:r>
        <w:rPr>
          <w:rFonts w:hint="eastAsia" w:ascii="宋体" w:hAnsi="宋体" w:cs="宋体"/>
          <w:color w:val="000000"/>
          <w:kern w:val="0"/>
          <w:szCs w:val="21"/>
        </w:rPr>
        <w:t>《冶炼副产品氧化锡》预审稿进行了认真研究和讨论，提出了修改意见。</w:t>
      </w:r>
      <w:r>
        <w:rPr>
          <w:rFonts w:hint="eastAsia" w:ascii="Times New Roman" w:hAnsi="Times New Roman" w:eastAsia="宋体" w:cs="Times New Roman"/>
          <w:color w:val="000000"/>
          <w:kern w:val="0"/>
          <w:szCs w:val="21"/>
        </w:rPr>
        <w:t>会后标准编制小组根据会议内容对标准预审稿进行了修改，形成了标准送审稿。</w:t>
      </w:r>
    </w:p>
    <w:p>
      <w:pPr>
        <w:pStyle w:val="5"/>
        <w:rPr>
          <w:rFonts w:hint="eastAsia" w:ascii="黑体" w:hAnsi="黑体" w:eastAsia="黑体" w:cs="黑体"/>
          <w:kern w:val="0"/>
          <w:szCs w:val="21"/>
        </w:rPr>
      </w:pPr>
      <w:r>
        <w:rPr>
          <w:rFonts w:hint="eastAsia" w:ascii="黑体" w:hAnsi="黑体" w:eastAsia="黑体" w:cs="黑体"/>
          <w:kern w:val="0"/>
          <w:szCs w:val="21"/>
        </w:rPr>
        <w:t>1.4.5审查阶段</w:t>
      </w:r>
    </w:p>
    <w:p>
      <w:pPr>
        <w:pStyle w:val="5"/>
        <w:rPr>
          <w:rFonts w:hint="eastAsia" w:ascii="黑体" w:hAnsi="黑体" w:eastAsia="黑体" w:cs="黑体"/>
          <w:kern w:val="0"/>
          <w:szCs w:val="21"/>
        </w:rPr>
      </w:pPr>
      <w:r>
        <w:rPr>
          <w:rFonts w:hint="eastAsia" w:ascii="黑体" w:hAnsi="黑体" w:eastAsia="黑体" w:cs="黑体"/>
          <w:kern w:val="0"/>
          <w:szCs w:val="21"/>
        </w:rPr>
        <w:t>1.4.6报批阶段</w:t>
      </w:r>
    </w:p>
    <w:p>
      <w:pPr>
        <w:pStyle w:val="12"/>
        <w:spacing w:before="0" w:beforeAutospacing="0" w:after="0" w:afterAutospacing="0" w:line="440" w:lineRule="exact"/>
        <w:jc w:val="both"/>
        <w:rPr>
          <w:rFonts w:hint="eastAsia" w:ascii="黑体" w:eastAsia="黑体" w:cs="Arial"/>
          <w:sz w:val="21"/>
          <w:szCs w:val="21"/>
        </w:rPr>
      </w:pPr>
      <w:r>
        <w:rPr>
          <w:rFonts w:hint="eastAsia" w:ascii="黑体" w:eastAsia="黑体" w:cs="Arial"/>
          <w:sz w:val="21"/>
          <w:szCs w:val="21"/>
        </w:rPr>
        <w:t>二、编制原则</w:t>
      </w:r>
    </w:p>
    <w:p>
      <w:pPr>
        <w:spacing w:line="520" w:lineRule="exact"/>
        <w:rPr>
          <w:rFonts w:cs="Times New Roman"/>
          <w:color w:val="000000"/>
          <w:kern w:val="0"/>
          <w:szCs w:val="21"/>
        </w:rPr>
      </w:pPr>
      <w:r>
        <w:rPr>
          <w:rFonts w:hint="eastAsia" w:ascii="黑体" w:hAnsi="黑体" w:eastAsia="黑体" w:cs="黑体"/>
          <w:kern w:val="0"/>
          <w:szCs w:val="21"/>
        </w:rPr>
        <w:t>2.1 符合性：</w:t>
      </w:r>
      <w:r>
        <w:rPr>
          <w:rFonts w:hint="eastAsia" w:cs="Times New Roman"/>
          <w:color w:val="000000"/>
          <w:kern w:val="0"/>
          <w:szCs w:val="21"/>
        </w:rPr>
        <w:t>本文件按照GB/T 1.1—2020《标准化工原则  第1部分：标准化文件的结构和起草规则》给出的规则起草。</w:t>
      </w:r>
    </w:p>
    <w:p>
      <w:pPr>
        <w:spacing w:line="520" w:lineRule="exact"/>
        <w:rPr>
          <w:rFonts w:cs="Times New Roman"/>
          <w:color w:val="000000"/>
          <w:kern w:val="0"/>
          <w:szCs w:val="21"/>
        </w:rPr>
      </w:pPr>
      <w:r>
        <w:rPr>
          <w:rFonts w:hint="eastAsia" w:ascii="黑体" w:hAnsi="黑体" w:eastAsia="黑体" w:cs="黑体"/>
          <w:kern w:val="0"/>
          <w:szCs w:val="21"/>
        </w:rPr>
        <w:t>2.2 合理性：</w:t>
      </w:r>
      <w:r>
        <w:rPr>
          <w:rFonts w:hint="eastAsia" w:cs="Times New Roman"/>
          <w:color w:val="000000"/>
          <w:kern w:val="0"/>
          <w:szCs w:val="21"/>
        </w:rPr>
        <w:t>本标准修订后应反映和体现当前国内钨冶炼和铅冶炼副产品氧化锡的生产水平，便于生产单位使用该标准安排组织生产，并且符合市场应用需求，具有指导作用，通过规定冶炼副产品氧化锡的质量验收内容，避免低劣产品挤占优秀产品生产空间，促进行业健康发展，实现对现有资源的合理配置。</w:t>
      </w:r>
    </w:p>
    <w:p>
      <w:pPr>
        <w:spacing w:line="520" w:lineRule="exact"/>
        <w:rPr>
          <w:rFonts w:cs="Times New Roman"/>
          <w:color w:val="000000"/>
          <w:kern w:val="0"/>
          <w:szCs w:val="21"/>
        </w:rPr>
      </w:pPr>
      <w:r>
        <w:rPr>
          <w:rFonts w:hint="eastAsia" w:ascii="黑体" w:hAnsi="黑体" w:eastAsia="黑体" w:cs="黑体"/>
          <w:kern w:val="0"/>
          <w:szCs w:val="21"/>
        </w:rPr>
        <w:t>2.3 先进性：</w:t>
      </w:r>
      <w:r>
        <w:rPr>
          <w:rFonts w:hint="eastAsia" w:cs="Times New Roman"/>
          <w:color w:val="000000"/>
          <w:kern w:val="0"/>
          <w:szCs w:val="21"/>
        </w:rPr>
        <w:t>本文件的制定。填补了现有锡冶炼原料市场的需求，符合国家规范再生资源利用及提高资综合利用并实现产业的可持续发展的要求。本文件涉及的内容，技术水平不低于当前国内先进水平。</w:t>
      </w:r>
    </w:p>
    <w:p>
      <w:pPr>
        <w:pStyle w:val="2"/>
        <w:ind w:firstLine="0"/>
      </w:pPr>
      <w:r>
        <w:rPr>
          <w:rFonts w:hint="eastAsia" w:ascii="黑体" w:hAnsi="黑体" w:eastAsia="黑体" w:cs="黑体"/>
          <w:kern w:val="0"/>
          <w:szCs w:val="21"/>
        </w:rPr>
        <w:t>2.4 本标准在制定中主要遵循：</w:t>
      </w:r>
      <w:r>
        <w:rPr>
          <w:rFonts w:hint="eastAsia" w:cs="Times New Roman"/>
          <w:color w:val="000000"/>
          <w:kern w:val="0"/>
          <w:szCs w:val="21"/>
        </w:rPr>
        <w:t>科学性和技术先进的原则；可行和严谨的原则；规范法原则。</w:t>
      </w:r>
    </w:p>
    <w:p>
      <w:pPr>
        <w:pStyle w:val="12"/>
        <w:spacing w:before="0" w:beforeAutospacing="0" w:after="0" w:afterAutospacing="0" w:line="440" w:lineRule="exact"/>
        <w:jc w:val="both"/>
        <w:rPr>
          <w:rFonts w:hint="eastAsia" w:ascii="黑体" w:eastAsia="黑体" w:cs="Arial"/>
          <w:sz w:val="21"/>
          <w:szCs w:val="21"/>
        </w:rPr>
      </w:pPr>
      <w:r>
        <w:rPr>
          <w:rFonts w:hint="eastAsia" w:ascii="黑体" w:eastAsia="黑体" w:cs="Arial"/>
          <w:sz w:val="21"/>
          <w:szCs w:val="21"/>
        </w:rPr>
        <w:t>三、标准主要技术内容的确定依据及主要试验和验证情况分析</w:t>
      </w:r>
    </w:p>
    <w:p>
      <w:pPr>
        <w:spacing w:line="480" w:lineRule="exact"/>
        <w:ind w:firstLine="420" w:firstLineChars="200"/>
        <w:rPr>
          <w:rFonts w:hint="eastAsia" w:ascii="宋体" w:hAnsi="Times New Roman" w:eastAsia="宋体" w:cs="Times New Roman"/>
          <w:kern w:val="0"/>
        </w:rPr>
      </w:pPr>
      <w:r>
        <w:rPr>
          <w:rFonts w:hint="eastAsia" w:ascii="宋体" w:hAnsi="Times New Roman" w:eastAsia="宋体" w:cs="Times New Roman"/>
          <w:kern w:val="0"/>
          <w:lang w:eastAsia="zh-CN"/>
        </w:rPr>
        <w:t>冶炼副产品</w:t>
      </w:r>
      <w:r>
        <w:rPr>
          <w:rFonts w:hint="eastAsia" w:ascii="宋体" w:hAnsi="Times New Roman" w:eastAsia="宋体" w:cs="Times New Roman"/>
          <w:kern w:val="0"/>
        </w:rPr>
        <w:t>氧化锡作为添加原料</w:t>
      </w:r>
      <w:r>
        <w:rPr>
          <w:rFonts w:hint="eastAsia" w:ascii="宋体" w:hAnsi="Times New Roman" w:eastAsia="宋体" w:cs="Times New Roman"/>
          <w:kern w:val="0"/>
          <w:lang w:eastAsia="zh-CN"/>
        </w:rPr>
        <w:t>将</w:t>
      </w:r>
      <w:r>
        <w:rPr>
          <w:rFonts w:hint="eastAsia" w:ascii="宋体" w:hAnsi="Times New Roman" w:eastAsia="宋体" w:cs="Times New Roman"/>
          <w:kern w:val="0"/>
        </w:rPr>
        <w:t>与锡精矿搭配冶炼，用于生产锡锭等</w:t>
      </w:r>
      <w:r>
        <w:rPr>
          <w:rFonts w:hint="eastAsia" w:ascii="宋体" w:hAnsi="Times New Roman" w:eastAsia="宋体" w:cs="Times New Roman"/>
          <w:kern w:val="0"/>
          <w:lang w:eastAsia="zh-CN"/>
        </w:rPr>
        <w:t>。通过</w:t>
      </w:r>
      <w:r>
        <w:rPr>
          <w:rFonts w:hint="eastAsia" w:ascii="宋体" w:hAnsi="Times New Roman" w:eastAsia="宋体" w:cs="Times New Roman"/>
          <w:kern w:val="0"/>
        </w:rPr>
        <w:t>与下游使用该类氧化锡的锡冶炼企业沟通</w:t>
      </w:r>
      <w:r>
        <w:rPr>
          <w:rFonts w:hint="eastAsia" w:ascii="宋体" w:hAnsi="Times New Roman" w:eastAsia="宋体" w:cs="Times New Roman"/>
          <w:kern w:val="0"/>
          <w:lang w:eastAsia="zh-CN"/>
        </w:rPr>
        <w:t>，</w:t>
      </w:r>
      <w:r>
        <w:rPr>
          <w:rFonts w:hint="eastAsia" w:ascii="宋体" w:hAnsi="Times New Roman" w:eastAsia="宋体" w:cs="Times New Roman"/>
          <w:kern w:val="0"/>
        </w:rPr>
        <w:t>锡含量与水份作为计算锡绝对总量的指标，且在购买过程中对锡含量进行分级计价，通常以锡含量10%、20%、30%</w:t>
      </w:r>
      <w:r>
        <w:rPr>
          <w:rFonts w:hint="eastAsia" w:ascii="宋体" w:hAnsi="Times New Roman" w:eastAsia="宋体" w:cs="Times New Roman"/>
          <w:kern w:val="0"/>
          <w:lang w:eastAsia="zh-CN"/>
        </w:rPr>
        <w:t>、</w:t>
      </w:r>
      <w:r>
        <w:rPr>
          <w:rFonts w:hint="eastAsia" w:ascii="宋体" w:hAnsi="Times New Roman" w:eastAsia="宋体" w:cs="Times New Roman"/>
          <w:kern w:val="0"/>
          <w:lang w:val="en-US" w:eastAsia="zh-CN"/>
        </w:rPr>
        <w:t>40%</w:t>
      </w:r>
      <w:r>
        <w:rPr>
          <w:rFonts w:hint="eastAsia" w:ascii="宋体" w:hAnsi="Times New Roman" w:eastAsia="宋体" w:cs="Times New Roman"/>
          <w:kern w:val="0"/>
        </w:rPr>
        <w:t>作为价格</w:t>
      </w:r>
      <w:r>
        <w:rPr>
          <w:rFonts w:hint="eastAsia" w:ascii="宋体" w:hAnsi="Times New Roman" w:eastAsia="宋体" w:cs="Times New Roman"/>
          <w:kern w:val="0"/>
          <w:lang w:eastAsia="zh-CN"/>
        </w:rPr>
        <w:t>主要</w:t>
      </w:r>
      <w:r>
        <w:rPr>
          <w:rFonts w:hint="eastAsia" w:ascii="宋体" w:hAnsi="Times New Roman" w:eastAsia="宋体" w:cs="Times New Roman"/>
          <w:kern w:val="0"/>
        </w:rPr>
        <w:t>分级点。另在后端锡冶炼过程中，铋含量高会影响铸锡的拉伸强度极限和布氏硬度性质；锑影响锡的伸长率、硬度、抗拉强度等；铜含量高会影响锡镀层稳定性和无毒性，以及锡的导电性和机械性能。故在采购过程中，铋、锑、铜元素也将作为限制性指标</w:t>
      </w:r>
      <w:r>
        <w:rPr>
          <w:rFonts w:hint="eastAsia" w:ascii="宋体" w:hAnsi="Times New Roman" w:eastAsia="宋体" w:cs="Times New Roman"/>
          <w:kern w:val="0"/>
        </w:rPr>
        <w:t>进行超标扣款。硅钙本身在锡冶炼过程中亦是添加性元素，故不做要求，钨元素因在锡冶炼过程中可作为有价元素进行回收，买方不做控制要求，实际买卖过程中也不单独计价，因此不做检测要求。钠元素以硫酸钠形态存在，硫元素以硫酸根形态存在，不影响后续冶炼，通常需方不做要求。铅元素因在含锡钨矿中基本不含，故不作要求。</w:t>
      </w:r>
    </w:p>
    <w:p>
      <w:pPr>
        <w:spacing w:line="480" w:lineRule="exact"/>
        <w:ind w:firstLine="420" w:firstLineChars="200"/>
      </w:pPr>
      <w:r>
        <w:rPr>
          <w:rFonts w:hint="eastAsia" w:ascii="宋体" w:hAnsi="Times New Roman" w:eastAsia="宋体" w:cs="Times New Roman"/>
          <w:kern w:val="0"/>
          <w:lang w:eastAsia="zh-CN"/>
        </w:rPr>
        <w:t>本产品标准参考锡精矿标准，在满足实际综合利用的前提上，冶炼副产品氧化锡标准（含锡量≥</w:t>
      </w:r>
      <w:r>
        <w:rPr>
          <w:rFonts w:hint="eastAsia" w:ascii="宋体" w:hAnsi="Times New Roman" w:eastAsia="宋体" w:cs="Times New Roman"/>
          <w:kern w:val="0"/>
          <w:lang w:val="en-US" w:eastAsia="zh-CN"/>
        </w:rPr>
        <w:t>40%</w:t>
      </w:r>
      <w:r>
        <w:rPr>
          <w:rFonts w:hint="eastAsia" w:ascii="宋体" w:hAnsi="Times New Roman" w:eastAsia="宋体" w:cs="Times New Roman"/>
          <w:kern w:val="0"/>
          <w:lang w:eastAsia="zh-CN"/>
        </w:rPr>
        <w:t>）适当降低了锡含量要求。并根据锡精矿杂质要求，结合钨冶炼、铅冶炼和铜</w:t>
      </w:r>
      <w:r>
        <w:rPr>
          <w:rFonts w:hint="eastAsia" w:ascii="宋体" w:hAnsi="Times New Roman" w:eastAsia="宋体" w:cs="Times New Roman"/>
          <w:kern w:val="0"/>
        </w:rPr>
        <w:t>冶炼</w:t>
      </w:r>
      <w:r>
        <w:rPr>
          <w:rFonts w:hint="eastAsia" w:ascii="宋体" w:hAnsi="Times New Roman" w:eastAsia="宋体" w:cs="Times New Roman"/>
          <w:kern w:val="0"/>
          <w:lang w:eastAsia="zh-CN"/>
        </w:rPr>
        <w:t>副产品氧化锡的实际杂质含量</w:t>
      </w:r>
      <w:r>
        <w:rPr>
          <w:rFonts w:hint="eastAsia" w:ascii="宋体" w:hAnsi="Times New Roman" w:eastAsia="宋体" w:cs="Times New Roman"/>
          <w:kern w:val="0"/>
        </w:rPr>
        <w:t>及锡冶炼企业使用需求，本标准提出了FC</w:t>
      </w:r>
      <w:bookmarkStart w:id="0" w:name="OLE_LINK1"/>
      <w:r>
        <w:rPr>
          <w:rFonts w:hint="eastAsia" w:ascii="宋体" w:hAnsi="Times New Roman" w:eastAsia="宋体" w:cs="Times New Roman"/>
          <w:kern w:val="0"/>
        </w:rPr>
        <w:t>Sn</w:t>
      </w:r>
      <w:bookmarkEnd w:id="0"/>
      <w:r>
        <w:rPr>
          <w:rFonts w:hint="eastAsia" w:ascii="宋体" w:hAnsi="Times New Roman" w:eastAsia="宋体" w:cs="Times New Roman"/>
          <w:kern w:val="0"/>
        </w:rPr>
        <w:t>-10、FCSn-20、FCSn-30、FCSn-40四个牌号的冶炼副产品氧化锡，并对锡、水分、铋、锑、铜</w:t>
      </w:r>
      <w:r>
        <w:rPr>
          <w:rFonts w:hint="eastAsia" w:ascii="宋体" w:hAnsi="Times New Roman" w:eastAsia="宋体" w:cs="Times New Roman"/>
          <w:kern w:val="0"/>
          <w:lang w:eastAsia="zh-CN"/>
        </w:rPr>
        <w:t>、砷</w:t>
      </w:r>
      <w:r>
        <w:rPr>
          <w:rFonts w:hint="eastAsia" w:ascii="宋体" w:hAnsi="Times New Roman" w:eastAsia="宋体" w:cs="Times New Roman"/>
          <w:kern w:val="0"/>
          <w:lang w:val="en-US" w:eastAsia="zh-CN"/>
        </w:rPr>
        <w:t>6</w:t>
      </w:r>
      <w:r>
        <w:rPr>
          <w:rFonts w:hint="eastAsia" w:ascii="宋体" w:hAnsi="Times New Roman" w:eastAsia="宋体" w:cs="Times New Roman"/>
          <w:kern w:val="0"/>
        </w:rPr>
        <w:t>个指标做检测要求，其它未罗列元素指标可根据供需双方要求增加。具体要求见表2。</w:t>
      </w:r>
    </w:p>
    <w:p>
      <w:pPr>
        <w:pStyle w:val="31"/>
        <w:numPr>
          <w:ilvl w:val="0"/>
          <w:numId w:val="0"/>
        </w:numPr>
        <w:spacing w:before="156" w:after="156"/>
        <w:ind w:firstLine="420" w:firstLineChars="200"/>
        <w:jc w:val="center"/>
        <w:rPr>
          <w:rFonts w:hint="eastAsia" w:hAnsi="宋体"/>
        </w:rPr>
      </w:pPr>
      <w:r>
        <w:rPr>
          <w:rFonts w:hint="eastAsia" w:hAnsi="宋体"/>
        </w:rPr>
        <w:t>表 2 冶炼副产品氧化锡（干基）的化学成分</w:t>
      </w:r>
    </w:p>
    <w:tbl>
      <w:tblPr>
        <w:tblStyle w:val="14"/>
        <w:tblW w:w="94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5"/>
        <w:gridCol w:w="1152"/>
        <w:gridCol w:w="1210"/>
        <w:gridCol w:w="1585"/>
        <w:gridCol w:w="1585"/>
        <w:gridCol w:w="1585"/>
        <w:gridCol w:w="15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3" w:hRule="atLeast"/>
        </w:trPr>
        <w:tc>
          <w:tcPr>
            <w:tcW w:w="3057" w:type="dxa"/>
            <w:gridSpan w:val="3"/>
            <w:tcBorders>
              <w:bottom w:val="single" w:color="auto" w:sz="4" w:space="0"/>
              <w:right w:val="single" w:color="auto" w:sz="4" w:space="0"/>
            </w:tcBorders>
            <w:vAlign w:val="center"/>
          </w:tcPr>
          <w:p>
            <w:pPr>
              <w:pStyle w:val="24"/>
              <w:tabs>
                <w:tab w:val="center" w:pos="4201"/>
                <w:tab w:val="right" w:leader="dot" w:pos="9298"/>
              </w:tabs>
              <w:spacing w:line="520" w:lineRule="exact"/>
              <w:ind w:firstLine="0" w:firstLineChars="0"/>
              <w:jc w:val="center"/>
              <w:rPr>
                <w:rFonts w:hint="eastAsia" w:hAnsi="宋体"/>
                <w:sz w:val="18"/>
                <w:szCs w:val="18"/>
              </w:rPr>
            </w:pPr>
            <w:r>
              <w:rPr>
                <w:rFonts w:hint="eastAsia" w:hAnsi="宋体"/>
                <w:sz w:val="18"/>
                <w:szCs w:val="18"/>
              </w:rPr>
              <w:t>牌号</w:t>
            </w:r>
          </w:p>
        </w:tc>
        <w:tc>
          <w:tcPr>
            <w:tcW w:w="1585" w:type="dxa"/>
            <w:tcBorders>
              <w:left w:val="single" w:color="auto" w:sz="4" w:space="0"/>
              <w:bottom w:val="single" w:color="auto" w:sz="4" w:space="0"/>
              <w:right w:val="single" w:color="auto" w:sz="4" w:space="0"/>
            </w:tcBorders>
            <w:vAlign w:val="center"/>
          </w:tcPr>
          <w:p>
            <w:pPr>
              <w:pStyle w:val="24"/>
              <w:tabs>
                <w:tab w:val="center" w:pos="4201"/>
                <w:tab w:val="right" w:leader="dot" w:pos="9298"/>
              </w:tabs>
              <w:spacing w:line="520" w:lineRule="exact"/>
              <w:ind w:firstLine="0" w:firstLineChars="0"/>
              <w:jc w:val="center"/>
              <w:rPr>
                <w:rFonts w:hint="eastAsia" w:hAnsi="宋体" w:cs="宋体"/>
                <w:sz w:val="18"/>
                <w:szCs w:val="18"/>
              </w:rPr>
            </w:pPr>
            <w:r>
              <w:rPr>
                <w:rFonts w:hint="eastAsia" w:hAnsi="宋体"/>
                <w:sz w:val="18"/>
                <w:szCs w:val="18"/>
              </w:rPr>
              <w:t>FC</w:t>
            </w:r>
            <w:r>
              <w:rPr>
                <w:rFonts w:hint="eastAsia" w:hAnsi="宋体" w:cs="宋体"/>
                <w:color w:val="000000"/>
                <w:sz w:val="20"/>
                <w:szCs w:val="20"/>
                <w:lang w:bidi="ar"/>
              </w:rPr>
              <w:t>Sn</w:t>
            </w:r>
            <w:r>
              <w:rPr>
                <w:rFonts w:hint="eastAsia" w:hAnsi="宋体"/>
                <w:sz w:val="18"/>
                <w:szCs w:val="18"/>
              </w:rPr>
              <w:t>-10</w:t>
            </w:r>
          </w:p>
        </w:tc>
        <w:tc>
          <w:tcPr>
            <w:tcW w:w="1585" w:type="dxa"/>
            <w:tcBorders>
              <w:left w:val="single" w:color="auto" w:sz="4" w:space="0"/>
              <w:bottom w:val="single" w:color="auto" w:sz="4" w:space="0"/>
              <w:right w:val="single" w:color="auto" w:sz="4" w:space="0"/>
            </w:tcBorders>
            <w:vAlign w:val="center"/>
          </w:tcPr>
          <w:p>
            <w:pPr>
              <w:pStyle w:val="24"/>
              <w:tabs>
                <w:tab w:val="center" w:pos="4201"/>
                <w:tab w:val="right" w:leader="dot" w:pos="9298"/>
              </w:tabs>
              <w:spacing w:line="520" w:lineRule="exact"/>
              <w:ind w:firstLine="0" w:firstLineChars="0"/>
              <w:jc w:val="center"/>
              <w:rPr>
                <w:rFonts w:hint="eastAsia" w:hAnsi="宋体" w:cs="宋体"/>
                <w:sz w:val="18"/>
                <w:szCs w:val="18"/>
              </w:rPr>
            </w:pPr>
            <w:r>
              <w:rPr>
                <w:rFonts w:hint="eastAsia" w:hAnsi="宋体"/>
                <w:sz w:val="18"/>
                <w:szCs w:val="18"/>
              </w:rPr>
              <w:t>FC</w:t>
            </w:r>
            <w:r>
              <w:rPr>
                <w:rFonts w:hint="eastAsia" w:hAnsi="宋体" w:cs="宋体"/>
                <w:color w:val="000000"/>
                <w:sz w:val="20"/>
                <w:szCs w:val="20"/>
                <w:lang w:bidi="ar"/>
              </w:rPr>
              <w:t>Sn</w:t>
            </w:r>
            <w:r>
              <w:rPr>
                <w:rFonts w:hint="eastAsia" w:hAnsi="宋体"/>
                <w:sz w:val="18"/>
                <w:szCs w:val="18"/>
              </w:rPr>
              <w:t>-20</w:t>
            </w:r>
          </w:p>
        </w:tc>
        <w:tc>
          <w:tcPr>
            <w:tcW w:w="1585" w:type="dxa"/>
            <w:tcBorders>
              <w:left w:val="single" w:color="auto" w:sz="4" w:space="0"/>
              <w:bottom w:val="single" w:color="auto" w:sz="4" w:space="0"/>
              <w:right w:val="single" w:color="auto" w:sz="4" w:space="0"/>
            </w:tcBorders>
            <w:vAlign w:val="center"/>
          </w:tcPr>
          <w:p>
            <w:pPr>
              <w:spacing w:line="520" w:lineRule="exact"/>
              <w:jc w:val="center"/>
              <w:rPr>
                <w:rFonts w:hint="eastAsia" w:ascii="宋体" w:hAnsi="宋体"/>
                <w:sz w:val="18"/>
                <w:szCs w:val="18"/>
              </w:rPr>
            </w:pPr>
            <w:r>
              <w:rPr>
                <w:rFonts w:hint="eastAsia" w:ascii="宋体" w:hAnsi="宋体"/>
                <w:sz w:val="18"/>
                <w:szCs w:val="18"/>
              </w:rPr>
              <w:t>FC</w:t>
            </w:r>
            <w:r>
              <w:rPr>
                <w:rFonts w:hint="eastAsia" w:ascii="宋体" w:hAnsi="宋体" w:eastAsia="宋体" w:cs="宋体"/>
                <w:color w:val="000000"/>
                <w:kern w:val="0"/>
                <w:sz w:val="20"/>
                <w:szCs w:val="20"/>
                <w:lang w:bidi="ar"/>
              </w:rPr>
              <w:t>Sn</w:t>
            </w:r>
            <w:r>
              <w:rPr>
                <w:rFonts w:hint="eastAsia" w:ascii="宋体" w:hAnsi="宋体"/>
                <w:sz w:val="18"/>
                <w:szCs w:val="18"/>
              </w:rPr>
              <w:t>-30</w:t>
            </w:r>
          </w:p>
        </w:tc>
        <w:tc>
          <w:tcPr>
            <w:tcW w:w="1588" w:type="dxa"/>
            <w:tcBorders>
              <w:left w:val="single" w:color="auto" w:sz="4" w:space="0"/>
              <w:bottom w:val="single" w:color="auto" w:sz="4" w:space="0"/>
              <w:right w:val="single" w:color="auto" w:sz="4" w:space="0"/>
            </w:tcBorders>
            <w:vAlign w:val="center"/>
          </w:tcPr>
          <w:p>
            <w:pPr>
              <w:pStyle w:val="24"/>
              <w:tabs>
                <w:tab w:val="center" w:pos="4201"/>
                <w:tab w:val="right" w:leader="dot" w:pos="9298"/>
              </w:tabs>
              <w:spacing w:line="520" w:lineRule="exact"/>
              <w:ind w:firstLine="0" w:firstLineChars="0"/>
              <w:jc w:val="center"/>
              <w:rPr>
                <w:rFonts w:hint="eastAsia" w:hAnsi="宋体" w:cs="宋体"/>
                <w:sz w:val="18"/>
                <w:szCs w:val="18"/>
              </w:rPr>
            </w:pPr>
            <w:r>
              <w:rPr>
                <w:rFonts w:hint="eastAsia" w:hAnsi="宋体"/>
                <w:sz w:val="18"/>
                <w:szCs w:val="18"/>
              </w:rPr>
              <w:t>FC</w:t>
            </w:r>
            <w:r>
              <w:rPr>
                <w:rFonts w:hint="eastAsia" w:hAnsi="宋体" w:cs="宋体"/>
                <w:color w:val="000000"/>
                <w:sz w:val="20"/>
                <w:szCs w:val="20"/>
                <w:lang w:bidi="ar"/>
              </w:rPr>
              <w:t>Sn</w:t>
            </w:r>
            <w:r>
              <w:rPr>
                <w:rFonts w:hint="eastAsia" w:hAnsi="宋体"/>
                <w:sz w:val="18"/>
                <w:szCs w:val="18"/>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695" w:type="dxa"/>
            <w:vMerge w:val="restart"/>
            <w:tcBorders>
              <w:top w:val="single" w:color="auto" w:sz="4" w:space="0"/>
            </w:tcBorders>
            <w:vAlign w:val="center"/>
          </w:tcPr>
          <w:p>
            <w:r>
              <w:rPr>
                <w:rFonts w:hint="eastAsia"/>
              </w:rPr>
              <w:t>化学成分/%</w:t>
            </w:r>
          </w:p>
        </w:tc>
        <w:tc>
          <w:tcPr>
            <w:tcW w:w="2362" w:type="dxa"/>
            <w:gridSpan w:val="2"/>
            <w:tcBorders>
              <w:top w:val="single" w:color="auto" w:sz="4" w:space="0"/>
              <w:right w:val="single" w:color="auto" w:sz="4" w:space="0"/>
            </w:tcBorders>
            <w:vAlign w:val="center"/>
          </w:tcPr>
          <w:p>
            <w:pPr>
              <w:spacing w:line="520" w:lineRule="exact"/>
              <w:jc w:val="center"/>
              <w:rPr>
                <w:rFonts w:hint="eastAsia" w:ascii="宋体" w:hAnsi="宋体" w:eastAsia="宋体"/>
                <w:sz w:val="18"/>
                <w:szCs w:val="18"/>
              </w:rPr>
            </w:pPr>
            <w:r>
              <w:rPr>
                <w:rFonts w:hint="eastAsia" w:ascii="宋体" w:hAnsi="宋体"/>
                <w:sz w:val="18"/>
                <w:szCs w:val="18"/>
              </w:rPr>
              <w:t xml:space="preserve">Sn不小于 </w:t>
            </w:r>
          </w:p>
        </w:tc>
        <w:tc>
          <w:tcPr>
            <w:tcW w:w="1585" w:type="dxa"/>
            <w:tcBorders>
              <w:top w:val="single" w:color="auto" w:sz="4" w:space="0"/>
              <w:left w:val="single" w:color="auto" w:sz="4" w:space="0"/>
              <w:right w:val="single" w:color="auto" w:sz="4" w:space="0"/>
            </w:tcBorders>
            <w:vAlign w:val="center"/>
          </w:tcPr>
          <w:p>
            <w:pPr>
              <w:spacing w:line="520" w:lineRule="exact"/>
              <w:jc w:val="center"/>
              <w:rPr>
                <w:rFonts w:hint="eastAsia" w:ascii="宋体" w:hAnsi="宋体"/>
                <w:sz w:val="18"/>
                <w:szCs w:val="18"/>
              </w:rPr>
            </w:pPr>
            <w:r>
              <w:rPr>
                <w:rFonts w:hint="eastAsia" w:ascii="宋体" w:hAnsi="宋体"/>
                <w:sz w:val="18"/>
                <w:szCs w:val="18"/>
              </w:rPr>
              <w:t>10.00</w:t>
            </w:r>
          </w:p>
        </w:tc>
        <w:tc>
          <w:tcPr>
            <w:tcW w:w="1585" w:type="dxa"/>
            <w:tcBorders>
              <w:top w:val="single" w:color="auto" w:sz="4" w:space="0"/>
              <w:left w:val="single" w:color="auto" w:sz="4" w:space="0"/>
              <w:right w:val="single" w:color="auto" w:sz="4" w:space="0"/>
            </w:tcBorders>
            <w:vAlign w:val="center"/>
          </w:tcPr>
          <w:p>
            <w:pPr>
              <w:spacing w:line="520" w:lineRule="exact"/>
              <w:jc w:val="center"/>
              <w:rPr>
                <w:rFonts w:hint="eastAsia" w:ascii="宋体" w:hAnsi="宋体"/>
                <w:sz w:val="18"/>
                <w:szCs w:val="18"/>
              </w:rPr>
            </w:pPr>
            <w:r>
              <w:rPr>
                <w:rFonts w:hint="eastAsia" w:ascii="宋体" w:hAnsi="宋体"/>
                <w:sz w:val="18"/>
                <w:szCs w:val="18"/>
              </w:rPr>
              <w:t>20.00</w:t>
            </w:r>
          </w:p>
        </w:tc>
        <w:tc>
          <w:tcPr>
            <w:tcW w:w="1585" w:type="dxa"/>
            <w:tcBorders>
              <w:top w:val="single" w:color="auto" w:sz="4" w:space="0"/>
              <w:left w:val="single" w:color="auto" w:sz="4" w:space="0"/>
              <w:right w:val="single" w:color="auto" w:sz="4" w:space="0"/>
            </w:tcBorders>
            <w:vAlign w:val="center"/>
          </w:tcPr>
          <w:p>
            <w:pPr>
              <w:spacing w:line="520" w:lineRule="exact"/>
              <w:jc w:val="center"/>
              <w:rPr>
                <w:rFonts w:hint="eastAsia" w:ascii="宋体" w:hAnsi="宋体"/>
                <w:sz w:val="18"/>
                <w:szCs w:val="18"/>
              </w:rPr>
            </w:pPr>
            <w:r>
              <w:rPr>
                <w:rFonts w:hint="eastAsia" w:ascii="宋体" w:hAnsi="宋体"/>
                <w:sz w:val="18"/>
                <w:szCs w:val="18"/>
              </w:rPr>
              <w:t>30.00</w:t>
            </w:r>
          </w:p>
        </w:tc>
        <w:tc>
          <w:tcPr>
            <w:tcW w:w="1588" w:type="dxa"/>
            <w:tcBorders>
              <w:top w:val="single" w:color="auto" w:sz="4" w:space="0"/>
              <w:left w:val="single" w:color="auto" w:sz="4" w:space="0"/>
              <w:right w:val="single" w:color="auto" w:sz="4" w:space="0"/>
            </w:tcBorders>
            <w:vAlign w:val="center"/>
          </w:tcPr>
          <w:p>
            <w:pPr>
              <w:spacing w:line="520" w:lineRule="exact"/>
              <w:jc w:val="center"/>
              <w:rPr>
                <w:rFonts w:hint="eastAsia" w:ascii="宋体" w:hAnsi="宋体"/>
                <w:sz w:val="18"/>
                <w:szCs w:val="18"/>
              </w:rPr>
            </w:pPr>
            <w:r>
              <w:rPr>
                <w:rFonts w:hint="eastAsia" w:ascii="宋体" w:hAnsi="宋体"/>
                <w:sz w:val="18"/>
                <w:szCs w:val="18"/>
              </w:rPr>
              <w:t>40.00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695" w:type="dxa"/>
            <w:vMerge w:val="continue"/>
            <w:vAlign w:val="center"/>
          </w:tcPr>
          <w:p>
            <w:pPr>
              <w:spacing w:line="520" w:lineRule="exact"/>
              <w:jc w:val="center"/>
              <w:rPr>
                <w:rFonts w:hint="eastAsia" w:ascii="宋体" w:hAnsi="宋体"/>
                <w:sz w:val="18"/>
                <w:szCs w:val="18"/>
              </w:rPr>
            </w:pPr>
          </w:p>
        </w:tc>
        <w:tc>
          <w:tcPr>
            <w:tcW w:w="1152" w:type="dxa"/>
            <w:vMerge w:val="restart"/>
            <w:tcBorders>
              <w:top w:val="single" w:color="auto" w:sz="4" w:space="0"/>
              <w:right w:val="single" w:color="auto" w:sz="4" w:space="0"/>
            </w:tcBorders>
            <w:vAlign w:val="center"/>
          </w:tcPr>
          <w:p>
            <w:pPr>
              <w:spacing w:line="520" w:lineRule="exact"/>
              <w:jc w:val="center"/>
              <w:rPr>
                <w:rFonts w:hint="eastAsia" w:ascii="宋体" w:hAnsi="宋体" w:cs="宋体"/>
                <w:kern w:val="0"/>
                <w:sz w:val="18"/>
                <w:szCs w:val="18"/>
              </w:rPr>
            </w:pPr>
            <w:r>
              <w:rPr>
                <w:rFonts w:hint="eastAsia" w:ascii="宋体" w:hAnsi="宋体" w:cs="宋体"/>
                <w:kern w:val="0"/>
                <w:sz w:val="18"/>
                <w:szCs w:val="18"/>
              </w:rPr>
              <w:t>杂质含量，不大于</w:t>
            </w:r>
          </w:p>
        </w:tc>
        <w:tc>
          <w:tcPr>
            <w:tcW w:w="1210" w:type="dxa"/>
            <w:tcBorders>
              <w:top w:val="single" w:color="auto" w:sz="4" w:space="0"/>
              <w:left w:val="single" w:color="auto" w:sz="4" w:space="0"/>
            </w:tcBorders>
            <w:vAlign w:val="center"/>
          </w:tcPr>
          <w:p>
            <w:pPr>
              <w:spacing w:line="520" w:lineRule="exact"/>
              <w:jc w:val="center"/>
              <w:rPr>
                <w:rFonts w:hint="eastAsia" w:ascii="宋体" w:hAnsi="宋体"/>
                <w:sz w:val="18"/>
                <w:szCs w:val="18"/>
              </w:rPr>
            </w:pPr>
            <w:r>
              <w:rPr>
                <w:rFonts w:hint="eastAsia" w:ascii="宋体" w:hAnsi="宋体" w:eastAsia="宋体" w:cs="宋体"/>
                <w:color w:val="000000"/>
                <w:kern w:val="0"/>
                <w:sz w:val="20"/>
                <w:szCs w:val="20"/>
                <w:lang w:bidi="ar"/>
              </w:rPr>
              <w:t>Bi</w:t>
            </w:r>
          </w:p>
        </w:tc>
        <w:tc>
          <w:tcPr>
            <w:tcW w:w="1585" w:type="dxa"/>
            <w:tcBorders>
              <w:top w:val="single" w:color="auto" w:sz="4" w:space="0"/>
              <w:right w:val="single" w:color="auto" w:sz="4" w:space="0"/>
            </w:tcBorders>
            <w:vAlign w:val="center"/>
          </w:tcPr>
          <w:p>
            <w:pPr>
              <w:spacing w:line="520" w:lineRule="exact"/>
              <w:jc w:val="center"/>
              <w:rPr>
                <w:rFonts w:hint="eastAsia" w:ascii="宋体" w:hAnsi="宋体" w:cs="宋体"/>
                <w:kern w:val="0"/>
                <w:sz w:val="18"/>
                <w:szCs w:val="18"/>
              </w:rPr>
            </w:pPr>
            <w:r>
              <w:rPr>
                <w:rFonts w:hint="eastAsia" w:ascii="宋体" w:hAnsi="宋体" w:cs="宋体"/>
                <w:kern w:val="0"/>
                <w:sz w:val="18"/>
                <w:szCs w:val="18"/>
              </w:rPr>
              <w:t>1.20</w:t>
            </w:r>
          </w:p>
        </w:tc>
        <w:tc>
          <w:tcPr>
            <w:tcW w:w="1585" w:type="dxa"/>
            <w:tcBorders>
              <w:top w:val="single" w:color="auto" w:sz="4" w:space="0"/>
              <w:left w:val="single" w:color="auto" w:sz="4" w:space="0"/>
              <w:right w:val="single" w:color="auto" w:sz="4" w:space="0"/>
            </w:tcBorders>
            <w:vAlign w:val="center"/>
          </w:tcPr>
          <w:p>
            <w:pPr>
              <w:spacing w:line="520" w:lineRule="exact"/>
              <w:jc w:val="center"/>
              <w:rPr>
                <w:rFonts w:hint="eastAsia" w:ascii="宋体" w:hAnsi="宋体" w:eastAsia="宋体" w:cs="宋体"/>
                <w:color w:val="000000"/>
                <w:kern w:val="0"/>
                <w:sz w:val="20"/>
                <w:szCs w:val="20"/>
                <w:lang w:bidi="ar"/>
              </w:rPr>
            </w:pPr>
            <w:r>
              <w:rPr>
                <w:rFonts w:hint="eastAsia" w:ascii="宋体" w:hAnsi="宋体" w:cs="宋体"/>
                <w:kern w:val="0"/>
                <w:sz w:val="18"/>
                <w:szCs w:val="18"/>
              </w:rPr>
              <w:t>1.00</w:t>
            </w:r>
          </w:p>
        </w:tc>
        <w:tc>
          <w:tcPr>
            <w:tcW w:w="1585" w:type="dxa"/>
            <w:tcBorders>
              <w:top w:val="single" w:color="auto" w:sz="4" w:space="0"/>
              <w:left w:val="single" w:color="auto" w:sz="4" w:space="0"/>
            </w:tcBorders>
            <w:vAlign w:val="center"/>
          </w:tcPr>
          <w:p>
            <w:pPr>
              <w:spacing w:line="520" w:lineRule="exact"/>
              <w:jc w:val="center"/>
              <w:rPr>
                <w:rFonts w:hint="eastAsia" w:ascii="宋体" w:hAnsi="宋体" w:cs="宋体"/>
                <w:kern w:val="0"/>
                <w:sz w:val="18"/>
                <w:szCs w:val="18"/>
              </w:rPr>
            </w:pPr>
            <w:r>
              <w:rPr>
                <w:rFonts w:hint="eastAsia" w:ascii="宋体" w:hAnsi="宋体" w:cs="宋体"/>
                <w:kern w:val="0"/>
                <w:sz w:val="18"/>
                <w:szCs w:val="18"/>
              </w:rPr>
              <w:t>0.80</w:t>
            </w:r>
          </w:p>
        </w:tc>
        <w:tc>
          <w:tcPr>
            <w:tcW w:w="1588" w:type="dxa"/>
            <w:tcBorders>
              <w:top w:val="single" w:color="auto" w:sz="4" w:space="0"/>
              <w:right w:val="single" w:color="auto" w:sz="4" w:space="0"/>
            </w:tcBorders>
            <w:vAlign w:val="center"/>
          </w:tcPr>
          <w:p>
            <w:pPr>
              <w:spacing w:line="520" w:lineRule="exact"/>
              <w:ind w:firstLine="90" w:firstLineChars="50"/>
              <w:jc w:val="center"/>
              <w:rPr>
                <w:rFonts w:hint="eastAsia" w:ascii="宋体" w:hAnsi="宋体" w:cs="宋体"/>
                <w:kern w:val="0"/>
                <w:sz w:val="18"/>
                <w:szCs w:val="18"/>
              </w:rPr>
            </w:pPr>
            <w:r>
              <w:rPr>
                <w:rFonts w:hint="eastAsia" w:ascii="宋体" w:hAnsi="宋体" w:eastAsia="宋体" w:cs="宋体"/>
                <w:kern w:val="0"/>
                <w:sz w:val="18"/>
                <w:szCs w:val="18"/>
              </w:rPr>
              <w:t>0.60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695" w:type="dxa"/>
            <w:vMerge w:val="continue"/>
            <w:vAlign w:val="center"/>
          </w:tcPr>
          <w:p/>
        </w:tc>
        <w:tc>
          <w:tcPr>
            <w:tcW w:w="1152" w:type="dxa"/>
            <w:vMerge w:val="continue"/>
            <w:tcBorders>
              <w:right w:val="single" w:color="auto" w:sz="4" w:space="0"/>
            </w:tcBorders>
            <w:vAlign w:val="center"/>
          </w:tcPr>
          <w:p>
            <w:pPr>
              <w:spacing w:line="520" w:lineRule="exact"/>
              <w:jc w:val="center"/>
              <w:rPr>
                <w:rFonts w:hint="eastAsia" w:ascii="宋体" w:hAnsi="宋体" w:eastAsia="宋体" w:cs="宋体"/>
                <w:kern w:val="0"/>
                <w:sz w:val="18"/>
                <w:szCs w:val="18"/>
              </w:rPr>
            </w:pPr>
          </w:p>
        </w:tc>
        <w:tc>
          <w:tcPr>
            <w:tcW w:w="1210" w:type="dxa"/>
            <w:tcBorders>
              <w:left w:val="single" w:color="auto" w:sz="4" w:space="0"/>
              <w:bottom w:val="single" w:color="auto" w:sz="4" w:space="0"/>
            </w:tcBorders>
            <w:vAlign w:val="center"/>
          </w:tcPr>
          <w:p>
            <w:pPr>
              <w:spacing w:line="520" w:lineRule="exact"/>
              <w:jc w:val="center"/>
              <w:rPr>
                <w:rFonts w:hint="eastAsia" w:ascii="宋体" w:hAnsi="宋体" w:cs="宋体"/>
                <w:kern w:val="0"/>
                <w:sz w:val="18"/>
                <w:szCs w:val="18"/>
              </w:rPr>
            </w:pPr>
            <w:r>
              <w:rPr>
                <w:rFonts w:hint="eastAsia" w:ascii="宋体" w:hAnsi="宋体" w:cs="宋体"/>
                <w:kern w:val="0"/>
                <w:sz w:val="18"/>
                <w:szCs w:val="18"/>
              </w:rPr>
              <w:t>As</w:t>
            </w:r>
          </w:p>
        </w:tc>
        <w:tc>
          <w:tcPr>
            <w:tcW w:w="1585" w:type="dxa"/>
            <w:tcBorders>
              <w:bottom w:val="single" w:color="auto" w:sz="4" w:space="0"/>
              <w:right w:val="single" w:color="auto" w:sz="4" w:space="0"/>
            </w:tcBorders>
            <w:vAlign w:val="center"/>
          </w:tcPr>
          <w:p>
            <w:pPr>
              <w:spacing w:line="520" w:lineRule="exact"/>
              <w:jc w:val="center"/>
              <w:rPr>
                <w:rFonts w:hint="eastAsia" w:ascii="宋体" w:hAnsi="宋体" w:eastAsia="宋体"/>
                <w:sz w:val="18"/>
                <w:szCs w:val="18"/>
              </w:rPr>
            </w:pPr>
            <w:r>
              <w:rPr>
                <w:rFonts w:hint="eastAsia" w:ascii="宋体" w:hAnsi="宋体" w:cs="宋体"/>
                <w:kern w:val="0"/>
                <w:sz w:val="18"/>
                <w:szCs w:val="18"/>
              </w:rPr>
              <w:t>2.50</w:t>
            </w:r>
          </w:p>
        </w:tc>
        <w:tc>
          <w:tcPr>
            <w:tcW w:w="1585" w:type="dxa"/>
            <w:tcBorders>
              <w:left w:val="single" w:color="auto" w:sz="4" w:space="0"/>
              <w:bottom w:val="single" w:color="auto" w:sz="4" w:space="0"/>
              <w:right w:val="single" w:color="auto" w:sz="4" w:space="0"/>
            </w:tcBorders>
            <w:vAlign w:val="center"/>
          </w:tcPr>
          <w:p>
            <w:pPr>
              <w:spacing w:line="520" w:lineRule="exact"/>
              <w:jc w:val="center"/>
              <w:rPr>
                <w:rFonts w:hint="eastAsia" w:ascii="宋体" w:hAnsi="宋体" w:cs="宋体"/>
                <w:kern w:val="0"/>
                <w:sz w:val="18"/>
                <w:szCs w:val="18"/>
              </w:rPr>
            </w:pPr>
            <w:r>
              <w:rPr>
                <w:rFonts w:hint="eastAsia" w:ascii="宋体" w:hAnsi="宋体" w:cs="宋体"/>
                <w:kern w:val="0"/>
                <w:sz w:val="18"/>
                <w:szCs w:val="18"/>
              </w:rPr>
              <w:t>2.00</w:t>
            </w:r>
          </w:p>
        </w:tc>
        <w:tc>
          <w:tcPr>
            <w:tcW w:w="1585" w:type="dxa"/>
            <w:tcBorders>
              <w:left w:val="single" w:color="auto" w:sz="4" w:space="0"/>
              <w:bottom w:val="single" w:color="auto" w:sz="4" w:space="0"/>
            </w:tcBorders>
            <w:vAlign w:val="center"/>
          </w:tcPr>
          <w:p>
            <w:pPr>
              <w:spacing w:line="520" w:lineRule="exact"/>
              <w:jc w:val="center"/>
              <w:rPr>
                <w:rFonts w:hint="eastAsia" w:ascii="宋体" w:hAnsi="宋体" w:cs="宋体"/>
                <w:kern w:val="0"/>
                <w:sz w:val="18"/>
                <w:szCs w:val="18"/>
              </w:rPr>
            </w:pPr>
            <w:r>
              <w:rPr>
                <w:rFonts w:hint="eastAsia" w:ascii="宋体" w:hAnsi="宋体" w:cs="宋体"/>
                <w:kern w:val="0"/>
                <w:sz w:val="18"/>
                <w:szCs w:val="18"/>
              </w:rPr>
              <w:t>1.50</w:t>
            </w:r>
          </w:p>
        </w:tc>
        <w:tc>
          <w:tcPr>
            <w:tcW w:w="1588" w:type="dxa"/>
            <w:tcBorders>
              <w:bottom w:val="single" w:color="auto" w:sz="4" w:space="0"/>
            </w:tcBorders>
            <w:vAlign w:val="center"/>
          </w:tcPr>
          <w:p>
            <w:pPr>
              <w:spacing w:line="520" w:lineRule="exact"/>
              <w:jc w:val="center"/>
              <w:rPr>
                <w:rFonts w:hint="eastAsia" w:ascii="宋体" w:hAnsi="宋体" w:cs="宋体"/>
                <w:kern w:val="0"/>
                <w:sz w:val="18"/>
                <w:szCs w:val="18"/>
              </w:rPr>
            </w:pPr>
            <w:r>
              <w:rPr>
                <w:rFonts w:hint="eastAsia" w:ascii="宋体" w:hAnsi="宋体" w:cs="宋体"/>
                <w:kern w:val="0"/>
                <w:sz w:val="18"/>
                <w:szCs w:val="18"/>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695" w:type="dxa"/>
            <w:vMerge w:val="continue"/>
            <w:vAlign w:val="center"/>
          </w:tcPr>
          <w:p/>
        </w:tc>
        <w:tc>
          <w:tcPr>
            <w:tcW w:w="1152" w:type="dxa"/>
            <w:vMerge w:val="continue"/>
            <w:tcBorders>
              <w:right w:val="single" w:color="auto" w:sz="4" w:space="0"/>
            </w:tcBorders>
            <w:vAlign w:val="center"/>
          </w:tcPr>
          <w:p>
            <w:pPr>
              <w:spacing w:line="520" w:lineRule="exact"/>
              <w:jc w:val="center"/>
              <w:rPr>
                <w:rFonts w:hint="eastAsia" w:ascii="宋体" w:hAnsi="宋体" w:eastAsia="宋体" w:cs="宋体"/>
                <w:kern w:val="0"/>
                <w:sz w:val="18"/>
                <w:szCs w:val="18"/>
              </w:rPr>
            </w:pPr>
          </w:p>
        </w:tc>
        <w:tc>
          <w:tcPr>
            <w:tcW w:w="1210" w:type="dxa"/>
            <w:tcBorders>
              <w:top w:val="single" w:color="auto" w:sz="4" w:space="0"/>
              <w:left w:val="single" w:color="auto" w:sz="4" w:space="0"/>
              <w:bottom w:val="single" w:color="auto" w:sz="4" w:space="0"/>
            </w:tcBorders>
            <w:vAlign w:val="center"/>
          </w:tcPr>
          <w:p>
            <w:pPr>
              <w:spacing w:line="520" w:lineRule="exact"/>
              <w:jc w:val="center"/>
              <w:rPr>
                <w:rFonts w:hint="eastAsia" w:ascii="宋体" w:hAnsi="宋体" w:cs="宋体"/>
                <w:kern w:val="0"/>
                <w:sz w:val="18"/>
                <w:szCs w:val="18"/>
              </w:rPr>
            </w:pPr>
            <w:r>
              <w:rPr>
                <w:rFonts w:hint="eastAsia" w:ascii="宋体" w:hAnsi="宋体" w:cs="宋体"/>
                <w:kern w:val="0"/>
                <w:sz w:val="18"/>
                <w:szCs w:val="18"/>
              </w:rPr>
              <w:t>Sb</w:t>
            </w:r>
          </w:p>
        </w:tc>
        <w:tc>
          <w:tcPr>
            <w:tcW w:w="1585" w:type="dxa"/>
            <w:tcBorders>
              <w:top w:val="single" w:color="auto" w:sz="4" w:space="0"/>
              <w:bottom w:val="single" w:color="auto" w:sz="4" w:space="0"/>
              <w:right w:val="single" w:color="auto" w:sz="4" w:space="0"/>
            </w:tcBorders>
            <w:vAlign w:val="center"/>
          </w:tcPr>
          <w:p>
            <w:pPr>
              <w:spacing w:line="520" w:lineRule="exact"/>
              <w:jc w:val="center"/>
              <w:rPr>
                <w:rFonts w:hint="eastAsia" w:ascii="宋体" w:hAnsi="宋体" w:cs="宋体"/>
                <w:kern w:val="0"/>
                <w:sz w:val="18"/>
                <w:szCs w:val="18"/>
              </w:rPr>
            </w:pPr>
            <w:r>
              <w:rPr>
                <w:rFonts w:hint="eastAsia" w:ascii="宋体" w:hAnsi="宋体" w:cs="宋体"/>
                <w:kern w:val="0"/>
                <w:sz w:val="18"/>
                <w:szCs w:val="18"/>
              </w:rPr>
              <w:t>0.90</w:t>
            </w:r>
          </w:p>
        </w:tc>
        <w:tc>
          <w:tcPr>
            <w:tcW w:w="158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hint="eastAsia" w:ascii="宋体" w:hAnsi="宋体" w:cs="宋体"/>
                <w:kern w:val="0"/>
                <w:sz w:val="18"/>
                <w:szCs w:val="18"/>
              </w:rPr>
            </w:pPr>
            <w:r>
              <w:rPr>
                <w:rFonts w:hint="eastAsia" w:ascii="宋体" w:hAnsi="宋体" w:cs="宋体"/>
                <w:kern w:val="0"/>
                <w:sz w:val="18"/>
                <w:szCs w:val="18"/>
              </w:rPr>
              <w:t>0.80</w:t>
            </w:r>
          </w:p>
        </w:tc>
        <w:tc>
          <w:tcPr>
            <w:tcW w:w="1585" w:type="dxa"/>
            <w:tcBorders>
              <w:top w:val="single" w:color="auto" w:sz="4" w:space="0"/>
              <w:left w:val="single" w:color="auto" w:sz="4" w:space="0"/>
              <w:bottom w:val="single" w:color="auto" w:sz="4" w:space="0"/>
            </w:tcBorders>
            <w:vAlign w:val="center"/>
          </w:tcPr>
          <w:p>
            <w:pPr>
              <w:spacing w:line="520" w:lineRule="exact"/>
              <w:jc w:val="center"/>
              <w:rPr>
                <w:rFonts w:hint="eastAsia" w:ascii="宋体" w:hAnsi="宋体" w:cs="宋体"/>
                <w:kern w:val="0"/>
                <w:sz w:val="18"/>
                <w:szCs w:val="18"/>
              </w:rPr>
            </w:pPr>
            <w:r>
              <w:rPr>
                <w:rFonts w:hint="eastAsia" w:ascii="宋体" w:hAnsi="宋体" w:cs="宋体"/>
                <w:kern w:val="0"/>
                <w:sz w:val="18"/>
                <w:szCs w:val="18"/>
              </w:rPr>
              <w:t>0.70</w:t>
            </w:r>
          </w:p>
        </w:tc>
        <w:tc>
          <w:tcPr>
            <w:tcW w:w="1588" w:type="dxa"/>
            <w:tcBorders>
              <w:top w:val="single" w:color="auto" w:sz="4" w:space="0"/>
              <w:bottom w:val="single" w:color="auto" w:sz="4" w:space="0"/>
            </w:tcBorders>
            <w:vAlign w:val="center"/>
          </w:tcPr>
          <w:p>
            <w:pPr>
              <w:spacing w:line="520" w:lineRule="exact"/>
              <w:jc w:val="center"/>
              <w:rPr>
                <w:rFonts w:hint="eastAsia" w:ascii="宋体" w:hAnsi="宋体" w:cs="宋体"/>
                <w:kern w:val="0"/>
                <w:sz w:val="18"/>
                <w:szCs w:val="18"/>
              </w:rPr>
            </w:pPr>
            <w:r>
              <w:rPr>
                <w:rFonts w:hint="eastAsia" w:ascii="宋体" w:hAnsi="宋体" w:eastAsia="宋体" w:cs="宋体"/>
                <w:kern w:val="0"/>
                <w:sz w:val="18"/>
                <w:szCs w:val="18"/>
              </w:rPr>
              <w:t>0.60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9" w:hRule="atLeast"/>
        </w:trPr>
        <w:tc>
          <w:tcPr>
            <w:tcW w:w="695" w:type="dxa"/>
            <w:vMerge w:val="continue"/>
            <w:vAlign w:val="center"/>
          </w:tcPr>
          <w:p/>
        </w:tc>
        <w:tc>
          <w:tcPr>
            <w:tcW w:w="1152" w:type="dxa"/>
            <w:vMerge w:val="continue"/>
            <w:tcBorders>
              <w:right w:val="single" w:color="auto" w:sz="4" w:space="0"/>
            </w:tcBorders>
            <w:vAlign w:val="center"/>
          </w:tcPr>
          <w:p>
            <w:pPr>
              <w:spacing w:line="520" w:lineRule="exact"/>
              <w:jc w:val="center"/>
              <w:rPr>
                <w:rFonts w:hint="eastAsia" w:ascii="宋体" w:hAnsi="宋体" w:eastAsia="宋体" w:cs="宋体"/>
                <w:color w:val="000000"/>
                <w:kern w:val="0"/>
                <w:sz w:val="18"/>
                <w:szCs w:val="18"/>
              </w:rPr>
            </w:pPr>
          </w:p>
        </w:tc>
        <w:tc>
          <w:tcPr>
            <w:tcW w:w="1210" w:type="dxa"/>
            <w:tcBorders>
              <w:top w:val="single" w:color="auto" w:sz="4" w:space="0"/>
              <w:left w:val="single" w:color="auto" w:sz="4" w:space="0"/>
              <w:bottom w:val="single" w:color="auto" w:sz="4" w:space="0"/>
            </w:tcBorders>
            <w:vAlign w:val="center"/>
          </w:tcPr>
          <w:p>
            <w:pPr>
              <w:spacing w:line="520" w:lineRule="exact"/>
              <w:jc w:val="center"/>
              <w:rPr>
                <w:rFonts w:hint="eastAsia" w:ascii="宋体" w:hAnsi="宋体" w:cs="宋体"/>
                <w:kern w:val="0"/>
                <w:sz w:val="18"/>
                <w:szCs w:val="18"/>
              </w:rPr>
            </w:pPr>
            <w:r>
              <w:rPr>
                <w:rFonts w:hint="eastAsia" w:ascii="宋体" w:hAnsi="宋体" w:cs="宋体"/>
                <w:kern w:val="0"/>
                <w:sz w:val="18"/>
                <w:szCs w:val="18"/>
              </w:rPr>
              <w:t>Cu</w:t>
            </w:r>
          </w:p>
        </w:tc>
        <w:tc>
          <w:tcPr>
            <w:tcW w:w="1585" w:type="dxa"/>
            <w:tcBorders>
              <w:top w:val="single" w:color="auto" w:sz="4" w:space="0"/>
              <w:bottom w:val="single" w:color="auto" w:sz="4" w:space="0"/>
              <w:right w:val="single" w:color="auto" w:sz="4" w:space="0"/>
            </w:tcBorders>
            <w:vAlign w:val="center"/>
          </w:tcPr>
          <w:p>
            <w:pPr>
              <w:spacing w:line="520" w:lineRule="exact"/>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1.60</w:t>
            </w:r>
          </w:p>
        </w:tc>
        <w:tc>
          <w:tcPr>
            <w:tcW w:w="158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hint="eastAsia" w:ascii="宋体" w:hAnsi="宋体" w:cs="宋体"/>
                <w:kern w:val="0"/>
                <w:sz w:val="18"/>
                <w:szCs w:val="18"/>
              </w:rPr>
            </w:pPr>
            <w:r>
              <w:rPr>
                <w:rFonts w:hint="eastAsia" w:ascii="宋体" w:hAnsi="宋体" w:cs="宋体"/>
                <w:kern w:val="0"/>
                <w:sz w:val="18"/>
                <w:szCs w:val="18"/>
              </w:rPr>
              <w:t>1.40</w:t>
            </w:r>
          </w:p>
        </w:tc>
        <w:tc>
          <w:tcPr>
            <w:tcW w:w="1585" w:type="dxa"/>
            <w:tcBorders>
              <w:top w:val="single" w:color="auto" w:sz="4" w:space="0"/>
              <w:left w:val="single" w:color="auto" w:sz="4" w:space="0"/>
              <w:bottom w:val="single" w:color="auto" w:sz="4" w:space="0"/>
            </w:tcBorders>
            <w:vAlign w:val="center"/>
          </w:tcPr>
          <w:p>
            <w:pPr>
              <w:spacing w:line="520" w:lineRule="exact"/>
              <w:jc w:val="center"/>
              <w:rPr>
                <w:rFonts w:hint="eastAsia" w:ascii="宋体" w:hAnsi="宋体" w:cs="宋体"/>
                <w:kern w:val="0"/>
                <w:sz w:val="18"/>
                <w:szCs w:val="18"/>
              </w:rPr>
            </w:pPr>
            <w:r>
              <w:rPr>
                <w:rFonts w:hint="eastAsia" w:ascii="宋体" w:hAnsi="宋体" w:cs="宋体"/>
                <w:kern w:val="0"/>
                <w:sz w:val="18"/>
                <w:szCs w:val="18"/>
              </w:rPr>
              <w:t>1.20</w:t>
            </w:r>
          </w:p>
        </w:tc>
        <w:tc>
          <w:tcPr>
            <w:tcW w:w="1588" w:type="dxa"/>
            <w:tcBorders>
              <w:top w:val="single" w:color="auto" w:sz="4" w:space="0"/>
              <w:bottom w:val="single" w:color="auto" w:sz="4" w:space="0"/>
            </w:tcBorders>
            <w:vAlign w:val="center"/>
          </w:tcPr>
          <w:p>
            <w:pPr>
              <w:spacing w:line="520" w:lineRule="exact"/>
              <w:jc w:val="center"/>
              <w:rPr>
                <w:rFonts w:hint="eastAsia" w:ascii="宋体" w:hAnsi="宋体" w:cs="宋体"/>
                <w:kern w:val="0"/>
                <w:sz w:val="18"/>
                <w:szCs w:val="18"/>
              </w:rPr>
            </w:pPr>
            <w:r>
              <w:rPr>
                <w:rFonts w:hint="eastAsia" w:ascii="宋体" w:hAnsi="宋体" w:eastAsia="宋体" w:cs="宋体"/>
                <w:kern w:val="0"/>
                <w:sz w:val="18"/>
                <w:szCs w:val="18"/>
              </w:rPr>
              <w:t>0.60</w:t>
            </w:r>
          </w:p>
        </w:tc>
      </w:tr>
    </w:tbl>
    <w:p>
      <w:pPr>
        <w:pStyle w:val="24"/>
        <w:tabs>
          <w:tab w:val="center" w:pos="4201"/>
          <w:tab w:val="right" w:leader="dot" w:pos="9298"/>
        </w:tabs>
        <w:rPr>
          <w:highlight w:val="none"/>
        </w:rPr>
      </w:pPr>
      <w:r>
        <w:rPr>
          <w:rFonts w:hint="eastAsia"/>
          <w:color w:val="000000"/>
          <w:szCs w:val="21"/>
        </w:rPr>
        <w:t>钨冶炼</w:t>
      </w:r>
      <w:r>
        <w:rPr>
          <w:rFonts w:hint="eastAsia"/>
          <w:color w:val="000000"/>
          <w:szCs w:val="21"/>
          <w:highlight w:val="none"/>
          <w:lang w:eastAsia="zh-CN"/>
        </w:rPr>
        <w:t>和</w:t>
      </w:r>
      <w:r>
        <w:rPr>
          <w:rFonts w:hint="eastAsia"/>
          <w:color w:val="000000"/>
          <w:szCs w:val="21"/>
          <w:highlight w:val="none"/>
        </w:rPr>
        <w:t>铜冶炼副产品氧化锡水分含量应不</w:t>
      </w:r>
      <w:r>
        <w:rPr>
          <w:rFonts w:hint="eastAsia"/>
          <w:color w:val="000000"/>
          <w:szCs w:val="21"/>
        </w:rPr>
        <w:t>大于30%</w:t>
      </w:r>
      <w:r>
        <w:rPr>
          <w:rFonts w:hint="eastAsia" w:ascii="Times New Roman"/>
        </w:rPr>
        <w:t>；</w:t>
      </w:r>
      <w:r>
        <w:rPr>
          <w:rFonts w:hint="eastAsia"/>
        </w:rPr>
        <w:t>铅冶炼</w:t>
      </w:r>
      <w:r>
        <w:rPr>
          <w:rFonts w:hint="eastAsia"/>
          <w:color w:val="000000"/>
          <w:szCs w:val="21"/>
        </w:rPr>
        <w:t>副产</w:t>
      </w:r>
      <w:r>
        <w:rPr>
          <w:rFonts w:hint="eastAsia"/>
          <w:color w:val="000000"/>
          <w:szCs w:val="21"/>
          <w:lang w:eastAsia="zh-CN"/>
        </w:rPr>
        <w:t>品</w:t>
      </w:r>
      <w:r>
        <w:rPr>
          <w:rFonts w:hint="eastAsia"/>
          <w:color w:val="000000"/>
          <w:szCs w:val="21"/>
        </w:rPr>
        <w:t>氧化锡水分含量应不大于1%。</w:t>
      </w:r>
      <w:r>
        <w:rPr>
          <w:rFonts w:hint="eastAsia" w:hAnsi="宋体"/>
          <w:highlight w:val="none"/>
        </w:rPr>
        <w:t>钨冶炼</w:t>
      </w:r>
      <w:r>
        <w:rPr>
          <w:rFonts w:hint="eastAsia" w:hAnsi="宋体"/>
          <w:highlight w:val="none"/>
          <w:lang w:eastAsia="zh-CN"/>
        </w:rPr>
        <w:t>副产品</w:t>
      </w:r>
      <w:r>
        <w:rPr>
          <w:rFonts w:hint="eastAsia" w:hAnsi="宋体"/>
          <w:highlight w:val="none"/>
        </w:rPr>
        <w:t>氧化锡</w:t>
      </w:r>
      <w:r>
        <w:rPr>
          <w:highlight w:val="none"/>
        </w:rPr>
        <w:t>为</w:t>
      </w:r>
      <w:r>
        <w:rPr>
          <w:rFonts w:hint="eastAsia"/>
          <w:highlight w:val="none"/>
        </w:rPr>
        <w:t>灰黑色</w:t>
      </w:r>
      <w:r>
        <w:rPr>
          <w:rFonts w:hint="eastAsia"/>
          <w:color w:val="000000"/>
          <w:szCs w:val="21"/>
          <w:highlight w:val="none"/>
        </w:rPr>
        <w:t>膏</w:t>
      </w:r>
      <w:r>
        <w:rPr>
          <w:rFonts w:hint="eastAsia"/>
          <w:highlight w:val="none"/>
        </w:rPr>
        <w:t>体；铅冶炼</w:t>
      </w:r>
      <w:r>
        <w:rPr>
          <w:rFonts w:hint="eastAsia"/>
          <w:highlight w:val="none"/>
          <w:lang w:eastAsia="zh-CN"/>
        </w:rPr>
        <w:t>副产品</w:t>
      </w:r>
      <w:r>
        <w:rPr>
          <w:rFonts w:hint="eastAsia"/>
          <w:highlight w:val="none"/>
        </w:rPr>
        <w:t>氧化锡为黄色或灰黑色块状或粉状固体；铜冶炼副产品氧化锡为灰白色块状或粉状固体。</w:t>
      </w:r>
    </w:p>
    <w:p>
      <w:pPr>
        <w:pStyle w:val="31"/>
        <w:numPr>
          <w:ilvl w:val="0"/>
          <w:numId w:val="0"/>
        </w:numPr>
        <w:spacing w:before="156" w:after="156"/>
        <w:ind w:firstLine="420" w:firstLineChars="200"/>
        <w:jc w:val="center"/>
        <w:rPr>
          <w:rFonts w:eastAsia="宋体"/>
        </w:rPr>
      </w:pPr>
      <w:r>
        <w:rPr>
          <w:rFonts w:hint="eastAsia" w:hAnsi="宋体"/>
        </w:rPr>
        <w:t>表 2 冶炼副产品氧化锡产品结果</w:t>
      </w:r>
    </w:p>
    <w:tbl>
      <w:tblPr>
        <w:tblStyle w:val="14"/>
        <w:tblpPr w:leftFromText="180" w:rightFromText="180" w:vertAnchor="text" w:horzAnchor="page" w:tblpX="731" w:tblpY="771"/>
        <w:tblOverlap w:val="never"/>
        <w:tblW w:w="1047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84"/>
        <w:gridCol w:w="708"/>
        <w:gridCol w:w="732"/>
        <w:gridCol w:w="708"/>
        <w:gridCol w:w="744"/>
        <w:gridCol w:w="672"/>
        <w:gridCol w:w="672"/>
        <w:gridCol w:w="720"/>
        <w:gridCol w:w="685"/>
        <w:gridCol w:w="702"/>
        <w:gridCol w:w="698"/>
        <w:gridCol w:w="737"/>
        <w:gridCol w:w="699"/>
        <w:gridCol w:w="7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1284" w:type="dxa"/>
            <w:vMerge w:val="restart"/>
            <w:vAlign w:val="center"/>
          </w:tcPr>
          <w:p>
            <w:pPr>
              <w:spacing w:line="520" w:lineRule="exact"/>
              <w:ind w:firstLine="180" w:firstLineChars="100"/>
              <w:jc w:val="center"/>
              <w:rPr>
                <w:rFonts w:hint="eastAsia" w:ascii="宋体" w:hAnsi="宋体" w:eastAsia="宋体"/>
                <w:sz w:val="18"/>
                <w:szCs w:val="18"/>
              </w:rPr>
            </w:pPr>
            <w:r>
              <w:rPr>
                <w:rFonts w:hint="eastAsia" w:ascii="宋体" w:hAnsi="宋体"/>
                <w:sz w:val="18"/>
                <w:szCs w:val="18"/>
              </w:rPr>
              <w:t>批号</w:t>
            </w:r>
          </w:p>
        </w:tc>
        <w:tc>
          <w:tcPr>
            <w:tcW w:w="8477" w:type="dxa"/>
            <w:gridSpan w:val="12"/>
            <w:tcBorders>
              <w:bottom w:val="single" w:color="auto" w:sz="4" w:space="0"/>
              <w:right w:val="single" w:color="auto" w:sz="4" w:space="0"/>
            </w:tcBorders>
            <w:vAlign w:val="center"/>
          </w:tcPr>
          <w:p>
            <w:pPr>
              <w:spacing w:line="520" w:lineRule="exact"/>
              <w:jc w:val="center"/>
              <w:rPr>
                <w:rFonts w:hint="eastAsia" w:ascii="宋体" w:hAnsi="宋体" w:eastAsia="宋体"/>
                <w:sz w:val="18"/>
                <w:szCs w:val="18"/>
              </w:rPr>
            </w:pPr>
            <w:r>
              <w:rPr>
                <w:rFonts w:hint="eastAsia" w:ascii="宋体" w:hAnsi="宋体" w:cs="宋体"/>
                <w:kern w:val="0"/>
                <w:sz w:val="18"/>
                <w:szCs w:val="18"/>
              </w:rPr>
              <w:t>化学元素/%（以干基计）</w:t>
            </w:r>
          </w:p>
        </w:tc>
        <w:tc>
          <w:tcPr>
            <w:tcW w:w="711" w:type="dxa"/>
            <w:vMerge w:val="restart"/>
            <w:tcBorders>
              <w:left w:val="single" w:color="auto" w:sz="4" w:space="0"/>
              <w:right w:val="single" w:color="auto" w:sz="4" w:space="0"/>
            </w:tcBorders>
            <w:vAlign w:val="center"/>
          </w:tcPr>
          <w:p>
            <w:pPr>
              <w:spacing w:line="520" w:lineRule="exact"/>
              <w:jc w:val="center"/>
              <w:rPr>
                <w:rFonts w:hint="eastAsia" w:ascii="宋体" w:hAnsi="宋体" w:cs="宋体"/>
                <w:kern w:val="0"/>
                <w:sz w:val="18"/>
                <w:szCs w:val="18"/>
              </w:rPr>
            </w:pPr>
            <w:r>
              <w:rPr>
                <w:rFonts w:hint="eastAsia" w:ascii="宋体" w:hAnsi="宋体" w:cs="宋体"/>
                <w:kern w:val="0"/>
                <w:sz w:val="18"/>
                <w:szCs w:val="18"/>
              </w:rPr>
              <w:t>H</w:t>
            </w:r>
            <w:r>
              <w:rPr>
                <w:rFonts w:hint="eastAsia" w:ascii="宋体" w:hAnsi="宋体" w:cs="宋体"/>
                <w:kern w:val="0"/>
                <w:sz w:val="18"/>
                <w:szCs w:val="18"/>
                <w:vertAlign w:val="subscript"/>
              </w:rPr>
              <w:t>2</w:t>
            </w:r>
            <w:r>
              <w:rPr>
                <w:rFonts w:hint="eastAsia" w:ascii="宋体" w:hAnsi="宋体" w:cs="宋体"/>
                <w:kern w:val="0"/>
                <w:sz w:val="18"/>
                <w:szCs w:val="18"/>
              </w:rPr>
              <w:t>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6" w:hRule="atLeast"/>
        </w:trPr>
        <w:tc>
          <w:tcPr>
            <w:tcW w:w="1284" w:type="dxa"/>
            <w:vMerge w:val="continue"/>
            <w:vAlign w:val="center"/>
          </w:tcPr>
          <w:p>
            <w:pPr>
              <w:spacing w:line="520" w:lineRule="exact"/>
              <w:jc w:val="center"/>
              <w:rPr>
                <w:rFonts w:hint="eastAsia" w:ascii="宋体" w:hAnsi="宋体"/>
                <w:sz w:val="18"/>
                <w:szCs w:val="18"/>
              </w:rPr>
            </w:pPr>
          </w:p>
        </w:tc>
        <w:tc>
          <w:tcPr>
            <w:tcW w:w="708" w:type="dxa"/>
            <w:tcBorders>
              <w:top w:val="single" w:color="auto" w:sz="4" w:space="0"/>
              <w:right w:val="single" w:color="auto" w:sz="4" w:space="0"/>
            </w:tcBorders>
            <w:vAlign w:val="center"/>
          </w:tcPr>
          <w:p>
            <w:pPr>
              <w:widowControl/>
              <w:spacing w:line="520" w:lineRule="exact"/>
              <w:jc w:val="center"/>
              <w:textAlignment w:val="center"/>
              <w:rPr>
                <w:rFonts w:hint="eastAsia" w:ascii="宋体" w:hAnsi="宋体" w:cs="宋体"/>
                <w:kern w:val="0"/>
                <w:sz w:val="18"/>
                <w:szCs w:val="18"/>
              </w:rPr>
            </w:pPr>
            <w:r>
              <w:rPr>
                <w:rFonts w:hint="eastAsia" w:ascii="宋体" w:hAnsi="宋体" w:eastAsia="宋体" w:cs="宋体"/>
                <w:color w:val="000000"/>
                <w:kern w:val="0"/>
                <w:sz w:val="20"/>
                <w:szCs w:val="20"/>
                <w:lang w:bidi="ar"/>
              </w:rPr>
              <w:t>Sn</w:t>
            </w:r>
          </w:p>
        </w:tc>
        <w:tc>
          <w:tcPr>
            <w:tcW w:w="732" w:type="dxa"/>
            <w:tcBorders>
              <w:top w:val="single" w:color="auto" w:sz="4" w:space="0"/>
              <w:left w:val="single" w:color="auto" w:sz="4" w:space="0"/>
              <w:right w:val="single" w:color="auto" w:sz="4" w:space="0"/>
            </w:tcBorders>
            <w:vAlign w:val="center"/>
          </w:tcPr>
          <w:p>
            <w:pPr>
              <w:widowControl/>
              <w:spacing w:line="520" w:lineRule="exact"/>
              <w:jc w:val="center"/>
              <w:textAlignment w:val="center"/>
              <w:rPr>
                <w:rFonts w:hint="eastAsia" w:ascii="宋体" w:hAnsi="宋体" w:cs="宋体"/>
                <w:kern w:val="0"/>
                <w:sz w:val="18"/>
                <w:szCs w:val="18"/>
              </w:rPr>
            </w:pPr>
            <w:r>
              <w:rPr>
                <w:rFonts w:hint="eastAsia" w:ascii="宋体" w:hAnsi="宋体" w:eastAsia="宋体" w:cs="宋体"/>
                <w:color w:val="000000"/>
                <w:kern w:val="0"/>
                <w:sz w:val="20"/>
                <w:szCs w:val="20"/>
                <w:lang w:bidi="ar"/>
              </w:rPr>
              <w:t>S</w:t>
            </w:r>
          </w:p>
        </w:tc>
        <w:tc>
          <w:tcPr>
            <w:tcW w:w="708" w:type="dxa"/>
            <w:tcBorders>
              <w:top w:val="single" w:color="auto" w:sz="4" w:space="0"/>
              <w:left w:val="single" w:color="auto" w:sz="4" w:space="0"/>
              <w:right w:val="single" w:color="auto" w:sz="4" w:space="0"/>
            </w:tcBorders>
            <w:vAlign w:val="center"/>
          </w:tcPr>
          <w:p>
            <w:pPr>
              <w:widowControl/>
              <w:spacing w:line="520" w:lineRule="exact"/>
              <w:jc w:val="center"/>
              <w:textAlignment w:val="center"/>
              <w:rPr>
                <w:rFonts w:hint="eastAsia" w:ascii="宋体" w:hAnsi="宋体" w:cs="宋体"/>
                <w:kern w:val="0"/>
                <w:sz w:val="18"/>
                <w:szCs w:val="18"/>
              </w:rPr>
            </w:pPr>
            <w:r>
              <w:rPr>
                <w:rFonts w:hint="eastAsia" w:ascii="宋体" w:hAnsi="宋体" w:eastAsia="宋体" w:cs="宋体"/>
                <w:color w:val="000000"/>
                <w:kern w:val="0"/>
                <w:sz w:val="20"/>
                <w:szCs w:val="20"/>
                <w:lang w:bidi="ar"/>
              </w:rPr>
              <w:t>As</w:t>
            </w:r>
          </w:p>
        </w:tc>
        <w:tc>
          <w:tcPr>
            <w:tcW w:w="744" w:type="dxa"/>
            <w:tcBorders>
              <w:top w:val="single" w:color="auto" w:sz="4" w:space="0"/>
              <w:left w:val="single" w:color="auto" w:sz="4" w:space="0"/>
              <w:right w:val="single" w:color="auto" w:sz="4" w:space="0"/>
            </w:tcBorders>
            <w:vAlign w:val="center"/>
          </w:tcPr>
          <w:p>
            <w:pPr>
              <w:widowControl/>
              <w:spacing w:line="520" w:lineRule="exact"/>
              <w:jc w:val="center"/>
              <w:textAlignment w:val="center"/>
              <w:rPr>
                <w:rFonts w:hint="eastAsia" w:ascii="宋体" w:hAnsi="宋体" w:cs="宋体"/>
                <w:kern w:val="0"/>
                <w:sz w:val="18"/>
                <w:szCs w:val="18"/>
              </w:rPr>
            </w:pPr>
            <w:r>
              <w:rPr>
                <w:rFonts w:hint="eastAsia" w:ascii="宋体" w:hAnsi="宋体" w:cs="宋体"/>
                <w:kern w:val="0"/>
                <w:sz w:val="18"/>
                <w:szCs w:val="18"/>
              </w:rPr>
              <w:t>Bi</w:t>
            </w:r>
          </w:p>
        </w:tc>
        <w:tc>
          <w:tcPr>
            <w:tcW w:w="672" w:type="dxa"/>
            <w:tcBorders>
              <w:top w:val="single" w:color="auto" w:sz="4" w:space="0"/>
              <w:left w:val="single" w:color="auto" w:sz="4" w:space="0"/>
              <w:right w:val="single" w:color="auto" w:sz="4" w:space="0"/>
            </w:tcBorders>
            <w:vAlign w:val="center"/>
          </w:tcPr>
          <w:p>
            <w:pPr>
              <w:widowControl/>
              <w:spacing w:line="520" w:lineRule="exact"/>
              <w:jc w:val="center"/>
              <w:textAlignment w:val="center"/>
              <w:rPr>
                <w:rFonts w:hint="eastAsia" w:ascii="宋体" w:hAnsi="宋体" w:eastAsia="宋体" w:cs="宋体"/>
                <w:kern w:val="0"/>
                <w:sz w:val="18"/>
                <w:szCs w:val="18"/>
              </w:rPr>
            </w:pPr>
            <w:r>
              <w:rPr>
                <w:rFonts w:hint="eastAsia" w:ascii="宋体" w:hAnsi="宋体" w:eastAsia="宋体" w:cs="宋体"/>
                <w:color w:val="000000"/>
                <w:kern w:val="0"/>
                <w:sz w:val="20"/>
                <w:szCs w:val="20"/>
                <w:lang w:bidi="ar"/>
              </w:rPr>
              <w:t>Zn</w:t>
            </w:r>
          </w:p>
        </w:tc>
        <w:tc>
          <w:tcPr>
            <w:tcW w:w="672" w:type="dxa"/>
            <w:tcBorders>
              <w:top w:val="single" w:color="auto" w:sz="4" w:space="0"/>
              <w:left w:val="single" w:color="auto" w:sz="4" w:space="0"/>
              <w:right w:val="single" w:color="auto" w:sz="4" w:space="0"/>
            </w:tcBorders>
            <w:vAlign w:val="center"/>
          </w:tcPr>
          <w:p>
            <w:pPr>
              <w:widowControl/>
              <w:spacing w:line="520" w:lineRule="exact"/>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rPr>
              <w:t>Sb</w:t>
            </w:r>
          </w:p>
        </w:tc>
        <w:tc>
          <w:tcPr>
            <w:tcW w:w="720" w:type="dxa"/>
            <w:tcBorders>
              <w:top w:val="single" w:color="auto" w:sz="4" w:space="0"/>
              <w:left w:val="single" w:color="auto" w:sz="4" w:space="0"/>
              <w:right w:val="single" w:color="auto" w:sz="4" w:space="0"/>
            </w:tcBorders>
            <w:vAlign w:val="center"/>
          </w:tcPr>
          <w:p>
            <w:pPr>
              <w:widowControl/>
              <w:spacing w:line="520" w:lineRule="exact"/>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rPr>
              <w:t>Fe</w:t>
            </w:r>
          </w:p>
        </w:tc>
        <w:tc>
          <w:tcPr>
            <w:tcW w:w="685" w:type="dxa"/>
            <w:tcBorders>
              <w:top w:val="single" w:color="auto" w:sz="4" w:space="0"/>
              <w:left w:val="single" w:color="auto" w:sz="4" w:space="0"/>
            </w:tcBorders>
            <w:vAlign w:val="center"/>
          </w:tcPr>
          <w:p>
            <w:pPr>
              <w:widowControl/>
              <w:spacing w:line="520" w:lineRule="exact"/>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rPr>
              <w:t>F</w:t>
            </w:r>
          </w:p>
        </w:tc>
        <w:tc>
          <w:tcPr>
            <w:tcW w:w="702" w:type="dxa"/>
            <w:tcBorders>
              <w:top w:val="single" w:color="auto" w:sz="4" w:space="0"/>
              <w:right w:val="single" w:color="auto" w:sz="4" w:space="0"/>
            </w:tcBorders>
            <w:vAlign w:val="center"/>
          </w:tcPr>
          <w:p>
            <w:pPr>
              <w:widowControl/>
              <w:spacing w:line="520" w:lineRule="exact"/>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rPr>
              <w:t>Cu</w:t>
            </w:r>
          </w:p>
        </w:tc>
        <w:tc>
          <w:tcPr>
            <w:tcW w:w="698" w:type="dxa"/>
            <w:tcBorders>
              <w:top w:val="single" w:color="auto" w:sz="4" w:space="0"/>
              <w:left w:val="single" w:color="auto" w:sz="4" w:space="0"/>
              <w:right w:val="single" w:color="auto" w:sz="4" w:space="0"/>
            </w:tcBorders>
            <w:vAlign w:val="center"/>
          </w:tcPr>
          <w:p>
            <w:pPr>
              <w:widowControl/>
              <w:spacing w:line="520" w:lineRule="exact"/>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rPr>
              <w:t>Ca</w:t>
            </w:r>
          </w:p>
        </w:tc>
        <w:tc>
          <w:tcPr>
            <w:tcW w:w="737" w:type="dxa"/>
            <w:tcBorders>
              <w:top w:val="single" w:color="auto" w:sz="4" w:space="0"/>
              <w:left w:val="single" w:color="auto" w:sz="4" w:space="0"/>
              <w:right w:val="single" w:color="auto" w:sz="4" w:space="0"/>
            </w:tcBorders>
            <w:vAlign w:val="center"/>
          </w:tcPr>
          <w:p>
            <w:pPr>
              <w:widowControl/>
              <w:spacing w:line="520" w:lineRule="exact"/>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rPr>
              <w:t>Si</w:t>
            </w:r>
          </w:p>
        </w:tc>
        <w:tc>
          <w:tcPr>
            <w:tcW w:w="699" w:type="dxa"/>
            <w:tcBorders>
              <w:top w:val="single" w:color="auto" w:sz="4" w:space="0"/>
              <w:left w:val="single" w:color="auto" w:sz="4" w:space="0"/>
              <w:right w:val="single" w:color="auto" w:sz="4" w:space="0"/>
            </w:tcBorders>
            <w:vAlign w:val="center"/>
          </w:tcPr>
          <w:p>
            <w:pPr>
              <w:widowControl/>
              <w:spacing w:line="520" w:lineRule="exact"/>
              <w:jc w:val="center"/>
              <w:textAlignment w:val="center"/>
              <w:rPr>
                <w:rFonts w:hint="eastAsia" w:ascii="宋体" w:hAnsi="宋体" w:eastAsia="宋体" w:cs="宋体"/>
                <w:kern w:val="0"/>
                <w:sz w:val="18"/>
                <w:szCs w:val="18"/>
              </w:rPr>
            </w:pPr>
            <w:r>
              <w:rPr>
                <w:rFonts w:hint="eastAsia" w:ascii="宋体" w:hAnsi="宋体" w:eastAsia="宋体" w:cs="宋体"/>
                <w:kern w:val="0"/>
                <w:sz w:val="18"/>
                <w:szCs w:val="18"/>
              </w:rPr>
              <w:t>W</w:t>
            </w:r>
          </w:p>
        </w:tc>
        <w:tc>
          <w:tcPr>
            <w:tcW w:w="711" w:type="dxa"/>
            <w:vMerge w:val="continue"/>
            <w:tcBorders>
              <w:left w:val="single" w:color="auto" w:sz="4" w:space="0"/>
              <w:right w:val="single" w:color="auto" w:sz="4" w:space="0"/>
            </w:tcBorders>
            <w:vAlign w:val="center"/>
          </w:tcPr>
          <w:p>
            <w:pPr>
              <w:widowControl/>
              <w:spacing w:line="520" w:lineRule="exact"/>
              <w:jc w:val="center"/>
              <w:textAlignment w:val="center"/>
              <w:rPr>
                <w:rFonts w:hint="eastAsia" w:ascii="宋体" w:hAnsi="宋体" w:eastAsia="宋体" w:cs="宋体"/>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1284" w:type="dxa"/>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sz w:val="18"/>
                <w:szCs w:val="18"/>
              </w:rPr>
            </w:pPr>
            <w:r>
              <w:rPr>
                <w:rFonts w:hint="eastAsia" w:ascii="宋体" w:hAnsi="宋体" w:eastAsia="宋体"/>
                <w:sz w:val="18"/>
                <w:szCs w:val="18"/>
              </w:rPr>
              <w:t>样品1</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sz w:val="18"/>
                <w:szCs w:val="18"/>
                <w:lang w:eastAsia="zh-CN"/>
              </w:rPr>
            </w:pPr>
            <w:r>
              <w:rPr>
                <w:rFonts w:hint="eastAsia" w:ascii="宋体" w:hAnsi="宋体" w:eastAsia="宋体"/>
                <w:sz w:val="18"/>
                <w:szCs w:val="18"/>
                <w:lang w:eastAsia="zh-CN"/>
              </w:rPr>
              <w:t>（</w:t>
            </w:r>
            <w:r>
              <w:rPr>
                <w:rFonts w:hint="eastAsia" w:ascii="宋体" w:hAnsi="宋体" w:eastAsia="宋体"/>
                <w:sz w:val="18"/>
                <w:szCs w:val="18"/>
                <w:lang w:val="en-US" w:eastAsia="zh-CN"/>
              </w:rPr>
              <w:t>钨冶炼</w:t>
            </w:r>
            <w:r>
              <w:rPr>
                <w:rFonts w:hint="eastAsia" w:ascii="宋体" w:hAnsi="宋体" w:eastAsia="宋体"/>
                <w:sz w:val="18"/>
                <w:szCs w:val="18"/>
                <w:lang w:eastAsia="zh-CN"/>
              </w:rPr>
              <w:t>）</w:t>
            </w:r>
          </w:p>
        </w:tc>
        <w:tc>
          <w:tcPr>
            <w:tcW w:w="708" w:type="dxa"/>
            <w:tcBorders>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11.47</w:t>
            </w:r>
          </w:p>
        </w:tc>
        <w:tc>
          <w:tcPr>
            <w:tcW w:w="732" w:type="dxa"/>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rPr>
            </w:pPr>
            <w:r>
              <w:rPr>
                <w:rFonts w:hint="eastAsia" w:ascii="宋体" w:hAnsi="宋体" w:cs="宋体"/>
                <w:kern w:val="0"/>
                <w:sz w:val="18"/>
                <w:szCs w:val="18"/>
              </w:rPr>
              <w:t>3.5</w:t>
            </w:r>
          </w:p>
        </w:tc>
        <w:tc>
          <w:tcPr>
            <w:tcW w:w="708" w:type="dxa"/>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0.25</w:t>
            </w:r>
          </w:p>
        </w:tc>
        <w:tc>
          <w:tcPr>
            <w:tcW w:w="744" w:type="dxa"/>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&lt;0.05</w:t>
            </w:r>
          </w:p>
        </w:tc>
        <w:tc>
          <w:tcPr>
            <w:tcW w:w="672" w:type="dxa"/>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0.07</w:t>
            </w:r>
          </w:p>
        </w:tc>
        <w:tc>
          <w:tcPr>
            <w:tcW w:w="672" w:type="dxa"/>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rPr>
            </w:pPr>
            <w:r>
              <w:rPr>
                <w:rFonts w:hint="eastAsia" w:ascii="宋体" w:hAnsi="宋体" w:cs="宋体"/>
                <w:kern w:val="0"/>
                <w:sz w:val="18"/>
                <w:szCs w:val="18"/>
              </w:rPr>
              <w:t>&lt;0.05</w:t>
            </w:r>
          </w:p>
        </w:tc>
        <w:tc>
          <w:tcPr>
            <w:tcW w:w="720" w:type="dxa"/>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rPr>
            </w:pPr>
            <w:r>
              <w:rPr>
                <w:rFonts w:hint="eastAsia" w:ascii="宋体" w:hAnsi="宋体" w:cs="宋体"/>
                <w:kern w:val="0"/>
                <w:sz w:val="18"/>
                <w:szCs w:val="18"/>
              </w:rPr>
              <w:t>6.43</w:t>
            </w:r>
          </w:p>
        </w:tc>
        <w:tc>
          <w:tcPr>
            <w:tcW w:w="685" w:type="dxa"/>
            <w:tcBorders>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2.11</w:t>
            </w:r>
          </w:p>
        </w:tc>
        <w:tc>
          <w:tcPr>
            <w:tcW w:w="702" w:type="dxa"/>
            <w:tcBorders>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rPr>
            </w:pPr>
            <w:r>
              <w:rPr>
                <w:rFonts w:hint="eastAsia" w:ascii="宋体" w:hAnsi="宋体" w:cs="宋体"/>
                <w:kern w:val="0"/>
                <w:sz w:val="18"/>
                <w:szCs w:val="18"/>
              </w:rPr>
              <w:t>0.21</w:t>
            </w:r>
          </w:p>
        </w:tc>
        <w:tc>
          <w:tcPr>
            <w:tcW w:w="698" w:type="dxa"/>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25.78</w:t>
            </w:r>
          </w:p>
        </w:tc>
        <w:tc>
          <w:tcPr>
            <w:tcW w:w="737" w:type="dxa"/>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4.48</w:t>
            </w:r>
          </w:p>
        </w:tc>
        <w:tc>
          <w:tcPr>
            <w:tcW w:w="699" w:type="dxa"/>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color w:val="000000"/>
                <w:kern w:val="0"/>
                <w:sz w:val="18"/>
                <w:szCs w:val="18"/>
              </w:rPr>
            </w:pPr>
            <w:r>
              <w:rPr>
                <w:rFonts w:hint="eastAsia" w:ascii="宋体" w:hAnsi="宋体" w:cs="宋体"/>
                <w:kern w:val="0"/>
                <w:sz w:val="18"/>
                <w:szCs w:val="18"/>
              </w:rPr>
              <w:t>0.77</w:t>
            </w:r>
          </w:p>
        </w:tc>
        <w:tc>
          <w:tcPr>
            <w:tcW w:w="711" w:type="dxa"/>
            <w:tcBorders>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23.65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trPr>
        <w:tc>
          <w:tcPr>
            <w:tcW w:w="1284" w:type="dxa"/>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sz w:val="18"/>
                <w:szCs w:val="18"/>
              </w:rPr>
            </w:pPr>
            <w:r>
              <w:rPr>
                <w:rFonts w:hint="eastAsia" w:ascii="宋体" w:hAnsi="宋体" w:eastAsia="宋体"/>
                <w:sz w:val="18"/>
                <w:szCs w:val="18"/>
              </w:rPr>
              <w:t>样品</w:t>
            </w:r>
            <w:r>
              <w:rPr>
                <w:rFonts w:hint="eastAsia" w:ascii="宋体" w:hAnsi="宋体"/>
                <w:sz w:val="18"/>
                <w:szCs w:val="18"/>
              </w:rPr>
              <w:t>2</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sz w:val="18"/>
                <w:szCs w:val="18"/>
              </w:rPr>
            </w:pPr>
            <w:r>
              <w:rPr>
                <w:rFonts w:hint="eastAsia" w:ascii="宋体" w:hAnsi="宋体" w:eastAsia="宋体"/>
                <w:sz w:val="18"/>
                <w:szCs w:val="18"/>
                <w:lang w:eastAsia="zh-CN"/>
              </w:rPr>
              <w:t>（</w:t>
            </w:r>
            <w:r>
              <w:rPr>
                <w:rFonts w:hint="eastAsia" w:ascii="宋体" w:hAnsi="宋体" w:eastAsia="宋体"/>
                <w:sz w:val="18"/>
                <w:szCs w:val="18"/>
                <w:lang w:val="en-US" w:eastAsia="zh-CN"/>
              </w:rPr>
              <w:t>钨冶炼</w:t>
            </w:r>
            <w:r>
              <w:rPr>
                <w:rFonts w:hint="eastAsia" w:ascii="宋体" w:hAnsi="宋体" w:eastAsia="宋体"/>
                <w:sz w:val="18"/>
                <w:szCs w:val="18"/>
                <w:lang w:eastAsia="zh-CN"/>
              </w:rPr>
              <w:t>）</w:t>
            </w:r>
          </w:p>
        </w:tc>
        <w:tc>
          <w:tcPr>
            <w:tcW w:w="708"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17.95</w:t>
            </w:r>
          </w:p>
        </w:tc>
        <w:tc>
          <w:tcPr>
            <w:tcW w:w="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2.78</w:t>
            </w: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0.18</w:t>
            </w: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&lt;0.05</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0.15</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rPr>
            </w:pPr>
            <w:r>
              <w:rPr>
                <w:rFonts w:hint="eastAsia" w:ascii="宋体" w:hAnsi="宋体" w:cs="宋体"/>
                <w:kern w:val="0"/>
                <w:sz w:val="18"/>
                <w:szCs w:val="18"/>
              </w:rPr>
              <w:t>&lt;0.05</w:t>
            </w:r>
          </w:p>
        </w:tc>
        <w:tc>
          <w:tcPr>
            <w:tcW w:w="7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6.78</w:t>
            </w:r>
          </w:p>
        </w:tc>
        <w:tc>
          <w:tcPr>
            <w:tcW w:w="685"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1.78</w:t>
            </w:r>
          </w:p>
        </w:tc>
        <w:tc>
          <w:tcPr>
            <w:tcW w:w="702"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0.13</w:t>
            </w:r>
          </w:p>
        </w:tc>
        <w:tc>
          <w:tcPr>
            <w:tcW w:w="6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22.18</w:t>
            </w: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5.32</w:t>
            </w:r>
          </w:p>
        </w:tc>
        <w:tc>
          <w:tcPr>
            <w:tcW w:w="6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color w:val="000000"/>
                <w:kern w:val="0"/>
                <w:sz w:val="18"/>
                <w:szCs w:val="18"/>
              </w:rPr>
            </w:pPr>
            <w:r>
              <w:rPr>
                <w:rFonts w:hint="eastAsia" w:ascii="宋体" w:hAnsi="宋体" w:cs="宋体"/>
                <w:kern w:val="0"/>
                <w:sz w:val="18"/>
                <w:szCs w:val="18"/>
              </w:rPr>
              <w:t>1.25</w:t>
            </w:r>
          </w:p>
        </w:tc>
        <w:tc>
          <w:tcPr>
            <w:tcW w:w="711"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21.87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8" w:hRule="atLeast"/>
        </w:trPr>
        <w:tc>
          <w:tcPr>
            <w:tcW w:w="1284" w:type="dxa"/>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sz w:val="18"/>
                <w:szCs w:val="18"/>
              </w:rPr>
            </w:pPr>
            <w:r>
              <w:rPr>
                <w:rFonts w:hint="eastAsia" w:ascii="宋体" w:hAnsi="宋体" w:eastAsia="宋体"/>
                <w:sz w:val="18"/>
                <w:szCs w:val="18"/>
              </w:rPr>
              <w:t>样品</w:t>
            </w:r>
            <w:r>
              <w:rPr>
                <w:rFonts w:hint="eastAsia" w:ascii="宋体" w:hAnsi="宋体"/>
                <w:sz w:val="18"/>
                <w:szCs w:val="18"/>
              </w:rPr>
              <w:t>3</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sz w:val="18"/>
                <w:szCs w:val="18"/>
              </w:rPr>
            </w:pPr>
            <w:r>
              <w:rPr>
                <w:rFonts w:hint="eastAsia" w:ascii="宋体" w:hAnsi="宋体" w:eastAsia="宋体"/>
                <w:sz w:val="18"/>
                <w:szCs w:val="18"/>
                <w:lang w:eastAsia="zh-CN"/>
              </w:rPr>
              <w:t>（</w:t>
            </w:r>
            <w:r>
              <w:rPr>
                <w:rFonts w:hint="eastAsia" w:ascii="宋体" w:hAnsi="宋体" w:eastAsia="宋体"/>
                <w:sz w:val="18"/>
                <w:szCs w:val="18"/>
                <w:lang w:val="en-US" w:eastAsia="zh-CN"/>
              </w:rPr>
              <w:t>钨冶炼</w:t>
            </w:r>
            <w:r>
              <w:rPr>
                <w:rFonts w:hint="eastAsia" w:ascii="宋体" w:hAnsi="宋体" w:eastAsia="宋体"/>
                <w:sz w:val="18"/>
                <w:szCs w:val="18"/>
                <w:lang w:eastAsia="zh-CN"/>
              </w:rPr>
              <w:t>）</w:t>
            </w:r>
          </w:p>
        </w:tc>
        <w:tc>
          <w:tcPr>
            <w:tcW w:w="708"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21.22</w:t>
            </w:r>
          </w:p>
        </w:tc>
        <w:tc>
          <w:tcPr>
            <w:tcW w:w="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2.22</w:t>
            </w: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0.27</w:t>
            </w: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&lt;0.05</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0.07</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rPr>
            </w:pPr>
            <w:r>
              <w:rPr>
                <w:rFonts w:hint="eastAsia" w:ascii="宋体" w:hAnsi="宋体" w:cs="宋体"/>
                <w:kern w:val="0"/>
                <w:sz w:val="18"/>
                <w:szCs w:val="18"/>
              </w:rPr>
              <w:t>&lt;0.05</w:t>
            </w:r>
          </w:p>
        </w:tc>
        <w:tc>
          <w:tcPr>
            <w:tcW w:w="7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rPr>
            </w:pPr>
            <w:r>
              <w:rPr>
                <w:rFonts w:hint="eastAsia" w:ascii="宋体" w:hAnsi="宋体" w:cs="宋体"/>
                <w:kern w:val="0"/>
                <w:sz w:val="18"/>
                <w:szCs w:val="18"/>
              </w:rPr>
              <w:t>5.71</w:t>
            </w:r>
          </w:p>
        </w:tc>
        <w:tc>
          <w:tcPr>
            <w:tcW w:w="685"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2.35</w:t>
            </w:r>
          </w:p>
        </w:tc>
        <w:tc>
          <w:tcPr>
            <w:tcW w:w="702"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0.22</w:t>
            </w:r>
          </w:p>
        </w:tc>
        <w:tc>
          <w:tcPr>
            <w:tcW w:w="6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27.44</w:t>
            </w: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3.47</w:t>
            </w:r>
          </w:p>
        </w:tc>
        <w:tc>
          <w:tcPr>
            <w:tcW w:w="6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color w:val="000000"/>
                <w:kern w:val="0"/>
                <w:sz w:val="18"/>
                <w:szCs w:val="18"/>
              </w:rPr>
            </w:pPr>
            <w:r>
              <w:rPr>
                <w:rFonts w:hint="eastAsia" w:ascii="宋体" w:hAnsi="宋体" w:cs="宋体"/>
                <w:kern w:val="0"/>
                <w:sz w:val="18"/>
                <w:szCs w:val="18"/>
              </w:rPr>
              <w:t>1.17</w:t>
            </w:r>
          </w:p>
        </w:tc>
        <w:tc>
          <w:tcPr>
            <w:tcW w:w="711"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18.43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trPr>
        <w:tc>
          <w:tcPr>
            <w:tcW w:w="1284" w:type="dxa"/>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sz w:val="18"/>
                <w:szCs w:val="18"/>
                <w:lang w:val="en-US" w:eastAsia="zh-CN"/>
              </w:rPr>
            </w:pPr>
            <w:r>
              <w:rPr>
                <w:rFonts w:hint="eastAsia" w:ascii="宋体" w:hAnsi="宋体" w:eastAsia="宋体"/>
                <w:sz w:val="18"/>
                <w:szCs w:val="18"/>
              </w:rPr>
              <w:t>样品</w:t>
            </w:r>
            <w:r>
              <w:rPr>
                <w:rFonts w:hint="eastAsia" w:ascii="宋体" w:hAnsi="宋体"/>
                <w:sz w:val="18"/>
                <w:szCs w:val="18"/>
              </w:rPr>
              <w:t>4</w:t>
            </w:r>
            <w:r>
              <w:rPr>
                <w:rFonts w:hint="eastAsia" w:ascii="宋体" w:hAnsi="宋体"/>
                <w:sz w:val="18"/>
                <w:szCs w:val="1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Theme="minorEastAsia"/>
                <w:sz w:val="18"/>
                <w:szCs w:val="18"/>
                <w:lang w:eastAsia="zh-CN"/>
              </w:rPr>
            </w:pPr>
            <w:r>
              <w:rPr>
                <w:rFonts w:hint="eastAsia" w:ascii="宋体" w:hAnsi="宋体"/>
                <w:sz w:val="18"/>
                <w:szCs w:val="18"/>
                <w:lang w:eastAsia="zh-CN"/>
              </w:rPr>
              <w:t>（</w:t>
            </w:r>
            <w:r>
              <w:rPr>
                <w:rFonts w:hint="eastAsia" w:ascii="宋体" w:hAnsi="宋体"/>
                <w:sz w:val="18"/>
                <w:szCs w:val="18"/>
                <w:lang w:val="en-US" w:eastAsia="zh-CN"/>
              </w:rPr>
              <w:t>铅冶炼</w:t>
            </w:r>
            <w:r>
              <w:rPr>
                <w:rFonts w:hint="eastAsia" w:ascii="宋体" w:hAnsi="宋体"/>
                <w:sz w:val="18"/>
                <w:szCs w:val="18"/>
                <w:lang w:eastAsia="zh-CN"/>
              </w:rPr>
              <w:t>）</w:t>
            </w:r>
          </w:p>
        </w:tc>
        <w:tc>
          <w:tcPr>
            <w:tcW w:w="708"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24.98</w:t>
            </w:r>
          </w:p>
        </w:tc>
        <w:tc>
          <w:tcPr>
            <w:tcW w:w="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&lt;0.05</w:t>
            </w: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1.96</w:t>
            </w: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0.84</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0.24</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0.51</w:t>
            </w:r>
          </w:p>
        </w:tc>
        <w:tc>
          <w:tcPr>
            <w:tcW w:w="7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0.07</w:t>
            </w:r>
          </w:p>
        </w:tc>
        <w:tc>
          <w:tcPr>
            <w:tcW w:w="685"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&lt;0.05</w:t>
            </w:r>
          </w:p>
        </w:tc>
        <w:tc>
          <w:tcPr>
            <w:tcW w:w="702"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0.76</w:t>
            </w:r>
          </w:p>
        </w:tc>
        <w:tc>
          <w:tcPr>
            <w:tcW w:w="6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&lt;0.05</w:t>
            </w: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&lt;0.05</w:t>
            </w:r>
          </w:p>
        </w:tc>
        <w:tc>
          <w:tcPr>
            <w:tcW w:w="6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&lt;0.05</w:t>
            </w:r>
          </w:p>
        </w:tc>
        <w:tc>
          <w:tcPr>
            <w:tcW w:w="711"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color w:val="000000"/>
                <w:kern w:val="0"/>
                <w:sz w:val="18"/>
                <w:szCs w:val="18"/>
              </w:rPr>
              <w:t>0.21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trPr>
        <w:tc>
          <w:tcPr>
            <w:tcW w:w="1284" w:type="dxa"/>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sz w:val="18"/>
                <w:szCs w:val="18"/>
              </w:rPr>
            </w:pPr>
            <w:r>
              <w:rPr>
                <w:rFonts w:hint="eastAsia" w:ascii="宋体" w:hAnsi="宋体" w:eastAsia="宋体"/>
                <w:sz w:val="18"/>
                <w:szCs w:val="18"/>
              </w:rPr>
              <w:t>样品</w:t>
            </w:r>
            <w:r>
              <w:rPr>
                <w:rFonts w:hint="eastAsia" w:ascii="宋体" w:hAnsi="宋体"/>
                <w:sz w:val="18"/>
                <w:szCs w:val="18"/>
              </w:rPr>
              <w:t>5</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sz w:val="18"/>
                <w:szCs w:val="18"/>
              </w:rPr>
            </w:pPr>
            <w:r>
              <w:rPr>
                <w:rFonts w:hint="eastAsia" w:ascii="宋体" w:hAnsi="宋体" w:eastAsia="宋体"/>
                <w:sz w:val="18"/>
                <w:szCs w:val="18"/>
                <w:lang w:eastAsia="zh-CN"/>
              </w:rPr>
              <w:t>（</w:t>
            </w:r>
            <w:r>
              <w:rPr>
                <w:rFonts w:hint="eastAsia" w:ascii="宋体" w:hAnsi="宋体" w:eastAsia="宋体"/>
                <w:sz w:val="18"/>
                <w:szCs w:val="18"/>
                <w:lang w:val="en-US" w:eastAsia="zh-CN"/>
              </w:rPr>
              <w:t>钨冶炼</w:t>
            </w:r>
            <w:r>
              <w:rPr>
                <w:rFonts w:hint="eastAsia" w:ascii="宋体" w:hAnsi="宋体" w:eastAsia="宋体"/>
                <w:sz w:val="18"/>
                <w:szCs w:val="18"/>
                <w:lang w:eastAsia="zh-CN"/>
              </w:rPr>
              <w:t>）</w:t>
            </w:r>
          </w:p>
        </w:tc>
        <w:tc>
          <w:tcPr>
            <w:tcW w:w="708"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27.22</w:t>
            </w:r>
          </w:p>
        </w:tc>
        <w:tc>
          <w:tcPr>
            <w:tcW w:w="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3.45</w:t>
            </w: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0.19</w:t>
            </w: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&lt;0.05</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0.11</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rPr>
            </w:pPr>
            <w:r>
              <w:rPr>
                <w:rFonts w:hint="eastAsia" w:ascii="宋体" w:hAnsi="宋体" w:cs="宋体"/>
                <w:kern w:val="0"/>
                <w:sz w:val="18"/>
                <w:szCs w:val="18"/>
              </w:rPr>
              <w:t>&lt;0.05</w:t>
            </w:r>
          </w:p>
        </w:tc>
        <w:tc>
          <w:tcPr>
            <w:tcW w:w="7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rPr>
            </w:pPr>
            <w:r>
              <w:rPr>
                <w:rFonts w:hint="eastAsia" w:ascii="宋体" w:hAnsi="宋体" w:cs="宋体"/>
                <w:kern w:val="0"/>
                <w:sz w:val="18"/>
                <w:szCs w:val="18"/>
              </w:rPr>
              <w:t>6.15</w:t>
            </w:r>
          </w:p>
        </w:tc>
        <w:tc>
          <w:tcPr>
            <w:tcW w:w="685"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1.67</w:t>
            </w:r>
          </w:p>
        </w:tc>
        <w:tc>
          <w:tcPr>
            <w:tcW w:w="702"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0.27</w:t>
            </w:r>
          </w:p>
        </w:tc>
        <w:tc>
          <w:tcPr>
            <w:tcW w:w="6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21.69</w:t>
            </w: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3.69</w:t>
            </w:r>
          </w:p>
        </w:tc>
        <w:tc>
          <w:tcPr>
            <w:tcW w:w="6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color w:val="000000"/>
                <w:kern w:val="0"/>
                <w:sz w:val="18"/>
                <w:szCs w:val="18"/>
              </w:rPr>
            </w:pPr>
            <w:r>
              <w:rPr>
                <w:rFonts w:hint="eastAsia" w:ascii="宋体" w:hAnsi="宋体" w:cs="宋体"/>
                <w:kern w:val="0"/>
                <w:sz w:val="18"/>
                <w:szCs w:val="18"/>
              </w:rPr>
              <w:t>2.24</w:t>
            </w:r>
          </w:p>
        </w:tc>
        <w:tc>
          <w:tcPr>
            <w:tcW w:w="711"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kern w:val="0"/>
                <w:sz w:val="18"/>
                <w:szCs w:val="18"/>
              </w:rPr>
            </w:pPr>
            <w:r>
              <w:rPr>
                <w:rFonts w:hint="eastAsia" w:ascii="宋体" w:hAnsi="宋体" w:cs="宋体"/>
                <w:kern w:val="0"/>
                <w:sz w:val="18"/>
                <w:szCs w:val="18"/>
              </w:rPr>
              <w:t>24.33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2" w:hRule="atLeast"/>
        </w:trPr>
        <w:tc>
          <w:tcPr>
            <w:tcW w:w="1284" w:type="dxa"/>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sz w:val="18"/>
                <w:szCs w:val="18"/>
                <w:highlight w:val="none"/>
                <w:lang w:val="en-US" w:eastAsia="zh-CN"/>
              </w:rPr>
            </w:pPr>
            <w:r>
              <w:rPr>
                <w:rFonts w:hint="eastAsia" w:ascii="宋体" w:hAnsi="宋体"/>
                <w:sz w:val="18"/>
                <w:szCs w:val="18"/>
                <w:highlight w:val="none"/>
              </w:rPr>
              <w:t>样品</w:t>
            </w:r>
            <w:r>
              <w:rPr>
                <w:rFonts w:hint="eastAsia" w:ascii="宋体" w:hAnsi="宋体"/>
                <w:sz w:val="18"/>
                <w:szCs w:val="18"/>
                <w:highlight w:val="none"/>
                <w:lang w:val="en-US" w:eastAsia="zh-CN"/>
              </w:rPr>
              <w:t>6</w:t>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Theme="minorEastAsia" w:cstheme="minorBidi"/>
                <w:kern w:val="2"/>
                <w:sz w:val="18"/>
                <w:szCs w:val="18"/>
                <w:highlight w:val="none"/>
                <w:lang w:val="en-US" w:eastAsia="zh-CN" w:bidi="ar-SA"/>
              </w:rPr>
            </w:pPr>
            <w:r>
              <w:rPr>
                <w:rFonts w:hint="eastAsia" w:ascii="宋体" w:hAnsi="宋体" w:eastAsia="宋体"/>
                <w:sz w:val="18"/>
                <w:szCs w:val="18"/>
                <w:highlight w:val="none"/>
                <w:lang w:eastAsia="zh-CN"/>
              </w:rPr>
              <w:t>（</w:t>
            </w:r>
            <w:r>
              <w:rPr>
                <w:rFonts w:hint="eastAsia" w:ascii="宋体" w:hAnsi="宋体" w:eastAsia="宋体"/>
                <w:sz w:val="18"/>
                <w:szCs w:val="18"/>
                <w:highlight w:val="none"/>
                <w:lang w:val="en-US" w:eastAsia="zh-CN"/>
              </w:rPr>
              <w:t>铜冶炼</w:t>
            </w:r>
            <w:r>
              <w:rPr>
                <w:rFonts w:hint="eastAsia" w:ascii="宋体" w:hAnsi="宋体" w:eastAsia="宋体"/>
                <w:sz w:val="18"/>
                <w:szCs w:val="18"/>
                <w:highlight w:val="none"/>
                <w:lang w:eastAsia="zh-CN"/>
              </w:rPr>
              <w:t>）</w:t>
            </w:r>
          </w:p>
        </w:tc>
        <w:tc>
          <w:tcPr>
            <w:tcW w:w="708"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29.1</w:t>
            </w:r>
            <w:r>
              <w:rPr>
                <w:rFonts w:hint="eastAsia" w:ascii="宋体" w:hAnsi="宋体" w:cs="宋体"/>
                <w:kern w:val="0"/>
                <w:sz w:val="18"/>
                <w:szCs w:val="18"/>
                <w:highlight w:val="none"/>
                <w:lang w:val="en-US" w:eastAsia="zh-CN"/>
              </w:rPr>
              <w:t>0</w:t>
            </w:r>
          </w:p>
        </w:tc>
        <w:tc>
          <w:tcPr>
            <w:tcW w:w="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0.71</w:t>
            </w: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0.34</w:t>
            </w: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0.012</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0.81</w:t>
            </w:r>
          </w:p>
        </w:tc>
        <w:tc>
          <w:tcPr>
            <w:tcW w:w="7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0.06</w:t>
            </w:r>
          </w:p>
        </w:tc>
        <w:tc>
          <w:tcPr>
            <w:tcW w:w="685"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702"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6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17.21</w:t>
            </w: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6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711"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color w:val="000000"/>
                <w:kern w:val="0"/>
                <w:sz w:val="18"/>
                <w:szCs w:val="18"/>
                <w:highlight w:val="none"/>
                <w:lang w:val="en-US" w:eastAsia="zh-CN" w:bidi="ar-SA"/>
              </w:rPr>
            </w:pPr>
            <w:r>
              <w:rPr>
                <w:rFonts w:hint="eastAsia" w:ascii="宋体" w:hAnsi="宋体" w:cs="宋体"/>
                <w:color w:val="000000"/>
                <w:kern w:val="0"/>
                <w:sz w:val="18"/>
                <w:szCs w:val="18"/>
                <w:highlight w:val="none"/>
              </w:rPr>
              <w:t>29.73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trPr>
        <w:tc>
          <w:tcPr>
            <w:tcW w:w="1284" w:type="dxa"/>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sz w:val="18"/>
                <w:szCs w:val="18"/>
                <w:highlight w:val="none"/>
                <w:lang w:val="en-US" w:eastAsia="zh-CN"/>
              </w:rPr>
            </w:pPr>
            <w:r>
              <w:rPr>
                <w:rFonts w:hint="eastAsia" w:ascii="宋体" w:hAnsi="宋体"/>
                <w:sz w:val="18"/>
                <w:szCs w:val="18"/>
                <w:highlight w:val="none"/>
              </w:rPr>
              <w:t>样品</w:t>
            </w:r>
            <w:r>
              <w:rPr>
                <w:rFonts w:hint="eastAsia" w:ascii="宋体" w:hAnsi="宋体"/>
                <w:sz w:val="18"/>
                <w:szCs w:val="18"/>
                <w:highlight w:val="none"/>
                <w:lang w:val="en-US" w:eastAsia="zh-CN"/>
              </w:rPr>
              <w:t>7</w:t>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Theme="minorEastAsia" w:cstheme="minorBidi"/>
                <w:kern w:val="2"/>
                <w:sz w:val="18"/>
                <w:szCs w:val="18"/>
                <w:highlight w:val="none"/>
                <w:lang w:val="en-US" w:eastAsia="zh-CN" w:bidi="ar-SA"/>
              </w:rPr>
            </w:pPr>
            <w:r>
              <w:rPr>
                <w:rFonts w:hint="eastAsia" w:ascii="宋体" w:hAnsi="宋体" w:eastAsia="宋体"/>
                <w:sz w:val="18"/>
                <w:szCs w:val="18"/>
                <w:highlight w:val="none"/>
                <w:lang w:eastAsia="zh-CN"/>
              </w:rPr>
              <w:t>（</w:t>
            </w:r>
            <w:r>
              <w:rPr>
                <w:rFonts w:hint="eastAsia" w:ascii="宋体" w:hAnsi="宋体" w:eastAsia="宋体"/>
                <w:sz w:val="18"/>
                <w:szCs w:val="18"/>
                <w:highlight w:val="none"/>
                <w:lang w:val="en-US" w:eastAsia="zh-CN"/>
              </w:rPr>
              <w:t>铜冶炼</w:t>
            </w:r>
            <w:r>
              <w:rPr>
                <w:rFonts w:hint="eastAsia" w:ascii="宋体" w:hAnsi="宋体" w:eastAsia="宋体"/>
                <w:sz w:val="18"/>
                <w:szCs w:val="18"/>
                <w:highlight w:val="none"/>
                <w:lang w:eastAsia="zh-CN"/>
              </w:rPr>
              <w:t>）</w:t>
            </w:r>
          </w:p>
        </w:tc>
        <w:tc>
          <w:tcPr>
            <w:tcW w:w="708"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31.09</w:t>
            </w:r>
          </w:p>
        </w:tc>
        <w:tc>
          <w:tcPr>
            <w:tcW w:w="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0.54</w:t>
            </w: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0.31</w:t>
            </w: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0.007</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0.0</w:t>
            </w:r>
            <w:r>
              <w:rPr>
                <w:rFonts w:hint="eastAsia" w:ascii="宋体" w:hAnsi="宋体" w:cs="宋体"/>
                <w:kern w:val="0"/>
                <w:sz w:val="18"/>
                <w:szCs w:val="18"/>
                <w:highlight w:val="none"/>
                <w:lang w:val="en-US" w:eastAsia="zh-CN"/>
              </w:rPr>
              <w:t>6</w:t>
            </w:r>
          </w:p>
        </w:tc>
        <w:tc>
          <w:tcPr>
            <w:tcW w:w="7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0.05</w:t>
            </w:r>
          </w:p>
        </w:tc>
        <w:tc>
          <w:tcPr>
            <w:tcW w:w="685"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702"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6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19.25</w:t>
            </w: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6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711"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color w:val="000000"/>
                <w:kern w:val="0"/>
                <w:sz w:val="18"/>
                <w:szCs w:val="18"/>
                <w:highlight w:val="none"/>
                <w:lang w:val="en-US" w:eastAsia="zh-CN" w:bidi="ar-SA"/>
              </w:rPr>
            </w:pPr>
            <w:r>
              <w:rPr>
                <w:rFonts w:hint="eastAsia" w:ascii="宋体" w:hAnsi="宋体" w:cs="宋体"/>
                <w:kern w:val="0"/>
                <w:sz w:val="18"/>
                <w:szCs w:val="18"/>
                <w:highlight w:val="none"/>
              </w:rPr>
              <w:t>27.96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trPr>
        <w:tc>
          <w:tcPr>
            <w:tcW w:w="1284" w:type="dxa"/>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sz w:val="18"/>
                <w:szCs w:val="18"/>
                <w:highlight w:val="none"/>
                <w:lang w:val="en-US" w:eastAsia="zh-CN"/>
              </w:rPr>
            </w:pPr>
            <w:r>
              <w:rPr>
                <w:rFonts w:hint="eastAsia" w:ascii="宋体" w:hAnsi="宋体"/>
                <w:sz w:val="18"/>
                <w:szCs w:val="18"/>
                <w:highlight w:val="none"/>
              </w:rPr>
              <w:t>样品</w:t>
            </w:r>
            <w:r>
              <w:rPr>
                <w:rFonts w:hint="eastAsia" w:ascii="宋体" w:hAnsi="宋体"/>
                <w:sz w:val="18"/>
                <w:szCs w:val="18"/>
                <w:highlight w:val="none"/>
                <w:lang w:val="en-US" w:eastAsia="zh-CN"/>
              </w:rPr>
              <w:t>8</w:t>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Theme="minorEastAsia" w:cstheme="minorBidi"/>
                <w:kern w:val="2"/>
                <w:sz w:val="18"/>
                <w:szCs w:val="18"/>
                <w:highlight w:val="none"/>
                <w:lang w:val="en-US" w:eastAsia="zh-CN" w:bidi="ar-SA"/>
              </w:rPr>
            </w:pPr>
            <w:r>
              <w:rPr>
                <w:rFonts w:hint="eastAsia" w:ascii="宋体" w:hAnsi="宋体" w:eastAsia="宋体"/>
                <w:sz w:val="18"/>
                <w:szCs w:val="18"/>
                <w:highlight w:val="none"/>
                <w:lang w:eastAsia="zh-CN"/>
              </w:rPr>
              <w:t>（</w:t>
            </w:r>
            <w:r>
              <w:rPr>
                <w:rFonts w:hint="eastAsia" w:ascii="宋体" w:hAnsi="宋体" w:eastAsia="宋体"/>
                <w:sz w:val="18"/>
                <w:szCs w:val="18"/>
                <w:highlight w:val="none"/>
                <w:lang w:val="en-US" w:eastAsia="zh-CN"/>
              </w:rPr>
              <w:t>铜冶炼</w:t>
            </w:r>
            <w:r>
              <w:rPr>
                <w:rFonts w:hint="eastAsia" w:ascii="宋体" w:hAnsi="宋体" w:eastAsia="宋体"/>
                <w:sz w:val="18"/>
                <w:szCs w:val="18"/>
                <w:highlight w:val="none"/>
                <w:lang w:eastAsia="zh-CN"/>
              </w:rPr>
              <w:t>）</w:t>
            </w:r>
          </w:p>
        </w:tc>
        <w:tc>
          <w:tcPr>
            <w:tcW w:w="708"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30.59</w:t>
            </w:r>
          </w:p>
        </w:tc>
        <w:tc>
          <w:tcPr>
            <w:tcW w:w="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0.51</w:t>
            </w: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0.30</w:t>
            </w: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0.018</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1.06</w:t>
            </w:r>
          </w:p>
        </w:tc>
        <w:tc>
          <w:tcPr>
            <w:tcW w:w="7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0.05</w:t>
            </w:r>
          </w:p>
        </w:tc>
        <w:tc>
          <w:tcPr>
            <w:tcW w:w="685"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702"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6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22.79</w:t>
            </w: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6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711"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color w:val="000000"/>
                <w:kern w:val="0"/>
                <w:sz w:val="18"/>
                <w:szCs w:val="18"/>
                <w:highlight w:val="none"/>
                <w:lang w:val="en-US" w:eastAsia="zh-CN" w:bidi="ar-SA"/>
              </w:rPr>
            </w:pPr>
            <w:r>
              <w:rPr>
                <w:rFonts w:hint="eastAsia" w:ascii="宋体" w:hAnsi="宋体" w:cs="宋体"/>
                <w:color w:val="000000"/>
                <w:kern w:val="0"/>
                <w:sz w:val="18"/>
                <w:szCs w:val="18"/>
                <w:highlight w:val="none"/>
              </w:rPr>
              <w:t>28.06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trPr>
        <w:tc>
          <w:tcPr>
            <w:tcW w:w="1284" w:type="dxa"/>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sz w:val="18"/>
                <w:szCs w:val="18"/>
                <w:highlight w:val="none"/>
                <w:lang w:val="en-US" w:eastAsia="zh-CN"/>
              </w:rPr>
            </w:pPr>
            <w:r>
              <w:rPr>
                <w:rFonts w:hint="eastAsia" w:ascii="宋体" w:hAnsi="宋体"/>
                <w:sz w:val="18"/>
                <w:szCs w:val="18"/>
                <w:highlight w:val="none"/>
              </w:rPr>
              <w:t>样品</w:t>
            </w:r>
            <w:r>
              <w:rPr>
                <w:rFonts w:hint="eastAsia" w:ascii="宋体" w:hAnsi="宋体"/>
                <w:sz w:val="18"/>
                <w:szCs w:val="18"/>
                <w:highlight w:val="none"/>
                <w:lang w:val="en-US" w:eastAsia="zh-CN"/>
              </w:rPr>
              <w:t>9</w:t>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Theme="minorEastAsia" w:cstheme="minorBidi"/>
                <w:kern w:val="2"/>
                <w:sz w:val="18"/>
                <w:szCs w:val="18"/>
                <w:highlight w:val="none"/>
                <w:lang w:val="en-US" w:eastAsia="zh-CN" w:bidi="ar-SA"/>
              </w:rPr>
            </w:pPr>
            <w:r>
              <w:rPr>
                <w:rFonts w:hint="eastAsia" w:ascii="宋体" w:hAnsi="宋体" w:eastAsia="宋体"/>
                <w:sz w:val="18"/>
                <w:szCs w:val="18"/>
                <w:highlight w:val="none"/>
                <w:lang w:eastAsia="zh-CN"/>
              </w:rPr>
              <w:t>（</w:t>
            </w:r>
            <w:r>
              <w:rPr>
                <w:rFonts w:hint="eastAsia" w:ascii="宋体" w:hAnsi="宋体" w:eastAsia="宋体"/>
                <w:sz w:val="18"/>
                <w:szCs w:val="18"/>
                <w:highlight w:val="none"/>
                <w:lang w:val="en-US" w:eastAsia="zh-CN"/>
              </w:rPr>
              <w:t>铜冶炼</w:t>
            </w:r>
            <w:r>
              <w:rPr>
                <w:rFonts w:hint="eastAsia" w:ascii="宋体" w:hAnsi="宋体" w:eastAsia="宋体"/>
                <w:sz w:val="18"/>
                <w:szCs w:val="18"/>
                <w:highlight w:val="none"/>
                <w:lang w:eastAsia="zh-CN"/>
              </w:rPr>
              <w:t>）</w:t>
            </w:r>
          </w:p>
        </w:tc>
        <w:tc>
          <w:tcPr>
            <w:tcW w:w="708"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31.68</w:t>
            </w:r>
          </w:p>
        </w:tc>
        <w:tc>
          <w:tcPr>
            <w:tcW w:w="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0.40</w:t>
            </w: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0.30</w:t>
            </w: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0.014</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0.06</w:t>
            </w:r>
          </w:p>
        </w:tc>
        <w:tc>
          <w:tcPr>
            <w:tcW w:w="7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0.0</w:t>
            </w:r>
            <w:r>
              <w:rPr>
                <w:rFonts w:hint="eastAsia" w:ascii="宋体" w:hAnsi="宋体" w:cs="宋体"/>
                <w:kern w:val="0"/>
                <w:sz w:val="18"/>
                <w:szCs w:val="18"/>
                <w:highlight w:val="none"/>
                <w:lang w:val="en-US" w:eastAsia="zh-CN"/>
              </w:rPr>
              <w:t>6</w:t>
            </w:r>
          </w:p>
        </w:tc>
        <w:tc>
          <w:tcPr>
            <w:tcW w:w="685"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702"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6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19.07</w:t>
            </w: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6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711"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color w:val="000000"/>
                <w:kern w:val="0"/>
                <w:sz w:val="18"/>
                <w:szCs w:val="18"/>
                <w:highlight w:val="none"/>
                <w:lang w:val="en-US" w:eastAsia="zh-CN" w:bidi="ar-SA"/>
              </w:rPr>
            </w:pPr>
            <w:r>
              <w:rPr>
                <w:rFonts w:hint="eastAsia" w:ascii="宋体" w:hAnsi="宋体" w:cs="宋体"/>
                <w:color w:val="000000"/>
                <w:kern w:val="0"/>
                <w:sz w:val="18"/>
                <w:szCs w:val="18"/>
                <w:highlight w:val="none"/>
              </w:rPr>
              <w:t>26.76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trPr>
        <w:tc>
          <w:tcPr>
            <w:tcW w:w="1284" w:type="dxa"/>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sz w:val="18"/>
                <w:szCs w:val="18"/>
                <w:highlight w:val="none"/>
                <w:lang w:val="en-US" w:eastAsia="zh-CN"/>
              </w:rPr>
            </w:pPr>
            <w:r>
              <w:rPr>
                <w:rFonts w:hint="eastAsia" w:ascii="宋体" w:hAnsi="宋体"/>
                <w:sz w:val="18"/>
                <w:szCs w:val="18"/>
                <w:highlight w:val="none"/>
              </w:rPr>
              <w:t>样品</w:t>
            </w:r>
            <w:r>
              <w:rPr>
                <w:rFonts w:hint="eastAsia" w:ascii="宋体" w:hAnsi="宋体"/>
                <w:sz w:val="18"/>
                <w:szCs w:val="18"/>
                <w:highlight w:val="none"/>
                <w:lang w:val="en-US" w:eastAsia="zh-CN"/>
              </w:rPr>
              <w:t>10</w:t>
            </w:r>
          </w:p>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ascii="宋体" w:hAnsi="宋体" w:eastAsiaTheme="minorEastAsia" w:cstheme="minorBidi"/>
                <w:kern w:val="2"/>
                <w:sz w:val="18"/>
                <w:szCs w:val="18"/>
                <w:highlight w:val="none"/>
                <w:lang w:val="en-US" w:eastAsia="zh-CN" w:bidi="ar-SA"/>
              </w:rPr>
            </w:pPr>
            <w:r>
              <w:rPr>
                <w:rFonts w:hint="eastAsia" w:ascii="宋体" w:hAnsi="宋体" w:eastAsia="宋体"/>
                <w:sz w:val="18"/>
                <w:szCs w:val="18"/>
                <w:highlight w:val="none"/>
                <w:lang w:eastAsia="zh-CN"/>
              </w:rPr>
              <w:t>（</w:t>
            </w:r>
            <w:r>
              <w:rPr>
                <w:rFonts w:hint="eastAsia" w:ascii="宋体" w:hAnsi="宋体" w:eastAsia="宋体"/>
                <w:sz w:val="18"/>
                <w:szCs w:val="18"/>
                <w:highlight w:val="none"/>
                <w:lang w:val="en-US" w:eastAsia="zh-CN"/>
              </w:rPr>
              <w:t>铜冶炼</w:t>
            </w:r>
            <w:r>
              <w:rPr>
                <w:rFonts w:hint="eastAsia" w:ascii="宋体" w:hAnsi="宋体" w:eastAsia="宋体"/>
                <w:sz w:val="18"/>
                <w:szCs w:val="18"/>
                <w:highlight w:val="none"/>
                <w:lang w:eastAsia="zh-CN"/>
              </w:rPr>
              <w:t>）</w:t>
            </w:r>
          </w:p>
        </w:tc>
        <w:tc>
          <w:tcPr>
            <w:tcW w:w="708"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32.23</w:t>
            </w:r>
          </w:p>
        </w:tc>
        <w:tc>
          <w:tcPr>
            <w:tcW w:w="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0.64</w:t>
            </w: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0.21</w:t>
            </w: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0.009</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0.0</w:t>
            </w:r>
            <w:r>
              <w:rPr>
                <w:rFonts w:hint="eastAsia" w:ascii="宋体" w:hAnsi="宋体" w:cs="宋体"/>
                <w:kern w:val="0"/>
                <w:sz w:val="18"/>
                <w:szCs w:val="18"/>
                <w:highlight w:val="none"/>
                <w:lang w:val="en-US" w:eastAsia="zh-CN"/>
              </w:rPr>
              <w:t>8</w:t>
            </w:r>
          </w:p>
        </w:tc>
        <w:tc>
          <w:tcPr>
            <w:tcW w:w="7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0.07</w:t>
            </w:r>
          </w:p>
        </w:tc>
        <w:tc>
          <w:tcPr>
            <w:tcW w:w="685"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702"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6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17.51</w:t>
            </w: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6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711"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cs="宋体" w:eastAsiaTheme="minorEastAsia"/>
                <w:color w:val="000000"/>
                <w:kern w:val="0"/>
                <w:sz w:val="18"/>
                <w:szCs w:val="18"/>
                <w:highlight w:val="none"/>
                <w:lang w:val="en-US" w:eastAsia="zh-CN" w:bidi="ar-SA"/>
              </w:rPr>
            </w:pPr>
            <w:r>
              <w:rPr>
                <w:rFonts w:hint="eastAsia" w:ascii="宋体" w:hAnsi="宋体" w:cs="宋体"/>
                <w:color w:val="000000"/>
                <w:kern w:val="0"/>
                <w:sz w:val="18"/>
                <w:szCs w:val="18"/>
                <w:highlight w:val="none"/>
              </w:rPr>
              <w:t>28.41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trPr>
        <w:tc>
          <w:tcPr>
            <w:tcW w:w="1284" w:type="dxa"/>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sz w:val="18"/>
                <w:szCs w:val="18"/>
                <w:highlight w:val="none"/>
                <w:lang w:val="en-US" w:eastAsia="zh-CN"/>
              </w:rPr>
            </w:pPr>
            <w:r>
              <w:rPr>
                <w:rFonts w:hint="eastAsia" w:ascii="宋体" w:hAnsi="宋体" w:eastAsia="宋体"/>
                <w:sz w:val="18"/>
                <w:szCs w:val="18"/>
                <w:highlight w:val="none"/>
              </w:rPr>
              <w:t>样品</w:t>
            </w:r>
            <w:r>
              <w:rPr>
                <w:rFonts w:hint="eastAsia" w:ascii="宋体" w:hAnsi="宋体" w:eastAsia="宋体"/>
                <w:sz w:val="18"/>
                <w:szCs w:val="18"/>
                <w:highlight w:val="none"/>
                <w:lang w:val="en-US" w:eastAsia="zh-CN"/>
              </w:rPr>
              <w:t>11</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Times New Roman"/>
                <w:kern w:val="2"/>
                <w:sz w:val="18"/>
                <w:szCs w:val="18"/>
                <w:highlight w:val="none"/>
                <w:lang w:val="en-US" w:eastAsia="zh-CN" w:bidi="ar-SA"/>
              </w:rPr>
            </w:pPr>
            <w:r>
              <w:rPr>
                <w:rFonts w:hint="eastAsia" w:ascii="宋体" w:hAnsi="宋体"/>
                <w:sz w:val="18"/>
                <w:szCs w:val="18"/>
                <w:highlight w:val="none"/>
                <w:lang w:eastAsia="zh-CN"/>
              </w:rPr>
              <w:t>（</w:t>
            </w:r>
            <w:r>
              <w:rPr>
                <w:rFonts w:hint="eastAsia" w:ascii="宋体" w:hAnsi="宋体"/>
                <w:sz w:val="18"/>
                <w:szCs w:val="18"/>
                <w:highlight w:val="none"/>
                <w:lang w:val="en-US" w:eastAsia="zh-CN"/>
              </w:rPr>
              <w:t>铅冶炼</w:t>
            </w:r>
            <w:r>
              <w:rPr>
                <w:rFonts w:hint="eastAsia" w:ascii="宋体" w:hAnsi="宋体"/>
                <w:sz w:val="18"/>
                <w:szCs w:val="18"/>
                <w:highlight w:val="none"/>
                <w:lang w:eastAsia="zh-CN"/>
              </w:rPr>
              <w:t>）</w:t>
            </w:r>
          </w:p>
        </w:tc>
        <w:tc>
          <w:tcPr>
            <w:tcW w:w="708"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rPr>
              <w:t>32.75</w:t>
            </w:r>
          </w:p>
        </w:tc>
        <w:tc>
          <w:tcPr>
            <w:tcW w:w="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rPr>
              <w:t>1.78</w:t>
            </w: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rPr>
              <w:t>0.15</w:t>
            </w: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rPr>
              <w:t>&lt;0.05</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rPr>
              <w:t>0.06</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rPr>
              <w:t>&lt;0.05</w:t>
            </w:r>
          </w:p>
        </w:tc>
        <w:tc>
          <w:tcPr>
            <w:tcW w:w="7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rPr>
              <w:t>4.88</w:t>
            </w:r>
          </w:p>
        </w:tc>
        <w:tc>
          <w:tcPr>
            <w:tcW w:w="685"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2.49</w:t>
            </w:r>
          </w:p>
        </w:tc>
        <w:tc>
          <w:tcPr>
            <w:tcW w:w="702"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rPr>
              <w:t>0.28</w:t>
            </w:r>
          </w:p>
        </w:tc>
        <w:tc>
          <w:tcPr>
            <w:tcW w:w="6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24.87</w:t>
            </w: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2.58</w:t>
            </w:r>
          </w:p>
        </w:tc>
        <w:tc>
          <w:tcPr>
            <w:tcW w:w="6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color w:val="000000"/>
                <w:kern w:val="0"/>
                <w:sz w:val="18"/>
                <w:szCs w:val="18"/>
                <w:highlight w:val="none"/>
                <w:lang w:val="en-US" w:eastAsia="zh-CN" w:bidi="ar-SA"/>
              </w:rPr>
            </w:pPr>
            <w:r>
              <w:rPr>
                <w:rFonts w:hint="eastAsia" w:ascii="宋体" w:hAnsi="宋体" w:cs="宋体"/>
                <w:color w:val="000000"/>
                <w:kern w:val="0"/>
                <w:sz w:val="18"/>
                <w:szCs w:val="18"/>
                <w:highlight w:val="none"/>
              </w:rPr>
              <w:t>1.74</w:t>
            </w:r>
          </w:p>
        </w:tc>
        <w:tc>
          <w:tcPr>
            <w:tcW w:w="711"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color w:val="000000"/>
                <w:kern w:val="0"/>
                <w:sz w:val="18"/>
                <w:szCs w:val="18"/>
                <w:highlight w:val="none"/>
                <w:lang w:val="en-US" w:eastAsia="zh-CN" w:bidi="ar-SA"/>
              </w:rPr>
            </w:pPr>
            <w:r>
              <w:rPr>
                <w:rFonts w:hint="eastAsia" w:ascii="宋体" w:hAnsi="宋体" w:cs="宋体"/>
                <w:color w:val="000000"/>
                <w:kern w:val="0"/>
                <w:sz w:val="18"/>
                <w:szCs w:val="18"/>
                <w:highlight w:val="none"/>
              </w:rPr>
              <w:t>19.87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trPr>
        <w:tc>
          <w:tcPr>
            <w:tcW w:w="1284" w:type="dxa"/>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sz w:val="18"/>
                <w:szCs w:val="18"/>
                <w:highlight w:val="none"/>
                <w:lang w:val="en-US" w:eastAsia="zh-CN"/>
              </w:rPr>
            </w:pPr>
            <w:r>
              <w:rPr>
                <w:rFonts w:hint="eastAsia" w:ascii="宋体" w:hAnsi="宋体" w:eastAsia="宋体"/>
                <w:sz w:val="18"/>
                <w:szCs w:val="18"/>
                <w:highlight w:val="none"/>
              </w:rPr>
              <w:t>样品</w:t>
            </w:r>
            <w:r>
              <w:rPr>
                <w:rFonts w:hint="eastAsia" w:ascii="宋体" w:hAnsi="宋体" w:eastAsia="宋体"/>
                <w:sz w:val="18"/>
                <w:szCs w:val="18"/>
                <w:highlight w:val="none"/>
                <w:lang w:val="en-US" w:eastAsia="zh-CN"/>
              </w:rPr>
              <w:t>12</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theme="minorBidi"/>
                <w:kern w:val="2"/>
                <w:sz w:val="18"/>
                <w:szCs w:val="18"/>
                <w:highlight w:val="none"/>
                <w:lang w:val="en-US" w:eastAsia="zh-CN" w:bidi="ar-SA"/>
              </w:rPr>
            </w:pPr>
            <w:r>
              <w:rPr>
                <w:rFonts w:hint="eastAsia" w:ascii="宋体" w:hAnsi="宋体"/>
                <w:sz w:val="18"/>
                <w:szCs w:val="18"/>
                <w:highlight w:val="none"/>
                <w:lang w:eastAsia="zh-CN"/>
              </w:rPr>
              <w:t>（</w:t>
            </w:r>
            <w:r>
              <w:rPr>
                <w:rFonts w:hint="eastAsia" w:ascii="宋体" w:hAnsi="宋体"/>
                <w:sz w:val="18"/>
                <w:szCs w:val="18"/>
                <w:highlight w:val="none"/>
                <w:lang w:val="en-US" w:eastAsia="zh-CN"/>
              </w:rPr>
              <w:t>铅冶炼</w:t>
            </w:r>
            <w:r>
              <w:rPr>
                <w:rFonts w:hint="eastAsia" w:ascii="宋体" w:hAnsi="宋体"/>
                <w:sz w:val="18"/>
                <w:szCs w:val="18"/>
                <w:highlight w:val="none"/>
                <w:lang w:eastAsia="zh-CN"/>
              </w:rPr>
              <w:t>）</w:t>
            </w:r>
          </w:p>
        </w:tc>
        <w:tc>
          <w:tcPr>
            <w:tcW w:w="708"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36.61</w:t>
            </w:r>
          </w:p>
        </w:tc>
        <w:tc>
          <w:tcPr>
            <w:tcW w:w="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1.74</w:t>
            </w: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0.03</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0.02</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rPr>
              <w:t>1.03</w:t>
            </w:r>
          </w:p>
        </w:tc>
        <w:tc>
          <w:tcPr>
            <w:tcW w:w="7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rPr>
              <w:t>1.18</w:t>
            </w:r>
          </w:p>
        </w:tc>
        <w:tc>
          <w:tcPr>
            <w:tcW w:w="685"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702"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rPr>
              <w:t>0.02</w:t>
            </w:r>
          </w:p>
        </w:tc>
        <w:tc>
          <w:tcPr>
            <w:tcW w:w="6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6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kern w:val="0"/>
                <w:sz w:val="18"/>
                <w:szCs w:val="18"/>
                <w:highlight w:val="none"/>
              </w:rPr>
              <w:t>&lt;0.05</w:t>
            </w:r>
          </w:p>
        </w:tc>
        <w:tc>
          <w:tcPr>
            <w:tcW w:w="711"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highlight w:val="none"/>
                <w:lang w:val="en-US" w:eastAsia="zh-CN" w:bidi="ar-SA"/>
              </w:rPr>
            </w:pPr>
            <w:r>
              <w:rPr>
                <w:rFonts w:hint="eastAsia" w:ascii="宋体" w:hAnsi="宋体" w:cs="宋体"/>
                <w:color w:val="000000"/>
                <w:kern w:val="0"/>
                <w:sz w:val="18"/>
                <w:szCs w:val="18"/>
                <w:highlight w:val="none"/>
              </w:rPr>
              <w:t>0.28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trPr>
        <w:tc>
          <w:tcPr>
            <w:tcW w:w="1284" w:type="dxa"/>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sz w:val="18"/>
                <w:szCs w:val="18"/>
                <w:lang w:val="en-US" w:eastAsia="zh-CN"/>
              </w:rPr>
            </w:pPr>
            <w:r>
              <w:rPr>
                <w:rFonts w:hint="eastAsia" w:ascii="宋体" w:hAnsi="宋体" w:eastAsia="宋体"/>
                <w:sz w:val="18"/>
                <w:szCs w:val="18"/>
              </w:rPr>
              <w:t>样品</w:t>
            </w:r>
            <w:r>
              <w:rPr>
                <w:rFonts w:hint="eastAsia" w:ascii="宋体" w:hAnsi="宋体" w:eastAsia="宋体"/>
                <w:sz w:val="18"/>
                <w:szCs w:val="18"/>
                <w:lang w:val="en-US" w:eastAsia="zh-CN"/>
              </w:rPr>
              <w:t>13</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theme="minorBidi"/>
                <w:kern w:val="2"/>
                <w:sz w:val="18"/>
                <w:szCs w:val="18"/>
                <w:lang w:val="en-US" w:eastAsia="zh-CN" w:bidi="ar-SA"/>
              </w:rPr>
            </w:pPr>
            <w:r>
              <w:rPr>
                <w:rFonts w:hint="eastAsia" w:ascii="宋体" w:hAnsi="宋体"/>
                <w:sz w:val="18"/>
                <w:szCs w:val="18"/>
                <w:lang w:eastAsia="zh-CN"/>
              </w:rPr>
              <w:t>（</w:t>
            </w:r>
            <w:r>
              <w:rPr>
                <w:rFonts w:hint="eastAsia" w:ascii="宋体" w:hAnsi="宋体"/>
                <w:sz w:val="18"/>
                <w:szCs w:val="18"/>
                <w:lang w:val="en-US" w:eastAsia="zh-CN"/>
              </w:rPr>
              <w:t>铅冶炼</w:t>
            </w:r>
            <w:r>
              <w:rPr>
                <w:rFonts w:hint="eastAsia" w:ascii="宋体" w:hAnsi="宋体"/>
                <w:sz w:val="18"/>
                <w:szCs w:val="18"/>
                <w:lang w:eastAsia="zh-CN"/>
              </w:rPr>
              <w:t>）</w:t>
            </w:r>
          </w:p>
        </w:tc>
        <w:tc>
          <w:tcPr>
            <w:tcW w:w="708"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43.72</w:t>
            </w:r>
          </w:p>
        </w:tc>
        <w:tc>
          <w:tcPr>
            <w:tcW w:w="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&lt;0.05</w:t>
            </w: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0.9</w:t>
            </w: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0.78</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0.04</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0.75</w:t>
            </w:r>
          </w:p>
        </w:tc>
        <w:tc>
          <w:tcPr>
            <w:tcW w:w="7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0.32</w:t>
            </w:r>
          </w:p>
        </w:tc>
        <w:tc>
          <w:tcPr>
            <w:tcW w:w="685"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&lt;0.05</w:t>
            </w:r>
          </w:p>
        </w:tc>
        <w:tc>
          <w:tcPr>
            <w:tcW w:w="702"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0.17</w:t>
            </w:r>
          </w:p>
        </w:tc>
        <w:tc>
          <w:tcPr>
            <w:tcW w:w="6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&lt;0.05</w:t>
            </w: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&lt;0.05</w:t>
            </w:r>
          </w:p>
        </w:tc>
        <w:tc>
          <w:tcPr>
            <w:tcW w:w="6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&lt;0.05</w:t>
            </w:r>
          </w:p>
        </w:tc>
        <w:tc>
          <w:tcPr>
            <w:tcW w:w="711"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color w:val="000000"/>
                <w:kern w:val="0"/>
                <w:sz w:val="18"/>
                <w:szCs w:val="18"/>
                <w:lang w:val="en-US" w:eastAsia="zh-CN" w:bidi="ar-SA"/>
              </w:rPr>
            </w:pPr>
            <w:r>
              <w:rPr>
                <w:rFonts w:hint="eastAsia" w:ascii="宋体" w:hAnsi="宋体" w:cs="宋体"/>
                <w:color w:val="000000"/>
                <w:kern w:val="0"/>
                <w:sz w:val="18"/>
                <w:szCs w:val="18"/>
              </w:rPr>
              <w:t>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trPr>
        <w:tc>
          <w:tcPr>
            <w:tcW w:w="1284" w:type="dxa"/>
            <w:tcBorders>
              <w:top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sz w:val="18"/>
                <w:szCs w:val="18"/>
                <w:lang w:val="en-US" w:eastAsia="zh-CN"/>
              </w:rPr>
            </w:pPr>
            <w:r>
              <w:rPr>
                <w:rFonts w:hint="eastAsia" w:ascii="宋体" w:hAnsi="宋体" w:eastAsia="宋体"/>
                <w:sz w:val="18"/>
                <w:szCs w:val="18"/>
              </w:rPr>
              <w:t>样品</w:t>
            </w:r>
            <w:r>
              <w:rPr>
                <w:rFonts w:hint="eastAsia" w:ascii="宋体" w:hAnsi="宋体" w:eastAsia="宋体"/>
                <w:sz w:val="18"/>
                <w:szCs w:val="18"/>
                <w:lang w:val="en-US" w:eastAsia="zh-CN"/>
              </w:rPr>
              <w:t>14</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theme="minorBidi"/>
                <w:kern w:val="2"/>
                <w:sz w:val="18"/>
                <w:szCs w:val="18"/>
                <w:lang w:val="en-US" w:eastAsia="zh-CN" w:bidi="ar-SA"/>
              </w:rPr>
            </w:pPr>
            <w:r>
              <w:rPr>
                <w:rFonts w:hint="eastAsia" w:ascii="宋体" w:hAnsi="宋体"/>
                <w:sz w:val="18"/>
                <w:szCs w:val="18"/>
                <w:lang w:eastAsia="zh-CN"/>
              </w:rPr>
              <w:t>（</w:t>
            </w:r>
            <w:r>
              <w:rPr>
                <w:rFonts w:hint="eastAsia" w:ascii="宋体" w:hAnsi="宋体"/>
                <w:sz w:val="18"/>
                <w:szCs w:val="18"/>
                <w:lang w:val="en-US" w:eastAsia="zh-CN"/>
              </w:rPr>
              <w:t>铅冶炼</w:t>
            </w:r>
            <w:r>
              <w:rPr>
                <w:rFonts w:hint="eastAsia" w:ascii="宋体" w:hAnsi="宋体"/>
                <w:sz w:val="18"/>
                <w:szCs w:val="18"/>
                <w:lang w:eastAsia="zh-CN"/>
              </w:rPr>
              <w:t>）</w:t>
            </w:r>
          </w:p>
        </w:tc>
        <w:tc>
          <w:tcPr>
            <w:tcW w:w="708"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47.94</w:t>
            </w:r>
          </w:p>
        </w:tc>
        <w:tc>
          <w:tcPr>
            <w:tcW w:w="73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&lt;0.05</w:t>
            </w: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2.31</w:t>
            </w: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0.16</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0.03</w:t>
            </w:r>
          </w:p>
        </w:tc>
        <w:tc>
          <w:tcPr>
            <w:tcW w:w="6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0.46</w:t>
            </w:r>
          </w:p>
        </w:tc>
        <w:tc>
          <w:tcPr>
            <w:tcW w:w="72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1.27</w:t>
            </w:r>
          </w:p>
        </w:tc>
        <w:tc>
          <w:tcPr>
            <w:tcW w:w="685"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&lt;0.05</w:t>
            </w:r>
          </w:p>
        </w:tc>
        <w:tc>
          <w:tcPr>
            <w:tcW w:w="702" w:type="dxa"/>
            <w:tcBorders>
              <w:top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0.11</w:t>
            </w:r>
          </w:p>
        </w:tc>
        <w:tc>
          <w:tcPr>
            <w:tcW w:w="6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&lt;0.05</w:t>
            </w: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&lt;0.05</w:t>
            </w:r>
          </w:p>
        </w:tc>
        <w:tc>
          <w:tcPr>
            <w:tcW w:w="6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kern w:val="0"/>
                <w:sz w:val="18"/>
                <w:szCs w:val="18"/>
                <w:lang w:val="en-US" w:eastAsia="zh-CN" w:bidi="ar-SA"/>
              </w:rPr>
            </w:pPr>
            <w:r>
              <w:rPr>
                <w:rFonts w:hint="eastAsia" w:ascii="宋体" w:hAnsi="宋体" w:cs="宋体"/>
                <w:kern w:val="0"/>
                <w:sz w:val="18"/>
                <w:szCs w:val="18"/>
              </w:rPr>
              <w:t>&lt;0.05</w:t>
            </w:r>
          </w:p>
        </w:tc>
        <w:tc>
          <w:tcPr>
            <w:tcW w:w="711" w:type="dxa"/>
            <w:tcBorders>
              <w:top w:val="single" w:color="auto" w:sz="4" w:space="0"/>
              <w:left w:val="single" w:color="auto" w:sz="4" w:space="0"/>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s="宋体" w:eastAsiaTheme="minorEastAsia"/>
                <w:color w:val="000000"/>
                <w:kern w:val="0"/>
                <w:sz w:val="18"/>
                <w:szCs w:val="18"/>
                <w:lang w:val="en-US" w:eastAsia="zh-CN" w:bidi="ar-SA"/>
              </w:rPr>
            </w:pPr>
            <w:r>
              <w:rPr>
                <w:rFonts w:hint="eastAsia" w:ascii="宋体" w:hAnsi="宋体" w:cs="宋体"/>
                <w:color w:val="000000"/>
                <w:kern w:val="0"/>
                <w:sz w:val="18"/>
                <w:szCs w:val="18"/>
              </w:rPr>
              <w:t>0.19</w:t>
            </w:r>
          </w:p>
        </w:tc>
      </w:tr>
    </w:tbl>
    <w:p>
      <w:pPr>
        <w:pStyle w:val="12"/>
        <w:spacing w:before="0" w:beforeAutospacing="0" w:after="0" w:afterAutospacing="0" w:line="440" w:lineRule="exact"/>
        <w:jc w:val="both"/>
        <w:rPr>
          <w:rFonts w:hint="eastAsia" w:ascii="黑体" w:eastAsia="黑体" w:cs="Arial"/>
          <w:sz w:val="21"/>
          <w:szCs w:val="21"/>
        </w:rPr>
      </w:pPr>
    </w:p>
    <w:p>
      <w:pPr>
        <w:pStyle w:val="12"/>
        <w:spacing w:before="0" w:beforeAutospacing="0" w:after="0" w:afterAutospacing="0" w:line="440" w:lineRule="exact"/>
        <w:jc w:val="both"/>
        <w:rPr>
          <w:rFonts w:hint="eastAsia" w:ascii="黑体" w:eastAsia="黑体" w:cs="Arial"/>
          <w:sz w:val="21"/>
          <w:szCs w:val="21"/>
        </w:rPr>
      </w:pPr>
      <w:r>
        <w:rPr>
          <w:rFonts w:hint="eastAsia" w:ascii="黑体" w:eastAsia="黑体" w:cs="Arial"/>
          <w:sz w:val="21"/>
          <w:szCs w:val="21"/>
        </w:rPr>
        <w:t xml:space="preserve">四、标准中涉及专利的情况 </w:t>
      </w:r>
    </w:p>
    <w:p>
      <w:pPr>
        <w:pStyle w:val="12"/>
        <w:spacing w:before="0" w:beforeAutospacing="0" w:after="0" w:afterAutospacing="0" w:line="440" w:lineRule="exact"/>
        <w:ind w:firstLine="420" w:firstLineChars="200"/>
        <w:jc w:val="both"/>
        <w:rPr>
          <w:rFonts w:hint="eastAsia" w:asciiTheme="minorEastAsia" w:hAnsiTheme="minorEastAsia" w:eastAsiaTheme="minorEastAsia"/>
          <w:kern w:val="44"/>
          <w:sz w:val="21"/>
          <w:szCs w:val="21"/>
        </w:rPr>
      </w:pPr>
      <w:r>
        <w:rPr>
          <w:rFonts w:hint="eastAsia" w:asciiTheme="minorEastAsia" w:hAnsiTheme="minorEastAsia" w:eastAsiaTheme="minorEastAsia"/>
          <w:kern w:val="44"/>
          <w:sz w:val="21"/>
          <w:szCs w:val="21"/>
        </w:rPr>
        <w:t>本文件不涉及专利问题。（若标准中涉及专利，需要主附件中提供必要专利信息披露表、已披露的专利清单、必要专利实施许可声明表等材料。）</w:t>
      </w:r>
    </w:p>
    <w:p>
      <w:pPr>
        <w:pStyle w:val="12"/>
        <w:spacing w:before="0" w:beforeAutospacing="0" w:after="0" w:afterAutospacing="0" w:line="440" w:lineRule="exact"/>
        <w:jc w:val="both"/>
        <w:rPr>
          <w:rFonts w:hint="eastAsia" w:ascii="黑体" w:eastAsia="黑体" w:cs="Arial"/>
          <w:sz w:val="21"/>
          <w:szCs w:val="21"/>
        </w:rPr>
      </w:pPr>
      <w:r>
        <w:rPr>
          <w:rFonts w:hint="eastAsia" w:ascii="黑体" w:eastAsia="黑体" w:cs="Arial"/>
          <w:sz w:val="21"/>
          <w:szCs w:val="21"/>
        </w:rPr>
        <w:t>五、预期的经济效益、社会效益和生态效益</w:t>
      </w:r>
    </w:p>
    <w:p>
      <w:pPr>
        <w:pStyle w:val="12"/>
        <w:spacing w:before="0" w:beforeAutospacing="0" w:after="0" w:afterAutospacing="0" w:line="440" w:lineRule="exact"/>
        <w:jc w:val="both"/>
        <w:rPr>
          <w:rFonts w:hint="eastAsia" w:ascii="黑体" w:eastAsia="黑体" w:cs="Arial"/>
          <w:sz w:val="21"/>
          <w:szCs w:val="21"/>
        </w:rPr>
      </w:pPr>
      <w:r>
        <w:rPr>
          <w:rFonts w:hint="eastAsia" w:ascii="黑体" w:eastAsia="黑体" w:cs="Arial"/>
          <w:sz w:val="21"/>
          <w:szCs w:val="21"/>
        </w:rPr>
        <w:t>5.1 项目</w:t>
      </w:r>
      <w:r>
        <w:rPr>
          <w:rFonts w:ascii="黑体" w:eastAsia="黑体" w:cs="Arial"/>
          <w:sz w:val="21"/>
          <w:szCs w:val="21"/>
        </w:rPr>
        <w:t>的必要性</w:t>
      </w:r>
    </w:p>
    <w:p>
      <w:pPr>
        <w:pStyle w:val="3"/>
        <w:keepNext w:val="0"/>
        <w:keepLines w:val="0"/>
        <w:shd w:val="clear" w:color="auto" w:fill="FFFFFF"/>
        <w:wordWrap w:val="0"/>
        <w:spacing w:before="0" w:after="0" w:line="450" w:lineRule="atLeast"/>
        <w:ind w:firstLine="420" w:firstLineChars="200"/>
        <w:rPr>
          <w:rFonts w:hint="eastAsia" w:ascii="宋体" w:hAnsi="宋体" w:eastAsiaTheme="minorEastAsia"/>
          <w:szCs w:val="21"/>
          <w:highlight w:val="yellow"/>
        </w:rPr>
      </w:pPr>
      <w:r>
        <w:rPr>
          <w:rFonts w:hint="eastAsia" w:cs="宋体" w:asciiTheme="minorEastAsia" w:hAnsiTheme="minorEastAsia" w:eastAsiaTheme="minorEastAsia"/>
          <w:bCs w:val="0"/>
          <w:sz w:val="21"/>
          <w:szCs w:val="21"/>
        </w:rPr>
        <w:t>目前冶炼副产品氧化锡主要作为添加原料与锡精矿搭配冶炼，用于生产锡锭，搭配比例视冶炼副产品氧化锡及锡精矿含量定，通常冶炼副产品氧化锡干基重量占比在10%—30%左右，按2023年的锡精矿平均价格，冶炼企业每销售1金属吨冶炼副产品氧化锡可产生净利润</w:t>
      </w:r>
      <w:r>
        <w:rPr>
          <w:rFonts w:hint="eastAsia" w:cs="宋体" w:asciiTheme="minorEastAsia" w:hAnsiTheme="minorEastAsia" w:eastAsiaTheme="minorEastAsia"/>
          <w:bCs w:val="0"/>
          <w:sz w:val="21"/>
          <w:szCs w:val="21"/>
          <w:lang w:val="en-US" w:eastAsia="zh-CN"/>
        </w:rPr>
        <w:t>不低于</w:t>
      </w:r>
      <w:r>
        <w:rPr>
          <w:rFonts w:hint="eastAsia" w:cs="宋体" w:asciiTheme="minorEastAsia" w:hAnsiTheme="minorEastAsia" w:eastAsiaTheme="minorEastAsia"/>
          <w:bCs w:val="0"/>
          <w:sz w:val="21"/>
          <w:szCs w:val="21"/>
        </w:rPr>
        <w:t>5万元，锡冶炼企业每购买1金属吨冶炼副产</w:t>
      </w:r>
      <w:bookmarkStart w:id="4" w:name="_GoBack"/>
      <w:bookmarkEnd w:id="4"/>
      <w:r>
        <w:rPr>
          <w:rFonts w:hint="eastAsia" w:cs="宋体" w:asciiTheme="minorEastAsia" w:hAnsiTheme="minorEastAsia" w:eastAsiaTheme="minorEastAsia"/>
          <w:bCs w:val="0"/>
          <w:sz w:val="21"/>
          <w:szCs w:val="21"/>
        </w:rPr>
        <w:t>品氧化锡替代锡精矿可节约成本</w:t>
      </w:r>
      <w:r>
        <w:rPr>
          <w:rFonts w:hint="eastAsia" w:cs="宋体" w:asciiTheme="minorEastAsia" w:hAnsiTheme="minorEastAsia" w:eastAsiaTheme="minorEastAsia"/>
          <w:bCs w:val="0"/>
          <w:sz w:val="21"/>
          <w:szCs w:val="21"/>
          <w:lang w:eastAsia="zh-CN"/>
        </w:rPr>
        <w:t>超</w:t>
      </w:r>
      <w:r>
        <w:rPr>
          <w:rFonts w:hint="eastAsia" w:cs="宋体" w:asciiTheme="minorEastAsia" w:hAnsiTheme="minorEastAsia" w:eastAsiaTheme="minorEastAsia"/>
          <w:bCs w:val="0"/>
          <w:sz w:val="21"/>
          <w:szCs w:val="21"/>
          <w:lang w:val="en-US" w:eastAsia="zh-CN"/>
        </w:rPr>
        <w:t>3</w:t>
      </w:r>
      <w:r>
        <w:rPr>
          <w:rFonts w:hint="eastAsia" w:cs="宋体" w:asciiTheme="minorEastAsia" w:hAnsiTheme="minorEastAsia" w:eastAsiaTheme="minorEastAsia"/>
          <w:bCs w:val="0"/>
          <w:sz w:val="21"/>
          <w:szCs w:val="21"/>
        </w:rPr>
        <w:t>万元，锡冶炼企业回收的冶炼副产品氧化锡价值另计，目前市场冶炼副产品氧化锡年使用量超</w:t>
      </w:r>
      <w:r>
        <w:rPr>
          <w:rFonts w:hint="eastAsia" w:cs="宋体" w:asciiTheme="minorEastAsia" w:hAnsiTheme="minorEastAsia" w:eastAsiaTheme="minorEastAsia"/>
          <w:bCs w:val="0"/>
          <w:sz w:val="21"/>
          <w:szCs w:val="21"/>
          <w:lang w:val="en-US" w:eastAsia="zh-CN"/>
        </w:rPr>
        <w:t>4</w:t>
      </w:r>
      <w:r>
        <w:rPr>
          <w:rFonts w:hint="eastAsia" w:cs="宋体" w:asciiTheme="minorEastAsia" w:hAnsiTheme="minorEastAsia" w:eastAsiaTheme="minorEastAsia"/>
          <w:bCs w:val="0"/>
          <w:sz w:val="21"/>
          <w:szCs w:val="21"/>
        </w:rPr>
        <w:t>000金属吨（实物超</w:t>
      </w:r>
      <w:r>
        <w:rPr>
          <w:rFonts w:hint="eastAsia" w:cs="宋体" w:asciiTheme="minorEastAsia" w:hAnsiTheme="minorEastAsia" w:eastAsiaTheme="minorEastAsia"/>
          <w:bCs w:val="0"/>
          <w:sz w:val="21"/>
          <w:szCs w:val="21"/>
          <w:lang w:val="en-US" w:eastAsia="zh-CN"/>
        </w:rPr>
        <w:t>2</w:t>
      </w:r>
      <w:r>
        <w:rPr>
          <w:rFonts w:hint="eastAsia" w:cs="宋体" w:asciiTheme="minorEastAsia" w:hAnsiTheme="minorEastAsia" w:eastAsiaTheme="minorEastAsia"/>
          <w:bCs w:val="0"/>
          <w:sz w:val="21"/>
          <w:szCs w:val="21"/>
        </w:rPr>
        <w:t>0000吨），年经济价值超</w:t>
      </w:r>
      <w:r>
        <w:rPr>
          <w:rFonts w:hint="eastAsia" w:cs="宋体" w:asciiTheme="minorEastAsia" w:hAnsiTheme="minorEastAsia" w:eastAsiaTheme="minorEastAsia"/>
          <w:bCs w:val="0"/>
          <w:sz w:val="21"/>
          <w:szCs w:val="21"/>
          <w:lang w:val="en-US" w:eastAsia="zh-CN"/>
        </w:rPr>
        <w:t>1</w:t>
      </w:r>
      <w:r>
        <w:rPr>
          <w:rFonts w:hint="eastAsia" w:cs="宋体" w:asciiTheme="minorEastAsia" w:hAnsiTheme="minorEastAsia" w:eastAsiaTheme="minorEastAsia"/>
          <w:bCs w:val="0"/>
          <w:sz w:val="21"/>
          <w:szCs w:val="21"/>
        </w:rPr>
        <w:t>0000万。</w:t>
      </w:r>
    </w:p>
    <w:p>
      <w:pPr>
        <w:spacing w:line="520" w:lineRule="exact"/>
        <w:ind w:firstLine="420" w:firstLineChars="200"/>
        <w:rPr>
          <w:rFonts w:cs="Times New Roman"/>
          <w:color w:val="000000"/>
          <w:kern w:val="0"/>
          <w:szCs w:val="21"/>
        </w:rPr>
      </w:pPr>
      <w:r>
        <w:rPr>
          <w:rFonts w:hint="eastAsia" w:cs="Times New Roman"/>
          <w:color w:val="000000"/>
          <w:kern w:val="0"/>
          <w:szCs w:val="21"/>
        </w:rPr>
        <w:t>随着锡冶炼生产技术的发展，锡原料需求量日益增长，冶炼副产品氧化锡作为补充性原料与锡精矿搭配混合冶炼，即有利于拓宽锡原料来源，也能有效降低锡冶炼企业的生产成本，同时根据工业与信息化部印发《工业节能与绿色标准化行 动计划（2017-2019 年）》中明确要求：在标准制修定方面，制修订了400多项单位产品能耗限额、产品能效、水 效、再生资源利用等标准，初步形成工业节能和绿色标准基础。在标准实施监督方面，通过 加强标准宣贯，落实强制性能耗限额和产品能效标准，推动企业淘汰低效设备，采用高效节能、节水技术工艺产品，开展重点用能行业能效对标达标活动，树立节水标杆企业，规范再生资源利用，不断提升工业能效和绿色发展水平。工业与信息化部印发《有色金属工业发展规划（2016-2020）》及四部委发的《新材料发展指南》中明确要求：提高新材料的技术创新能力，在新材料方面要实现战略崛起，在绿色发展理念中要提高资源的综合利用并实现产业的可持续发展。通过制定本标准，能规范</w:t>
      </w:r>
      <w:r>
        <w:rPr>
          <w:rFonts w:hint="eastAsia"/>
          <w:color w:val="000000"/>
          <w:kern w:val="0"/>
          <w:szCs w:val="21"/>
        </w:rPr>
        <w:t>冶炼副产品氧化锡</w:t>
      </w:r>
      <w:r>
        <w:rPr>
          <w:rFonts w:hint="eastAsia" w:cs="Times New Roman"/>
          <w:color w:val="000000"/>
          <w:kern w:val="0"/>
          <w:szCs w:val="21"/>
        </w:rPr>
        <w:t>的产品标准，明确其质量要求，促进其在市场的推广。</w:t>
      </w:r>
    </w:p>
    <w:p>
      <w:pPr>
        <w:pStyle w:val="12"/>
        <w:spacing w:before="0" w:beforeAutospacing="0" w:after="0" w:afterAutospacing="0" w:line="440" w:lineRule="exact"/>
        <w:jc w:val="both"/>
        <w:rPr>
          <w:rFonts w:hint="eastAsia" w:ascii="黑体" w:eastAsia="黑体" w:cs="Arial"/>
          <w:sz w:val="21"/>
          <w:szCs w:val="21"/>
        </w:rPr>
      </w:pPr>
      <w:r>
        <w:rPr>
          <w:rFonts w:hint="eastAsia" w:ascii="黑体" w:eastAsia="黑体" w:cs="Arial"/>
          <w:sz w:val="21"/>
          <w:szCs w:val="21"/>
        </w:rPr>
        <w:t>5.2项目的可行性</w:t>
      </w:r>
    </w:p>
    <w:p>
      <w:pPr>
        <w:pStyle w:val="12"/>
        <w:spacing w:before="0" w:beforeAutospacing="0" w:after="0" w:afterAutospacing="0" w:line="440" w:lineRule="exact"/>
        <w:ind w:firstLine="420"/>
        <w:jc w:val="both"/>
        <w:rPr>
          <w:rFonts w:hint="eastAsia" w:asciiTheme="minorEastAsia" w:hAnsiTheme="minorEastAsia" w:eastAsiaTheme="minorEastAsia"/>
          <w:kern w:val="44"/>
          <w:sz w:val="21"/>
          <w:szCs w:val="21"/>
        </w:rPr>
      </w:pPr>
      <w:r>
        <w:rPr>
          <w:rFonts w:hint="eastAsia" w:asciiTheme="minorEastAsia" w:hAnsiTheme="minorEastAsia" w:eastAsiaTheme="minorEastAsia"/>
          <w:kern w:val="44"/>
          <w:sz w:val="21"/>
          <w:szCs w:val="21"/>
        </w:rPr>
        <w:t>湖南柿竹园有色金属有限责任公司郴州钨制品分公司和河南豫光金铅股份有限公司分别作为钨冶炼和铅冶炼行业生产冶炼副产品氧化锡量最大的企业，标准起草人员熟悉整个生产和使用流程，其标准起草团队多次参与有色行业标准的起草、验证等工作，能够胜任标准的编制工作。</w:t>
      </w:r>
    </w:p>
    <w:p>
      <w:pPr>
        <w:pStyle w:val="12"/>
        <w:spacing w:before="0" w:beforeAutospacing="0" w:after="0" w:afterAutospacing="0" w:line="440" w:lineRule="exact"/>
        <w:ind w:firstLine="420"/>
        <w:jc w:val="both"/>
        <w:rPr>
          <w:rFonts w:hint="eastAsia" w:asciiTheme="minorEastAsia" w:hAnsiTheme="minorEastAsia" w:eastAsiaTheme="minorEastAsia"/>
          <w:kern w:val="44"/>
          <w:sz w:val="21"/>
          <w:szCs w:val="21"/>
        </w:rPr>
      </w:pPr>
      <w:r>
        <w:rPr>
          <w:rFonts w:hint="eastAsia" w:asciiTheme="minorEastAsia" w:hAnsiTheme="minorEastAsia" w:eastAsiaTheme="minorEastAsia"/>
          <w:kern w:val="44"/>
          <w:sz w:val="21"/>
          <w:szCs w:val="21"/>
        </w:rPr>
        <w:t>本标准的制定充分考虑了当前市场对产品的实际需要，并结合行业现行的锡精矿测定方法，具有可操作性和普遍适用性。</w:t>
      </w:r>
    </w:p>
    <w:p>
      <w:pPr>
        <w:pStyle w:val="12"/>
        <w:spacing w:before="0" w:beforeAutospacing="0" w:after="0" w:afterAutospacing="0" w:line="440" w:lineRule="exact"/>
        <w:jc w:val="both"/>
        <w:rPr>
          <w:rFonts w:hint="eastAsia" w:ascii="黑体" w:eastAsia="黑体" w:cs="Arial"/>
          <w:sz w:val="21"/>
          <w:szCs w:val="21"/>
        </w:rPr>
      </w:pPr>
      <w:r>
        <w:rPr>
          <w:rFonts w:hint="eastAsia" w:ascii="黑体" w:eastAsia="黑体" w:cs="Arial"/>
          <w:sz w:val="21"/>
          <w:szCs w:val="21"/>
        </w:rPr>
        <w:t>5</w:t>
      </w:r>
      <w:r>
        <w:rPr>
          <w:rFonts w:ascii="黑体" w:eastAsia="黑体" w:cs="Arial"/>
          <w:sz w:val="21"/>
          <w:szCs w:val="21"/>
        </w:rPr>
        <w:t>.</w:t>
      </w:r>
      <w:r>
        <w:rPr>
          <w:rFonts w:hint="eastAsia" w:ascii="黑体" w:eastAsia="黑体" w:cs="Arial"/>
          <w:sz w:val="21"/>
          <w:szCs w:val="21"/>
        </w:rPr>
        <w:t>3</w:t>
      </w:r>
      <w:r>
        <w:rPr>
          <w:rFonts w:ascii="黑体" w:eastAsia="黑体" w:cs="Arial"/>
          <w:sz w:val="21"/>
          <w:szCs w:val="21"/>
        </w:rPr>
        <w:t xml:space="preserve"> 标准的预期作用</w:t>
      </w:r>
    </w:p>
    <w:p>
      <w:pPr>
        <w:spacing w:before="156" w:after="156" w:line="520" w:lineRule="exact"/>
        <w:ind w:firstLine="480" w:firstLineChars="200"/>
        <w:rPr>
          <w:rFonts w:cs="Times New Roman"/>
          <w:color w:val="000000"/>
          <w:kern w:val="0"/>
          <w:szCs w:val="21"/>
        </w:rPr>
      </w:pPr>
      <w:r>
        <w:rPr>
          <w:rFonts w:hint="eastAsia" w:ascii="Times New Roman" w:hAnsi="Times New Roman" w:cs="Times New Roman"/>
          <w:kern w:val="44"/>
          <w:sz w:val="24"/>
          <w:szCs w:val="24"/>
        </w:rPr>
        <w:t xml:space="preserve"> </w:t>
      </w:r>
      <w:r>
        <w:rPr>
          <w:rFonts w:hint="eastAsia" w:cs="Times New Roman"/>
          <w:color w:val="000000"/>
          <w:kern w:val="0"/>
          <w:szCs w:val="21"/>
        </w:rPr>
        <w:t>标准充分考虑了我国钨、铅、锡冶炼企业的实际生产情况，实现多个行业冶炼企业的共赢，有利于整个锡行业市场的公正性。根据实际需求进行大量调研，最终形成了本标准。本标准的制定为市场公平交易提供指导，本文件发布执行后，具有较大的社会效益。</w:t>
      </w:r>
    </w:p>
    <w:p>
      <w:pPr>
        <w:pStyle w:val="12"/>
        <w:spacing w:before="0" w:beforeAutospacing="0" w:after="0" w:afterAutospacing="0" w:line="440" w:lineRule="exact"/>
        <w:jc w:val="both"/>
        <w:rPr>
          <w:rFonts w:hint="eastAsia" w:ascii="黑体" w:eastAsia="黑体" w:cs="Arial"/>
          <w:sz w:val="21"/>
          <w:szCs w:val="21"/>
        </w:rPr>
      </w:pPr>
      <w:r>
        <w:rPr>
          <w:rFonts w:hint="eastAsia" w:ascii="黑体" w:eastAsia="黑体" w:cs="Arial"/>
          <w:sz w:val="21"/>
          <w:szCs w:val="21"/>
        </w:rPr>
        <w:t>六、与国际、国外同类标准技术内容的对比级标准水平情况</w:t>
      </w:r>
    </w:p>
    <w:p>
      <w:pPr>
        <w:pStyle w:val="12"/>
        <w:spacing w:before="0" w:beforeAutospacing="0" w:after="0" w:afterAutospacing="0" w:line="440" w:lineRule="exact"/>
        <w:jc w:val="both"/>
        <w:rPr>
          <w:rFonts w:hint="eastAsia" w:ascii="黑体" w:eastAsia="黑体" w:cs="Arial"/>
          <w:sz w:val="21"/>
          <w:szCs w:val="21"/>
        </w:rPr>
      </w:pPr>
      <w:r>
        <w:rPr>
          <w:rFonts w:hint="eastAsia" w:ascii="黑体" w:eastAsia="黑体" w:cs="Arial"/>
          <w:sz w:val="21"/>
          <w:szCs w:val="21"/>
        </w:rPr>
        <w:t>6.1 采用国际标准和国外先进标准的程度</w:t>
      </w:r>
    </w:p>
    <w:p>
      <w:pPr>
        <w:spacing w:before="156" w:after="156" w:line="520" w:lineRule="exact"/>
        <w:ind w:firstLine="420" w:firstLineChars="200"/>
        <w:rPr>
          <w:rFonts w:cs="Times New Roman"/>
          <w:color w:val="000000"/>
          <w:kern w:val="0"/>
          <w:szCs w:val="21"/>
        </w:rPr>
      </w:pPr>
      <w:r>
        <w:rPr>
          <w:rFonts w:hint="eastAsia" w:cs="Times New Roman"/>
          <w:color w:val="000000"/>
          <w:kern w:val="0"/>
          <w:szCs w:val="21"/>
        </w:rPr>
        <w:t>经查，国外无相同类型的国际标准。</w:t>
      </w:r>
    </w:p>
    <w:p>
      <w:pPr>
        <w:pStyle w:val="12"/>
        <w:spacing w:before="0" w:beforeAutospacing="0" w:after="0" w:afterAutospacing="0" w:line="440" w:lineRule="exact"/>
        <w:jc w:val="both"/>
        <w:rPr>
          <w:rFonts w:hint="eastAsia" w:ascii="黑体" w:eastAsia="黑体" w:cs="Arial"/>
          <w:sz w:val="21"/>
          <w:szCs w:val="21"/>
        </w:rPr>
      </w:pPr>
      <w:r>
        <w:rPr>
          <w:rFonts w:hint="eastAsia" w:ascii="黑体" w:eastAsia="黑体" w:cs="Arial"/>
          <w:sz w:val="21"/>
          <w:szCs w:val="21"/>
        </w:rPr>
        <w:t>6.2 国际、国外同类标准水平的对比分析</w:t>
      </w:r>
    </w:p>
    <w:p>
      <w:pPr>
        <w:spacing w:before="156" w:after="156" w:line="520" w:lineRule="exact"/>
        <w:ind w:firstLine="420" w:firstLineChars="200"/>
        <w:rPr>
          <w:rFonts w:cs="Times New Roman"/>
          <w:color w:val="000000"/>
          <w:kern w:val="0"/>
          <w:szCs w:val="21"/>
        </w:rPr>
      </w:pPr>
      <w:r>
        <w:rPr>
          <w:rFonts w:hint="eastAsia" w:cs="Times New Roman"/>
          <w:color w:val="000000"/>
          <w:kern w:val="0"/>
          <w:szCs w:val="21"/>
        </w:rPr>
        <w:t>经查，国外无相同类型的国际标准。</w:t>
      </w:r>
    </w:p>
    <w:p>
      <w:pPr>
        <w:pStyle w:val="12"/>
        <w:spacing w:before="0" w:beforeAutospacing="0" w:after="0" w:afterAutospacing="0" w:line="440" w:lineRule="exact"/>
        <w:jc w:val="both"/>
        <w:rPr>
          <w:rFonts w:hint="eastAsia" w:ascii="黑体" w:eastAsia="黑体" w:cs="Arial"/>
          <w:sz w:val="21"/>
          <w:szCs w:val="21"/>
        </w:rPr>
      </w:pPr>
      <w:r>
        <w:rPr>
          <w:rFonts w:hint="eastAsia" w:ascii="黑体" w:eastAsia="黑体" w:cs="Arial"/>
          <w:sz w:val="21"/>
          <w:szCs w:val="21"/>
        </w:rPr>
        <w:t>6.3 标准水平分析</w:t>
      </w:r>
    </w:p>
    <w:p>
      <w:pPr>
        <w:spacing w:before="156" w:after="156" w:line="520" w:lineRule="exact"/>
        <w:ind w:firstLine="420" w:firstLineChars="200"/>
        <w:rPr>
          <w:highlight w:val="yellow"/>
        </w:rPr>
      </w:pPr>
      <w:r>
        <w:rPr>
          <w:rFonts w:hint="eastAsia" w:cs="Times New Roman"/>
          <w:color w:val="000000"/>
          <w:kern w:val="0"/>
          <w:szCs w:val="21"/>
        </w:rPr>
        <w:t>本标准的建立为锡市场公平交易提供指导，具有较大的社会效益，标准总体达到了国内先进水平。</w:t>
      </w:r>
    </w:p>
    <w:p>
      <w:pPr>
        <w:pStyle w:val="12"/>
        <w:spacing w:before="0" w:beforeAutospacing="0" w:after="0" w:afterAutospacing="0" w:line="440" w:lineRule="exact"/>
        <w:jc w:val="both"/>
        <w:rPr>
          <w:rFonts w:hint="eastAsia" w:ascii="黑体" w:eastAsia="黑体" w:cs="Arial"/>
          <w:sz w:val="21"/>
          <w:szCs w:val="21"/>
        </w:rPr>
      </w:pPr>
      <w:r>
        <w:rPr>
          <w:rFonts w:hint="eastAsia" w:ascii="黑体" w:eastAsia="黑体" w:cs="Arial"/>
          <w:sz w:val="21"/>
          <w:szCs w:val="21"/>
        </w:rPr>
        <w:t>七、与有关法律、行政法规及相关标准的关系</w:t>
      </w:r>
    </w:p>
    <w:p>
      <w:pPr>
        <w:spacing w:before="156" w:after="156" w:line="520" w:lineRule="exact"/>
        <w:ind w:firstLine="420" w:firstLineChars="200"/>
        <w:rPr>
          <w:rFonts w:hint="eastAsia" w:ascii="黑体" w:hAnsi="宋体" w:eastAsia="黑体" w:cs="宋体"/>
          <w:bCs/>
          <w:szCs w:val="21"/>
        </w:rPr>
      </w:pPr>
      <w:r>
        <w:rPr>
          <w:rFonts w:hint="eastAsia" w:cs="Times New Roman"/>
          <w:color w:val="000000"/>
          <w:kern w:val="0"/>
          <w:szCs w:val="21"/>
        </w:rPr>
        <w:t>本标准符合现行法律、法规的要求，并与其他同类国家标准、国家J用标准、行业标准无冲突、重叠和不协调之处。</w:t>
      </w:r>
    </w:p>
    <w:p>
      <w:pPr>
        <w:pStyle w:val="12"/>
        <w:spacing w:before="0" w:beforeAutospacing="0" w:after="0" w:afterAutospacing="0" w:line="440" w:lineRule="exact"/>
        <w:jc w:val="both"/>
        <w:rPr>
          <w:rFonts w:hint="eastAsia" w:ascii="黑体" w:eastAsia="黑体" w:cs="Arial"/>
          <w:sz w:val="21"/>
          <w:szCs w:val="21"/>
        </w:rPr>
      </w:pPr>
      <w:r>
        <w:rPr>
          <w:rFonts w:hint="eastAsia" w:ascii="黑体" w:eastAsia="黑体" w:cs="Arial"/>
          <w:sz w:val="21"/>
          <w:szCs w:val="21"/>
        </w:rPr>
        <w:t>八、重大分歧意见的处理过程和依据</w:t>
      </w:r>
    </w:p>
    <w:p>
      <w:pPr>
        <w:spacing w:before="156" w:after="156" w:line="520" w:lineRule="exact"/>
        <w:ind w:firstLine="420" w:firstLineChars="200"/>
        <w:rPr>
          <w:rFonts w:cs="Times New Roman"/>
          <w:color w:val="000000"/>
          <w:kern w:val="0"/>
          <w:szCs w:val="21"/>
        </w:rPr>
      </w:pPr>
      <w:r>
        <w:rPr>
          <w:rFonts w:hint="eastAsia" w:cs="Times New Roman"/>
          <w:color w:val="000000"/>
          <w:kern w:val="0"/>
          <w:szCs w:val="21"/>
        </w:rPr>
        <w:t>本标准在编制过程中无重大分歧意见。</w:t>
      </w:r>
    </w:p>
    <w:p>
      <w:pPr>
        <w:pStyle w:val="12"/>
        <w:spacing w:before="0" w:beforeAutospacing="0" w:after="0" w:afterAutospacing="0" w:line="440" w:lineRule="exact"/>
        <w:jc w:val="both"/>
        <w:rPr>
          <w:rFonts w:hint="eastAsia" w:ascii="黑体" w:eastAsia="黑体" w:cs="Arial"/>
          <w:sz w:val="21"/>
          <w:szCs w:val="21"/>
        </w:rPr>
      </w:pPr>
      <w:r>
        <w:rPr>
          <w:rFonts w:hint="eastAsia" w:ascii="黑体" w:eastAsia="黑体" w:cs="Arial"/>
          <w:sz w:val="21"/>
          <w:szCs w:val="21"/>
        </w:rPr>
        <w:t>九、标准性质的建议说明</w:t>
      </w:r>
    </w:p>
    <w:p>
      <w:pPr>
        <w:spacing w:before="156" w:after="156" w:line="520" w:lineRule="exact"/>
        <w:ind w:firstLine="420" w:firstLineChars="200"/>
        <w:rPr>
          <w:rFonts w:cs="Times New Roman"/>
          <w:color w:val="000000"/>
          <w:kern w:val="0"/>
          <w:szCs w:val="21"/>
        </w:rPr>
      </w:pPr>
      <w:r>
        <w:rPr>
          <w:rFonts w:hint="eastAsia" w:ascii="宋体" w:hAnsi="宋体"/>
          <w:szCs w:val="21"/>
        </w:rPr>
        <w:t xml:space="preserve"> 本标准规定了</w:t>
      </w:r>
      <w:r>
        <w:rPr>
          <w:rFonts w:hint="eastAsia" w:hAnsi="宋体"/>
          <w:szCs w:val="21"/>
        </w:rPr>
        <w:t>钨冶炼和铅冶炼过程中副产</w:t>
      </w:r>
      <w:r>
        <w:rPr>
          <w:rFonts w:hint="eastAsia" w:hAnsi="Times New Roman" w:eastAsia="宋体" w:cs="Times New Roman"/>
          <w:szCs w:val="20"/>
        </w:rPr>
        <w:t>氧化锡的产品要求，符合目前国内</w:t>
      </w:r>
      <w:r>
        <w:rPr>
          <w:rFonts w:hint="eastAsia" w:hAnsi="宋体"/>
          <w:szCs w:val="21"/>
        </w:rPr>
        <w:t>钨冶炼和铅冶炼</w:t>
      </w:r>
      <w:r>
        <w:rPr>
          <w:rFonts w:hint="eastAsia" w:hAnsi="Times New Roman" w:eastAsia="宋体" w:cs="Times New Roman"/>
          <w:szCs w:val="20"/>
        </w:rPr>
        <w:t>副产品氧化锡的发展需求，具有较好的适用性和科学性，因此建议将此标准推荐为行业标准。</w:t>
      </w:r>
    </w:p>
    <w:p>
      <w:pPr>
        <w:pStyle w:val="12"/>
        <w:spacing w:before="0" w:beforeAutospacing="0" w:after="0" w:afterAutospacing="0" w:line="440" w:lineRule="exact"/>
        <w:jc w:val="both"/>
        <w:rPr>
          <w:rFonts w:hint="eastAsia" w:ascii="黑体" w:eastAsia="黑体" w:cs="Arial"/>
          <w:sz w:val="21"/>
          <w:szCs w:val="21"/>
        </w:rPr>
      </w:pPr>
      <w:r>
        <w:rPr>
          <w:rFonts w:hint="eastAsia" w:ascii="黑体" w:eastAsia="黑体" w:cs="Arial"/>
          <w:sz w:val="21"/>
          <w:szCs w:val="21"/>
        </w:rPr>
        <w:t>十</w:t>
      </w:r>
      <w:bookmarkStart w:id="1" w:name="_Toc15989"/>
      <w:r>
        <w:rPr>
          <w:rFonts w:hint="eastAsia" w:ascii="黑体" w:eastAsia="黑体" w:cs="Arial"/>
          <w:sz w:val="21"/>
          <w:szCs w:val="21"/>
        </w:rPr>
        <w:t>、贯彻标准的要求和措施建议</w:t>
      </w:r>
      <w:bookmarkEnd w:id="1"/>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1、首先应在实施前保证标准文本的充足供应，使相关生产企业、使用单位及检测机构都能及时获得本标准，这是保证新标准贯彻实施的基础。</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2、本次制定的《冶炼副产品氧化锡》标准，与生产企业和使用单位有关，对于标准使用过程出现的疑问，起草单位有义务进行解释。</w:t>
      </w:r>
    </w:p>
    <w:p>
      <w:pPr>
        <w:pStyle w:val="24"/>
        <w:spacing w:line="440" w:lineRule="exact"/>
        <w:ind w:firstLine="420"/>
        <w:rPr>
          <w:rFonts w:hint="eastAsia" w:hAnsi="宋体" w:cs="宋体"/>
          <w:szCs w:val="21"/>
        </w:rPr>
      </w:pPr>
      <w:r>
        <w:rPr>
          <w:rFonts w:hint="eastAsia" w:hAnsi="宋体" w:cs="宋体"/>
          <w:szCs w:val="21"/>
        </w:rPr>
        <w:t>3、可以针对标准使用的不同对象，有侧重点的进行标准培训和宣贯，以保证标准的贯彻实施。</w:t>
      </w:r>
    </w:p>
    <w:p>
      <w:pPr>
        <w:pStyle w:val="24"/>
        <w:spacing w:line="440" w:lineRule="exact"/>
        <w:ind w:firstLine="420"/>
      </w:pPr>
      <w:r>
        <w:rPr>
          <w:rFonts w:hint="eastAsia" w:hAnsi="宋体" w:cs="宋体"/>
          <w:szCs w:val="21"/>
        </w:rPr>
        <w:t>4、建议标准发布后6个月实施。</w:t>
      </w:r>
    </w:p>
    <w:p>
      <w:pPr>
        <w:pStyle w:val="12"/>
        <w:spacing w:before="0" w:beforeAutospacing="0" w:after="0" w:afterAutospacing="0" w:line="440" w:lineRule="exact"/>
        <w:jc w:val="both"/>
        <w:rPr>
          <w:rFonts w:hint="eastAsia" w:ascii="黑体" w:eastAsia="黑体" w:cs="Arial"/>
          <w:sz w:val="21"/>
          <w:szCs w:val="21"/>
        </w:rPr>
      </w:pPr>
      <w:bookmarkStart w:id="2" w:name="_Toc7802"/>
      <w:r>
        <w:rPr>
          <w:rFonts w:hint="eastAsia" w:ascii="黑体" w:eastAsia="黑体" w:cs="Arial"/>
          <w:sz w:val="21"/>
          <w:szCs w:val="21"/>
        </w:rPr>
        <w:t>十一、废止现行有关标准的建议</w:t>
      </w:r>
      <w:bookmarkEnd w:id="2"/>
    </w:p>
    <w:p>
      <w:pPr>
        <w:spacing w:line="440" w:lineRule="exact"/>
        <w:ind w:firstLine="420" w:firstLineChars="200"/>
        <w:rPr>
          <w:rFonts w:hint="eastAsia" w:ascii="宋体" w:hAnsi="宋体" w:cs="宋体"/>
          <w:szCs w:val="21"/>
          <w:highlight w:val="yellow"/>
        </w:rPr>
      </w:pPr>
      <w:r>
        <w:rPr>
          <w:rFonts w:hint="eastAsia" w:ascii="宋体" w:hAnsi="宋体" w:cs="宋体"/>
          <w:szCs w:val="21"/>
        </w:rPr>
        <w:t>无。</w:t>
      </w:r>
    </w:p>
    <w:p>
      <w:pPr>
        <w:pStyle w:val="12"/>
        <w:spacing w:before="0" w:beforeAutospacing="0" w:after="0" w:afterAutospacing="0" w:line="440" w:lineRule="exact"/>
        <w:jc w:val="both"/>
        <w:rPr>
          <w:rFonts w:hint="eastAsia" w:ascii="黑体" w:eastAsia="黑体" w:cs="Arial"/>
          <w:sz w:val="21"/>
          <w:szCs w:val="21"/>
        </w:rPr>
      </w:pPr>
      <w:bookmarkStart w:id="3" w:name="_Toc22451"/>
      <w:r>
        <w:rPr>
          <w:rFonts w:hint="eastAsia" w:ascii="黑体" w:eastAsia="黑体" w:cs="Arial"/>
          <w:sz w:val="21"/>
          <w:szCs w:val="21"/>
        </w:rPr>
        <w:t>十二、其他应当说明的事项</w:t>
      </w:r>
      <w:bookmarkEnd w:id="3"/>
    </w:p>
    <w:p>
      <w:pPr>
        <w:spacing w:line="440" w:lineRule="exact"/>
        <w:ind w:firstLine="420" w:firstLineChars="200"/>
        <w:rPr>
          <w:rFonts w:hint="eastAsia" w:ascii="宋体" w:hAnsi="宋体" w:cs="宋体"/>
          <w:szCs w:val="21"/>
        </w:rPr>
      </w:pPr>
      <w:r>
        <w:rPr>
          <w:rFonts w:hint="eastAsia" w:ascii="宋体" w:hAnsi="宋体" w:cs="宋体"/>
          <w:szCs w:val="21"/>
        </w:rPr>
        <w:t>无。</w:t>
      </w:r>
    </w:p>
    <w:p>
      <w:pPr>
        <w:spacing w:line="440" w:lineRule="exact"/>
        <w:jc w:val="right"/>
        <w:rPr>
          <w:rFonts w:hint="eastAsia" w:ascii="宋体" w:hAnsi="宋体" w:eastAsia="宋体"/>
          <w:szCs w:val="21"/>
        </w:rPr>
      </w:pPr>
      <w:r>
        <w:rPr>
          <w:rFonts w:hint="eastAsia"/>
          <w:szCs w:val="21"/>
        </w:rPr>
        <w:t xml:space="preserve">                             《</w:t>
      </w:r>
      <w:r>
        <w:rPr>
          <w:rFonts w:hint="eastAsia" w:ascii="宋体" w:hAnsi="宋体" w:eastAsia="宋体"/>
          <w:szCs w:val="21"/>
        </w:rPr>
        <w:t>冶炼副产品氧化锡</w:t>
      </w:r>
      <w:r>
        <w:rPr>
          <w:rFonts w:hint="eastAsia"/>
          <w:szCs w:val="21"/>
        </w:rPr>
        <w:t>》</w:t>
      </w:r>
      <w:r>
        <w:rPr>
          <w:rFonts w:hint="eastAsia" w:ascii="宋体" w:hAnsi="宋体" w:eastAsia="宋体"/>
          <w:szCs w:val="21"/>
        </w:rPr>
        <w:t>编制组</w:t>
      </w:r>
    </w:p>
    <w:p>
      <w:pPr>
        <w:spacing w:before="312" w:beforeLines="100" w:line="440" w:lineRule="exact"/>
        <w:jc w:val="right"/>
        <w:rPr>
          <w:rFonts w:hint="eastAsia" w:ascii="宋体" w:hAnsi="宋体" w:eastAsia="宋体"/>
          <w:szCs w:val="21"/>
        </w:rPr>
      </w:pPr>
      <w:r>
        <w:rPr>
          <w:rFonts w:hint="eastAsia" w:ascii="宋体" w:hAnsi="宋体" w:eastAsia="宋体"/>
          <w:szCs w:val="21"/>
        </w:rPr>
        <w:t xml:space="preserve">                             2025年8月1日</w:t>
      </w:r>
    </w:p>
    <w:sectPr>
      <w:pgSz w:w="11906" w:h="16838"/>
      <w:pgMar w:top="1440" w:right="1780" w:bottom="1440" w:left="17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31"/>
      <w:suff w:val="nothing"/>
      <w:lvlText w:val="%1.%2.%3　"/>
      <w:lvlJc w:val="left"/>
      <w:pPr>
        <w:ind w:left="142"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ljYmIwMTBkNTA3YTNhODM2YmJlYjhlNmE2YWJiMTkifQ=="/>
  </w:docVars>
  <w:rsids>
    <w:rsidRoot w:val="0049152D"/>
    <w:rsid w:val="00000899"/>
    <w:rsid w:val="00002C81"/>
    <w:rsid w:val="0000483E"/>
    <w:rsid w:val="0000533A"/>
    <w:rsid w:val="00006069"/>
    <w:rsid w:val="00007345"/>
    <w:rsid w:val="0000734E"/>
    <w:rsid w:val="00007428"/>
    <w:rsid w:val="000119A5"/>
    <w:rsid w:val="00011F52"/>
    <w:rsid w:val="0001287D"/>
    <w:rsid w:val="00013051"/>
    <w:rsid w:val="00013700"/>
    <w:rsid w:val="00014230"/>
    <w:rsid w:val="000142A3"/>
    <w:rsid w:val="0001434A"/>
    <w:rsid w:val="000146E1"/>
    <w:rsid w:val="00015683"/>
    <w:rsid w:val="00015B66"/>
    <w:rsid w:val="00016452"/>
    <w:rsid w:val="00016C1B"/>
    <w:rsid w:val="000174E9"/>
    <w:rsid w:val="00017703"/>
    <w:rsid w:val="00020B8D"/>
    <w:rsid w:val="00020E6C"/>
    <w:rsid w:val="0002350F"/>
    <w:rsid w:val="00025C36"/>
    <w:rsid w:val="00026B44"/>
    <w:rsid w:val="00026C0C"/>
    <w:rsid w:val="000312D7"/>
    <w:rsid w:val="00032958"/>
    <w:rsid w:val="00033C9E"/>
    <w:rsid w:val="00035A30"/>
    <w:rsid w:val="000362EA"/>
    <w:rsid w:val="0003648A"/>
    <w:rsid w:val="000370C9"/>
    <w:rsid w:val="000376FC"/>
    <w:rsid w:val="00041459"/>
    <w:rsid w:val="000425E5"/>
    <w:rsid w:val="00043943"/>
    <w:rsid w:val="00047256"/>
    <w:rsid w:val="00047897"/>
    <w:rsid w:val="00047C97"/>
    <w:rsid w:val="000538E0"/>
    <w:rsid w:val="00053978"/>
    <w:rsid w:val="000543AE"/>
    <w:rsid w:val="00056B2E"/>
    <w:rsid w:val="0005750E"/>
    <w:rsid w:val="00057549"/>
    <w:rsid w:val="00060E9C"/>
    <w:rsid w:val="00061A95"/>
    <w:rsid w:val="00061BAC"/>
    <w:rsid w:val="00062BA9"/>
    <w:rsid w:val="000630E4"/>
    <w:rsid w:val="0006311A"/>
    <w:rsid w:val="000632D5"/>
    <w:rsid w:val="000634E4"/>
    <w:rsid w:val="00063E72"/>
    <w:rsid w:val="000647B0"/>
    <w:rsid w:val="000647D1"/>
    <w:rsid w:val="000648D5"/>
    <w:rsid w:val="00064F0E"/>
    <w:rsid w:val="0006509C"/>
    <w:rsid w:val="000661DC"/>
    <w:rsid w:val="0006634E"/>
    <w:rsid w:val="00067F99"/>
    <w:rsid w:val="0007025D"/>
    <w:rsid w:val="0007113B"/>
    <w:rsid w:val="00072938"/>
    <w:rsid w:val="00072B7E"/>
    <w:rsid w:val="00073823"/>
    <w:rsid w:val="000738A3"/>
    <w:rsid w:val="00073EA4"/>
    <w:rsid w:val="00074BD0"/>
    <w:rsid w:val="00075228"/>
    <w:rsid w:val="00076905"/>
    <w:rsid w:val="00083504"/>
    <w:rsid w:val="00083671"/>
    <w:rsid w:val="0008539E"/>
    <w:rsid w:val="0008748A"/>
    <w:rsid w:val="00087579"/>
    <w:rsid w:val="00090932"/>
    <w:rsid w:val="0009564E"/>
    <w:rsid w:val="000956AA"/>
    <w:rsid w:val="00095716"/>
    <w:rsid w:val="00095B00"/>
    <w:rsid w:val="000968E7"/>
    <w:rsid w:val="000A25DA"/>
    <w:rsid w:val="000A2674"/>
    <w:rsid w:val="000A46E3"/>
    <w:rsid w:val="000A68B0"/>
    <w:rsid w:val="000A68DC"/>
    <w:rsid w:val="000B0288"/>
    <w:rsid w:val="000B12AD"/>
    <w:rsid w:val="000B20BA"/>
    <w:rsid w:val="000C2E3D"/>
    <w:rsid w:val="000C4435"/>
    <w:rsid w:val="000C7BE6"/>
    <w:rsid w:val="000D004B"/>
    <w:rsid w:val="000D146E"/>
    <w:rsid w:val="000D255F"/>
    <w:rsid w:val="000D2968"/>
    <w:rsid w:val="000D3C54"/>
    <w:rsid w:val="000D419A"/>
    <w:rsid w:val="000D6C50"/>
    <w:rsid w:val="000E0E5D"/>
    <w:rsid w:val="000E12A2"/>
    <w:rsid w:val="000E2F2B"/>
    <w:rsid w:val="000E3BE4"/>
    <w:rsid w:val="000E5601"/>
    <w:rsid w:val="000E5B35"/>
    <w:rsid w:val="000E7291"/>
    <w:rsid w:val="000E7398"/>
    <w:rsid w:val="000E7492"/>
    <w:rsid w:val="000E75F6"/>
    <w:rsid w:val="000F0726"/>
    <w:rsid w:val="000F21CD"/>
    <w:rsid w:val="000F2931"/>
    <w:rsid w:val="000F60BA"/>
    <w:rsid w:val="000F7EE8"/>
    <w:rsid w:val="0010164F"/>
    <w:rsid w:val="00102EBA"/>
    <w:rsid w:val="00103B79"/>
    <w:rsid w:val="00103F5A"/>
    <w:rsid w:val="001043C6"/>
    <w:rsid w:val="0011080B"/>
    <w:rsid w:val="00112E27"/>
    <w:rsid w:val="001133B5"/>
    <w:rsid w:val="0011342C"/>
    <w:rsid w:val="00115E89"/>
    <w:rsid w:val="001169BC"/>
    <w:rsid w:val="001172DB"/>
    <w:rsid w:val="0011791C"/>
    <w:rsid w:val="0011799D"/>
    <w:rsid w:val="00117A27"/>
    <w:rsid w:val="00120FE8"/>
    <w:rsid w:val="001215B6"/>
    <w:rsid w:val="00122E35"/>
    <w:rsid w:val="00123CA5"/>
    <w:rsid w:val="00125817"/>
    <w:rsid w:val="00125CAC"/>
    <w:rsid w:val="00126111"/>
    <w:rsid w:val="001268D7"/>
    <w:rsid w:val="00130CC9"/>
    <w:rsid w:val="0013566C"/>
    <w:rsid w:val="001360C1"/>
    <w:rsid w:val="001421CF"/>
    <w:rsid w:val="00142C75"/>
    <w:rsid w:val="00143A39"/>
    <w:rsid w:val="00144F28"/>
    <w:rsid w:val="00145147"/>
    <w:rsid w:val="00145188"/>
    <w:rsid w:val="001455A0"/>
    <w:rsid w:val="00147858"/>
    <w:rsid w:val="001502D3"/>
    <w:rsid w:val="0015114D"/>
    <w:rsid w:val="001517E4"/>
    <w:rsid w:val="00151DFA"/>
    <w:rsid w:val="00152A50"/>
    <w:rsid w:val="00152CEE"/>
    <w:rsid w:val="00152F27"/>
    <w:rsid w:val="001531DA"/>
    <w:rsid w:val="0016143F"/>
    <w:rsid w:val="00161FB3"/>
    <w:rsid w:val="00162FCD"/>
    <w:rsid w:val="00164041"/>
    <w:rsid w:val="00164320"/>
    <w:rsid w:val="0016453D"/>
    <w:rsid w:val="00165B11"/>
    <w:rsid w:val="00167FF7"/>
    <w:rsid w:val="001710BE"/>
    <w:rsid w:val="001728AD"/>
    <w:rsid w:val="00173330"/>
    <w:rsid w:val="00175F20"/>
    <w:rsid w:val="0017788A"/>
    <w:rsid w:val="00180F34"/>
    <w:rsid w:val="00181FDF"/>
    <w:rsid w:val="00183DBE"/>
    <w:rsid w:val="00183F8C"/>
    <w:rsid w:val="00184A11"/>
    <w:rsid w:val="00185294"/>
    <w:rsid w:val="00186327"/>
    <w:rsid w:val="001866BE"/>
    <w:rsid w:val="001868B2"/>
    <w:rsid w:val="0019074F"/>
    <w:rsid w:val="001909E7"/>
    <w:rsid w:val="0019306C"/>
    <w:rsid w:val="001936E4"/>
    <w:rsid w:val="001945B5"/>
    <w:rsid w:val="00194AB3"/>
    <w:rsid w:val="00195204"/>
    <w:rsid w:val="0019675D"/>
    <w:rsid w:val="00196900"/>
    <w:rsid w:val="00196D91"/>
    <w:rsid w:val="0019747E"/>
    <w:rsid w:val="001976D2"/>
    <w:rsid w:val="00197920"/>
    <w:rsid w:val="001A0EA6"/>
    <w:rsid w:val="001A2F17"/>
    <w:rsid w:val="001A577D"/>
    <w:rsid w:val="001B1F37"/>
    <w:rsid w:val="001B2EA2"/>
    <w:rsid w:val="001B548E"/>
    <w:rsid w:val="001B6C1B"/>
    <w:rsid w:val="001B7E54"/>
    <w:rsid w:val="001C010F"/>
    <w:rsid w:val="001C1800"/>
    <w:rsid w:val="001C1A61"/>
    <w:rsid w:val="001C1C7F"/>
    <w:rsid w:val="001C3BD9"/>
    <w:rsid w:val="001C3C44"/>
    <w:rsid w:val="001C5F5B"/>
    <w:rsid w:val="001C63FA"/>
    <w:rsid w:val="001C6400"/>
    <w:rsid w:val="001C64E2"/>
    <w:rsid w:val="001D1CBF"/>
    <w:rsid w:val="001D29BF"/>
    <w:rsid w:val="001D2E17"/>
    <w:rsid w:val="001D3A88"/>
    <w:rsid w:val="001D4C7B"/>
    <w:rsid w:val="001D50AF"/>
    <w:rsid w:val="001E0750"/>
    <w:rsid w:val="001E1C8D"/>
    <w:rsid w:val="001E2613"/>
    <w:rsid w:val="001E35D2"/>
    <w:rsid w:val="001E5CB5"/>
    <w:rsid w:val="001E7143"/>
    <w:rsid w:val="001E77A0"/>
    <w:rsid w:val="001F0609"/>
    <w:rsid w:val="001F1028"/>
    <w:rsid w:val="001F18F7"/>
    <w:rsid w:val="001F21E5"/>
    <w:rsid w:val="001F3BE7"/>
    <w:rsid w:val="001F4570"/>
    <w:rsid w:val="001F64BD"/>
    <w:rsid w:val="001F7AA9"/>
    <w:rsid w:val="001F7D16"/>
    <w:rsid w:val="001F7D87"/>
    <w:rsid w:val="002007E1"/>
    <w:rsid w:val="00201957"/>
    <w:rsid w:val="002028F6"/>
    <w:rsid w:val="00202F21"/>
    <w:rsid w:val="00203916"/>
    <w:rsid w:val="00204E1B"/>
    <w:rsid w:val="00205696"/>
    <w:rsid w:val="00210806"/>
    <w:rsid w:val="00210D97"/>
    <w:rsid w:val="00211DAA"/>
    <w:rsid w:val="00212C2F"/>
    <w:rsid w:val="00213C05"/>
    <w:rsid w:val="00213CB8"/>
    <w:rsid w:val="002149D3"/>
    <w:rsid w:val="00215CF2"/>
    <w:rsid w:val="00217EB2"/>
    <w:rsid w:val="00221A02"/>
    <w:rsid w:val="00221D88"/>
    <w:rsid w:val="0022398D"/>
    <w:rsid w:val="002252C9"/>
    <w:rsid w:val="00230C35"/>
    <w:rsid w:val="00231422"/>
    <w:rsid w:val="00232045"/>
    <w:rsid w:val="002320C8"/>
    <w:rsid w:val="00233226"/>
    <w:rsid w:val="00233A1C"/>
    <w:rsid w:val="0023455B"/>
    <w:rsid w:val="00234F74"/>
    <w:rsid w:val="00234FE4"/>
    <w:rsid w:val="00235328"/>
    <w:rsid w:val="002356F0"/>
    <w:rsid w:val="00240E23"/>
    <w:rsid w:val="00246A1A"/>
    <w:rsid w:val="00251FCE"/>
    <w:rsid w:val="002531B1"/>
    <w:rsid w:val="0025380C"/>
    <w:rsid w:val="00254BF3"/>
    <w:rsid w:val="002601E8"/>
    <w:rsid w:val="00260A33"/>
    <w:rsid w:val="00260CFE"/>
    <w:rsid w:val="0026166B"/>
    <w:rsid w:val="0026175A"/>
    <w:rsid w:val="00262CCF"/>
    <w:rsid w:val="00262E37"/>
    <w:rsid w:val="0026368F"/>
    <w:rsid w:val="00263946"/>
    <w:rsid w:val="00264E80"/>
    <w:rsid w:val="002653CB"/>
    <w:rsid w:val="002662BE"/>
    <w:rsid w:val="00267B20"/>
    <w:rsid w:val="00271A24"/>
    <w:rsid w:val="002727E2"/>
    <w:rsid w:val="002727F2"/>
    <w:rsid w:val="00276418"/>
    <w:rsid w:val="002766E1"/>
    <w:rsid w:val="00277D55"/>
    <w:rsid w:val="00277DE9"/>
    <w:rsid w:val="00280742"/>
    <w:rsid w:val="00281A43"/>
    <w:rsid w:val="002870F4"/>
    <w:rsid w:val="002931B8"/>
    <w:rsid w:val="00293432"/>
    <w:rsid w:val="00293797"/>
    <w:rsid w:val="002A119B"/>
    <w:rsid w:val="002A1596"/>
    <w:rsid w:val="002A39FC"/>
    <w:rsid w:val="002A477A"/>
    <w:rsid w:val="002A52DB"/>
    <w:rsid w:val="002A5373"/>
    <w:rsid w:val="002A61D8"/>
    <w:rsid w:val="002A7451"/>
    <w:rsid w:val="002B0BEE"/>
    <w:rsid w:val="002B12B9"/>
    <w:rsid w:val="002B1C35"/>
    <w:rsid w:val="002B2BCB"/>
    <w:rsid w:val="002B33F4"/>
    <w:rsid w:val="002B351D"/>
    <w:rsid w:val="002B45E4"/>
    <w:rsid w:val="002B4A70"/>
    <w:rsid w:val="002B6C88"/>
    <w:rsid w:val="002C11C3"/>
    <w:rsid w:val="002C33FD"/>
    <w:rsid w:val="002C3F54"/>
    <w:rsid w:val="002C6308"/>
    <w:rsid w:val="002C7E20"/>
    <w:rsid w:val="002D16DB"/>
    <w:rsid w:val="002D29B7"/>
    <w:rsid w:val="002D6F42"/>
    <w:rsid w:val="002D75D7"/>
    <w:rsid w:val="002E22A3"/>
    <w:rsid w:val="002E34A8"/>
    <w:rsid w:val="002E3C9C"/>
    <w:rsid w:val="002E7402"/>
    <w:rsid w:val="002E743E"/>
    <w:rsid w:val="002F0868"/>
    <w:rsid w:val="002F0A63"/>
    <w:rsid w:val="002F18EC"/>
    <w:rsid w:val="002F3E1F"/>
    <w:rsid w:val="002F3FA9"/>
    <w:rsid w:val="002F4638"/>
    <w:rsid w:val="002F47B1"/>
    <w:rsid w:val="002F56D7"/>
    <w:rsid w:val="002F6351"/>
    <w:rsid w:val="002F6E9F"/>
    <w:rsid w:val="002F7378"/>
    <w:rsid w:val="00300AFD"/>
    <w:rsid w:val="00301047"/>
    <w:rsid w:val="00304AE0"/>
    <w:rsid w:val="003058A9"/>
    <w:rsid w:val="00306204"/>
    <w:rsid w:val="00310C92"/>
    <w:rsid w:val="00311726"/>
    <w:rsid w:val="00311A03"/>
    <w:rsid w:val="00311EF2"/>
    <w:rsid w:val="00311F46"/>
    <w:rsid w:val="00316C9F"/>
    <w:rsid w:val="00321BF3"/>
    <w:rsid w:val="003222DE"/>
    <w:rsid w:val="00323A14"/>
    <w:rsid w:val="00326E25"/>
    <w:rsid w:val="00327C26"/>
    <w:rsid w:val="0033114F"/>
    <w:rsid w:val="00332590"/>
    <w:rsid w:val="0033375D"/>
    <w:rsid w:val="003341F6"/>
    <w:rsid w:val="00334FD6"/>
    <w:rsid w:val="0033778F"/>
    <w:rsid w:val="00337C4B"/>
    <w:rsid w:val="00340915"/>
    <w:rsid w:val="00340C08"/>
    <w:rsid w:val="00340C89"/>
    <w:rsid w:val="0034101B"/>
    <w:rsid w:val="00341EAD"/>
    <w:rsid w:val="0034335F"/>
    <w:rsid w:val="0034452B"/>
    <w:rsid w:val="00344AA8"/>
    <w:rsid w:val="00345E08"/>
    <w:rsid w:val="00350386"/>
    <w:rsid w:val="003520BC"/>
    <w:rsid w:val="003530CC"/>
    <w:rsid w:val="00353342"/>
    <w:rsid w:val="00353EE8"/>
    <w:rsid w:val="0035503B"/>
    <w:rsid w:val="00357AB2"/>
    <w:rsid w:val="0036126F"/>
    <w:rsid w:val="0036236D"/>
    <w:rsid w:val="0036516E"/>
    <w:rsid w:val="0036648C"/>
    <w:rsid w:val="0036699F"/>
    <w:rsid w:val="00366FD6"/>
    <w:rsid w:val="00370D90"/>
    <w:rsid w:val="00371730"/>
    <w:rsid w:val="0037462A"/>
    <w:rsid w:val="00376214"/>
    <w:rsid w:val="003764C4"/>
    <w:rsid w:val="00376D7D"/>
    <w:rsid w:val="0038013C"/>
    <w:rsid w:val="0038064F"/>
    <w:rsid w:val="003807E6"/>
    <w:rsid w:val="003829D3"/>
    <w:rsid w:val="003854A7"/>
    <w:rsid w:val="003859E4"/>
    <w:rsid w:val="00387C73"/>
    <w:rsid w:val="00390678"/>
    <w:rsid w:val="003907CF"/>
    <w:rsid w:val="00395D8B"/>
    <w:rsid w:val="003966FD"/>
    <w:rsid w:val="003A004A"/>
    <w:rsid w:val="003A0A71"/>
    <w:rsid w:val="003A0D28"/>
    <w:rsid w:val="003A0E43"/>
    <w:rsid w:val="003A0F8D"/>
    <w:rsid w:val="003A226A"/>
    <w:rsid w:val="003A3735"/>
    <w:rsid w:val="003A3C95"/>
    <w:rsid w:val="003B0813"/>
    <w:rsid w:val="003B159B"/>
    <w:rsid w:val="003B1D01"/>
    <w:rsid w:val="003B2710"/>
    <w:rsid w:val="003B30B6"/>
    <w:rsid w:val="003B5DA9"/>
    <w:rsid w:val="003B6FED"/>
    <w:rsid w:val="003C0561"/>
    <w:rsid w:val="003C0C3F"/>
    <w:rsid w:val="003C1DF8"/>
    <w:rsid w:val="003C259D"/>
    <w:rsid w:val="003C4551"/>
    <w:rsid w:val="003C45CD"/>
    <w:rsid w:val="003C5329"/>
    <w:rsid w:val="003D00B3"/>
    <w:rsid w:val="003D078B"/>
    <w:rsid w:val="003D23D7"/>
    <w:rsid w:val="003D2D50"/>
    <w:rsid w:val="003D2E34"/>
    <w:rsid w:val="003D3021"/>
    <w:rsid w:val="003D3613"/>
    <w:rsid w:val="003D6715"/>
    <w:rsid w:val="003D697A"/>
    <w:rsid w:val="003D70CD"/>
    <w:rsid w:val="003D763B"/>
    <w:rsid w:val="003D77DA"/>
    <w:rsid w:val="003E0B81"/>
    <w:rsid w:val="003E1850"/>
    <w:rsid w:val="003E28B7"/>
    <w:rsid w:val="003E29D5"/>
    <w:rsid w:val="003E57D1"/>
    <w:rsid w:val="003E6ADF"/>
    <w:rsid w:val="003E6EF7"/>
    <w:rsid w:val="003F49C6"/>
    <w:rsid w:val="003F555E"/>
    <w:rsid w:val="003F614E"/>
    <w:rsid w:val="003F7502"/>
    <w:rsid w:val="003F7BA1"/>
    <w:rsid w:val="00406567"/>
    <w:rsid w:val="0040765C"/>
    <w:rsid w:val="004076E2"/>
    <w:rsid w:val="0040773D"/>
    <w:rsid w:val="00407C11"/>
    <w:rsid w:val="00410088"/>
    <w:rsid w:val="004116FB"/>
    <w:rsid w:val="00412931"/>
    <w:rsid w:val="00414A71"/>
    <w:rsid w:val="004153B6"/>
    <w:rsid w:val="00416FB1"/>
    <w:rsid w:val="00417CE4"/>
    <w:rsid w:val="00421809"/>
    <w:rsid w:val="00422048"/>
    <w:rsid w:val="00424370"/>
    <w:rsid w:val="00425776"/>
    <w:rsid w:val="00425D82"/>
    <w:rsid w:val="004261BD"/>
    <w:rsid w:val="00427873"/>
    <w:rsid w:val="00430126"/>
    <w:rsid w:val="004301D5"/>
    <w:rsid w:val="004304B8"/>
    <w:rsid w:val="00432144"/>
    <w:rsid w:val="00435E7B"/>
    <w:rsid w:val="0043627F"/>
    <w:rsid w:val="0043704E"/>
    <w:rsid w:val="00437688"/>
    <w:rsid w:val="00440278"/>
    <w:rsid w:val="004405DE"/>
    <w:rsid w:val="0044264F"/>
    <w:rsid w:val="00442AA5"/>
    <w:rsid w:val="0044332E"/>
    <w:rsid w:val="00444E84"/>
    <w:rsid w:val="0044667C"/>
    <w:rsid w:val="00446C4C"/>
    <w:rsid w:val="004514C8"/>
    <w:rsid w:val="00451F87"/>
    <w:rsid w:val="00452906"/>
    <w:rsid w:val="004529DD"/>
    <w:rsid w:val="00452DAC"/>
    <w:rsid w:val="00453850"/>
    <w:rsid w:val="00454EB1"/>
    <w:rsid w:val="004565BC"/>
    <w:rsid w:val="004576A5"/>
    <w:rsid w:val="00460FA1"/>
    <w:rsid w:val="00462143"/>
    <w:rsid w:val="0046322F"/>
    <w:rsid w:val="004666E1"/>
    <w:rsid w:val="0046734F"/>
    <w:rsid w:val="004720CB"/>
    <w:rsid w:val="004728DF"/>
    <w:rsid w:val="00473AA0"/>
    <w:rsid w:val="0047455F"/>
    <w:rsid w:val="00474C54"/>
    <w:rsid w:val="004765D1"/>
    <w:rsid w:val="004767A9"/>
    <w:rsid w:val="00476BD5"/>
    <w:rsid w:val="00480137"/>
    <w:rsid w:val="00480F80"/>
    <w:rsid w:val="00480FD3"/>
    <w:rsid w:val="00481581"/>
    <w:rsid w:val="0048184E"/>
    <w:rsid w:val="00482782"/>
    <w:rsid w:val="004840FC"/>
    <w:rsid w:val="00486195"/>
    <w:rsid w:val="004863ED"/>
    <w:rsid w:val="00486436"/>
    <w:rsid w:val="004869D0"/>
    <w:rsid w:val="00487974"/>
    <w:rsid w:val="004900F7"/>
    <w:rsid w:val="0049152D"/>
    <w:rsid w:val="00494307"/>
    <w:rsid w:val="004943AB"/>
    <w:rsid w:val="00495C7F"/>
    <w:rsid w:val="00496CFF"/>
    <w:rsid w:val="00497207"/>
    <w:rsid w:val="004A1953"/>
    <w:rsid w:val="004A28E4"/>
    <w:rsid w:val="004A2B95"/>
    <w:rsid w:val="004B0F1A"/>
    <w:rsid w:val="004B12D0"/>
    <w:rsid w:val="004C37E3"/>
    <w:rsid w:val="004C5DDC"/>
    <w:rsid w:val="004C639B"/>
    <w:rsid w:val="004C7324"/>
    <w:rsid w:val="004D0ACA"/>
    <w:rsid w:val="004D29DA"/>
    <w:rsid w:val="004D3777"/>
    <w:rsid w:val="004E166F"/>
    <w:rsid w:val="004E1E35"/>
    <w:rsid w:val="004E353D"/>
    <w:rsid w:val="004E4B54"/>
    <w:rsid w:val="004E5227"/>
    <w:rsid w:val="004E555F"/>
    <w:rsid w:val="004E6E7F"/>
    <w:rsid w:val="004F40C5"/>
    <w:rsid w:val="004F4C96"/>
    <w:rsid w:val="004F69A5"/>
    <w:rsid w:val="004F76C2"/>
    <w:rsid w:val="00500130"/>
    <w:rsid w:val="00504978"/>
    <w:rsid w:val="0050730B"/>
    <w:rsid w:val="00511BD6"/>
    <w:rsid w:val="0051428E"/>
    <w:rsid w:val="005147F3"/>
    <w:rsid w:val="00515D70"/>
    <w:rsid w:val="00517579"/>
    <w:rsid w:val="005176CE"/>
    <w:rsid w:val="005200E9"/>
    <w:rsid w:val="00522BD3"/>
    <w:rsid w:val="00523E5C"/>
    <w:rsid w:val="00524C16"/>
    <w:rsid w:val="005254B4"/>
    <w:rsid w:val="00525782"/>
    <w:rsid w:val="005267EB"/>
    <w:rsid w:val="00526A34"/>
    <w:rsid w:val="00526AAF"/>
    <w:rsid w:val="005276A6"/>
    <w:rsid w:val="00531DC8"/>
    <w:rsid w:val="00532265"/>
    <w:rsid w:val="00533A74"/>
    <w:rsid w:val="0053413C"/>
    <w:rsid w:val="00534433"/>
    <w:rsid w:val="005351B0"/>
    <w:rsid w:val="00535449"/>
    <w:rsid w:val="00535487"/>
    <w:rsid w:val="00536839"/>
    <w:rsid w:val="00540BF2"/>
    <w:rsid w:val="0054112B"/>
    <w:rsid w:val="0054246B"/>
    <w:rsid w:val="005425CC"/>
    <w:rsid w:val="0054373A"/>
    <w:rsid w:val="005446B5"/>
    <w:rsid w:val="0054479D"/>
    <w:rsid w:val="00544E4C"/>
    <w:rsid w:val="005452B7"/>
    <w:rsid w:val="005464CA"/>
    <w:rsid w:val="00550C8A"/>
    <w:rsid w:val="00550D1E"/>
    <w:rsid w:val="00552199"/>
    <w:rsid w:val="0055331E"/>
    <w:rsid w:val="005562D8"/>
    <w:rsid w:val="00557088"/>
    <w:rsid w:val="00561B33"/>
    <w:rsid w:val="00563071"/>
    <w:rsid w:val="005652D7"/>
    <w:rsid w:val="0057237B"/>
    <w:rsid w:val="00573390"/>
    <w:rsid w:val="005757B3"/>
    <w:rsid w:val="0057757C"/>
    <w:rsid w:val="0058145D"/>
    <w:rsid w:val="00582510"/>
    <w:rsid w:val="00582834"/>
    <w:rsid w:val="005829BF"/>
    <w:rsid w:val="00582FD9"/>
    <w:rsid w:val="00583048"/>
    <w:rsid w:val="00583845"/>
    <w:rsid w:val="00583960"/>
    <w:rsid w:val="005849A6"/>
    <w:rsid w:val="005859AF"/>
    <w:rsid w:val="00590E7B"/>
    <w:rsid w:val="00591422"/>
    <w:rsid w:val="005940E3"/>
    <w:rsid w:val="005946AF"/>
    <w:rsid w:val="005947B8"/>
    <w:rsid w:val="0059508E"/>
    <w:rsid w:val="00595137"/>
    <w:rsid w:val="00595729"/>
    <w:rsid w:val="00596591"/>
    <w:rsid w:val="005A0829"/>
    <w:rsid w:val="005A0EB2"/>
    <w:rsid w:val="005A1119"/>
    <w:rsid w:val="005A264C"/>
    <w:rsid w:val="005A3477"/>
    <w:rsid w:val="005A366C"/>
    <w:rsid w:val="005A3B0F"/>
    <w:rsid w:val="005A3B3F"/>
    <w:rsid w:val="005B1210"/>
    <w:rsid w:val="005B15F5"/>
    <w:rsid w:val="005B2378"/>
    <w:rsid w:val="005B58D2"/>
    <w:rsid w:val="005B6AD4"/>
    <w:rsid w:val="005B6B92"/>
    <w:rsid w:val="005B7284"/>
    <w:rsid w:val="005C0088"/>
    <w:rsid w:val="005C0357"/>
    <w:rsid w:val="005C0611"/>
    <w:rsid w:val="005C0980"/>
    <w:rsid w:val="005C0D65"/>
    <w:rsid w:val="005C0EE2"/>
    <w:rsid w:val="005C14A3"/>
    <w:rsid w:val="005C153A"/>
    <w:rsid w:val="005C1E43"/>
    <w:rsid w:val="005C40D0"/>
    <w:rsid w:val="005C566E"/>
    <w:rsid w:val="005D069C"/>
    <w:rsid w:val="005D179F"/>
    <w:rsid w:val="005D1EDE"/>
    <w:rsid w:val="005D373D"/>
    <w:rsid w:val="005D489F"/>
    <w:rsid w:val="005D6DF8"/>
    <w:rsid w:val="005E200B"/>
    <w:rsid w:val="005E2355"/>
    <w:rsid w:val="005E3A3E"/>
    <w:rsid w:val="005E6CA1"/>
    <w:rsid w:val="005E702C"/>
    <w:rsid w:val="005E73C2"/>
    <w:rsid w:val="005E7C44"/>
    <w:rsid w:val="005F197A"/>
    <w:rsid w:val="005F2927"/>
    <w:rsid w:val="005F2DF7"/>
    <w:rsid w:val="005F3007"/>
    <w:rsid w:val="005F304B"/>
    <w:rsid w:val="005F5F6F"/>
    <w:rsid w:val="005F698A"/>
    <w:rsid w:val="00600538"/>
    <w:rsid w:val="00605CDD"/>
    <w:rsid w:val="00605EA7"/>
    <w:rsid w:val="0060674D"/>
    <w:rsid w:val="00606A00"/>
    <w:rsid w:val="00607A0D"/>
    <w:rsid w:val="006107CF"/>
    <w:rsid w:val="006110A4"/>
    <w:rsid w:val="0061333F"/>
    <w:rsid w:val="0061335C"/>
    <w:rsid w:val="00613FB1"/>
    <w:rsid w:val="006147B6"/>
    <w:rsid w:val="006155CA"/>
    <w:rsid w:val="0061668E"/>
    <w:rsid w:val="00616F62"/>
    <w:rsid w:val="006170F3"/>
    <w:rsid w:val="0061742C"/>
    <w:rsid w:val="006179B6"/>
    <w:rsid w:val="00621FD6"/>
    <w:rsid w:val="00624E56"/>
    <w:rsid w:val="00625A71"/>
    <w:rsid w:val="00627441"/>
    <w:rsid w:val="006316F9"/>
    <w:rsid w:val="006325B0"/>
    <w:rsid w:val="0063264C"/>
    <w:rsid w:val="006328AF"/>
    <w:rsid w:val="006331CE"/>
    <w:rsid w:val="00633980"/>
    <w:rsid w:val="00633EE8"/>
    <w:rsid w:val="006350C0"/>
    <w:rsid w:val="00636185"/>
    <w:rsid w:val="0063664A"/>
    <w:rsid w:val="0063792B"/>
    <w:rsid w:val="006425BC"/>
    <w:rsid w:val="00644904"/>
    <w:rsid w:val="00644F62"/>
    <w:rsid w:val="006451CB"/>
    <w:rsid w:val="00645383"/>
    <w:rsid w:val="00646E4E"/>
    <w:rsid w:val="0064758B"/>
    <w:rsid w:val="0064769A"/>
    <w:rsid w:val="00650546"/>
    <w:rsid w:val="006518DC"/>
    <w:rsid w:val="006519D0"/>
    <w:rsid w:val="00652836"/>
    <w:rsid w:val="0065321E"/>
    <w:rsid w:val="006533FD"/>
    <w:rsid w:val="00653D6B"/>
    <w:rsid w:val="006550B2"/>
    <w:rsid w:val="0065605D"/>
    <w:rsid w:val="006570C7"/>
    <w:rsid w:val="006577D8"/>
    <w:rsid w:val="00657B29"/>
    <w:rsid w:val="00657B50"/>
    <w:rsid w:val="006602A7"/>
    <w:rsid w:val="00660496"/>
    <w:rsid w:val="00660F14"/>
    <w:rsid w:val="0066162E"/>
    <w:rsid w:val="006617FA"/>
    <w:rsid w:val="00661B7A"/>
    <w:rsid w:val="00663325"/>
    <w:rsid w:val="006636FE"/>
    <w:rsid w:val="00664255"/>
    <w:rsid w:val="00664476"/>
    <w:rsid w:val="00664A10"/>
    <w:rsid w:val="0066541E"/>
    <w:rsid w:val="006654CA"/>
    <w:rsid w:val="00665C20"/>
    <w:rsid w:val="00672D4A"/>
    <w:rsid w:val="00673DCE"/>
    <w:rsid w:val="006749E5"/>
    <w:rsid w:val="00675C9D"/>
    <w:rsid w:val="00675DA5"/>
    <w:rsid w:val="00676165"/>
    <w:rsid w:val="00676CB1"/>
    <w:rsid w:val="00686291"/>
    <w:rsid w:val="00686FA4"/>
    <w:rsid w:val="00691E65"/>
    <w:rsid w:val="00691EA1"/>
    <w:rsid w:val="00693886"/>
    <w:rsid w:val="00694BE9"/>
    <w:rsid w:val="00696114"/>
    <w:rsid w:val="0069667F"/>
    <w:rsid w:val="00696D4A"/>
    <w:rsid w:val="006974AF"/>
    <w:rsid w:val="00697728"/>
    <w:rsid w:val="006A03C8"/>
    <w:rsid w:val="006A07EB"/>
    <w:rsid w:val="006A1279"/>
    <w:rsid w:val="006A1CD6"/>
    <w:rsid w:val="006A362D"/>
    <w:rsid w:val="006A5E39"/>
    <w:rsid w:val="006A615E"/>
    <w:rsid w:val="006A641C"/>
    <w:rsid w:val="006B048C"/>
    <w:rsid w:val="006B210C"/>
    <w:rsid w:val="006B2C4A"/>
    <w:rsid w:val="006B2D1C"/>
    <w:rsid w:val="006B35DA"/>
    <w:rsid w:val="006B53F6"/>
    <w:rsid w:val="006B655F"/>
    <w:rsid w:val="006C11BE"/>
    <w:rsid w:val="006C1E3A"/>
    <w:rsid w:val="006C1F06"/>
    <w:rsid w:val="006C2DB2"/>
    <w:rsid w:val="006C43B5"/>
    <w:rsid w:val="006C5E78"/>
    <w:rsid w:val="006C615F"/>
    <w:rsid w:val="006C6E2E"/>
    <w:rsid w:val="006C773D"/>
    <w:rsid w:val="006D28A5"/>
    <w:rsid w:val="006D2F81"/>
    <w:rsid w:val="006D3518"/>
    <w:rsid w:val="006D3F0C"/>
    <w:rsid w:val="006D4494"/>
    <w:rsid w:val="006D4AFF"/>
    <w:rsid w:val="006D53EB"/>
    <w:rsid w:val="006D67E7"/>
    <w:rsid w:val="006D6A30"/>
    <w:rsid w:val="006D76DB"/>
    <w:rsid w:val="006E1599"/>
    <w:rsid w:val="006E3F66"/>
    <w:rsid w:val="006E58C8"/>
    <w:rsid w:val="006E669A"/>
    <w:rsid w:val="006E7C7B"/>
    <w:rsid w:val="006F1F44"/>
    <w:rsid w:val="006F2ADA"/>
    <w:rsid w:val="006F2AE7"/>
    <w:rsid w:val="006F2D52"/>
    <w:rsid w:val="006F3591"/>
    <w:rsid w:val="006F7B7C"/>
    <w:rsid w:val="0070002A"/>
    <w:rsid w:val="00700DAE"/>
    <w:rsid w:val="007015A1"/>
    <w:rsid w:val="0070297A"/>
    <w:rsid w:val="00704090"/>
    <w:rsid w:val="00706102"/>
    <w:rsid w:val="00711461"/>
    <w:rsid w:val="0071373D"/>
    <w:rsid w:val="00713758"/>
    <w:rsid w:val="00715907"/>
    <w:rsid w:val="00720307"/>
    <w:rsid w:val="00722D85"/>
    <w:rsid w:val="007236C0"/>
    <w:rsid w:val="00724361"/>
    <w:rsid w:val="00724564"/>
    <w:rsid w:val="007255E3"/>
    <w:rsid w:val="007265F0"/>
    <w:rsid w:val="007269E3"/>
    <w:rsid w:val="00732460"/>
    <w:rsid w:val="00733D7B"/>
    <w:rsid w:val="00735881"/>
    <w:rsid w:val="00735F13"/>
    <w:rsid w:val="007364A0"/>
    <w:rsid w:val="007408D5"/>
    <w:rsid w:val="0074154C"/>
    <w:rsid w:val="00741FDE"/>
    <w:rsid w:val="00742757"/>
    <w:rsid w:val="007430B3"/>
    <w:rsid w:val="007453E5"/>
    <w:rsid w:val="00746363"/>
    <w:rsid w:val="007464AF"/>
    <w:rsid w:val="00746C27"/>
    <w:rsid w:val="00750371"/>
    <w:rsid w:val="00750941"/>
    <w:rsid w:val="00750BF7"/>
    <w:rsid w:val="0075108D"/>
    <w:rsid w:val="007557DC"/>
    <w:rsid w:val="00760148"/>
    <w:rsid w:val="007611F3"/>
    <w:rsid w:val="00762451"/>
    <w:rsid w:val="007656EE"/>
    <w:rsid w:val="00766B87"/>
    <w:rsid w:val="00767F5A"/>
    <w:rsid w:val="00771493"/>
    <w:rsid w:val="00771A62"/>
    <w:rsid w:val="0077338A"/>
    <w:rsid w:val="00773A59"/>
    <w:rsid w:val="00774701"/>
    <w:rsid w:val="007771DC"/>
    <w:rsid w:val="00777F89"/>
    <w:rsid w:val="00782574"/>
    <w:rsid w:val="007831CE"/>
    <w:rsid w:val="0078347B"/>
    <w:rsid w:val="00784F06"/>
    <w:rsid w:val="00790B45"/>
    <w:rsid w:val="0079220D"/>
    <w:rsid w:val="00792719"/>
    <w:rsid w:val="00792749"/>
    <w:rsid w:val="007928CE"/>
    <w:rsid w:val="00792ADA"/>
    <w:rsid w:val="00793ECE"/>
    <w:rsid w:val="00796E22"/>
    <w:rsid w:val="0079778C"/>
    <w:rsid w:val="00797E1A"/>
    <w:rsid w:val="007A35C4"/>
    <w:rsid w:val="007A3CC4"/>
    <w:rsid w:val="007A4418"/>
    <w:rsid w:val="007A45F1"/>
    <w:rsid w:val="007A56FF"/>
    <w:rsid w:val="007A5B54"/>
    <w:rsid w:val="007A766F"/>
    <w:rsid w:val="007B1B31"/>
    <w:rsid w:val="007B2921"/>
    <w:rsid w:val="007B392C"/>
    <w:rsid w:val="007B4388"/>
    <w:rsid w:val="007B45BA"/>
    <w:rsid w:val="007B49CE"/>
    <w:rsid w:val="007B4E9A"/>
    <w:rsid w:val="007B5474"/>
    <w:rsid w:val="007B5E52"/>
    <w:rsid w:val="007B69A9"/>
    <w:rsid w:val="007B79BB"/>
    <w:rsid w:val="007C0298"/>
    <w:rsid w:val="007C08B0"/>
    <w:rsid w:val="007C1163"/>
    <w:rsid w:val="007C1847"/>
    <w:rsid w:val="007C2376"/>
    <w:rsid w:val="007C23F5"/>
    <w:rsid w:val="007C45B1"/>
    <w:rsid w:val="007C482F"/>
    <w:rsid w:val="007C6371"/>
    <w:rsid w:val="007C672B"/>
    <w:rsid w:val="007D2756"/>
    <w:rsid w:val="007D280C"/>
    <w:rsid w:val="007D3C02"/>
    <w:rsid w:val="007D4395"/>
    <w:rsid w:val="007D4964"/>
    <w:rsid w:val="007D49A6"/>
    <w:rsid w:val="007D4B36"/>
    <w:rsid w:val="007D70B2"/>
    <w:rsid w:val="007D7313"/>
    <w:rsid w:val="007E0FC8"/>
    <w:rsid w:val="007E12FA"/>
    <w:rsid w:val="007E1C58"/>
    <w:rsid w:val="007E1D94"/>
    <w:rsid w:val="007E29EB"/>
    <w:rsid w:val="007E2B9F"/>
    <w:rsid w:val="007E4197"/>
    <w:rsid w:val="007E59FE"/>
    <w:rsid w:val="007E5C58"/>
    <w:rsid w:val="007E6320"/>
    <w:rsid w:val="007E640E"/>
    <w:rsid w:val="007E72D7"/>
    <w:rsid w:val="007F11F4"/>
    <w:rsid w:val="007F2366"/>
    <w:rsid w:val="007F2A06"/>
    <w:rsid w:val="007F4F74"/>
    <w:rsid w:val="007F5A11"/>
    <w:rsid w:val="007F62FA"/>
    <w:rsid w:val="007F6887"/>
    <w:rsid w:val="007F7464"/>
    <w:rsid w:val="00801520"/>
    <w:rsid w:val="008020B9"/>
    <w:rsid w:val="0080321B"/>
    <w:rsid w:val="008057DB"/>
    <w:rsid w:val="00807805"/>
    <w:rsid w:val="00810C47"/>
    <w:rsid w:val="00810DC1"/>
    <w:rsid w:val="008122E0"/>
    <w:rsid w:val="0081279E"/>
    <w:rsid w:val="008139A3"/>
    <w:rsid w:val="008139C1"/>
    <w:rsid w:val="00813A79"/>
    <w:rsid w:val="0081436E"/>
    <w:rsid w:val="0081473C"/>
    <w:rsid w:val="0081684A"/>
    <w:rsid w:val="00816BB8"/>
    <w:rsid w:val="00817F38"/>
    <w:rsid w:val="00820E4E"/>
    <w:rsid w:val="0082207A"/>
    <w:rsid w:val="00823429"/>
    <w:rsid w:val="008309E3"/>
    <w:rsid w:val="008314BA"/>
    <w:rsid w:val="00832337"/>
    <w:rsid w:val="00832B7B"/>
    <w:rsid w:val="00832FFA"/>
    <w:rsid w:val="008347F7"/>
    <w:rsid w:val="008353FC"/>
    <w:rsid w:val="00836C5C"/>
    <w:rsid w:val="00837C2E"/>
    <w:rsid w:val="00837FDA"/>
    <w:rsid w:val="00841543"/>
    <w:rsid w:val="00841833"/>
    <w:rsid w:val="008418E3"/>
    <w:rsid w:val="00842E49"/>
    <w:rsid w:val="00843D2B"/>
    <w:rsid w:val="00843FE0"/>
    <w:rsid w:val="00844357"/>
    <w:rsid w:val="008443F9"/>
    <w:rsid w:val="00844C65"/>
    <w:rsid w:val="00845862"/>
    <w:rsid w:val="00846311"/>
    <w:rsid w:val="008470F0"/>
    <w:rsid w:val="008473F7"/>
    <w:rsid w:val="00847750"/>
    <w:rsid w:val="008478D1"/>
    <w:rsid w:val="00850C3C"/>
    <w:rsid w:val="00851A9C"/>
    <w:rsid w:val="0085300C"/>
    <w:rsid w:val="008608E6"/>
    <w:rsid w:val="00860B78"/>
    <w:rsid w:val="00860BCC"/>
    <w:rsid w:val="00861880"/>
    <w:rsid w:val="0086195A"/>
    <w:rsid w:val="00861B47"/>
    <w:rsid w:val="0086229E"/>
    <w:rsid w:val="00862CED"/>
    <w:rsid w:val="0086480A"/>
    <w:rsid w:val="00864CD8"/>
    <w:rsid w:val="00867F87"/>
    <w:rsid w:val="00870279"/>
    <w:rsid w:val="00870603"/>
    <w:rsid w:val="0087096F"/>
    <w:rsid w:val="008755BA"/>
    <w:rsid w:val="00881208"/>
    <w:rsid w:val="00884FC6"/>
    <w:rsid w:val="0089080C"/>
    <w:rsid w:val="00890C8E"/>
    <w:rsid w:val="00895D8D"/>
    <w:rsid w:val="008A172E"/>
    <w:rsid w:val="008A1F51"/>
    <w:rsid w:val="008A2695"/>
    <w:rsid w:val="008A33D5"/>
    <w:rsid w:val="008A45E8"/>
    <w:rsid w:val="008A5D75"/>
    <w:rsid w:val="008A7719"/>
    <w:rsid w:val="008A7A9A"/>
    <w:rsid w:val="008B0AFD"/>
    <w:rsid w:val="008B3B41"/>
    <w:rsid w:val="008B44DA"/>
    <w:rsid w:val="008B4D42"/>
    <w:rsid w:val="008B5CA8"/>
    <w:rsid w:val="008B6FB0"/>
    <w:rsid w:val="008C1AB9"/>
    <w:rsid w:val="008C32CD"/>
    <w:rsid w:val="008C4891"/>
    <w:rsid w:val="008C64BD"/>
    <w:rsid w:val="008C7A4C"/>
    <w:rsid w:val="008C7F9B"/>
    <w:rsid w:val="008D1583"/>
    <w:rsid w:val="008D38F1"/>
    <w:rsid w:val="008D509B"/>
    <w:rsid w:val="008D53A8"/>
    <w:rsid w:val="008D716B"/>
    <w:rsid w:val="008E047F"/>
    <w:rsid w:val="008E0678"/>
    <w:rsid w:val="008E110C"/>
    <w:rsid w:val="008E11F8"/>
    <w:rsid w:val="008E4D3C"/>
    <w:rsid w:val="008E4E14"/>
    <w:rsid w:val="008E7F39"/>
    <w:rsid w:val="008F0A69"/>
    <w:rsid w:val="008F102D"/>
    <w:rsid w:val="008F14A2"/>
    <w:rsid w:val="008F4D5D"/>
    <w:rsid w:val="008F7204"/>
    <w:rsid w:val="009047FC"/>
    <w:rsid w:val="0090530E"/>
    <w:rsid w:val="009058EC"/>
    <w:rsid w:val="00905CA5"/>
    <w:rsid w:val="009064C3"/>
    <w:rsid w:val="00906858"/>
    <w:rsid w:val="00906E4E"/>
    <w:rsid w:val="00907177"/>
    <w:rsid w:val="009071AD"/>
    <w:rsid w:val="00907A06"/>
    <w:rsid w:val="00907A43"/>
    <w:rsid w:val="009131C0"/>
    <w:rsid w:val="0091413D"/>
    <w:rsid w:val="009155A6"/>
    <w:rsid w:val="00916FAC"/>
    <w:rsid w:val="009175F1"/>
    <w:rsid w:val="00920DC1"/>
    <w:rsid w:val="00920F09"/>
    <w:rsid w:val="00922FA5"/>
    <w:rsid w:val="00923B5B"/>
    <w:rsid w:val="00923DD8"/>
    <w:rsid w:val="00924FEC"/>
    <w:rsid w:val="009250A2"/>
    <w:rsid w:val="00926375"/>
    <w:rsid w:val="00930551"/>
    <w:rsid w:val="00931EF1"/>
    <w:rsid w:val="00932C17"/>
    <w:rsid w:val="0093307B"/>
    <w:rsid w:val="009331B2"/>
    <w:rsid w:val="009351F3"/>
    <w:rsid w:val="00937229"/>
    <w:rsid w:val="00941C1D"/>
    <w:rsid w:val="00941EF0"/>
    <w:rsid w:val="009423AA"/>
    <w:rsid w:val="009423AC"/>
    <w:rsid w:val="00943218"/>
    <w:rsid w:val="009453A2"/>
    <w:rsid w:val="00946AB1"/>
    <w:rsid w:val="009504B8"/>
    <w:rsid w:val="009517F6"/>
    <w:rsid w:val="00953281"/>
    <w:rsid w:val="00953B8E"/>
    <w:rsid w:val="00956565"/>
    <w:rsid w:val="00957FDC"/>
    <w:rsid w:val="009601AB"/>
    <w:rsid w:val="00960D92"/>
    <w:rsid w:val="00961947"/>
    <w:rsid w:val="00962C7C"/>
    <w:rsid w:val="00962F2C"/>
    <w:rsid w:val="0096331D"/>
    <w:rsid w:val="00963579"/>
    <w:rsid w:val="00963C26"/>
    <w:rsid w:val="00963D08"/>
    <w:rsid w:val="00963E4F"/>
    <w:rsid w:val="00965CA7"/>
    <w:rsid w:val="00966160"/>
    <w:rsid w:val="0096706B"/>
    <w:rsid w:val="009672AC"/>
    <w:rsid w:val="00967EDD"/>
    <w:rsid w:val="00971910"/>
    <w:rsid w:val="00972B8E"/>
    <w:rsid w:val="00973A55"/>
    <w:rsid w:val="00974C45"/>
    <w:rsid w:val="00975A1E"/>
    <w:rsid w:val="00975C75"/>
    <w:rsid w:val="00980B13"/>
    <w:rsid w:val="00980F6D"/>
    <w:rsid w:val="00982E2D"/>
    <w:rsid w:val="00982F94"/>
    <w:rsid w:val="00983EDA"/>
    <w:rsid w:val="00985422"/>
    <w:rsid w:val="009867CF"/>
    <w:rsid w:val="00986DCF"/>
    <w:rsid w:val="00991021"/>
    <w:rsid w:val="00992A6C"/>
    <w:rsid w:val="00992B39"/>
    <w:rsid w:val="00996DF4"/>
    <w:rsid w:val="009A02E4"/>
    <w:rsid w:val="009A0A3D"/>
    <w:rsid w:val="009A1442"/>
    <w:rsid w:val="009A1C7C"/>
    <w:rsid w:val="009A2D3A"/>
    <w:rsid w:val="009A3F87"/>
    <w:rsid w:val="009A4F82"/>
    <w:rsid w:val="009A5325"/>
    <w:rsid w:val="009A659A"/>
    <w:rsid w:val="009A67B4"/>
    <w:rsid w:val="009A7570"/>
    <w:rsid w:val="009B475F"/>
    <w:rsid w:val="009B4A1E"/>
    <w:rsid w:val="009B6C8C"/>
    <w:rsid w:val="009C0E14"/>
    <w:rsid w:val="009C1DA6"/>
    <w:rsid w:val="009C32A2"/>
    <w:rsid w:val="009C3472"/>
    <w:rsid w:val="009C6B17"/>
    <w:rsid w:val="009D2013"/>
    <w:rsid w:val="009D203D"/>
    <w:rsid w:val="009D558F"/>
    <w:rsid w:val="009E0477"/>
    <w:rsid w:val="009E0E03"/>
    <w:rsid w:val="009E12AC"/>
    <w:rsid w:val="009E1533"/>
    <w:rsid w:val="009E196E"/>
    <w:rsid w:val="009E1CB5"/>
    <w:rsid w:val="009E32E0"/>
    <w:rsid w:val="009E40D0"/>
    <w:rsid w:val="009E4365"/>
    <w:rsid w:val="009E4C53"/>
    <w:rsid w:val="009E52D8"/>
    <w:rsid w:val="009E5AB1"/>
    <w:rsid w:val="009E5CBB"/>
    <w:rsid w:val="009F096D"/>
    <w:rsid w:val="009F394D"/>
    <w:rsid w:val="009F3CC4"/>
    <w:rsid w:val="009F43BE"/>
    <w:rsid w:val="009F44E0"/>
    <w:rsid w:val="009F571B"/>
    <w:rsid w:val="009F5B90"/>
    <w:rsid w:val="009F6357"/>
    <w:rsid w:val="009F6C02"/>
    <w:rsid w:val="009F74B2"/>
    <w:rsid w:val="009F7D94"/>
    <w:rsid w:val="00A0147C"/>
    <w:rsid w:val="00A01902"/>
    <w:rsid w:val="00A02DC2"/>
    <w:rsid w:val="00A03480"/>
    <w:rsid w:val="00A04AF7"/>
    <w:rsid w:val="00A070B7"/>
    <w:rsid w:val="00A11CA2"/>
    <w:rsid w:val="00A12756"/>
    <w:rsid w:val="00A13D77"/>
    <w:rsid w:val="00A1573B"/>
    <w:rsid w:val="00A15EFB"/>
    <w:rsid w:val="00A230A8"/>
    <w:rsid w:val="00A246A8"/>
    <w:rsid w:val="00A2660D"/>
    <w:rsid w:val="00A2730C"/>
    <w:rsid w:val="00A27CF3"/>
    <w:rsid w:val="00A30BC4"/>
    <w:rsid w:val="00A30C4E"/>
    <w:rsid w:val="00A320EF"/>
    <w:rsid w:val="00A32843"/>
    <w:rsid w:val="00A33131"/>
    <w:rsid w:val="00A40C00"/>
    <w:rsid w:val="00A4126E"/>
    <w:rsid w:val="00A42D32"/>
    <w:rsid w:val="00A43BE4"/>
    <w:rsid w:val="00A46A63"/>
    <w:rsid w:val="00A47F91"/>
    <w:rsid w:val="00A520A0"/>
    <w:rsid w:val="00A5297C"/>
    <w:rsid w:val="00A54547"/>
    <w:rsid w:val="00A547CF"/>
    <w:rsid w:val="00A54B05"/>
    <w:rsid w:val="00A55E9E"/>
    <w:rsid w:val="00A56B65"/>
    <w:rsid w:val="00A57154"/>
    <w:rsid w:val="00A574FC"/>
    <w:rsid w:val="00A60A2E"/>
    <w:rsid w:val="00A60D3C"/>
    <w:rsid w:val="00A60F66"/>
    <w:rsid w:val="00A628C6"/>
    <w:rsid w:val="00A62AB4"/>
    <w:rsid w:val="00A63BA4"/>
    <w:rsid w:val="00A653EC"/>
    <w:rsid w:val="00A6711F"/>
    <w:rsid w:val="00A67BD6"/>
    <w:rsid w:val="00A70051"/>
    <w:rsid w:val="00A72527"/>
    <w:rsid w:val="00A727F9"/>
    <w:rsid w:val="00A72AD6"/>
    <w:rsid w:val="00A72EDD"/>
    <w:rsid w:val="00A75BF2"/>
    <w:rsid w:val="00A824D5"/>
    <w:rsid w:val="00A8270A"/>
    <w:rsid w:val="00A86745"/>
    <w:rsid w:val="00A928A8"/>
    <w:rsid w:val="00A93F20"/>
    <w:rsid w:val="00A94AAE"/>
    <w:rsid w:val="00A94C7E"/>
    <w:rsid w:val="00A9692C"/>
    <w:rsid w:val="00A97F66"/>
    <w:rsid w:val="00AA324F"/>
    <w:rsid w:val="00AA539D"/>
    <w:rsid w:val="00AA56B6"/>
    <w:rsid w:val="00AA763A"/>
    <w:rsid w:val="00AA7A54"/>
    <w:rsid w:val="00AB046D"/>
    <w:rsid w:val="00AB074C"/>
    <w:rsid w:val="00AB1416"/>
    <w:rsid w:val="00AB29C1"/>
    <w:rsid w:val="00AB50CF"/>
    <w:rsid w:val="00AC0055"/>
    <w:rsid w:val="00AC007F"/>
    <w:rsid w:val="00AC0677"/>
    <w:rsid w:val="00AC2558"/>
    <w:rsid w:val="00AC2F81"/>
    <w:rsid w:val="00AC3B25"/>
    <w:rsid w:val="00AC4DB2"/>
    <w:rsid w:val="00AC5119"/>
    <w:rsid w:val="00AC59E2"/>
    <w:rsid w:val="00AC6BA8"/>
    <w:rsid w:val="00AC711A"/>
    <w:rsid w:val="00AD046A"/>
    <w:rsid w:val="00AD258F"/>
    <w:rsid w:val="00AD3BBA"/>
    <w:rsid w:val="00AD3C09"/>
    <w:rsid w:val="00AD3C7F"/>
    <w:rsid w:val="00AD48C6"/>
    <w:rsid w:val="00AD4B16"/>
    <w:rsid w:val="00AD528D"/>
    <w:rsid w:val="00AD6C53"/>
    <w:rsid w:val="00AE433E"/>
    <w:rsid w:val="00AF1E7D"/>
    <w:rsid w:val="00AF26BD"/>
    <w:rsid w:val="00AF51F2"/>
    <w:rsid w:val="00B000EC"/>
    <w:rsid w:val="00B017D4"/>
    <w:rsid w:val="00B01EA1"/>
    <w:rsid w:val="00B03376"/>
    <w:rsid w:val="00B043A6"/>
    <w:rsid w:val="00B0560D"/>
    <w:rsid w:val="00B05895"/>
    <w:rsid w:val="00B05FC1"/>
    <w:rsid w:val="00B101C3"/>
    <w:rsid w:val="00B1049D"/>
    <w:rsid w:val="00B112A3"/>
    <w:rsid w:val="00B11A4B"/>
    <w:rsid w:val="00B120FE"/>
    <w:rsid w:val="00B12BC6"/>
    <w:rsid w:val="00B17AF0"/>
    <w:rsid w:val="00B239A7"/>
    <w:rsid w:val="00B245DB"/>
    <w:rsid w:val="00B26620"/>
    <w:rsid w:val="00B27045"/>
    <w:rsid w:val="00B27C98"/>
    <w:rsid w:val="00B300F4"/>
    <w:rsid w:val="00B30765"/>
    <w:rsid w:val="00B31DD6"/>
    <w:rsid w:val="00B32630"/>
    <w:rsid w:val="00B34CAA"/>
    <w:rsid w:val="00B412DC"/>
    <w:rsid w:val="00B41CD9"/>
    <w:rsid w:val="00B41DD3"/>
    <w:rsid w:val="00B426B4"/>
    <w:rsid w:val="00B46CCD"/>
    <w:rsid w:val="00B5039F"/>
    <w:rsid w:val="00B51FC9"/>
    <w:rsid w:val="00B5314F"/>
    <w:rsid w:val="00B54DDA"/>
    <w:rsid w:val="00B54F3A"/>
    <w:rsid w:val="00B567B2"/>
    <w:rsid w:val="00B56A7D"/>
    <w:rsid w:val="00B571FF"/>
    <w:rsid w:val="00B60946"/>
    <w:rsid w:val="00B6558E"/>
    <w:rsid w:val="00B67193"/>
    <w:rsid w:val="00B67D35"/>
    <w:rsid w:val="00B67E9F"/>
    <w:rsid w:val="00B70F4B"/>
    <w:rsid w:val="00B718C4"/>
    <w:rsid w:val="00B71B75"/>
    <w:rsid w:val="00B74F18"/>
    <w:rsid w:val="00B75762"/>
    <w:rsid w:val="00B77617"/>
    <w:rsid w:val="00B77CBF"/>
    <w:rsid w:val="00B80F2E"/>
    <w:rsid w:val="00B829AB"/>
    <w:rsid w:val="00B82F45"/>
    <w:rsid w:val="00B83405"/>
    <w:rsid w:val="00B83F20"/>
    <w:rsid w:val="00B84E6B"/>
    <w:rsid w:val="00B86A84"/>
    <w:rsid w:val="00B9018E"/>
    <w:rsid w:val="00B903A5"/>
    <w:rsid w:val="00B905C3"/>
    <w:rsid w:val="00B92054"/>
    <w:rsid w:val="00B920B7"/>
    <w:rsid w:val="00B9478E"/>
    <w:rsid w:val="00B9488C"/>
    <w:rsid w:val="00B95859"/>
    <w:rsid w:val="00B96A70"/>
    <w:rsid w:val="00B97FB6"/>
    <w:rsid w:val="00BA05ED"/>
    <w:rsid w:val="00BA062A"/>
    <w:rsid w:val="00BA46D7"/>
    <w:rsid w:val="00BA48AB"/>
    <w:rsid w:val="00BA5670"/>
    <w:rsid w:val="00BA66CE"/>
    <w:rsid w:val="00BA7712"/>
    <w:rsid w:val="00BA7B09"/>
    <w:rsid w:val="00BB2044"/>
    <w:rsid w:val="00BB432B"/>
    <w:rsid w:val="00BB4DA6"/>
    <w:rsid w:val="00BC02C5"/>
    <w:rsid w:val="00BC2CDB"/>
    <w:rsid w:val="00BC371D"/>
    <w:rsid w:val="00BC4A6E"/>
    <w:rsid w:val="00BC548D"/>
    <w:rsid w:val="00BC6356"/>
    <w:rsid w:val="00BC6621"/>
    <w:rsid w:val="00BC6D78"/>
    <w:rsid w:val="00BD0BA6"/>
    <w:rsid w:val="00BD1290"/>
    <w:rsid w:val="00BD1A8F"/>
    <w:rsid w:val="00BD24D4"/>
    <w:rsid w:val="00BD4E7A"/>
    <w:rsid w:val="00BD5E18"/>
    <w:rsid w:val="00BD6E7A"/>
    <w:rsid w:val="00BE01B3"/>
    <w:rsid w:val="00BE09B6"/>
    <w:rsid w:val="00BE3B1F"/>
    <w:rsid w:val="00BE4F7B"/>
    <w:rsid w:val="00BE5598"/>
    <w:rsid w:val="00BE5A42"/>
    <w:rsid w:val="00BE6C70"/>
    <w:rsid w:val="00BE6DA3"/>
    <w:rsid w:val="00BE7612"/>
    <w:rsid w:val="00BF109A"/>
    <w:rsid w:val="00BF3586"/>
    <w:rsid w:val="00C03BA0"/>
    <w:rsid w:val="00C078B4"/>
    <w:rsid w:val="00C07D37"/>
    <w:rsid w:val="00C1073D"/>
    <w:rsid w:val="00C123A9"/>
    <w:rsid w:val="00C131D6"/>
    <w:rsid w:val="00C13379"/>
    <w:rsid w:val="00C13F24"/>
    <w:rsid w:val="00C15DA6"/>
    <w:rsid w:val="00C165DE"/>
    <w:rsid w:val="00C214C2"/>
    <w:rsid w:val="00C25ED7"/>
    <w:rsid w:val="00C26002"/>
    <w:rsid w:val="00C26983"/>
    <w:rsid w:val="00C274C9"/>
    <w:rsid w:val="00C30622"/>
    <w:rsid w:val="00C31586"/>
    <w:rsid w:val="00C31ADD"/>
    <w:rsid w:val="00C3339F"/>
    <w:rsid w:val="00C34EA3"/>
    <w:rsid w:val="00C3551D"/>
    <w:rsid w:val="00C35FC9"/>
    <w:rsid w:val="00C3704C"/>
    <w:rsid w:val="00C377C5"/>
    <w:rsid w:val="00C43BE1"/>
    <w:rsid w:val="00C44DBD"/>
    <w:rsid w:val="00C461DC"/>
    <w:rsid w:val="00C46671"/>
    <w:rsid w:val="00C46E46"/>
    <w:rsid w:val="00C50BA4"/>
    <w:rsid w:val="00C52F3F"/>
    <w:rsid w:val="00C55615"/>
    <w:rsid w:val="00C57FA6"/>
    <w:rsid w:val="00C60DFE"/>
    <w:rsid w:val="00C611F1"/>
    <w:rsid w:val="00C616EE"/>
    <w:rsid w:val="00C63123"/>
    <w:rsid w:val="00C640E1"/>
    <w:rsid w:val="00C6449E"/>
    <w:rsid w:val="00C64727"/>
    <w:rsid w:val="00C655DD"/>
    <w:rsid w:val="00C668FA"/>
    <w:rsid w:val="00C72066"/>
    <w:rsid w:val="00C74A04"/>
    <w:rsid w:val="00C81BE8"/>
    <w:rsid w:val="00C825D1"/>
    <w:rsid w:val="00C82BDE"/>
    <w:rsid w:val="00C84386"/>
    <w:rsid w:val="00C84DA9"/>
    <w:rsid w:val="00C8690B"/>
    <w:rsid w:val="00C872CC"/>
    <w:rsid w:val="00C875A8"/>
    <w:rsid w:val="00C8771D"/>
    <w:rsid w:val="00C87997"/>
    <w:rsid w:val="00C9040C"/>
    <w:rsid w:val="00C904F3"/>
    <w:rsid w:val="00C91D12"/>
    <w:rsid w:val="00C9646E"/>
    <w:rsid w:val="00CA164D"/>
    <w:rsid w:val="00CA3BD2"/>
    <w:rsid w:val="00CA429B"/>
    <w:rsid w:val="00CA6B0F"/>
    <w:rsid w:val="00CA7768"/>
    <w:rsid w:val="00CA792E"/>
    <w:rsid w:val="00CA7EF2"/>
    <w:rsid w:val="00CB162D"/>
    <w:rsid w:val="00CB1736"/>
    <w:rsid w:val="00CB5EF9"/>
    <w:rsid w:val="00CB77E9"/>
    <w:rsid w:val="00CC0327"/>
    <w:rsid w:val="00CC1E9D"/>
    <w:rsid w:val="00CC3C57"/>
    <w:rsid w:val="00CC4EE1"/>
    <w:rsid w:val="00CC6124"/>
    <w:rsid w:val="00CC671A"/>
    <w:rsid w:val="00CC72F2"/>
    <w:rsid w:val="00CC76BC"/>
    <w:rsid w:val="00CD01B1"/>
    <w:rsid w:val="00CD07D4"/>
    <w:rsid w:val="00CD12BB"/>
    <w:rsid w:val="00CD6611"/>
    <w:rsid w:val="00CD6966"/>
    <w:rsid w:val="00CE11ED"/>
    <w:rsid w:val="00CE1291"/>
    <w:rsid w:val="00CE2583"/>
    <w:rsid w:val="00CE289E"/>
    <w:rsid w:val="00CE3A9F"/>
    <w:rsid w:val="00CE3C02"/>
    <w:rsid w:val="00CE587F"/>
    <w:rsid w:val="00CE5A82"/>
    <w:rsid w:val="00CE6ED1"/>
    <w:rsid w:val="00CE72FB"/>
    <w:rsid w:val="00CE7DF7"/>
    <w:rsid w:val="00CF16E4"/>
    <w:rsid w:val="00CF31CB"/>
    <w:rsid w:val="00CF44DA"/>
    <w:rsid w:val="00D003B0"/>
    <w:rsid w:val="00D029DE"/>
    <w:rsid w:val="00D03BD1"/>
    <w:rsid w:val="00D04963"/>
    <w:rsid w:val="00D06D79"/>
    <w:rsid w:val="00D10277"/>
    <w:rsid w:val="00D107FE"/>
    <w:rsid w:val="00D10961"/>
    <w:rsid w:val="00D14AB0"/>
    <w:rsid w:val="00D1521D"/>
    <w:rsid w:val="00D169BB"/>
    <w:rsid w:val="00D212C5"/>
    <w:rsid w:val="00D2148D"/>
    <w:rsid w:val="00D22C7B"/>
    <w:rsid w:val="00D23904"/>
    <w:rsid w:val="00D23B55"/>
    <w:rsid w:val="00D24065"/>
    <w:rsid w:val="00D24DCE"/>
    <w:rsid w:val="00D256AC"/>
    <w:rsid w:val="00D26994"/>
    <w:rsid w:val="00D320AC"/>
    <w:rsid w:val="00D3304B"/>
    <w:rsid w:val="00D359BF"/>
    <w:rsid w:val="00D36DB4"/>
    <w:rsid w:val="00D371D3"/>
    <w:rsid w:val="00D37299"/>
    <w:rsid w:val="00D4083C"/>
    <w:rsid w:val="00D42141"/>
    <w:rsid w:val="00D42448"/>
    <w:rsid w:val="00D42D11"/>
    <w:rsid w:val="00D430A0"/>
    <w:rsid w:val="00D44EEB"/>
    <w:rsid w:val="00D45141"/>
    <w:rsid w:val="00D4564B"/>
    <w:rsid w:val="00D47251"/>
    <w:rsid w:val="00D50B05"/>
    <w:rsid w:val="00D513C2"/>
    <w:rsid w:val="00D51EB8"/>
    <w:rsid w:val="00D53469"/>
    <w:rsid w:val="00D53C4A"/>
    <w:rsid w:val="00D55B61"/>
    <w:rsid w:val="00D56420"/>
    <w:rsid w:val="00D578D6"/>
    <w:rsid w:val="00D60251"/>
    <w:rsid w:val="00D61BA1"/>
    <w:rsid w:val="00D61EC4"/>
    <w:rsid w:val="00D63B93"/>
    <w:rsid w:val="00D644F7"/>
    <w:rsid w:val="00D64D43"/>
    <w:rsid w:val="00D6533E"/>
    <w:rsid w:val="00D66304"/>
    <w:rsid w:val="00D66B6B"/>
    <w:rsid w:val="00D675A8"/>
    <w:rsid w:val="00D67794"/>
    <w:rsid w:val="00D7004B"/>
    <w:rsid w:val="00D7190C"/>
    <w:rsid w:val="00D7207F"/>
    <w:rsid w:val="00D72152"/>
    <w:rsid w:val="00D72F0A"/>
    <w:rsid w:val="00D75AFF"/>
    <w:rsid w:val="00D75EC4"/>
    <w:rsid w:val="00D7634D"/>
    <w:rsid w:val="00D830F3"/>
    <w:rsid w:val="00D84245"/>
    <w:rsid w:val="00D84264"/>
    <w:rsid w:val="00D85B2B"/>
    <w:rsid w:val="00D86727"/>
    <w:rsid w:val="00D941C7"/>
    <w:rsid w:val="00D94661"/>
    <w:rsid w:val="00D94930"/>
    <w:rsid w:val="00D95A89"/>
    <w:rsid w:val="00D95D4E"/>
    <w:rsid w:val="00D966A4"/>
    <w:rsid w:val="00D966F4"/>
    <w:rsid w:val="00D97FC7"/>
    <w:rsid w:val="00DA1558"/>
    <w:rsid w:val="00DA1891"/>
    <w:rsid w:val="00DA31A6"/>
    <w:rsid w:val="00DA3763"/>
    <w:rsid w:val="00DA6543"/>
    <w:rsid w:val="00DB0A43"/>
    <w:rsid w:val="00DB6BA8"/>
    <w:rsid w:val="00DB7F50"/>
    <w:rsid w:val="00DC0AFF"/>
    <w:rsid w:val="00DC0D5D"/>
    <w:rsid w:val="00DC0F59"/>
    <w:rsid w:val="00DC1118"/>
    <w:rsid w:val="00DC1B4D"/>
    <w:rsid w:val="00DC278C"/>
    <w:rsid w:val="00DC315C"/>
    <w:rsid w:val="00DC35F5"/>
    <w:rsid w:val="00DC3D99"/>
    <w:rsid w:val="00DC3E2F"/>
    <w:rsid w:val="00DC5106"/>
    <w:rsid w:val="00DC63B9"/>
    <w:rsid w:val="00DC7379"/>
    <w:rsid w:val="00DD08E9"/>
    <w:rsid w:val="00DD334E"/>
    <w:rsid w:val="00DD4B17"/>
    <w:rsid w:val="00DD53B0"/>
    <w:rsid w:val="00DD5B2C"/>
    <w:rsid w:val="00DD5CAA"/>
    <w:rsid w:val="00DD5E50"/>
    <w:rsid w:val="00DE06BD"/>
    <w:rsid w:val="00DE1107"/>
    <w:rsid w:val="00DE2848"/>
    <w:rsid w:val="00DE3511"/>
    <w:rsid w:val="00DE3CCF"/>
    <w:rsid w:val="00DE403C"/>
    <w:rsid w:val="00DE459E"/>
    <w:rsid w:val="00DE5FE8"/>
    <w:rsid w:val="00DE66E7"/>
    <w:rsid w:val="00DE7104"/>
    <w:rsid w:val="00DF2795"/>
    <w:rsid w:val="00DF4176"/>
    <w:rsid w:val="00DF4C0F"/>
    <w:rsid w:val="00DF5045"/>
    <w:rsid w:val="00DF5BB3"/>
    <w:rsid w:val="00DF62F9"/>
    <w:rsid w:val="00DF7057"/>
    <w:rsid w:val="00DF7937"/>
    <w:rsid w:val="00E0023D"/>
    <w:rsid w:val="00E0111A"/>
    <w:rsid w:val="00E01169"/>
    <w:rsid w:val="00E02E01"/>
    <w:rsid w:val="00E04563"/>
    <w:rsid w:val="00E07309"/>
    <w:rsid w:val="00E07C98"/>
    <w:rsid w:val="00E1281A"/>
    <w:rsid w:val="00E14896"/>
    <w:rsid w:val="00E1628E"/>
    <w:rsid w:val="00E208B5"/>
    <w:rsid w:val="00E20BEE"/>
    <w:rsid w:val="00E21947"/>
    <w:rsid w:val="00E21C42"/>
    <w:rsid w:val="00E225FB"/>
    <w:rsid w:val="00E22E25"/>
    <w:rsid w:val="00E22F70"/>
    <w:rsid w:val="00E2655E"/>
    <w:rsid w:val="00E32CEB"/>
    <w:rsid w:val="00E337BC"/>
    <w:rsid w:val="00E34B24"/>
    <w:rsid w:val="00E35CAB"/>
    <w:rsid w:val="00E35CAD"/>
    <w:rsid w:val="00E37145"/>
    <w:rsid w:val="00E40019"/>
    <w:rsid w:val="00E40492"/>
    <w:rsid w:val="00E4058F"/>
    <w:rsid w:val="00E40F2A"/>
    <w:rsid w:val="00E42948"/>
    <w:rsid w:val="00E42DC1"/>
    <w:rsid w:val="00E44814"/>
    <w:rsid w:val="00E44B4E"/>
    <w:rsid w:val="00E44FFF"/>
    <w:rsid w:val="00E4610E"/>
    <w:rsid w:val="00E4738F"/>
    <w:rsid w:val="00E51633"/>
    <w:rsid w:val="00E5245D"/>
    <w:rsid w:val="00E549AA"/>
    <w:rsid w:val="00E54B99"/>
    <w:rsid w:val="00E55819"/>
    <w:rsid w:val="00E560F1"/>
    <w:rsid w:val="00E6161B"/>
    <w:rsid w:val="00E61FCC"/>
    <w:rsid w:val="00E62057"/>
    <w:rsid w:val="00E6290C"/>
    <w:rsid w:val="00E62ED4"/>
    <w:rsid w:val="00E6334B"/>
    <w:rsid w:val="00E651D0"/>
    <w:rsid w:val="00E653C7"/>
    <w:rsid w:val="00E67634"/>
    <w:rsid w:val="00E701CD"/>
    <w:rsid w:val="00E731A1"/>
    <w:rsid w:val="00E81BCB"/>
    <w:rsid w:val="00E82AD6"/>
    <w:rsid w:val="00E82E2C"/>
    <w:rsid w:val="00E8477B"/>
    <w:rsid w:val="00E84C73"/>
    <w:rsid w:val="00E91F16"/>
    <w:rsid w:val="00EA0835"/>
    <w:rsid w:val="00EA12F8"/>
    <w:rsid w:val="00EA219D"/>
    <w:rsid w:val="00EA2B7E"/>
    <w:rsid w:val="00EA6CBC"/>
    <w:rsid w:val="00EB0229"/>
    <w:rsid w:val="00EB0BA2"/>
    <w:rsid w:val="00EB113C"/>
    <w:rsid w:val="00EB178D"/>
    <w:rsid w:val="00EB2177"/>
    <w:rsid w:val="00EB225D"/>
    <w:rsid w:val="00EB3C97"/>
    <w:rsid w:val="00EB497E"/>
    <w:rsid w:val="00EB658B"/>
    <w:rsid w:val="00EB69C2"/>
    <w:rsid w:val="00EB74C1"/>
    <w:rsid w:val="00EC18F1"/>
    <w:rsid w:val="00EC2B47"/>
    <w:rsid w:val="00EC2C8C"/>
    <w:rsid w:val="00EC3079"/>
    <w:rsid w:val="00EC44CD"/>
    <w:rsid w:val="00EC454B"/>
    <w:rsid w:val="00EC4D79"/>
    <w:rsid w:val="00EC511E"/>
    <w:rsid w:val="00EC5F37"/>
    <w:rsid w:val="00ED1496"/>
    <w:rsid w:val="00ED187D"/>
    <w:rsid w:val="00ED27CB"/>
    <w:rsid w:val="00ED3B99"/>
    <w:rsid w:val="00ED5530"/>
    <w:rsid w:val="00ED67F0"/>
    <w:rsid w:val="00ED7DAF"/>
    <w:rsid w:val="00ED7F88"/>
    <w:rsid w:val="00EE3498"/>
    <w:rsid w:val="00EE3BB1"/>
    <w:rsid w:val="00EE50B9"/>
    <w:rsid w:val="00EE5257"/>
    <w:rsid w:val="00EE7488"/>
    <w:rsid w:val="00EE7EA8"/>
    <w:rsid w:val="00EF04A1"/>
    <w:rsid w:val="00EF1488"/>
    <w:rsid w:val="00EF1E76"/>
    <w:rsid w:val="00EF3FF1"/>
    <w:rsid w:val="00EF41E2"/>
    <w:rsid w:val="00EF4571"/>
    <w:rsid w:val="00EF564A"/>
    <w:rsid w:val="00EF778C"/>
    <w:rsid w:val="00F02D20"/>
    <w:rsid w:val="00F03EAC"/>
    <w:rsid w:val="00F0584C"/>
    <w:rsid w:val="00F05FB0"/>
    <w:rsid w:val="00F10080"/>
    <w:rsid w:val="00F113B0"/>
    <w:rsid w:val="00F1264C"/>
    <w:rsid w:val="00F1534B"/>
    <w:rsid w:val="00F16179"/>
    <w:rsid w:val="00F17F04"/>
    <w:rsid w:val="00F20246"/>
    <w:rsid w:val="00F22756"/>
    <w:rsid w:val="00F233D8"/>
    <w:rsid w:val="00F25618"/>
    <w:rsid w:val="00F2761F"/>
    <w:rsid w:val="00F312FC"/>
    <w:rsid w:val="00F31D7C"/>
    <w:rsid w:val="00F31EB6"/>
    <w:rsid w:val="00F34773"/>
    <w:rsid w:val="00F34DC7"/>
    <w:rsid w:val="00F358A8"/>
    <w:rsid w:val="00F363B9"/>
    <w:rsid w:val="00F40BFC"/>
    <w:rsid w:val="00F41101"/>
    <w:rsid w:val="00F42C31"/>
    <w:rsid w:val="00F432B1"/>
    <w:rsid w:val="00F4350A"/>
    <w:rsid w:val="00F44A8B"/>
    <w:rsid w:val="00F45328"/>
    <w:rsid w:val="00F508A3"/>
    <w:rsid w:val="00F51096"/>
    <w:rsid w:val="00F517C3"/>
    <w:rsid w:val="00F51CD7"/>
    <w:rsid w:val="00F52075"/>
    <w:rsid w:val="00F52EEF"/>
    <w:rsid w:val="00F5330E"/>
    <w:rsid w:val="00F551D5"/>
    <w:rsid w:val="00F57548"/>
    <w:rsid w:val="00F605E4"/>
    <w:rsid w:val="00F606ED"/>
    <w:rsid w:val="00F60856"/>
    <w:rsid w:val="00F63CFD"/>
    <w:rsid w:val="00F63D21"/>
    <w:rsid w:val="00F64434"/>
    <w:rsid w:val="00F64482"/>
    <w:rsid w:val="00F64498"/>
    <w:rsid w:val="00F64579"/>
    <w:rsid w:val="00F65568"/>
    <w:rsid w:val="00F65623"/>
    <w:rsid w:val="00F65B8F"/>
    <w:rsid w:val="00F66B71"/>
    <w:rsid w:val="00F67A22"/>
    <w:rsid w:val="00F67D08"/>
    <w:rsid w:val="00F67EFB"/>
    <w:rsid w:val="00F7083B"/>
    <w:rsid w:val="00F70CBA"/>
    <w:rsid w:val="00F7168B"/>
    <w:rsid w:val="00F742F1"/>
    <w:rsid w:val="00F74832"/>
    <w:rsid w:val="00F759F4"/>
    <w:rsid w:val="00F7660E"/>
    <w:rsid w:val="00F7768D"/>
    <w:rsid w:val="00F77803"/>
    <w:rsid w:val="00F77947"/>
    <w:rsid w:val="00F805C2"/>
    <w:rsid w:val="00F810C0"/>
    <w:rsid w:val="00F81430"/>
    <w:rsid w:val="00F818E2"/>
    <w:rsid w:val="00F86DAF"/>
    <w:rsid w:val="00F90F78"/>
    <w:rsid w:val="00F92C1F"/>
    <w:rsid w:val="00F93877"/>
    <w:rsid w:val="00F93EB8"/>
    <w:rsid w:val="00F93EF3"/>
    <w:rsid w:val="00F945CD"/>
    <w:rsid w:val="00F96986"/>
    <w:rsid w:val="00FA27DF"/>
    <w:rsid w:val="00FA33A5"/>
    <w:rsid w:val="00FA4826"/>
    <w:rsid w:val="00FA4EE7"/>
    <w:rsid w:val="00FA74C7"/>
    <w:rsid w:val="00FA7CC4"/>
    <w:rsid w:val="00FB3C03"/>
    <w:rsid w:val="00FB65AE"/>
    <w:rsid w:val="00FC060E"/>
    <w:rsid w:val="00FC159E"/>
    <w:rsid w:val="00FC1EFA"/>
    <w:rsid w:val="00FC2CB8"/>
    <w:rsid w:val="00FC3698"/>
    <w:rsid w:val="00FC3E35"/>
    <w:rsid w:val="00FC429E"/>
    <w:rsid w:val="00FC42D5"/>
    <w:rsid w:val="00FC661B"/>
    <w:rsid w:val="00FC7C0C"/>
    <w:rsid w:val="00FC7FD0"/>
    <w:rsid w:val="00FD0408"/>
    <w:rsid w:val="00FD1841"/>
    <w:rsid w:val="00FD24FF"/>
    <w:rsid w:val="00FD39DE"/>
    <w:rsid w:val="00FD49D7"/>
    <w:rsid w:val="00FD6082"/>
    <w:rsid w:val="00FD69C9"/>
    <w:rsid w:val="00FD7D68"/>
    <w:rsid w:val="00FE0469"/>
    <w:rsid w:val="00FE0A11"/>
    <w:rsid w:val="00FE0D9F"/>
    <w:rsid w:val="00FE1194"/>
    <w:rsid w:val="00FE1381"/>
    <w:rsid w:val="00FE20C4"/>
    <w:rsid w:val="00FE2AF3"/>
    <w:rsid w:val="00FE3D79"/>
    <w:rsid w:val="00FE4718"/>
    <w:rsid w:val="00FE79C3"/>
    <w:rsid w:val="00FE7A1F"/>
    <w:rsid w:val="00FF1726"/>
    <w:rsid w:val="00FF34B2"/>
    <w:rsid w:val="00FF42EE"/>
    <w:rsid w:val="00FF5BB4"/>
    <w:rsid w:val="016E044A"/>
    <w:rsid w:val="02D9295E"/>
    <w:rsid w:val="064237A7"/>
    <w:rsid w:val="0C482343"/>
    <w:rsid w:val="16D05547"/>
    <w:rsid w:val="18704CB4"/>
    <w:rsid w:val="18B02A8E"/>
    <w:rsid w:val="18E8343E"/>
    <w:rsid w:val="192E28F8"/>
    <w:rsid w:val="1B5231B9"/>
    <w:rsid w:val="1E9B609B"/>
    <w:rsid w:val="20F961E7"/>
    <w:rsid w:val="21540ACF"/>
    <w:rsid w:val="22C80A1D"/>
    <w:rsid w:val="27646C8D"/>
    <w:rsid w:val="28BD0503"/>
    <w:rsid w:val="28E92B74"/>
    <w:rsid w:val="2CF17ED9"/>
    <w:rsid w:val="2D491F9E"/>
    <w:rsid w:val="2DD6396D"/>
    <w:rsid w:val="2F20599A"/>
    <w:rsid w:val="2FE50BA9"/>
    <w:rsid w:val="317F0BCA"/>
    <w:rsid w:val="32832A04"/>
    <w:rsid w:val="37247C35"/>
    <w:rsid w:val="38CE2C86"/>
    <w:rsid w:val="391C28EE"/>
    <w:rsid w:val="392E09A2"/>
    <w:rsid w:val="3A6C3919"/>
    <w:rsid w:val="3B7A0F58"/>
    <w:rsid w:val="3C672EE2"/>
    <w:rsid w:val="445211C0"/>
    <w:rsid w:val="48375AEC"/>
    <w:rsid w:val="48960B41"/>
    <w:rsid w:val="48D31EFA"/>
    <w:rsid w:val="493733B5"/>
    <w:rsid w:val="4C4C62F7"/>
    <w:rsid w:val="50CE10DD"/>
    <w:rsid w:val="52C0371A"/>
    <w:rsid w:val="52F90E81"/>
    <w:rsid w:val="5FCE03FB"/>
    <w:rsid w:val="638353BB"/>
    <w:rsid w:val="64B40F7A"/>
    <w:rsid w:val="66557D9B"/>
    <w:rsid w:val="69004D4E"/>
    <w:rsid w:val="6AB3359E"/>
    <w:rsid w:val="6B3E697D"/>
    <w:rsid w:val="6E3C6504"/>
    <w:rsid w:val="6E8564FE"/>
    <w:rsid w:val="6F3335BA"/>
    <w:rsid w:val="76A76695"/>
    <w:rsid w:val="76E521D9"/>
    <w:rsid w:val="7A241826"/>
    <w:rsid w:val="7FEE7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50" w:after="50" w:line="360" w:lineRule="auto"/>
      <w:outlineLvl w:val="0"/>
    </w:pPr>
    <w:rPr>
      <w:rFonts w:ascii="Times New Roman" w:hAnsi="Times New Roman" w:eastAsia="黑体"/>
      <w:bCs/>
      <w:kern w:val="44"/>
      <w:sz w:val="30"/>
      <w:szCs w:val="44"/>
    </w:rPr>
  </w:style>
  <w:style w:type="character" w:default="1" w:styleId="16">
    <w:name w:val="Default Paragraph Font"/>
    <w:semiHidden/>
    <w:unhideWhenUsed/>
    <w:qFormat/>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customStyle="1" w:styleId="2">
    <w:name w:val="_Style 2"/>
    <w:basedOn w:val="1"/>
    <w:qFormat/>
    <w:uiPriority w:val="34"/>
    <w:pPr>
      <w:ind w:firstLine="420"/>
    </w:pPr>
  </w:style>
  <w:style w:type="paragraph" w:styleId="4">
    <w:name w:val="annotation text"/>
    <w:basedOn w:val="1"/>
    <w:link w:val="22"/>
    <w:qFormat/>
    <w:uiPriority w:val="0"/>
    <w:pPr>
      <w:spacing w:line="360" w:lineRule="auto"/>
      <w:jc w:val="left"/>
    </w:pPr>
    <w:rPr>
      <w:rFonts w:ascii="宋体" w:hAnsi="宋体" w:eastAsia="宋体" w:cs="Times New Roman"/>
      <w:szCs w:val="24"/>
    </w:rPr>
  </w:style>
  <w:style w:type="paragraph" w:styleId="5">
    <w:name w:val="Body Text"/>
    <w:basedOn w:val="1"/>
    <w:unhideWhenUsed/>
    <w:qFormat/>
    <w:uiPriority w:val="99"/>
    <w:pPr>
      <w:spacing w:after="120"/>
    </w:pPr>
    <w:rPr>
      <w:rFonts w:eastAsia="仿宋_GB2312"/>
    </w:rPr>
  </w:style>
  <w:style w:type="paragraph" w:styleId="6">
    <w:name w:val="Body Text Indent"/>
    <w:basedOn w:val="1"/>
    <w:link w:val="21"/>
    <w:qFormat/>
    <w:uiPriority w:val="0"/>
    <w:pPr>
      <w:ind w:firstLine="420"/>
    </w:pPr>
    <w:rPr>
      <w:rFonts w:ascii="Times New Roman" w:hAnsi="Times New Roman" w:eastAsia="宋体" w:cs="Times New Roman"/>
      <w:sz w:val="24"/>
      <w:szCs w:val="24"/>
    </w:rPr>
  </w:style>
  <w:style w:type="paragraph" w:styleId="7">
    <w:name w:val="Date"/>
    <w:basedOn w:val="1"/>
    <w:next w:val="1"/>
    <w:link w:val="27"/>
    <w:semiHidden/>
    <w:unhideWhenUsed/>
    <w:qFormat/>
    <w:uiPriority w:val="99"/>
    <w:pPr>
      <w:ind w:left="100" w:leftChars="2500"/>
    </w:pPr>
  </w:style>
  <w:style w:type="paragraph" w:styleId="8">
    <w:name w:val="Balloon Text"/>
    <w:basedOn w:val="1"/>
    <w:link w:val="17"/>
    <w:semiHidden/>
    <w:unhideWhenUsed/>
    <w:qFormat/>
    <w:uiPriority w:val="99"/>
    <w:rPr>
      <w:sz w:val="18"/>
      <w:szCs w:val="18"/>
    </w:r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2"/>
    <w:basedOn w:val="1"/>
    <w:next w:val="1"/>
    <w:unhideWhenUsed/>
    <w:qFormat/>
    <w:uiPriority w:val="0"/>
    <w:pPr>
      <w:ind w:left="420" w:leftChars="200"/>
    </w:pPr>
  </w:style>
  <w:style w:type="paragraph" w:styleId="12">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3">
    <w:name w:val="Body Text First Indent 2"/>
    <w:basedOn w:val="6"/>
    <w:qFormat/>
    <w:uiPriority w:val="0"/>
    <w:pPr>
      <w:ind w:firstLine="200" w:firstLineChars="200"/>
    </w:pPr>
    <w:rPr>
      <w:rFonts w:hAnsi="Calibri" w:cs="黑体"/>
      <w:sz w:val="21"/>
    </w:rPr>
  </w:style>
  <w:style w:type="table" w:styleId="15">
    <w:name w:val="Table Grid"/>
    <w:basedOn w:val="1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7">
    <w:name w:val="批注框文本 字符"/>
    <w:basedOn w:val="16"/>
    <w:link w:val="8"/>
    <w:semiHidden/>
    <w:qFormat/>
    <w:uiPriority w:val="99"/>
    <w:rPr>
      <w:sz w:val="18"/>
      <w:szCs w:val="18"/>
    </w:rPr>
  </w:style>
  <w:style w:type="character" w:customStyle="1" w:styleId="18">
    <w:name w:val="页眉 字符"/>
    <w:basedOn w:val="16"/>
    <w:link w:val="10"/>
    <w:qFormat/>
    <w:uiPriority w:val="99"/>
    <w:rPr>
      <w:sz w:val="18"/>
      <w:szCs w:val="18"/>
    </w:rPr>
  </w:style>
  <w:style w:type="character" w:customStyle="1" w:styleId="19">
    <w:name w:val="页脚 字符"/>
    <w:basedOn w:val="16"/>
    <w:link w:val="9"/>
    <w:qFormat/>
    <w:uiPriority w:val="99"/>
    <w:rPr>
      <w:sz w:val="18"/>
      <w:szCs w:val="18"/>
    </w:rPr>
  </w:style>
  <w:style w:type="paragraph" w:customStyle="1" w:styleId="20">
    <w:name w:val="章标题"/>
    <w:next w:val="1"/>
    <w:qFormat/>
    <w:uiPriority w:val="0"/>
    <w:pPr>
      <w:spacing w:beforeLines="50" w:afterLines="50"/>
      <w:jc w:val="both"/>
      <w:outlineLvl w:val="1"/>
    </w:pPr>
    <w:rPr>
      <w:rFonts w:ascii="黑体" w:hAnsi="Times New Roman" w:eastAsia="黑体" w:cs="Times New Roman"/>
      <w:sz w:val="21"/>
      <w:lang w:val="en-US" w:eastAsia="zh-CN" w:bidi="ar-SA"/>
    </w:rPr>
  </w:style>
  <w:style w:type="character" w:customStyle="1" w:styleId="21">
    <w:name w:val="正文文本缩进 字符"/>
    <w:basedOn w:val="16"/>
    <w:link w:val="6"/>
    <w:qFormat/>
    <w:uiPriority w:val="0"/>
    <w:rPr>
      <w:rFonts w:ascii="Times New Roman" w:hAnsi="Times New Roman" w:eastAsia="宋体" w:cs="Times New Roman"/>
      <w:sz w:val="24"/>
      <w:szCs w:val="24"/>
    </w:rPr>
  </w:style>
  <w:style w:type="character" w:customStyle="1" w:styleId="22">
    <w:name w:val="批注文字 字符"/>
    <w:basedOn w:val="16"/>
    <w:link w:val="4"/>
    <w:qFormat/>
    <w:uiPriority w:val="0"/>
    <w:rPr>
      <w:rFonts w:ascii="宋体" w:hAnsi="宋体" w:eastAsia="宋体" w:cs="Times New Roman"/>
      <w:szCs w:val="24"/>
    </w:rPr>
  </w:style>
  <w:style w:type="paragraph" w:styleId="23">
    <w:name w:val="List Paragraph"/>
    <w:basedOn w:val="1"/>
    <w:qFormat/>
    <w:uiPriority w:val="34"/>
    <w:pPr>
      <w:ind w:firstLine="420" w:firstLineChars="200"/>
    </w:pPr>
  </w:style>
  <w:style w:type="paragraph" w:customStyle="1" w:styleId="24">
    <w:name w:val="段"/>
    <w:link w:val="25"/>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character" w:customStyle="1" w:styleId="25">
    <w:name w:val="段 Char"/>
    <w:link w:val="24"/>
    <w:qFormat/>
    <w:uiPriority w:val="0"/>
    <w:rPr>
      <w:rFonts w:ascii="宋体" w:hAnsi="Times New Roman" w:eastAsia="宋体" w:cs="Times New Roman"/>
      <w:kern w:val="0"/>
    </w:rPr>
  </w:style>
  <w:style w:type="paragraph" w:customStyle="1" w:styleId="26">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7">
    <w:name w:val="日期 字符"/>
    <w:basedOn w:val="16"/>
    <w:link w:val="7"/>
    <w:semiHidden/>
    <w:qFormat/>
    <w:uiPriority w:val="99"/>
    <w:rPr>
      <w:rFonts w:asciiTheme="minorHAnsi" w:hAnsiTheme="minorHAnsi" w:eastAsiaTheme="minorEastAsia" w:cstheme="minorBidi"/>
      <w:kern w:val="2"/>
      <w:sz w:val="21"/>
      <w:szCs w:val="22"/>
    </w:rPr>
  </w:style>
  <w:style w:type="paragraph" w:customStyle="1" w:styleId="28">
    <w:name w:val="一级条标题"/>
    <w:basedOn w:val="20"/>
    <w:next w:val="24"/>
    <w:qFormat/>
    <w:uiPriority w:val="0"/>
    <w:pPr>
      <w:outlineLvl w:val="2"/>
    </w:pPr>
  </w:style>
  <w:style w:type="character" w:customStyle="1" w:styleId="29">
    <w:name w:val="font21"/>
    <w:basedOn w:val="16"/>
    <w:qFormat/>
    <w:uiPriority w:val="0"/>
    <w:rPr>
      <w:rFonts w:hint="eastAsia" w:ascii="宋体" w:hAnsi="宋体" w:eastAsia="宋体" w:cs="宋体"/>
      <w:color w:val="000000"/>
      <w:sz w:val="20"/>
      <w:szCs w:val="20"/>
      <w:u w:val="none"/>
      <w:vertAlign w:val="subscript"/>
    </w:rPr>
  </w:style>
  <w:style w:type="character" w:customStyle="1" w:styleId="30">
    <w:name w:val="font11"/>
    <w:basedOn w:val="16"/>
    <w:qFormat/>
    <w:uiPriority w:val="0"/>
    <w:rPr>
      <w:rFonts w:hint="eastAsia" w:ascii="宋体" w:hAnsi="宋体" w:eastAsia="宋体" w:cs="宋体"/>
      <w:color w:val="000000"/>
      <w:sz w:val="20"/>
      <w:szCs w:val="20"/>
      <w:u w:val="none"/>
    </w:rPr>
  </w:style>
  <w:style w:type="paragraph" w:customStyle="1" w:styleId="31">
    <w:name w:val="二级条标题"/>
    <w:basedOn w:val="28"/>
    <w:next w:val="24"/>
    <w:qFormat/>
    <w:uiPriority w:val="0"/>
    <w:pPr>
      <w:numPr>
        <w:ilvl w:val="2"/>
        <w:numId w:val="1"/>
      </w:numPr>
      <w:spacing w:before="50" w:after="50"/>
      <w:outlineLvl w:val="3"/>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2C55B-7085-467F-ABDB-CBEB33EA7829}">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9</Pages>
  <Words>5776</Words>
  <Characters>6566</Characters>
  <Lines>50</Lines>
  <Paragraphs>14</Paragraphs>
  <TotalTime>4</TotalTime>
  <ScaleCrop>false</ScaleCrop>
  <LinksUpToDate>false</LinksUpToDate>
  <CharactersWithSpaces>6657</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2022-08-03T02:17:00Z</dcterms:created>
  <dc:creator>Sky123.Org</dc:creator>
  <cp:lastModifiedBy>Administrator</cp:lastModifiedBy>
  <cp:lastPrinted>2024-11-19T08:48:00Z</cp:lastPrinted>
  <dcterms:modified xsi:type="dcterms:W3CDTF">2025-08-11T09:47:52Z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2997E0B0200A4B49BD766EEB06A7F441</vt:lpwstr>
  </property>
  <property fmtid="{D5CDD505-2E9C-101B-9397-08002B2CF9AE}" pid="4" name="KSOTemplateDocerSaveRecord">
    <vt:lpwstr>eyJoZGlkIjoiYjljYmIwMTBkNTA3YTNhODM2YmJlYjhlNmE2YWJiMTkiLCJ1c2VySWQiOiI2NjYzNTczMzEifQ==</vt:lpwstr>
  </property>
</Properties>
</file>