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14174" w:type="dxa"/>
        <w:jc w:val="right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"/>
        <w:gridCol w:w="2061"/>
        <w:gridCol w:w="5518"/>
        <w:gridCol w:w="2391"/>
        <w:gridCol w:w="882"/>
        <w:gridCol w:w="2835"/>
      </w:tblGrid>
      <w:tr w14:paraId="46EF11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right"/>
        </w:trPr>
        <w:tc>
          <w:tcPr>
            <w:tcW w:w="141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bottom"/>
          </w:tcPr>
          <w:p w14:paraId="1A13C86B">
            <w:pPr>
              <w:widowControl/>
              <w:jc w:val="left"/>
              <w:textAlignment w:val="bottom"/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 xml:space="preserve">                                                          标准征求意见稿意见汇总处理表</w:t>
            </w:r>
            <w:bookmarkStart w:id="0" w:name="_GoBack"/>
            <w:bookmarkEnd w:id="0"/>
          </w:p>
        </w:tc>
      </w:tr>
      <w:tr w14:paraId="3E1A1E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right"/>
        </w:trPr>
        <w:tc>
          <w:tcPr>
            <w:tcW w:w="141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bottom"/>
          </w:tcPr>
          <w:p w14:paraId="1AC73EEE">
            <w:pPr>
              <w:widowControl/>
              <w:jc w:val="left"/>
              <w:textAlignment w:val="bottom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标准项目名称：</w:t>
            </w:r>
            <w:r>
              <w:rPr>
                <w:rStyle w:val="10"/>
                <w:rFonts w:hint="default"/>
                <w:sz w:val="21"/>
                <w:szCs w:val="21"/>
                <w:lang w:bidi="ar"/>
              </w:rPr>
              <w:t>铜精炼炉浇铸溜槽用耐火浇注料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              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 xml:space="preserve"> 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 承办人</w:t>
            </w:r>
            <w:r>
              <w:rPr>
                <w:rStyle w:val="10"/>
                <w:rFonts w:hint="default"/>
                <w:sz w:val="21"/>
                <w:szCs w:val="21"/>
                <w:lang w:bidi="ar"/>
              </w:rPr>
              <w:t>：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 xml:space="preserve">          </w:t>
            </w:r>
          </w:p>
        </w:tc>
      </w:tr>
      <w:tr w14:paraId="779821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right"/>
        </w:trPr>
        <w:tc>
          <w:tcPr>
            <w:tcW w:w="141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bottom"/>
          </w:tcPr>
          <w:p w14:paraId="27F0BD96">
            <w:pPr>
              <w:widowControl/>
              <w:textAlignment w:val="bottom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标准项目负责起草单位：江西铜业股份有限公司       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 xml:space="preserve">    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电话：</w:t>
            </w:r>
            <w:r>
              <w:rPr>
                <w:rStyle w:val="10"/>
                <w:rFonts w:hint="default"/>
                <w:sz w:val="21"/>
                <w:szCs w:val="21"/>
                <w:lang w:bidi="ar"/>
              </w:rPr>
              <w:t xml:space="preserve">0791-827101150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                        202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8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日填写</w:t>
            </w:r>
          </w:p>
        </w:tc>
      </w:tr>
      <w:tr w14:paraId="1F2999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righ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7F96C2F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2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55F61F2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标准章条编号</w:t>
            </w:r>
          </w:p>
        </w:tc>
        <w:tc>
          <w:tcPr>
            <w:tcW w:w="5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004BB78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意见内容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A6D9E8C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提出单位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2FF0F3C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处理意见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EA31CF1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备 注</w:t>
            </w:r>
          </w:p>
        </w:tc>
      </w:tr>
      <w:tr w14:paraId="4F9697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righ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D2B550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1</w:t>
            </w:r>
          </w:p>
        </w:tc>
        <w:tc>
          <w:tcPr>
            <w:tcW w:w="2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6BBDC74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5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4DD8930">
            <w:pPr>
              <w:spacing w:line="240" w:lineRule="auto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en-US" w:eastAsia="zh-CN"/>
              </w:rPr>
              <w:t>本标准涉及的一种不定形耐火材料实际使用中为涂抹施工，非浇注施工，建议更改名称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CDC27A7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en-US" w:eastAsia="zh-CN"/>
              </w:rPr>
              <w:t>东南铜业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1C8234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  <w:lang w:val="en-US" w:eastAsia="zh-CN"/>
              </w:rPr>
              <w:t>未采纳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FFB2108">
            <w:p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  <w:lang w:val="en-US" w:eastAsia="zh-CN"/>
              </w:rPr>
              <w:t>整段溜槽制作为浇注施工</w:t>
            </w:r>
          </w:p>
        </w:tc>
      </w:tr>
      <w:tr w14:paraId="5079F0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righ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A3DCEB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2</w:t>
            </w:r>
          </w:p>
        </w:tc>
        <w:tc>
          <w:tcPr>
            <w:tcW w:w="2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1AAAC12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0"/>
                <w:szCs w:val="20"/>
              </w:rPr>
              <w:t>1</w:t>
            </w:r>
          </w:p>
        </w:tc>
        <w:tc>
          <w:tcPr>
            <w:tcW w:w="5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6C82DF4">
            <w:pPr>
              <w:spacing w:line="240" w:lineRule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范围中“本文件适用于火法工艺流程中液态金属（如铜、铅、铝等温度不超过1300℃）浇铸溜槽所用浇注料，”;而本产品标准为铜精炼炉浇铸溜槽用耐火浇注料。括号中的内容导致产品范围界定不清晰。建议删除铅、铝的内容。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B426B8A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  <w:lang w:val="en-US" w:eastAsia="zh-CN"/>
              </w:rPr>
              <w:t>豫光金铅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50B532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  <w:lang w:val="en-US" w:eastAsia="zh-CN"/>
              </w:rPr>
              <w:t>未采纳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308D0AB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  <w:lang w:val="en-US" w:eastAsia="zh-CN"/>
              </w:rPr>
              <w:t>本产品使用范围并不局限于铜冶炼行业</w:t>
            </w:r>
          </w:p>
        </w:tc>
      </w:tr>
      <w:tr w14:paraId="111412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righ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819101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3</w:t>
            </w:r>
          </w:p>
        </w:tc>
        <w:tc>
          <w:tcPr>
            <w:tcW w:w="2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5C8E1FB">
            <w:p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5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026FFD2">
            <w:pPr>
              <w:spacing w:line="240" w:lineRule="auto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</w:rPr>
              <w:t>铜精炼炉浇铸溜槽用耐火浇注料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en-US" w:eastAsia="zh-CN"/>
              </w:rPr>
              <w:t>的涵盖面较广，各单位使用的耐火浇注料材质也不一样，但标准中仅涉及铝硅系耐火浇注料，未提及其他类型的浇注料，如滇中有色精炼炉用的是铝碳质，不是铝硅质。建议适用范围修改为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</w:rPr>
              <w:t>铜精炼炉浇铸溜槽用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en-US" w:eastAsia="zh-CN"/>
              </w:rPr>
              <w:t>铝硅质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</w:rPr>
              <w:t>耐火浇注料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021D153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en-US" w:eastAsia="zh-CN"/>
              </w:rPr>
              <w:t>滇中有色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C8393B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  <w:lang w:val="en-US" w:eastAsia="zh-CN"/>
              </w:rPr>
              <w:t>采纳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B8E4996">
            <w:p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31FBCD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righ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5F80CE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4</w:t>
            </w:r>
          </w:p>
        </w:tc>
        <w:tc>
          <w:tcPr>
            <w:tcW w:w="2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FF8CC0D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5.1</w:t>
            </w:r>
          </w:p>
        </w:tc>
        <w:tc>
          <w:tcPr>
            <w:tcW w:w="5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13FF46C">
            <w:pPr>
              <w:spacing w:line="240" w:lineRule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5.1 化学成分中的注“注：①过量CaO与SiO2或Al2O3反应可能生成低熔相（如CAS2），降低材料高温稳定性，CA2生成伴随体积收缩，而CA6形成会导致局部膨胀，需通过控制CaO含量平衡体积稳定性。②Fe2O3与渣中成分（如MnO、FeO）形成固溶体或低熔相，加剧渣渗透和侵蚀，降低浇注料寿命。③TiO2含量升高时可能形成过多低熔共晶相（如Al2O3-TiO2-SiO2系统），降低材料耐火度和高温强度。”</w:t>
            </w:r>
          </w:p>
          <w:p w14:paraId="4430A52C">
            <w:pPr>
              <w:spacing w:line="240" w:lineRule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该部分内容为产品化学成分设定的基本原理方面的资料性内容。不建议放在正文中，建议仅在编制说明中体现。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1B141DF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  <w:lang w:val="en-US" w:eastAsia="zh-CN"/>
              </w:rPr>
              <w:t>豫光金铅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B104FB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采纳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40CC14E">
            <w:pPr>
              <w:widowControl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35D702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righ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86372DA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5</w:t>
            </w:r>
          </w:p>
        </w:tc>
        <w:tc>
          <w:tcPr>
            <w:tcW w:w="2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9AA78BF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en-US" w:eastAsia="zh-CN"/>
              </w:rPr>
              <w:t>5.1</w:t>
            </w:r>
          </w:p>
        </w:tc>
        <w:tc>
          <w:tcPr>
            <w:tcW w:w="5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F27A0BD">
            <w:pPr>
              <w:spacing w:line="240" w:lineRule="auto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en-US" w:eastAsia="zh-CN"/>
              </w:rPr>
              <w:t>表1化学成分中牌号为TJ-70 中Al2O3不于70.0%、SiO2不小于25.0%、CaO不大于5.0%、Fe2O3不大于3.0%、TiO2不大于2.5%，各成分总和达105.5，建议对成份的含量进行调整。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305679B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en-US" w:eastAsia="zh-CN"/>
              </w:rPr>
              <w:t>滇中有色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9C13F6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  <w:lang w:val="en-US" w:eastAsia="zh-CN"/>
              </w:rPr>
              <w:t>采纳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6C20A6F">
            <w:pPr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0"/>
                <w:szCs w:val="20"/>
              </w:rPr>
            </w:pPr>
          </w:p>
        </w:tc>
      </w:tr>
      <w:tr w14:paraId="253AA8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righ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E770420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6</w:t>
            </w:r>
          </w:p>
        </w:tc>
        <w:tc>
          <w:tcPr>
            <w:tcW w:w="2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683D6E4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5.1</w:t>
            </w:r>
          </w:p>
        </w:tc>
        <w:tc>
          <w:tcPr>
            <w:tcW w:w="5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68C91AD">
            <w:pPr>
              <w:spacing w:line="240" w:lineRule="auto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牌号TJ-70的化学成分要求建议调整。Al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vertAlign w:val="subscript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O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vertAlign w:val="subscript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和SiO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vertAlign w:val="subscript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的含量不小于95%，其他成分的总和应控制在5%以下。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48745AC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sz w:val="20"/>
                <w:szCs w:val="20"/>
              </w:rPr>
              <w:t>山东恒邦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B86124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  <w:lang w:val="en-US" w:eastAsia="zh-CN"/>
              </w:rPr>
              <w:t>采纳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E6840BC">
            <w:pPr>
              <w:widowControl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157A02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righ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94A42E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7</w:t>
            </w:r>
          </w:p>
        </w:tc>
        <w:tc>
          <w:tcPr>
            <w:tcW w:w="2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8D12BA4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5.2</w:t>
            </w:r>
          </w:p>
        </w:tc>
        <w:tc>
          <w:tcPr>
            <w:tcW w:w="5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879D00B">
            <w:pPr>
              <w:pStyle w:val="3"/>
              <w:spacing w:line="240" w:lineRule="auto"/>
              <w:ind w:firstLine="0" w:firstLineChars="0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0"/>
                <w:szCs w:val="20"/>
              </w:rPr>
              <w:t>5.2 物理性能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中，“颗粒体积密度测定按照GB/T 2999的规定进行。”该部分内容为试验方法，建议统一放置在“6 试验方法”条款中。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3208D48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  <w:lang w:val="en-US" w:eastAsia="zh-CN"/>
              </w:rPr>
              <w:t>豫光金铅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EF08B89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采纳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214291">
            <w:pPr>
              <w:rPr>
                <w:rFonts w:hint="default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2D0804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righ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1A418A8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8</w:t>
            </w:r>
          </w:p>
        </w:tc>
        <w:tc>
          <w:tcPr>
            <w:tcW w:w="2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05C6F3A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6.1</w:t>
            </w:r>
          </w:p>
        </w:tc>
        <w:tc>
          <w:tcPr>
            <w:tcW w:w="5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313E3DA">
            <w:pPr>
              <w:spacing w:line="240" w:lineRule="auto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“产品”前应空两格。该段文字“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按照GB/T 6900或GB/T 21114的规定进行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”该处两个标准的“T”与数字之间空了一个字符，与6.1、6.2、7.3、8.1里面的标准相比，同样是差一个字符，但是显得间距较窄，建议重新排版。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A083CAC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  <w:lang w:val="en-US" w:eastAsia="zh-CN"/>
              </w:rPr>
              <w:t>北方铜业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1F2B10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  <w:lang w:val="en-US" w:eastAsia="zh-CN"/>
              </w:rPr>
              <w:t>采纳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D821ABE">
            <w:pPr>
              <w:rPr>
                <w:rFonts w:hint="default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59CA8D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righ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ED69F4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9</w:t>
            </w:r>
          </w:p>
        </w:tc>
        <w:tc>
          <w:tcPr>
            <w:tcW w:w="2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FBD13D6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6.2.2</w:t>
            </w:r>
          </w:p>
        </w:tc>
        <w:tc>
          <w:tcPr>
            <w:tcW w:w="5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2D9FBE3">
            <w:pPr>
              <w:pStyle w:val="3"/>
              <w:spacing w:line="240" w:lineRule="auto"/>
              <w:ind w:firstLine="0" w:firstLineChars="0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“6.2.2 产品颗粒尺寸使用筛分法测量。”“7.3.2 产品的体积密度、颗粒尺寸检验不合格时，”</w:t>
            </w:r>
          </w:p>
          <w:p w14:paraId="0F823C3C">
            <w:pPr>
              <w:pStyle w:val="3"/>
              <w:spacing w:line="240" w:lineRule="auto"/>
              <w:ind w:firstLine="0" w:firstLineChars="0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条款“5 技术要求”中未对产品颗粒尺寸进行要求，所规定内容为“颗粒体积密度”，建议通过修改、增加或删除的方式，保持上下文内容一致。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2FD5B24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  <w:lang w:val="en-US" w:eastAsia="zh-CN"/>
              </w:rPr>
              <w:t>豫光金铅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B01B07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采纳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98D48BC">
            <w:pPr>
              <w:widowControl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 w14:paraId="36255C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righ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D241E2A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10</w:t>
            </w:r>
          </w:p>
        </w:tc>
        <w:tc>
          <w:tcPr>
            <w:tcW w:w="2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19AF393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6.2</w:t>
            </w:r>
          </w:p>
        </w:tc>
        <w:tc>
          <w:tcPr>
            <w:tcW w:w="5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DAE4349">
            <w:pPr>
              <w:spacing w:line="240" w:lineRule="auto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“6.2.1、6.2.2”2个序号字体应为黑体。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DC1F883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sz w:val="20"/>
                <w:szCs w:val="20"/>
              </w:rPr>
              <w:t>山东恒邦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3BBD38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采纳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685839F">
            <w:pPr>
              <w:widowControl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 w14:paraId="77CDD0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righ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7D7FBC4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11</w:t>
            </w:r>
          </w:p>
        </w:tc>
        <w:tc>
          <w:tcPr>
            <w:tcW w:w="2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63ED944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en-US" w:eastAsia="zh-CN"/>
              </w:rPr>
              <w:t>7.1.1</w:t>
            </w:r>
          </w:p>
        </w:tc>
        <w:tc>
          <w:tcPr>
            <w:tcW w:w="5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DFA43BD">
            <w:pPr>
              <w:spacing w:line="240" w:lineRule="auto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en-US" w:eastAsia="zh-CN"/>
              </w:rPr>
              <w:t>无论是供方还是第三方对物资提供检测，均须通过专业且有相关资质的检测机构完成，并加盖该机构公章，在送货时出具原件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70271D6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en-US" w:eastAsia="zh-CN"/>
              </w:rPr>
              <w:t>东南铜业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3D267A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  <w:lang w:val="en-US" w:eastAsia="zh-CN"/>
              </w:rPr>
              <w:t>采纳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834A976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6696F6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righ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2C9921D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12</w:t>
            </w:r>
          </w:p>
        </w:tc>
        <w:tc>
          <w:tcPr>
            <w:tcW w:w="2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8A23A0D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7.2</w:t>
            </w:r>
          </w:p>
        </w:tc>
        <w:tc>
          <w:tcPr>
            <w:tcW w:w="5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E8A5557">
            <w:pPr>
              <w:spacing w:line="240" w:lineRule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0"/>
                <w:szCs w:val="20"/>
              </w:rPr>
              <w:t>7.2 组批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0"/>
                <w:szCs w:val="20"/>
                <w:lang w:eastAsia="zh-CN"/>
              </w:rPr>
              <w:t>“铜精炼炉（溜槽及中间包、浇铸包）隔热衬用耐火浇注料每批不超过25 t，”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该部分的产品名称描述与标准名称“铜精炼炉浇铸溜槽用耐火浇注料”不一致。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87FAC3F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  <w:lang w:val="en-US" w:eastAsia="zh-CN"/>
              </w:rPr>
              <w:t>豫光金铅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E2EF3A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采纳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4BD2AD3">
            <w:pPr>
              <w:widowControl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5D652C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righ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934B7D5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13</w:t>
            </w:r>
          </w:p>
        </w:tc>
        <w:tc>
          <w:tcPr>
            <w:tcW w:w="2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1089BE0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en-US" w:eastAsia="zh-CN"/>
              </w:rPr>
              <w:t>7.2</w:t>
            </w:r>
          </w:p>
        </w:tc>
        <w:tc>
          <w:tcPr>
            <w:tcW w:w="5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A574CDB">
            <w:pPr>
              <w:spacing w:line="240" w:lineRule="auto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en-US" w:eastAsia="zh-CN"/>
              </w:rPr>
              <w:t>本标准涉及的一种不定形耐材，在生产实际中，尤其是产能较大的冶炼厂，消耗量较大，单批次按不超25吨控制恐难保证生产需求，且国内货车一般单车装货量为35t-40t，建议将单批次控制量提升至此数值，对供需双方都比较友好。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1687EDF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en-US" w:eastAsia="zh-CN"/>
              </w:rPr>
              <w:t>东南铜业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3F7BAF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  <w:lang w:val="en-US" w:eastAsia="zh-CN"/>
              </w:rPr>
              <w:t>采纳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1E000A7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66245D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righ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2B7B2E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14</w:t>
            </w:r>
          </w:p>
        </w:tc>
        <w:tc>
          <w:tcPr>
            <w:tcW w:w="2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B530B3C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7.3</w:t>
            </w:r>
          </w:p>
        </w:tc>
        <w:tc>
          <w:tcPr>
            <w:tcW w:w="5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33FE008">
            <w:pPr>
              <w:spacing w:line="240" w:lineRule="auto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内容开头应空2个字符。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A83B481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sz w:val="20"/>
                <w:szCs w:val="20"/>
              </w:rPr>
              <w:t>山东恒邦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964DC7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en-US" w:eastAsia="zh-CN" w:bidi="ar"/>
              </w:rPr>
              <w:t>采纳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61C8C53">
            <w:pPr>
              <w:widowControl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 w14:paraId="097135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righ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359883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15</w:t>
            </w:r>
          </w:p>
        </w:tc>
        <w:tc>
          <w:tcPr>
            <w:tcW w:w="2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C28918C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7.3</w:t>
            </w:r>
          </w:p>
        </w:tc>
        <w:tc>
          <w:tcPr>
            <w:tcW w:w="5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49B53C1">
            <w:pPr>
              <w:spacing w:line="240" w:lineRule="auto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“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取样方法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”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前应空两格。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D330D6D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  <w:lang w:val="en-US" w:eastAsia="zh-CN"/>
              </w:rPr>
              <w:t>北方铜业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D8ADF5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  <w:lang w:val="en-US" w:eastAsia="zh-CN"/>
              </w:rPr>
              <w:t>采纳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E5692DA">
            <w:pPr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2655C2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righ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F3D56E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16</w:t>
            </w:r>
          </w:p>
        </w:tc>
        <w:tc>
          <w:tcPr>
            <w:tcW w:w="2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4645209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7.3.1</w:t>
            </w:r>
          </w:p>
        </w:tc>
        <w:tc>
          <w:tcPr>
            <w:tcW w:w="5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CB5EC19">
            <w:pPr>
              <w:spacing w:line="240" w:lineRule="auto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“产品的化学成分、耐压强度、加热永久线变化检验不合格时”应明确是同时满足时不合格，还是任一一个条件不合格则判断为不合格？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54BE8E1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  <w:t>中金岭南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F94D49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  <w:lang w:val="en-US" w:eastAsia="zh-CN"/>
              </w:rPr>
              <w:t>采纳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6843F79">
            <w:p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718BCA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righ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058DD9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17</w:t>
            </w:r>
          </w:p>
        </w:tc>
        <w:tc>
          <w:tcPr>
            <w:tcW w:w="2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231E11B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7.4</w:t>
            </w:r>
          </w:p>
        </w:tc>
        <w:tc>
          <w:tcPr>
            <w:tcW w:w="5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9C73F9D">
            <w:pPr>
              <w:spacing w:line="240" w:lineRule="auto"/>
              <w:rPr>
                <w:rFonts w:hint="eastAsia" w:asciiTheme="minorEastAsia" w:hAnsiTheme="minorEastAsia" w:eastAsiaTheme="minorEastAsia" w:cs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章节序号错误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E8D7A93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中金岭南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3513CA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采纳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CF7A316">
            <w:p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45047E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righ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0FC691D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18</w:t>
            </w:r>
          </w:p>
        </w:tc>
        <w:tc>
          <w:tcPr>
            <w:tcW w:w="2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1CEAC12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en-US" w:eastAsia="zh-CN"/>
              </w:rPr>
              <w:t>8.2</w:t>
            </w:r>
          </w:p>
        </w:tc>
        <w:tc>
          <w:tcPr>
            <w:tcW w:w="5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0E2E7A4">
            <w:pPr>
              <w:spacing w:line="240" w:lineRule="auto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en-US" w:eastAsia="zh-CN"/>
              </w:rPr>
              <w:t>随行文件中，产品使用说明应明确施工方法所包含的各项内容，如水料配比，施工方式(涂抹/浇注)，养护时间和方法等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708D102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0"/>
                <w:szCs w:val="20"/>
                <w:lang w:val="en-US" w:eastAsia="zh-CN"/>
              </w:rPr>
              <w:t>东南铜业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318F62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  <w:lang w:val="en-US" w:eastAsia="zh-CN"/>
              </w:rPr>
              <w:t>采纳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27B71EE">
            <w:p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</w:tr>
      <w:tr w14:paraId="3CC50E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righ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937840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19</w:t>
            </w:r>
          </w:p>
        </w:tc>
        <w:tc>
          <w:tcPr>
            <w:tcW w:w="2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180FBBD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8.2</w:t>
            </w:r>
          </w:p>
        </w:tc>
        <w:tc>
          <w:tcPr>
            <w:tcW w:w="5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98F309F">
            <w:pPr>
              <w:spacing w:line="240" w:lineRule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8.2 随行文件中“每批产品应附有随行文件，其中除应包括供方信息、产品信息、本文件编号、出厂日期或包装日期外”</w:t>
            </w:r>
          </w:p>
          <w:p w14:paraId="2636A294">
            <w:pPr>
              <w:spacing w:line="240" w:lineRule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该条款中的能愿动词为“应”，是指令性性条款，用连接词“或”可能导致歧义，一种理解方式为随行文件内容必须包括“供方信息、产品信息、本文件编号”以及“出厂日期或包装日期”中的一个；另一种理解方式为随行文件内容必须包括“供方信息、产品信息、本文件编号、出厂日期、包装日期”中的一个或多个。</w:t>
            </w: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0D064FE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  <w:lang w:val="en-US" w:eastAsia="zh-CN"/>
              </w:rPr>
              <w:t>豫光金铅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9ACE7C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采纳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5A81356">
            <w:pP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</w:tr>
      <w:tr w14:paraId="6A5681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righ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7C60355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20</w:t>
            </w:r>
          </w:p>
        </w:tc>
        <w:tc>
          <w:tcPr>
            <w:tcW w:w="2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5A44AD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5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9800822">
            <w:pPr>
              <w:spacing w:line="240" w:lineRule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858F998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河南中原黄金冶炼厂有限责任公司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B719B9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83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ACB5365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回函无意见的单位</w:t>
            </w:r>
          </w:p>
        </w:tc>
      </w:tr>
      <w:tr w14:paraId="23D37F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righ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05FB76D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21</w:t>
            </w:r>
          </w:p>
        </w:tc>
        <w:tc>
          <w:tcPr>
            <w:tcW w:w="2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727AAF7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5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89EDD74">
            <w:pPr>
              <w:spacing w:line="240" w:lineRule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FEAB8FD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紫金矿业集团股份有限公司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BBDF67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8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75F22E8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</w:tr>
      <w:tr w14:paraId="44B42E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righ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97C2213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22</w:t>
            </w:r>
          </w:p>
        </w:tc>
        <w:tc>
          <w:tcPr>
            <w:tcW w:w="2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77DA3E3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5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7B7AB30">
            <w:pPr>
              <w:spacing w:line="240" w:lineRule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A208287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阳谷祥光铜业有限公司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848558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8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2AB1541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</w:tr>
      <w:tr w14:paraId="24FDFD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righ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3ECAD44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23</w:t>
            </w:r>
          </w:p>
        </w:tc>
        <w:tc>
          <w:tcPr>
            <w:tcW w:w="2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4308026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5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64BDB50">
            <w:pPr>
              <w:spacing w:line="240" w:lineRule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32B1BBE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阳新弘盛铜业有限公司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C2ECC4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8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9F91678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</w:tr>
      <w:tr w14:paraId="5547DD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righ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7C23FFE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24</w:t>
            </w:r>
          </w:p>
        </w:tc>
        <w:tc>
          <w:tcPr>
            <w:tcW w:w="2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EA86D84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5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5857659">
            <w:pPr>
              <w:spacing w:line="240" w:lineRule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910F7A0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五矿铜业（湖南）有限公司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4E3ED8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8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D303387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</w:tr>
      <w:tr w14:paraId="03E45E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righ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D4F0C9B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25</w:t>
            </w:r>
          </w:p>
        </w:tc>
        <w:tc>
          <w:tcPr>
            <w:tcW w:w="2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CEDC4EA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5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E436553">
            <w:pPr>
              <w:spacing w:line="240" w:lineRule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4EF0B36">
            <w:pPr>
              <w:widowControl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葫芦岛锌业股份有限公司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04A62C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83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A784925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</w:pPr>
          </w:p>
        </w:tc>
      </w:tr>
      <w:tr w14:paraId="7C8C7D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atLeast"/>
          <w:jc w:val="right"/>
        </w:trPr>
        <w:tc>
          <w:tcPr>
            <w:tcW w:w="141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6C2B56B2">
            <w:pPr>
              <w:widowControl/>
              <w:jc w:val="left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说明</w:t>
            </w:r>
            <w:r>
              <w:rPr>
                <w:rStyle w:val="12"/>
                <w:rFonts w:ascii="宋体" w:hAnsi="宋体" w:cs="宋体"/>
                <w:color w:val="auto"/>
                <w:lang w:bidi="ar"/>
              </w:rPr>
              <w:t>:                                                                                                                                                                                                                                                              (1)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发送《征求意见稿》的单位个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bidi="ar"/>
              </w:rPr>
              <w:t>数</w:t>
            </w:r>
            <w:r>
              <w:rPr>
                <w:rStyle w:val="12"/>
                <w:rFonts w:ascii="宋体" w:hAnsi="宋体" w:cs="宋体"/>
                <w:color w:val="auto"/>
                <w:highlight w:val="none"/>
                <w:lang w:bidi="ar"/>
              </w:rPr>
              <w:t xml:space="preserve">: </w:t>
            </w:r>
            <w:r>
              <w:rPr>
                <w:rStyle w:val="12"/>
                <w:rFonts w:hint="eastAsia" w:ascii="宋体" w:hAnsi="宋体" w:cs="宋体"/>
                <w:color w:val="auto"/>
                <w:highlight w:val="none"/>
                <w:lang w:val="en-US" w:eastAsia="zh-CN" w:bidi="ar"/>
              </w:rPr>
              <w:t>12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bidi="ar"/>
              </w:rPr>
              <w:t xml:space="preserve">个。                                                                                                               (2)收到《征求意见稿》后,回函的单位数: 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 w:bidi="ar"/>
              </w:rPr>
              <w:t>12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bidi="ar"/>
              </w:rPr>
              <w:t>个。                                                                                                               (3)收到《征求意见稿》后,回函并有建议或意见的单位数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 w:bidi="ar"/>
              </w:rPr>
              <w:t>6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bidi="ar"/>
              </w:rPr>
              <w:t>个。                                                                                                             (4)没有回函的单位数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 w:bidi="ar"/>
              </w:rPr>
              <w:t>0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bidi="ar"/>
              </w:rPr>
              <w:t>个。</w:t>
            </w:r>
          </w:p>
        </w:tc>
      </w:tr>
    </w:tbl>
    <w:p w14:paraId="51EFB3F7"/>
    <w:sectPr>
      <w:footerReference r:id="rId3" w:type="default"/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47A693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9F0A58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E9F0A58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EA2025"/>
    <w:multiLevelType w:val="multilevel"/>
    <w:tmpl w:val="6CEA2025"/>
    <w:lvl w:ilvl="0" w:tentative="0">
      <w:start w:val="1"/>
      <w:numFmt w:val="none"/>
      <w:suff w:val="nothing"/>
      <w:lvlText w:val="%1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pStyle w:val="14"/>
      <w:suff w:val="nothing"/>
      <w:lvlText w:val="%1%2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2" w:tentative="0">
      <w:start w:val="1"/>
      <w:numFmt w:val="decimal"/>
      <w:pStyle w:val="13"/>
      <w:suff w:val="nothing"/>
      <w:lvlText w:val="%1%2.%3　"/>
      <w:lvlJc w:val="left"/>
      <w:pPr>
        <w:ind w:left="0" w:firstLine="0"/>
      </w:pPr>
      <w:rPr>
        <w:rFonts w:hint="eastAsia" w:ascii="黑体" w:hAnsi="Times New Roman" w:eastAsia="黑体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1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  <w14:cntxtalts w14:val="0"/>
      </w:rPr>
    </w:lvl>
    <w:lvl w:ilvl="3" w:tentative="0">
      <w:start w:val="1"/>
      <w:numFmt w:val="decimal"/>
      <w:suff w:val="nothing"/>
      <w:lvlText w:val="%1%2.%3.%4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%2.%3.%4.%5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1">
    <w:nsid w:val="6DBF04F4"/>
    <w:multiLevelType w:val="multilevel"/>
    <w:tmpl w:val="6DBF04F4"/>
    <w:lvl w:ilvl="0" w:tentative="0">
      <w:start w:val="1"/>
      <w:numFmt w:val="none"/>
      <w:pStyle w:val="16"/>
      <w:lvlText w:val="%1注："/>
      <w:lvlJc w:val="left"/>
      <w:pPr>
        <w:ind w:left="737" w:hanging="374"/>
      </w:pPr>
      <w:rPr>
        <w:rFonts w:hint="eastAsia" w:ascii="黑体" w:eastAsia="黑体"/>
        <w:b w:val="0"/>
        <w:i w:val="0"/>
        <w:sz w:val="18"/>
      </w:rPr>
    </w:lvl>
    <w:lvl w:ilvl="1" w:tentative="0">
      <w:start w:val="1"/>
      <w:numFmt w:val="lowerLetter"/>
      <w:lvlText w:val="%2)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140"/>
        </w:tabs>
        <w:ind w:left="726" w:hanging="363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1140"/>
        </w:tabs>
        <w:ind w:left="726" w:hanging="363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1140"/>
        </w:tabs>
        <w:ind w:left="726" w:hanging="363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9C7E96"/>
    <w:rsid w:val="015766FA"/>
    <w:rsid w:val="05ED78B5"/>
    <w:rsid w:val="13E47976"/>
    <w:rsid w:val="13FD7AD9"/>
    <w:rsid w:val="1FF87577"/>
    <w:rsid w:val="253B139F"/>
    <w:rsid w:val="28325FD0"/>
    <w:rsid w:val="288659BE"/>
    <w:rsid w:val="29521E72"/>
    <w:rsid w:val="2ADB14E0"/>
    <w:rsid w:val="2EC6604A"/>
    <w:rsid w:val="32406960"/>
    <w:rsid w:val="39BC1C7B"/>
    <w:rsid w:val="408737AA"/>
    <w:rsid w:val="45F35DA4"/>
    <w:rsid w:val="49456EB5"/>
    <w:rsid w:val="49F2129D"/>
    <w:rsid w:val="4A505C31"/>
    <w:rsid w:val="4ED84102"/>
    <w:rsid w:val="54D648BB"/>
    <w:rsid w:val="56B17593"/>
    <w:rsid w:val="59180B0D"/>
    <w:rsid w:val="5E0A1E55"/>
    <w:rsid w:val="612E272A"/>
    <w:rsid w:val="64EA656E"/>
    <w:rsid w:val="66177CE7"/>
    <w:rsid w:val="6D846BD4"/>
    <w:rsid w:val="71955D64"/>
    <w:rsid w:val="726A3893"/>
    <w:rsid w:val="754B42F4"/>
    <w:rsid w:val="779C7E96"/>
    <w:rsid w:val="78A06277"/>
    <w:rsid w:val="78A65510"/>
    <w:rsid w:val="7A9935C9"/>
    <w:rsid w:val="7E5E55CE"/>
    <w:rsid w:val="7F6B4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00" w:beforeLines="100" w:beforeAutospacing="0" w:after="100" w:afterLines="100" w:afterAutospacing="0" w:line="240" w:lineRule="auto"/>
      <w:outlineLvl w:val="0"/>
    </w:pPr>
    <w:rPr>
      <w:rFonts w:ascii="Calibri" w:hAnsi="Calibri" w:eastAsia="黑体"/>
      <w:b/>
      <w:kern w:val="4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ind w:firstLine="359" w:firstLineChars="171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9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character" w:customStyle="1" w:styleId="10">
    <w:name w:val="font9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1">
    <w:name w:val="font10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  <w:vertAlign w:val="superscript"/>
    </w:rPr>
  </w:style>
  <w:style w:type="character" w:customStyle="1" w:styleId="12">
    <w:name w:val="font112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paragraph" w:customStyle="1" w:styleId="13">
    <w:name w:val="标准文件_一级条标题"/>
    <w:basedOn w:val="14"/>
    <w:next w:val="15"/>
    <w:qFormat/>
    <w:uiPriority w:val="0"/>
    <w:pPr>
      <w:numPr>
        <w:ilvl w:val="2"/>
      </w:numPr>
      <w:spacing w:before="50" w:beforeLines="50" w:after="50" w:afterLines="50"/>
      <w:outlineLvl w:val="1"/>
    </w:pPr>
  </w:style>
  <w:style w:type="paragraph" w:customStyle="1" w:styleId="14">
    <w:name w:val="标准文件_章标题"/>
    <w:next w:val="15"/>
    <w:qFormat/>
    <w:uiPriority w:val="0"/>
    <w:pPr>
      <w:numPr>
        <w:ilvl w:val="1"/>
        <w:numId w:val="1"/>
      </w:numPr>
      <w:spacing w:before="100" w:beforeLines="100" w:after="100" w:afterLines="100"/>
      <w:jc w:val="both"/>
      <w:outlineLvl w:val="0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15">
    <w:name w:val="标准文件_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6">
    <w:name w:val="标准文件_注："/>
    <w:next w:val="15"/>
    <w:qFormat/>
    <w:uiPriority w:val="0"/>
    <w:pPr>
      <w:widowControl w:val="0"/>
      <w:numPr>
        <w:ilvl w:val="0"/>
        <w:numId w:val="2"/>
      </w:numPr>
      <w:autoSpaceDE w:val="0"/>
      <w:autoSpaceDN w:val="0"/>
      <w:jc w:val="both"/>
    </w:pPr>
    <w:rPr>
      <w:rFonts w:ascii="宋体" w:hAnsi="Times New Roman" w:eastAsia="宋体" w:cs="Times New Roman"/>
      <w:sz w:val="18"/>
      <w:szCs w:val="18"/>
      <w:lang w:val="en-US" w:eastAsia="zh-CN" w:bidi="ar-SA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1834</Words>
  <Characters>2074</Characters>
  <Lines>0</Lines>
  <Paragraphs>0</Paragraphs>
  <TotalTime>0</TotalTime>
  <ScaleCrop>false</ScaleCrop>
  <LinksUpToDate>false</LinksUpToDate>
  <CharactersWithSpaces>2872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2025-02-28T01:09:00Z</dcterms:created>
  <dc:creator>123</dc:creator>
  <cp:lastModifiedBy>樊赣湘</cp:lastModifiedBy>
  <dcterms:modified xsi:type="dcterms:W3CDTF">2025-08-11T05:35:26Z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5A9384EC788848E89ADB4D9115412449_13</vt:lpwstr>
  </property>
  <property fmtid="{D5CDD505-2E9C-101B-9397-08002B2CF9AE}" pid="4" name="KSOTemplateDocerSaveRecord">
    <vt:lpwstr>eyJoZGlkIjoiNzMwZjZjOGExNTFiZDQ2NzU1YjliNDMxOTIwYmY5N2UiLCJ1c2VySWQiOiIxNDkzNzg0NzAzIn0=</vt:lpwstr>
  </property>
</Properties>
</file>