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C2828">
      <w:pPr>
        <w:pStyle w:val="7"/>
        <w:jc w:val="center"/>
        <w:rPr>
          <w:rFonts w:ascii="黑体" w:hAnsi="黑体" w:eastAsia="黑体" w:cs="黑体"/>
          <w:b/>
          <w:bCs/>
          <w:sz w:val="44"/>
          <w:szCs w:val="44"/>
        </w:rPr>
      </w:pPr>
      <w:bookmarkStart w:id="44" w:name="_GoBack"/>
      <w:bookmarkEnd w:id="44"/>
      <w:bookmarkStart w:id="0" w:name="_Toc3598"/>
      <w:bookmarkStart w:id="1" w:name="_Toc21425"/>
    </w:p>
    <w:p w14:paraId="1DCE5214">
      <w:pPr>
        <w:pStyle w:val="7"/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 w14:paraId="537C74CB">
      <w:pPr>
        <w:pStyle w:val="7"/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 w14:paraId="2BE8A71C">
      <w:pPr>
        <w:pStyle w:val="7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ascii="黑体" w:hAnsi="黑体" w:eastAsia="黑体" w:cs="黑体"/>
          <w:b/>
          <w:bCs/>
          <w:sz w:val="44"/>
          <w:szCs w:val="44"/>
        </w:rPr>
        <w:t>湿法冶金用防腐复合板</w:t>
      </w:r>
      <w:bookmarkEnd w:id="0"/>
      <w:bookmarkEnd w:id="1"/>
    </w:p>
    <w:p w14:paraId="2BB4FE38">
      <w:pPr>
        <w:pStyle w:val="7"/>
        <w:kinsoku w:val="0"/>
        <w:overflowPunct w:val="0"/>
        <w:jc w:val="center"/>
        <w:rPr>
          <w:rFonts w:hint="default" w:ascii="黑体" w:eastAsia="黑体" w:cs="黑体"/>
          <w:b/>
          <w:bCs/>
          <w:sz w:val="44"/>
          <w:szCs w:val="44"/>
        </w:rPr>
      </w:pPr>
    </w:p>
    <w:p w14:paraId="1EF1A888">
      <w:pPr>
        <w:jc w:val="center"/>
        <w:rPr>
          <w:rFonts w:ascii="黑体" w:hAnsi="黑体" w:eastAsia="黑体" w:cs="黑体"/>
          <w:sz w:val="32"/>
          <w:szCs w:val="32"/>
        </w:rPr>
      </w:pPr>
      <w:bookmarkStart w:id="2" w:name="_Toc5350"/>
      <w:bookmarkStart w:id="3" w:name="_Toc9276"/>
      <w:r>
        <w:rPr>
          <w:rFonts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送审稿</w:t>
      </w:r>
      <w:r>
        <w:rPr>
          <w:rFonts w:ascii="黑体" w:hAnsi="黑体" w:eastAsia="黑体" w:cs="黑体"/>
          <w:sz w:val="32"/>
          <w:szCs w:val="32"/>
        </w:rPr>
        <w:t>）</w:t>
      </w:r>
      <w:bookmarkEnd w:id="2"/>
      <w:bookmarkEnd w:id="3"/>
    </w:p>
    <w:p w14:paraId="2F3D24A1">
      <w:pPr>
        <w:pStyle w:val="7"/>
        <w:kinsoku w:val="0"/>
        <w:overflowPunct w:val="0"/>
        <w:jc w:val="center"/>
        <w:rPr>
          <w:rFonts w:hint="default" w:ascii="黑体" w:eastAsia="黑体" w:cs="黑体"/>
          <w:b/>
          <w:bCs/>
          <w:sz w:val="44"/>
          <w:szCs w:val="44"/>
        </w:rPr>
      </w:pPr>
    </w:p>
    <w:p w14:paraId="6AD158FE">
      <w:pPr>
        <w:pStyle w:val="7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z w:val="44"/>
          <w:szCs w:val="44"/>
        </w:rPr>
        <w:t>编制说明</w:t>
      </w:r>
    </w:p>
    <w:p w14:paraId="3547EA24">
      <w:pPr>
        <w:pStyle w:val="5"/>
        <w:rPr>
          <w:rFonts w:hint="default"/>
        </w:rPr>
      </w:pPr>
    </w:p>
    <w:p w14:paraId="61F8F642">
      <w:pPr>
        <w:pStyle w:val="5"/>
        <w:rPr>
          <w:rFonts w:hint="default"/>
        </w:rPr>
      </w:pPr>
    </w:p>
    <w:p w14:paraId="45A660EA">
      <w:pPr>
        <w:pStyle w:val="5"/>
        <w:rPr>
          <w:rFonts w:hint="default"/>
        </w:rPr>
      </w:pPr>
    </w:p>
    <w:p w14:paraId="06C806FA">
      <w:pPr>
        <w:pStyle w:val="5"/>
        <w:rPr>
          <w:rFonts w:hint="default"/>
        </w:rPr>
      </w:pPr>
    </w:p>
    <w:p w14:paraId="1B3ABCAD">
      <w:pPr>
        <w:pStyle w:val="5"/>
        <w:rPr>
          <w:rFonts w:hint="default"/>
        </w:rPr>
      </w:pPr>
    </w:p>
    <w:p w14:paraId="436A3D5A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064E7171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60DCAAA1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7A61A174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392D63C0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79DB8B31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123CD0BE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60D977D6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6B6127C8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3E9E4673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48417D16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2AA4D71C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2F15B2E6">
      <w:pPr>
        <w:pStyle w:val="7"/>
        <w:kinsoku w:val="0"/>
        <w:overflowPunct w:val="0"/>
        <w:rPr>
          <w:rFonts w:hint="default"/>
          <w:b/>
          <w:sz w:val="20"/>
          <w:szCs w:val="20"/>
        </w:rPr>
      </w:pPr>
    </w:p>
    <w:p w14:paraId="6E5413D3">
      <w:pPr>
        <w:pStyle w:val="7"/>
        <w:rPr>
          <w:rFonts w:hint="default"/>
        </w:rPr>
      </w:pPr>
    </w:p>
    <w:p w14:paraId="08BB3AF9">
      <w:pPr>
        <w:pStyle w:val="7"/>
        <w:spacing w:line="360" w:lineRule="auto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江西铜业技术研究院有限公司</w:t>
      </w:r>
    </w:p>
    <w:p w14:paraId="2F44EF67">
      <w:pPr>
        <w:pStyle w:val="7"/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2025年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</w:t>
      </w:r>
      <w:r>
        <w:rPr>
          <w:rFonts w:ascii="黑体" w:hAnsi="黑体" w:eastAsia="黑体" w:cs="黑体"/>
          <w:sz w:val="28"/>
          <w:szCs w:val="28"/>
        </w:rPr>
        <w:t>月</w:t>
      </w:r>
    </w:p>
    <w:p w14:paraId="0571CE89">
      <w:pPr>
        <w:rPr>
          <w:rFonts w:hint="default"/>
        </w:rPr>
      </w:pPr>
    </w:p>
    <w:p w14:paraId="10C59C44">
      <w:pPr>
        <w:rPr>
          <w:rFonts w:hint="default"/>
        </w:rPr>
      </w:pPr>
    </w:p>
    <w:p w14:paraId="3E7A0255">
      <w:pPr>
        <w:rPr>
          <w:rFonts w:hint="default"/>
        </w:rPr>
      </w:pPr>
    </w:p>
    <w:p w14:paraId="2FDD4D01">
      <w:pPr>
        <w:rPr>
          <w:rFonts w:hint="default"/>
        </w:rPr>
      </w:pPr>
    </w:p>
    <w:p w14:paraId="5F9607A8">
      <w:pPr>
        <w:pStyle w:val="7"/>
        <w:kinsoku w:val="0"/>
        <w:overflowPunct w:val="0"/>
        <w:spacing w:before="73" w:line="405" w:lineRule="auto"/>
        <w:ind w:right="1755"/>
        <w:jc w:val="both"/>
        <w:rPr>
          <w:rFonts w:hint="default" w:ascii="黑体" w:eastAsia="黑体" w:cs="黑体"/>
          <w:sz w:val="44"/>
          <w:szCs w:val="44"/>
        </w:rPr>
      </w:pPr>
    </w:p>
    <w:p w14:paraId="4BCF0A30">
      <w:pPr>
        <w:pStyle w:val="5"/>
        <w:rPr>
          <w:rFonts w:hint="default"/>
        </w:rPr>
      </w:pPr>
    </w:p>
    <w:p w14:paraId="6FDDE40B">
      <w:pPr>
        <w:pStyle w:val="5"/>
        <w:rPr>
          <w:rFonts w:hint="default"/>
        </w:rPr>
      </w:pPr>
    </w:p>
    <w:p w14:paraId="2463E892">
      <w:pPr>
        <w:pStyle w:val="5"/>
        <w:rPr>
          <w:rFonts w:hint="default"/>
        </w:rPr>
      </w:pPr>
    </w:p>
    <w:p w14:paraId="71CCC810">
      <w:pPr>
        <w:pStyle w:val="7"/>
        <w:kinsoku w:val="0"/>
        <w:overflowPunct w:val="0"/>
        <w:spacing w:before="143"/>
        <w:ind w:right="216"/>
        <w:jc w:val="center"/>
        <w:rPr>
          <w:rFonts w:hint="default" w:ascii="黑体" w:eastAsia="黑体" w:cs="黑体"/>
          <w:spacing w:val="-34"/>
          <w:sz w:val="28"/>
          <w:szCs w:val="28"/>
        </w:rPr>
        <w:sectPr>
          <w:pgSz w:w="11910" w:h="16840"/>
          <w:pgMar w:top="1460" w:right="1845" w:bottom="280" w:left="2127" w:header="720" w:footer="720" w:gutter="0"/>
          <w:cols w:space="720" w:num="1"/>
        </w:sectPr>
      </w:pPr>
    </w:p>
    <w:p w14:paraId="4CA14C70">
      <w:pPr>
        <w:pStyle w:val="10"/>
        <w:tabs>
          <w:tab w:val="right" w:leader="dot" w:pos="9410"/>
        </w:tabs>
        <w:jc w:val="center"/>
        <w:rPr>
          <w:rFonts w:hint="default" w:ascii="Times New Roman" w:eastAsia="黑体" w:cs="Times New Roman"/>
          <w:sz w:val="28"/>
          <w:szCs w:val="28"/>
        </w:rPr>
      </w:pPr>
      <w:r>
        <w:rPr>
          <w:rFonts w:ascii="Times New Roman" w:eastAsia="黑体" w:cs="Times New Roman"/>
          <w:sz w:val="28"/>
          <w:szCs w:val="28"/>
        </w:rPr>
        <w:t>目  录</w:t>
      </w:r>
    </w:p>
    <w:p w14:paraId="0A23362C">
      <w:pPr>
        <w:rPr>
          <w:rFonts w:hint="default"/>
        </w:rPr>
      </w:pPr>
    </w:p>
    <w:p w14:paraId="50D3AA4C">
      <w:pPr>
        <w:rPr>
          <w:rFonts w:hint="default"/>
        </w:rPr>
      </w:pPr>
    </w:p>
    <w:p w14:paraId="7BB2E24C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rPr>
          <w:rFonts w:hint="default" w:ascii="Times New Roman" w:eastAsia="黑体" w:cs="Times New Roman"/>
          <w:sz w:val="20"/>
          <w:szCs w:val="20"/>
        </w:rPr>
        <w:fldChar w:fldCharType="begin"/>
      </w:r>
      <w:r>
        <w:rPr>
          <w:rFonts w:hint="default" w:ascii="Times New Roman" w:eastAsia="黑体" w:cs="Times New Roman"/>
          <w:sz w:val="20"/>
          <w:szCs w:val="20"/>
        </w:rPr>
        <w:instrText xml:space="preserve">TOC \o "1-3" \h \u </w:instrText>
      </w:r>
      <w:r>
        <w:rPr>
          <w:rFonts w:hint="default" w:ascii="Times New Roman" w:eastAsia="黑体" w:cs="Times New Roman"/>
          <w:sz w:val="20"/>
          <w:szCs w:val="20"/>
        </w:rPr>
        <w:fldChar w:fldCharType="separate"/>
      </w:r>
      <w:r>
        <w:fldChar w:fldCharType="begin"/>
      </w:r>
      <w:r>
        <w:instrText xml:space="preserve"> HYPERLINK \l "_Toc2461"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一、工作简况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hint="default" w:ascii="Times New Roman" w:eastAsia="黑体" w:cs="Times New Roman"/>
          <w:sz w:val="20"/>
          <w:szCs w:val="20"/>
        </w:rPr>
        <w:fldChar w:fldCharType="begin"/>
      </w:r>
      <w:r>
        <w:rPr>
          <w:rFonts w:hint="default" w:ascii="Times New Roman" w:eastAsia="黑体" w:cs="Times New Roman"/>
          <w:sz w:val="20"/>
          <w:szCs w:val="20"/>
        </w:rPr>
        <w:instrText xml:space="preserve"> PAGEREF _Toc2461 \h </w:instrText>
      </w:r>
      <w:r>
        <w:rPr>
          <w:rFonts w:hint="default" w:ascii="Times New Roman" w:eastAsia="黑体" w:cs="Times New Roman"/>
          <w:sz w:val="20"/>
          <w:szCs w:val="20"/>
        </w:rP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1</w:t>
      </w:r>
      <w:r>
        <w:rPr>
          <w:rFonts w:hint="default" w:ascii="Times New Roman" w:eastAsia="黑体" w:cs="Times New Roman"/>
          <w:sz w:val="20"/>
          <w:szCs w:val="20"/>
        </w:rPr>
        <w:fldChar w:fldCharType="end"/>
      </w:r>
      <w:r>
        <w:rPr>
          <w:rFonts w:hint="default" w:ascii="Times New Roman" w:eastAsia="黑体" w:cs="Times New Roman"/>
          <w:sz w:val="20"/>
          <w:szCs w:val="20"/>
        </w:rPr>
        <w:fldChar w:fldCharType="end"/>
      </w:r>
    </w:p>
    <w:p w14:paraId="6E7FD834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"_Toc12535"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（一）</w:t>
      </w:r>
      <w:r>
        <w:rPr>
          <w:rFonts w:ascii="Times New Roman" w:eastAsia="黑体" w:cs="Times New Roman"/>
          <w:sz w:val="20"/>
          <w:szCs w:val="20"/>
        </w:rPr>
        <w:t>任务来源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hint="default" w:ascii="Times New Roman" w:eastAsia="黑体" w:cs="Times New Roman"/>
          <w:sz w:val="20"/>
          <w:szCs w:val="20"/>
        </w:rPr>
        <w:fldChar w:fldCharType="begin"/>
      </w:r>
      <w:r>
        <w:rPr>
          <w:rFonts w:hint="default" w:ascii="Times New Roman" w:eastAsia="黑体" w:cs="Times New Roman"/>
          <w:sz w:val="20"/>
          <w:szCs w:val="20"/>
        </w:rPr>
        <w:instrText xml:space="preserve"> PAGEREF _Toc12535 \h </w:instrText>
      </w:r>
      <w:r>
        <w:rPr>
          <w:rFonts w:hint="default" w:ascii="Times New Roman" w:eastAsia="黑体" w:cs="Times New Roman"/>
          <w:sz w:val="20"/>
          <w:szCs w:val="20"/>
        </w:rP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1</w:t>
      </w:r>
      <w:r>
        <w:rPr>
          <w:rFonts w:hint="default" w:ascii="Times New Roman" w:eastAsia="黑体" w:cs="Times New Roman"/>
          <w:sz w:val="20"/>
          <w:szCs w:val="20"/>
        </w:rPr>
        <w:fldChar w:fldCharType="end"/>
      </w:r>
      <w:r>
        <w:rPr>
          <w:rFonts w:hint="default" w:ascii="Times New Roman" w:eastAsia="黑体" w:cs="Times New Roman"/>
          <w:sz w:val="20"/>
          <w:szCs w:val="20"/>
        </w:rPr>
        <w:fldChar w:fldCharType="end"/>
      </w:r>
    </w:p>
    <w:p w14:paraId="44700B97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"_Toc1721"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（二）</w:t>
      </w:r>
      <w:r>
        <w:rPr>
          <w:rFonts w:ascii="黑体" w:hAnsi="黑体" w:eastAsia="黑体" w:cs="黑体"/>
          <w:kern w:val="2"/>
          <w:sz w:val="21"/>
        </w:rPr>
        <w:t>主要参加单位和工作成员及其所作的工作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hint="default" w:ascii="Times New Roman" w:eastAsia="黑体" w:cs="Times New Roman"/>
          <w:sz w:val="20"/>
          <w:szCs w:val="20"/>
        </w:rPr>
        <w:fldChar w:fldCharType="begin"/>
      </w:r>
      <w:r>
        <w:rPr>
          <w:rFonts w:hint="default" w:ascii="Times New Roman" w:eastAsia="黑体" w:cs="Times New Roman"/>
          <w:sz w:val="20"/>
          <w:szCs w:val="20"/>
        </w:rPr>
        <w:instrText xml:space="preserve"> PAGEREF _Toc1721 \h </w:instrText>
      </w:r>
      <w:r>
        <w:rPr>
          <w:rFonts w:hint="default" w:ascii="Times New Roman" w:eastAsia="黑体" w:cs="Times New Roman"/>
          <w:sz w:val="20"/>
          <w:szCs w:val="20"/>
        </w:rP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1</w:t>
      </w:r>
      <w:r>
        <w:rPr>
          <w:rFonts w:hint="default" w:ascii="Times New Roman" w:eastAsia="黑体" w:cs="Times New Roman"/>
          <w:sz w:val="20"/>
          <w:szCs w:val="20"/>
        </w:rPr>
        <w:fldChar w:fldCharType="end"/>
      </w:r>
      <w:r>
        <w:rPr>
          <w:rFonts w:hint="default" w:ascii="Times New Roman" w:eastAsia="黑体" w:cs="Times New Roman"/>
          <w:sz w:val="20"/>
          <w:szCs w:val="20"/>
        </w:rPr>
        <w:fldChar w:fldCharType="end"/>
      </w:r>
    </w:p>
    <w:p w14:paraId="77E08558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"_Toc31793"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（三）</w:t>
      </w:r>
      <w:r>
        <w:rPr>
          <w:rFonts w:hint="default" w:ascii="黑体" w:hAnsi="黑体" w:eastAsia="黑体" w:cs="黑体"/>
          <w:kern w:val="2"/>
          <w:sz w:val="21"/>
        </w:rPr>
        <w:t>主要工作过程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2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78262D56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"_Toc4247"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二、</w:t>
      </w:r>
      <w:r>
        <w:rPr>
          <w:rFonts w:ascii="Times New Roman" w:eastAsia="黑体" w:cs="Times New Roman"/>
          <w:sz w:val="20"/>
          <w:szCs w:val="20"/>
        </w:rPr>
        <w:t>标准</w:t>
      </w:r>
      <w:r>
        <w:rPr>
          <w:rFonts w:hint="default" w:ascii="Times New Roman" w:eastAsia="黑体" w:cs="Times New Roman"/>
          <w:sz w:val="20"/>
          <w:szCs w:val="20"/>
        </w:rPr>
        <w:t>编制原则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3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6D237D93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"_Toc31510"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三、</w:t>
      </w:r>
      <w:r>
        <w:rPr>
          <w:rFonts w:ascii="Times New Roman" w:eastAsia="黑体" w:cs="Times New Roman"/>
          <w:sz w:val="20"/>
          <w:szCs w:val="20"/>
        </w:rPr>
        <w:t>标准主要内容的确定依据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4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02299B8C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"_Toc9197" </w:instrText>
      </w:r>
      <w:r>
        <w:fldChar w:fldCharType="separate"/>
      </w:r>
      <w:r>
        <w:rPr>
          <w:rFonts w:ascii="Times New Roman" w:eastAsia="黑体" w:cs="Times New Roman"/>
          <w:sz w:val="20"/>
          <w:szCs w:val="20"/>
        </w:rPr>
        <w:t>（一）</w:t>
      </w:r>
      <w:r>
        <w:rPr>
          <w:rFonts w:ascii="Times New Roman" w:eastAsia="黑体" w:cs="Times New Roman"/>
          <w:bCs/>
          <w:sz w:val="21"/>
          <w:szCs w:val="21"/>
        </w:rPr>
        <w:t>物理化学性能等级确定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4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0632F32B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"_Toc26525" </w:instrText>
      </w:r>
      <w:r>
        <w:fldChar w:fldCharType="separate"/>
      </w:r>
      <w:r>
        <w:rPr>
          <w:rFonts w:ascii="Times New Roman" w:eastAsia="黑体" w:cs="Times New Roman"/>
          <w:sz w:val="20"/>
          <w:szCs w:val="20"/>
        </w:rPr>
        <w:t>（二）</w:t>
      </w:r>
      <w:r>
        <w:rPr>
          <w:rFonts w:ascii="Times New Roman" w:eastAsia="黑体" w:cs="Times New Roman"/>
          <w:bCs/>
          <w:sz w:val="21"/>
          <w:szCs w:val="21"/>
        </w:rPr>
        <w:t>尺寸及翘曲度偏差确定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4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7C64B117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"_Toc15459" </w:instrText>
      </w:r>
      <w:r>
        <w:fldChar w:fldCharType="separate"/>
      </w:r>
      <w:r>
        <w:rPr>
          <w:rFonts w:ascii="Times New Roman" w:eastAsia="黑体" w:cs="Times New Roman"/>
          <w:sz w:val="20"/>
          <w:szCs w:val="20"/>
        </w:rPr>
        <w:t>（三）</w:t>
      </w:r>
      <w:r>
        <w:rPr>
          <w:rFonts w:ascii="Times New Roman" w:eastAsia="黑体" w:cs="Times New Roman"/>
          <w:bCs/>
          <w:sz w:val="21"/>
          <w:szCs w:val="21"/>
        </w:rPr>
        <w:t>物化性能测试方法确定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5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1B7B497C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"_Toc21778"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四、与现行法律、法规、强制性国家标准及相关标准协调配套情况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6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717C0F7F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"_Toc24185"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（一）现有政策法规与新制定标准的关系分析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6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0940DDC0">
      <w:pPr>
        <w:pStyle w:val="11"/>
        <w:tabs>
          <w:tab w:val="right" w:leader="dot" w:pos="9410"/>
        </w:tabs>
        <w:ind w:left="440"/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"_Toc23500"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（二）现有标准与新制定标准的关系分析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6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04E79269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"_Toc15468"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五、预期的经济效益、社会效益和生态效益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6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1373C6F7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"_Toc24881"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六、重大分歧意见的处理过程、处理意见及其依据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hint="default" w:ascii="Times New Roman" w:eastAsia="黑体" w:cs="Times New Roman"/>
          <w:sz w:val="20"/>
          <w:szCs w:val="20"/>
        </w:rPr>
        <w:fldChar w:fldCharType="end"/>
      </w:r>
      <w:r>
        <w:rPr>
          <w:rFonts w:ascii="Times New Roman" w:eastAsia="黑体" w:cs="Times New Roman"/>
          <w:sz w:val="20"/>
          <w:szCs w:val="20"/>
        </w:rPr>
        <w:t>7</w:t>
      </w:r>
    </w:p>
    <w:p w14:paraId="1DC79CF7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"_Toc28070"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七、实施强制性国家标准有关的政策措施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7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6D800AB9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"_Toc11242"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八、是否需要对外通报的建议及理由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7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423FB2D8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"_Toc2660"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九、废止现行有关标准的建议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7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4E0CCF1C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"_Toc5780"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十、涉及专利的有关说明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7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335C24E7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"_Toc24796"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十一、强制性国家标准所涉及的产品、过程或者服务目录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7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4BDC8CC8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"_Toc17517"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十二、贯彻标准的要求和措施建议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7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3BF2F32A">
      <w:pPr>
        <w:pStyle w:val="10"/>
        <w:tabs>
          <w:tab w:val="right" w:leader="dot" w:pos="9410"/>
        </w:tabs>
        <w:rPr>
          <w:rFonts w:hint="default" w:ascii="Times New Roman" w:eastAsia="黑体" w:cs="Times New Roman"/>
          <w:sz w:val="20"/>
          <w:szCs w:val="20"/>
        </w:rPr>
      </w:pPr>
      <w:r>
        <w:fldChar w:fldCharType="begin"/>
      </w:r>
      <w:r>
        <w:instrText xml:space="preserve"> HYPERLINK \l "_Toc26025" </w:instrText>
      </w:r>
      <w:r>
        <w:fldChar w:fldCharType="separate"/>
      </w:r>
      <w:r>
        <w:rPr>
          <w:rFonts w:hint="default" w:ascii="Times New Roman" w:eastAsia="黑体" w:cs="Times New Roman"/>
          <w:sz w:val="20"/>
          <w:szCs w:val="20"/>
        </w:rPr>
        <w:t>十三、其他应当予以说明的事项</w:t>
      </w:r>
      <w:r>
        <w:rPr>
          <w:rFonts w:hint="default" w:ascii="Times New Roman" w:eastAsia="黑体" w:cs="Times New Roman"/>
          <w:sz w:val="20"/>
          <w:szCs w:val="20"/>
        </w:rPr>
        <w:tab/>
      </w:r>
      <w:r>
        <w:rPr>
          <w:rFonts w:ascii="Times New Roman" w:eastAsia="黑体" w:cs="Times New Roman"/>
          <w:sz w:val="20"/>
          <w:szCs w:val="20"/>
        </w:rPr>
        <w:t>7</w:t>
      </w:r>
      <w:r>
        <w:rPr>
          <w:rFonts w:ascii="Times New Roman" w:eastAsia="黑体" w:cs="Times New Roman"/>
          <w:sz w:val="20"/>
          <w:szCs w:val="20"/>
        </w:rPr>
        <w:fldChar w:fldCharType="end"/>
      </w:r>
    </w:p>
    <w:p w14:paraId="4FDC5297">
      <w:pPr>
        <w:pStyle w:val="7"/>
        <w:tabs>
          <w:tab w:val="right" w:leader="dot" w:pos="9046"/>
        </w:tabs>
        <w:kinsoku w:val="0"/>
        <w:overflowPunct w:val="0"/>
        <w:spacing w:before="277"/>
        <w:rPr>
          <w:rFonts w:ascii="黑体" w:hAnsi="黑体" w:eastAsia="黑体" w:cs="黑体"/>
          <w:sz w:val="20"/>
          <w:szCs w:val="20"/>
        </w:rPr>
        <w:sectPr>
          <w:footerReference r:id="rId5" w:type="default"/>
          <w:pgSz w:w="11910" w:h="16840"/>
          <w:pgMar w:top="1440" w:right="1160" w:bottom="1380" w:left="1340" w:header="0" w:footer="1196" w:gutter="0"/>
          <w:pgNumType w:start="1"/>
          <w:cols w:space="720" w:num="1"/>
        </w:sectPr>
      </w:pPr>
      <w:r>
        <w:rPr>
          <w:rFonts w:hint="default" w:ascii="Times New Roman" w:eastAsia="黑体" w:cs="Times New Roman"/>
          <w:sz w:val="20"/>
          <w:szCs w:val="20"/>
        </w:rPr>
        <w:fldChar w:fldCharType="end"/>
      </w:r>
    </w:p>
    <w:p w14:paraId="77CFFB7B">
      <w:pPr>
        <w:autoSpaceDE/>
        <w:autoSpaceDN/>
        <w:adjustRightInd/>
        <w:spacing w:before="312" w:beforeLines="100" w:after="312" w:afterLines="100"/>
        <w:jc w:val="center"/>
        <w:rPr>
          <w:rFonts w:hint="default" w:eastAsia="黑体" w:asciiTheme="minorHAnsi" w:hAnsiTheme="minorHAnsi" w:cstheme="minorBidi"/>
          <w:kern w:val="2"/>
          <w:sz w:val="28"/>
          <w:szCs w:val="28"/>
        </w:rPr>
      </w:pPr>
      <w:bookmarkStart w:id="4" w:name="_bookmark0"/>
      <w:bookmarkEnd w:id="4"/>
      <w:bookmarkStart w:id="5" w:name="_Toc19874"/>
      <w:bookmarkStart w:id="6" w:name="_Toc2461"/>
      <w:r>
        <w:rPr>
          <w:rFonts w:eastAsia="黑体" w:asciiTheme="minorHAnsi" w:hAnsiTheme="minorHAnsi" w:cstheme="minorBidi"/>
          <w:kern w:val="2"/>
          <w:sz w:val="28"/>
          <w:szCs w:val="28"/>
        </w:rPr>
        <w:t>《湿法冶金用防腐复合板》（</w:t>
      </w:r>
      <w:r>
        <w:rPr>
          <w:rFonts w:hint="eastAsia" w:eastAsia="黑体" w:asciiTheme="minorHAnsi" w:hAnsiTheme="minorHAnsi" w:cstheme="minorBidi"/>
          <w:kern w:val="2"/>
          <w:sz w:val="28"/>
          <w:szCs w:val="28"/>
          <w:lang w:val="en-US" w:eastAsia="zh-CN"/>
        </w:rPr>
        <w:t>送审稿</w:t>
      </w:r>
      <w:r>
        <w:rPr>
          <w:rFonts w:eastAsia="黑体" w:asciiTheme="minorHAnsi" w:hAnsiTheme="minorHAnsi" w:cstheme="minorBidi"/>
          <w:kern w:val="2"/>
          <w:sz w:val="28"/>
          <w:szCs w:val="28"/>
        </w:rPr>
        <w:t>）编制说明</w:t>
      </w:r>
    </w:p>
    <w:p w14:paraId="39C72CC3"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right" w:leader="dot" w:pos="917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ascii="黑体" w:hAnsi="黑体" w:eastAsia="黑体" w:cs="黑体"/>
          <w:kern w:val="2"/>
          <w:sz w:val="21"/>
        </w:rPr>
      </w:pPr>
      <w:r>
        <w:rPr>
          <w:rFonts w:hint="default" w:ascii="黑体" w:hAnsi="黑体" w:eastAsia="黑体" w:cs="黑体"/>
          <w:kern w:val="2"/>
          <w:sz w:val="21"/>
        </w:rPr>
        <w:t>工作简况</w:t>
      </w:r>
      <w:bookmarkEnd w:id="5"/>
      <w:bookmarkEnd w:id="6"/>
    </w:p>
    <w:p w14:paraId="3BEA8173">
      <w:pPr>
        <w:pStyle w:val="11"/>
        <w:keepNext w:val="0"/>
        <w:keepLines w:val="0"/>
        <w:pageBreakBefore w:val="0"/>
        <w:widowControl w:val="0"/>
        <w:tabs>
          <w:tab w:val="right" w:leader="dot" w:pos="917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hAnsi="宋体"/>
          <w:sz w:val="21"/>
          <w:szCs w:val="21"/>
        </w:rPr>
      </w:pPr>
      <w:bookmarkStart w:id="7" w:name="_bookmark1"/>
      <w:bookmarkEnd w:id="7"/>
      <w:bookmarkStart w:id="8" w:name="_Toc12535"/>
      <w:r>
        <w:rPr>
          <w:rFonts w:hint="default" w:ascii="黑体" w:hAnsi="黑体" w:eastAsia="黑体" w:cs="黑体"/>
          <w:kern w:val="2"/>
          <w:sz w:val="21"/>
          <w:szCs w:val="21"/>
        </w:rPr>
        <w:t>（一）</w:t>
      </w:r>
      <w:bookmarkEnd w:id="8"/>
      <w:r>
        <w:rPr>
          <w:rFonts w:ascii="黑体" w:hAnsi="黑体" w:eastAsia="黑体" w:cs="黑体"/>
          <w:kern w:val="2"/>
          <w:sz w:val="21"/>
          <w:szCs w:val="21"/>
        </w:rPr>
        <w:t>任务来源</w:t>
      </w:r>
      <w:bookmarkStart w:id="9" w:name="_bookmark2"/>
      <w:bookmarkEnd w:id="9"/>
    </w:p>
    <w:p w14:paraId="1EA23357">
      <w:pPr>
        <w:autoSpaceDE/>
        <w:autoSpaceDN/>
        <w:ind w:firstLine="440" w:firstLineChars="200"/>
        <w:jc w:val="both"/>
        <w:rPr>
          <w:rFonts w:hAnsi="宋体"/>
          <w:szCs w:val="21"/>
        </w:rPr>
      </w:pPr>
      <w:r>
        <w:rPr>
          <w:rFonts w:hAnsi="宋体"/>
          <w:szCs w:val="21"/>
        </w:rPr>
        <w:t>防腐复合板是近几年来开始在湿法冶炼车间使用的防腐板材，具有性能稳定、耐腐蚀性能好、抗压耐磨、密实度高、吸水率低等优点，维护成本低，使用寿命长，综合性能优异。目前防腐复合板已经在贵溪冶炼厂、大冶有色、五矿铜业、铜陵有色、云南铜业等大型冶炼企业应用，效果良好，能有效降低湿法冶炼车间地面维修频率，降低维护成本，为湿法冶炼企业的高效运转发挥了重要作用。但</w:t>
      </w:r>
      <w:r>
        <w:rPr>
          <w:szCs w:val="21"/>
        </w:rPr>
        <w:t>目前</w:t>
      </w:r>
      <w:r>
        <w:rPr>
          <w:rFonts w:hAnsi="宋体"/>
          <w:szCs w:val="21"/>
        </w:rPr>
        <w:t>防腐复合板没有统一的产品规范，</w:t>
      </w:r>
      <w:r>
        <w:rPr>
          <w:szCs w:val="21"/>
        </w:rPr>
        <w:t>有色金属冶炼行业还尚无限定</w:t>
      </w:r>
      <w:r>
        <w:rPr>
          <w:rFonts w:hAnsi="宋体"/>
          <w:szCs w:val="21"/>
        </w:rPr>
        <w:t>防腐复合板</w:t>
      </w:r>
      <w:r>
        <w:rPr>
          <w:szCs w:val="21"/>
        </w:rPr>
        <w:t>需满足的技术指标要求的标准可依据，不利于</w:t>
      </w:r>
      <w:r>
        <w:rPr>
          <w:rFonts w:hAnsi="宋体"/>
          <w:szCs w:val="21"/>
        </w:rPr>
        <w:t>防腐复合板在有色金属冶炼行业的推广应用。基于此，江西铜业股份有限公司作为防腐复合板的使用单位和生产厂家，提出《湿法冶金用防腐复合板》团体标准的立项计划，通过该标准</w:t>
      </w:r>
      <w:r>
        <w:rPr>
          <w:rFonts w:ascii="Times New Roman" w:cs="Times New Roman"/>
          <w:szCs w:val="21"/>
        </w:rPr>
        <w:t>对</w:t>
      </w:r>
      <w:r>
        <w:rPr>
          <w:rFonts w:hAnsi="宋体"/>
          <w:szCs w:val="21"/>
        </w:rPr>
        <w:t>防腐复合板</w:t>
      </w:r>
      <w:r>
        <w:rPr>
          <w:rFonts w:ascii="Times New Roman" w:cs="Times New Roman"/>
          <w:szCs w:val="21"/>
        </w:rPr>
        <w:t>需达到的技术指标及测试方法做出具体限定，让</w:t>
      </w:r>
      <w:r>
        <w:rPr>
          <w:rFonts w:asciiTheme="minorEastAsia" w:hAnsiTheme="minorEastAsia"/>
          <w:szCs w:val="21"/>
        </w:rPr>
        <w:t>湿法冶金防腐用的</w:t>
      </w:r>
      <w:r>
        <w:rPr>
          <w:rFonts w:hAnsi="宋体"/>
          <w:szCs w:val="21"/>
        </w:rPr>
        <w:t>防腐</w:t>
      </w:r>
      <w:r>
        <w:rPr>
          <w:rFonts w:asciiTheme="minorEastAsia" w:hAnsiTheme="minorEastAsia"/>
          <w:szCs w:val="21"/>
        </w:rPr>
        <w:t>复合板</w:t>
      </w:r>
      <w:r>
        <w:rPr>
          <w:rFonts w:ascii="Times New Roman" w:cs="Times New Roman"/>
          <w:szCs w:val="21"/>
        </w:rPr>
        <w:t>有标准可依，以确保湿法冶炼企业在选择</w:t>
      </w:r>
      <w:r>
        <w:rPr>
          <w:rFonts w:hAnsi="宋体"/>
          <w:szCs w:val="21"/>
        </w:rPr>
        <w:t>防腐</w:t>
      </w:r>
      <w:r>
        <w:rPr>
          <w:rFonts w:ascii="Times New Roman" w:cs="Times New Roman"/>
          <w:szCs w:val="21"/>
        </w:rPr>
        <w:t>复合板时的产品质量和安全性。</w:t>
      </w:r>
    </w:p>
    <w:p w14:paraId="559DAC37">
      <w:pPr>
        <w:autoSpaceDE/>
        <w:autoSpaceDN/>
        <w:ind w:firstLine="440" w:firstLineChars="200"/>
        <w:jc w:val="both"/>
        <w:rPr>
          <w:rFonts w:hAnsi="宋体"/>
          <w:szCs w:val="21"/>
        </w:rPr>
      </w:pPr>
      <w:r>
        <w:rPr>
          <w:rFonts w:hAnsi="宋体"/>
          <w:szCs w:val="21"/>
        </w:rPr>
        <w:t>根据全国有色金属标准化技术委员会（以下称“有色标委会”）《关于转发 2024 年第三批有色金属国家标准、团体标准制(修)订项目计划及征集起草单位的通知》（有色标委(2024)84号）的要求，同意有色金属团体标准《湿法冶金用防腐复合板》立项，归口计划编号为2024-059-T/CNIA，由江西铜业股份有限公司负责起草，项目周期为16个月，完成年限为2026年1月。</w:t>
      </w:r>
    </w:p>
    <w:p w14:paraId="2384DC15">
      <w:pPr>
        <w:pStyle w:val="11"/>
        <w:keepNext w:val="0"/>
        <w:keepLines w:val="0"/>
        <w:pageBreakBefore w:val="0"/>
        <w:widowControl w:val="0"/>
        <w:tabs>
          <w:tab w:val="right" w:leader="dot" w:pos="917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ascii="黑体" w:hAnsi="黑体" w:eastAsia="黑体" w:cs="黑体"/>
          <w:kern w:val="2"/>
          <w:sz w:val="21"/>
        </w:rPr>
      </w:pPr>
      <w:r>
        <w:rPr>
          <w:rFonts w:hint="default" w:ascii="黑体" w:hAnsi="黑体" w:eastAsia="黑体" w:cs="黑体"/>
          <w:kern w:val="2"/>
          <w:sz w:val="21"/>
        </w:rPr>
        <w:t>（</w:t>
      </w:r>
      <w:r>
        <w:rPr>
          <w:rFonts w:ascii="黑体" w:hAnsi="黑体" w:eastAsia="黑体" w:cs="黑体"/>
          <w:kern w:val="2"/>
          <w:sz w:val="21"/>
        </w:rPr>
        <w:t>二</w:t>
      </w:r>
      <w:r>
        <w:rPr>
          <w:rFonts w:hint="default" w:ascii="黑体" w:hAnsi="黑体" w:eastAsia="黑体" w:cs="黑体"/>
          <w:kern w:val="2"/>
          <w:sz w:val="21"/>
        </w:rPr>
        <w:t>）</w:t>
      </w:r>
      <w:r>
        <w:rPr>
          <w:rFonts w:ascii="黑体" w:hAnsi="黑体" w:eastAsia="黑体" w:cs="黑体"/>
          <w:kern w:val="2"/>
          <w:sz w:val="21"/>
        </w:rPr>
        <w:t>主要参加单位和工作成员及其所作的工作</w:t>
      </w:r>
    </w:p>
    <w:p w14:paraId="0DA5B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黑体" w:hAnsi="黑体" w:eastAsia="黑体" w:cs="黑体"/>
          <w:kern w:val="2"/>
          <w:sz w:val="21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1"/>
          <w:szCs w:val="22"/>
          <w:lang w:val="en-US" w:eastAsia="zh-CN" w:bidi="ar-SA"/>
        </w:rPr>
        <w:t>1、主要参加单位情况</w:t>
      </w:r>
    </w:p>
    <w:p w14:paraId="7530EDF8">
      <w:pPr>
        <w:autoSpaceDE/>
        <w:autoSpaceDN/>
        <w:adjustRightInd/>
        <w:ind w:firstLine="420" w:firstLineChars="200"/>
        <w:jc w:val="both"/>
        <w:rPr>
          <w:rFonts w:hAnsi="宋体"/>
          <w:kern w:val="2"/>
          <w:sz w:val="21"/>
          <w:szCs w:val="21"/>
        </w:rPr>
      </w:pPr>
      <w:r>
        <w:rPr>
          <w:rFonts w:ascii="Times New Roman" w:cs="Times New Roman"/>
          <w:sz w:val="21"/>
        </w:rPr>
        <w:t>本标准</w:t>
      </w:r>
      <w:r>
        <w:rPr>
          <w:rFonts w:hint="eastAsia" w:ascii="Times New Roman" w:cs="Times New Roman"/>
          <w:sz w:val="21"/>
          <w:lang w:val="en-US" w:eastAsia="zh-CN"/>
        </w:rPr>
        <w:t>参与单位包括</w:t>
      </w:r>
      <w:r>
        <w:rPr>
          <w:rFonts w:hint="eastAsia" w:ascii="Times New Roman" w:hAnsi="Times New Roman" w:eastAsia="宋体" w:cs="Times New Roman"/>
          <w:sz w:val="21"/>
        </w:rPr>
        <w:t>江西铜业技术研究院有限公司、江西石蕴新材料有限公司、云南驰宏锌锗股份有限公司、江西铜业股份有限公司、江西铜业集团（贵溪）防腐工程有限公司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。其中牵头单位为</w:t>
      </w:r>
      <w:r>
        <w:rPr>
          <w:rFonts w:asciiTheme="minorHAnsi" w:hAnsiTheme="minorHAnsi" w:eastAsiaTheme="minorEastAsia" w:cstheme="minorBidi"/>
        </w:rPr>
        <w:t>江西铜业技术研究院有限公司（江铜研究院），是从事有色金属采矿、选矿、冶炼、加工</w:t>
      </w:r>
      <w:r>
        <w:rPr>
          <w:rFonts w:hint="eastAsia" w:asciiTheme="minorHAnsi" w:hAnsiTheme="minorHAnsi" w:eastAsiaTheme="minorEastAsia" w:cstheme="minorBidi"/>
          <w:lang w:val="en-US" w:eastAsia="zh-CN"/>
        </w:rPr>
        <w:t>相关</w:t>
      </w:r>
      <w:r>
        <w:rPr>
          <w:rFonts w:asciiTheme="minorHAnsi" w:hAnsiTheme="minorHAnsi" w:eastAsiaTheme="minorEastAsia" w:cstheme="minorBidi"/>
        </w:rPr>
        <w:t>技术开发与服务、材料加工与生产、分析测试等为一体的研发机构。江铜研究院自主研发出高性能防腐复合板，已实现稳定生产，产品已在贵溪冶炼厂</w:t>
      </w:r>
      <w:r>
        <w:rPr>
          <w:rFonts w:hint="eastAsia" w:asciiTheme="minorHAnsi" w:hAnsiTheme="minorHAnsi" w:eastAsiaTheme="minorEastAsia" w:cstheme="minorBidi"/>
          <w:lang w:eastAsia="zh-CN"/>
        </w:rPr>
        <w:t>、</w:t>
      </w:r>
      <w:r>
        <w:rPr>
          <w:rFonts w:hAnsi="宋体"/>
          <w:szCs w:val="21"/>
        </w:rPr>
        <w:t>五矿铜业</w:t>
      </w:r>
      <w:r>
        <w:rPr>
          <w:rFonts w:hint="eastAsia" w:hAnsi="宋体"/>
          <w:szCs w:val="21"/>
          <w:lang w:val="en-US" w:eastAsia="zh-CN"/>
        </w:rPr>
        <w:t>等冶炼企业</w:t>
      </w:r>
      <w:r>
        <w:rPr>
          <w:rFonts w:asciiTheme="minorHAnsi" w:hAnsiTheme="minorHAnsi" w:eastAsiaTheme="minorEastAsia" w:cstheme="minorBidi"/>
        </w:rPr>
        <w:t>大规模应用。</w:t>
      </w:r>
    </w:p>
    <w:p w14:paraId="30B9F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黑体" w:hAnsi="黑体" w:eastAsia="黑体" w:cs="黑体"/>
          <w:kern w:val="2"/>
          <w:sz w:val="21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1"/>
          <w:szCs w:val="22"/>
          <w:lang w:val="en-US" w:eastAsia="zh-CN" w:bidi="ar-SA"/>
        </w:rPr>
        <w:t>2、主要工作成员所负责的工作情况</w:t>
      </w:r>
    </w:p>
    <w:p w14:paraId="0B21FFF2">
      <w:pPr>
        <w:autoSpaceDE/>
        <w:autoSpaceDN/>
        <w:adjustRightInd/>
        <w:ind w:firstLine="420" w:firstLineChars="200"/>
        <w:jc w:val="both"/>
        <w:rPr>
          <w:rFonts w:hAnsi="宋体"/>
          <w:kern w:val="2"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本标准主要起草</w:t>
      </w:r>
      <w:r>
        <w:rPr>
          <w:rFonts w:hint="eastAsia" w:ascii="Times New Roman" w:eastAsia="黑体" w:cs="Times New Roman"/>
          <w:sz w:val="21"/>
          <w:szCs w:val="21"/>
          <w:lang w:val="en-US" w:eastAsia="zh-CN"/>
        </w:rPr>
        <w:t>单位和主要起草人员及任务分工</w:t>
      </w:r>
      <w:r>
        <w:rPr>
          <w:rFonts w:hAnsi="宋体"/>
          <w:kern w:val="2"/>
          <w:sz w:val="21"/>
          <w:szCs w:val="21"/>
        </w:rPr>
        <w:t>见表1。</w:t>
      </w:r>
    </w:p>
    <w:p w14:paraId="3D8E4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黑体" w:hAnsi="黑体" w:eastAsia="黑体" w:cs="黑体"/>
          <w:kern w:val="2"/>
          <w:sz w:val="21"/>
          <w:szCs w:val="22"/>
          <w:lang w:val="en-US" w:eastAsia="zh-CN" w:bidi="ar-SA"/>
        </w:rPr>
      </w:pPr>
      <w:commentRangeStart w:id="0"/>
      <w:r>
        <w:rPr>
          <w:rFonts w:hint="default" w:ascii="黑体" w:hAnsi="黑体" w:eastAsia="黑体" w:cs="黑体"/>
          <w:kern w:val="2"/>
          <w:sz w:val="21"/>
          <w:szCs w:val="22"/>
          <w:lang w:val="en-US" w:eastAsia="zh-CN" w:bidi="ar-SA"/>
        </w:rPr>
        <w:t>表</w:t>
      </w:r>
      <w:r>
        <w:rPr>
          <w:rFonts w:hint="eastAsia" w:ascii="黑体" w:hAnsi="黑体" w:eastAsia="黑体" w:cs="黑体"/>
          <w:kern w:val="2"/>
          <w:sz w:val="21"/>
          <w:szCs w:val="22"/>
          <w:lang w:val="en-US" w:eastAsia="zh-CN" w:bidi="ar-SA"/>
        </w:rPr>
        <w:t>1</w:t>
      </w:r>
      <w:r>
        <w:rPr>
          <w:rFonts w:hint="default" w:ascii="黑体" w:hAnsi="黑体" w:eastAsia="黑体" w:cs="黑体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kern w:val="2"/>
          <w:sz w:val="21"/>
          <w:szCs w:val="22"/>
          <w:lang w:val="en-US" w:eastAsia="zh-CN" w:bidi="ar-SA"/>
        </w:rPr>
        <w:t>标准主要起草单位和主要起草人员及任务分工</w:t>
      </w:r>
      <w:commentRangeEnd w:id="0"/>
      <w:r>
        <w:commentReference w:id="0"/>
      </w:r>
    </w:p>
    <w:tbl>
      <w:tblPr>
        <w:tblStyle w:val="1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3579"/>
        <w:gridCol w:w="1483"/>
        <w:gridCol w:w="2816"/>
      </w:tblGrid>
      <w:tr w14:paraId="087F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584FD0BC">
            <w:pPr>
              <w:spacing w:line="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序号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415C0678">
            <w:pPr>
              <w:spacing w:line="0" w:lineRule="atLeast"/>
              <w:jc w:val="center"/>
              <w:rPr>
                <w:rFonts w:hint="default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单位名称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39F53B8">
            <w:pPr>
              <w:spacing w:line="0" w:lineRule="atLeast"/>
              <w:jc w:val="center"/>
              <w:rPr>
                <w:rFonts w:hint="default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工作组成员</w:t>
            </w:r>
          </w:p>
        </w:tc>
        <w:tc>
          <w:tcPr>
            <w:tcW w:w="1652" w:type="pct"/>
            <w:shd w:val="clear" w:color="auto" w:fill="auto"/>
            <w:vAlign w:val="center"/>
          </w:tcPr>
          <w:p w14:paraId="705F48B3">
            <w:pPr>
              <w:spacing w:line="0" w:lineRule="atLeast"/>
              <w:jc w:val="center"/>
              <w:rPr>
                <w:rFonts w:hint="default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主要工作</w:t>
            </w:r>
          </w:p>
        </w:tc>
      </w:tr>
      <w:tr w14:paraId="758C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6" w:type="pct"/>
            <w:vAlign w:val="center"/>
          </w:tcPr>
          <w:p w14:paraId="1EE448D9">
            <w:pPr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1</w:t>
            </w:r>
          </w:p>
        </w:tc>
        <w:tc>
          <w:tcPr>
            <w:tcW w:w="2100" w:type="pct"/>
            <w:vAlign w:val="center"/>
          </w:tcPr>
          <w:p w14:paraId="20808FA2">
            <w:pPr>
              <w:jc w:val="left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江西铜业</w:t>
            </w:r>
            <w:r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  <w:t>技术研究院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有限公司</w:t>
            </w:r>
          </w:p>
        </w:tc>
        <w:tc>
          <w:tcPr>
            <w:tcW w:w="870" w:type="pct"/>
            <w:vAlign w:val="center"/>
          </w:tcPr>
          <w:p w14:paraId="2DDA0989">
            <w:pPr>
              <w:jc w:val="center"/>
              <w:rPr>
                <w:rFonts w:hint="eastAsia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王全勇</w:t>
            </w:r>
          </w:p>
        </w:tc>
        <w:tc>
          <w:tcPr>
            <w:tcW w:w="1652" w:type="pct"/>
            <w:vAlign w:val="center"/>
          </w:tcPr>
          <w:p w14:paraId="7B0C6AF0">
            <w:pPr>
              <w:jc w:val="both"/>
              <w:rPr>
                <w:rFonts w:hint="default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负责标准整体结构编制、资料收集、汇总、执笔</w:t>
            </w:r>
          </w:p>
        </w:tc>
      </w:tr>
      <w:tr w14:paraId="4FF48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6" w:type="pct"/>
            <w:vAlign w:val="center"/>
          </w:tcPr>
          <w:p w14:paraId="21A7ABBB">
            <w:pPr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2</w:t>
            </w:r>
          </w:p>
        </w:tc>
        <w:tc>
          <w:tcPr>
            <w:tcW w:w="2100" w:type="pct"/>
            <w:vAlign w:val="center"/>
          </w:tcPr>
          <w:p w14:paraId="71A3C38D">
            <w:pPr>
              <w:jc w:val="left"/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  <w:t>江西石蕴新材料有限公司</w:t>
            </w:r>
          </w:p>
        </w:tc>
        <w:tc>
          <w:tcPr>
            <w:tcW w:w="870" w:type="pct"/>
            <w:vAlign w:val="center"/>
          </w:tcPr>
          <w:p w14:paraId="3D5691AE">
            <w:pPr>
              <w:jc w:val="center"/>
              <w:rPr>
                <w:rFonts w:hint="eastAsia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黎晨</w:t>
            </w:r>
          </w:p>
        </w:tc>
        <w:tc>
          <w:tcPr>
            <w:tcW w:w="1652" w:type="pct"/>
            <w:vAlign w:val="center"/>
          </w:tcPr>
          <w:p w14:paraId="52596215">
            <w:pPr>
              <w:jc w:val="both"/>
              <w:rPr>
                <w:rFonts w:hint="default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负责提供技术支持</w:t>
            </w:r>
          </w:p>
        </w:tc>
      </w:tr>
      <w:tr w14:paraId="1CE1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6" w:type="pct"/>
            <w:vAlign w:val="center"/>
          </w:tcPr>
          <w:p w14:paraId="7D695FD7">
            <w:pPr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3</w:t>
            </w:r>
          </w:p>
        </w:tc>
        <w:tc>
          <w:tcPr>
            <w:tcW w:w="2100" w:type="pct"/>
            <w:vAlign w:val="center"/>
          </w:tcPr>
          <w:p w14:paraId="06A89F58">
            <w:pPr>
              <w:jc w:val="left"/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  <w:t>云南驰宏锌锗股份有限公司</w:t>
            </w:r>
          </w:p>
        </w:tc>
        <w:tc>
          <w:tcPr>
            <w:tcW w:w="870" w:type="pct"/>
            <w:vAlign w:val="center"/>
          </w:tcPr>
          <w:p w14:paraId="0D5DC48E">
            <w:pPr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652" w:type="pct"/>
            <w:vAlign w:val="center"/>
          </w:tcPr>
          <w:p w14:paraId="49BFBF5D">
            <w:pPr>
              <w:jc w:val="both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负责提供技术支持</w:t>
            </w:r>
          </w:p>
        </w:tc>
      </w:tr>
      <w:tr w14:paraId="1B1C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6" w:type="pct"/>
            <w:vAlign w:val="center"/>
          </w:tcPr>
          <w:p w14:paraId="2DA3D957">
            <w:pPr>
              <w:jc w:val="center"/>
              <w:rPr>
                <w:rFonts w:hint="eastAsia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00" w:type="pct"/>
            <w:vAlign w:val="center"/>
          </w:tcPr>
          <w:p w14:paraId="32571A11">
            <w:pPr>
              <w:jc w:val="left"/>
              <w:rPr>
                <w:rFonts w:hint="default" w:asci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  <w:t>江西铜业股份有限公司</w:t>
            </w:r>
          </w:p>
        </w:tc>
        <w:tc>
          <w:tcPr>
            <w:tcW w:w="870" w:type="pct"/>
            <w:vAlign w:val="center"/>
          </w:tcPr>
          <w:p w14:paraId="3C0A9C66">
            <w:pPr>
              <w:jc w:val="center"/>
              <w:rPr>
                <w:rFonts w:hint="default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赵黎明，樊赣湘</w:t>
            </w:r>
          </w:p>
        </w:tc>
        <w:tc>
          <w:tcPr>
            <w:tcW w:w="1652" w:type="pct"/>
            <w:vAlign w:val="center"/>
          </w:tcPr>
          <w:p w14:paraId="18C22C9E">
            <w:pPr>
              <w:jc w:val="both"/>
              <w:rPr>
                <w:rFonts w:hint="eastAsia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负责提供技术支持</w:t>
            </w:r>
          </w:p>
        </w:tc>
      </w:tr>
      <w:tr w14:paraId="702C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6" w:type="pct"/>
            <w:vAlign w:val="center"/>
          </w:tcPr>
          <w:p w14:paraId="476F33F5">
            <w:pPr>
              <w:jc w:val="center"/>
              <w:rPr>
                <w:rFonts w:hint="eastAsia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100" w:type="pct"/>
            <w:vAlign w:val="center"/>
          </w:tcPr>
          <w:p w14:paraId="0730DC26">
            <w:pPr>
              <w:jc w:val="left"/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  <w:t>江西铜业集团（贵溪）防腐工程有限公司</w:t>
            </w:r>
          </w:p>
        </w:tc>
        <w:tc>
          <w:tcPr>
            <w:tcW w:w="870" w:type="pct"/>
            <w:vAlign w:val="center"/>
          </w:tcPr>
          <w:p w14:paraId="77AB80B5">
            <w:pPr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王俊荣</w:t>
            </w:r>
          </w:p>
        </w:tc>
        <w:tc>
          <w:tcPr>
            <w:tcW w:w="1652" w:type="pct"/>
            <w:vAlign w:val="center"/>
          </w:tcPr>
          <w:p w14:paraId="5D3D6B03">
            <w:pPr>
              <w:jc w:val="both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负责提供技术支持</w:t>
            </w:r>
          </w:p>
        </w:tc>
      </w:tr>
    </w:tbl>
    <w:p w14:paraId="226FE378">
      <w:pPr>
        <w:pStyle w:val="11"/>
        <w:keepNext w:val="0"/>
        <w:keepLines w:val="0"/>
        <w:pageBreakBefore w:val="0"/>
        <w:widowControl w:val="0"/>
        <w:tabs>
          <w:tab w:val="right" w:leader="dot" w:pos="917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ascii="黑体" w:hAnsi="黑体" w:eastAsia="黑体" w:cs="黑体"/>
          <w:kern w:val="2"/>
          <w:sz w:val="21"/>
        </w:rPr>
      </w:pPr>
      <w:bookmarkStart w:id="10" w:name="_Toc11604"/>
      <w:r>
        <w:rPr>
          <w:rFonts w:ascii="黑体" w:hAnsi="黑体" w:eastAsia="黑体" w:cs="黑体"/>
          <w:kern w:val="2"/>
          <w:sz w:val="21"/>
        </w:rPr>
        <w:t>（三）</w:t>
      </w:r>
      <w:r>
        <w:rPr>
          <w:rFonts w:hint="default" w:ascii="黑体" w:hAnsi="黑体" w:eastAsia="黑体" w:cs="黑体"/>
          <w:kern w:val="2"/>
          <w:sz w:val="21"/>
        </w:rPr>
        <w:t>主要工作过程</w:t>
      </w:r>
      <w:bookmarkEnd w:id="10"/>
      <w:r>
        <w:rPr>
          <w:rFonts w:hint="default" w:ascii="黑体" w:hAnsi="黑体" w:eastAsia="黑体" w:cs="黑体"/>
          <w:kern w:val="2"/>
          <w:sz w:val="21"/>
        </w:rPr>
        <w:t xml:space="preserve"> </w:t>
      </w:r>
      <w:bookmarkStart w:id="11" w:name="_Toc16741"/>
    </w:p>
    <w:p w14:paraId="223CC4C8">
      <w:pPr>
        <w:pStyle w:val="1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cs="Times New Roman"/>
        </w:rPr>
      </w:pPr>
      <w:r>
        <w:rPr>
          <w:rFonts w:ascii="Times New Roman" w:hAnsi="Times New Roman" w:cs="Times New Roman"/>
        </w:rPr>
        <w:t>1、</w:t>
      </w:r>
      <w:r>
        <w:rPr>
          <w:rFonts w:hint="default" w:ascii="Times New Roman" w:hAnsi="Times New Roman" w:cs="Times New Roman"/>
        </w:rPr>
        <w:t>预研阶段</w:t>
      </w:r>
      <w:bookmarkEnd w:id="11"/>
    </w:p>
    <w:p w14:paraId="11753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Ansi="宋体"/>
          <w:kern w:val="2"/>
          <w:sz w:val="21"/>
          <w:szCs w:val="21"/>
        </w:rPr>
      </w:pPr>
      <w:r>
        <w:rPr>
          <w:sz w:val="21"/>
          <w:szCs w:val="21"/>
        </w:rPr>
        <w:t>2024年2月，根据</w:t>
      </w:r>
      <w:r>
        <w:rPr>
          <w:rFonts w:hAnsi="宋体"/>
          <w:sz w:val="21"/>
          <w:szCs w:val="21"/>
        </w:rPr>
        <w:t>有色标委[2024]20号文件通知要求，征集2024年度有色金属国家标准、行业标准、协会标准项目计划，</w:t>
      </w:r>
      <w:r>
        <w:rPr>
          <w:rFonts w:hint="default" w:hAnsi="宋体"/>
          <w:kern w:val="2"/>
          <w:sz w:val="21"/>
          <w:szCs w:val="21"/>
        </w:rPr>
        <w:t>江西铜业股份有限公司</w:t>
      </w:r>
      <w:r>
        <w:rPr>
          <w:rFonts w:hAnsi="宋体"/>
          <w:kern w:val="2"/>
          <w:sz w:val="21"/>
          <w:szCs w:val="21"/>
        </w:rPr>
        <w:t>组织相关人员成立</w:t>
      </w:r>
      <w:r>
        <w:rPr>
          <w:rFonts w:hint="default" w:hAnsi="宋体"/>
          <w:kern w:val="2"/>
          <w:sz w:val="21"/>
          <w:szCs w:val="21"/>
        </w:rPr>
        <w:t>标准编制小组</w:t>
      </w:r>
      <w:r>
        <w:rPr>
          <w:rFonts w:hAnsi="宋体"/>
          <w:kern w:val="2"/>
          <w:sz w:val="21"/>
          <w:szCs w:val="21"/>
        </w:rPr>
        <w:t>，对计划制定的标准进行梳理总结，提出制定</w:t>
      </w:r>
      <w:r>
        <w:rPr>
          <w:rFonts w:hint="default" w:hAnsi="宋体"/>
          <w:kern w:val="2"/>
          <w:sz w:val="21"/>
          <w:szCs w:val="21"/>
        </w:rPr>
        <w:t>《</w:t>
      </w:r>
      <w:r>
        <w:rPr>
          <w:rFonts w:hAnsi="宋体"/>
          <w:kern w:val="2"/>
          <w:sz w:val="21"/>
          <w:szCs w:val="21"/>
        </w:rPr>
        <w:t>湿法冶金用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》</w:t>
      </w:r>
      <w:r>
        <w:rPr>
          <w:rFonts w:hAnsi="宋体"/>
          <w:kern w:val="2"/>
          <w:sz w:val="21"/>
          <w:szCs w:val="21"/>
        </w:rPr>
        <w:t>团体</w:t>
      </w:r>
      <w:r>
        <w:rPr>
          <w:rFonts w:hint="default" w:hAnsi="宋体"/>
          <w:kern w:val="2"/>
          <w:sz w:val="21"/>
          <w:szCs w:val="21"/>
        </w:rPr>
        <w:t>标准</w:t>
      </w:r>
      <w:r>
        <w:rPr>
          <w:rFonts w:hAnsi="宋体"/>
          <w:kern w:val="2"/>
          <w:sz w:val="21"/>
          <w:szCs w:val="21"/>
        </w:rPr>
        <w:t>。</w:t>
      </w:r>
      <w:r>
        <w:rPr>
          <w:rFonts w:hint="default" w:hAnsi="宋体"/>
          <w:kern w:val="2"/>
          <w:sz w:val="21"/>
          <w:szCs w:val="21"/>
        </w:rPr>
        <w:t>标准编制小组开展标准调研工作</w:t>
      </w:r>
      <w:r>
        <w:rPr>
          <w:rFonts w:hAnsi="宋体"/>
          <w:kern w:val="2"/>
          <w:sz w:val="21"/>
          <w:szCs w:val="21"/>
        </w:rPr>
        <w:t>，了解企业生产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Ansi="宋体"/>
          <w:kern w:val="2"/>
          <w:sz w:val="21"/>
          <w:szCs w:val="21"/>
        </w:rPr>
        <w:t>的品质及销售情况，与企业技术人员深入讨论产品标准的具体要求，参观企业现场工作情况，根据此次调研情况，整理形成项目建议书、标准草案、项目申报书，并提交标委会秘书处。</w:t>
      </w:r>
    </w:p>
    <w:p w14:paraId="29054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Ansi="宋体"/>
          <w:kern w:val="2"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2024年4月，有色标委会在长沙召开有色金属标准项目论证会，</w:t>
      </w:r>
      <w:r>
        <w:rPr>
          <w:rFonts w:hint="default" w:hAnsi="宋体"/>
          <w:kern w:val="2"/>
          <w:sz w:val="21"/>
          <w:szCs w:val="21"/>
        </w:rPr>
        <w:t>《</w:t>
      </w:r>
      <w:r>
        <w:rPr>
          <w:rFonts w:hAnsi="宋体"/>
          <w:kern w:val="2"/>
          <w:sz w:val="21"/>
          <w:szCs w:val="21"/>
        </w:rPr>
        <w:t>湿法冶金用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》</w:t>
      </w:r>
      <w:r>
        <w:rPr>
          <w:rFonts w:hAnsi="宋体"/>
          <w:kern w:val="2"/>
          <w:sz w:val="21"/>
          <w:szCs w:val="21"/>
        </w:rPr>
        <w:t>团体</w:t>
      </w:r>
      <w:r>
        <w:rPr>
          <w:rFonts w:hint="default" w:hAnsi="宋体"/>
          <w:kern w:val="2"/>
          <w:sz w:val="21"/>
          <w:szCs w:val="21"/>
        </w:rPr>
        <w:t>标准</w:t>
      </w:r>
      <w:r>
        <w:rPr>
          <w:rFonts w:hAnsi="宋体"/>
          <w:kern w:val="2"/>
          <w:sz w:val="21"/>
          <w:szCs w:val="21"/>
        </w:rPr>
        <w:t>上会论证，</w:t>
      </w:r>
      <w:r>
        <w:rPr>
          <w:rFonts w:hint="default" w:hAnsi="宋体"/>
          <w:kern w:val="2"/>
          <w:sz w:val="21"/>
          <w:szCs w:val="21"/>
        </w:rPr>
        <w:t>全体委员会议论证结论为同意</w:t>
      </w:r>
      <w:r>
        <w:rPr>
          <w:rFonts w:hAnsi="宋体"/>
          <w:kern w:val="2"/>
          <w:sz w:val="21"/>
          <w:szCs w:val="21"/>
        </w:rPr>
        <w:t>该团体</w:t>
      </w:r>
      <w:r>
        <w:rPr>
          <w:rFonts w:hint="default" w:hAnsi="宋体"/>
          <w:kern w:val="2"/>
          <w:sz w:val="21"/>
          <w:szCs w:val="21"/>
        </w:rPr>
        <w:t>标准立项，</w:t>
      </w:r>
      <w:r>
        <w:rPr>
          <w:rFonts w:hAnsi="宋体"/>
          <w:kern w:val="2"/>
          <w:sz w:val="21"/>
          <w:szCs w:val="21"/>
        </w:rPr>
        <w:t>同时提出修改意见。</w:t>
      </w:r>
      <w:r>
        <w:rPr>
          <w:rFonts w:hint="default" w:hAnsi="宋体"/>
          <w:kern w:val="2"/>
          <w:sz w:val="21"/>
          <w:szCs w:val="21"/>
        </w:rPr>
        <w:t>标准编制小组</w:t>
      </w:r>
      <w:r>
        <w:rPr>
          <w:rFonts w:hAnsi="宋体"/>
          <w:kern w:val="2"/>
          <w:sz w:val="21"/>
          <w:szCs w:val="21"/>
        </w:rPr>
        <w:t>针对有色标委会提出的意见，修改项目建议书、标准草案、项目申报书，重新提交到标委会秘书处。</w:t>
      </w:r>
    </w:p>
    <w:p w14:paraId="5D4D001D">
      <w:pPr>
        <w:pStyle w:val="18"/>
        <w:keepNext/>
        <w:keepLines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cs="Times New Roman"/>
        </w:rPr>
      </w:pPr>
      <w:bookmarkStart w:id="12" w:name="_Toc22341"/>
      <w:r>
        <w:rPr>
          <w:rFonts w:ascii="Times New Roman" w:hAnsi="Times New Roman" w:cs="Times New Roman"/>
        </w:rPr>
        <w:t>2、</w:t>
      </w:r>
      <w:r>
        <w:rPr>
          <w:rFonts w:hint="default" w:ascii="Times New Roman" w:hAnsi="Times New Roman" w:cs="Times New Roman"/>
        </w:rPr>
        <w:t>立项</w:t>
      </w:r>
      <w:bookmarkEnd w:id="12"/>
      <w:r>
        <w:rPr>
          <w:rFonts w:ascii="Times New Roman" w:hAnsi="Times New Roman" w:cs="Times New Roman"/>
        </w:rPr>
        <w:t>阶段</w:t>
      </w:r>
    </w:p>
    <w:p w14:paraId="52DFBE17">
      <w:pPr>
        <w:autoSpaceDE/>
        <w:autoSpaceDN/>
        <w:adjustRightInd/>
        <w:ind w:firstLine="420" w:firstLineChars="200"/>
        <w:jc w:val="both"/>
        <w:rPr>
          <w:rFonts w:hAnsi="宋体"/>
          <w:kern w:val="2"/>
          <w:sz w:val="21"/>
          <w:szCs w:val="21"/>
        </w:rPr>
      </w:pPr>
      <w:r>
        <w:rPr>
          <w:rFonts w:hint="default" w:hAnsi="宋体"/>
          <w:kern w:val="2"/>
          <w:sz w:val="21"/>
          <w:szCs w:val="21"/>
        </w:rPr>
        <w:t>202</w:t>
      </w:r>
      <w:r>
        <w:rPr>
          <w:rFonts w:hAnsi="宋体"/>
          <w:kern w:val="2"/>
          <w:sz w:val="21"/>
          <w:szCs w:val="21"/>
        </w:rPr>
        <w:t>4</w:t>
      </w:r>
      <w:r>
        <w:rPr>
          <w:rFonts w:hint="default" w:hAnsi="宋体"/>
          <w:kern w:val="2"/>
          <w:sz w:val="21"/>
          <w:szCs w:val="21"/>
        </w:rPr>
        <w:t>年</w:t>
      </w:r>
      <w:r>
        <w:rPr>
          <w:rFonts w:hAnsi="宋体"/>
          <w:kern w:val="2"/>
          <w:sz w:val="21"/>
          <w:szCs w:val="21"/>
        </w:rPr>
        <w:t>8</w:t>
      </w:r>
      <w:r>
        <w:rPr>
          <w:rFonts w:hint="default" w:hAnsi="宋体"/>
          <w:kern w:val="2"/>
          <w:sz w:val="21"/>
          <w:szCs w:val="21"/>
        </w:rPr>
        <w:t>月，根据</w:t>
      </w:r>
      <w:r>
        <w:rPr>
          <w:rFonts w:hAnsi="宋体"/>
          <w:kern w:val="2"/>
          <w:sz w:val="21"/>
          <w:szCs w:val="21"/>
        </w:rPr>
        <w:t>中色协</w:t>
      </w:r>
      <w:r>
        <w:rPr>
          <w:rFonts w:hint="default" w:hAnsi="宋体"/>
          <w:kern w:val="2"/>
          <w:sz w:val="21"/>
          <w:szCs w:val="21"/>
        </w:rPr>
        <w:t>科</w:t>
      </w:r>
      <w:r>
        <w:rPr>
          <w:rFonts w:hAnsi="宋体"/>
          <w:kern w:val="2"/>
          <w:sz w:val="21"/>
          <w:szCs w:val="21"/>
        </w:rPr>
        <w:t>字</w:t>
      </w:r>
      <w:r>
        <w:rPr>
          <w:rFonts w:hint="default" w:hAnsi="宋体"/>
          <w:kern w:val="2"/>
          <w:sz w:val="21"/>
          <w:szCs w:val="21"/>
        </w:rPr>
        <w:t>[202</w:t>
      </w:r>
      <w:r>
        <w:rPr>
          <w:rFonts w:hAnsi="宋体"/>
          <w:kern w:val="2"/>
          <w:sz w:val="21"/>
          <w:szCs w:val="21"/>
        </w:rPr>
        <w:t>4</w:t>
      </w:r>
      <w:r>
        <w:rPr>
          <w:rFonts w:hint="default" w:hAnsi="宋体"/>
          <w:kern w:val="2"/>
          <w:sz w:val="21"/>
          <w:szCs w:val="21"/>
        </w:rPr>
        <w:t>]</w:t>
      </w:r>
      <w:r>
        <w:rPr>
          <w:rFonts w:hAnsi="宋体"/>
          <w:kern w:val="2"/>
          <w:sz w:val="21"/>
          <w:szCs w:val="21"/>
        </w:rPr>
        <w:t>80</w:t>
      </w:r>
      <w:r>
        <w:rPr>
          <w:rFonts w:hint="default" w:hAnsi="宋体"/>
          <w:kern w:val="2"/>
          <w:sz w:val="21"/>
          <w:szCs w:val="21"/>
        </w:rPr>
        <w:t>号</w:t>
      </w:r>
      <w:r>
        <w:rPr>
          <w:rFonts w:hAnsi="宋体"/>
          <w:kern w:val="2"/>
          <w:sz w:val="21"/>
          <w:szCs w:val="21"/>
        </w:rPr>
        <w:t>和中色协</w:t>
      </w:r>
      <w:r>
        <w:rPr>
          <w:rFonts w:hint="default" w:hAnsi="宋体"/>
          <w:kern w:val="2"/>
          <w:sz w:val="21"/>
          <w:szCs w:val="21"/>
        </w:rPr>
        <w:t>科</w:t>
      </w:r>
      <w:r>
        <w:rPr>
          <w:rFonts w:hAnsi="宋体"/>
          <w:kern w:val="2"/>
          <w:sz w:val="21"/>
          <w:szCs w:val="21"/>
        </w:rPr>
        <w:t>字</w:t>
      </w:r>
      <w:r>
        <w:rPr>
          <w:rFonts w:hint="default" w:hAnsi="宋体"/>
          <w:kern w:val="2"/>
          <w:sz w:val="21"/>
          <w:szCs w:val="21"/>
        </w:rPr>
        <w:t>[202</w:t>
      </w:r>
      <w:r>
        <w:rPr>
          <w:rFonts w:hAnsi="宋体"/>
          <w:kern w:val="2"/>
          <w:sz w:val="21"/>
          <w:szCs w:val="21"/>
        </w:rPr>
        <w:t>4</w:t>
      </w:r>
      <w:r>
        <w:rPr>
          <w:rFonts w:hint="default" w:hAnsi="宋体"/>
          <w:kern w:val="2"/>
          <w:sz w:val="21"/>
          <w:szCs w:val="21"/>
        </w:rPr>
        <w:t>]</w:t>
      </w:r>
      <w:r>
        <w:rPr>
          <w:rFonts w:hAnsi="宋体"/>
          <w:kern w:val="2"/>
          <w:sz w:val="21"/>
          <w:szCs w:val="21"/>
        </w:rPr>
        <w:t>92</w:t>
      </w:r>
      <w:r>
        <w:rPr>
          <w:rFonts w:hint="default" w:hAnsi="宋体"/>
          <w:kern w:val="2"/>
          <w:sz w:val="21"/>
          <w:szCs w:val="21"/>
        </w:rPr>
        <w:t>号的文件通知要求，有色标委会下达了</w:t>
      </w:r>
      <w:r>
        <w:rPr>
          <w:rFonts w:hAnsi="宋体"/>
          <w:kern w:val="2"/>
          <w:sz w:val="21"/>
          <w:szCs w:val="21"/>
        </w:rPr>
        <w:t>制定</w:t>
      </w:r>
      <w:r>
        <w:rPr>
          <w:rFonts w:hint="default" w:hAnsi="宋体"/>
          <w:kern w:val="2"/>
          <w:sz w:val="21"/>
          <w:szCs w:val="21"/>
        </w:rPr>
        <w:t>《</w:t>
      </w:r>
      <w:r>
        <w:rPr>
          <w:rFonts w:hAnsi="宋体"/>
          <w:kern w:val="2"/>
          <w:sz w:val="21"/>
          <w:szCs w:val="21"/>
        </w:rPr>
        <w:t>湿法冶金用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》</w:t>
      </w:r>
      <w:r>
        <w:rPr>
          <w:rFonts w:hAnsi="宋体"/>
          <w:kern w:val="2"/>
          <w:sz w:val="21"/>
          <w:szCs w:val="21"/>
        </w:rPr>
        <w:t>团体</w:t>
      </w:r>
      <w:r>
        <w:rPr>
          <w:rFonts w:hint="default" w:hAnsi="宋体"/>
          <w:kern w:val="2"/>
          <w:sz w:val="21"/>
          <w:szCs w:val="21"/>
        </w:rPr>
        <w:t>标准的任务，完成</w:t>
      </w:r>
      <w:r>
        <w:rPr>
          <w:rFonts w:hAnsi="宋体"/>
          <w:kern w:val="2"/>
          <w:sz w:val="21"/>
          <w:szCs w:val="21"/>
        </w:rPr>
        <w:t>年</w:t>
      </w:r>
      <w:r>
        <w:rPr>
          <w:rFonts w:hint="default" w:hAnsi="宋体"/>
          <w:kern w:val="2"/>
          <w:sz w:val="21"/>
          <w:szCs w:val="21"/>
        </w:rPr>
        <w:t>限为202</w:t>
      </w:r>
      <w:r>
        <w:rPr>
          <w:rFonts w:hAnsi="宋体"/>
          <w:kern w:val="2"/>
          <w:sz w:val="21"/>
          <w:szCs w:val="21"/>
        </w:rPr>
        <w:t>6</w:t>
      </w:r>
      <w:r>
        <w:rPr>
          <w:rFonts w:hint="default" w:hAnsi="宋体"/>
          <w:kern w:val="2"/>
          <w:sz w:val="21"/>
          <w:szCs w:val="21"/>
        </w:rPr>
        <w:t>年，技术归口</w:t>
      </w:r>
      <w:r>
        <w:rPr>
          <w:rFonts w:hAnsi="宋体"/>
          <w:kern w:val="2"/>
          <w:sz w:val="21"/>
          <w:szCs w:val="21"/>
        </w:rPr>
        <w:t>单位</w:t>
      </w:r>
      <w:r>
        <w:rPr>
          <w:rFonts w:hint="default" w:hAnsi="宋体"/>
          <w:kern w:val="2"/>
          <w:sz w:val="21"/>
          <w:szCs w:val="21"/>
        </w:rPr>
        <w:t>为有色标委会。</w:t>
      </w:r>
      <w:r>
        <w:rPr>
          <w:rFonts w:hAnsi="宋体"/>
          <w:kern w:val="2"/>
          <w:sz w:val="21"/>
          <w:szCs w:val="21"/>
        </w:rPr>
        <w:t>根据标委会的建议，编制组对</w:t>
      </w:r>
      <w:r>
        <w:rPr>
          <w:rFonts w:hint="default" w:hAnsi="宋体"/>
          <w:kern w:val="2"/>
          <w:sz w:val="21"/>
          <w:szCs w:val="21"/>
        </w:rPr>
        <w:t>《</w:t>
      </w:r>
      <w:r>
        <w:rPr>
          <w:rFonts w:hAnsi="宋体"/>
          <w:kern w:val="2"/>
          <w:sz w:val="21"/>
          <w:szCs w:val="21"/>
        </w:rPr>
        <w:t>湿法冶金用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》</w:t>
      </w:r>
      <w:r>
        <w:rPr>
          <w:rFonts w:hAnsi="宋体"/>
          <w:kern w:val="2"/>
          <w:sz w:val="21"/>
          <w:szCs w:val="21"/>
        </w:rPr>
        <w:t>团体</w:t>
      </w:r>
      <w:r>
        <w:rPr>
          <w:rFonts w:hint="default" w:hAnsi="宋体"/>
          <w:kern w:val="2"/>
          <w:sz w:val="21"/>
          <w:szCs w:val="21"/>
        </w:rPr>
        <w:t>标准</w:t>
      </w:r>
      <w:r>
        <w:rPr>
          <w:rFonts w:hAnsi="宋体"/>
          <w:kern w:val="2"/>
          <w:sz w:val="21"/>
          <w:szCs w:val="21"/>
        </w:rPr>
        <w:t>的初稿进行修改，形成了讨论稿，同时撰写编制说明，填写项目任务书。</w:t>
      </w:r>
    </w:p>
    <w:p w14:paraId="66DBDC60">
      <w:pPr>
        <w:autoSpaceDE/>
        <w:autoSpaceDN/>
        <w:adjustRightInd/>
        <w:ind w:firstLine="420" w:firstLineChars="200"/>
        <w:jc w:val="both"/>
        <w:rPr>
          <w:rFonts w:hAnsi="宋体"/>
          <w:kern w:val="2"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2024年11月，在全国有色金属标准技术工作会议上对</w:t>
      </w:r>
      <w:r>
        <w:rPr>
          <w:rFonts w:hint="default" w:hAnsi="宋体"/>
          <w:kern w:val="2"/>
          <w:sz w:val="21"/>
          <w:szCs w:val="21"/>
        </w:rPr>
        <w:t>《</w:t>
      </w:r>
      <w:r>
        <w:rPr>
          <w:rFonts w:hAnsi="宋体"/>
          <w:kern w:val="2"/>
          <w:sz w:val="21"/>
          <w:szCs w:val="21"/>
        </w:rPr>
        <w:t>湿法冶金用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》</w:t>
      </w:r>
      <w:r>
        <w:rPr>
          <w:rFonts w:hAnsi="宋体"/>
          <w:kern w:val="2"/>
          <w:sz w:val="21"/>
          <w:szCs w:val="21"/>
        </w:rPr>
        <w:t>团体</w:t>
      </w:r>
      <w:r>
        <w:rPr>
          <w:rFonts w:hint="default" w:hAnsi="宋体"/>
          <w:kern w:val="2"/>
          <w:sz w:val="21"/>
          <w:szCs w:val="21"/>
        </w:rPr>
        <w:t>标准</w:t>
      </w:r>
      <w:r>
        <w:rPr>
          <w:rFonts w:hAnsi="宋体"/>
          <w:kern w:val="2"/>
          <w:sz w:val="21"/>
          <w:szCs w:val="21"/>
        </w:rPr>
        <w:t>进行了讨论，根据标委会的建议，编制组对标准讨论稿作进一步修改完善，形成预审稿。</w:t>
      </w:r>
    </w:p>
    <w:p w14:paraId="2B86A876">
      <w:pPr>
        <w:autoSpaceDE/>
        <w:autoSpaceDN/>
        <w:adjustRightInd/>
        <w:ind w:firstLine="420" w:firstLineChars="200"/>
        <w:jc w:val="both"/>
        <w:rPr>
          <w:rFonts w:hint="eastAsia" w:hAnsi="宋体"/>
          <w:kern w:val="2"/>
          <w:sz w:val="21"/>
          <w:szCs w:val="21"/>
          <w:lang w:val="en-US" w:eastAsia="zh-CN"/>
        </w:rPr>
      </w:pPr>
      <w:r>
        <w:rPr>
          <w:rFonts w:hint="eastAsia" w:hAnsi="宋体"/>
          <w:kern w:val="2"/>
          <w:sz w:val="21"/>
          <w:szCs w:val="21"/>
          <w:lang w:val="en-US" w:eastAsia="zh-CN"/>
        </w:rPr>
        <w:t>2025年5月，</w:t>
      </w:r>
      <w:r>
        <w:rPr>
          <w:rFonts w:hAnsi="宋体"/>
          <w:kern w:val="2"/>
          <w:sz w:val="21"/>
          <w:szCs w:val="21"/>
        </w:rPr>
        <w:t>在全国有色金属标准技术工作会议上对</w:t>
      </w:r>
      <w:r>
        <w:rPr>
          <w:rFonts w:hint="default" w:hAnsi="宋体"/>
          <w:kern w:val="2"/>
          <w:sz w:val="21"/>
          <w:szCs w:val="21"/>
        </w:rPr>
        <w:t>《</w:t>
      </w:r>
      <w:r>
        <w:rPr>
          <w:rFonts w:hAnsi="宋体"/>
          <w:kern w:val="2"/>
          <w:sz w:val="21"/>
          <w:szCs w:val="21"/>
        </w:rPr>
        <w:t>湿法冶金用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》</w:t>
      </w:r>
      <w:r>
        <w:rPr>
          <w:rFonts w:hAnsi="宋体"/>
          <w:kern w:val="2"/>
          <w:sz w:val="21"/>
          <w:szCs w:val="21"/>
        </w:rPr>
        <w:t>团体</w:t>
      </w:r>
      <w:r>
        <w:rPr>
          <w:rFonts w:hint="default" w:hAnsi="宋体"/>
          <w:kern w:val="2"/>
          <w:sz w:val="21"/>
          <w:szCs w:val="21"/>
        </w:rPr>
        <w:t>标准</w:t>
      </w:r>
      <w:r>
        <w:rPr>
          <w:rFonts w:hAnsi="宋体"/>
          <w:kern w:val="2"/>
          <w:sz w:val="21"/>
          <w:szCs w:val="21"/>
        </w:rPr>
        <w:t>进行了</w:t>
      </w:r>
      <w:r>
        <w:rPr>
          <w:rFonts w:hint="eastAsia" w:hAnsi="宋体"/>
          <w:kern w:val="2"/>
          <w:sz w:val="21"/>
          <w:szCs w:val="21"/>
          <w:lang w:val="en-US" w:eastAsia="zh-CN"/>
        </w:rPr>
        <w:t>预审，</w:t>
      </w:r>
      <w:r>
        <w:rPr>
          <w:rFonts w:hAnsi="宋体"/>
          <w:kern w:val="2"/>
          <w:sz w:val="21"/>
          <w:szCs w:val="21"/>
        </w:rPr>
        <w:t>根据标委会</w:t>
      </w:r>
      <w:r>
        <w:rPr>
          <w:rFonts w:hint="eastAsia" w:hAnsi="宋体"/>
          <w:kern w:val="2"/>
          <w:sz w:val="21"/>
          <w:szCs w:val="21"/>
          <w:lang w:val="en-US" w:eastAsia="zh-CN"/>
        </w:rPr>
        <w:t>专家</w:t>
      </w:r>
      <w:r>
        <w:rPr>
          <w:rFonts w:hAnsi="宋体"/>
          <w:kern w:val="2"/>
          <w:sz w:val="21"/>
          <w:szCs w:val="21"/>
        </w:rPr>
        <w:t>的建议</w:t>
      </w:r>
      <w:r>
        <w:rPr>
          <w:rFonts w:hint="eastAsia" w:hAnsi="宋体"/>
          <w:kern w:val="2"/>
          <w:sz w:val="21"/>
          <w:szCs w:val="21"/>
          <w:lang w:eastAsia="zh-CN"/>
        </w:rPr>
        <w:t>，</w:t>
      </w:r>
      <w:r>
        <w:rPr>
          <w:rFonts w:hint="eastAsia" w:hAnsi="宋体"/>
          <w:kern w:val="2"/>
          <w:sz w:val="21"/>
          <w:szCs w:val="21"/>
          <w:lang w:val="en-US" w:eastAsia="zh-CN"/>
        </w:rPr>
        <w:t>对</w:t>
      </w:r>
      <w:r>
        <w:rPr>
          <w:rFonts w:hAnsi="宋体"/>
          <w:kern w:val="2"/>
          <w:sz w:val="21"/>
          <w:szCs w:val="21"/>
        </w:rPr>
        <w:t>预审稿</w:t>
      </w:r>
      <w:r>
        <w:rPr>
          <w:rFonts w:hint="eastAsia" w:hAnsi="宋体"/>
          <w:kern w:val="2"/>
          <w:sz w:val="21"/>
          <w:szCs w:val="21"/>
          <w:lang w:val="en-US" w:eastAsia="zh-CN"/>
        </w:rPr>
        <w:t>做了进一步修改，得到征求意见稿。</w:t>
      </w:r>
    </w:p>
    <w:p w14:paraId="5D9C8308">
      <w:pPr>
        <w:autoSpaceDE/>
        <w:autoSpaceDN/>
        <w:adjustRightInd/>
        <w:ind w:firstLine="420" w:firstLineChars="200"/>
        <w:jc w:val="both"/>
        <w:rPr>
          <w:rFonts w:hint="default" w:hAnsi="宋体"/>
          <w:kern w:val="2"/>
          <w:sz w:val="21"/>
          <w:szCs w:val="21"/>
          <w:lang w:val="en-US" w:eastAsia="zh-CN"/>
        </w:rPr>
      </w:pPr>
      <w:r>
        <w:rPr>
          <w:rFonts w:hint="eastAsia" w:hAnsi="宋体"/>
          <w:kern w:val="2"/>
          <w:sz w:val="21"/>
          <w:szCs w:val="21"/>
          <w:lang w:val="en-US" w:eastAsia="zh-CN"/>
        </w:rPr>
        <w:t>2025年6月，将征求意见稿发给相关单位，征求意见，将征求到的意见进行整理，根据意见对征求意见稿作进一步修改，得到送审稿。</w:t>
      </w:r>
    </w:p>
    <w:p w14:paraId="0FBD2305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157" w:afterLines="50" w:line="440" w:lineRule="exact"/>
        <w:textAlignment w:val="auto"/>
        <w:rPr>
          <w:rFonts w:hint="default" w:ascii="Times New Roman" w:hAnsi="Times New Roman" w:cs="Times New Roman"/>
        </w:rPr>
      </w:pPr>
      <w:bookmarkStart w:id="13" w:name="_Toc14535"/>
      <w:bookmarkStart w:id="14" w:name="_Toc4247"/>
      <w:r>
        <w:rPr>
          <w:rFonts w:hint="default" w:ascii="Times New Roman" w:hAnsi="Times New Roman" w:cs="Times New Roman"/>
        </w:rPr>
        <w:t>二、</w:t>
      </w:r>
      <w:r>
        <w:rPr>
          <w:rFonts w:ascii="Times New Roman" w:hAnsi="Times New Roman" w:cs="Times New Roman"/>
        </w:rPr>
        <w:t>标准</w:t>
      </w:r>
      <w:r>
        <w:rPr>
          <w:rFonts w:hint="default" w:ascii="Times New Roman" w:hAnsi="Times New Roman" w:cs="Times New Roman"/>
        </w:rPr>
        <w:t>编制原则</w:t>
      </w:r>
      <w:bookmarkEnd w:id="13"/>
      <w:bookmarkEnd w:id="14"/>
    </w:p>
    <w:p w14:paraId="79BB0045">
      <w:pPr>
        <w:autoSpaceDE/>
        <w:autoSpaceDN/>
        <w:adjustRightInd/>
        <w:jc w:val="both"/>
        <w:rPr>
          <w:rFonts w:hAnsi="宋体"/>
          <w:kern w:val="2"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1.</w:t>
      </w:r>
      <w:r>
        <w:rPr>
          <w:rFonts w:hint="default" w:hAnsi="宋体"/>
          <w:kern w:val="2"/>
          <w:sz w:val="21"/>
          <w:szCs w:val="21"/>
        </w:rPr>
        <w:t>本文件的制定工作遵循“统一性、协调性、适用性、一致性、规范性”的原则，本着先进性、科学性、合理性和可操作性的原则，按照GB/T1.1-2020《标准化工作导则第1部分:标准化文件的结构和起草规则》给出的规则编写。</w:t>
      </w:r>
    </w:p>
    <w:p w14:paraId="3432F295">
      <w:pPr>
        <w:autoSpaceDE/>
        <w:autoSpaceDN/>
        <w:adjustRightInd/>
        <w:jc w:val="both"/>
        <w:rPr>
          <w:rFonts w:hAnsi="宋体"/>
          <w:kern w:val="2"/>
          <w:sz w:val="21"/>
          <w:szCs w:val="21"/>
        </w:rPr>
      </w:pPr>
      <w:r>
        <w:rPr>
          <w:rFonts w:hint="default" w:hAnsi="宋体"/>
          <w:kern w:val="2"/>
          <w:sz w:val="21"/>
          <w:szCs w:val="21"/>
        </w:rPr>
        <w:t>2</w:t>
      </w:r>
      <w:r>
        <w:rPr>
          <w:rFonts w:hAnsi="宋体"/>
          <w:kern w:val="2"/>
          <w:sz w:val="21"/>
          <w:szCs w:val="21"/>
        </w:rPr>
        <w:t>.</w:t>
      </w:r>
      <w:r>
        <w:rPr>
          <w:rFonts w:hint="default" w:hAnsi="宋体"/>
          <w:kern w:val="2"/>
          <w:sz w:val="21"/>
          <w:szCs w:val="21"/>
        </w:rPr>
        <w:t>编制《</w:t>
      </w:r>
      <w:r>
        <w:rPr>
          <w:rFonts w:hAnsi="宋体"/>
          <w:kern w:val="2"/>
          <w:sz w:val="21"/>
          <w:szCs w:val="21"/>
        </w:rPr>
        <w:t>湿法冶金用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》团标以满足市场需求为指导，应有利于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的国际、国内贸易，同时也可以起到规范和引导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的生产及消费</w:t>
      </w:r>
      <w:r>
        <w:rPr>
          <w:rFonts w:hAnsi="宋体"/>
          <w:kern w:val="2"/>
          <w:sz w:val="21"/>
          <w:szCs w:val="21"/>
        </w:rPr>
        <w:t>的作用</w:t>
      </w:r>
      <w:r>
        <w:rPr>
          <w:rFonts w:hint="default" w:hAnsi="宋体"/>
          <w:kern w:val="2"/>
          <w:sz w:val="21"/>
          <w:szCs w:val="21"/>
        </w:rPr>
        <w:t>。</w:t>
      </w:r>
    </w:p>
    <w:p w14:paraId="2E8E8E82">
      <w:pPr>
        <w:autoSpaceDE/>
        <w:autoSpaceDN/>
        <w:adjustRightInd/>
        <w:jc w:val="both"/>
        <w:rPr>
          <w:rFonts w:hAnsi="宋体"/>
          <w:kern w:val="2"/>
          <w:sz w:val="21"/>
          <w:szCs w:val="21"/>
        </w:rPr>
      </w:pPr>
      <w:r>
        <w:rPr>
          <w:rFonts w:hint="default" w:hAnsi="宋体"/>
          <w:kern w:val="2"/>
          <w:sz w:val="21"/>
          <w:szCs w:val="21"/>
        </w:rPr>
        <w:t>3</w:t>
      </w:r>
      <w:r>
        <w:rPr>
          <w:rFonts w:hAnsi="宋体"/>
          <w:kern w:val="2"/>
          <w:sz w:val="21"/>
          <w:szCs w:val="21"/>
        </w:rPr>
        <w:t>.</w:t>
      </w:r>
      <w:r>
        <w:rPr>
          <w:rFonts w:hint="default" w:hAnsi="宋体"/>
          <w:kern w:val="2"/>
          <w:sz w:val="21"/>
          <w:szCs w:val="21"/>
        </w:rPr>
        <w:t>本文件的编制应充分考虑生产企业的产品质量和相关单位的意见，同时要确保用户的需求，为</w:t>
      </w:r>
      <w:r>
        <w:rPr>
          <w:rFonts w:hAnsi="宋体"/>
          <w:sz w:val="21"/>
          <w:szCs w:val="21"/>
        </w:rPr>
        <w:t>防腐</w:t>
      </w:r>
      <w:r>
        <w:rPr>
          <w:rFonts w:asciiTheme="minorEastAsia" w:hAnsiTheme="minorEastAsia"/>
          <w:sz w:val="21"/>
          <w:szCs w:val="21"/>
        </w:rPr>
        <w:t>复合板</w:t>
      </w:r>
      <w:r>
        <w:rPr>
          <w:rFonts w:hint="default" w:hAnsi="宋体"/>
          <w:kern w:val="2"/>
          <w:sz w:val="21"/>
          <w:szCs w:val="21"/>
        </w:rPr>
        <w:t>使用企业提供满意</w:t>
      </w:r>
      <w:r>
        <w:rPr>
          <w:rFonts w:hAnsi="宋体"/>
          <w:kern w:val="2"/>
          <w:sz w:val="21"/>
          <w:szCs w:val="21"/>
        </w:rPr>
        <w:t>产品</w:t>
      </w:r>
      <w:r>
        <w:rPr>
          <w:rFonts w:hint="default" w:hAnsi="宋体"/>
          <w:kern w:val="2"/>
          <w:sz w:val="21"/>
          <w:szCs w:val="21"/>
        </w:rPr>
        <w:t>。</w:t>
      </w:r>
    </w:p>
    <w:p w14:paraId="7C9EEA8B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157" w:afterLines="50" w:line="440" w:lineRule="exact"/>
        <w:textAlignment w:val="auto"/>
        <w:rPr>
          <w:rFonts w:hint="default" w:ascii="Times New Roman" w:hAnsi="Times New Roman" w:cs="Times New Roman"/>
        </w:rPr>
      </w:pPr>
      <w:r>
        <w:rPr>
          <w:rFonts w:ascii="Times New Roman" w:hAnsi="Times New Roman" w:cs="Times New Roma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标准主要内容的确定依据</w:t>
      </w:r>
    </w:p>
    <w:p w14:paraId="700C5786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eastAsia="黑体" w:cs="Times New Roman"/>
          <w:bCs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本标准所涉及的防腐复合板是一种有机人造石板材，在民用建材领域，已有GB/T 41919-2022和JC/T 908-2013等标准，因此，本标准技术内容主要参考GB/T 41919-2022和JC/T 908-2013两个标准，同时结合</w:t>
      </w:r>
      <w:r>
        <w:rPr>
          <w:rFonts w:hint="eastAsia" w:hAnsi="宋体"/>
          <w:kern w:val="2"/>
          <w:sz w:val="21"/>
          <w:szCs w:val="21"/>
          <w:lang w:val="en-US" w:eastAsia="zh-CN"/>
        </w:rPr>
        <w:t>工业防腐</w:t>
      </w:r>
      <w:r>
        <w:rPr>
          <w:rFonts w:hAnsi="宋体"/>
          <w:kern w:val="2"/>
          <w:sz w:val="21"/>
          <w:szCs w:val="21"/>
        </w:rPr>
        <w:t>应用中对材料的性能要求，对物理化学性能、尺寸及允许偏差、平整度、外观质量等方面进行限定。</w:t>
      </w:r>
    </w:p>
    <w:p w14:paraId="4BC864C8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both"/>
        <w:textAlignment w:val="auto"/>
        <w:rPr>
          <w:rFonts w:hint="default" w:ascii="Times New Roman" w:eastAsia="黑体" w:cs="Times New Roman"/>
          <w:bCs/>
          <w:sz w:val="21"/>
          <w:szCs w:val="21"/>
        </w:rPr>
      </w:pPr>
      <w:r>
        <w:rPr>
          <w:rFonts w:ascii="Times New Roman" w:eastAsia="黑体" w:cs="Times New Roman"/>
          <w:bCs/>
          <w:sz w:val="21"/>
          <w:szCs w:val="21"/>
        </w:rPr>
        <w:t>（一）物理化学性能确定依据</w:t>
      </w:r>
    </w:p>
    <w:p w14:paraId="007F8925">
      <w:pPr>
        <w:pStyle w:val="4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before="100" w:after="100" w:line="240" w:lineRule="auto"/>
        <w:ind w:firstLine="420" w:firstLineChars="200"/>
        <w:jc w:val="both"/>
        <w:textAlignment w:val="auto"/>
        <w:rPr>
          <w:rFonts w:hAnsi="宋体"/>
          <w:b w:val="0"/>
          <w:bCs w:val="0"/>
          <w:kern w:val="2"/>
          <w:sz w:val="21"/>
          <w:szCs w:val="21"/>
        </w:rPr>
      </w:pPr>
      <w:r>
        <w:rPr>
          <w:rFonts w:hint="eastAsia" w:ascii="宋体" w:hAnsi="宋体" w:eastAsia="宋体" w:cs="宋体"/>
          <w:b w:val="0"/>
          <w:kern w:val="2"/>
          <w:sz w:val="21"/>
          <w:szCs w:val="21"/>
          <w:lang w:val="en-US" w:eastAsia="zh-CN" w:bidi="ar-SA"/>
        </w:rPr>
        <w:t>防腐复合板实际应用过程中相关的主要物理化学性能包括吸水率、莫氏硬度、弯曲强度、压缩强度、冲击强度、线性热膨胀系数、耐磨性、耐酸度等，根据这些性能指标，将防腐复合板分为为</w:t>
      </w:r>
      <w:r>
        <w:rPr>
          <w:rFonts w:ascii="Times New Roman" w:hAnsi="Times New Roman"/>
          <w:b w:val="0"/>
          <w:kern w:val="2"/>
          <w:sz w:val="21"/>
          <w:szCs w:val="21"/>
        </w:rPr>
        <w:t>AC</w:t>
      </w:r>
      <w:r>
        <w:rPr>
          <w:rFonts w:hint="default" w:ascii="Times New Roman" w:hAnsi="Times New Roman"/>
          <w:b w:val="0"/>
          <w:kern w:val="2"/>
          <w:sz w:val="21"/>
          <w:szCs w:val="21"/>
        </w:rPr>
        <w:t>-1、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A</w:t>
      </w:r>
      <w:r>
        <w:rPr>
          <w:rFonts w:ascii="Times New Roman" w:hAnsi="Times New Roman"/>
          <w:b w:val="0"/>
          <w:kern w:val="2"/>
          <w:sz w:val="21"/>
          <w:szCs w:val="21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H-1、</w:t>
      </w:r>
      <w:r>
        <w:rPr>
          <w:rFonts w:ascii="Times New Roman" w:hAnsi="Times New Roman"/>
          <w:b w:val="0"/>
          <w:kern w:val="2"/>
          <w:sz w:val="21"/>
          <w:szCs w:val="21"/>
        </w:rPr>
        <w:t>AC</w:t>
      </w:r>
      <w:r>
        <w:rPr>
          <w:rFonts w:hint="default" w:ascii="Times New Roman" w:hAnsi="Times New Roman"/>
          <w:b w:val="0"/>
          <w:kern w:val="2"/>
          <w:sz w:val="21"/>
          <w:szCs w:val="21"/>
        </w:rPr>
        <w:t>-2</w:t>
      </w:r>
      <w:r>
        <w:rPr>
          <w:rFonts w:hint="eastAsia" w:ascii="Times New Roman" w:hAnsi="Times New Roman"/>
          <w:b w:val="0"/>
          <w:kern w:val="2"/>
          <w:sz w:val="21"/>
          <w:szCs w:val="21"/>
          <w:lang w:eastAsia="zh-CN"/>
        </w:rPr>
        <w:t>、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A</w:t>
      </w:r>
      <w:r>
        <w:rPr>
          <w:rFonts w:ascii="Times New Roman" w:hAnsi="Times New Roman"/>
          <w:b w:val="0"/>
          <w:kern w:val="2"/>
          <w:sz w:val="21"/>
          <w:szCs w:val="21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H-2、A</w:t>
      </w:r>
      <w:r>
        <w:rPr>
          <w:rFonts w:hint="eastAsia" w:ascii="Times New Roman"/>
          <w:b w:val="0"/>
          <w:kern w:val="2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F五</w:t>
      </w:r>
      <w:r>
        <w:rPr>
          <w:rFonts w:hint="default" w:ascii="Times New Roman" w:hAnsi="Times New Roman"/>
          <w:b w:val="0"/>
          <w:kern w:val="2"/>
          <w:sz w:val="21"/>
          <w:szCs w:val="21"/>
        </w:rPr>
        <w:t>个</w:t>
      </w:r>
      <w:r>
        <w:rPr>
          <w:rFonts w:ascii="Times New Roman" w:hAnsi="Times New Roman"/>
          <w:b w:val="0"/>
          <w:kern w:val="2"/>
          <w:sz w:val="21"/>
          <w:szCs w:val="21"/>
        </w:rPr>
        <w:t>牌号</w:t>
      </w:r>
      <w:r>
        <w:rPr>
          <w:rFonts w:hint="eastAsia" w:ascii="Times New Roman" w:hAnsi="Times New Roman"/>
          <w:b w:val="0"/>
          <w:kern w:val="2"/>
          <w:sz w:val="21"/>
          <w:szCs w:val="21"/>
          <w:lang w:eastAsia="zh-CN"/>
        </w:rPr>
        <w:t>，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A</w:t>
      </w:r>
      <w:r>
        <w:rPr>
          <w:rFonts w:ascii="Times New Roman" w:hAnsi="Times New Roman"/>
          <w:b w:val="0"/>
          <w:kern w:val="2"/>
          <w:sz w:val="21"/>
          <w:szCs w:val="21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-1和A</w:t>
      </w:r>
      <w:r>
        <w:rPr>
          <w:rFonts w:ascii="Times New Roman" w:hAnsi="Times New Roman"/>
          <w:b w:val="0"/>
          <w:kern w:val="2"/>
          <w:sz w:val="21"/>
          <w:szCs w:val="21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-2为常规产品牌号，A</w:t>
      </w:r>
      <w:r>
        <w:rPr>
          <w:rFonts w:ascii="Times New Roman" w:hAnsi="Times New Roman"/>
          <w:b w:val="0"/>
          <w:kern w:val="2"/>
          <w:sz w:val="21"/>
          <w:szCs w:val="21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H-1和A</w:t>
      </w:r>
      <w:r>
        <w:rPr>
          <w:rFonts w:ascii="Times New Roman" w:hAnsi="Times New Roman"/>
          <w:b w:val="0"/>
          <w:kern w:val="2"/>
          <w:sz w:val="21"/>
          <w:szCs w:val="21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H-2为耐高温产品牌号，A</w:t>
      </w:r>
      <w:r>
        <w:rPr>
          <w:rFonts w:hint="eastAsia" w:ascii="Times New Roman"/>
          <w:b w:val="0"/>
          <w:kern w:val="2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/>
          <w:b w:val="0"/>
          <w:kern w:val="2"/>
          <w:sz w:val="21"/>
          <w:szCs w:val="21"/>
          <w:lang w:val="en-US" w:eastAsia="zh-CN"/>
        </w:rPr>
        <w:t>F为耐氟腐蚀产品牌号</w:t>
      </w:r>
      <w:r>
        <w:rPr>
          <w:rFonts w:hAnsi="宋体"/>
          <w:b w:val="0"/>
          <w:bCs w:val="0"/>
          <w:kern w:val="2"/>
          <w:sz w:val="21"/>
          <w:szCs w:val="21"/>
        </w:rPr>
        <w:t>，具体性能要求如表</w:t>
      </w:r>
      <w:r>
        <w:rPr>
          <w:rFonts w:hint="eastAsia" w:hAnsi="宋体"/>
          <w:b w:val="0"/>
          <w:bCs w:val="0"/>
          <w:kern w:val="2"/>
          <w:sz w:val="21"/>
          <w:szCs w:val="21"/>
          <w:lang w:val="en-US" w:eastAsia="zh-CN"/>
        </w:rPr>
        <w:t>2</w:t>
      </w:r>
      <w:r>
        <w:rPr>
          <w:rFonts w:hAnsi="宋体"/>
          <w:b w:val="0"/>
          <w:bCs w:val="0"/>
          <w:kern w:val="2"/>
          <w:sz w:val="21"/>
          <w:szCs w:val="21"/>
        </w:rPr>
        <w:t>所示。</w:t>
      </w:r>
    </w:p>
    <w:p w14:paraId="3052FF94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center"/>
        <w:textAlignment w:val="auto"/>
        <w:rPr>
          <w:rFonts w:hint="eastAsia" w:ascii="Times New Roman" w:eastAsia="黑体" w:cs="Times New Roman"/>
          <w:bCs/>
          <w:sz w:val="21"/>
          <w:szCs w:val="21"/>
          <w:lang w:val="en-US" w:eastAsia="zh-CN"/>
        </w:rPr>
      </w:pPr>
      <w:r>
        <w:rPr>
          <w:rFonts w:hint="eastAsia" w:ascii="Times New Roman" w:eastAsia="黑体" w:cs="Times New Roman"/>
          <w:bCs/>
          <w:sz w:val="21"/>
          <w:szCs w:val="21"/>
          <w:lang w:val="en-US" w:eastAsia="zh-CN"/>
        </w:rPr>
        <w:t>表2 物理化学性能</w:t>
      </w:r>
    </w:p>
    <w:tbl>
      <w:tblPr>
        <w:tblStyle w:val="14"/>
        <w:tblW w:w="8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1230"/>
        <w:gridCol w:w="1380"/>
        <w:gridCol w:w="1260"/>
        <w:gridCol w:w="1280"/>
        <w:gridCol w:w="1257"/>
      </w:tblGrid>
      <w:tr w14:paraId="0A62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Merge w:val="restart"/>
            <w:vAlign w:val="center"/>
          </w:tcPr>
          <w:p w14:paraId="7D4E4E7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项目</w:t>
            </w:r>
          </w:p>
        </w:tc>
        <w:tc>
          <w:tcPr>
            <w:tcW w:w="6407" w:type="dxa"/>
            <w:gridSpan w:val="5"/>
            <w:vAlign w:val="center"/>
          </w:tcPr>
          <w:p w14:paraId="05C5D15E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性能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要求</w:t>
            </w:r>
          </w:p>
        </w:tc>
      </w:tr>
      <w:tr w14:paraId="3094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Merge w:val="continue"/>
            <w:vAlign w:val="center"/>
          </w:tcPr>
          <w:p w14:paraId="3EA80EB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14:paraId="03E839B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-1</w:t>
            </w:r>
          </w:p>
        </w:tc>
        <w:tc>
          <w:tcPr>
            <w:tcW w:w="1380" w:type="dxa"/>
            <w:vAlign w:val="center"/>
          </w:tcPr>
          <w:p w14:paraId="32E8C2C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H-1</w:t>
            </w:r>
          </w:p>
        </w:tc>
        <w:tc>
          <w:tcPr>
            <w:tcW w:w="1260" w:type="dxa"/>
            <w:vAlign w:val="center"/>
          </w:tcPr>
          <w:p w14:paraId="6C05D42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-2</w:t>
            </w:r>
          </w:p>
        </w:tc>
        <w:tc>
          <w:tcPr>
            <w:tcW w:w="1280" w:type="dxa"/>
            <w:vAlign w:val="center"/>
          </w:tcPr>
          <w:p w14:paraId="07376AC8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H-2</w:t>
            </w:r>
          </w:p>
        </w:tc>
        <w:tc>
          <w:tcPr>
            <w:tcW w:w="1257" w:type="dxa"/>
            <w:vAlign w:val="center"/>
          </w:tcPr>
          <w:p w14:paraId="4F86E92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F</w:t>
            </w:r>
          </w:p>
        </w:tc>
      </w:tr>
      <w:tr w14:paraId="1F32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20A10B6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吸水率（%）</w:t>
            </w:r>
          </w:p>
        </w:tc>
        <w:tc>
          <w:tcPr>
            <w:tcW w:w="5150" w:type="dxa"/>
            <w:gridSpan w:val="4"/>
            <w:vAlign w:val="center"/>
          </w:tcPr>
          <w:p w14:paraId="5F84FC73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≤0.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57" w:type="dxa"/>
            <w:vAlign w:val="center"/>
          </w:tcPr>
          <w:p w14:paraId="0015D4D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≤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0.5</w:t>
            </w:r>
          </w:p>
        </w:tc>
      </w:tr>
      <w:tr w14:paraId="3ABBB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6756EA0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莫氏硬度</w:t>
            </w:r>
          </w:p>
        </w:tc>
        <w:tc>
          <w:tcPr>
            <w:tcW w:w="5150" w:type="dxa"/>
            <w:gridSpan w:val="4"/>
            <w:vAlign w:val="center"/>
          </w:tcPr>
          <w:p w14:paraId="63F4189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≥5</w:t>
            </w:r>
          </w:p>
        </w:tc>
        <w:tc>
          <w:tcPr>
            <w:tcW w:w="1257" w:type="dxa"/>
            <w:vAlign w:val="center"/>
          </w:tcPr>
          <w:p w14:paraId="49606B3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14:paraId="246B5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48C20A0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弯曲强度（MPa）</w:t>
            </w:r>
          </w:p>
        </w:tc>
        <w:tc>
          <w:tcPr>
            <w:tcW w:w="2610" w:type="dxa"/>
            <w:gridSpan w:val="2"/>
            <w:vAlign w:val="center"/>
          </w:tcPr>
          <w:p w14:paraId="0401F30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40</w:t>
            </w:r>
          </w:p>
        </w:tc>
        <w:tc>
          <w:tcPr>
            <w:tcW w:w="2540" w:type="dxa"/>
            <w:gridSpan w:val="2"/>
            <w:vAlign w:val="center"/>
          </w:tcPr>
          <w:p w14:paraId="54FC68C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vAlign w:val="center"/>
          </w:tcPr>
          <w:p w14:paraId="52474DE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</w:t>
            </w:r>
          </w:p>
        </w:tc>
      </w:tr>
      <w:tr w14:paraId="7F28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25BC5C1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压缩强度（MPa）</w:t>
            </w:r>
          </w:p>
        </w:tc>
        <w:tc>
          <w:tcPr>
            <w:tcW w:w="2610" w:type="dxa"/>
            <w:gridSpan w:val="2"/>
            <w:vAlign w:val="center"/>
          </w:tcPr>
          <w:p w14:paraId="6C8C56E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2540" w:type="dxa"/>
            <w:gridSpan w:val="2"/>
            <w:vAlign w:val="center"/>
          </w:tcPr>
          <w:p w14:paraId="34C09E7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vAlign w:val="center"/>
          </w:tcPr>
          <w:p w14:paraId="50E9CA8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100</w:t>
            </w:r>
          </w:p>
        </w:tc>
      </w:tr>
      <w:tr w14:paraId="27E7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4FFAA44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耐冲击性（J）</w:t>
            </w:r>
          </w:p>
        </w:tc>
        <w:tc>
          <w:tcPr>
            <w:tcW w:w="2610" w:type="dxa"/>
            <w:gridSpan w:val="2"/>
            <w:vAlign w:val="center"/>
          </w:tcPr>
          <w:p w14:paraId="0208EE8B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</w:t>
            </w:r>
          </w:p>
        </w:tc>
        <w:tc>
          <w:tcPr>
            <w:tcW w:w="2540" w:type="dxa"/>
            <w:gridSpan w:val="2"/>
            <w:vAlign w:val="center"/>
          </w:tcPr>
          <w:p w14:paraId="73FF38C2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257" w:type="dxa"/>
            <w:vAlign w:val="center"/>
          </w:tcPr>
          <w:p w14:paraId="459D054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14:paraId="546C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779CDC1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线性热膨胀系数（℃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150" w:type="dxa"/>
            <w:gridSpan w:val="4"/>
            <w:vAlign w:val="center"/>
          </w:tcPr>
          <w:p w14:paraId="59F9143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×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257" w:type="dxa"/>
            <w:vAlign w:val="center"/>
          </w:tcPr>
          <w:p w14:paraId="177F4DF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≤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×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-5</w:t>
            </w:r>
          </w:p>
        </w:tc>
      </w:tr>
      <w:tr w14:paraId="5FA62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5340E10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耐磨性（mm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150" w:type="dxa"/>
            <w:gridSpan w:val="4"/>
            <w:vAlign w:val="center"/>
          </w:tcPr>
          <w:p w14:paraId="16DD0A1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≤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00</w:t>
            </w:r>
          </w:p>
        </w:tc>
        <w:tc>
          <w:tcPr>
            <w:tcW w:w="1257" w:type="dxa"/>
            <w:vAlign w:val="center"/>
          </w:tcPr>
          <w:p w14:paraId="6D04AC2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≤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600</w:t>
            </w:r>
          </w:p>
        </w:tc>
      </w:tr>
      <w:tr w14:paraId="1947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57" w:type="dxa"/>
            <w:vAlign w:val="center"/>
          </w:tcPr>
          <w:p w14:paraId="38B1CCC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耐酸度（%）</w:t>
            </w:r>
          </w:p>
        </w:tc>
        <w:tc>
          <w:tcPr>
            <w:tcW w:w="5150" w:type="dxa"/>
            <w:gridSpan w:val="4"/>
            <w:vAlign w:val="center"/>
          </w:tcPr>
          <w:p w14:paraId="070A1C27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≥99.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57" w:type="dxa"/>
            <w:vAlign w:val="center"/>
          </w:tcPr>
          <w:p w14:paraId="1CFEA72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-</w:t>
            </w:r>
          </w:p>
        </w:tc>
      </w:tr>
      <w:tr w14:paraId="4217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364" w:type="dxa"/>
            <w:gridSpan w:val="6"/>
            <w:vAlign w:val="center"/>
          </w:tcPr>
          <w:p w14:paraId="6F5D154D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注：A</w:t>
            </w:r>
            <w:r>
              <w:rPr>
                <w:rFonts w:hint="eastAsia" w:ascii="Times New Roman" w:cs="Times New Roman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F为含氟电解液开发的防腐复合板，主要针对铅湿法冶炼中含硅氟酸的电解液。</w:t>
            </w:r>
          </w:p>
        </w:tc>
      </w:tr>
    </w:tbl>
    <w:p w14:paraId="52678B93">
      <w:pPr>
        <w:pStyle w:val="7"/>
        <w:kinsoku w:val="0"/>
        <w:overflowPunct w:val="0"/>
        <w:ind w:firstLine="420" w:firstLineChars="200"/>
        <w:jc w:val="both"/>
        <w:rPr>
          <w:rFonts w:hint="eastAsia" w:hAnsi="宋体"/>
          <w:kern w:val="2"/>
          <w:sz w:val="21"/>
          <w:szCs w:val="21"/>
          <w:lang w:eastAsia="zh-CN"/>
        </w:rPr>
      </w:pPr>
      <w:r>
        <w:rPr>
          <w:rFonts w:hint="eastAsia" w:hAnsi="宋体"/>
          <w:kern w:val="2"/>
          <w:sz w:val="21"/>
          <w:szCs w:val="21"/>
          <w:lang w:val="en-US" w:eastAsia="zh-CN"/>
        </w:rPr>
        <w:t>目前市场上的产品性能均能达到</w:t>
      </w:r>
      <w:r>
        <w:rPr>
          <w:rFonts w:hAnsi="宋体"/>
          <w:kern w:val="2"/>
          <w:sz w:val="21"/>
          <w:szCs w:val="21"/>
        </w:rPr>
        <w:t>AC-</w:t>
      </w:r>
      <w:r>
        <w:rPr>
          <w:rFonts w:hint="eastAsia" w:hAnsi="宋体"/>
          <w:kern w:val="2"/>
          <w:sz w:val="21"/>
          <w:szCs w:val="21"/>
          <w:lang w:val="en-US" w:eastAsia="zh-CN"/>
        </w:rPr>
        <w:t>2</w:t>
      </w:r>
      <w:r>
        <w:rPr>
          <w:rFonts w:hAnsi="宋体"/>
          <w:kern w:val="2"/>
          <w:sz w:val="21"/>
          <w:szCs w:val="21"/>
        </w:rPr>
        <w:t>牌号</w:t>
      </w:r>
      <w:r>
        <w:rPr>
          <w:rFonts w:hint="eastAsia" w:hAnsi="宋体"/>
          <w:kern w:val="2"/>
          <w:sz w:val="21"/>
          <w:szCs w:val="21"/>
          <w:lang w:val="en-US" w:eastAsia="zh-CN"/>
        </w:rPr>
        <w:t>要求</w:t>
      </w:r>
      <w:r>
        <w:rPr>
          <w:rFonts w:hint="eastAsia" w:hAnsi="宋体"/>
          <w:kern w:val="2"/>
          <w:sz w:val="21"/>
          <w:szCs w:val="21"/>
          <w:lang w:eastAsia="zh-CN"/>
        </w:rPr>
        <w:t>，</w:t>
      </w:r>
      <w:r>
        <w:rPr>
          <w:rFonts w:hint="eastAsia" w:hAnsi="宋体"/>
          <w:kern w:val="2"/>
          <w:sz w:val="21"/>
          <w:szCs w:val="21"/>
          <w:lang w:val="en-US" w:eastAsia="zh-CN"/>
        </w:rPr>
        <w:t>部分厂家的产品能达到</w:t>
      </w:r>
      <w:r>
        <w:rPr>
          <w:rFonts w:hAnsi="宋体"/>
          <w:kern w:val="2"/>
          <w:sz w:val="21"/>
          <w:szCs w:val="21"/>
        </w:rPr>
        <w:t>AC-1牌号</w:t>
      </w:r>
      <w:r>
        <w:rPr>
          <w:rFonts w:hint="eastAsia" w:hAnsi="宋体"/>
          <w:kern w:val="2"/>
          <w:sz w:val="21"/>
          <w:szCs w:val="21"/>
          <w:lang w:val="en-US" w:eastAsia="zh-CN"/>
        </w:rPr>
        <w:t>要求</w:t>
      </w:r>
      <w:r>
        <w:rPr>
          <w:rFonts w:hint="eastAsia" w:hAnsi="宋体"/>
          <w:kern w:val="2"/>
          <w:sz w:val="21"/>
          <w:szCs w:val="21"/>
          <w:lang w:eastAsia="zh-CN"/>
        </w:rPr>
        <w:t>，</w:t>
      </w:r>
      <w:r>
        <w:rPr>
          <w:rFonts w:hAnsi="宋体"/>
          <w:kern w:val="2"/>
          <w:sz w:val="21"/>
          <w:szCs w:val="21"/>
        </w:rPr>
        <w:t>AC</w:t>
      </w:r>
      <w:r>
        <w:rPr>
          <w:rFonts w:hint="eastAsia" w:hAnsi="宋体"/>
          <w:kern w:val="2"/>
          <w:sz w:val="21"/>
          <w:szCs w:val="21"/>
          <w:lang w:val="en-US" w:eastAsia="zh-CN"/>
        </w:rPr>
        <w:t>H</w:t>
      </w:r>
      <w:r>
        <w:rPr>
          <w:rFonts w:hAnsi="宋体"/>
          <w:kern w:val="2"/>
          <w:sz w:val="21"/>
          <w:szCs w:val="21"/>
        </w:rPr>
        <w:t>-1</w:t>
      </w:r>
      <w:r>
        <w:rPr>
          <w:rFonts w:hint="eastAsia" w:hAnsi="宋体"/>
          <w:kern w:val="2"/>
          <w:sz w:val="21"/>
          <w:szCs w:val="21"/>
          <w:lang w:val="en-US" w:eastAsia="zh-CN"/>
        </w:rPr>
        <w:t>、</w:t>
      </w:r>
      <w:r>
        <w:rPr>
          <w:rFonts w:hAnsi="宋体"/>
          <w:kern w:val="2"/>
          <w:sz w:val="21"/>
          <w:szCs w:val="21"/>
        </w:rPr>
        <w:t>AC</w:t>
      </w:r>
      <w:r>
        <w:rPr>
          <w:rFonts w:hint="eastAsia" w:hAnsi="宋体"/>
          <w:kern w:val="2"/>
          <w:sz w:val="21"/>
          <w:szCs w:val="21"/>
          <w:lang w:val="en-US" w:eastAsia="zh-CN"/>
        </w:rPr>
        <w:t>H</w:t>
      </w:r>
      <w:r>
        <w:rPr>
          <w:rFonts w:hAnsi="宋体"/>
          <w:kern w:val="2"/>
          <w:sz w:val="21"/>
          <w:szCs w:val="21"/>
        </w:rPr>
        <w:t>-</w:t>
      </w:r>
      <w:r>
        <w:rPr>
          <w:rFonts w:hint="eastAsia" w:hAnsi="宋体"/>
          <w:kern w:val="2"/>
          <w:sz w:val="21"/>
          <w:szCs w:val="21"/>
          <w:lang w:val="en-US" w:eastAsia="zh-CN"/>
        </w:rPr>
        <w:t>2、ACF</w:t>
      </w:r>
      <w:r>
        <w:rPr>
          <w:rFonts w:hAnsi="宋体"/>
          <w:kern w:val="2"/>
          <w:sz w:val="21"/>
          <w:szCs w:val="21"/>
        </w:rPr>
        <w:t>牌号的</w:t>
      </w:r>
      <w:r>
        <w:rPr>
          <w:rFonts w:hint="eastAsia" w:hAnsi="宋体"/>
          <w:kern w:val="2"/>
          <w:sz w:val="21"/>
          <w:szCs w:val="21"/>
          <w:lang w:val="en-US" w:eastAsia="zh-CN"/>
        </w:rPr>
        <w:t>产品还未大规模使用。</w:t>
      </w:r>
      <w:r>
        <w:rPr>
          <w:rFonts w:hAnsi="宋体"/>
          <w:kern w:val="2"/>
          <w:sz w:val="21"/>
          <w:szCs w:val="21"/>
        </w:rPr>
        <w:t>吸水率、莫氏硬度、弯曲强度、压缩强度、冲击强度、</w:t>
      </w:r>
      <w:r>
        <w:rPr>
          <w:rFonts w:ascii="Times New Roman"/>
          <w:sz w:val="21"/>
          <w:szCs w:val="21"/>
        </w:rPr>
        <w:t>线性热膨胀系数、耐磨性等</w:t>
      </w:r>
      <w:r>
        <w:rPr>
          <w:rFonts w:hAnsi="宋体"/>
          <w:kern w:val="2"/>
          <w:sz w:val="21"/>
          <w:szCs w:val="21"/>
        </w:rPr>
        <w:t>性能参数基于民用建材人造有机石英石要求来确定，可满足对承重要求较高的场景，</w:t>
      </w:r>
      <w:r>
        <w:rPr>
          <w:rFonts w:ascii="Times New Roman"/>
          <w:sz w:val="21"/>
          <w:szCs w:val="21"/>
        </w:rPr>
        <w:t>耐酸度根据</w:t>
      </w:r>
      <w:r>
        <w:rPr>
          <w:rFonts w:hAnsi="宋体"/>
          <w:kern w:val="2"/>
          <w:sz w:val="21"/>
          <w:szCs w:val="21"/>
        </w:rPr>
        <w:t>耐酸砖标准GB/T 8488-2008来确定。</w:t>
      </w:r>
      <w:r>
        <w:rPr>
          <w:rFonts w:hint="eastAsia" w:hAnsi="宋体"/>
          <w:kern w:val="2"/>
          <w:sz w:val="21"/>
          <w:szCs w:val="21"/>
          <w:lang w:val="en-US" w:eastAsia="zh-CN"/>
        </w:rPr>
        <w:t>对</w:t>
      </w:r>
      <w:r>
        <w:rPr>
          <w:rFonts w:hAnsi="宋体"/>
          <w:kern w:val="2"/>
          <w:sz w:val="21"/>
          <w:szCs w:val="21"/>
        </w:rPr>
        <w:t>AC-1</w:t>
      </w:r>
      <w:r>
        <w:rPr>
          <w:rFonts w:hint="eastAsia" w:hAnsi="宋体"/>
          <w:kern w:val="2"/>
          <w:sz w:val="21"/>
          <w:szCs w:val="21"/>
          <w:lang w:val="en-US" w:eastAsia="zh-CN"/>
        </w:rPr>
        <w:t>和</w:t>
      </w:r>
      <w:r>
        <w:rPr>
          <w:rFonts w:hAnsi="宋体"/>
          <w:kern w:val="2"/>
          <w:sz w:val="21"/>
          <w:szCs w:val="21"/>
        </w:rPr>
        <w:t>AC-</w:t>
      </w:r>
      <w:r>
        <w:rPr>
          <w:rFonts w:hint="eastAsia" w:hAnsi="宋体"/>
          <w:kern w:val="2"/>
          <w:sz w:val="21"/>
          <w:szCs w:val="21"/>
          <w:lang w:val="en-US" w:eastAsia="zh-CN"/>
        </w:rPr>
        <w:t>2</w:t>
      </w:r>
      <w:r>
        <w:rPr>
          <w:rFonts w:hAnsi="宋体"/>
          <w:kern w:val="2"/>
          <w:sz w:val="21"/>
          <w:szCs w:val="21"/>
        </w:rPr>
        <w:t>牌号</w:t>
      </w:r>
      <w:r>
        <w:rPr>
          <w:rFonts w:hint="eastAsia" w:hAnsi="宋体"/>
          <w:kern w:val="2"/>
          <w:sz w:val="21"/>
          <w:szCs w:val="21"/>
          <w:lang w:val="en-US" w:eastAsia="zh-CN"/>
        </w:rPr>
        <w:t>的市场产品性能指标进行统计，</w:t>
      </w:r>
      <w:r>
        <w:rPr>
          <w:rFonts w:hAnsi="宋体"/>
          <w:kern w:val="2"/>
          <w:sz w:val="21"/>
          <w:szCs w:val="21"/>
        </w:rPr>
        <w:t>五家企业的防腐复合板物理化学性能数据，如表</w:t>
      </w:r>
      <w:r>
        <w:rPr>
          <w:rFonts w:hint="eastAsia" w:hAnsi="宋体"/>
          <w:kern w:val="2"/>
          <w:sz w:val="21"/>
          <w:szCs w:val="21"/>
          <w:lang w:val="en-US" w:eastAsia="zh-CN"/>
        </w:rPr>
        <w:t>3</w:t>
      </w:r>
      <w:r>
        <w:rPr>
          <w:rFonts w:hAnsi="宋体"/>
          <w:kern w:val="2"/>
          <w:sz w:val="21"/>
          <w:szCs w:val="21"/>
        </w:rPr>
        <w:t>所示。企业1、企业2、企业3产品的物理化学性能满足AC-1牌号的要求，企业4、企业5产品的物理化学性能满足AC-2牌号的要求</w:t>
      </w:r>
      <w:r>
        <w:rPr>
          <w:rFonts w:hint="eastAsia" w:hAnsi="宋体"/>
          <w:kern w:val="2"/>
          <w:sz w:val="21"/>
          <w:szCs w:val="21"/>
          <w:lang w:eastAsia="zh-CN"/>
        </w:rPr>
        <w:t>。</w:t>
      </w:r>
    </w:p>
    <w:p w14:paraId="15A4A379">
      <w:pPr>
        <w:pStyle w:val="7"/>
        <w:kinsoku w:val="0"/>
        <w:overflowPunct w:val="0"/>
        <w:ind w:firstLine="420" w:firstLineChars="200"/>
        <w:jc w:val="both"/>
        <w:rPr>
          <w:rFonts w:hint="default" w:hAnsi="宋体" w:eastAsia="宋体"/>
          <w:kern w:val="2"/>
          <w:sz w:val="21"/>
          <w:szCs w:val="21"/>
          <w:lang w:val="en-US" w:eastAsia="zh-CN"/>
        </w:rPr>
      </w:pPr>
      <w:r>
        <w:rPr>
          <w:rFonts w:hint="eastAsia" w:hAnsi="宋体"/>
          <w:kern w:val="2"/>
          <w:sz w:val="21"/>
          <w:szCs w:val="21"/>
          <w:lang w:val="en-US" w:eastAsia="zh-CN"/>
        </w:rPr>
        <w:t>将防腐复合板按照力学强度分为两个等级，一方面为了方便使用单位根据具体使用场景选择合适牌号的产品，另一方面可促进生产厂家不断创新，优化产品质量，引导行业高质量发展。</w:t>
      </w:r>
    </w:p>
    <w:p w14:paraId="4963E56A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Ansi="宋体"/>
          <w:b w:val="0"/>
          <w:kern w:val="2"/>
          <w:sz w:val="21"/>
          <w:szCs w:val="21"/>
        </w:rPr>
      </w:pPr>
      <w:r>
        <w:rPr>
          <w:rFonts w:hint="eastAsia" w:ascii="Times New Roman" w:hAnsi="Times New Roman" w:eastAsia="黑体" w:cs="Times New Roman"/>
          <w:bCs/>
          <w:sz w:val="21"/>
          <w:szCs w:val="21"/>
          <w:lang w:val="en-US" w:eastAsia="zh-CN"/>
        </w:rPr>
        <w:t>表</w:t>
      </w:r>
      <w:r>
        <w:rPr>
          <w:rFonts w:hint="eastAsia" w:ascii="Times New Roman" w:eastAsia="黑体" w:cs="Times New Roman"/>
          <w:bCs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bCs/>
          <w:sz w:val="21"/>
          <w:szCs w:val="21"/>
          <w:lang w:val="en-US" w:eastAsia="zh-CN"/>
        </w:rPr>
        <w:t xml:space="preserve"> 不同企业生产的防腐复合板性能参数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818"/>
        <w:gridCol w:w="1027"/>
        <w:gridCol w:w="1000"/>
        <w:gridCol w:w="900"/>
        <w:gridCol w:w="928"/>
        <w:gridCol w:w="1327"/>
        <w:gridCol w:w="791"/>
        <w:gridCol w:w="698"/>
      </w:tblGrid>
      <w:tr w14:paraId="62196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 w14:paraId="0C2A9CBB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项目</w:t>
            </w:r>
          </w:p>
        </w:tc>
        <w:tc>
          <w:tcPr>
            <w:tcW w:w="818" w:type="dxa"/>
            <w:vAlign w:val="center"/>
          </w:tcPr>
          <w:p w14:paraId="11B080F7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吸水率(</w:t>
            </w:r>
            <w:r>
              <w:rPr>
                <w:rFonts w:ascii="Times New Roman" w:cs="Times New Roman"/>
                <w:sz w:val="15"/>
                <w:szCs w:val="15"/>
              </w:rPr>
              <w:t>%</w:t>
            </w:r>
            <w:r>
              <w:rPr>
                <w:rFonts w:hAnsi="宋体"/>
                <w:b w:val="0"/>
                <w:kern w:val="2"/>
                <w:sz w:val="15"/>
                <w:szCs w:val="15"/>
              </w:rPr>
              <w:t>)</w:t>
            </w:r>
          </w:p>
        </w:tc>
        <w:tc>
          <w:tcPr>
            <w:tcW w:w="1027" w:type="dxa"/>
            <w:vAlign w:val="center"/>
          </w:tcPr>
          <w:p w14:paraId="3682785D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莫氏硬度</w:t>
            </w:r>
          </w:p>
        </w:tc>
        <w:tc>
          <w:tcPr>
            <w:tcW w:w="1000" w:type="dxa"/>
            <w:vAlign w:val="center"/>
          </w:tcPr>
          <w:p w14:paraId="20801702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弯曲强度(</w:t>
            </w:r>
            <w:r>
              <w:rPr>
                <w:rFonts w:ascii="Times New Roman"/>
                <w:b w:val="0"/>
                <w:bCs/>
                <w:sz w:val="15"/>
                <w:szCs w:val="15"/>
              </w:rPr>
              <w:t>MPa</w:t>
            </w:r>
            <w:r>
              <w:rPr>
                <w:rFonts w:hAnsi="宋体"/>
                <w:b w:val="0"/>
                <w:kern w:val="2"/>
                <w:sz w:val="15"/>
                <w:szCs w:val="15"/>
              </w:rPr>
              <w:t>)</w:t>
            </w:r>
          </w:p>
        </w:tc>
        <w:tc>
          <w:tcPr>
            <w:tcW w:w="900" w:type="dxa"/>
            <w:vAlign w:val="center"/>
          </w:tcPr>
          <w:p w14:paraId="424C228B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压缩强度(</w:t>
            </w:r>
            <w:r>
              <w:rPr>
                <w:rFonts w:ascii="Times New Roman"/>
                <w:b w:val="0"/>
                <w:bCs/>
                <w:sz w:val="15"/>
                <w:szCs w:val="15"/>
              </w:rPr>
              <w:t>MPa</w:t>
            </w:r>
            <w:r>
              <w:rPr>
                <w:rFonts w:hAnsi="宋体"/>
                <w:b w:val="0"/>
                <w:kern w:val="2"/>
                <w:sz w:val="15"/>
                <w:szCs w:val="15"/>
              </w:rPr>
              <w:t>)</w:t>
            </w:r>
          </w:p>
        </w:tc>
        <w:tc>
          <w:tcPr>
            <w:tcW w:w="928" w:type="dxa"/>
            <w:vAlign w:val="center"/>
          </w:tcPr>
          <w:p w14:paraId="688211BB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冲击强度(</w:t>
            </w:r>
            <w:r>
              <w:rPr>
                <w:rFonts w:ascii="Times New Roman"/>
                <w:b w:val="0"/>
                <w:bCs/>
                <w:sz w:val="15"/>
                <w:szCs w:val="15"/>
              </w:rPr>
              <w:t>J</w:t>
            </w:r>
            <w:r>
              <w:rPr>
                <w:rFonts w:hAnsi="宋体"/>
                <w:b w:val="0"/>
                <w:kern w:val="2"/>
                <w:sz w:val="15"/>
                <w:szCs w:val="15"/>
              </w:rPr>
              <w:t>)</w:t>
            </w:r>
          </w:p>
        </w:tc>
        <w:tc>
          <w:tcPr>
            <w:tcW w:w="1327" w:type="dxa"/>
            <w:vAlign w:val="center"/>
          </w:tcPr>
          <w:p w14:paraId="401C9D92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线性热膨胀系数(</w:t>
            </w:r>
            <w:r>
              <w:rPr>
                <w:rFonts w:hint="default" w:ascii="Times New Roman" w:cs="Times New Roman"/>
                <w:b w:val="0"/>
                <w:bCs/>
                <w:sz w:val="15"/>
                <w:szCs w:val="15"/>
              </w:rPr>
              <w:t>℃</w:t>
            </w:r>
            <w:r>
              <w:rPr>
                <w:rFonts w:hint="default" w:ascii="Times New Roman" w:cs="Times New Roman"/>
                <w:b w:val="0"/>
                <w:bCs/>
                <w:sz w:val="15"/>
                <w:szCs w:val="15"/>
                <w:vertAlign w:val="superscript"/>
              </w:rPr>
              <w:t>-1</w:t>
            </w:r>
            <w:r>
              <w:rPr>
                <w:rFonts w:hAnsi="宋体"/>
                <w:b w:val="0"/>
                <w:kern w:val="2"/>
                <w:sz w:val="15"/>
                <w:szCs w:val="15"/>
              </w:rPr>
              <w:t>)</w:t>
            </w:r>
          </w:p>
        </w:tc>
        <w:tc>
          <w:tcPr>
            <w:tcW w:w="791" w:type="dxa"/>
            <w:vAlign w:val="center"/>
          </w:tcPr>
          <w:p w14:paraId="45371B0C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耐磨性(</w:t>
            </w:r>
            <w:r>
              <w:rPr>
                <w:rFonts w:ascii="Times New Roman"/>
                <w:b w:val="0"/>
                <w:bCs/>
                <w:sz w:val="15"/>
                <w:szCs w:val="15"/>
              </w:rPr>
              <w:t>mm</w:t>
            </w:r>
            <w:r>
              <w:rPr>
                <w:rFonts w:ascii="Times New Roman"/>
                <w:b w:val="0"/>
                <w:bCs/>
                <w:sz w:val="15"/>
                <w:szCs w:val="15"/>
                <w:vertAlign w:val="superscript"/>
              </w:rPr>
              <w:t>3</w:t>
            </w:r>
            <w:r>
              <w:rPr>
                <w:rFonts w:hAnsi="宋体"/>
                <w:b w:val="0"/>
                <w:kern w:val="2"/>
                <w:sz w:val="15"/>
                <w:szCs w:val="15"/>
              </w:rPr>
              <w:t>)</w:t>
            </w:r>
          </w:p>
        </w:tc>
        <w:tc>
          <w:tcPr>
            <w:tcW w:w="698" w:type="dxa"/>
            <w:vAlign w:val="center"/>
          </w:tcPr>
          <w:p w14:paraId="6CA66796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耐酸度(</w:t>
            </w:r>
            <w:r>
              <w:rPr>
                <w:rFonts w:ascii="Times New Roman"/>
                <w:b w:val="0"/>
                <w:bCs/>
                <w:sz w:val="15"/>
                <w:szCs w:val="15"/>
              </w:rPr>
              <w:t>%</w:t>
            </w:r>
            <w:r>
              <w:rPr>
                <w:rFonts w:hAnsi="宋体"/>
                <w:b w:val="0"/>
                <w:kern w:val="2"/>
                <w:sz w:val="15"/>
                <w:szCs w:val="15"/>
              </w:rPr>
              <w:t>)</w:t>
            </w:r>
          </w:p>
        </w:tc>
      </w:tr>
      <w:tr w14:paraId="1CEA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 w14:paraId="3C8D1666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企业1</w:t>
            </w:r>
          </w:p>
        </w:tc>
        <w:tc>
          <w:tcPr>
            <w:tcW w:w="818" w:type="dxa"/>
            <w:vAlign w:val="center"/>
          </w:tcPr>
          <w:p w14:paraId="393A0933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0.02</w:t>
            </w:r>
          </w:p>
        </w:tc>
        <w:tc>
          <w:tcPr>
            <w:tcW w:w="1027" w:type="dxa"/>
            <w:vAlign w:val="center"/>
          </w:tcPr>
          <w:p w14:paraId="4396D90E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6</w:t>
            </w:r>
          </w:p>
        </w:tc>
        <w:tc>
          <w:tcPr>
            <w:tcW w:w="1000" w:type="dxa"/>
            <w:vAlign w:val="center"/>
          </w:tcPr>
          <w:p w14:paraId="4B985B11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42</w:t>
            </w:r>
          </w:p>
        </w:tc>
        <w:tc>
          <w:tcPr>
            <w:tcW w:w="900" w:type="dxa"/>
            <w:vAlign w:val="center"/>
          </w:tcPr>
          <w:p w14:paraId="6FF711B6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212</w:t>
            </w:r>
          </w:p>
        </w:tc>
        <w:tc>
          <w:tcPr>
            <w:tcW w:w="928" w:type="dxa"/>
            <w:vAlign w:val="center"/>
          </w:tcPr>
          <w:p w14:paraId="53A21274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6.2</w:t>
            </w:r>
          </w:p>
        </w:tc>
        <w:tc>
          <w:tcPr>
            <w:tcW w:w="1327" w:type="dxa"/>
            <w:vAlign w:val="center"/>
          </w:tcPr>
          <w:p w14:paraId="07328ED5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1.6</w:t>
            </w:r>
            <w:r>
              <w:rPr>
                <w:rFonts w:ascii="Times New Roman" w:cs="Times New Roman"/>
                <w:b w:val="0"/>
                <w:sz w:val="15"/>
                <w:szCs w:val="15"/>
              </w:rPr>
              <w:t>×</w:t>
            </w:r>
            <w:r>
              <w:rPr>
                <w:rFonts w:hint="default" w:ascii="Times New Roman" w:cs="Times New Roman"/>
                <w:b w:val="0"/>
                <w:sz w:val="15"/>
                <w:szCs w:val="15"/>
              </w:rPr>
              <w:t>10</w:t>
            </w:r>
            <w:r>
              <w:rPr>
                <w:rFonts w:hint="default" w:ascii="Times New Roman" w:cs="Times New Roman"/>
                <w:b w:val="0"/>
                <w:sz w:val="15"/>
                <w:szCs w:val="15"/>
                <w:vertAlign w:val="superscript"/>
              </w:rPr>
              <w:t>-5</w:t>
            </w:r>
          </w:p>
        </w:tc>
        <w:tc>
          <w:tcPr>
            <w:tcW w:w="791" w:type="dxa"/>
            <w:vAlign w:val="center"/>
          </w:tcPr>
          <w:p w14:paraId="633C4A34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101</w:t>
            </w:r>
          </w:p>
        </w:tc>
        <w:tc>
          <w:tcPr>
            <w:tcW w:w="698" w:type="dxa"/>
            <w:vAlign w:val="center"/>
          </w:tcPr>
          <w:p w14:paraId="4DAA7DA4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99.8</w:t>
            </w:r>
          </w:p>
        </w:tc>
      </w:tr>
      <w:tr w14:paraId="7899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 w14:paraId="447861AB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企业2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F9D51EB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0.01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8403E20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6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12DE0D4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43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79BF17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185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E0757BF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4.7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19205520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1.8</w:t>
            </w:r>
            <w:r>
              <w:rPr>
                <w:rFonts w:ascii="Times New Roman" w:cs="Times New Roman"/>
                <w:b w:val="0"/>
                <w:sz w:val="15"/>
                <w:szCs w:val="15"/>
              </w:rPr>
              <w:t>×</w:t>
            </w:r>
            <w:r>
              <w:rPr>
                <w:rFonts w:hint="default" w:ascii="Times New Roman" w:cs="Times New Roman"/>
                <w:b w:val="0"/>
                <w:sz w:val="15"/>
                <w:szCs w:val="15"/>
              </w:rPr>
              <w:t>10</w:t>
            </w:r>
            <w:r>
              <w:rPr>
                <w:rFonts w:hint="default" w:ascii="Times New Roman" w:cs="Times New Roman"/>
                <w:b w:val="0"/>
                <w:sz w:val="15"/>
                <w:szCs w:val="15"/>
                <w:vertAlign w:val="superscript"/>
              </w:rPr>
              <w:t>-5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957FFD3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102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85E62C6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-</w:t>
            </w:r>
          </w:p>
        </w:tc>
      </w:tr>
      <w:tr w14:paraId="41AE0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 w14:paraId="4081CB5D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企业3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52D0766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0.017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E791CF0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078E667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43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385BB3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160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C20ACB8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-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10F2CBEF">
            <w:pPr>
              <w:pStyle w:val="2"/>
              <w:widowControl/>
              <w:autoSpaceDE/>
              <w:autoSpaceDN/>
              <w:ind w:left="0" w:leftChars="0" w:firstLine="0" w:firstLineChars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2.7</w:t>
            </w:r>
            <w:r>
              <w:rPr>
                <w:rFonts w:ascii="Times New Roman" w:cs="Times New Roman"/>
                <w:b w:val="0"/>
                <w:sz w:val="15"/>
                <w:szCs w:val="15"/>
              </w:rPr>
              <w:t>×</w:t>
            </w:r>
            <w:r>
              <w:rPr>
                <w:rFonts w:hint="default" w:ascii="Times New Roman" w:cs="Times New Roman"/>
                <w:b w:val="0"/>
                <w:sz w:val="15"/>
                <w:szCs w:val="15"/>
              </w:rPr>
              <w:t>10</w:t>
            </w:r>
            <w:r>
              <w:rPr>
                <w:rFonts w:hint="default" w:ascii="Times New Roman" w:cs="Times New Roman"/>
                <w:b w:val="0"/>
                <w:sz w:val="15"/>
                <w:szCs w:val="15"/>
                <w:vertAlign w:val="superscript"/>
              </w:rPr>
              <w:t>-5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F374C3F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121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CA37EDD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-</w:t>
            </w:r>
          </w:p>
        </w:tc>
      </w:tr>
      <w:tr w14:paraId="2E7B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 w14:paraId="3694EB32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企业4</w:t>
            </w:r>
          </w:p>
        </w:tc>
        <w:tc>
          <w:tcPr>
            <w:tcW w:w="818" w:type="dxa"/>
            <w:vAlign w:val="center"/>
          </w:tcPr>
          <w:p w14:paraId="5613014F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0.06</w:t>
            </w:r>
          </w:p>
        </w:tc>
        <w:tc>
          <w:tcPr>
            <w:tcW w:w="1027" w:type="dxa"/>
            <w:vAlign w:val="center"/>
          </w:tcPr>
          <w:p w14:paraId="71EBAC99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5</w:t>
            </w:r>
          </w:p>
        </w:tc>
        <w:tc>
          <w:tcPr>
            <w:tcW w:w="1000" w:type="dxa"/>
            <w:vAlign w:val="center"/>
          </w:tcPr>
          <w:p w14:paraId="7EA5DC15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35.6</w:t>
            </w:r>
          </w:p>
        </w:tc>
        <w:tc>
          <w:tcPr>
            <w:tcW w:w="900" w:type="dxa"/>
            <w:vAlign w:val="center"/>
          </w:tcPr>
          <w:p w14:paraId="22D2FD29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152.8</w:t>
            </w:r>
          </w:p>
        </w:tc>
        <w:tc>
          <w:tcPr>
            <w:tcW w:w="928" w:type="dxa"/>
            <w:vAlign w:val="center"/>
          </w:tcPr>
          <w:p w14:paraId="36E1CC74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4.6</w:t>
            </w:r>
          </w:p>
        </w:tc>
        <w:tc>
          <w:tcPr>
            <w:tcW w:w="1327" w:type="dxa"/>
            <w:vAlign w:val="center"/>
          </w:tcPr>
          <w:p w14:paraId="5E49AB86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1.7</w:t>
            </w:r>
            <w:r>
              <w:rPr>
                <w:rFonts w:ascii="Times New Roman" w:cs="Times New Roman"/>
                <w:b w:val="0"/>
                <w:sz w:val="15"/>
                <w:szCs w:val="15"/>
              </w:rPr>
              <w:t>×</w:t>
            </w:r>
            <w:r>
              <w:rPr>
                <w:rFonts w:hint="default" w:ascii="Times New Roman" w:cs="Times New Roman"/>
                <w:b w:val="0"/>
                <w:sz w:val="15"/>
                <w:szCs w:val="15"/>
              </w:rPr>
              <w:t>10</w:t>
            </w:r>
            <w:r>
              <w:rPr>
                <w:rFonts w:hint="default" w:ascii="Times New Roman" w:cs="Times New Roman"/>
                <w:b w:val="0"/>
                <w:sz w:val="15"/>
                <w:szCs w:val="15"/>
                <w:vertAlign w:val="superscript"/>
              </w:rPr>
              <w:t>-5</w:t>
            </w:r>
          </w:p>
        </w:tc>
        <w:tc>
          <w:tcPr>
            <w:tcW w:w="791" w:type="dxa"/>
            <w:vAlign w:val="center"/>
          </w:tcPr>
          <w:p w14:paraId="42021538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90.5</w:t>
            </w:r>
          </w:p>
        </w:tc>
        <w:tc>
          <w:tcPr>
            <w:tcW w:w="698" w:type="dxa"/>
            <w:vAlign w:val="center"/>
          </w:tcPr>
          <w:p w14:paraId="51227C73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99.8</w:t>
            </w:r>
          </w:p>
        </w:tc>
      </w:tr>
      <w:tr w14:paraId="667A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 w14:paraId="150CA8BC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企业5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C5E48A2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0.02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F4A95CD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89DCA2C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36.5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4E697F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158.5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9E60239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4.1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79CEF3BB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1.9</w:t>
            </w:r>
            <w:r>
              <w:rPr>
                <w:rFonts w:ascii="Times New Roman" w:cs="Times New Roman"/>
                <w:b w:val="0"/>
                <w:sz w:val="15"/>
                <w:szCs w:val="15"/>
              </w:rPr>
              <w:t>×</w:t>
            </w:r>
            <w:r>
              <w:rPr>
                <w:rFonts w:hint="default" w:ascii="Times New Roman" w:cs="Times New Roman"/>
                <w:b w:val="0"/>
                <w:sz w:val="15"/>
                <w:szCs w:val="15"/>
              </w:rPr>
              <w:t>10</w:t>
            </w:r>
            <w:r>
              <w:rPr>
                <w:rFonts w:hint="default" w:ascii="Times New Roman" w:cs="Times New Roman"/>
                <w:b w:val="0"/>
                <w:sz w:val="15"/>
                <w:szCs w:val="15"/>
                <w:vertAlign w:val="superscript"/>
              </w:rPr>
              <w:t>-5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952F307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118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ED4BBB5">
            <w:pPr>
              <w:pStyle w:val="2"/>
              <w:widowControl/>
              <w:autoSpaceDE/>
              <w:autoSpaceDN/>
              <w:ind w:left="0"/>
              <w:jc w:val="center"/>
              <w:rPr>
                <w:rFonts w:hAnsi="宋体"/>
                <w:b w:val="0"/>
                <w:kern w:val="2"/>
                <w:sz w:val="15"/>
                <w:szCs w:val="15"/>
              </w:rPr>
            </w:pPr>
            <w:r>
              <w:rPr>
                <w:rFonts w:hAnsi="宋体"/>
                <w:b w:val="0"/>
                <w:kern w:val="2"/>
                <w:sz w:val="15"/>
                <w:szCs w:val="15"/>
              </w:rPr>
              <w:t>99.8</w:t>
            </w:r>
          </w:p>
        </w:tc>
      </w:tr>
    </w:tbl>
    <w:p w14:paraId="3DD43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4" w:beforeLines="50"/>
        <w:ind w:firstLine="420" w:firstLineChars="200"/>
        <w:jc w:val="both"/>
        <w:textAlignment w:val="auto"/>
        <w:rPr>
          <w:rFonts w:hint="default" w:ascii="黑体" w:hAnsi="黑体" w:eastAsia="黑体"/>
          <w:b w:val="0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AC-1、AC-2、ACH-1、ACH-2牌号的防腐复合板在常见化学介质使用浓度和温度如表</w:t>
      </w:r>
      <w:r>
        <w:rPr>
          <w:rFonts w:hint="eastAsia" w:ascii="Times New Roman"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所示</w:t>
      </w:r>
      <w:r>
        <w:rPr>
          <w:rFonts w:hint="eastAsia" w:ascii="Times New Roman"/>
          <w:sz w:val="21"/>
          <w:szCs w:val="21"/>
          <w:lang w:val="en-US" w:eastAsia="zh-CN"/>
        </w:rPr>
        <w:t>，该表格参考实验数据、以及石英砂、树脂相关性能数据得到。ACF牌号的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防腐复合板在常见化学介质使用浓度和温度如表</w:t>
      </w:r>
      <w:r>
        <w:rPr>
          <w:rFonts w:hint="eastAsia" w:ascii="Times New Roman"/>
          <w:sz w:val="21"/>
          <w:szCs w:val="21"/>
          <w:lang w:val="en-US" w:eastAsia="zh-CN"/>
        </w:rPr>
        <w:t>5所示。</w:t>
      </w:r>
    </w:p>
    <w:p w14:paraId="210D7BC2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ascii="Times New Roman" w:hAnsi="Times New Roman" w:eastAsia="黑体" w:cs="Times New Roman"/>
          <w:bCs/>
          <w:sz w:val="21"/>
          <w:szCs w:val="21"/>
        </w:rPr>
      </w:pPr>
      <w:r>
        <w:rPr>
          <w:rFonts w:hint="eastAsia" w:ascii="Times New Roman" w:hAnsi="Times New Roman" w:eastAsia="黑体" w:cs="Times New Roman"/>
          <w:bCs/>
          <w:sz w:val="21"/>
          <w:szCs w:val="21"/>
          <w:lang w:val="en-US" w:eastAsia="zh-CN"/>
        </w:rPr>
        <w:t>表</w:t>
      </w:r>
      <w:r>
        <w:rPr>
          <w:rFonts w:hint="eastAsia" w:ascii="Times New Roman" w:eastAsia="黑体" w:cs="Times New Roman"/>
          <w:bCs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bCs/>
          <w:sz w:val="21"/>
          <w:szCs w:val="21"/>
          <w:lang w:val="en-US" w:eastAsia="zh-CN"/>
        </w:rPr>
        <w:t xml:space="preserve"> 常见化学介质使用浓度和温度</w:t>
      </w:r>
    </w:p>
    <w:tbl>
      <w:tblPr>
        <w:tblStyle w:val="14"/>
        <w:tblW w:w="8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860"/>
        <w:gridCol w:w="2630"/>
        <w:gridCol w:w="2398"/>
      </w:tblGrid>
      <w:tr w14:paraId="78F8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78383C1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化学介质</w:t>
            </w:r>
          </w:p>
        </w:tc>
        <w:tc>
          <w:tcPr>
            <w:tcW w:w="1860" w:type="dxa"/>
            <w:vMerge w:val="restart"/>
            <w:vAlign w:val="center"/>
          </w:tcPr>
          <w:p w14:paraId="29315A0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浓度（%）</w:t>
            </w:r>
          </w:p>
        </w:tc>
        <w:tc>
          <w:tcPr>
            <w:tcW w:w="5028" w:type="dxa"/>
            <w:gridSpan w:val="2"/>
            <w:vAlign w:val="center"/>
          </w:tcPr>
          <w:p w14:paraId="32D11FB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推荐使用温度（℃）</w:t>
            </w:r>
          </w:p>
        </w:tc>
      </w:tr>
      <w:tr w14:paraId="1C534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3396D20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continue"/>
            <w:vAlign w:val="center"/>
          </w:tcPr>
          <w:p w14:paraId="0AE2D83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630" w:type="dxa"/>
            <w:vAlign w:val="center"/>
          </w:tcPr>
          <w:p w14:paraId="1137F1E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2牌号</w:t>
            </w:r>
          </w:p>
        </w:tc>
        <w:tc>
          <w:tcPr>
            <w:tcW w:w="2398" w:type="dxa"/>
            <w:vAlign w:val="center"/>
          </w:tcPr>
          <w:p w14:paraId="7B754CB6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2牌号</w:t>
            </w:r>
          </w:p>
        </w:tc>
      </w:tr>
      <w:tr w14:paraId="06F1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02D3729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</w:t>
            </w:r>
          </w:p>
        </w:tc>
        <w:tc>
          <w:tcPr>
            <w:tcW w:w="1860" w:type="dxa"/>
            <w:vAlign w:val="center"/>
          </w:tcPr>
          <w:p w14:paraId="78C2FAF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0-25</w:t>
            </w:r>
          </w:p>
        </w:tc>
        <w:tc>
          <w:tcPr>
            <w:tcW w:w="2630" w:type="dxa"/>
            <w:vAlign w:val="center"/>
          </w:tcPr>
          <w:p w14:paraId="2D1690A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332AEC1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120</w:t>
            </w:r>
          </w:p>
        </w:tc>
      </w:tr>
      <w:tr w14:paraId="371F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0E632CB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5D313AD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630" w:type="dxa"/>
            <w:vAlign w:val="center"/>
          </w:tcPr>
          <w:p w14:paraId="03373D6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2398" w:type="dxa"/>
            <w:vAlign w:val="center"/>
          </w:tcPr>
          <w:p w14:paraId="5B55D30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105</w:t>
            </w:r>
          </w:p>
        </w:tc>
      </w:tr>
      <w:tr w14:paraId="275D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09AF48C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72FB4A3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  <w:tc>
          <w:tcPr>
            <w:tcW w:w="2630" w:type="dxa"/>
            <w:vAlign w:val="center"/>
          </w:tcPr>
          <w:p w14:paraId="04F3C90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398" w:type="dxa"/>
            <w:vAlign w:val="center"/>
          </w:tcPr>
          <w:p w14:paraId="7379A8E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</w:tr>
      <w:tr w14:paraId="25CA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087B8EB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04C5FC4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  <w:tc>
          <w:tcPr>
            <w:tcW w:w="2630" w:type="dxa"/>
            <w:vAlign w:val="center"/>
          </w:tcPr>
          <w:p w14:paraId="3E30C04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398" w:type="dxa"/>
            <w:vAlign w:val="center"/>
          </w:tcPr>
          <w:p w14:paraId="6FF21B1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</w:tr>
      <w:tr w14:paraId="1909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0087A4F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77ED70D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75</w:t>
            </w:r>
          </w:p>
        </w:tc>
        <w:tc>
          <w:tcPr>
            <w:tcW w:w="2630" w:type="dxa"/>
            <w:vAlign w:val="center"/>
          </w:tcPr>
          <w:p w14:paraId="5F4066C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398" w:type="dxa"/>
            <w:vAlign w:val="center"/>
          </w:tcPr>
          <w:p w14:paraId="7C262AE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55</w:t>
            </w:r>
          </w:p>
        </w:tc>
      </w:tr>
      <w:tr w14:paraId="7A9DA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20E16D8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6A80DB7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630" w:type="dxa"/>
            <w:vAlign w:val="center"/>
          </w:tcPr>
          <w:p w14:paraId="72B5C72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06BD3E5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55</w:t>
            </w:r>
          </w:p>
        </w:tc>
      </w:tr>
      <w:tr w14:paraId="7912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5428F8C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盐酸</w:t>
            </w:r>
          </w:p>
        </w:tc>
        <w:tc>
          <w:tcPr>
            <w:tcW w:w="1860" w:type="dxa"/>
            <w:vAlign w:val="center"/>
          </w:tcPr>
          <w:p w14:paraId="3D94436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0-20</w:t>
            </w:r>
          </w:p>
        </w:tc>
        <w:tc>
          <w:tcPr>
            <w:tcW w:w="2630" w:type="dxa"/>
            <w:vAlign w:val="center"/>
          </w:tcPr>
          <w:p w14:paraId="6903B6B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3140D2D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110</w:t>
            </w:r>
          </w:p>
        </w:tc>
      </w:tr>
      <w:tr w14:paraId="5D34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7576D328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665FC4D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630" w:type="dxa"/>
            <w:vAlign w:val="center"/>
          </w:tcPr>
          <w:p w14:paraId="0B7D6B4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398" w:type="dxa"/>
            <w:vAlign w:val="center"/>
          </w:tcPr>
          <w:p w14:paraId="13CC2CE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</w:tr>
      <w:tr w14:paraId="1A296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03403300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952BA8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630" w:type="dxa"/>
            <w:vAlign w:val="center"/>
          </w:tcPr>
          <w:p w14:paraId="6F242E3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  <w:tc>
          <w:tcPr>
            <w:tcW w:w="2398" w:type="dxa"/>
            <w:vAlign w:val="center"/>
          </w:tcPr>
          <w:p w14:paraId="089C0CC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</w:tr>
      <w:tr w14:paraId="28AE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2E1383BB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63DCB42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36</w:t>
            </w:r>
          </w:p>
        </w:tc>
        <w:tc>
          <w:tcPr>
            <w:tcW w:w="2630" w:type="dxa"/>
            <w:vAlign w:val="center"/>
          </w:tcPr>
          <w:p w14:paraId="659C30D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398" w:type="dxa"/>
            <w:vAlign w:val="center"/>
          </w:tcPr>
          <w:p w14:paraId="243E400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</w:tr>
      <w:tr w14:paraId="32AED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58682F15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405173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37</w:t>
            </w:r>
          </w:p>
        </w:tc>
        <w:tc>
          <w:tcPr>
            <w:tcW w:w="2630" w:type="dxa"/>
            <w:vAlign w:val="center"/>
          </w:tcPr>
          <w:p w14:paraId="43A7F10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466F6D2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7B38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507761DD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硝酸</w:t>
            </w:r>
          </w:p>
        </w:tc>
        <w:tc>
          <w:tcPr>
            <w:tcW w:w="1860" w:type="dxa"/>
            <w:vAlign w:val="center"/>
          </w:tcPr>
          <w:p w14:paraId="509B2A9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0-0.5</w:t>
            </w:r>
          </w:p>
        </w:tc>
        <w:tc>
          <w:tcPr>
            <w:tcW w:w="2630" w:type="dxa"/>
            <w:vAlign w:val="center"/>
          </w:tcPr>
          <w:p w14:paraId="39E36D3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42D59B7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</w:tr>
      <w:tr w14:paraId="3CF0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6593BAD6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3788AFB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630" w:type="dxa"/>
            <w:vAlign w:val="center"/>
          </w:tcPr>
          <w:p w14:paraId="05ED297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  <w:tc>
          <w:tcPr>
            <w:tcW w:w="2398" w:type="dxa"/>
            <w:vAlign w:val="center"/>
          </w:tcPr>
          <w:p w14:paraId="166ACE9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</w:tr>
      <w:tr w14:paraId="6C89E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084E666C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38C0EF7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630" w:type="dxa"/>
            <w:vAlign w:val="center"/>
          </w:tcPr>
          <w:p w14:paraId="1368B25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  <w:tc>
          <w:tcPr>
            <w:tcW w:w="2398" w:type="dxa"/>
            <w:vAlign w:val="center"/>
          </w:tcPr>
          <w:p w14:paraId="26DB125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</w:tr>
      <w:tr w14:paraId="511B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65780D00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49B9C99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630" w:type="dxa"/>
            <w:vAlign w:val="center"/>
          </w:tcPr>
          <w:p w14:paraId="0914CC8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398" w:type="dxa"/>
            <w:vAlign w:val="center"/>
          </w:tcPr>
          <w:p w14:paraId="7B4203D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</w:tr>
      <w:tr w14:paraId="312F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22E77B7D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6063D4E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630" w:type="dxa"/>
            <w:vAlign w:val="center"/>
          </w:tcPr>
          <w:p w14:paraId="259ABC9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216EF72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1CDC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7E3ED90E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3CAF3BF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35</w:t>
            </w:r>
          </w:p>
        </w:tc>
        <w:tc>
          <w:tcPr>
            <w:tcW w:w="2630" w:type="dxa"/>
            <w:vAlign w:val="center"/>
          </w:tcPr>
          <w:p w14:paraId="6B7FC2F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398" w:type="dxa"/>
            <w:vAlign w:val="center"/>
          </w:tcPr>
          <w:p w14:paraId="3E5DF26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324DC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5313F1DD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4B2D5A3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630" w:type="dxa"/>
            <w:vAlign w:val="center"/>
          </w:tcPr>
          <w:p w14:paraId="5C01D84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398" w:type="dxa"/>
            <w:vAlign w:val="center"/>
          </w:tcPr>
          <w:p w14:paraId="14393A4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</w:tr>
      <w:tr w14:paraId="741B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3F81EB0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磷酸</w:t>
            </w:r>
          </w:p>
        </w:tc>
        <w:tc>
          <w:tcPr>
            <w:tcW w:w="1860" w:type="dxa"/>
            <w:vAlign w:val="center"/>
          </w:tcPr>
          <w:p w14:paraId="155525B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630" w:type="dxa"/>
            <w:vAlign w:val="center"/>
          </w:tcPr>
          <w:p w14:paraId="3CC8EE7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104102C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110</w:t>
            </w:r>
          </w:p>
        </w:tc>
      </w:tr>
      <w:tr w14:paraId="51C1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40DD82EB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硫酸/盐酸</w:t>
            </w:r>
          </w:p>
        </w:tc>
        <w:tc>
          <w:tcPr>
            <w:tcW w:w="1860" w:type="dxa"/>
            <w:vAlign w:val="center"/>
          </w:tcPr>
          <w:p w14:paraId="4D753D0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0-20/0-6</w:t>
            </w:r>
          </w:p>
        </w:tc>
        <w:tc>
          <w:tcPr>
            <w:tcW w:w="2630" w:type="dxa"/>
            <w:vAlign w:val="center"/>
          </w:tcPr>
          <w:p w14:paraId="2B44EEE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398" w:type="dxa"/>
            <w:vAlign w:val="center"/>
          </w:tcPr>
          <w:p w14:paraId="61761EB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</w:tr>
      <w:tr w14:paraId="6605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27B4F603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0F85A1D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25/10</w:t>
            </w:r>
          </w:p>
        </w:tc>
        <w:tc>
          <w:tcPr>
            <w:tcW w:w="2630" w:type="dxa"/>
            <w:vAlign w:val="center"/>
          </w:tcPr>
          <w:p w14:paraId="4492065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55</w:t>
            </w:r>
          </w:p>
        </w:tc>
        <w:tc>
          <w:tcPr>
            <w:tcW w:w="2398" w:type="dxa"/>
            <w:vAlign w:val="center"/>
          </w:tcPr>
          <w:p w14:paraId="4A8C01E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</w:tr>
      <w:tr w14:paraId="0838E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185FC78D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F44349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50/15</w:t>
            </w:r>
          </w:p>
        </w:tc>
        <w:tc>
          <w:tcPr>
            <w:tcW w:w="2630" w:type="dxa"/>
            <w:vAlign w:val="center"/>
          </w:tcPr>
          <w:p w14:paraId="704A736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6D153B1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0F88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2255245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硫酸/硝酸</w:t>
            </w:r>
          </w:p>
        </w:tc>
        <w:tc>
          <w:tcPr>
            <w:tcW w:w="1860" w:type="dxa"/>
            <w:vAlign w:val="center"/>
          </w:tcPr>
          <w:p w14:paraId="7B45843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0-10/0-2.5</w:t>
            </w:r>
          </w:p>
        </w:tc>
        <w:tc>
          <w:tcPr>
            <w:tcW w:w="2630" w:type="dxa"/>
            <w:vAlign w:val="center"/>
          </w:tcPr>
          <w:p w14:paraId="008EC8C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  <w:tc>
          <w:tcPr>
            <w:tcW w:w="2398" w:type="dxa"/>
            <w:vAlign w:val="center"/>
          </w:tcPr>
          <w:p w14:paraId="3DC28F6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</w:tr>
      <w:tr w14:paraId="31DB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54884DD3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7B35FB9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20/5</w:t>
            </w:r>
          </w:p>
        </w:tc>
        <w:tc>
          <w:tcPr>
            <w:tcW w:w="2630" w:type="dxa"/>
            <w:vAlign w:val="center"/>
          </w:tcPr>
          <w:p w14:paraId="244F09B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  <w:tc>
          <w:tcPr>
            <w:tcW w:w="2398" w:type="dxa"/>
            <w:vAlign w:val="center"/>
          </w:tcPr>
          <w:p w14:paraId="2BC3DECD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75</w:t>
            </w:r>
          </w:p>
        </w:tc>
      </w:tr>
      <w:tr w14:paraId="2FC58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426F55A1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4EF1583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2630" w:type="dxa"/>
            <w:vAlign w:val="center"/>
          </w:tcPr>
          <w:p w14:paraId="6617029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350FF69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23332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1573B0F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硫酸/磷酸</w:t>
            </w:r>
          </w:p>
        </w:tc>
        <w:tc>
          <w:tcPr>
            <w:tcW w:w="1860" w:type="dxa"/>
            <w:vAlign w:val="center"/>
          </w:tcPr>
          <w:p w14:paraId="0015E1A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0-40/0-45</w:t>
            </w:r>
          </w:p>
        </w:tc>
        <w:tc>
          <w:tcPr>
            <w:tcW w:w="2630" w:type="dxa"/>
            <w:vAlign w:val="center"/>
          </w:tcPr>
          <w:p w14:paraId="3F62DDC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3FF8234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</w:tr>
      <w:tr w14:paraId="1A30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7F85A102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6F3FBB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15/85</w:t>
            </w:r>
          </w:p>
        </w:tc>
        <w:tc>
          <w:tcPr>
            <w:tcW w:w="2630" w:type="dxa"/>
            <w:vAlign w:val="center"/>
          </w:tcPr>
          <w:p w14:paraId="150BD41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7215D1F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5CD7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06672B9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硫酸/硝酸/盐酸</w:t>
            </w:r>
          </w:p>
        </w:tc>
        <w:tc>
          <w:tcPr>
            <w:tcW w:w="1860" w:type="dxa"/>
            <w:vAlign w:val="center"/>
          </w:tcPr>
          <w:p w14:paraId="711FA15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0-7/0-3.5/0-70</w:t>
            </w:r>
          </w:p>
        </w:tc>
        <w:tc>
          <w:tcPr>
            <w:tcW w:w="2630" w:type="dxa"/>
            <w:vAlign w:val="center"/>
          </w:tcPr>
          <w:p w14:paraId="1DF0AEC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  <w:tc>
          <w:tcPr>
            <w:tcW w:w="2398" w:type="dxa"/>
            <w:vAlign w:val="center"/>
          </w:tcPr>
          <w:p w14:paraId="381FEC9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</w:tr>
      <w:tr w14:paraId="7B3DA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3E11002E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75FDAF6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40/40/35</w:t>
            </w:r>
          </w:p>
        </w:tc>
        <w:tc>
          <w:tcPr>
            <w:tcW w:w="2630" w:type="dxa"/>
            <w:vAlign w:val="center"/>
          </w:tcPr>
          <w:p w14:paraId="2AEC426D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398" w:type="dxa"/>
            <w:vAlign w:val="center"/>
          </w:tcPr>
          <w:p w14:paraId="1B29C2E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</w:tr>
      <w:tr w14:paraId="2C80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4F6F56F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硫酸/硝酸/磷酸</w:t>
            </w:r>
          </w:p>
        </w:tc>
        <w:tc>
          <w:tcPr>
            <w:tcW w:w="1860" w:type="dxa"/>
            <w:vAlign w:val="center"/>
          </w:tcPr>
          <w:p w14:paraId="1235495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0-13/0-11/10-30</w:t>
            </w:r>
          </w:p>
        </w:tc>
        <w:tc>
          <w:tcPr>
            <w:tcW w:w="2630" w:type="dxa"/>
            <w:vAlign w:val="center"/>
          </w:tcPr>
          <w:p w14:paraId="784D6AE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  <w:tc>
          <w:tcPr>
            <w:tcW w:w="2398" w:type="dxa"/>
            <w:vAlign w:val="center"/>
          </w:tcPr>
          <w:p w14:paraId="12FA222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</w:tr>
      <w:tr w14:paraId="1C1A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79F48784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3F6A82A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5/20/2</w:t>
            </w:r>
          </w:p>
        </w:tc>
        <w:tc>
          <w:tcPr>
            <w:tcW w:w="2630" w:type="dxa"/>
            <w:vAlign w:val="center"/>
          </w:tcPr>
          <w:p w14:paraId="55C381E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2A23865D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1438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3A76E74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盐酸/硝酸</w:t>
            </w:r>
          </w:p>
        </w:tc>
        <w:tc>
          <w:tcPr>
            <w:tcW w:w="1860" w:type="dxa"/>
            <w:vAlign w:val="center"/>
          </w:tcPr>
          <w:p w14:paraId="2CF08DC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0-10/0-10</w:t>
            </w:r>
          </w:p>
        </w:tc>
        <w:tc>
          <w:tcPr>
            <w:tcW w:w="2630" w:type="dxa"/>
            <w:vAlign w:val="center"/>
          </w:tcPr>
          <w:p w14:paraId="0056B8E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2398" w:type="dxa"/>
            <w:vAlign w:val="center"/>
          </w:tcPr>
          <w:p w14:paraId="5AF09F5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</w:tr>
      <w:tr w14:paraId="699A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79CA2B6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盐酸/磷酸</w:t>
            </w:r>
          </w:p>
        </w:tc>
        <w:tc>
          <w:tcPr>
            <w:tcW w:w="1860" w:type="dxa"/>
            <w:vAlign w:val="center"/>
          </w:tcPr>
          <w:p w14:paraId="158E6D5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0-2/0-70</w:t>
            </w:r>
          </w:p>
        </w:tc>
        <w:tc>
          <w:tcPr>
            <w:tcW w:w="2630" w:type="dxa"/>
            <w:vAlign w:val="center"/>
          </w:tcPr>
          <w:p w14:paraId="6E8CC20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45</w:t>
            </w:r>
          </w:p>
        </w:tc>
        <w:tc>
          <w:tcPr>
            <w:tcW w:w="2398" w:type="dxa"/>
            <w:vAlign w:val="center"/>
          </w:tcPr>
          <w:p w14:paraId="521FD3F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</w:tr>
      <w:tr w14:paraId="0C68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22D94DE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硝酸/磷酸</w:t>
            </w:r>
          </w:p>
        </w:tc>
        <w:tc>
          <w:tcPr>
            <w:tcW w:w="1860" w:type="dxa"/>
            <w:vAlign w:val="center"/>
          </w:tcPr>
          <w:p w14:paraId="541A76B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0-24/0-23</w:t>
            </w:r>
          </w:p>
        </w:tc>
        <w:tc>
          <w:tcPr>
            <w:tcW w:w="2630" w:type="dxa"/>
            <w:vAlign w:val="center"/>
          </w:tcPr>
          <w:p w14:paraId="5B1FEB0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358D867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13FE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27E52BDA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0580295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5/5</w:t>
            </w:r>
          </w:p>
        </w:tc>
        <w:tc>
          <w:tcPr>
            <w:tcW w:w="2630" w:type="dxa"/>
            <w:vAlign w:val="center"/>
          </w:tcPr>
          <w:p w14:paraId="04B1A4C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  <w:tc>
          <w:tcPr>
            <w:tcW w:w="2398" w:type="dxa"/>
            <w:vAlign w:val="center"/>
          </w:tcPr>
          <w:p w14:paraId="4A6B0AA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</w:tr>
      <w:tr w14:paraId="5933C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7857F7F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硫酸铜</w:t>
            </w:r>
          </w:p>
        </w:tc>
        <w:tc>
          <w:tcPr>
            <w:tcW w:w="1860" w:type="dxa"/>
            <w:vAlign w:val="center"/>
          </w:tcPr>
          <w:p w14:paraId="39E4BB8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ALL</w:t>
            </w:r>
          </w:p>
        </w:tc>
        <w:tc>
          <w:tcPr>
            <w:tcW w:w="2630" w:type="dxa"/>
            <w:vAlign w:val="center"/>
          </w:tcPr>
          <w:p w14:paraId="684B599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147565A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120</w:t>
            </w:r>
          </w:p>
        </w:tc>
      </w:tr>
      <w:tr w14:paraId="1351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656AC0C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硫酸铜/硫酸</w:t>
            </w:r>
          </w:p>
        </w:tc>
        <w:tc>
          <w:tcPr>
            <w:tcW w:w="1860" w:type="dxa"/>
            <w:vAlign w:val="center"/>
          </w:tcPr>
          <w:p w14:paraId="2F577F3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0-25/0-35</w:t>
            </w:r>
          </w:p>
        </w:tc>
        <w:tc>
          <w:tcPr>
            <w:tcW w:w="2630" w:type="dxa"/>
            <w:vAlign w:val="center"/>
          </w:tcPr>
          <w:p w14:paraId="6A6992C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5F5D625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</w:tr>
      <w:tr w14:paraId="139B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336DC7A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甲醇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8436354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0-5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4CD97237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211F6B6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</w:tr>
      <w:tr w14:paraId="5D32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222B9B3D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5B70542D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37F6B046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35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5FA67FE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69B7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8" w:type="dxa"/>
            <w:vMerge w:val="continue"/>
            <w:vAlign w:val="center"/>
          </w:tcPr>
          <w:p w14:paraId="7AA878D4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1812672E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1411BECD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6DA775C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</w:tr>
      <w:tr w14:paraId="67F6E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3DD0D042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704AD38B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28250FE8"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0FCA7E2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45</w:t>
            </w:r>
          </w:p>
        </w:tc>
      </w:tr>
      <w:tr w14:paraId="54E1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55A3EFA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乙醇</w:t>
            </w:r>
          </w:p>
        </w:tc>
        <w:tc>
          <w:tcPr>
            <w:tcW w:w="1860" w:type="dxa"/>
            <w:vAlign w:val="center"/>
          </w:tcPr>
          <w:p w14:paraId="3AA5318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0-50</w:t>
            </w:r>
          </w:p>
        </w:tc>
        <w:tc>
          <w:tcPr>
            <w:tcW w:w="2630" w:type="dxa"/>
            <w:vAlign w:val="center"/>
          </w:tcPr>
          <w:p w14:paraId="09610F1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398" w:type="dxa"/>
            <w:vAlign w:val="center"/>
          </w:tcPr>
          <w:p w14:paraId="7BE8BAE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</w:tr>
      <w:tr w14:paraId="32644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41B1D643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55D8E93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630" w:type="dxa"/>
            <w:vAlign w:val="center"/>
          </w:tcPr>
          <w:p w14:paraId="5EF3F42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398" w:type="dxa"/>
            <w:vAlign w:val="center"/>
          </w:tcPr>
          <w:p w14:paraId="101F365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0506A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775E7C0A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66D7F7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2630" w:type="dxa"/>
            <w:vAlign w:val="center"/>
          </w:tcPr>
          <w:p w14:paraId="4B11F4B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398" w:type="dxa"/>
            <w:vAlign w:val="center"/>
          </w:tcPr>
          <w:p w14:paraId="6E14BFB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72CC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2797B8FC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295329E6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630" w:type="dxa"/>
            <w:vAlign w:val="center"/>
          </w:tcPr>
          <w:p w14:paraId="1C9F6AF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2398" w:type="dxa"/>
            <w:vAlign w:val="center"/>
          </w:tcPr>
          <w:p w14:paraId="372549F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</w:tr>
      <w:tr w14:paraId="6EC2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3C88578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丙醇</w:t>
            </w:r>
          </w:p>
        </w:tc>
        <w:tc>
          <w:tcPr>
            <w:tcW w:w="1860" w:type="dxa"/>
            <w:vAlign w:val="center"/>
          </w:tcPr>
          <w:p w14:paraId="04E8101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0-100</w:t>
            </w:r>
          </w:p>
        </w:tc>
        <w:tc>
          <w:tcPr>
            <w:tcW w:w="2630" w:type="dxa"/>
            <w:vAlign w:val="center"/>
          </w:tcPr>
          <w:p w14:paraId="2D13854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398" w:type="dxa"/>
            <w:vAlign w:val="center"/>
          </w:tcPr>
          <w:p w14:paraId="4DC1C30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</w:tr>
      <w:tr w14:paraId="4EF2B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74E692D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丙二醇</w:t>
            </w:r>
          </w:p>
        </w:tc>
        <w:tc>
          <w:tcPr>
            <w:tcW w:w="1860" w:type="dxa"/>
            <w:vAlign w:val="center"/>
          </w:tcPr>
          <w:p w14:paraId="7DBE97A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0-100</w:t>
            </w:r>
          </w:p>
        </w:tc>
        <w:tc>
          <w:tcPr>
            <w:tcW w:w="2630" w:type="dxa"/>
            <w:vAlign w:val="center"/>
          </w:tcPr>
          <w:p w14:paraId="03C53035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6B3F816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110</w:t>
            </w:r>
          </w:p>
        </w:tc>
      </w:tr>
      <w:tr w14:paraId="71BA2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03BE6C08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丙烷</w:t>
            </w:r>
          </w:p>
        </w:tc>
        <w:tc>
          <w:tcPr>
            <w:tcW w:w="1860" w:type="dxa"/>
            <w:vAlign w:val="center"/>
          </w:tcPr>
          <w:p w14:paraId="5780848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630" w:type="dxa"/>
            <w:vAlign w:val="center"/>
          </w:tcPr>
          <w:p w14:paraId="0C34902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  <w:tc>
          <w:tcPr>
            <w:tcW w:w="2398" w:type="dxa"/>
            <w:vAlign w:val="center"/>
          </w:tcPr>
          <w:p w14:paraId="6D96112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</w:tr>
      <w:tr w14:paraId="294C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restart"/>
            <w:vAlign w:val="center"/>
          </w:tcPr>
          <w:p w14:paraId="39AC296A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乙酸</w:t>
            </w:r>
          </w:p>
        </w:tc>
        <w:tc>
          <w:tcPr>
            <w:tcW w:w="1860" w:type="dxa"/>
            <w:vAlign w:val="center"/>
          </w:tcPr>
          <w:p w14:paraId="36D6A76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0-25</w:t>
            </w:r>
          </w:p>
        </w:tc>
        <w:tc>
          <w:tcPr>
            <w:tcW w:w="2630" w:type="dxa"/>
            <w:vAlign w:val="center"/>
          </w:tcPr>
          <w:p w14:paraId="47913292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vAlign w:val="center"/>
          </w:tcPr>
          <w:p w14:paraId="306689C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</w:tr>
      <w:tr w14:paraId="1B3F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64EC82A3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7DE577F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26-50</w:t>
            </w:r>
          </w:p>
        </w:tc>
        <w:tc>
          <w:tcPr>
            <w:tcW w:w="2630" w:type="dxa"/>
            <w:vAlign w:val="center"/>
          </w:tcPr>
          <w:p w14:paraId="51DE2BA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  <w:tc>
          <w:tcPr>
            <w:tcW w:w="2398" w:type="dxa"/>
            <w:vAlign w:val="center"/>
          </w:tcPr>
          <w:p w14:paraId="36A0C1C0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</w:tr>
      <w:tr w14:paraId="33C84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537DBD34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536F2B2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51-75</w:t>
            </w:r>
          </w:p>
        </w:tc>
        <w:tc>
          <w:tcPr>
            <w:tcW w:w="2630" w:type="dxa"/>
            <w:vAlign w:val="center"/>
          </w:tcPr>
          <w:p w14:paraId="4D93944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  <w:tc>
          <w:tcPr>
            <w:tcW w:w="2398" w:type="dxa"/>
            <w:vAlign w:val="center"/>
          </w:tcPr>
          <w:p w14:paraId="75F3238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80</w:t>
            </w:r>
          </w:p>
        </w:tc>
      </w:tr>
      <w:tr w14:paraId="11C8F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Merge w:val="continue"/>
            <w:vAlign w:val="center"/>
          </w:tcPr>
          <w:p w14:paraId="052A820B">
            <w:pPr>
              <w:jc w:val="center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2CD6356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76-85</w:t>
            </w:r>
          </w:p>
        </w:tc>
        <w:tc>
          <w:tcPr>
            <w:tcW w:w="2630" w:type="dxa"/>
            <w:vAlign w:val="center"/>
          </w:tcPr>
          <w:p w14:paraId="1A9F5E8D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45</w:t>
            </w:r>
          </w:p>
        </w:tc>
        <w:tc>
          <w:tcPr>
            <w:tcW w:w="2398" w:type="dxa"/>
            <w:vAlign w:val="center"/>
          </w:tcPr>
          <w:p w14:paraId="399AA35E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</w:tr>
      <w:tr w14:paraId="43CF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shd w:val="clear" w:color="auto" w:fill="auto"/>
            <w:vAlign w:val="center"/>
          </w:tcPr>
          <w:p w14:paraId="39CEDC43">
            <w:pPr>
              <w:jc w:val="center"/>
              <w:rPr>
                <w:rFonts w:hint="default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二氧化硫（干）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B827617">
            <w:pPr>
              <w:jc w:val="center"/>
              <w:rPr>
                <w:rFonts w:hint="default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3C076E7F">
            <w:pPr>
              <w:jc w:val="center"/>
              <w:rPr>
                <w:rFonts w:hint="default" w:ascii="Times New Roman" w:hAnsi="Times New Roman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0AEE7407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140</w:t>
            </w:r>
          </w:p>
        </w:tc>
      </w:tr>
      <w:tr w14:paraId="0289A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49521A5D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氢氧化钠</w:t>
            </w:r>
          </w:p>
        </w:tc>
        <w:tc>
          <w:tcPr>
            <w:tcW w:w="1860" w:type="dxa"/>
            <w:vAlign w:val="center"/>
          </w:tcPr>
          <w:p w14:paraId="5305F829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0-40</w:t>
            </w:r>
          </w:p>
        </w:tc>
        <w:tc>
          <w:tcPr>
            <w:tcW w:w="2630" w:type="dxa"/>
            <w:vAlign w:val="center"/>
          </w:tcPr>
          <w:p w14:paraId="709ADE03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398" w:type="dxa"/>
            <w:vAlign w:val="center"/>
          </w:tcPr>
          <w:p w14:paraId="74AF7C8C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</w:tr>
      <w:tr w14:paraId="686B1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 w14:paraId="69536194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氢氧化钾</w:t>
            </w:r>
          </w:p>
        </w:tc>
        <w:tc>
          <w:tcPr>
            <w:tcW w:w="1860" w:type="dxa"/>
            <w:vAlign w:val="center"/>
          </w:tcPr>
          <w:p w14:paraId="7F03CF1B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0-40</w:t>
            </w:r>
          </w:p>
        </w:tc>
        <w:tc>
          <w:tcPr>
            <w:tcW w:w="2630" w:type="dxa"/>
            <w:vAlign w:val="center"/>
          </w:tcPr>
          <w:p w14:paraId="1F09F86F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398" w:type="dxa"/>
            <w:vAlign w:val="center"/>
          </w:tcPr>
          <w:p w14:paraId="3E38FEB1">
            <w:pPr>
              <w:jc w:val="center"/>
              <w:rPr>
                <w:rFonts w:hint="default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</w:tr>
      <w:tr w14:paraId="4406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46" w:type="dxa"/>
            <w:gridSpan w:val="4"/>
            <w:vAlign w:val="center"/>
          </w:tcPr>
          <w:p w14:paraId="3B557113">
            <w:pPr>
              <w:jc w:val="both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注：</w:t>
            </w:r>
          </w:p>
          <w:p w14:paraId="671CC700">
            <w:pPr>
              <w:ind w:firstLine="420"/>
              <w:jc w:val="both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1.溶液介质的溶剂均为水。</w:t>
            </w:r>
          </w:p>
          <w:p w14:paraId="32D48711">
            <w:pPr>
              <w:ind w:firstLine="420"/>
              <w:jc w:val="both"/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vertAlign w:val="baseline"/>
                <w:lang w:val="en-US" w:eastAsia="zh-CN"/>
              </w:rPr>
              <w:t>2.其他介质和温度下的耐腐蚀性暂无数据，有需要可与厂家联系验证。</w:t>
            </w:r>
          </w:p>
        </w:tc>
      </w:tr>
    </w:tbl>
    <w:p w14:paraId="1B956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line="360" w:lineRule="exact"/>
        <w:jc w:val="center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cs="Times New Roman"/>
          <w:sz w:val="18"/>
          <w:szCs w:val="18"/>
          <w:lang w:val="en-US" w:eastAsia="zh-CN"/>
        </w:rPr>
        <w:t xml:space="preserve">表5 </w:t>
      </w:r>
      <w:r>
        <w:rPr>
          <w:rFonts w:hint="eastAsia" w:ascii="Times New Roman" w:hAnsi="Times New Roman" w:eastAsia="宋体" w:cs="Times New Roman"/>
          <w:sz w:val="18"/>
          <w:szCs w:val="18"/>
        </w:rPr>
        <w:t>AC</w:t>
      </w:r>
      <w:r>
        <w:rPr>
          <w:rFonts w:hint="eastAsia" w:cs="Times New Roman"/>
          <w:sz w:val="18"/>
          <w:szCs w:val="18"/>
          <w:lang w:val="en-US" w:eastAsia="zh-CN"/>
        </w:rPr>
        <w:t>F牌号的防腐复合板在</w:t>
      </w:r>
      <w:r>
        <w:rPr>
          <w:rFonts w:hint="eastAsia" w:ascii="Times New Roman" w:hAnsi="Times New Roman" w:eastAsia="宋体"/>
          <w:sz w:val="18"/>
          <w:szCs w:val="18"/>
        </w:rPr>
        <w:t>常见化学介质</w:t>
      </w:r>
      <w:r>
        <w:rPr>
          <w:rFonts w:hint="eastAsia"/>
          <w:sz w:val="18"/>
          <w:szCs w:val="18"/>
          <w:lang w:val="en-US" w:eastAsia="zh-CN"/>
        </w:rPr>
        <w:t>中的</w:t>
      </w:r>
      <w:r>
        <w:rPr>
          <w:rFonts w:hint="eastAsia" w:ascii="Times New Roman" w:hAnsi="Times New Roman" w:eastAsia="宋体"/>
          <w:sz w:val="18"/>
          <w:szCs w:val="18"/>
        </w:rPr>
        <w:t>使用浓度和温度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2850"/>
        <w:gridCol w:w="2865"/>
      </w:tblGrid>
      <w:tr w14:paraId="2F479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6D86F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化学介质</w:t>
            </w:r>
          </w:p>
        </w:tc>
        <w:tc>
          <w:tcPr>
            <w:tcW w:w="3190" w:type="dxa"/>
            <w:vAlign w:val="center"/>
          </w:tcPr>
          <w:p w14:paraId="4310A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浓度（%）</w:t>
            </w:r>
          </w:p>
        </w:tc>
        <w:tc>
          <w:tcPr>
            <w:tcW w:w="3190" w:type="dxa"/>
            <w:vAlign w:val="center"/>
          </w:tcPr>
          <w:p w14:paraId="6B508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推荐使用温度（℃）</w:t>
            </w:r>
          </w:p>
        </w:tc>
      </w:tr>
      <w:tr w14:paraId="2F02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restart"/>
            <w:vAlign w:val="center"/>
          </w:tcPr>
          <w:p w14:paraId="28EAD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氢氟酸</w:t>
            </w:r>
          </w:p>
        </w:tc>
        <w:tc>
          <w:tcPr>
            <w:tcW w:w="3190" w:type="dxa"/>
            <w:vAlign w:val="center"/>
          </w:tcPr>
          <w:p w14:paraId="56373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190" w:type="dxa"/>
            <w:vAlign w:val="center"/>
          </w:tcPr>
          <w:p w14:paraId="78C93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65</w:t>
            </w:r>
          </w:p>
        </w:tc>
      </w:tr>
      <w:tr w14:paraId="5D46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6EFD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5F04A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3190" w:type="dxa"/>
            <w:vAlign w:val="center"/>
          </w:tcPr>
          <w:p w14:paraId="45963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65</w:t>
            </w:r>
          </w:p>
        </w:tc>
      </w:tr>
      <w:tr w14:paraId="7BAE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0C0ED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5B17D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3190" w:type="dxa"/>
            <w:vAlign w:val="center"/>
          </w:tcPr>
          <w:p w14:paraId="6D14D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40</w:t>
            </w:r>
          </w:p>
        </w:tc>
      </w:tr>
      <w:tr w14:paraId="48A0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6EA57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3C44F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3190" w:type="dxa"/>
            <w:vAlign w:val="center"/>
          </w:tcPr>
          <w:p w14:paraId="71300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35</w:t>
            </w:r>
          </w:p>
        </w:tc>
      </w:tr>
      <w:tr w14:paraId="14A5D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restart"/>
            <w:vAlign w:val="center"/>
          </w:tcPr>
          <w:p w14:paraId="581EC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氢氧化钠</w:t>
            </w:r>
          </w:p>
        </w:tc>
        <w:tc>
          <w:tcPr>
            <w:tcW w:w="3190" w:type="dxa"/>
            <w:vAlign w:val="center"/>
          </w:tcPr>
          <w:p w14:paraId="0CD2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190" w:type="dxa"/>
            <w:vAlign w:val="center"/>
          </w:tcPr>
          <w:p w14:paraId="0A1DC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70</w:t>
            </w:r>
          </w:p>
        </w:tc>
      </w:tr>
      <w:tr w14:paraId="39E98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778D2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232C9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3190" w:type="dxa"/>
            <w:vAlign w:val="center"/>
          </w:tcPr>
          <w:p w14:paraId="126CB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70</w:t>
            </w:r>
          </w:p>
        </w:tc>
      </w:tr>
      <w:tr w14:paraId="71AA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5206C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3E931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3190" w:type="dxa"/>
            <w:vAlign w:val="center"/>
          </w:tcPr>
          <w:p w14:paraId="7506E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70</w:t>
            </w:r>
          </w:p>
        </w:tc>
      </w:tr>
      <w:tr w14:paraId="4CE7F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168F8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4C3C0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3190" w:type="dxa"/>
            <w:vAlign w:val="center"/>
          </w:tcPr>
          <w:p w14:paraId="496A1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70</w:t>
            </w:r>
          </w:p>
        </w:tc>
      </w:tr>
      <w:tr w14:paraId="2653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5F6C4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03121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3190" w:type="dxa"/>
            <w:vAlign w:val="center"/>
          </w:tcPr>
          <w:p w14:paraId="74E57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80</w:t>
            </w:r>
          </w:p>
        </w:tc>
      </w:tr>
      <w:tr w14:paraId="2B96B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restart"/>
            <w:vAlign w:val="center"/>
          </w:tcPr>
          <w:p w14:paraId="0F864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氢氧化钾</w:t>
            </w:r>
          </w:p>
        </w:tc>
        <w:tc>
          <w:tcPr>
            <w:tcW w:w="3190" w:type="dxa"/>
            <w:vAlign w:val="center"/>
          </w:tcPr>
          <w:p w14:paraId="1AB10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190" w:type="dxa"/>
            <w:vAlign w:val="center"/>
          </w:tcPr>
          <w:p w14:paraId="3BBCB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70</w:t>
            </w:r>
          </w:p>
        </w:tc>
      </w:tr>
      <w:tr w14:paraId="0D13C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688EA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0C1C5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3190" w:type="dxa"/>
            <w:vAlign w:val="center"/>
          </w:tcPr>
          <w:p w14:paraId="6F741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65</w:t>
            </w:r>
          </w:p>
        </w:tc>
      </w:tr>
      <w:tr w14:paraId="0847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42C56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0CD5B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3190" w:type="dxa"/>
            <w:vAlign w:val="center"/>
          </w:tcPr>
          <w:p w14:paraId="34787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60</w:t>
            </w:r>
          </w:p>
        </w:tc>
      </w:tr>
      <w:tr w14:paraId="57C4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506CF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213A0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45</w:t>
            </w:r>
          </w:p>
        </w:tc>
        <w:tc>
          <w:tcPr>
            <w:tcW w:w="3190" w:type="dxa"/>
            <w:vAlign w:val="center"/>
          </w:tcPr>
          <w:p w14:paraId="66781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60</w:t>
            </w:r>
          </w:p>
        </w:tc>
      </w:tr>
      <w:tr w14:paraId="41A6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  <w:vAlign w:val="center"/>
          </w:tcPr>
          <w:p w14:paraId="43A7E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0" w:type="dxa"/>
            <w:vAlign w:val="center"/>
          </w:tcPr>
          <w:p w14:paraId="373DC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3190" w:type="dxa"/>
            <w:vAlign w:val="center"/>
          </w:tcPr>
          <w:p w14:paraId="3AC3F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60</w:t>
            </w:r>
          </w:p>
        </w:tc>
      </w:tr>
    </w:tbl>
    <w:p w14:paraId="797DCA1C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both"/>
        <w:textAlignment w:val="auto"/>
        <w:rPr>
          <w:rFonts w:hint="default" w:ascii="Times New Roman" w:eastAsia="黑体" w:cs="Times New Roman"/>
          <w:bCs/>
          <w:sz w:val="21"/>
          <w:szCs w:val="21"/>
        </w:rPr>
      </w:pPr>
      <w:r>
        <w:rPr>
          <w:rFonts w:ascii="Times New Roman" w:eastAsia="黑体" w:cs="Times New Roman"/>
          <w:bCs/>
          <w:sz w:val="21"/>
          <w:szCs w:val="21"/>
        </w:rPr>
        <w:t>（二）尺寸及允许偏差确定依据</w:t>
      </w:r>
    </w:p>
    <w:p w14:paraId="033FB91D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default"/>
          <w:sz w:val="21"/>
          <w:szCs w:val="21"/>
        </w:rPr>
      </w:pPr>
      <w:r>
        <w:rPr>
          <w:rFonts w:ascii="Times New Roman" w:hAnsi="Times New Roman" w:eastAsia="黑体" w:cs="Times New Roman"/>
          <w:bCs/>
          <w:sz w:val="21"/>
          <w:szCs w:val="21"/>
        </w:rPr>
        <w:t>表</w:t>
      </w:r>
      <w:r>
        <w:rPr>
          <w:rFonts w:hint="eastAsia" w:ascii="Times New Roman" w:eastAsia="黑体" w:cs="Times New Roman"/>
          <w:bCs/>
          <w:sz w:val="21"/>
          <w:szCs w:val="21"/>
          <w:lang w:val="en-US" w:eastAsia="zh-CN"/>
        </w:rPr>
        <w:t>6</w:t>
      </w:r>
      <w:r>
        <w:rPr>
          <w:rFonts w:ascii="Times New Roman" w:hAnsi="Times New Roman" w:eastAsia="黑体" w:cs="Times New Roman"/>
          <w:bCs/>
          <w:sz w:val="21"/>
          <w:szCs w:val="21"/>
        </w:rPr>
        <w:t xml:space="preserve"> 产品常用规格尺寸</w:t>
      </w:r>
    </w:p>
    <w:p w14:paraId="6F0C8294">
      <w:pPr>
        <w:autoSpaceDE/>
        <w:autoSpaceDN/>
        <w:adjustRightInd/>
        <w:snapToGrid w:val="0"/>
        <w:jc w:val="right"/>
        <w:rPr>
          <w:rFonts w:ascii="Times New Roman" w:hAnsi="宋体" w:cs="Times New Roman"/>
          <w:sz w:val="21"/>
          <w:szCs w:val="21"/>
        </w:rPr>
      </w:pPr>
      <w:r>
        <w:rPr>
          <w:rFonts w:ascii="Times New Roman" w:cs="Times New Roman"/>
          <w:sz w:val="18"/>
          <w:szCs w:val="18"/>
        </w:rPr>
        <w:t>单位为毫米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9"/>
        <w:gridCol w:w="5723"/>
      </w:tblGrid>
      <w:tr w14:paraId="70855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3263" w:type="dxa"/>
            <w:vAlign w:val="center"/>
          </w:tcPr>
          <w:p w14:paraId="63F1E33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厚度</w:t>
            </w:r>
          </w:p>
        </w:tc>
        <w:tc>
          <w:tcPr>
            <w:tcW w:w="6699" w:type="dxa"/>
            <w:vAlign w:val="center"/>
          </w:tcPr>
          <w:p w14:paraId="5BA26C38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10.0、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、15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、20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、30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.0</w:t>
            </w:r>
          </w:p>
        </w:tc>
      </w:tr>
      <w:tr w14:paraId="323B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263" w:type="dxa"/>
            <w:vAlign w:val="center"/>
          </w:tcPr>
          <w:p w14:paraId="40D87E24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规格（长</w:t>
            </w:r>
            <w: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宽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尺寸</w:t>
            </w:r>
          </w:p>
        </w:tc>
        <w:tc>
          <w:tcPr>
            <w:tcW w:w="6699" w:type="dxa"/>
            <w:vAlign w:val="center"/>
          </w:tcPr>
          <w:p w14:paraId="188FB2CD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00</w:t>
            </w:r>
            <w: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00、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400</w:t>
            </w:r>
            <w: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00、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600</w:t>
            </w:r>
            <w: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00</w:t>
            </w:r>
          </w:p>
        </w:tc>
      </w:tr>
      <w:tr w14:paraId="243F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962" w:type="dxa"/>
            <w:gridSpan w:val="2"/>
            <w:vAlign w:val="center"/>
          </w:tcPr>
          <w:p w14:paraId="507A2CAD">
            <w:pPr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注：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其他厚度尺寸也可由供需双方商定。</w:t>
            </w:r>
          </w:p>
        </w:tc>
      </w:tr>
    </w:tbl>
    <w:p w14:paraId="58F2124D">
      <w:pPr>
        <w:spacing w:before="156" w:beforeLines="50"/>
        <w:ind w:firstLine="420" w:firstLineChars="200"/>
        <w:jc w:val="both"/>
        <w:rPr>
          <w:rFonts w:hint="default" w:ascii="Times New Roman"/>
          <w:sz w:val="21"/>
          <w:szCs w:val="21"/>
        </w:rPr>
      </w:pPr>
      <w:r>
        <w:rPr>
          <w:rFonts w:ascii="Times New Roman"/>
          <w:sz w:val="21"/>
          <w:szCs w:val="21"/>
        </w:rPr>
        <w:t>根据防腐复合板使用单位的具体需求，确定防腐复合板常用规格尺寸如表</w:t>
      </w:r>
      <w:r>
        <w:rPr>
          <w:rFonts w:hint="eastAsia" w:ascii="Times New Roman"/>
          <w:sz w:val="21"/>
          <w:szCs w:val="21"/>
          <w:lang w:val="en-US" w:eastAsia="zh-CN"/>
        </w:rPr>
        <w:t>6</w:t>
      </w:r>
      <w:r>
        <w:rPr>
          <w:rFonts w:ascii="Times New Roman"/>
          <w:sz w:val="21"/>
          <w:szCs w:val="21"/>
        </w:rPr>
        <w:t>所示。边长尺寸可以根据要求进行切割，板材厚度也可以根据要求进行调整。在民用建材领域，</w:t>
      </w:r>
      <w:r>
        <w:rPr>
          <w:rFonts w:hAnsi="宋体"/>
          <w:kern w:val="2"/>
          <w:sz w:val="21"/>
          <w:szCs w:val="21"/>
        </w:rPr>
        <w:t>人造有机石英石板材一般用于桌面、台面等场景，产品尺寸比较大，因此允许误差比较大，</w:t>
      </w:r>
      <w:r>
        <w:rPr>
          <w:rFonts w:ascii="Times New Roman"/>
          <w:sz w:val="21"/>
          <w:szCs w:val="21"/>
        </w:rPr>
        <w:t>根据</w:t>
      </w:r>
      <w:r>
        <w:rPr>
          <w:rFonts w:hAnsi="宋体"/>
          <w:kern w:val="2"/>
          <w:sz w:val="21"/>
          <w:szCs w:val="21"/>
        </w:rPr>
        <w:t>GB/T 41919-2022中规定，人造有机石英石板材的边长允许偏差为</w:t>
      </w:r>
      <w:r>
        <w:rPr>
          <w:rFonts w:hint="default" w:ascii="Times New Roman" w:cs="Times New Roman"/>
          <w:sz w:val="21"/>
          <w:szCs w:val="21"/>
        </w:rPr>
        <w:t>±</w:t>
      </w:r>
      <w:r>
        <w:rPr>
          <w:rFonts w:ascii="Times New Roman" w:cs="Times New Roman"/>
          <w:sz w:val="21"/>
          <w:szCs w:val="21"/>
        </w:rPr>
        <w:t>3.0mm，厚度允许</w:t>
      </w:r>
      <w:r>
        <w:rPr>
          <w:rFonts w:hAnsi="宋体"/>
          <w:kern w:val="2"/>
          <w:sz w:val="21"/>
          <w:szCs w:val="21"/>
        </w:rPr>
        <w:t>偏差为</w:t>
      </w:r>
      <w:r>
        <w:rPr>
          <w:rFonts w:hint="default" w:ascii="Times New Roman" w:cs="Times New Roman"/>
          <w:sz w:val="21"/>
          <w:szCs w:val="21"/>
        </w:rPr>
        <w:t>±</w:t>
      </w:r>
      <w:r>
        <w:rPr>
          <w:rFonts w:ascii="Times New Roman" w:cs="Times New Roman"/>
          <w:sz w:val="21"/>
          <w:szCs w:val="21"/>
        </w:rPr>
        <w:t>0.7mm。而工业防腐用途的防腐复合板是小尺寸铺贴，尺寸偏差较大，会影响施工质量，最终影响防腐效果。因此，确定</w:t>
      </w:r>
      <w:r>
        <w:rPr>
          <w:rFonts w:ascii="Times New Roman"/>
          <w:sz w:val="21"/>
          <w:szCs w:val="21"/>
        </w:rPr>
        <w:t>防腐复合板尺寸允许偏差如表</w:t>
      </w:r>
      <w:r>
        <w:rPr>
          <w:rFonts w:hint="eastAsia" w:ascii="Times New Roman"/>
          <w:sz w:val="21"/>
          <w:szCs w:val="21"/>
          <w:lang w:val="en-US" w:eastAsia="zh-CN"/>
        </w:rPr>
        <w:t>7</w:t>
      </w:r>
      <w:r>
        <w:rPr>
          <w:rFonts w:ascii="Times New Roman"/>
          <w:sz w:val="21"/>
          <w:szCs w:val="21"/>
        </w:rPr>
        <w:t>所示。对五家生产企业的尺寸最大偏差进行了统计，如表</w:t>
      </w:r>
      <w:r>
        <w:rPr>
          <w:rFonts w:hint="eastAsia" w:ascii="Times New Roman"/>
          <w:sz w:val="21"/>
          <w:szCs w:val="21"/>
          <w:lang w:val="en-US" w:eastAsia="zh-CN"/>
        </w:rPr>
        <w:t>7</w:t>
      </w:r>
      <w:r>
        <w:rPr>
          <w:rFonts w:ascii="Times New Roman"/>
          <w:sz w:val="21"/>
          <w:szCs w:val="21"/>
        </w:rPr>
        <w:t>所示，五家企业的最大尺寸偏差均符合表</w:t>
      </w:r>
      <w:r>
        <w:rPr>
          <w:rFonts w:hint="eastAsia" w:ascii="Times New Roman"/>
          <w:sz w:val="21"/>
          <w:szCs w:val="21"/>
          <w:lang w:val="en-US" w:eastAsia="zh-CN"/>
        </w:rPr>
        <w:t>8</w:t>
      </w:r>
      <w:r>
        <w:rPr>
          <w:rFonts w:ascii="Times New Roman"/>
          <w:sz w:val="21"/>
          <w:szCs w:val="21"/>
        </w:rPr>
        <w:t>要求。</w:t>
      </w:r>
    </w:p>
    <w:p w14:paraId="3276A8AB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default" w:ascii="Times New Roman"/>
          <w:sz w:val="18"/>
          <w:szCs w:val="18"/>
        </w:rPr>
      </w:pPr>
      <w:r>
        <w:rPr>
          <w:rFonts w:ascii="Times New Roman" w:hAnsi="Times New Roman" w:eastAsia="黑体" w:cs="Times New Roman"/>
          <w:bCs/>
          <w:sz w:val="21"/>
          <w:szCs w:val="21"/>
        </w:rPr>
        <w:t>表</w:t>
      </w:r>
      <w:r>
        <w:rPr>
          <w:rFonts w:hint="eastAsia" w:ascii="Times New Roman" w:eastAsia="黑体" w:cs="Times New Roman"/>
          <w:bCs/>
          <w:sz w:val="21"/>
          <w:szCs w:val="21"/>
          <w:lang w:val="en-US" w:eastAsia="zh-CN"/>
        </w:rPr>
        <w:t>7</w:t>
      </w:r>
      <w:r>
        <w:rPr>
          <w:rFonts w:ascii="Times New Roman" w:hAnsi="Times New Roman" w:eastAsia="黑体" w:cs="Times New Roman"/>
          <w:bCs/>
          <w:sz w:val="21"/>
          <w:szCs w:val="21"/>
        </w:rPr>
        <w:t xml:space="preserve"> 尺寸允许偏差</w:t>
      </w:r>
    </w:p>
    <w:p w14:paraId="746183F7">
      <w:pPr>
        <w:autoSpaceDE/>
        <w:autoSpaceDN/>
        <w:adjustRightInd/>
        <w:jc w:val="right"/>
        <w:rPr>
          <w:rFonts w:hint="default" w:ascii="Times New Roman" w:cs="Times New Roman"/>
          <w:bCs/>
          <w:sz w:val="18"/>
          <w:szCs w:val="18"/>
        </w:rPr>
      </w:pPr>
      <w:r>
        <w:rPr>
          <w:rFonts w:ascii="Times New Roman" w:cs="Times New Roman"/>
          <w:bCs/>
          <w:sz w:val="18"/>
          <w:szCs w:val="18"/>
        </w:rPr>
        <w:t>单位为毫米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0"/>
        <w:gridCol w:w="4272"/>
      </w:tblGrid>
      <w:tr w14:paraId="2BA1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1" w:type="dxa"/>
          </w:tcPr>
          <w:p w14:paraId="6FFE8A62">
            <w:pPr>
              <w:jc w:val="center"/>
              <w:rPr>
                <w:rFonts w:hint="default" w:asci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cs="Times New Roman"/>
                <w:bCs/>
                <w:sz w:val="18"/>
                <w:szCs w:val="18"/>
              </w:rPr>
              <w:t>项目</w:t>
            </w:r>
          </w:p>
        </w:tc>
        <w:tc>
          <w:tcPr>
            <w:tcW w:w="4981" w:type="dxa"/>
          </w:tcPr>
          <w:p w14:paraId="44CF84F2">
            <w:pPr>
              <w:jc w:val="center"/>
              <w:rPr>
                <w:rFonts w:hint="default" w:asci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cs="Times New Roman"/>
                <w:bCs/>
                <w:sz w:val="18"/>
                <w:szCs w:val="18"/>
              </w:rPr>
              <w:t>允许偏差</w:t>
            </w:r>
          </w:p>
        </w:tc>
      </w:tr>
      <w:tr w14:paraId="025C6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1" w:type="dxa"/>
          </w:tcPr>
          <w:p w14:paraId="0D385635">
            <w:pPr>
              <w:jc w:val="center"/>
              <w:rPr>
                <w:rFonts w:hint="default" w:asci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边长</w:t>
            </w:r>
          </w:p>
        </w:tc>
        <w:tc>
          <w:tcPr>
            <w:tcW w:w="4981" w:type="dxa"/>
          </w:tcPr>
          <w:p w14:paraId="7D9DB6A5">
            <w:pPr>
              <w:jc w:val="center"/>
              <w:rPr>
                <w:rFonts w:hint="default" w:ascii="Times New Roman" w:cs="Times New Roman" w:eastAsiaTheme="minorEastAsia"/>
                <w:bCs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cs="Times New Roman"/>
                <w:sz w:val="18"/>
                <w:szCs w:val="18"/>
              </w:rPr>
              <w:t>2.0</w:t>
            </w:r>
          </w:p>
        </w:tc>
      </w:tr>
      <w:tr w14:paraId="01A1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1" w:type="dxa"/>
          </w:tcPr>
          <w:p w14:paraId="60D8A95A">
            <w:pPr>
              <w:jc w:val="center"/>
              <w:rPr>
                <w:rFonts w:hint="default" w:asci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厚度</w:t>
            </w:r>
          </w:p>
        </w:tc>
        <w:tc>
          <w:tcPr>
            <w:tcW w:w="4981" w:type="dxa"/>
          </w:tcPr>
          <w:p w14:paraId="06C73B60">
            <w:pPr>
              <w:jc w:val="center"/>
              <w:rPr>
                <w:rFonts w:hint="default" w:asci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±0.5</w:t>
            </w:r>
          </w:p>
        </w:tc>
      </w:tr>
    </w:tbl>
    <w:p w14:paraId="78CE9181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ascii="Times New Roman" w:hAnsi="Times New Roman" w:eastAsia="黑体" w:cs="Times New Roman"/>
          <w:bCs/>
          <w:sz w:val="21"/>
          <w:szCs w:val="21"/>
        </w:rPr>
      </w:pPr>
      <w:r>
        <w:rPr>
          <w:rFonts w:ascii="Times New Roman" w:hAnsi="Times New Roman" w:eastAsia="黑体" w:cs="Times New Roman"/>
          <w:bCs/>
          <w:sz w:val="21"/>
          <w:szCs w:val="21"/>
        </w:rPr>
        <w:t>表</w:t>
      </w:r>
      <w:r>
        <w:rPr>
          <w:rFonts w:hint="eastAsia" w:ascii="Times New Roman" w:eastAsia="黑体" w:cs="Times New Roman"/>
          <w:bCs/>
          <w:sz w:val="21"/>
          <w:szCs w:val="21"/>
          <w:lang w:val="en-US" w:eastAsia="zh-CN"/>
        </w:rPr>
        <w:t>8</w:t>
      </w:r>
      <w:r>
        <w:rPr>
          <w:rFonts w:ascii="Times New Roman" w:hAnsi="Times New Roman" w:eastAsia="黑体" w:cs="Times New Roman"/>
          <w:bCs/>
          <w:sz w:val="21"/>
          <w:szCs w:val="21"/>
        </w:rPr>
        <w:t xml:space="preserve"> 不同企业生产的防腐复合板尺寸偏差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E28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40" w:type="dxa"/>
            <w:vMerge w:val="restart"/>
            <w:vAlign w:val="center"/>
          </w:tcPr>
          <w:p w14:paraId="70A12DA6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项目</w:t>
            </w:r>
          </w:p>
        </w:tc>
        <w:tc>
          <w:tcPr>
            <w:tcW w:w="5682" w:type="dxa"/>
            <w:gridSpan w:val="2"/>
            <w:vAlign w:val="center"/>
          </w:tcPr>
          <w:p w14:paraId="350659D3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最大偏差（毫米）</w:t>
            </w:r>
          </w:p>
        </w:tc>
      </w:tr>
      <w:tr w14:paraId="15D9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40" w:type="dxa"/>
            <w:vMerge w:val="continue"/>
            <w:vAlign w:val="center"/>
          </w:tcPr>
          <w:p w14:paraId="6A6C9018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2841" w:type="dxa"/>
            <w:vAlign w:val="center"/>
          </w:tcPr>
          <w:p w14:paraId="30D3F4FD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边长</w:t>
            </w:r>
          </w:p>
        </w:tc>
        <w:tc>
          <w:tcPr>
            <w:tcW w:w="2841" w:type="dxa"/>
            <w:vAlign w:val="center"/>
          </w:tcPr>
          <w:p w14:paraId="5C078211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厚度</w:t>
            </w:r>
          </w:p>
        </w:tc>
      </w:tr>
      <w:tr w14:paraId="2E135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40" w:type="dxa"/>
            <w:vAlign w:val="center"/>
          </w:tcPr>
          <w:p w14:paraId="7DD31D70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企业1</w:t>
            </w:r>
          </w:p>
        </w:tc>
        <w:tc>
          <w:tcPr>
            <w:tcW w:w="2841" w:type="dxa"/>
            <w:vAlign w:val="center"/>
          </w:tcPr>
          <w:p w14:paraId="59098F04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cs="Times New Roman"/>
                <w:sz w:val="18"/>
                <w:szCs w:val="18"/>
              </w:rPr>
              <w:t>2.0</w:t>
            </w:r>
          </w:p>
        </w:tc>
        <w:tc>
          <w:tcPr>
            <w:tcW w:w="2841" w:type="dxa"/>
            <w:vAlign w:val="center"/>
          </w:tcPr>
          <w:p w14:paraId="1F218745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±0.5</w:t>
            </w:r>
            <w:r>
              <w:rPr>
                <w:rFonts w:ascii="Times New Roman" w:cs="Times New Roman"/>
                <w:sz w:val="18"/>
                <w:szCs w:val="18"/>
              </w:rPr>
              <w:t>0</w:t>
            </w:r>
          </w:p>
        </w:tc>
      </w:tr>
      <w:tr w14:paraId="1F1D7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40" w:type="dxa"/>
            <w:vAlign w:val="center"/>
          </w:tcPr>
          <w:p w14:paraId="43D8E160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企业2</w:t>
            </w:r>
          </w:p>
        </w:tc>
        <w:tc>
          <w:tcPr>
            <w:tcW w:w="2841" w:type="dxa"/>
            <w:vAlign w:val="center"/>
          </w:tcPr>
          <w:p w14:paraId="399F6FEF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cs="Times New Roman"/>
                <w:sz w:val="18"/>
                <w:szCs w:val="18"/>
              </w:rPr>
              <w:t>1.0</w:t>
            </w:r>
          </w:p>
        </w:tc>
        <w:tc>
          <w:tcPr>
            <w:tcW w:w="2841" w:type="dxa"/>
            <w:vAlign w:val="center"/>
          </w:tcPr>
          <w:p w14:paraId="2C53D8DE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±0.</w:t>
            </w:r>
            <w:r>
              <w:rPr>
                <w:rFonts w:ascii="Times New Roman" w:cs="Times New Roman"/>
                <w:sz w:val="18"/>
                <w:szCs w:val="18"/>
              </w:rPr>
              <w:t>35</w:t>
            </w:r>
          </w:p>
        </w:tc>
      </w:tr>
      <w:tr w14:paraId="3B75E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40" w:type="dxa"/>
            <w:vAlign w:val="center"/>
          </w:tcPr>
          <w:p w14:paraId="3307B250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企业3</w:t>
            </w:r>
          </w:p>
        </w:tc>
        <w:tc>
          <w:tcPr>
            <w:tcW w:w="2841" w:type="dxa"/>
            <w:vAlign w:val="center"/>
          </w:tcPr>
          <w:p w14:paraId="61F171AE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841" w:type="dxa"/>
            <w:vAlign w:val="center"/>
          </w:tcPr>
          <w:p w14:paraId="02E22DE2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±0.</w:t>
            </w:r>
            <w:r>
              <w:rPr>
                <w:rFonts w:ascii="Times New Roman" w:cs="Times New Roman"/>
                <w:sz w:val="18"/>
                <w:szCs w:val="18"/>
              </w:rPr>
              <w:t>40</w:t>
            </w:r>
          </w:p>
        </w:tc>
      </w:tr>
      <w:tr w14:paraId="45D5C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40" w:type="dxa"/>
            <w:vAlign w:val="center"/>
          </w:tcPr>
          <w:p w14:paraId="306F28A1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企业4</w:t>
            </w:r>
          </w:p>
        </w:tc>
        <w:tc>
          <w:tcPr>
            <w:tcW w:w="2841" w:type="dxa"/>
            <w:vAlign w:val="center"/>
          </w:tcPr>
          <w:p w14:paraId="3A632C3C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cs="Times New Roman"/>
                <w:sz w:val="18"/>
                <w:szCs w:val="18"/>
              </w:rPr>
              <w:t>1.0</w:t>
            </w:r>
          </w:p>
        </w:tc>
        <w:tc>
          <w:tcPr>
            <w:tcW w:w="2841" w:type="dxa"/>
            <w:vAlign w:val="center"/>
          </w:tcPr>
          <w:p w14:paraId="1757DA79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±0.</w:t>
            </w:r>
            <w:r>
              <w:rPr>
                <w:rFonts w:ascii="Times New Roman" w:cs="Times New Roman"/>
                <w:sz w:val="18"/>
                <w:szCs w:val="18"/>
              </w:rPr>
              <w:t>45</w:t>
            </w:r>
          </w:p>
        </w:tc>
      </w:tr>
      <w:tr w14:paraId="43AE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40" w:type="dxa"/>
            <w:vAlign w:val="center"/>
          </w:tcPr>
          <w:p w14:paraId="32FB8182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企业5</w:t>
            </w:r>
          </w:p>
        </w:tc>
        <w:tc>
          <w:tcPr>
            <w:tcW w:w="2841" w:type="dxa"/>
            <w:vAlign w:val="center"/>
          </w:tcPr>
          <w:p w14:paraId="24DE22F3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cs="Times New Roman"/>
                <w:sz w:val="18"/>
                <w:szCs w:val="18"/>
              </w:rPr>
              <w:t>2.0</w:t>
            </w:r>
          </w:p>
        </w:tc>
        <w:tc>
          <w:tcPr>
            <w:tcW w:w="2841" w:type="dxa"/>
            <w:vAlign w:val="center"/>
          </w:tcPr>
          <w:p w14:paraId="05DD4C13">
            <w:pPr>
              <w:pStyle w:val="7"/>
              <w:kinsoku w:val="0"/>
              <w:overflowPunct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default" w:ascii="Times New Roman" w:cs="Times New Roman"/>
                <w:sz w:val="18"/>
                <w:szCs w:val="18"/>
              </w:rPr>
              <w:t>±0.5</w:t>
            </w:r>
            <w:r>
              <w:rPr>
                <w:rFonts w:ascii="Times New Roman" w:cs="Times New Roman"/>
                <w:sz w:val="18"/>
                <w:szCs w:val="18"/>
              </w:rPr>
              <w:t>0</w:t>
            </w:r>
          </w:p>
        </w:tc>
      </w:tr>
    </w:tbl>
    <w:p w14:paraId="032C201E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both"/>
        <w:textAlignment w:val="auto"/>
        <w:rPr>
          <w:rFonts w:hint="default" w:ascii="Times New Roman" w:eastAsia="黑体" w:cs="Times New Roman"/>
          <w:bCs/>
          <w:sz w:val="21"/>
          <w:szCs w:val="21"/>
        </w:rPr>
      </w:pPr>
      <w:r>
        <w:rPr>
          <w:rFonts w:ascii="Times New Roman" w:eastAsia="黑体" w:cs="Times New Roman"/>
          <w:bCs/>
          <w:sz w:val="21"/>
          <w:szCs w:val="21"/>
        </w:rPr>
        <w:t>（三）平整度的确定依据</w:t>
      </w:r>
    </w:p>
    <w:p w14:paraId="0173D6F3">
      <w:pPr>
        <w:pStyle w:val="7"/>
        <w:kinsoku w:val="0"/>
        <w:overflowPunct w:val="0"/>
        <w:spacing w:before="156" w:beforeLines="50"/>
        <w:ind w:firstLine="420" w:firstLineChars="200"/>
        <w:jc w:val="both"/>
        <w:rPr>
          <w:rFonts w:hint="default" w:ascii="Times New Roman" w:eastAsia="黑体" w:cs="Times New Roman"/>
          <w:bCs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防腐复合板的平整度要求参考标准</w:t>
      </w:r>
      <w:bookmarkStart w:id="15" w:name="OLE_LINK1"/>
      <w:r>
        <w:rPr>
          <w:rFonts w:hAnsi="宋体"/>
          <w:kern w:val="2"/>
          <w:sz w:val="21"/>
          <w:szCs w:val="21"/>
        </w:rPr>
        <w:t>GB/T 41919-2022</w:t>
      </w:r>
      <w:bookmarkEnd w:id="15"/>
      <w:r>
        <w:rPr>
          <w:rFonts w:hAnsi="宋体"/>
          <w:kern w:val="2"/>
          <w:sz w:val="21"/>
          <w:szCs w:val="21"/>
        </w:rPr>
        <w:t>，</w:t>
      </w:r>
      <w:r>
        <w:rPr>
          <w:rFonts w:hint="eastAsia" w:hAnsi="宋体"/>
          <w:kern w:val="2"/>
          <w:sz w:val="21"/>
          <w:szCs w:val="21"/>
          <w:lang w:val="en-US" w:eastAsia="zh-CN"/>
        </w:rPr>
        <w:t>结合防腐领域需求，将平整度要求定为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不大于0.</w:t>
      </w:r>
      <w:r>
        <w:rPr>
          <w:rFonts w:hint="eastAsia" w:ascii="Times New Roman" w:cs="Times New Roman"/>
          <w:b w:val="0"/>
          <w:bCs w:val="0"/>
          <w:sz w:val="21"/>
          <w:szCs w:val="21"/>
          <w:lang w:val="en-US" w:eastAsia="zh-CN"/>
        </w:rPr>
        <w:t>5 mm</w:t>
      </w:r>
      <w:r>
        <w:rPr>
          <w:rFonts w:hAnsi="宋体"/>
          <w:kern w:val="2"/>
          <w:sz w:val="21"/>
          <w:szCs w:val="21"/>
        </w:rPr>
        <w:t>。同时，标准编制组调研了五家生产企业，产品均能达到要求。</w:t>
      </w:r>
    </w:p>
    <w:p w14:paraId="392E98EE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both"/>
        <w:textAlignment w:val="auto"/>
        <w:rPr>
          <w:rFonts w:hint="default" w:ascii="Times New Roman" w:hAnsi="Times New Roman" w:eastAsia="黑体" w:cs="Times New Roman"/>
          <w:bCs/>
          <w:sz w:val="21"/>
          <w:szCs w:val="21"/>
        </w:rPr>
      </w:pPr>
      <w:r>
        <w:rPr>
          <w:rFonts w:ascii="Times New Roman" w:hAnsi="Times New Roman" w:eastAsia="黑体" w:cs="Times New Roman"/>
          <w:bCs/>
          <w:sz w:val="21"/>
          <w:szCs w:val="21"/>
        </w:rPr>
        <w:t>（四）物化性能测试方法确定</w:t>
      </w:r>
    </w:p>
    <w:p w14:paraId="04BF98FA">
      <w:pPr>
        <w:pStyle w:val="7"/>
        <w:kinsoku w:val="0"/>
        <w:overflowPunct w:val="0"/>
        <w:ind w:firstLine="420" w:firstLineChars="200"/>
        <w:jc w:val="both"/>
        <w:rPr>
          <w:rFonts w:hAnsi="宋体"/>
          <w:kern w:val="2"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本项目的防腐复合板属于一种有机人造石，因此参考有机人造石的标准进行相关性能测试，耐酸度没有相应的人造石标准可参考，则按照竞争产品耐酸砖的标准进行测试。因此，吸水率、莫氏硬度、弯曲强度、压缩强度、冲击强度、线性热膨胀系数、耐磨性等物化性能的测试方法参考标准GB/T 41919-2022</w:t>
      </w:r>
      <w:r>
        <w:rPr>
          <w:rFonts w:hint="default" w:ascii="Times New Roman" w:cs="Times New Roman"/>
          <w:kern w:val="2"/>
          <w:sz w:val="21"/>
          <w:szCs w:val="21"/>
        </w:rPr>
        <w:t>和JC/T 908</w:t>
      </w:r>
      <w:r>
        <w:rPr>
          <w:rFonts w:ascii="Times New Roman" w:cs="Times New Roman"/>
          <w:kern w:val="2"/>
          <w:sz w:val="21"/>
          <w:szCs w:val="21"/>
        </w:rPr>
        <w:t>-2013</w:t>
      </w:r>
      <w:r>
        <w:rPr>
          <w:rFonts w:hAnsi="宋体"/>
          <w:kern w:val="2"/>
          <w:sz w:val="21"/>
          <w:szCs w:val="21"/>
        </w:rPr>
        <w:t>，耐酸度测试方法参考标准</w:t>
      </w:r>
      <w:r>
        <w:rPr>
          <w:rFonts w:hint="default" w:ascii="Times New Roman" w:cs="Times New Roman"/>
          <w:kern w:val="2"/>
          <w:sz w:val="21"/>
          <w:szCs w:val="21"/>
        </w:rPr>
        <w:t>GB/T 8488-2008</w:t>
      </w:r>
      <w:r>
        <w:rPr>
          <w:rFonts w:hAnsi="宋体"/>
          <w:kern w:val="2"/>
          <w:sz w:val="21"/>
          <w:szCs w:val="21"/>
        </w:rPr>
        <w:t>。</w:t>
      </w:r>
    </w:p>
    <w:p w14:paraId="46BB0BF6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both"/>
        <w:textAlignment w:val="auto"/>
        <w:rPr>
          <w:rFonts w:hint="default" w:ascii="Times New Roman" w:hAnsi="Times New Roman" w:eastAsia="黑体" w:cs="Times New Roman"/>
          <w:bCs/>
          <w:sz w:val="21"/>
          <w:szCs w:val="21"/>
        </w:rPr>
      </w:pPr>
      <w:bookmarkStart w:id="16" w:name="_Toc21778"/>
      <w:bookmarkStart w:id="17" w:name="_Toc27775"/>
      <w:r>
        <w:rPr>
          <w:rFonts w:hint="default" w:ascii="Times New Roman" w:hAnsi="Times New Roman" w:eastAsia="黑体" w:cs="Times New Roman"/>
          <w:bCs/>
          <w:sz w:val="21"/>
          <w:szCs w:val="21"/>
        </w:rPr>
        <w:t>四、与现行法律、法规、强制性国家标准及相关标准协调配套情况</w:t>
      </w:r>
      <w:bookmarkEnd w:id="16"/>
      <w:bookmarkEnd w:id="17"/>
    </w:p>
    <w:p w14:paraId="48DDF6D2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both"/>
        <w:textAlignment w:val="auto"/>
        <w:rPr>
          <w:rFonts w:hint="default" w:ascii="Times New Roman" w:hAnsi="Times New Roman" w:eastAsia="黑体" w:cs="Times New Roman"/>
          <w:bCs/>
          <w:sz w:val="21"/>
          <w:szCs w:val="21"/>
        </w:rPr>
      </w:pPr>
      <w:bookmarkStart w:id="18" w:name="_Toc24185"/>
      <w:r>
        <w:rPr>
          <w:rFonts w:hint="default" w:ascii="Times New Roman" w:hAnsi="Times New Roman" w:eastAsia="黑体" w:cs="Times New Roman"/>
          <w:bCs/>
          <w:sz w:val="21"/>
          <w:szCs w:val="21"/>
        </w:rPr>
        <w:t>（一）现有政策法规与新制定标准的关系分析</w:t>
      </w:r>
      <w:bookmarkEnd w:id="18"/>
    </w:p>
    <w:p w14:paraId="79B6E0C0">
      <w:pPr>
        <w:pStyle w:val="7"/>
        <w:kinsoku w:val="0"/>
        <w:overflowPunct w:val="0"/>
        <w:ind w:firstLine="420" w:firstLineChars="200"/>
        <w:rPr>
          <w:rFonts w:hint="default" w:ascii="Times New Roman" w:cs="Times New Roman"/>
        </w:rPr>
      </w:pPr>
      <w:r>
        <w:rPr>
          <w:rFonts w:hint="default" w:ascii="Times New Roman" w:cs="Times New Roman"/>
          <w:sz w:val="21"/>
          <w:szCs w:val="21"/>
        </w:rPr>
        <w:t>现有政策法规与新制定标准并无冲突。</w:t>
      </w:r>
    </w:p>
    <w:p w14:paraId="02810226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40" w:lineRule="exact"/>
        <w:jc w:val="both"/>
        <w:textAlignment w:val="auto"/>
        <w:rPr>
          <w:rFonts w:hint="default" w:ascii="Times New Roman" w:hAnsi="Times New Roman" w:eastAsia="黑体" w:cs="Times New Roman"/>
          <w:bCs/>
          <w:sz w:val="21"/>
          <w:szCs w:val="21"/>
        </w:rPr>
      </w:pPr>
      <w:bookmarkStart w:id="19" w:name="_Toc23500"/>
      <w:r>
        <w:rPr>
          <w:rFonts w:hint="default" w:ascii="Times New Roman" w:hAnsi="Times New Roman" w:eastAsia="黑体" w:cs="Times New Roman"/>
          <w:bCs/>
          <w:sz w:val="21"/>
          <w:szCs w:val="21"/>
        </w:rPr>
        <w:t>（二）现有标准与新制定标准的关系分析</w:t>
      </w:r>
      <w:bookmarkEnd w:id="19"/>
    </w:p>
    <w:p w14:paraId="45F24D84">
      <w:pPr>
        <w:pStyle w:val="2"/>
        <w:widowControl/>
        <w:wordWrap w:val="0"/>
        <w:ind w:left="0" w:firstLine="440" w:firstLineChars="200"/>
        <w:rPr>
          <w:rFonts w:hint="default"/>
          <w:szCs w:val="21"/>
        </w:rPr>
      </w:pPr>
      <w:r>
        <w:rPr>
          <w:rFonts w:ascii="Times New Roman"/>
          <w:b w:val="0"/>
          <w:sz w:val="22"/>
          <w:szCs w:val="21"/>
        </w:rPr>
        <w:t>本项目防腐复合板属于一种人造有机石英石板材，目前相关的国内标准有JC/T 908-2013《人造石》、JC/T 2534-2019《建筑用人造石英石和岗石地板》、JG∕T 463-2014《建筑装饰用人造石英石板》、GB/T 41919《</w:t>
      </w:r>
      <w:r>
        <w:rPr>
          <w:rFonts w:hint="default" w:ascii="Times New Roman"/>
          <w:b w:val="0"/>
          <w:sz w:val="22"/>
          <w:szCs w:val="21"/>
        </w:rPr>
        <w:t>人造石建筑板材</w:t>
      </w:r>
      <w:r>
        <w:rPr>
          <w:rFonts w:ascii="Times New Roman"/>
          <w:b w:val="0"/>
          <w:sz w:val="22"/>
          <w:szCs w:val="21"/>
        </w:rPr>
        <w:t>》等，相关的国际标准有EN 15285《人造石-地面和台阶用规格板》、EN 15286《人造石-墙板和墙砖》、EN 15388《人造石-卫浴厨房台面规格板》、EN 14618《人造合成石》等，这些标准对人造石英石在民用和普通工业用途中的性能做了要求，强调材料的光滑度、色泽，耐油抗污，耐弱酸弱碱性能等。而湿法冶炼车间对地面铺设的材料要求更高，需要更高的强度，更好的耐酸腐蚀性能，同时对材料的热膨胀性能要求更高，对光滑度、色泽、耐油抗污等要求不高。因此，本标准将对有色行业湿法冶金中使用的防腐复合板（人造石英石板材）的关键技术指标做出具体限定。</w:t>
      </w:r>
    </w:p>
    <w:p w14:paraId="4DC9A76D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20" w:name="_Toc15468"/>
      <w:bookmarkStart w:id="21" w:name="_Toc29289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五、预期的经济效益、社会效益和生态效益</w:t>
      </w:r>
      <w:bookmarkEnd w:id="20"/>
      <w:bookmarkEnd w:id="21"/>
    </w:p>
    <w:p w14:paraId="5E2EDB3B">
      <w:pPr>
        <w:autoSpaceDE/>
        <w:autoSpaceDN/>
        <w:adjustRightInd/>
        <w:ind w:firstLine="440" w:firstLineChars="200"/>
        <w:jc w:val="both"/>
        <w:rPr>
          <w:rFonts w:hint="default"/>
          <w:szCs w:val="21"/>
        </w:rPr>
      </w:pPr>
      <w:r>
        <w:rPr>
          <w:szCs w:val="21"/>
        </w:rPr>
        <w:t>防腐复合板与传统防腐材料，例如</w:t>
      </w:r>
      <w:r>
        <w:rPr>
          <w:rFonts w:hAnsi="宋体"/>
          <w:szCs w:val="21"/>
        </w:rPr>
        <w:t>花岗岩、耐酸瓷砖、呋喃混凝土、树脂砂浆等相比，表现出更好的强度、韧性、耐酸性能，使用寿命长，维修频率低，可以明显降低冶炼厂对防腐地面的维修成本。同时，</w:t>
      </w:r>
      <w:r>
        <w:rPr>
          <w:szCs w:val="21"/>
        </w:rPr>
        <w:t>防腐复合板生产过程中的废水废渣可循环利用，基本可以实现废水废渣零排放，属于环保材料。</w:t>
      </w:r>
      <w:r>
        <w:rPr>
          <w:rFonts w:hAnsi="宋体"/>
          <w:szCs w:val="21"/>
        </w:rPr>
        <w:t>近几年国内外翻新或者新建冶炼厂，大多数采用</w:t>
      </w:r>
      <w:r>
        <w:rPr>
          <w:szCs w:val="21"/>
        </w:rPr>
        <w:t>防腐复合板作为电解车间、净液车间的地面防腐材料，例如卡阿莫-卡库拉铜冶炼厂、烟台国兴、山东恒邦、株冶有色、贵溪冶炼厂等。</w:t>
      </w:r>
      <w:r>
        <w:rPr>
          <w:rFonts w:hAnsi="宋体"/>
          <w:szCs w:val="21"/>
        </w:rPr>
        <w:t>但</w:t>
      </w:r>
      <w:r>
        <w:rPr>
          <w:szCs w:val="21"/>
        </w:rPr>
        <w:t>目前</w:t>
      </w:r>
      <w:r>
        <w:rPr>
          <w:rFonts w:hAnsi="宋体"/>
          <w:szCs w:val="21"/>
        </w:rPr>
        <w:t>防腐复合板没有统一的产品规范，</w:t>
      </w:r>
      <w:r>
        <w:rPr>
          <w:szCs w:val="21"/>
        </w:rPr>
        <w:t>有色金属冶炼行业还尚无限定</w:t>
      </w:r>
      <w:r>
        <w:rPr>
          <w:rFonts w:hAnsi="宋体"/>
          <w:szCs w:val="21"/>
        </w:rPr>
        <w:t>防腐复合板</w:t>
      </w:r>
      <w:r>
        <w:rPr>
          <w:szCs w:val="21"/>
        </w:rPr>
        <w:t>需满足的技术指标要求的标准可依据，不利于</w:t>
      </w:r>
      <w:r>
        <w:rPr>
          <w:rFonts w:hAnsi="宋体"/>
          <w:szCs w:val="21"/>
        </w:rPr>
        <w:t>防腐复合板在有色金属冶炼行业的推广应用。</w:t>
      </w:r>
    </w:p>
    <w:p w14:paraId="5AE9B995">
      <w:pPr>
        <w:autoSpaceDE/>
        <w:autoSpaceDN/>
        <w:adjustRightInd/>
        <w:ind w:firstLine="440" w:firstLineChars="200"/>
        <w:jc w:val="both"/>
        <w:rPr>
          <w:rFonts w:hAnsi="宋体"/>
          <w:kern w:val="2"/>
          <w:sz w:val="21"/>
          <w:szCs w:val="21"/>
        </w:rPr>
      </w:pPr>
      <w:r>
        <w:rPr>
          <w:szCs w:val="21"/>
        </w:rPr>
        <w:t>若本标准完成制定、发布实施，将规范和促进防腐复合板在有色金属行业的应用推广，逐步替代高能耗的耐酸瓷砖和天然花岗岩，对实现碳达峰和环境保护有一定的积极作用。同时，防腐复合板在有色行业应用，为湿法车间提供了性价比更好的防腐产品，可降低冶炼企业在防腐上的投入成本，有利于有色金属企业高质量发展。总之，本标准的制定实施，具有良好的经济效益、社会效益和生态效益。</w:t>
      </w:r>
    </w:p>
    <w:p w14:paraId="5C92DD8E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22" w:name="_Toc24881"/>
      <w:bookmarkStart w:id="23" w:name="_Toc2232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六、重大分歧意见的处理过程、处理意见及其依据</w:t>
      </w:r>
      <w:bookmarkEnd w:id="22"/>
      <w:bookmarkEnd w:id="23"/>
    </w:p>
    <w:p w14:paraId="36ACA0F6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本文件</w:t>
      </w:r>
      <w:r>
        <w:rPr>
          <w:rFonts w:hint="default" w:ascii="Times New Roman" w:cs="Times New Roman"/>
          <w:sz w:val="21"/>
          <w:szCs w:val="21"/>
        </w:rPr>
        <w:t>在编制过程中未出现重大分歧意见。</w:t>
      </w:r>
      <w:bookmarkStart w:id="24" w:name="_bookmark5"/>
      <w:bookmarkEnd w:id="24"/>
    </w:p>
    <w:p w14:paraId="6AAADC6D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25" w:name="_Toc5457"/>
      <w:bookmarkStart w:id="26" w:name="_Toc28070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七、实施强制性国家标准有关的政策措施</w:t>
      </w:r>
      <w:bookmarkEnd w:id="25"/>
      <w:bookmarkEnd w:id="26"/>
      <w:bookmarkStart w:id="27" w:name="_bookmark11"/>
      <w:bookmarkEnd w:id="27"/>
    </w:p>
    <w:p w14:paraId="07DD4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/>
        <w:ind w:firstLine="442"/>
        <w:jc w:val="both"/>
        <w:textAlignment w:val="auto"/>
        <w:rPr>
          <w:rFonts w:hint="default" w:ascii="Times New Roman" w:cs="Times New Roman"/>
          <w:sz w:val="21"/>
          <w:szCs w:val="21"/>
        </w:rPr>
      </w:pPr>
      <w:r>
        <w:rPr>
          <w:rFonts w:hAnsi="宋体"/>
          <w:kern w:val="2"/>
          <w:sz w:val="21"/>
          <w:szCs w:val="21"/>
        </w:rPr>
        <w:t>本文件</w:t>
      </w:r>
      <w:r>
        <w:rPr>
          <w:rFonts w:hint="default" w:hAnsi="宋体"/>
          <w:kern w:val="2"/>
          <w:sz w:val="21"/>
          <w:szCs w:val="21"/>
        </w:rPr>
        <w:t>规定了</w:t>
      </w:r>
      <w:r>
        <w:rPr>
          <w:rFonts w:hAnsi="宋体"/>
          <w:kern w:val="2"/>
          <w:sz w:val="21"/>
          <w:szCs w:val="21"/>
        </w:rPr>
        <w:t>湿法冶金用防腐复合板</w:t>
      </w:r>
      <w:r>
        <w:rPr>
          <w:rFonts w:hint="default" w:hAnsi="宋体"/>
          <w:kern w:val="2"/>
          <w:sz w:val="21"/>
          <w:szCs w:val="21"/>
        </w:rPr>
        <w:t>的</w:t>
      </w:r>
      <w:r>
        <w:rPr>
          <w:rFonts w:hAnsi="宋体"/>
          <w:kern w:val="2"/>
          <w:sz w:val="21"/>
          <w:szCs w:val="21"/>
        </w:rPr>
        <w:t>性能</w:t>
      </w:r>
      <w:r>
        <w:rPr>
          <w:rFonts w:hint="default" w:hAnsi="宋体"/>
          <w:kern w:val="2"/>
          <w:sz w:val="21"/>
          <w:szCs w:val="21"/>
        </w:rPr>
        <w:t>要求</w:t>
      </w:r>
      <w:r>
        <w:rPr>
          <w:rFonts w:hAnsi="宋体"/>
          <w:kern w:val="2"/>
          <w:sz w:val="21"/>
          <w:szCs w:val="21"/>
        </w:rPr>
        <w:t>及检测方法</w:t>
      </w:r>
      <w:r>
        <w:rPr>
          <w:rFonts w:hint="default" w:hAnsi="宋体"/>
          <w:kern w:val="2"/>
          <w:sz w:val="21"/>
          <w:szCs w:val="21"/>
        </w:rPr>
        <w:t>，符合目前国内</w:t>
      </w:r>
      <w:r>
        <w:rPr>
          <w:rFonts w:hAnsi="宋体"/>
          <w:kern w:val="2"/>
          <w:sz w:val="21"/>
          <w:szCs w:val="21"/>
        </w:rPr>
        <w:t>有色金属湿法冶金</w:t>
      </w:r>
      <w:r>
        <w:rPr>
          <w:rFonts w:hint="default" w:hAnsi="宋体"/>
          <w:kern w:val="2"/>
          <w:sz w:val="21"/>
          <w:szCs w:val="21"/>
        </w:rPr>
        <w:t>的发展需求，具有较好的适用性和科学性，</w:t>
      </w:r>
      <w:r>
        <w:rPr>
          <w:rFonts w:hAnsi="宋体"/>
          <w:kern w:val="2"/>
          <w:sz w:val="21"/>
          <w:szCs w:val="21"/>
        </w:rPr>
        <w:t>本文件</w:t>
      </w:r>
      <w:r>
        <w:rPr>
          <w:rFonts w:hint="default" w:hAnsi="宋体"/>
          <w:kern w:val="2"/>
          <w:sz w:val="21"/>
          <w:szCs w:val="21"/>
        </w:rPr>
        <w:t>符合现行法律、法规的要求，并与其他同类国家标准、行业标准无冲突、重叠和不协调之处。</w:t>
      </w:r>
    </w:p>
    <w:p w14:paraId="20C81C4C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28" w:name="_Toc11242"/>
      <w:bookmarkStart w:id="29" w:name="_Toc27110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八、是否需要对外通报的建议及理由</w:t>
      </w:r>
      <w:bookmarkEnd w:id="28"/>
      <w:bookmarkEnd w:id="29"/>
    </w:p>
    <w:p w14:paraId="5C9023A3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本文件</w:t>
      </w:r>
      <w:r>
        <w:rPr>
          <w:rFonts w:hint="default" w:ascii="Times New Roman" w:cs="Times New Roman"/>
          <w:sz w:val="21"/>
          <w:szCs w:val="21"/>
        </w:rPr>
        <w:t>涉及国际贸易，建议通报。</w:t>
      </w:r>
    </w:p>
    <w:p w14:paraId="06488D6F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30" w:name="_bookmark12"/>
      <w:bookmarkEnd w:id="30"/>
      <w:bookmarkStart w:id="31" w:name="_Toc2660"/>
      <w:bookmarkStart w:id="32" w:name="_Toc570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九、废止现行有关标准的建议</w:t>
      </w:r>
      <w:bookmarkEnd w:id="31"/>
      <w:bookmarkEnd w:id="32"/>
    </w:p>
    <w:p w14:paraId="3186256B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无废止现行有关标准的建议</w:t>
      </w:r>
      <w:r>
        <w:rPr>
          <w:rFonts w:hint="default" w:ascii="Times New Roman" w:cs="Times New Roman"/>
          <w:sz w:val="21"/>
          <w:szCs w:val="21"/>
        </w:rPr>
        <w:t>。</w:t>
      </w:r>
    </w:p>
    <w:p w14:paraId="5FDF1AA4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33" w:name="_bookmark13"/>
      <w:bookmarkEnd w:id="33"/>
      <w:bookmarkStart w:id="34" w:name="_Toc10104"/>
      <w:bookmarkStart w:id="35" w:name="_Toc5780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十、涉及专利的有关说明</w:t>
      </w:r>
      <w:bookmarkEnd w:id="34"/>
      <w:bookmarkEnd w:id="35"/>
    </w:p>
    <w:p w14:paraId="3FD63A1F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7"/>
          <w:szCs w:val="27"/>
        </w:rPr>
      </w:pPr>
      <w:r>
        <w:rPr>
          <w:rFonts w:ascii="Times New Roman" w:cs="Times New Roman"/>
          <w:sz w:val="21"/>
          <w:szCs w:val="21"/>
        </w:rPr>
        <w:t>本文件</w:t>
      </w:r>
      <w:r>
        <w:rPr>
          <w:rFonts w:hint="default" w:ascii="Times New Roman" w:cs="Times New Roman"/>
          <w:sz w:val="21"/>
          <w:szCs w:val="21"/>
        </w:rPr>
        <w:t xml:space="preserve">不涉及相关专利情况。 </w:t>
      </w:r>
    </w:p>
    <w:p w14:paraId="727D65E3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36" w:name="_bookmark14"/>
      <w:bookmarkEnd w:id="36"/>
      <w:bookmarkStart w:id="37" w:name="_Toc24796"/>
      <w:bookmarkStart w:id="38" w:name="_Toc7098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十一、强制性国家标准所涉及的产品、过程或者服务目录</w:t>
      </w:r>
      <w:bookmarkEnd w:id="37"/>
      <w:bookmarkEnd w:id="38"/>
    </w:p>
    <w:p w14:paraId="2C2120E7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本文件</w:t>
      </w:r>
      <w:r>
        <w:rPr>
          <w:rFonts w:hint="default" w:ascii="Times New Roman" w:cs="Times New Roman"/>
          <w:sz w:val="21"/>
          <w:szCs w:val="21"/>
        </w:rPr>
        <w:t>主要涉及的产品为</w:t>
      </w:r>
      <w:r>
        <w:rPr>
          <w:rFonts w:ascii="Times New Roman" w:cs="Times New Roman"/>
          <w:sz w:val="21"/>
          <w:szCs w:val="21"/>
        </w:rPr>
        <w:t>湿法冶金用防腐复合板</w:t>
      </w:r>
      <w:r>
        <w:rPr>
          <w:rFonts w:hint="default" w:ascii="Times New Roman" w:cs="Times New Roman"/>
          <w:sz w:val="21"/>
          <w:szCs w:val="21"/>
        </w:rPr>
        <w:t xml:space="preserve">。 </w:t>
      </w:r>
      <w:bookmarkStart w:id="39" w:name="_bookmark15"/>
      <w:bookmarkEnd w:id="39"/>
    </w:p>
    <w:p w14:paraId="5ADA9C8B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40" w:name="_Toc17517"/>
      <w:bookmarkStart w:id="41" w:name="_Toc18159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十二、贯彻标准的要求和措施建议</w:t>
      </w:r>
      <w:bookmarkEnd w:id="40"/>
      <w:bookmarkEnd w:id="41"/>
    </w:p>
    <w:p w14:paraId="1072D12C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hint="default" w:ascii="Times New Roman" w:cs="Times New Roman"/>
          <w:sz w:val="21"/>
          <w:szCs w:val="21"/>
        </w:rPr>
        <w:t>1、首先应在实施前保证标准文本的充足供应，使每个</w:t>
      </w:r>
      <w:r>
        <w:rPr>
          <w:rFonts w:ascii="Times New Roman" w:cs="Times New Roman"/>
          <w:sz w:val="21"/>
          <w:szCs w:val="21"/>
        </w:rPr>
        <w:t>防腐复合板</w:t>
      </w:r>
      <w:r>
        <w:rPr>
          <w:rFonts w:hint="default" w:ascii="Times New Roman" w:cs="Times New Roman"/>
          <w:sz w:val="21"/>
          <w:szCs w:val="21"/>
        </w:rPr>
        <w:t>生产企业及相关检测机构都能及时获得</w:t>
      </w:r>
      <w:r>
        <w:rPr>
          <w:rFonts w:ascii="Times New Roman" w:cs="Times New Roman"/>
          <w:sz w:val="21"/>
          <w:szCs w:val="21"/>
        </w:rPr>
        <w:t>本文件</w:t>
      </w:r>
      <w:r>
        <w:rPr>
          <w:rFonts w:hint="default" w:ascii="Times New Roman" w:cs="Times New Roman"/>
          <w:sz w:val="21"/>
          <w:szCs w:val="21"/>
        </w:rPr>
        <w:t>，这是保证新标准贯彻实施的基础。</w:t>
      </w:r>
    </w:p>
    <w:p w14:paraId="46FE9EFD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hint="default" w:ascii="Times New Roman" w:cs="Times New Roman"/>
          <w:sz w:val="21"/>
          <w:szCs w:val="21"/>
        </w:rPr>
        <w:t>2、本次修订的《</w:t>
      </w:r>
      <w:r>
        <w:rPr>
          <w:rFonts w:ascii="Times New Roman" w:cs="Times New Roman"/>
          <w:sz w:val="21"/>
          <w:szCs w:val="21"/>
        </w:rPr>
        <w:t>湿法冶金用防腐复合板</w:t>
      </w:r>
      <w:r>
        <w:rPr>
          <w:rFonts w:hint="default" w:ascii="Times New Roman" w:cs="Times New Roman"/>
          <w:sz w:val="21"/>
          <w:szCs w:val="21"/>
        </w:rPr>
        <w:t>》标准，与生产企业</w:t>
      </w:r>
      <w:r>
        <w:rPr>
          <w:rFonts w:ascii="Times New Roman" w:cs="Times New Roman"/>
          <w:sz w:val="21"/>
          <w:szCs w:val="21"/>
        </w:rPr>
        <w:t>和使用企业</w:t>
      </w:r>
      <w:r>
        <w:rPr>
          <w:rFonts w:hint="default" w:ascii="Times New Roman" w:cs="Times New Roman"/>
          <w:sz w:val="21"/>
          <w:szCs w:val="21"/>
        </w:rPr>
        <w:t>有关，对于标准使用过程中出现的疑问，起草单位有义务进行解释。</w:t>
      </w:r>
    </w:p>
    <w:p w14:paraId="23E3620D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hint="default" w:ascii="Times New Roman" w:cs="Times New Roman"/>
          <w:sz w:val="21"/>
          <w:szCs w:val="21"/>
        </w:rPr>
        <w:t>3、可以针对标准使用的不同对象，有侧重点的进行标准培训和宣贯，以保证标准的贯彻实施。</w:t>
      </w:r>
    </w:p>
    <w:p w14:paraId="23AC905F">
      <w:pPr>
        <w:pStyle w:val="7"/>
        <w:kinsoku w:val="0"/>
        <w:overflowPunct w:val="0"/>
        <w:ind w:firstLine="420" w:firstLineChars="200"/>
        <w:jc w:val="both"/>
        <w:rPr>
          <w:rFonts w:hint="default" w:ascii="Times New Roman" w:cs="Times New Roman"/>
          <w:sz w:val="21"/>
          <w:szCs w:val="21"/>
        </w:rPr>
      </w:pPr>
      <w:r>
        <w:rPr>
          <w:rFonts w:hint="default" w:ascii="Times New Roman" w:cs="Times New Roman"/>
          <w:sz w:val="21"/>
          <w:szCs w:val="21"/>
        </w:rPr>
        <w:t>4、建议标准发布后6个月实施。</w:t>
      </w:r>
    </w:p>
    <w:p w14:paraId="71ECE355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</w:pPr>
      <w:bookmarkStart w:id="42" w:name="_Toc26025"/>
      <w:bookmarkStart w:id="43" w:name="_Toc20880"/>
      <w:r>
        <w:rPr>
          <w:rFonts w:hint="default" w:ascii="Times New Roman" w:hAnsi="Times New Roman" w:eastAsia="黑体" w:cs="Times New Roman"/>
          <w:b w:val="0"/>
          <w:bCs/>
          <w:sz w:val="21"/>
          <w:szCs w:val="21"/>
          <w:lang w:val="en-US" w:eastAsia="zh-CN" w:bidi="ar-SA"/>
        </w:rPr>
        <w:t>十三、其他应当予以说明的事项</w:t>
      </w:r>
      <w:bookmarkEnd w:id="42"/>
      <w:bookmarkEnd w:id="43"/>
    </w:p>
    <w:p w14:paraId="6DEF42B7">
      <w:pPr>
        <w:pStyle w:val="7"/>
        <w:kinsoku w:val="0"/>
        <w:overflowPunct w:val="0"/>
        <w:ind w:firstLine="420" w:firstLineChars="200"/>
        <w:jc w:val="both"/>
        <w:rPr>
          <w:rFonts w:hint="default"/>
        </w:rPr>
      </w:pPr>
      <w:r>
        <w:rPr>
          <w:rFonts w:hint="default" w:ascii="Times New Roman" w:cs="Times New Roman"/>
          <w:sz w:val="21"/>
          <w:szCs w:val="21"/>
        </w:rPr>
        <w:t xml:space="preserve">  暂无。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赵黎明" w:date="2025-08-12T17:03:28Z" w:initials="">
    <w:p w14:paraId="01EB26E9">
      <w:pPr>
        <w:pStyle w:val="6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表格中增加江西铜业股份有限公司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1EB26E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EE2B1">
    <w:pPr>
      <w:pStyle w:val="7"/>
      <w:kinsoku w:val="0"/>
      <w:overflowPunct w:val="0"/>
      <w:spacing w:line="14" w:lineRule="auto"/>
      <w:rPr>
        <w:rFonts w:hint="default" w:ascii="Times New Roman" w:cs="Times New Roman"/>
        <w:sz w:val="20"/>
        <w:szCs w:val="20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3684905</wp:posOffset>
              </wp:positionH>
              <wp:positionV relativeFrom="page">
                <wp:posOffset>9792970</wp:posOffset>
              </wp:positionV>
              <wp:extent cx="167005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3C0E03D">
                          <w:pPr>
                            <w:pStyle w:val="7"/>
                            <w:kinsoku w:val="0"/>
                            <w:overflowPunct w:val="0"/>
                            <w:spacing w:before="12"/>
                            <w:ind w:left="40"/>
                            <w:rPr>
                              <w:rFonts w:hint="default" w:asci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0.15pt;margin-top:771.1pt;height:12pt;width:13.1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GwuZjaAAAADQEAAA8AAAAAAAAAAQAgAAAAIgAAAGRycy9kb3ducmV2Lnht&#10;bFBLAQIUABQAAAAIAIdO4kCvFyCcvgEAAH8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C0E03D">
                    <w:pPr>
                      <w:pStyle w:val="7"/>
                      <w:kinsoku w:val="0"/>
                      <w:overflowPunct w:val="0"/>
                      <w:spacing w:before="12"/>
                      <w:ind w:left="40"/>
                      <w:rPr>
                        <w:rFonts w:hint="default" w:asci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9091A3"/>
    <w:multiLevelType w:val="singleLevel"/>
    <w:tmpl w:val="0B9091A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赵黎明">
    <w15:presenceInfo w15:providerId="WPS Office" w15:userId="20283418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1ODdhYzdiYTUxODY5MzllZGVkZjExZTAyNTc2ZjMifQ=="/>
  </w:docVars>
  <w:rsids>
    <w:rsidRoot w:val="0093173F"/>
    <w:rsid w:val="00024DCD"/>
    <w:rsid w:val="001A4ADF"/>
    <w:rsid w:val="0024091E"/>
    <w:rsid w:val="00340AFC"/>
    <w:rsid w:val="00835CEE"/>
    <w:rsid w:val="0093173F"/>
    <w:rsid w:val="00A110CB"/>
    <w:rsid w:val="00B71F65"/>
    <w:rsid w:val="01110175"/>
    <w:rsid w:val="0156177E"/>
    <w:rsid w:val="027A76EE"/>
    <w:rsid w:val="02897931"/>
    <w:rsid w:val="028D2630"/>
    <w:rsid w:val="036E328E"/>
    <w:rsid w:val="03E5328D"/>
    <w:rsid w:val="05917228"/>
    <w:rsid w:val="05CD222A"/>
    <w:rsid w:val="05E162C2"/>
    <w:rsid w:val="06DC2725"/>
    <w:rsid w:val="075B1C3E"/>
    <w:rsid w:val="08EC6A84"/>
    <w:rsid w:val="0B5E5DFE"/>
    <w:rsid w:val="0FFF7484"/>
    <w:rsid w:val="106E1E0F"/>
    <w:rsid w:val="12D96F1E"/>
    <w:rsid w:val="13545D39"/>
    <w:rsid w:val="14B66A78"/>
    <w:rsid w:val="15431BC1"/>
    <w:rsid w:val="15475B55"/>
    <w:rsid w:val="15CC7E09"/>
    <w:rsid w:val="1695469E"/>
    <w:rsid w:val="17C90AA4"/>
    <w:rsid w:val="18422604"/>
    <w:rsid w:val="19B7465C"/>
    <w:rsid w:val="1AF20311"/>
    <w:rsid w:val="1BEC09B7"/>
    <w:rsid w:val="1CFD6DCB"/>
    <w:rsid w:val="1D6F55A4"/>
    <w:rsid w:val="1EFD1033"/>
    <w:rsid w:val="20672C08"/>
    <w:rsid w:val="242A28CA"/>
    <w:rsid w:val="263A491A"/>
    <w:rsid w:val="280451E0"/>
    <w:rsid w:val="28AE5A9A"/>
    <w:rsid w:val="292E2450"/>
    <w:rsid w:val="2B0674C1"/>
    <w:rsid w:val="2B884367"/>
    <w:rsid w:val="2D0B1F79"/>
    <w:rsid w:val="2E087CA3"/>
    <w:rsid w:val="2F4D56BE"/>
    <w:rsid w:val="307F293A"/>
    <w:rsid w:val="32A47CEB"/>
    <w:rsid w:val="33A51F6D"/>
    <w:rsid w:val="340A6274"/>
    <w:rsid w:val="340E22A5"/>
    <w:rsid w:val="357D4824"/>
    <w:rsid w:val="36941E25"/>
    <w:rsid w:val="36F8680F"/>
    <w:rsid w:val="380138A9"/>
    <w:rsid w:val="3930052B"/>
    <w:rsid w:val="3BCB44F6"/>
    <w:rsid w:val="3CA52FDE"/>
    <w:rsid w:val="3D5B369C"/>
    <w:rsid w:val="3D8D10BC"/>
    <w:rsid w:val="3DA768E2"/>
    <w:rsid w:val="3F137531"/>
    <w:rsid w:val="417300D0"/>
    <w:rsid w:val="46D70238"/>
    <w:rsid w:val="482B6EEB"/>
    <w:rsid w:val="496B4C67"/>
    <w:rsid w:val="497A2D21"/>
    <w:rsid w:val="4CBC34BA"/>
    <w:rsid w:val="4E35077D"/>
    <w:rsid w:val="50100316"/>
    <w:rsid w:val="51527191"/>
    <w:rsid w:val="520D0FB1"/>
    <w:rsid w:val="54595F7A"/>
    <w:rsid w:val="55450A62"/>
    <w:rsid w:val="55D87B28"/>
    <w:rsid w:val="5737262D"/>
    <w:rsid w:val="57D66D10"/>
    <w:rsid w:val="58472D43"/>
    <w:rsid w:val="58676F42"/>
    <w:rsid w:val="590C382F"/>
    <w:rsid w:val="5A56101C"/>
    <w:rsid w:val="5A942284"/>
    <w:rsid w:val="5AAD1584"/>
    <w:rsid w:val="5ADA0BA1"/>
    <w:rsid w:val="5B2D41AF"/>
    <w:rsid w:val="5D891708"/>
    <w:rsid w:val="5ECF60A2"/>
    <w:rsid w:val="5F076D88"/>
    <w:rsid w:val="5FBF7663"/>
    <w:rsid w:val="5FFE63DD"/>
    <w:rsid w:val="61AF1358"/>
    <w:rsid w:val="63253C81"/>
    <w:rsid w:val="6695111E"/>
    <w:rsid w:val="67672ABA"/>
    <w:rsid w:val="67EB1352"/>
    <w:rsid w:val="689627C2"/>
    <w:rsid w:val="69085BD7"/>
    <w:rsid w:val="6C661592"/>
    <w:rsid w:val="6CD24E7A"/>
    <w:rsid w:val="6E0113A0"/>
    <w:rsid w:val="6ED0363B"/>
    <w:rsid w:val="72050F76"/>
    <w:rsid w:val="73C31078"/>
    <w:rsid w:val="75A90742"/>
    <w:rsid w:val="75AB270C"/>
    <w:rsid w:val="75C537CD"/>
    <w:rsid w:val="75C612F4"/>
    <w:rsid w:val="78C344E7"/>
    <w:rsid w:val="7A603AC5"/>
    <w:rsid w:val="7AE21ABB"/>
    <w:rsid w:val="7BC77B74"/>
    <w:rsid w:val="7C330D65"/>
    <w:rsid w:val="7C43544C"/>
    <w:rsid w:val="7D847ACA"/>
    <w:rsid w:val="7ED95BF4"/>
    <w:rsid w:val="7FD8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1" w:semiHidden="0" w:name="heading 2"/>
    <w:lsdException w:qFormat="1" w:uiPriority="0" w:name="heading 3"/>
    <w:lsdException w:qFormat="1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1"/>
    <w:pPr>
      <w:ind w:left="134"/>
      <w:outlineLvl w:val="0"/>
    </w:pPr>
    <w:rPr>
      <w:b/>
      <w:sz w:val="32"/>
      <w:szCs w:val="32"/>
    </w:rPr>
  </w:style>
  <w:style w:type="paragraph" w:styleId="3">
    <w:name w:val="heading 2"/>
    <w:basedOn w:val="1"/>
    <w:next w:val="1"/>
    <w:unhideWhenUsed/>
    <w:qFormat/>
    <w:uiPriority w:val="1"/>
    <w:pPr>
      <w:ind w:left="702" w:hanging="569"/>
      <w:outlineLvl w:val="1"/>
    </w:pPr>
    <w:rPr>
      <w:b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1"/>
    <w:pPr>
      <w:kinsoku w:val="0"/>
      <w:overflowPunct w:val="0"/>
      <w:spacing w:before="66"/>
      <w:ind w:right="96"/>
      <w:jc w:val="center"/>
      <w:outlineLvl w:val="3"/>
    </w:pPr>
    <w:rPr>
      <w:b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3"/>
    <w:qFormat/>
    <w:uiPriority w:val="0"/>
  </w:style>
  <w:style w:type="paragraph" w:styleId="7">
    <w:name w:val="Body Text"/>
    <w:basedOn w:val="1"/>
    <w:unhideWhenUsed/>
    <w:qFormat/>
    <w:uiPriority w:val="1"/>
    <w:rPr>
      <w:sz w:val="24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annotation subject"/>
    <w:basedOn w:val="6"/>
    <w:next w:val="6"/>
    <w:link w:val="24"/>
    <w:qFormat/>
    <w:uiPriority w:val="0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customStyle="1" w:styleId="17">
    <w:name w:val="2"/>
    <w:basedOn w:val="3"/>
    <w:qFormat/>
    <w:uiPriority w:val="0"/>
    <w:pPr>
      <w:tabs>
        <w:tab w:val="left" w:pos="703"/>
      </w:tabs>
      <w:kinsoku w:val="0"/>
      <w:overflowPunct w:val="0"/>
      <w:spacing w:before="50" w:beforeLines="50" w:after="50" w:afterLines="50"/>
      <w:ind w:left="0" w:firstLine="0"/>
    </w:pPr>
    <w:rPr>
      <w:rFonts w:ascii="黑体" w:hAnsi="黑体" w:eastAsia="黑体" w:cs="黑体"/>
      <w:b w:val="0"/>
      <w:bCs/>
      <w:sz w:val="21"/>
      <w:szCs w:val="21"/>
    </w:rPr>
  </w:style>
  <w:style w:type="paragraph" w:customStyle="1" w:styleId="18">
    <w:name w:val="3"/>
    <w:basedOn w:val="4"/>
    <w:qFormat/>
    <w:uiPriority w:val="0"/>
    <w:pPr>
      <w:tabs>
        <w:tab w:val="left" w:pos="703"/>
      </w:tabs>
      <w:kinsoku w:val="0"/>
      <w:overflowPunct w:val="0"/>
      <w:spacing w:before="50" w:beforeLines="50" w:after="50" w:afterLines="50" w:line="240" w:lineRule="auto"/>
    </w:pPr>
    <w:rPr>
      <w:rFonts w:ascii="黑体" w:hAnsi="黑体" w:eastAsia="黑体" w:cs="黑体"/>
      <w:b w:val="0"/>
      <w:bCs/>
      <w:sz w:val="21"/>
      <w:szCs w:val="21"/>
    </w:rPr>
  </w:style>
  <w:style w:type="paragraph" w:customStyle="1" w:styleId="19">
    <w:name w:val="1"/>
    <w:basedOn w:val="2"/>
    <w:next w:val="1"/>
    <w:qFormat/>
    <w:uiPriority w:val="0"/>
    <w:pPr>
      <w:spacing w:before="100" w:beforeLines="100" w:after="100" w:afterLines="100"/>
      <w:ind w:left="0"/>
    </w:pPr>
    <w:rPr>
      <w:rFonts w:hAnsi="宋体" w:eastAsia="黑体"/>
      <w:b w:val="0"/>
      <w:sz w:val="21"/>
    </w:rPr>
  </w:style>
  <w:style w:type="paragraph" w:customStyle="1" w:styleId="2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1">
    <w:name w:val="页眉 字符"/>
    <w:basedOn w:val="15"/>
    <w:link w:val="9"/>
    <w:qFormat/>
    <w:uiPriority w:val="0"/>
    <w:rPr>
      <w:rFonts w:ascii="宋体" w:cs="宋体"/>
      <w:sz w:val="18"/>
      <w:szCs w:val="18"/>
    </w:rPr>
  </w:style>
  <w:style w:type="paragraph" w:customStyle="1" w:styleId="22">
    <w:name w:val="Revision"/>
    <w:hidden/>
    <w:unhideWhenUsed/>
    <w:qFormat/>
    <w:uiPriority w:val="99"/>
    <w:rPr>
      <w:rFonts w:hint="eastAsia" w:ascii="宋体" w:hAnsi="Times New Roman" w:eastAsia="宋体" w:cs="宋体"/>
      <w:sz w:val="22"/>
      <w:szCs w:val="22"/>
      <w:lang w:val="en-US" w:eastAsia="zh-CN" w:bidi="ar-SA"/>
    </w:rPr>
  </w:style>
  <w:style w:type="character" w:customStyle="1" w:styleId="23">
    <w:name w:val="批注文字 字符"/>
    <w:basedOn w:val="15"/>
    <w:link w:val="6"/>
    <w:qFormat/>
    <w:uiPriority w:val="0"/>
    <w:rPr>
      <w:rFonts w:ascii="宋体" w:cs="宋体"/>
      <w:sz w:val="22"/>
      <w:szCs w:val="22"/>
    </w:rPr>
  </w:style>
  <w:style w:type="character" w:customStyle="1" w:styleId="24">
    <w:name w:val="批注主题 字符"/>
    <w:basedOn w:val="23"/>
    <w:link w:val="12"/>
    <w:qFormat/>
    <w:uiPriority w:val="0"/>
    <w:rPr>
      <w:rFonts w:ascii="宋体" w:cs="宋体"/>
      <w:b/>
      <w:bCs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4169</Words>
  <Characters>5008</Characters>
  <Lines>46</Lines>
  <Paragraphs>13</Paragraphs>
  <TotalTime>1</TotalTime>
  <ScaleCrop>false</ScaleCrop>
  <LinksUpToDate>false</LinksUpToDate>
  <CharactersWithSpaces>5048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2024-03-19T12:23:00Z</dcterms:created>
  <dc:creator>wangqy</dc:creator>
  <cp:lastModifiedBy>樊赣湘</cp:lastModifiedBy>
  <dcterms:modified xsi:type="dcterms:W3CDTF">2025-08-13T05:54:11Z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0103E3F343184D7CB4AE81FB51B000C3_13</vt:lpwstr>
  </property>
  <property fmtid="{D5CDD505-2E9C-101B-9397-08002B2CF9AE}" pid="4" name="KSOTemplateDocerSaveRecord">
    <vt:lpwstr>eyJoZGlkIjoiMjJhNDg4MTAyZGQxZmY5OGVlZWQ5M2Y2NDY4MDBlMWMiLCJ1c2VySWQiOiIxNDkzNzg0NzAzIn0=</vt:lpwstr>
  </property>
</Properties>
</file>