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B56870">
      <w:pPr>
        <w:pStyle w:val="81"/>
        <w:rPr>
          <w:color w:val="000000"/>
          <w:kern w:val="2"/>
          <w:sz w:val="15"/>
          <w:szCs w:val="15"/>
        </w:rPr>
      </w:pPr>
      <w:bookmarkStart w:id="0" w:name="SectionMark0"/>
      <w:r>
        <w:rPr>
          <w:color w:val="000000"/>
          <w:kern w:val="2"/>
          <w:sz w:val="15"/>
          <w:szCs w:val="15"/>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2080260</wp:posOffset>
                </wp:positionV>
                <wp:extent cx="6121400" cy="0"/>
                <wp:effectExtent l="0" t="6350" r="0" b="6350"/>
                <wp:wrapNone/>
                <wp:docPr id="8" name="直线 10"/>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800008"/>
                          </a:solidFill>
                          <a:prstDash val="solid"/>
                          <a:headEnd type="none" w="med" len="med"/>
                          <a:tailEnd type="none" w="med" len="med"/>
                        </a:ln>
                      </wps:spPr>
                      <wps:bodyPr upright="1"/>
                    </wps:wsp>
                  </a:graphicData>
                </a:graphic>
              </wp:anchor>
            </w:drawing>
          </mc:Choice>
          <mc:Fallback>
            <w:pict>
              <v:line id="直线 10" o:spid="_x0000_s1026" o:spt="20" style="position:absolute;left:0pt;margin-left:0pt;margin-top:163.8pt;height:0pt;width:482pt;z-index:251666432;mso-width-relative:page;mso-height-relative:page;" filled="f" stroked="t" coordsize="21600,21600" o:gfxdata="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F0MxHUAAAA&#10;CAEAAA8AAAAAAAAAAQAgAAAAIgAAAGRycy9kb3ducmV2LnhtbFBLAQIUABQAAAAIAIdO4kAQfUry&#10;6AEAAN0DAAAOAAAAAAAAAAEAIAAAACMBAABkcnMvZTJvRG9jLnhtbFBLBQYAAAAABgAGAFkBAAB9&#10;BQAAAAA=&#10;">
                <v:fill on="f" focussize="0,0"/>
                <v:stroke weight="1pt" color="#800008" joinstyle="round"/>
                <v:imagedata o:title=""/>
                <o:lock v:ext="edit" aspectratio="f"/>
              </v:line>
            </w:pict>
          </mc:Fallback>
        </mc:AlternateContent>
      </w:r>
      <w:r>
        <w:rPr>
          <w:color w:val="000000"/>
          <w:kern w:val="2"/>
          <w:sz w:val="15"/>
          <w:szCs w:val="15"/>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8890000</wp:posOffset>
                </wp:positionV>
                <wp:extent cx="6121400" cy="0"/>
                <wp:effectExtent l="0" t="6350" r="0" b="6350"/>
                <wp:wrapNone/>
                <wp:docPr id="9" name="直线 11"/>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800008"/>
                          </a:solidFill>
                          <a:prstDash val="solid"/>
                          <a:headEnd type="none" w="med" len="med"/>
                          <a:tailEnd type="none" w="med" len="med"/>
                        </a:ln>
                      </wps:spPr>
                      <wps:bodyPr upright="1"/>
                    </wps:wsp>
                  </a:graphicData>
                </a:graphic>
              </wp:anchor>
            </w:drawing>
          </mc:Choice>
          <mc:Fallback>
            <w:pict>
              <v:line id="直线 11" o:spid="_x0000_s1026" o:spt="20" style="position:absolute;left:0pt;margin-left:0pt;margin-top:700pt;height:0pt;width:482pt;z-index:251667456;mso-width-relative:page;mso-height-relative:page;" filled="f" stroked="t" coordsize="21600,21600" o:gfxdata="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yxL5WNIAAAAK&#10;AQAADwAAAAAAAAABACAAAAAiAAAAZHJzL2Rvd25yZXYueG1sUEsBAhQAFAAAAAgAh07iQGKWQNvp&#10;AQAA3QMAAA4AAAAAAAAAAQAgAAAAIQEAAGRycy9lMm9Eb2MueG1sUEsFBgAAAAAGAAYAWQEAAHwF&#10;AAAAAA==&#10;">
                <v:fill on="f" focussize="0,0"/>
                <v:stroke weight="1pt" color="#800008" joinstyle="round"/>
                <v:imagedata o:title=""/>
                <o:lock v:ext="edit" aspectratio="f"/>
              </v:line>
            </w:pict>
          </mc:Fallback>
        </mc:AlternateContent>
      </w:r>
      <w:r>
        <w:rPr>
          <w:color w:val="000000"/>
          <w:kern w:val="2"/>
          <w:sz w:val="15"/>
          <w:szCs w:val="15"/>
        </w:rPr>
        <mc:AlternateContent>
          <mc:Choice Requires="wps">
            <w:drawing>
              <wp:anchor distT="0" distB="0" distL="114300" distR="114300" simplePos="0" relativeHeight="251665408" behindDoc="0" locked="1" layoutInCell="1" allowOverlap="1">
                <wp:simplePos x="0" y="0"/>
                <wp:positionH relativeFrom="margin">
                  <wp:posOffset>4100830</wp:posOffset>
                </wp:positionH>
                <wp:positionV relativeFrom="margin">
                  <wp:posOffset>8563610</wp:posOffset>
                </wp:positionV>
                <wp:extent cx="2019300" cy="312420"/>
                <wp:effectExtent l="0" t="0" r="0" b="11430"/>
                <wp:wrapNone/>
                <wp:docPr id="6" name="fmFrame6"/>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wps:spPr>
                      <wps:txbx>
                        <w:txbxContent>
                          <w:p w14:paraId="33F92995">
                            <w:pPr>
                              <w:pStyle w:val="70"/>
                              <w:rPr>
                                <w:rFonts w:ascii="黑体"/>
                              </w:rPr>
                            </w:pPr>
                            <w:r>
                              <w:rPr>
                                <w:rFonts w:hint="eastAsia" w:ascii="黑体"/>
                              </w:rPr>
                              <w:t>2</w:t>
                            </w:r>
                            <w:r>
                              <w:rPr>
                                <w:rFonts w:ascii="黑体"/>
                              </w:rPr>
                              <w:t>02</w:t>
                            </w:r>
                            <w:r>
                              <w:rPr>
                                <w:rFonts w:hint="eastAsia" w:ascii="黑体"/>
                              </w:rPr>
                              <w:t>×-××-××实施</w:t>
                            </w:r>
                          </w:p>
                        </w:txbxContent>
                      </wps:txbx>
                      <wps:bodyPr lIns="0" tIns="0" rIns="0" bIns="0" upright="1"/>
                    </wps:wsp>
                  </a:graphicData>
                </a:graphic>
              </wp:anchor>
            </w:drawing>
          </mc:Choice>
          <mc:Fallback>
            <w:pict>
              <v:shape id="fmFrame6" o:spid="_x0000_s1026" o:spt="202" type="#_x0000_t202" style="position:absolute;left:0pt;margin-left:322.9pt;margin-top:674.3pt;height:24.6pt;width:159pt;mso-position-horizontal-relative:margin;mso-position-vertical-relative:margin;z-index:251665408;mso-width-relative:page;mso-height-relative:page;" fillcolor="#FFFFFF" filled="t" stroked="f" coordsize="21600,21600" o:gfxdata="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EL9qtfaAAAADQEAAA8AAAAAAAAAAQAgAAAAIgAAAGRycy9kb3ducmV2Lnht&#10;bFBLAQIUABQAAAAIAIdO4kAvMCN4vgEAAJgDAAAOAAAAAAAAAAEAIAAAACkBAABkcnMvZTJvRG9j&#10;LnhtbFBLBQYAAAAABgAGAFkBAABZBQAAAAA=&#10;">
                <v:fill on="t" focussize="0,0"/>
                <v:stroke on="f"/>
                <v:imagedata o:title=""/>
                <o:lock v:ext="edit" aspectratio="f"/>
                <v:textbox inset="0mm,0mm,0mm,0mm">
                  <w:txbxContent>
                    <w:p w14:paraId="33F92995">
                      <w:pPr>
                        <w:pStyle w:val="70"/>
                        <w:rPr>
                          <w:rFonts w:ascii="黑体"/>
                        </w:rPr>
                      </w:pPr>
                      <w:r>
                        <w:rPr>
                          <w:rFonts w:hint="eastAsia" w:ascii="黑体"/>
                        </w:rPr>
                        <w:t>2</w:t>
                      </w:r>
                      <w:r>
                        <w:rPr>
                          <w:rFonts w:ascii="黑体"/>
                        </w:rPr>
                        <w:t>02</w:t>
                      </w:r>
                      <w:r>
                        <w:rPr>
                          <w:rFonts w:hint="eastAsia" w:ascii="黑体"/>
                        </w:rPr>
                        <w:t>×-××-××实施</w:t>
                      </w:r>
                    </w:p>
                  </w:txbxContent>
                </v:textbox>
                <w10:anchorlock/>
              </v:shape>
            </w:pict>
          </mc:Fallback>
        </mc:AlternateContent>
      </w:r>
      <w:r>
        <w:rPr>
          <w:color w:val="000000"/>
          <w:kern w:val="2"/>
          <w:sz w:val="15"/>
          <w:szCs w:val="15"/>
        </w:rPr>
        <mc:AlternateContent>
          <mc:Choice Requires="wps">
            <w:drawing>
              <wp:anchor distT="0" distB="0" distL="114300" distR="114300" simplePos="0" relativeHeight="251665408" behindDoc="0" locked="1" layoutInCell="1" allowOverlap="1">
                <wp:simplePos x="0" y="0"/>
                <wp:positionH relativeFrom="margin">
                  <wp:posOffset>0</wp:posOffset>
                </wp:positionH>
                <wp:positionV relativeFrom="margin">
                  <wp:posOffset>8563610</wp:posOffset>
                </wp:positionV>
                <wp:extent cx="2019300" cy="312420"/>
                <wp:effectExtent l="0" t="0" r="0" b="11430"/>
                <wp:wrapNone/>
                <wp:docPr id="7" name="fmFrame5"/>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wps:spPr>
                      <wps:txbx>
                        <w:txbxContent>
                          <w:p w14:paraId="5DC1B6DD">
                            <w:pPr>
                              <w:pStyle w:val="71"/>
                              <w:rPr>
                                <w:rFonts w:ascii="黑体"/>
                              </w:rPr>
                            </w:pPr>
                            <w:r>
                              <w:rPr>
                                <w:rFonts w:hint="eastAsia" w:ascii="黑体"/>
                              </w:rPr>
                              <w:t>2</w:t>
                            </w:r>
                            <w:r>
                              <w:rPr>
                                <w:rFonts w:ascii="黑体"/>
                              </w:rPr>
                              <w:t>02</w:t>
                            </w:r>
                            <w:r>
                              <w:rPr>
                                <w:rFonts w:hint="eastAsia" w:ascii="黑体"/>
                              </w:rPr>
                              <w:t>×-××-××发布</w:t>
                            </w:r>
                          </w:p>
                        </w:txbxContent>
                      </wps:txbx>
                      <wps:bodyPr lIns="0" tIns="0" rIns="0" bIns="0" upright="1"/>
                    </wps:wsp>
                  </a:graphicData>
                </a:graphic>
              </wp:anchor>
            </w:drawing>
          </mc:Choice>
          <mc:Fallback>
            <w:pict>
              <v:shape id="fmFrame5" o:spid="_x0000_s1026" o:spt="202" type="#_x0000_t202" style="position:absolute;left:0pt;margin-left:0pt;margin-top:674.3pt;height:24.6pt;width:159pt;mso-position-horizontal-relative:margin;mso-position-vertical-relative:margin;z-index:251665408;mso-width-relative:page;mso-height-relative:page;" fillcolor="#FFFFFF" filled="t" stroked="f" coordsize="21600,21600" o:gfxdata="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fNsqI2AAAAAoBAAAPAAAAAAAAAAEAIAAAACIAAABkcnMvZG93bnJldi54bWxQ&#10;SwECFAAUAAAACACHTuJAhutoZb4BAACYAwAADgAAAAAAAAABACAAAAAnAQAAZHJzL2Uyb0RvYy54&#10;bWxQSwUGAAAAAAYABgBZAQAAVwUAAAAA&#10;">
                <v:fill on="t" focussize="0,0"/>
                <v:stroke on="f"/>
                <v:imagedata o:title=""/>
                <o:lock v:ext="edit" aspectratio="f"/>
                <v:textbox inset="0mm,0mm,0mm,0mm">
                  <w:txbxContent>
                    <w:p w14:paraId="5DC1B6DD">
                      <w:pPr>
                        <w:pStyle w:val="71"/>
                        <w:rPr>
                          <w:rFonts w:ascii="黑体"/>
                        </w:rPr>
                      </w:pPr>
                      <w:r>
                        <w:rPr>
                          <w:rFonts w:hint="eastAsia" w:ascii="黑体"/>
                        </w:rPr>
                        <w:t>2</w:t>
                      </w:r>
                      <w:r>
                        <w:rPr>
                          <w:rFonts w:ascii="黑体"/>
                        </w:rPr>
                        <w:t>02</w:t>
                      </w:r>
                      <w:r>
                        <w:rPr>
                          <w:rFonts w:hint="eastAsia" w:ascii="黑体"/>
                        </w:rPr>
                        <w:t>×-××-××发布</w:t>
                      </w:r>
                    </w:p>
                  </w:txbxContent>
                </v:textbox>
                <w10:anchorlock/>
              </v:shape>
            </w:pict>
          </mc:Fallback>
        </mc:AlternateContent>
      </w:r>
      <w:r>
        <w:rPr>
          <w:color w:val="000000"/>
          <w:kern w:val="2"/>
          <w:sz w:val="15"/>
          <w:szCs w:val="15"/>
        </w:rPr>
        <mc:AlternateContent>
          <mc:Choice Requires="wps">
            <w:drawing>
              <wp:anchor distT="0" distB="0" distL="114300" distR="114300" simplePos="0" relativeHeight="251664384" behindDoc="0" locked="1" layoutInCell="1" allowOverlap="1">
                <wp:simplePos x="0" y="0"/>
                <wp:positionH relativeFrom="margin">
                  <wp:posOffset>0</wp:posOffset>
                </wp:positionH>
                <wp:positionV relativeFrom="margin">
                  <wp:posOffset>3635375</wp:posOffset>
                </wp:positionV>
                <wp:extent cx="5969000" cy="4681220"/>
                <wp:effectExtent l="0" t="0" r="12700" b="5080"/>
                <wp:wrapNone/>
                <wp:docPr id="5" name="fmFrame4"/>
                <wp:cNvGraphicFramePr/>
                <a:graphic xmlns:a="http://schemas.openxmlformats.org/drawingml/2006/main">
                  <a:graphicData uri="http://schemas.microsoft.com/office/word/2010/wordprocessingShape">
                    <wps:wsp>
                      <wps:cNvSpPr txBox="1"/>
                      <wps:spPr>
                        <a:xfrm>
                          <a:off x="0" y="0"/>
                          <a:ext cx="5969000" cy="4681220"/>
                        </a:xfrm>
                        <a:prstGeom prst="rect">
                          <a:avLst/>
                        </a:prstGeom>
                        <a:solidFill>
                          <a:srgbClr val="FFFFFF"/>
                        </a:solidFill>
                        <a:ln>
                          <a:noFill/>
                        </a:ln>
                      </wps:spPr>
                      <wps:txbx>
                        <w:txbxContent>
                          <w:p w14:paraId="5CBABC84">
                            <w:pPr>
                              <w:pStyle w:val="82"/>
                              <w:spacing w:before="0" w:line="700" w:lineRule="exact"/>
                              <w:rPr>
                                <w:rFonts w:eastAsia="黑体"/>
                                <w:color w:val="000000"/>
                                <w:sz w:val="52"/>
                              </w:rPr>
                            </w:pPr>
                            <w:r>
                              <w:rPr>
                                <w:rFonts w:hint="eastAsia" w:eastAsia="黑体"/>
                                <w:color w:val="000000"/>
                                <w:sz w:val="52"/>
                              </w:rPr>
                              <w:t>铜及铜合金化学分析方法</w:t>
                            </w:r>
                          </w:p>
                          <w:p w14:paraId="1C4E6761">
                            <w:pPr>
                              <w:pStyle w:val="82"/>
                              <w:spacing w:before="0" w:line="700" w:lineRule="exact"/>
                              <w:rPr>
                                <w:rFonts w:eastAsia="黑体"/>
                                <w:sz w:val="52"/>
                              </w:rPr>
                            </w:pPr>
                            <w:r>
                              <w:rPr>
                                <w:rFonts w:hint="eastAsia" w:eastAsia="黑体"/>
                                <w:color w:val="000000"/>
                                <w:sz w:val="52"/>
                              </w:rPr>
                              <w:t>第</w:t>
                            </w:r>
                            <w:r>
                              <w:rPr>
                                <w:rFonts w:hint="eastAsia" w:ascii="黑体" w:hAnsi="黑体" w:eastAsia="黑体" w:cs="黑体"/>
                                <w:color w:val="000000"/>
                                <w:sz w:val="52"/>
                                <w:lang w:val="en-US" w:eastAsia="zh-CN"/>
                              </w:rPr>
                              <w:t>21</w:t>
                            </w:r>
                            <w:r>
                              <w:rPr>
                                <w:rFonts w:hint="eastAsia" w:ascii="黑体" w:hAnsi="黑体" w:eastAsia="黑体" w:cs="黑体"/>
                                <w:color w:val="000000"/>
                                <w:sz w:val="52"/>
                              </w:rPr>
                              <w:t>部</w:t>
                            </w:r>
                            <w:r>
                              <w:rPr>
                                <w:rFonts w:hint="eastAsia" w:eastAsia="黑体"/>
                                <w:color w:val="000000"/>
                                <w:sz w:val="52"/>
                              </w:rPr>
                              <w:t>分：</w:t>
                            </w:r>
                            <w:r>
                              <w:rPr>
                                <w:rFonts w:hint="eastAsia" w:eastAsia="黑体"/>
                                <w:color w:val="000000"/>
                                <w:sz w:val="52"/>
                                <w:lang w:eastAsia="zh-CN"/>
                              </w:rPr>
                              <w:t>钛</w:t>
                            </w:r>
                            <w:r>
                              <w:rPr>
                                <w:rFonts w:hint="eastAsia" w:eastAsia="黑体"/>
                                <w:color w:val="000000"/>
                                <w:sz w:val="52"/>
                              </w:rPr>
                              <w:t>含量的测定</w:t>
                            </w:r>
                          </w:p>
                          <w:p w14:paraId="53DED33D">
                            <w:pPr>
                              <w:pStyle w:val="82"/>
                              <w:spacing w:before="0" w:line="240" w:lineRule="auto"/>
                              <w:rPr>
                                <w:b/>
                                <w:kern w:val="2"/>
                                <w:szCs w:val="28"/>
                              </w:rPr>
                            </w:pPr>
                            <w:r>
                              <w:rPr>
                                <w:b/>
                                <w:kern w:val="2"/>
                                <w:szCs w:val="28"/>
                              </w:rPr>
                              <w:t xml:space="preserve">Methods for chemical analysis of </w:t>
                            </w:r>
                            <w:r>
                              <w:rPr>
                                <w:rFonts w:hint="eastAsia"/>
                                <w:b/>
                                <w:kern w:val="2"/>
                                <w:szCs w:val="28"/>
                              </w:rPr>
                              <w:t>c</w:t>
                            </w:r>
                            <w:r>
                              <w:rPr>
                                <w:b/>
                                <w:kern w:val="2"/>
                                <w:szCs w:val="28"/>
                              </w:rPr>
                              <w:t>opper and copper alloys——</w:t>
                            </w:r>
                          </w:p>
                          <w:p w14:paraId="4667C988">
                            <w:pPr>
                              <w:pStyle w:val="82"/>
                              <w:spacing w:before="0" w:line="240" w:lineRule="auto"/>
                              <w:rPr>
                                <w:b/>
                                <w:kern w:val="2"/>
                                <w:szCs w:val="28"/>
                              </w:rPr>
                            </w:pPr>
                            <w:r>
                              <w:rPr>
                                <w:b/>
                                <w:kern w:val="2"/>
                                <w:szCs w:val="28"/>
                              </w:rPr>
                              <w:t xml:space="preserve">Part </w:t>
                            </w:r>
                            <w:r>
                              <w:rPr>
                                <w:rFonts w:hint="eastAsia"/>
                                <w:b/>
                                <w:kern w:val="2"/>
                                <w:szCs w:val="28"/>
                                <w:lang w:val="en-US" w:eastAsia="zh-CN"/>
                              </w:rPr>
                              <w:t>21</w:t>
                            </w:r>
                            <w:r>
                              <w:rPr>
                                <w:b/>
                                <w:kern w:val="2"/>
                                <w:szCs w:val="28"/>
                              </w:rPr>
                              <w:t xml:space="preserve"> : Determination of </w:t>
                            </w:r>
                            <w:r>
                              <w:rPr>
                                <w:rFonts w:hint="eastAsia"/>
                                <w:b/>
                                <w:kern w:val="2"/>
                                <w:szCs w:val="28"/>
                                <w:lang w:val="en-US" w:eastAsia="zh-CN"/>
                              </w:rPr>
                              <w:t>titanium</w:t>
                            </w:r>
                            <w:r>
                              <w:rPr>
                                <w:b/>
                                <w:kern w:val="2"/>
                                <w:szCs w:val="28"/>
                              </w:rPr>
                              <w:t xml:space="preserve"> content</w:t>
                            </w:r>
                          </w:p>
                          <w:p w14:paraId="5FA74618">
                            <w:pPr>
                              <w:pStyle w:val="82"/>
                              <w:spacing w:before="0" w:line="240" w:lineRule="auto"/>
                              <w:rPr>
                                <w:rFonts w:ascii="宋体" w:hAnsi="宋体"/>
                                <w:kern w:val="2"/>
                              </w:rPr>
                            </w:pPr>
                            <w:r>
                              <w:rPr>
                                <w:rFonts w:hint="eastAsia" w:ascii="宋体" w:hAnsi="宋体"/>
                                <w:kern w:val="2"/>
                              </w:rPr>
                              <w:t>（</w:t>
                            </w:r>
                            <w:r>
                              <w:rPr>
                                <w:rFonts w:hint="eastAsia" w:ascii="宋体" w:hAnsi="宋体"/>
                                <w:kern w:val="2"/>
                                <w:lang w:val="en-US" w:eastAsia="zh-CN"/>
                              </w:rPr>
                              <w:t>预审稿</w:t>
                            </w:r>
                            <w:r>
                              <w:rPr>
                                <w:rFonts w:hint="eastAsia" w:ascii="宋体" w:hAnsi="宋体"/>
                                <w:kern w:val="2"/>
                              </w:rPr>
                              <w:t>）</w:t>
                            </w:r>
                          </w:p>
                          <w:p w14:paraId="665FC8F8">
                            <w:pPr>
                              <w:pStyle w:val="98"/>
                            </w:pPr>
                          </w:p>
                        </w:txbxContent>
                      </wps:txbx>
                      <wps:bodyPr lIns="0" tIns="0" rIns="0" bIns="0" upright="1"/>
                    </wps:wsp>
                  </a:graphicData>
                </a:graphic>
              </wp:anchor>
            </w:drawing>
          </mc:Choice>
          <mc:Fallback>
            <w:pict>
              <v:shape id="fmFrame4" o:spid="_x0000_s1026" o:spt="202" type="#_x0000_t202" style="position:absolute;left:0pt;margin-left:0pt;margin-top:286.25pt;height:368.6pt;width:470pt;mso-position-horizontal-relative:margin;mso-position-vertical-relative:margin;z-index:251664384;mso-width-relative:page;mso-height-relative:page;" fillcolor="#FFFFFF" filled="t" stroked="f" coordsize="21600,21600" o:gfxdata="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FRXn3HYAAAACQEAAA8AAAAAAAAAAQAgAAAAIgAAAGRycy9kb3ducmV2Lnht&#10;bFBLAQIUABQAAAAIAIdO4kBhd5fAwAEAAJkDAAAOAAAAAAAAAAEAIAAAACcBAABkcnMvZTJvRG9j&#10;LnhtbFBLBQYAAAAABgAGAFkBAABZBQAAAAA=&#10;">
                <v:fill on="t" focussize="0,0"/>
                <v:stroke on="f"/>
                <v:imagedata o:title=""/>
                <o:lock v:ext="edit" aspectratio="f"/>
                <v:textbox inset="0mm,0mm,0mm,0mm">
                  <w:txbxContent>
                    <w:p w14:paraId="5CBABC84">
                      <w:pPr>
                        <w:pStyle w:val="82"/>
                        <w:spacing w:before="0" w:line="700" w:lineRule="exact"/>
                        <w:rPr>
                          <w:rFonts w:eastAsia="黑体"/>
                          <w:color w:val="000000"/>
                          <w:sz w:val="52"/>
                        </w:rPr>
                      </w:pPr>
                      <w:r>
                        <w:rPr>
                          <w:rFonts w:hint="eastAsia" w:eastAsia="黑体"/>
                          <w:color w:val="000000"/>
                          <w:sz w:val="52"/>
                        </w:rPr>
                        <w:t>铜及铜合金化学分析方法</w:t>
                      </w:r>
                    </w:p>
                    <w:p w14:paraId="1C4E6761">
                      <w:pPr>
                        <w:pStyle w:val="82"/>
                        <w:spacing w:before="0" w:line="700" w:lineRule="exact"/>
                        <w:rPr>
                          <w:rFonts w:eastAsia="黑体"/>
                          <w:sz w:val="52"/>
                        </w:rPr>
                      </w:pPr>
                      <w:r>
                        <w:rPr>
                          <w:rFonts w:hint="eastAsia" w:eastAsia="黑体"/>
                          <w:color w:val="000000"/>
                          <w:sz w:val="52"/>
                        </w:rPr>
                        <w:t>第</w:t>
                      </w:r>
                      <w:r>
                        <w:rPr>
                          <w:rFonts w:hint="eastAsia" w:ascii="黑体" w:hAnsi="黑体" w:eastAsia="黑体" w:cs="黑体"/>
                          <w:color w:val="000000"/>
                          <w:sz w:val="52"/>
                          <w:lang w:val="en-US" w:eastAsia="zh-CN"/>
                        </w:rPr>
                        <w:t>21</w:t>
                      </w:r>
                      <w:r>
                        <w:rPr>
                          <w:rFonts w:hint="eastAsia" w:ascii="黑体" w:hAnsi="黑体" w:eastAsia="黑体" w:cs="黑体"/>
                          <w:color w:val="000000"/>
                          <w:sz w:val="52"/>
                        </w:rPr>
                        <w:t>部</w:t>
                      </w:r>
                      <w:r>
                        <w:rPr>
                          <w:rFonts w:hint="eastAsia" w:eastAsia="黑体"/>
                          <w:color w:val="000000"/>
                          <w:sz w:val="52"/>
                        </w:rPr>
                        <w:t>分：</w:t>
                      </w:r>
                      <w:r>
                        <w:rPr>
                          <w:rFonts w:hint="eastAsia" w:eastAsia="黑体"/>
                          <w:color w:val="000000"/>
                          <w:sz w:val="52"/>
                          <w:lang w:eastAsia="zh-CN"/>
                        </w:rPr>
                        <w:t>钛</w:t>
                      </w:r>
                      <w:r>
                        <w:rPr>
                          <w:rFonts w:hint="eastAsia" w:eastAsia="黑体"/>
                          <w:color w:val="000000"/>
                          <w:sz w:val="52"/>
                        </w:rPr>
                        <w:t>含量的测定</w:t>
                      </w:r>
                    </w:p>
                    <w:p w14:paraId="53DED33D">
                      <w:pPr>
                        <w:pStyle w:val="82"/>
                        <w:spacing w:before="0" w:line="240" w:lineRule="auto"/>
                        <w:rPr>
                          <w:b/>
                          <w:kern w:val="2"/>
                          <w:szCs w:val="28"/>
                        </w:rPr>
                      </w:pPr>
                      <w:r>
                        <w:rPr>
                          <w:b/>
                          <w:kern w:val="2"/>
                          <w:szCs w:val="28"/>
                        </w:rPr>
                        <w:t xml:space="preserve">Methods for chemical analysis of </w:t>
                      </w:r>
                      <w:r>
                        <w:rPr>
                          <w:rFonts w:hint="eastAsia"/>
                          <w:b/>
                          <w:kern w:val="2"/>
                          <w:szCs w:val="28"/>
                        </w:rPr>
                        <w:t>c</w:t>
                      </w:r>
                      <w:r>
                        <w:rPr>
                          <w:b/>
                          <w:kern w:val="2"/>
                          <w:szCs w:val="28"/>
                        </w:rPr>
                        <w:t>opper and copper alloys——</w:t>
                      </w:r>
                    </w:p>
                    <w:p w14:paraId="4667C988">
                      <w:pPr>
                        <w:pStyle w:val="82"/>
                        <w:spacing w:before="0" w:line="240" w:lineRule="auto"/>
                        <w:rPr>
                          <w:b/>
                          <w:kern w:val="2"/>
                          <w:szCs w:val="28"/>
                        </w:rPr>
                      </w:pPr>
                      <w:r>
                        <w:rPr>
                          <w:b/>
                          <w:kern w:val="2"/>
                          <w:szCs w:val="28"/>
                        </w:rPr>
                        <w:t xml:space="preserve">Part </w:t>
                      </w:r>
                      <w:r>
                        <w:rPr>
                          <w:rFonts w:hint="eastAsia"/>
                          <w:b/>
                          <w:kern w:val="2"/>
                          <w:szCs w:val="28"/>
                          <w:lang w:val="en-US" w:eastAsia="zh-CN"/>
                        </w:rPr>
                        <w:t>21</w:t>
                      </w:r>
                      <w:r>
                        <w:rPr>
                          <w:b/>
                          <w:kern w:val="2"/>
                          <w:szCs w:val="28"/>
                        </w:rPr>
                        <w:t xml:space="preserve"> : Determination of </w:t>
                      </w:r>
                      <w:r>
                        <w:rPr>
                          <w:rFonts w:hint="eastAsia"/>
                          <w:b/>
                          <w:kern w:val="2"/>
                          <w:szCs w:val="28"/>
                          <w:lang w:val="en-US" w:eastAsia="zh-CN"/>
                        </w:rPr>
                        <w:t>titanium</w:t>
                      </w:r>
                      <w:r>
                        <w:rPr>
                          <w:b/>
                          <w:kern w:val="2"/>
                          <w:szCs w:val="28"/>
                        </w:rPr>
                        <w:t xml:space="preserve"> content</w:t>
                      </w:r>
                    </w:p>
                    <w:p w14:paraId="5FA74618">
                      <w:pPr>
                        <w:pStyle w:val="82"/>
                        <w:spacing w:before="0" w:line="240" w:lineRule="auto"/>
                        <w:rPr>
                          <w:rFonts w:ascii="宋体" w:hAnsi="宋体"/>
                          <w:kern w:val="2"/>
                        </w:rPr>
                      </w:pPr>
                      <w:r>
                        <w:rPr>
                          <w:rFonts w:hint="eastAsia" w:ascii="宋体" w:hAnsi="宋体"/>
                          <w:kern w:val="2"/>
                        </w:rPr>
                        <w:t>（</w:t>
                      </w:r>
                      <w:r>
                        <w:rPr>
                          <w:rFonts w:hint="eastAsia" w:ascii="宋体" w:hAnsi="宋体"/>
                          <w:kern w:val="2"/>
                          <w:lang w:val="en-US" w:eastAsia="zh-CN"/>
                        </w:rPr>
                        <w:t>预审稿</w:t>
                      </w:r>
                      <w:r>
                        <w:rPr>
                          <w:rFonts w:hint="eastAsia" w:ascii="宋体" w:hAnsi="宋体"/>
                          <w:kern w:val="2"/>
                        </w:rPr>
                        <w:t>）</w:t>
                      </w:r>
                    </w:p>
                    <w:p w14:paraId="665FC8F8">
                      <w:pPr>
                        <w:pStyle w:val="98"/>
                      </w:pPr>
                    </w:p>
                  </w:txbxContent>
                </v:textbox>
                <w10:anchorlock/>
              </v:shape>
            </w:pict>
          </mc:Fallback>
        </mc:AlternateContent>
      </w:r>
      <w:r>
        <w:rPr>
          <w:color w:val="000000"/>
          <w:kern w:val="2"/>
          <w:sz w:val="15"/>
          <w:szCs w:val="15"/>
        </w:rPr>
        <mc:AlternateContent>
          <mc:Choice Requires="wps">
            <w:drawing>
              <wp:anchor distT="0" distB="0" distL="114300" distR="114300" simplePos="0" relativeHeight="251663360" behindDoc="0" locked="1" layoutInCell="1" allowOverlap="1">
                <wp:simplePos x="0" y="0"/>
                <wp:positionH relativeFrom="margin">
                  <wp:posOffset>333375</wp:posOffset>
                </wp:positionH>
                <wp:positionV relativeFrom="margin">
                  <wp:posOffset>1485900</wp:posOffset>
                </wp:positionV>
                <wp:extent cx="5800725" cy="777875"/>
                <wp:effectExtent l="0" t="0" r="9525" b="3175"/>
                <wp:wrapNone/>
                <wp:docPr id="3" name="fmFrame3"/>
                <wp:cNvGraphicFramePr/>
                <a:graphic xmlns:a="http://schemas.openxmlformats.org/drawingml/2006/main">
                  <a:graphicData uri="http://schemas.microsoft.com/office/word/2010/wordprocessingShape">
                    <wps:wsp>
                      <wps:cNvSpPr txBox="1"/>
                      <wps:spPr>
                        <a:xfrm>
                          <a:off x="0" y="0"/>
                          <a:ext cx="5800725" cy="777875"/>
                        </a:xfrm>
                        <a:prstGeom prst="rect">
                          <a:avLst/>
                        </a:prstGeom>
                        <a:solidFill>
                          <a:srgbClr val="FFFFFF"/>
                        </a:solidFill>
                        <a:ln>
                          <a:noFill/>
                        </a:ln>
                      </wps:spPr>
                      <wps:txbx>
                        <w:txbxContent>
                          <w:p w14:paraId="32409DBF">
                            <w:pPr>
                              <w:pStyle w:val="97"/>
                              <w:keepNext w:val="0"/>
                              <w:keepLines w:val="0"/>
                              <w:pageBreakBefore w:val="0"/>
                              <w:widowControl w:val="0"/>
                              <w:kinsoku w:val="0"/>
                              <w:wordWrap/>
                              <w:overflowPunct w:val="0"/>
                              <w:topLinePunct w:val="0"/>
                              <w:autoSpaceDE w:val="0"/>
                              <w:autoSpaceDN w:val="0"/>
                              <w:bidi w:val="0"/>
                              <w:adjustRightInd/>
                              <w:snapToGrid/>
                              <w:spacing w:before="0" w:line="120" w:lineRule="auto"/>
                              <w:textAlignment w:val="center"/>
                              <w:rPr>
                                <w:rFonts w:hint="eastAsia" w:ascii="黑体" w:hAnsi="黑体" w:eastAsia="黑体"/>
                              </w:rPr>
                            </w:pPr>
                            <w:r>
                              <w:rPr>
                                <w:rFonts w:ascii="黑体" w:hAnsi="黑体" w:eastAsia="黑体"/>
                              </w:rPr>
                              <w:t>GB/T</w:t>
                            </w:r>
                            <w:r>
                              <w:rPr>
                                <w:rFonts w:hint="eastAsia" w:ascii="黑体" w:hAnsi="黑体" w:eastAsia="黑体"/>
                              </w:rPr>
                              <w:t xml:space="preserve"> 5121.</w:t>
                            </w:r>
                            <w:r>
                              <w:rPr>
                                <w:rFonts w:hint="eastAsia" w:ascii="黑体" w:hAnsi="黑体" w:eastAsia="黑体"/>
                                <w:lang w:val="en-US" w:eastAsia="zh-CN"/>
                              </w:rPr>
                              <w:t>21</w:t>
                            </w:r>
                            <w:r>
                              <w:rPr>
                                <w:rFonts w:ascii="黑体" w:hAnsi="黑体" w:eastAsia="黑体"/>
                              </w:rPr>
                              <w:t>—</w:t>
                            </w:r>
                            <w:r>
                              <w:rPr>
                                <w:rFonts w:hint="eastAsia" w:ascii="黑体" w:hAnsi="黑体" w:eastAsia="黑体"/>
                              </w:rPr>
                              <w:t>202×</w:t>
                            </w:r>
                          </w:p>
                          <w:p w14:paraId="2EFC1839">
                            <w:pPr>
                              <w:pStyle w:val="97"/>
                              <w:keepNext w:val="0"/>
                              <w:keepLines w:val="0"/>
                              <w:pageBreakBefore w:val="0"/>
                              <w:widowControl w:val="0"/>
                              <w:kinsoku w:val="0"/>
                              <w:wordWrap/>
                              <w:overflowPunct w:val="0"/>
                              <w:topLinePunct w:val="0"/>
                              <w:autoSpaceDE w:val="0"/>
                              <w:autoSpaceDN w:val="0"/>
                              <w:bidi w:val="0"/>
                              <w:adjustRightInd/>
                              <w:snapToGrid/>
                              <w:spacing w:before="0" w:line="120" w:lineRule="auto"/>
                              <w:textAlignment w:val="center"/>
                              <w:rPr>
                                <w:rFonts w:hint="eastAsia" w:ascii="黑体" w:hAnsi="黑体" w:eastAsia="黑体"/>
                                <w:sz w:val="21"/>
                                <w:szCs w:val="21"/>
                                <w:lang w:val="en-US" w:eastAsia="zh-CN"/>
                              </w:rPr>
                            </w:pPr>
                            <w:r>
                              <w:rPr>
                                <w:rFonts w:hint="eastAsia" w:ascii="黑体" w:hAnsi="黑体" w:eastAsia="黑体"/>
                                <w:sz w:val="21"/>
                                <w:szCs w:val="21"/>
                                <w:lang w:val="en-US" w:eastAsia="zh-CN"/>
                              </w:rPr>
                              <w:t>代替</w:t>
                            </w:r>
                            <w:r>
                              <w:rPr>
                                <w:rFonts w:ascii="黑体" w:hAnsi="黑体" w:eastAsia="黑体"/>
                                <w:sz w:val="21"/>
                                <w:szCs w:val="21"/>
                              </w:rPr>
                              <w:t>GB/T</w:t>
                            </w:r>
                            <w:r>
                              <w:rPr>
                                <w:rFonts w:hint="eastAsia" w:ascii="黑体" w:hAnsi="黑体" w:eastAsia="黑体"/>
                                <w:sz w:val="21"/>
                                <w:szCs w:val="21"/>
                              </w:rPr>
                              <w:t xml:space="preserve"> 5121.</w:t>
                            </w:r>
                            <w:r>
                              <w:rPr>
                                <w:rFonts w:hint="eastAsia" w:ascii="黑体" w:hAnsi="黑体" w:eastAsia="黑体"/>
                                <w:sz w:val="21"/>
                                <w:szCs w:val="21"/>
                                <w:lang w:val="en-US" w:eastAsia="zh-CN"/>
                              </w:rPr>
                              <w:t>21</w:t>
                            </w:r>
                            <w:r>
                              <w:rPr>
                                <w:rFonts w:ascii="黑体" w:hAnsi="黑体" w:eastAsia="黑体"/>
                                <w:sz w:val="21"/>
                                <w:szCs w:val="21"/>
                              </w:rPr>
                              <w:t>—</w:t>
                            </w:r>
                            <w:r>
                              <w:rPr>
                                <w:rFonts w:hint="eastAsia" w:ascii="黑体" w:hAnsi="黑体" w:eastAsia="黑体"/>
                                <w:sz w:val="21"/>
                                <w:szCs w:val="21"/>
                              </w:rPr>
                              <w:t>20</w:t>
                            </w:r>
                            <w:r>
                              <w:rPr>
                                <w:rFonts w:hint="eastAsia" w:ascii="黑体" w:hAnsi="黑体" w:eastAsia="黑体"/>
                                <w:sz w:val="21"/>
                                <w:szCs w:val="21"/>
                                <w:lang w:val="en-US" w:eastAsia="zh-CN"/>
                              </w:rPr>
                              <w:t>08</w:t>
                            </w:r>
                          </w:p>
                        </w:txbxContent>
                      </wps:txbx>
                      <wps:bodyPr lIns="0" tIns="0" rIns="0" bIns="0" upright="1"/>
                    </wps:wsp>
                  </a:graphicData>
                </a:graphic>
              </wp:anchor>
            </w:drawing>
          </mc:Choice>
          <mc:Fallback>
            <w:pict>
              <v:shape id="fmFrame3" o:spid="_x0000_s1026" o:spt="202" type="#_x0000_t202" style="position:absolute;left:0pt;margin-left:26.25pt;margin-top:117pt;height:61.25pt;width:456.75pt;mso-position-horizontal-relative:margin;mso-position-vertical-relative:margin;z-index:251663360;mso-width-relative:page;mso-height-relative:page;" fillcolor="#FFFFFF" filled="t" stroked="f" coordsize="21600,21600" o:gfxdata="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Q4NywNkAAAAKAQAADwAAAAAAAAABACAAAAAiAAAAZHJzL2Rvd25yZXYueG1s&#10;UEsBAhQAFAAAAAgAh07iQNnlNNe+AQAAmAMAAA4AAAAAAAAAAQAgAAAAKAEAAGRycy9lMm9Eb2Mu&#10;eG1sUEsFBgAAAAAGAAYAWQEAAFgFAAAAAA==&#10;">
                <v:fill on="t" focussize="0,0"/>
                <v:stroke on="f"/>
                <v:imagedata o:title=""/>
                <o:lock v:ext="edit" aspectratio="f"/>
                <v:textbox inset="0mm,0mm,0mm,0mm">
                  <w:txbxContent>
                    <w:p w14:paraId="32409DBF">
                      <w:pPr>
                        <w:pStyle w:val="97"/>
                        <w:keepNext w:val="0"/>
                        <w:keepLines w:val="0"/>
                        <w:pageBreakBefore w:val="0"/>
                        <w:widowControl w:val="0"/>
                        <w:kinsoku w:val="0"/>
                        <w:wordWrap/>
                        <w:overflowPunct w:val="0"/>
                        <w:topLinePunct w:val="0"/>
                        <w:autoSpaceDE w:val="0"/>
                        <w:autoSpaceDN w:val="0"/>
                        <w:bidi w:val="0"/>
                        <w:adjustRightInd/>
                        <w:snapToGrid/>
                        <w:spacing w:before="0" w:line="120" w:lineRule="auto"/>
                        <w:textAlignment w:val="center"/>
                        <w:rPr>
                          <w:rFonts w:hint="eastAsia" w:ascii="黑体" w:hAnsi="黑体" w:eastAsia="黑体"/>
                        </w:rPr>
                      </w:pPr>
                      <w:r>
                        <w:rPr>
                          <w:rFonts w:ascii="黑体" w:hAnsi="黑体" w:eastAsia="黑体"/>
                        </w:rPr>
                        <w:t>GB/T</w:t>
                      </w:r>
                      <w:r>
                        <w:rPr>
                          <w:rFonts w:hint="eastAsia" w:ascii="黑体" w:hAnsi="黑体" w:eastAsia="黑体"/>
                        </w:rPr>
                        <w:t xml:space="preserve"> 5121.</w:t>
                      </w:r>
                      <w:r>
                        <w:rPr>
                          <w:rFonts w:hint="eastAsia" w:ascii="黑体" w:hAnsi="黑体" w:eastAsia="黑体"/>
                          <w:lang w:val="en-US" w:eastAsia="zh-CN"/>
                        </w:rPr>
                        <w:t>21</w:t>
                      </w:r>
                      <w:r>
                        <w:rPr>
                          <w:rFonts w:ascii="黑体" w:hAnsi="黑体" w:eastAsia="黑体"/>
                        </w:rPr>
                        <w:t>—</w:t>
                      </w:r>
                      <w:r>
                        <w:rPr>
                          <w:rFonts w:hint="eastAsia" w:ascii="黑体" w:hAnsi="黑体" w:eastAsia="黑体"/>
                        </w:rPr>
                        <w:t>202×</w:t>
                      </w:r>
                    </w:p>
                    <w:p w14:paraId="2EFC1839">
                      <w:pPr>
                        <w:pStyle w:val="97"/>
                        <w:keepNext w:val="0"/>
                        <w:keepLines w:val="0"/>
                        <w:pageBreakBefore w:val="0"/>
                        <w:widowControl w:val="0"/>
                        <w:kinsoku w:val="0"/>
                        <w:wordWrap/>
                        <w:overflowPunct w:val="0"/>
                        <w:topLinePunct w:val="0"/>
                        <w:autoSpaceDE w:val="0"/>
                        <w:autoSpaceDN w:val="0"/>
                        <w:bidi w:val="0"/>
                        <w:adjustRightInd/>
                        <w:snapToGrid/>
                        <w:spacing w:before="0" w:line="120" w:lineRule="auto"/>
                        <w:textAlignment w:val="center"/>
                        <w:rPr>
                          <w:rFonts w:hint="eastAsia" w:ascii="黑体" w:hAnsi="黑体" w:eastAsia="黑体"/>
                          <w:sz w:val="21"/>
                          <w:szCs w:val="21"/>
                          <w:lang w:val="en-US" w:eastAsia="zh-CN"/>
                        </w:rPr>
                      </w:pPr>
                      <w:r>
                        <w:rPr>
                          <w:rFonts w:hint="eastAsia" w:ascii="黑体" w:hAnsi="黑体" w:eastAsia="黑体"/>
                          <w:sz w:val="21"/>
                          <w:szCs w:val="21"/>
                          <w:lang w:val="en-US" w:eastAsia="zh-CN"/>
                        </w:rPr>
                        <w:t>代替</w:t>
                      </w:r>
                      <w:r>
                        <w:rPr>
                          <w:rFonts w:ascii="黑体" w:hAnsi="黑体" w:eastAsia="黑体"/>
                          <w:sz w:val="21"/>
                          <w:szCs w:val="21"/>
                        </w:rPr>
                        <w:t>GB/T</w:t>
                      </w:r>
                      <w:r>
                        <w:rPr>
                          <w:rFonts w:hint="eastAsia" w:ascii="黑体" w:hAnsi="黑体" w:eastAsia="黑体"/>
                          <w:sz w:val="21"/>
                          <w:szCs w:val="21"/>
                        </w:rPr>
                        <w:t xml:space="preserve"> 5121.</w:t>
                      </w:r>
                      <w:r>
                        <w:rPr>
                          <w:rFonts w:hint="eastAsia" w:ascii="黑体" w:hAnsi="黑体" w:eastAsia="黑体"/>
                          <w:sz w:val="21"/>
                          <w:szCs w:val="21"/>
                          <w:lang w:val="en-US" w:eastAsia="zh-CN"/>
                        </w:rPr>
                        <w:t>21</w:t>
                      </w:r>
                      <w:r>
                        <w:rPr>
                          <w:rFonts w:ascii="黑体" w:hAnsi="黑体" w:eastAsia="黑体"/>
                          <w:sz w:val="21"/>
                          <w:szCs w:val="21"/>
                        </w:rPr>
                        <w:t>—</w:t>
                      </w:r>
                      <w:r>
                        <w:rPr>
                          <w:rFonts w:hint="eastAsia" w:ascii="黑体" w:hAnsi="黑体" w:eastAsia="黑体"/>
                          <w:sz w:val="21"/>
                          <w:szCs w:val="21"/>
                        </w:rPr>
                        <w:t>20</w:t>
                      </w:r>
                      <w:r>
                        <w:rPr>
                          <w:rFonts w:hint="eastAsia" w:ascii="黑体" w:hAnsi="黑体" w:eastAsia="黑体"/>
                          <w:sz w:val="21"/>
                          <w:szCs w:val="21"/>
                          <w:lang w:val="en-US" w:eastAsia="zh-CN"/>
                        </w:rPr>
                        <w:t>08</w:t>
                      </w:r>
                    </w:p>
                  </w:txbxContent>
                </v:textbox>
                <w10:anchorlock/>
              </v:shape>
            </w:pict>
          </mc:Fallback>
        </mc:AlternateContent>
      </w:r>
      <w:r>
        <w:rPr>
          <w:color w:val="000000"/>
          <w:kern w:val="2"/>
          <w:sz w:val="15"/>
          <w:szCs w:val="15"/>
        </w:rPr>
        <w:drawing>
          <wp:anchor distT="0" distB="0" distL="114300" distR="114300" simplePos="0" relativeHeight="251662336" behindDoc="0" locked="1" layoutInCell="1" allowOverlap="1">
            <wp:simplePos x="0" y="0"/>
            <wp:positionH relativeFrom="margin">
              <wp:posOffset>4284345</wp:posOffset>
            </wp:positionH>
            <wp:positionV relativeFrom="margin">
              <wp:posOffset>107315</wp:posOffset>
            </wp:positionV>
            <wp:extent cx="1403350" cy="720090"/>
            <wp:effectExtent l="19050" t="0" r="6350" b="0"/>
            <wp:wrapNone/>
            <wp:docPr id="4" name="HBPicture" descr="GB"/>
            <wp:cNvGraphicFramePr/>
            <a:graphic xmlns:a="http://schemas.openxmlformats.org/drawingml/2006/main">
              <a:graphicData uri="http://schemas.openxmlformats.org/drawingml/2006/picture">
                <pic:pic xmlns:pic="http://schemas.openxmlformats.org/drawingml/2006/picture">
                  <pic:nvPicPr>
                    <pic:cNvPr id="4" name="HBPicture" descr="GB"/>
                    <pic:cNvPicPr>
                      <a:picLocks noChangeArrowheads="1"/>
                    </pic:cNvPicPr>
                  </pic:nvPicPr>
                  <pic:blipFill>
                    <a:blip r:embed="rId21" cstate="print"/>
                    <a:srcRect/>
                    <a:stretch>
                      <a:fillRect/>
                    </a:stretch>
                  </pic:blipFill>
                  <pic:spPr>
                    <a:xfrm>
                      <a:off x="0" y="0"/>
                      <a:ext cx="1403350" cy="720090"/>
                    </a:xfrm>
                    <a:prstGeom prst="rect">
                      <a:avLst/>
                    </a:prstGeom>
                    <a:noFill/>
                    <a:ln w="9525" cmpd="sng">
                      <a:noFill/>
                      <a:miter lim="800000"/>
                      <a:headEnd/>
                      <a:tailEnd/>
                    </a:ln>
                  </pic:spPr>
                </pic:pic>
              </a:graphicData>
            </a:graphic>
          </wp:anchor>
        </w:drawing>
      </w:r>
      <w:r>
        <w:rPr>
          <w:color w:val="000000"/>
          <w:kern w:val="2"/>
          <w:sz w:val="15"/>
          <w:szCs w:val="15"/>
        </w:rPr>
        <mc:AlternateContent>
          <mc:Choice Requires="wps">
            <w:drawing>
              <wp:anchor distT="0" distB="0" distL="114300" distR="114300" simplePos="0" relativeHeight="251661312" behindDoc="0" locked="1" layoutInCell="1" allowOverlap="1">
                <wp:simplePos x="0" y="0"/>
                <wp:positionH relativeFrom="margin">
                  <wp:posOffset>0</wp:posOffset>
                </wp:positionH>
                <wp:positionV relativeFrom="margin">
                  <wp:posOffset>1010920</wp:posOffset>
                </wp:positionV>
                <wp:extent cx="6120130" cy="391160"/>
                <wp:effectExtent l="0" t="0" r="13970" b="8890"/>
                <wp:wrapNone/>
                <wp:docPr id="2" name="fmFrame2"/>
                <wp:cNvGraphicFramePr/>
                <a:graphic xmlns:a="http://schemas.openxmlformats.org/drawingml/2006/main">
                  <a:graphicData uri="http://schemas.microsoft.com/office/word/2010/wordprocessingShape">
                    <wps:wsp>
                      <wps:cNvSpPr txBox="1"/>
                      <wps:spPr>
                        <a:xfrm>
                          <a:off x="0" y="0"/>
                          <a:ext cx="6120130" cy="391160"/>
                        </a:xfrm>
                        <a:prstGeom prst="rect">
                          <a:avLst/>
                        </a:prstGeom>
                        <a:solidFill>
                          <a:srgbClr val="FFFFFF"/>
                        </a:solidFill>
                        <a:ln>
                          <a:noFill/>
                        </a:ln>
                      </wps:spPr>
                      <wps:txbx>
                        <w:txbxContent>
                          <w:p w14:paraId="78A37546">
                            <w:pPr>
                              <w:pStyle w:val="96"/>
                            </w:pPr>
                            <w:r>
                              <w:rPr>
                                <w:rFonts w:hint="eastAsia"/>
                              </w:rPr>
                              <w:t>中华人民共和国国家标准</w:t>
                            </w:r>
                          </w:p>
                        </w:txbxContent>
                      </wps:txbx>
                      <wps:bodyPr lIns="0" tIns="0" rIns="0" bIns="0" upright="1"/>
                    </wps:wsp>
                  </a:graphicData>
                </a:graphic>
              </wp:anchor>
            </w:drawing>
          </mc:Choice>
          <mc:Fallback>
            <w:pict>
              <v:shape id="fmFrame2" o:spid="_x0000_s1026" o:spt="202" type="#_x0000_t202" style="position:absolute;left:0pt;margin-left:0pt;margin-top:79.6pt;height:30.8pt;width:481.9pt;mso-position-horizontal-relative:margin;mso-position-vertical-relative:margin;z-index:251661312;mso-width-relative:page;mso-height-relative:page;" fillcolor="#FFFFFF" filled="t" stroked="f" coordsize="21600,21600" o:gfxdata="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Rg5HBdcAAAAIAQAADwAAAAAAAAABACAAAAAiAAAAZHJzL2Rvd25yZXYueG1sUEsB&#10;AhQAFAAAAAgAh07iQMxxI/O9AQAAmAMAAA4AAAAAAAAAAQAgAAAAJgEAAGRycy9lMm9Eb2MueG1s&#10;UEsFBgAAAAAGAAYAWQEAAFUFAAAAAA==&#10;">
                <v:fill on="t" focussize="0,0"/>
                <v:stroke on="f"/>
                <v:imagedata o:title=""/>
                <o:lock v:ext="edit" aspectratio="f"/>
                <v:textbox inset="0mm,0mm,0mm,0mm">
                  <w:txbxContent>
                    <w:p w14:paraId="78A37546">
                      <w:pPr>
                        <w:pStyle w:val="96"/>
                      </w:pPr>
                      <w:r>
                        <w:rPr>
                          <w:rFonts w:hint="eastAsia"/>
                        </w:rPr>
                        <w:t>中华人民共和国国家标准</w:t>
                      </w:r>
                    </w:p>
                  </w:txbxContent>
                </v:textbox>
                <w10:anchorlock/>
              </v:shape>
            </w:pict>
          </mc:Fallback>
        </mc:AlternateContent>
      </w:r>
      <w:r>
        <w:rPr>
          <w:color w:val="000000"/>
          <w:kern w:val="2"/>
          <w:sz w:val="15"/>
          <w:szCs w:val="15"/>
        </w:rPr>
        <mc:AlternateContent>
          <mc:Choice Requires="wps">
            <w:drawing>
              <wp:anchor distT="0" distB="0" distL="114300" distR="114300" simplePos="0" relativeHeight="251660288" behindDoc="0" locked="1" layoutInCell="1" allowOverlap="1">
                <wp:simplePos x="0" y="0"/>
                <wp:positionH relativeFrom="margin">
                  <wp:posOffset>0</wp:posOffset>
                </wp:positionH>
                <wp:positionV relativeFrom="margin">
                  <wp:posOffset>0</wp:posOffset>
                </wp:positionV>
                <wp:extent cx="2540000" cy="657860"/>
                <wp:effectExtent l="0" t="0" r="12700" b="8890"/>
                <wp:wrapNone/>
                <wp:docPr id="1" name="fmFrame1"/>
                <wp:cNvGraphicFramePr/>
                <a:graphic xmlns:a="http://schemas.openxmlformats.org/drawingml/2006/main">
                  <a:graphicData uri="http://schemas.microsoft.com/office/word/2010/wordprocessingShape">
                    <wps:wsp>
                      <wps:cNvSpPr txBox="1"/>
                      <wps:spPr>
                        <a:xfrm>
                          <a:off x="0" y="0"/>
                          <a:ext cx="2540000" cy="657860"/>
                        </a:xfrm>
                        <a:prstGeom prst="rect">
                          <a:avLst/>
                        </a:prstGeom>
                        <a:solidFill>
                          <a:srgbClr val="FFFFFF"/>
                        </a:solidFill>
                        <a:ln>
                          <a:noFill/>
                        </a:ln>
                      </wps:spPr>
                      <wps:txbx>
                        <w:txbxContent>
                          <w:p w14:paraId="5E84B0CD">
                            <w:pPr>
                              <w:rPr>
                                <w:rFonts w:ascii="黑体" w:eastAsia="黑体"/>
                              </w:rPr>
                            </w:pPr>
                            <w:r>
                              <w:rPr>
                                <w:rFonts w:hint="eastAsia" w:ascii="黑体" w:eastAsia="黑体"/>
                              </w:rPr>
                              <w:t>ICS 77.120.30</w:t>
                            </w:r>
                          </w:p>
                          <w:p w14:paraId="59407551">
                            <w:pPr>
                              <w:rPr>
                                <w:rFonts w:ascii="黑体" w:eastAsia="黑体"/>
                              </w:rPr>
                            </w:pPr>
                            <w:r>
                              <w:rPr>
                                <w:rFonts w:hint="eastAsia" w:ascii="黑体" w:eastAsia="黑体"/>
                              </w:rPr>
                              <w:t>H 13</w:t>
                            </w:r>
                          </w:p>
                          <w:p w14:paraId="1A3B97CA">
                            <w:pPr>
                              <w:pStyle w:val="74"/>
                            </w:pPr>
                          </w:p>
                          <w:p w14:paraId="2F4A2920">
                            <w:pPr>
                              <w:pStyle w:val="74"/>
                            </w:pPr>
                          </w:p>
                        </w:txbxContent>
                      </wps:txbx>
                      <wps:bodyPr lIns="0" tIns="0" rIns="0" bIns="0" upright="1"/>
                    </wps:wsp>
                  </a:graphicData>
                </a:graphic>
              </wp:anchor>
            </w:drawing>
          </mc:Choice>
          <mc:Fallback>
            <w:pict>
              <v:shape id="fmFrame1" o:spid="_x0000_s1026" o:spt="202" type="#_x0000_t202" style="position:absolute;left:0pt;margin-left:0pt;margin-top:0pt;height:51.8pt;width:200pt;mso-position-horizontal-relative:margin;mso-position-vertical-relative:margin;z-index:251660288;mso-width-relative:page;mso-height-relative:page;" fillcolor="#FFFFFF" filled="t" stroked="f" coordsize="21600,21600" o:gfxdata="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xezL4NMAAAAFAQAADwAAAAAAAAABACAAAAAiAAAAZHJzL2Rvd25yZXYueG1sUEsBAhQA&#10;FAAAAAgAh07iQE61g1O+AQAAmAMAAA4AAAAAAAAAAQAgAAAAIgEAAGRycy9lMm9Eb2MueG1sUEsF&#10;BgAAAAAGAAYAWQEAAFIFAAAAAA==&#10;">
                <v:fill on="t" focussize="0,0"/>
                <v:stroke on="f"/>
                <v:imagedata o:title=""/>
                <o:lock v:ext="edit" aspectratio="f"/>
                <v:textbox inset="0mm,0mm,0mm,0mm">
                  <w:txbxContent>
                    <w:p w14:paraId="5E84B0CD">
                      <w:pPr>
                        <w:rPr>
                          <w:rFonts w:ascii="黑体" w:eastAsia="黑体"/>
                        </w:rPr>
                      </w:pPr>
                      <w:r>
                        <w:rPr>
                          <w:rFonts w:hint="eastAsia" w:ascii="黑体" w:eastAsia="黑体"/>
                        </w:rPr>
                        <w:t>ICS 77.120.30</w:t>
                      </w:r>
                    </w:p>
                    <w:p w14:paraId="59407551">
                      <w:pPr>
                        <w:rPr>
                          <w:rFonts w:ascii="黑体" w:eastAsia="黑体"/>
                        </w:rPr>
                      </w:pPr>
                      <w:r>
                        <w:rPr>
                          <w:rFonts w:hint="eastAsia" w:ascii="黑体" w:eastAsia="黑体"/>
                        </w:rPr>
                        <w:t>H 13</w:t>
                      </w:r>
                    </w:p>
                    <w:p w14:paraId="1A3B97CA">
                      <w:pPr>
                        <w:pStyle w:val="74"/>
                      </w:pPr>
                    </w:p>
                    <w:p w14:paraId="2F4A2920">
                      <w:pPr>
                        <w:pStyle w:val="74"/>
                      </w:pPr>
                    </w:p>
                  </w:txbxContent>
                </v:textbox>
                <w10:anchorlock/>
              </v:shape>
            </w:pict>
          </mc:Fallback>
        </mc:AlternateContent>
      </w:r>
    </w:p>
    <w:p w14:paraId="50FC5BC6">
      <w:pPr>
        <w:rPr>
          <w:color w:val="000000"/>
          <w:sz w:val="15"/>
          <w:szCs w:val="15"/>
        </w:rPr>
      </w:pPr>
      <w:r>
        <w:rPr>
          <w:rFonts w:hint="eastAsia"/>
          <w:color w:val="000000"/>
          <w:sz w:val="15"/>
          <w:szCs w:val="15"/>
        </w:rPr>
        <w:t>ccccs</w:t>
      </w:r>
    </w:p>
    <w:p w14:paraId="30408DA5">
      <w:pPr>
        <w:rPr>
          <w:color w:val="000000"/>
          <w:sz w:val="15"/>
          <w:szCs w:val="15"/>
        </w:rPr>
      </w:pPr>
    </w:p>
    <w:p w14:paraId="2201F763">
      <w:pPr>
        <w:rPr>
          <w:color w:val="000000"/>
          <w:sz w:val="15"/>
          <w:szCs w:val="15"/>
        </w:rPr>
      </w:pPr>
    </w:p>
    <w:p w14:paraId="246A99D8">
      <w:pPr>
        <w:rPr>
          <w:color w:val="000000"/>
          <w:sz w:val="15"/>
          <w:szCs w:val="15"/>
        </w:rPr>
      </w:pPr>
    </w:p>
    <w:p w14:paraId="0E329952">
      <w:pPr>
        <w:rPr>
          <w:color w:val="000000"/>
          <w:sz w:val="15"/>
          <w:szCs w:val="15"/>
        </w:rPr>
      </w:pPr>
    </w:p>
    <w:p w14:paraId="3FABD1F9">
      <w:pPr>
        <w:rPr>
          <w:color w:val="000000"/>
          <w:sz w:val="15"/>
          <w:szCs w:val="15"/>
        </w:rPr>
      </w:pPr>
    </w:p>
    <w:p w14:paraId="1389D556">
      <w:pPr>
        <w:rPr>
          <w:color w:val="000000"/>
          <w:sz w:val="15"/>
          <w:szCs w:val="15"/>
        </w:rPr>
      </w:pPr>
      <w:r>
        <w:rPr>
          <w:color w:val="000000"/>
          <w:sz w:val="15"/>
          <w:szCs w:val="15"/>
        </w:rPr>
        <mc:AlternateContent>
          <mc:Choice Requires="wpg">
            <w:drawing>
              <wp:anchor distT="0" distB="0" distL="114300" distR="114300" simplePos="0" relativeHeight="251668480" behindDoc="0" locked="0" layoutInCell="1" allowOverlap="1">
                <wp:simplePos x="0" y="0"/>
                <wp:positionH relativeFrom="column">
                  <wp:posOffset>812800</wp:posOffset>
                </wp:positionH>
                <wp:positionV relativeFrom="paragraph">
                  <wp:posOffset>7663815</wp:posOffset>
                </wp:positionV>
                <wp:extent cx="4432300" cy="484505"/>
                <wp:effectExtent l="0" t="4445" r="6350" b="6350"/>
                <wp:wrapNone/>
                <wp:docPr id="12" name="组合 29"/>
                <wp:cNvGraphicFramePr/>
                <a:graphic xmlns:a="http://schemas.openxmlformats.org/drawingml/2006/main">
                  <a:graphicData uri="http://schemas.microsoft.com/office/word/2010/wordprocessingGroup">
                    <wpg:wgp>
                      <wpg:cNvGrpSpPr/>
                      <wpg:grpSpPr>
                        <a:xfrm>
                          <a:off x="0" y="0"/>
                          <a:ext cx="4432300" cy="484505"/>
                          <a:chOff x="2698" y="14820"/>
                          <a:chExt cx="6980" cy="763"/>
                        </a:xfrm>
                      </wpg:grpSpPr>
                      <wps:wsp>
                        <wps:cNvPr id="10" name="fmFrame7"/>
                        <wps:cNvSpPr txBox="1"/>
                        <wps:spPr>
                          <a:xfrm>
                            <a:off x="2698" y="14820"/>
                            <a:ext cx="5582" cy="763"/>
                          </a:xfrm>
                          <a:prstGeom prst="rect">
                            <a:avLst/>
                          </a:prstGeom>
                          <a:solidFill>
                            <a:srgbClr val="FFFFFF"/>
                          </a:solidFill>
                          <a:ln>
                            <a:noFill/>
                          </a:ln>
                        </wps:spPr>
                        <wps:txbx>
                          <w:txbxContent>
                            <w:p w14:paraId="5CA26B78">
                              <w:pPr>
                                <w:pStyle w:val="77"/>
                                <w:spacing w:line="360" w:lineRule="exact"/>
                                <w:jc w:val="distribute"/>
                                <w:rPr>
                                  <w:rFonts w:hAnsi="新宋体"/>
                                  <w:spacing w:val="-20"/>
                                  <w:sz w:val="32"/>
                                  <w:szCs w:val="32"/>
                                </w:rPr>
                              </w:pPr>
                              <w:r>
                                <w:rPr>
                                  <w:rFonts w:hint="eastAsia" w:hAnsi="新宋体"/>
                                  <w:spacing w:val="-20"/>
                                  <w:sz w:val="32"/>
                                  <w:szCs w:val="32"/>
                                </w:rPr>
                                <w:t>国家市场监督管理总局</w:t>
                              </w:r>
                            </w:p>
                            <w:p w14:paraId="6DA37DED">
                              <w:pPr>
                                <w:pStyle w:val="77"/>
                                <w:spacing w:line="360" w:lineRule="exact"/>
                                <w:jc w:val="distribute"/>
                                <w:rPr>
                                  <w:spacing w:val="0"/>
                                  <w:sz w:val="28"/>
                                </w:rPr>
                              </w:pPr>
                              <w:r>
                                <w:rPr>
                                  <w:rFonts w:hint="eastAsia" w:hAnsi="新宋体"/>
                                  <w:spacing w:val="0"/>
                                  <w:sz w:val="32"/>
                                  <w:szCs w:val="32"/>
                                </w:rPr>
                                <w:t>国家标准化管理委员会</w:t>
                              </w:r>
                            </w:p>
                            <w:p w14:paraId="1465606E"/>
                          </w:txbxContent>
                        </wps:txbx>
                        <wps:bodyPr lIns="0" tIns="0" rIns="0" bIns="0" upright="1"/>
                      </wps:wsp>
                      <wps:wsp>
                        <wps:cNvPr id="11" name="Text Box 2"/>
                        <wps:cNvSpPr txBox="1"/>
                        <wps:spPr>
                          <a:xfrm>
                            <a:off x="8468" y="14820"/>
                            <a:ext cx="1210" cy="633"/>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31A7CCFE">
                              <w:pPr>
                                <w:jc w:val="center"/>
                              </w:pPr>
                              <w:r>
                                <w:rPr>
                                  <w:rStyle w:val="61"/>
                                </w:rPr>
                                <w:t>发布</w:t>
                              </w:r>
                            </w:p>
                          </w:txbxContent>
                        </wps:txbx>
                        <wps:bodyPr upright="1"/>
                      </wps:wsp>
                    </wpg:wgp>
                  </a:graphicData>
                </a:graphic>
              </wp:anchor>
            </w:drawing>
          </mc:Choice>
          <mc:Fallback>
            <w:pict>
              <v:group id="组合 29" o:spid="_x0000_s1026" o:spt="203" style="position:absolute;left:0pt;margin-left:64pt;margin-top:603.45pt;height:38.15pt;width:349pt;z-index:251668480;mso-width-relative:page;mso-height-relative:page;" coordorigin="2698,14820" coordsize="6980,763" o:gfxdata="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">
                <o:lock v:ext="edit" aspectratio="f"/>
                <v:shape id="fmFrame7" o:spid="_x0000_s1026" o:spt="202" type="#_x0000_t202" style="position:absolute;left:2698;top:14820;height:763;width:5582;" fillcolor="#FFFFFF" filled="t" stroked="f" coordsize="21600,21600" o:gfxdata="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YRh1G8AAAA&#10;2wAAAA8AAAAAAAAAAQAgAAAAIgAAAGRycy9kb3ducmV2LnhtbFBLAQIUABQAAAAIAIdO4kAzLwWe&#10;OwAAADkAAAAQAAAAAAAAAAEAIAAAAAsBAABkcnMvc2hhcGV4bWwueG1sUEsFBgAAAAAGAAYAWwEA&#10;ALUDAAAAAA==&#10;">
                  <v:fill on="t" focussize="0,0"/>
                  <v:stroke on="f"/>
                  <v:imagedata o:title=""/>
                  <o:lock v:ext="edit" aspectratio="f"/>
                  <v:textbox inset="0mm,0mm,0mm,0mm">
                    <w:txbxContent>
                      <w:p w14:paraId="5CA26B78">
                        <w:pPr>
                          <w:pStyle w:val="77"/>
                          <w:spacing w:line="360" w:lineRule="exact"/>
                          <w:jc w:val="distribute"/>
                          <w:rPr>
                            <w:rFonts w:hAnsi="新宋体"/>
                            <w:spacing w:val="-20"/>
                            <w:sz w:val="32"/>
                            <w:szCs w:val="32"/>
                          </w:rPr>
                        </w:pPr>
                        <w:r>
                          <w:rPr>
                            <w:rFonts w:hint="eastAsia" w:hAnsi="新宋体"/>
                            <w:spacing w:val="-20"/>
                            <w:sz w:val="32"/>
                            <w:szCs w:val="32"/>
                          </w:rPr>
                          <w:t>国家市场监督管理总局</w:t>
                        </w:r>
                      </w:p>
                      <w:p w14:paraId="6DA37DED">
                        <w:pPr>
                          <w:pStyle w:val="77"/>
                          <w:spacing w:line="360" w:lineRule="exact"/>
                          <w:jc w:val="distribute"/>
                          <w:rPr>
                            <w:spacing w:val="0"/>
                            <w:sz w:val="28"/>
                          </w:rPr>
                        </w:pPr>
                        <w:r>
                          <w:rPr>
                            <w:rFonts w:hint="eastAsia" w:hAnsi="新宋体"/>
                            <w:spacing w:val="0"/>
                            <w:sz w:val="32"/>
                            <w:szCs w:val="32"/>
                          </w:rPr>
                          <w:t>国家标准化管理委员会</w:t>
                        </w:r>
                      </w:p>
                      <w:p w14:paraId="1465606E"/>
                    </w:txbxContent>
                  </v:textbox>
                </v:shape>
                <v:shape id="Text Box 2" o:spid="_x0000_s1026" o:spt="202" type="#_x0000_t202" style="position:absolute;left:8468;top:14820;height:633;width:1210;" fillcolor="#FFFFFF" filled="t" stroked="t" coordsize="21600,21600" o:gfxdata="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uCMKK5AAAA2wAA&#10;AA8AAAAAAAAAAQAgAAAAIgAAAGRycy9kb3ducmV2LnhtbFBLAQIUABQAAAAIAIdO4kAzLwWeOwAA&#10;ADkAAAAQAAAAAAAAAAEAIAAAAAgBAABkcnMvc2hhcGV4bWwueG1sUEsFBgAAAAAGAAYAWwEAALID&#10;AAAAAA==&#10;">
                  <v:fill on="t" focussize="0,0"/>
                  <v:stroke color="#FFFFFF" joinstyle="miter"/>
                  <v:imagedata o:title=""/>
                  <o:lock v:ext="edit" aspectratio="f"/>
                  <v:textbox>
                    <w:txbxContent>
                      <w:p w14:paraId="31A7CCFE">
                        <w:pPr>
                          <w:jc w:val="center"/>
                        </w:pPr>
                        <w:r>
                          <w:rPr>
                            <w:rStyle w:val="61"/>
                          </w:rPr>
                          <w:t>发布</w:t>
                        </w:r>
                      </w:p>
                    </w:txbxContent>
                  </v:textbox>
                </v:shape>
              </v:group>
            </w:pict>
          </mc:Fallback>
        </mc:AlternateContent>
      </w:r>
    </w:p>
    <w:p w14:paraId="18B3172F">
      <w:pPr>
        <w:ind w:right="105"/>
        <w:jc w:val="right"/>
        <w:rPr>
          <w:color w:val="000000"/>
          <w:sz w:val="15"/>
          <w:szCs w:val="15"/>
        </w:rPr>
        <w:sectPr>
          <w:headerReference r:id="rId5" w:type="first"/>
          <w:headerReference r:id="rId3" w:type="default"/>
          <w:footerReference r:id="rId6" w:type="default"/>
          <w:headerReference r:id="rId4" w:type="even"/>
          <w:footerReference r:id="rId7" w:type="even"/>
          <w:pgSz w:w="11907" w:h="16839"/>
          <w:pgMar w:top="567" w:right="851" w:bottom="1361" w:left="1418" w:header="0" w:footer="0" w:gutter="0"/>
          <w:pgBorders>
            <w:top w:val="none" w:sz="0" w:space="0"/>
            <w:left w:val="none" w:sz="0" w:space="0"/>
            <w:bottom w:val="none" w:sz="0" w:space="0"/>
            <w:right w:val="none" w:sz="0" w:space="0"/>
          </w:pgBorders>
          <w:pgNumType w:start="1"/>
          <w:cols w:space="720" w:num="1"/>
          <w:titlePg/>
          <w:docGrid w:type="lines" w:linePitch="312" w:charSpace="0"/>
        </w:sectPr>
      </w:pPr>
      <w:r>
        <w:rPr>
          <w:color w:val="000000"/>
          <w:sz w:val="15"/>
          <w:szCs w:val="15"/>
        </w:rPr>
        <w:t>×</w:t>
      </w:r>
    </w:p>
    <w:bookmarkEnd w:id="0"/>
    <w:p w14:paraId="7FC6C0A1">
      <w:pPr>
        <w:pStyle w:val="58"/>
        <w:rPr>
          <w:rFonts w:hAnsi="黑体"/>
          <w:color w:val="000000"/>
          <w:kern w:val="2"/>
          <w:szCs w:val="32"/>
        </w:rPr>
      </w:pPr>
      <w:bookmarkStart w:id="1" w:name="SectionMark1"/>
      <w:r>
        <w:rPr>
          <w:rFonts w:hAnsi="黑体"/>
          <w:color w:val="000000"/>
          <w:kern w:val="2"/>
          <w:szCs w:val="32"/>
        </w:rPr>
        <w:t>前    言</w:t>
      </w:r>
    </w:p>
    <w:p w14:paraId="2025BB9C">
      <w:pPr>
        <w:ind w:firstLine="420" w:firstLineChars="200"/>
        <w:rPr>
          <w:rFonts w:hint="default" w:ascii="Times New Roman" w:hAnsi="Times New Roman" w:eastAsia="宋体" w:cs="Times New Roman"/>
          <w:color w:val="000000"/>
          <w:szCs w:val="21"/>
          <w:highlight w:val="none"/>
        </w:rPr>
      </w:pPr>
      <w:r>
        <w:rPr>
          <w:color w:val="000000"/>
          <w:szCs w:val="21"/>
        </w:rPr>
        <w:t>本文件</w:t>
      </w:r>
      <w:r>
        <w:rPr>
          <w:rFonts w:hint="eastAsia" w:ascii="宋体" w:hAnsi="宋体" w:eastAsia="宋体" w:cs="宋体"/>
          <w:color w:val="000000"/>
          <w:szCs w:val="21"/>
        </w:rPr>
        <w:t>按</w:t>
      </w:r>
      <w:r>
        <w:rPr>
          <w:rFonts w:hint="default" w:ascii="Times New Roman" w:hAnsi="Times New Roman" w:eastAsia="宋体" w:cs="Times New Roman"/>
          <w:color w:val="000000"/>
          <w:szCs w:val="21"/>
          <w:highlight w:val="none"/>
        </w:rPr>
        <w:t>照GB/T 1.1-2020《标准化工作导则 第1部分：标准化文件的结构和起草规则》的规定起草。</w:t>
      </w:r>
    </w:p>
    <w:p w14:paraId="3256288E">
      <w:pPr>
        <w:ind w:firstLine="420" w:firstLineChars="200"/>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本文件是GB/T 5121《铜及铜合金化学分析方法》的第</w:t>
      </w:r>
      <w:r>
        <w:rPr>
          <w:rFonts w:hint="default" w:ascii="Times New Roman" w:hAnsi="Times New Roman" w:cs="Times New Roman"/>
          <w:color w:val="000000"/>
          <w:szCs w:val="21"/>
          <w:highlight w:val="none"/>
          <w:lang w:val="en-US" w:eastAsia="zh-CN"/>
        </w:rPr>
        <w:t>21</w:t>
      </w:r>
      <w:r>
        <w:rPr>
          <w:rFonts w:hint="default" w:ascii="Times New Roman" w:hAnsi="Times New Roman" w:eastAsia="宋体" w:cs="Times New Roman"/>
          <w:color w:val="000000"/>
          <w:szCs w:val="21"/>
          <w:highlight w:val="none"/>
        </w:rPr>
        <w:t>部分。GB/T 5121已经发布了以下部分：</w:t>
      </w:r>
    </w:p>
    <w:p w14:paraId="5BF02EAA">
      <w:pPr>
        <w:ind w:firstLine="420" w:firstLineChars="200"/>
        <w:rPr>
          <w:rFonts w:hint="default" w:ascii="Times New Roman" w:hAnsi="Times New Roman" w:eastAsia="宋体" w:cs="Times New Roman"/>
          <w:color w:val="0D0D0D" w:themeColor="text1" w:themeTint="F2"/>
          <w:szCs w:val="21"/>
          <w:highlight w:val="none"/>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highlight w:val="none"/>
          <w14:textFill>
            <w14:solidFill>
              <w14:schemeClr w14:val="tx1">
                <w14:lumMod w14:val="95000"/>
                <w14:lumOff w14:val="5000"/>
              </w14:schemeClr>
            </w14:solidFill>
          </w14:textFill>
        </w:rPr>
        <w:t>——第1部分：铜含量的测定；</w:t>
      </w:r>
    </w:p>
    <w:p w14:paraId="442B0D0E">
      <w:pPr>
        <w:ind w:firstLine="420" w:firstLineChars="200"/>
        <w:rPr>
          <w:rFonts w:hint="default" w:ascii="Times New Roman" w:hAnsi="Times New Roman" w:eastAsia="宋体" w:cs="Times New Roman"/>
          <w:color w:val="0D0D0D" w:themeColor="text1" w:themeTint="F2"/>
          <w:szCs w:val="21"/>
          <w:highlight w:val="none"/>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highlight w:val="none"/>
          <w14:textFill>
            <w14:solidFill>
              <w14:schemeClr w14:val="tx1">
                <w14:lumMod w14:val="95000"/>
                <w14:lumOff w14:val="5000"/>
              </w14:schemeClr>
            </w14:solidFill>
          </w14:textFill>
        </w:rPr>
        <w:t>——第2部分：磷含量的测定；</w:t>
      </w:r>
    </w:p>
    <w:p w14:paraId="582D3F1A">
      <w:pPr>
        <w:ind w:firstLine="420" w:firstLineChars="200"/>
        <w:rPr>
          <w:rFonts w:hint="default" w:ascii="Times New Roman" w:hAnsi="Times New Roman" w:eastAsia="宋体" w:cs="Times New Roman"/>
          <w:color w:val="0D0D0D" w:themeColor="text1" w:themeTint="F2"/>
          <w:szCs w:val="21"/>
          <w:highlight w:val="none"/>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highlight w:val="none"/>
          <w14:textFill>
            <w14:solidFill>
              <w14:schemeClr w14:val="tx1">
                <w14:lumMod w14:val="95000"/>
                <w14:lumOff w14:val="5000"/>
              </w14:schemeClr>
            </w14:solidFill>
          </w14:textFill>
        </w:rPr>
        <w:t>——第3部分：铅含量的测定；</w:t>
      </w:r>
    </w:p>
    <w:p w14:paraId="187670DD">
      <w:pPr>
        <w:ind w:firstLine="420" w:firstLineChars="200"/>
        <w:rPr>
          <w:rFonts w:hint="default" w:ascii="Times New Roman" w:hAnsi="Times New Roman" w:eastAsia="宋体" w:cs="Times New Roman"/>
          <w:color w:val="0D0D0D" w:themeColor="text1" w:themeTint="F2"/>
          <w:szCs w:val="21"/>
          <w:highlight w:val="none"/>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highlight w:val="none"/>
          <w14:textFill>
            <w14:solidFill>
              <w14:schemeClr w14:val="tx1">
                <w14:lumMod w14:val="95000"/>
                <w14:lumOff w14:val="5000"/>
              </w14:schemeClr>
            </w14:solidFill>
          </w14:textFill>
        </w:rPr>
        <w:t>——第4部分：碳、硫量的测定；</w:t>
      </w:r>
    </w:p>
    <w:p w14:paraId="54DA6120">
      <w:pPr>
        <w:ind w:firstLine="420" w:firstLineChars="200"/>
        <w:rPr>
          <w:rFonts w:hint="default" w:ascii="Times New Roman" w:hAnsi="Times New Roman" w:eastAsia="宋体" w:cs="Times New Roman"/>
          <w:color w:val="0D0D0D" w:themeColor="text1" w:themeTint="F2"/>
          <w:szCs w:val="21"/>
          <w:highlight w:val="none"/>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highlight w:val="none"/>
          <w14:textFill>
            <w14:solidFill>
              <w14:schemeClr w14:val="tx1">
                <w14:lumMod w14:val="95000"/>
                <w14:lumOff w14:val="5000"/>
              </w14:schemeClr>
            </w14:solidFill>
          </w14:textFill>
        </w:rPr>
        <w:t>——第5部分：镍含量的测定；</w:t>
      </w:r>
    </w:p>
    <w:p w14:paraId="25432B2D">
      <w:pPr>
        <w:ind w:firstLine="420" w:firstLineChars="200"/>
        <w:rPr>
          <w:rFonts w:hint="default" w:ascii="Times New Roman" w:hAnsi="Times New Roman" w:eastAsia="宋体" w:cs="Times New Roman"/>
          <w:color w:val="0D0D0D" w:themeColor="text1" w:themeTint="F2"/>
          <w:szCs w:val="21"/>
          <w:highlight w:val="none"/>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highlight w:val="none"/>
          <w14:textFill>
            <w14:solidFill>
              <w14:schemeClr w14:val="tx1">
                <w14:lumMod w14:val="95000"/>
                <w14:lumOff w14:val="5000"/>
              </w14:schemeClr>
            </w14:solidFill>
          </w14:textFill>
        </w:rPr>
        <w:t>——第6部分：铋含量的测定；</w:t>
      </w:r>
    </w:p>
    <w:p w14:paraId="0C7BC28D">
      <w:pPr>
        <w:ind w:firstLine="420" w:firstLineChars="200"/>
        <w:rPr>
          <w:rFonts w:hint="default" w:ascii="Times New Roman" w:hAnsi="Times New Roman" w:eastAsia="宋体" w:cs="Times New Roman"/>
          <w:color w:val="0D0D0D" w:themeColor="text1" w:themeTint="F2"/>
          <w:szCs w:val="21"/>
          <w:highlight w:val="none"/>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highlight w:val="none"/>
          <w14:textFill>
            <w14:solidFill>
              <w14:schemeClr w14:val="tx1">
                <w14:lumMod w14:val="95000"/>
                <w14:lumOff w14:val="5000"/>
              </w14:schemeClr>
            </w14:solidFill>
          </w14:textFill>
        </w:rPr>
        <w:t>——第7部分：砷含量的测定；</w:t>
      </w:r>
    </w:p>
    <w:p w14:paraId="6015E179">
      <w:pPr>
        <w:spacing w:line="312" w:lineRule="auto"/>
        <w:ind w:firstLine="420" w:firstLineChars="200"/>
        <w:rPr>
          <w:rFonts w:hint="default" w:ascii="Times New Roman" w:hAnsi="Times New Roman" w:eastAsia="宋体" w:cs="Times New Roman"/>
          <w:color w:val="0D0D0D" w:themeColor="text1" w:themeTint="F2"/>
          <w:szCs w:val="21"/>
          <w:highlight w:val="none"/>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highlight w:val="none"/>
          <w14:textFill>
            <w14:solidFill>
              <w14:schemeClr w14:val="tx1">
                <w14:lumMod w14:val="95000"/>
                <w14:lumOff w14:val="5000"/>
              </w14:schemeClr>
            </w14:solidFill>
          </w14:textFill>
        </w:rPr>
        <w:t>——第8部分：氧</w:t>
      </w:r>
      <w:r>
        <w:rPr>
          <w:rFonts w:hint="eastAsia" w:cs="Times New Roman"/>
          <w:color w:val="0D0D0D" w:themeColor="text1" w:themeTint="F2"/>
          <w:szCs w:val="21"/>
          <w:highlight w:val="none"/>
          <w:lang w:eastAsia="zh-CN"/>
          <w14:textFill>
            <w14:solidFill>
              <w14:schemeClr w14:val="tx1">
                <w14:lumMod w14:val="95000"/>
                <w14:lumOff w14:val="5000"/>
              </w14:schemeClr>
            </w14:solidFill>
          </w14:textFill>
        </w:rPr>
        <w:t>、</w:t>
      </w:r>
      <w:r>
        <w:rPr>
          <w:rFonts w:hint="eastAsia" w:cs="Times New Roman"/>
          <w:color w:val="0D0D0D" w:themeColor="text1" w:themeTint="F2"/>
          <w:szCs w:val="21"/>
          <w:highlight w:val="none"/>
          <w:lang w:val="en-US" w:eastAsia="zh-CN"/>
          <w14:textFill>
            <w14:solidFill>
              <w14:schemeClr w14:val="tx1">
                <w14:lumMod w14:val="95000"/>
                <w14:lumOff w14:val="5000"/>
              </w14:schemeClr>
            </w14:solidFill>
          </w14:textFill>
        </w:rPr>
        <w:t>氮、氢</w:t>
      </w:r>
      <w:r>
        <w:rPr>
          <w:rFonts w:hint="default" w:ascii="Times New Roman" w:hAnsi="Times New Roman" w:eastAsia="宋体" w:cs="Times New Roman"/>
          <w:color w:val="0D0D0D" w:themeColor="text1" w:themeTint="F2"/>
          <w:szCs w:val="21"/>
          <w:highlight w:val="none"/>
          <w14:textFill>
            <w14:solidFill>
              <w14:schemeClr w14:val="tx1">
                <w14:lumMod w14:val="95000"/>
                <w14:lumOff w14:val="5000"/>
              </w14:schemeClr>
            </w14:solidFill>
          </w14:textFill>
        </w:rPr>
        <w:t>含量的测定；</w:t>
      </w:r>
    </w:p>
    <w:p w14:paraId="5AE5E205">
      <w:pPr>
        <w:ind w:firstLine="420" w:firstLineChars="200"/>
        <w:rPr>
          <w:rFonts w:hint="default" w:ascii="Times New Roman" w:hAnsi="Times New Roman" w:eastAsia="宋体" w:cs="Times New Roman"/>
          <w:color w:val="0D0D0D" w:themeColor="text1" w:themeTint="F2"/>
          <w:szCs w:val="21"/>
          <w:highlight w:val="none"/>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highlight w:val="none"/>
          <w14:textFill>
            <w14:solidFill>
              <w14:schemeClr w14:val="tx1">
                <w14:lumMod w14:val="95000"/>
                <w14:lumOff w14:val="5000"/>
              </w14:schemeClr>
            </w14:solidFill>
          </w14:textFill>
        </w:rPr>
        <w:t>——第9部分：铁含量的测定；</w:t>
      </w:r>
    </w:p>
    <w:p w14:paraId="6950DA2A">
      <w:pPr>
        <w:ind w:firstLine="420" w:firstLineChars="200"/>
        <w:rPr>
          <w:rFonts w:hint="default" w:ascii="Times New Roman" w:hAnsi="Times New Roman" w:eastAsia="宋体" w:cs="Times New Roman"/>
          <w:color w:val="0D0D0D" w:themeColor="text1" w:themeTint="F2"/>
          <w:szCs w:val="21"/>
          <w:highlight w:val="none"/>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highlight w:val="none"/>
          <w14:textFill>
            <w14:solidFill>
              <w14:schemeClr w14:val="tx1">
                <w14:lumMod w14:val="95000"/>
                <w14:lumOff w14:val="5000"/>
              </w14:schemeClr>
            </w14:solidFill>
          </w14:textFill>
        </w:rPr>
        <w:t>——第10部分：锡含量的测定；</w:t>
      </w:r>
    </w:p>
    <w:p w14:paraId="38D7A3B4">
      <w:pPr>
        <w:ind w:firstLine="420" w:firstLineChars="200"/>
        <w:rPr>
          <w:rFonts w:hint="default" w:ascii="Times New Roman" w:hAnsi="Times New Roman" w:eastAsia="宋体" w:cs="Times New Roman"/>
          <w:color w:val="0D0D0D" w:themeColor="text1" w:themeTint="F2"/>
          <w:szCs w:val="21"/>
          <w:highlight w:val="none"/>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highlight w:val="none"/>
          <w14:textFill>
            <w14:solidFill>
              <w14:schemeClr w14:val="tx1">
                <w14:lumMod w14:val="95000"/>
                <w14:lumOff w14:val="5000"/>
              </w14:schemeClr>
            </w14:solidFill>
          </w14:textFill>
        </w:rPr>
        <w:t>——第11部分：锌含量的测定；</w:t>
      </w:r>
    </w:p>
    <w:p w14:paraId="299A61B0">
      <w:pPr>
        <w:ind w:firstLine="420" w:firstLineChars="200"/>
        <w:rPr>
          <w:rFonts w:hint="default" w:ascii="Times New Roman" w:hAnsi="Times New Roman" w:eastAsia="宋体" w:cs="Times New Roman"/>
          <w:color w:val="0D0D0D" w:themeColor="text1" w:themeTint="F2"/>
          <w:szCs w:val="21"/>
          <w:highlight w:val="none"/>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highlight w:val="none"/>
          <w14:textFill>
            <w14:solidFill>
              <w14:schemeClr w14:val="tx1">
                <w14:lumMod w14:val="95000"/>
                <w14:lumOff w14:val="5000"/>
              </w14:schemeClr>
            </w14:solidFill>
          </w14:textFill>
        </w:rPr>
        <w:t>——第12部分：锑含量的测定；</w:t>
      </w:r>
    </w:p>
    <w:p w14:paraId="6334BEC3">
      <w:pPr>
        <w:ind w:firstLine="420" w:firstLineChars="200"/>
        <w:rPr>
          <w:rFonts w:hint="default" w:ascii="Times New Roman" w:hAnsi="Times New Roman" w:eastAsia="宋体" w:cs="Times New Roman"/>
          <w:color w:val="0D0D0D" w:themeColor="text1" w:themeTint="F2"/>
          <w:szCs w:val="21"/>
          <w:highlight w:val="none"/>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highlight w:val="none"/>
          <w14:textFill>
            <w14:solidFill>
              <w14:schemeClr w14:val="tx1">
                <w14:lumMod w14:val="95000"/>
                <w14:lumOff w14:val="5000"/>
              </w14:schemeClr>
            </w14:solidFill>
          </w14:textFill>
        </w:rPr>
        <w:t>——第13部分：铝含量的测定；</w:t>
      </w:r>
    </w:p>
    <w:p w14:paraId="74F76DB8">
      <w:pPr>
        <w:ind w:firstLine="420" w:firstLineChars="200"/>
        <w:rPr>
          <w:rFonts w:hint="default" w:ascii="Times New Roman" w:hAnsi="Times New Roman" w:eastAsia="宋体" w:cs="Times New Roman"/>
          <w:color w:val="0D0D0D" w:themeColor="text1" w:themeTint="F2"/>
          <w:szCs w:val="21"/>
          <w:highlight w:val="none"/>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highlight w:val="none"/>
          <w14:textFill>
            <w14:solidFill>
              <w14:schemeClr w14:val="tx1">
                <w14:lumMod w14:val="95000"/>
                <w14:lumOff w14:val="5000"/>
              </w14:schemeClr>
            </w14:solidFill>
          </w14:textFill>
        </w:rPr>
        <w:t>——第14部分：锰含量的测定；</w:t>
      </w:r>
    </w:p>
    <w:p w14:paraId="29628F9B">
      <w:pPr>
        <w:ind w:firstLine="420" w:firstLineChars="200"/>
        <w:rPr>
          <w:rFonts w:hint="default" w:ascii="Times New Roman" w:hAnsi="Times New Roman" w:eastAsia="宋体" w:cs="Times New Roman"/>
          <w:color w:val="0D0D0D" w:themeColor="text1" w:themeTint="F2"/>
          <w:szCs w:val="21"/>
          <w:highlight w:val="none"/>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highlight w:val="none"/>
          <w14:textFill>
            <w14:solidFill>
              <w14:schemeClr w14:val="tx1">
                <w14:lumMod w14:val="95000"/>
                <w14:lumOff w14:val="5000"/>
              </w14:schemeClr>
            </w14:solidFill>
          </w14:textFill>
        </w:rPr>
        <w:t>——第15部分：钴含量的测定；</w:t>
      </w:r>
    </w:p>
    <w:p w14:paraId="66994512">
      <w:pPr>
        <w:ind w:firstLine="420" w:firstLineChars="200"/>
        <w:rPr>
          <w:rFonts w:hint="default" w:ascii="Times New Roman" w:hAnsi="Times New Roman" w:eastAsia="宋体" w:cs="Times New Roman"/>
          <w:color w:val="0D0D0D" w:themeColor="text1" w:themeTint="F2"/>
          <w:szCs w:val="21"/>
          <w:highlight w:val="none"/>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highlight w:val="none"/>
          <w14:textFill>
            <w14:solidFill>
              <w14:schemeClr w14:val="tx1">
                <w14:lumMod w14:val="95000"/>
                <w14:lumOff w14:val="5000"/>
              </w14:schemeClr>
            </w14:solidFill>
          </w14:textFill>
        </w:rPr>
        <w:t>——第16部分：铬含量的测定；</w:t>
      </w:r>
    </w:p>
    <w:p w14:paraId="735763AB">
      <w:pPr>
        <w:widowControl/>
        <w:ind w:firstLine="420" w:firstLineChars="200"/>
        <w:rPr>
          <w:rFonts w:hint="default" w:ascii="Times New Roman" w:hAnsi="Times New Roman" w:eastAsia="宋体" w:cs="Times New Roman"/>
          <w:color w:val="0D0D0D" w:themeColor="text1" w:themeTint="F2"/>
          <w:szCs w:val="21"/>
          <w:highlight w:val="none"/>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highlight w:val="none"/>
          <w14:textFill>
            <w14:solidFill>
              <w14:schemeClr w14:val="tx1">
                <w14:lumMod w14:val="95000"/>
                <w14:lumOff w14:val="5000"/>
              </w14:schemeClr>
            </w14:solidFill>
          </w14:textFill>
        </w:rPr>
        <w:t>——第17部分：铍含量的测定；</w:t>
      </w:r>
    </w:p>
    <w:p w14:paraId="5D40B603">
      <w:pPr>
        <w:widowControl/>
        <w:ind w:firstLine="420" w:firstLineChars="200"/>
        <w:rPr>
          <w:rFonts w:hint="default" w:ascii="Times New Roman" w:hAnsi="Times New Roman" w:eastAsia="宋体" w:cs="Times New Roman"/>
          <w:color w:val="0D0D0D" w:themeColor="text1" w:themeTint="F2"/>
          <w:szCs w:val="21"/>
          <w:highlight w:val="none"/>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highlight w:val="none"/>
          <w14:textFill>
            <w14:solidFill>
              <w14:schemeClr w14:val="tx1">
                <w14:lumMod w14:val="95000"/>
                <w14:lumOff w14:val="5000"/>
              </w14:schemeClr>
            </w14:solidFill>
          </w14:textFill>
        </w:rPr>
        <w:t>——第18部分：镁含量的测定；</w:t>
      </w:r>
    </w:p>
    <w:p w14:paraId="1C580572">
      <w:pPr>
        <w:ind w:firstLine="420" w:firstLineChars="200"/>
        <w:rPr>
          <w:rFonts w:hint="default" w:ascii="Times New Roman" w:hAnsi="Times New Roman" w:eastAsia="宋体" w:cs="Times New Roman"/>
          <w:color w:val="0D0D0D" w:themeColor="text1" w:themeTint="F2"/>
          <w:szCs w:val="21"/>
          <w:highlight w:val="none"/>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highlight w:val="none"/>
          <w14:textFill>
            <w14:solidFill>
              <w14:schemeClr w14:val="tx1">
                <w14:lumMod w14:val="95000"/>
                <w14:lumOff w14:val="5000"/>
              </w14:schemeClr>
            </w14:solidFill>
          </w14:textFill>
        </w:rPr>
        <w:t>——第19部分：银含量的测定；</w:t>
      </w:r>
    </w:p>
    <w:p w14:paraId="748D1228">
      <w:pPr>
        <w:ind w:firstLine="420" w:firstLineChars="200"/>
        <w:rPr>
          <w:rFonts w:hint="default" w:ascii="Times New Roman" w:hAnsi="Times New Roman" w:eastAsia="宋体" w:cs="Times New Roman"/>
          <w:color w:val="0D0D0D" w:themeColor="text1" w:themeTint="F2"/>
          <w:szCs w:val="21"/>
          <w:highlight w:val="none"/>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highlight w:val="none"/>
          <w14:textFill>
            <w14:solidFill>
              <w14:schemeClr w14:val="tx1">
                <w14:lumMod w14:val="95000"/>
                <w14:lumOff w14:val="5000"/>
              </w14:schemeClr>
            </w14:solidFill>
          </w14:textFill>
        </w:rPr>
        <w:t>——第20部分：锆含量的测定；</w:t>
      </w:r>
    </w:p>
    <w:p w14:paraId="681FADEF">
      <w:pPr>
        <w:ind w:firstLine="420" w:firstLineChars="200"/>
        <w:rPr>
          <w:rFonts w:hint="default" w:ascii="Times New Roman" w:hAnsi="Times New Roman" w:eastAsia="宋体" w:cs="Times New Roman"/>
          <w:color w:val="0D0D0D" w:themeColor="text1" w:themeTint="F2"/>
          <w:szCs w:val="21"/>
          <w:highlight w:val="none"/>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highlight w:val="none"/>
          <w14:textFill>
            <w14:solidFill>
              <w14:schemeClr w14:val="tx1">
                <w14:lumMod w14:val="95000"/>
                <w14:lumOff w14:val="5000"/>
              </w14:schemeClr>
            </w14:solidFill>
          </w14:textFill>
        </w:rPr>
        <w:t>——第21部分：钛含量的测定；</w:t>
      </w:r>
    </w:p>
    <w:p w14:paraId="48F3CDD9">
      <w:pPr>
        <w:ind w:firstLine="420" w:firstLineChars="200"/>
        <w:rPr>
          <w:rFonts w:hint="default" w:ascii="Times New Roman" w:hAnsi="Times New Roman" w:eastAsia="宋体" w:cs="Times New Roman"/>
          <w:color w:val="0D0D0D" w:themeColor="text1" w:themeTint="F2"/>
          <w:szCs w:val="21"/>
          <w:highlight w:val="none"/>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highlight w:val="none"/>
          <w14:textFill>
            <w14:solidFill>
              <w14:schemeClr w14:val="tx1">
                <w14:lumMod w14:val="95000"/>
                <w14:lumOff w14:val="5000"/>
              </w14:schemeClr>
            </w14:solidFill>
          </w14:textFill>
        </w:rPr>
        <w:t>——第22部分：镉含量的测定；</w:t>
      </w:r>
    </w:p>
    <w:p w14:paraId="3EAA04EE">
      <w:pPr>
        <w:ind w:firstLine="420" w:firstLineChars="200"/>
        <w:rPr>
          <w:rFonts w:hint="default" w:ascii="Times New Roman" w:hAnsi="Times New Roman" w:eastAsia="宋体" w:cs="Times New Roman"/>
          <w:color w:val="0D0D0D" w:themeColor="text1" w:themeTint="F2"/>
          <w:szCs w:val="21"/>
          <w:highlight w:val="none"/>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highlight w:val="none"/>
          <w14:textFill>
            <w14:solidFill>
              <w14:schemeClr w14:val="tx1">
                <w14:lumMod w14:val="95000"/>
                <w14:lumOff w14:val="5000"/>
              </w14:schemeClr>
            </w14:solidFill>
          </w14:textFill>
        </w:rPr>
        <w:t>——第23部分：硅含量的测定；</w:t>
      </w:r>
    </w:p>
    <w:p w14:paraId="29470185">
      <w:pPr>
        <w:ind w:firstLine="420" w:firstLineChars="200"/>
        <w:rPr>
          <w:rFonts w:hint="default" w:ascii="Times New Roman" w:hAnsi="Times New Roman" w:eastAsia="宋体" w:cs="Times New Roman"/>
          <w:color w:val="0D0D0D" w:themeColor="text1" w:themeTint="F2"/>
          <w:szCs w:val="21"/>
          <w:highlight w:val="none"/>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highlight w:val="none"/>
          <w14:textFill>
            <w14:solidFill>
              <w14:schemeClr w14:val="tx1">
                <w14:lumMod w14:val="95000"/>
                <w14:lumOff w14:val="5000"/>
              </w14:schemeClr>
            </w14:solidFill>
          </w14:textFill>
        </w:rPr>
        <w:t>——第24部分：硒、碲含量的测定；</w:t>
      </w:r>
    </w:p>
    <w:p w14:paraId="103EAAFC">
      <w:pPr>
        <w:ind w:firstLine="420" w:firstLineChars="200"/>
        <w:rPr>
          <w:rFonts w:hint="default" w:ascii="Times New Roman" w:hAnsi="Times New Roman" w:eastAsia="宋体" w:cs="Times New Roman"/>
          <w:color w:val="0D0D0D" w:themeColor="text1" w:themeTint="F2"/>
          <w:szCs w:val="21"/>
          <w:highlight w:val="none"/>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highlight w:val="none"/>
          <w14:textFill>
            <w14:solidFill>
              <w14:schemeClr w14:val="tx1">
                <w14:lumMod w14:val="95000"/>
                <w14:lumOff w14:val="5000"/>
              </w14:schemeClr>
            </w14:solidFill>
          </w14:textFill>
        </w:rPr>
        <w:t>——第25部分：硼含量的测定；</w:t>
      </w:r>
    </w:p>
    <w:p w14:paraId="6C254593">
      <w:pPr>
        <w:ind w:firstLine="420" w:firstLineChars="200"/>
        <w:rPr>
          <w:rFonts w:hint="default" w:ascii="Times New Roman" w:hAnsi="Times New Roman" w:eastAsia="宋体" w:cs="Times New Roman"/>
          <w:color w:val="0D0D0D" w:themeColor="text1" w:themeTint="F2"/>
          <w:szCs w:val="21"/>
          <w:highlight w:val="none"/>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highlight w:val="none"/>
          <w14:textFill>
            <w14:solidFill>
              <w14:schemeClr w14:val="tx1">
                <w14:lumMod w14:val="95000"/>
                <w14:lumOff w14:val="5000"/>
              </w14:schemeClr>
            </w14:solidFill>
          </w14:textFill>
        </w:rPr>
        <w:t>——第26部分：汞含量的测定；</w:t>
      </w:r>
    </w:p>
    <w:p w14:paraId="76D10FD7">
      <w:pPr>
        <w:ind w:firstLine="420" w:firstLineChars="200"/>
        <w:rPr>
          <w:rFonts w:hint="default" w:ascii="Times New Roman" w:hAnsi="Times New Roman" w:eastAsia="宋体" w:cs="Times New Roman"/>
          <w:color w:val="0D0D0D" w:themeColor="text1" w:themeTint="F2"/>
          <w:szCs w:val="21"/>
          <w:highlight w:val="none"/>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highlight w:val="none"/>
          <w14:textFill>
            <w14:solidFill>
              <w14:schemeClr w14:val="tx1">
                <w14:lumMod w14:val="95000"/>
                <w14:lumOff w14:val="5000"/>
              </w14:schemeClr>
            </w14:solidFill>
          </w14:textFill>
        </w:rPr>
        <w:t>——第27部分：电感耦合等离子体原子发射光谱法；</w:t>
      </w:r>
    </w:p>
    <w:p w14:paraId="60C660E7">
      <w:pPr>
        <w:ind w:firstLine="420" w:firstLineChars="200"/>
        <w:rPr>
          <w:rFonts w:hint="default" w:ascii="Times New Roman" w:hAnsi="Times New Roman" w:eastAsia="宋体" w:cs="Times New Roman"/>
          <w:color w:val="0D0D0D" w:themeColor="text1" w:themeTint="F2"/>
          <w:szCs w:val="21"/>
          <w:highlight w:val="none"/>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highlight w:val="none"/>
          <w14:textFill>
            <w14:solidFill>
              <w14:schemeClr w14:val="tx1">
                <w14:lumMod w14:val="95000"/>
                <w14:lumOff w14:val="5000"/>
              </w14:schemeClr>
            </w14:solidFill>
          </w14:textFill>
        </w:rPr>
        <w:t>——第28部分：铬、铁、锰、钴、镍、锌、砷、硒、银、镉、锡、锑、碲、铅、铋量的测定 电感耦合等离子体质谱法；</w:t>
      </w:r>
    </w:p>
    <w:p w14:paraId="1160C0DD">
      <w:pPr>
        <w:ind w:firstLine="420" w:firstLineChars="200"/>
        <w:rPr>
          <w:rFonts w:hint="default" w:ascii="Times New Roman" w:hAnsi="Times New Roman" w:eastAsia="宋体" w:cs="Times New Roman"/>
          <w:color w:val="0D0D0D" w:themeColor="text1" w:themeTint="F2"/>
          <w:szCs w:val="21"/>
          <w:highlight w:val="none"/>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highlight w:val="none"/>
          <w14:textFill>
            <w14:solidFill>
              <w14:schemeClr w14:val="tx1">
                <w14:lumMod w14:val="95000"/>
                <w14:lumOff w14:val="5000"/>
              </w14:schemeClr>
            </w14:solidFill>
          </w14:textFill>
        </w:rPr>
        <w:t>——第29部分：三氧化二铝含量的测定。</w:t>
      </w:r>
    </w:p>
    <w:p w14:paraId="4A37DD44">
      <w:pPr>
        <w:widowControl/>
        <w:autoSpaceDE w:val="0"/>
        <w:autoSpaceDN w:val="0"/>
        <w:ind w:firstLine="420" w:firstLineChars="200"/>
        <w:rPr>
          <w:rFonts w:hint="default" w:ascii="Times New Roman" w:hAnsi="Times New Roman" w:eastAsia="宋体" w:cs="Times New Roman"/>
          <w:color w:val="000000"/>
          <w:szCs w:val="21"/>
          <w:highlight w:val="none"/>
          <w:lang w:val="en-US" w:eastAsia="zh-CN"/>
        </w:rPr>
      </w:pPr>
      <w:r>
        <w:rPr>
          <w:rFonts w:hint="default" w:ascii="Times New Roman" w:hAnsi="Times New Roman" w:cs="Times New Roman"/>
          <w:color w:val="000000"/>
          <w:szCs w:val="21"/>
          <w:highlight w:val="none"/>
          <w:lang w:eastAsia="zh-CN"/>
        </w:rPr>
        <w:t>本部分代</w:t>
      </w:r>
      <w:r>
        <w:rPr>
          <w:rFonts w:hint="default" w:ascii="Times New Roman" w:hAnsi="Times New Roman" w:eastAsia="宋体" w:cs="Times New Roman"/>
          <w:color w:val="000000"/>
          <w:szCs w:val="21"/>
          <w:highlight w:val="none"/>
          <w:lang w:eastAsia="zh-CN"/>
        </w:rPr>
        <w:t>替</w:t>
      </w:r>
      <w:r>
        <w:rPr>
          <w:rFonts w:hint="default" w:ascii="Times New Roman" w:hAnsi="Times New Roman" w:eastAsia="宋体" w:cs="Times New Roman"/>
          <w:color w:val="000000"/>
          <w:szCs w:val="21"/>
          <w:highlight w:val="none"/>
          <w:lang w:val="en-US" w:eastAsia="zh-CN"/>
        </w:rPr>
        <w:t>GB/T 5121.</w:t>
      </w:r>
      <w:r>
        <w:rPr>
          <w:rFonts w:hint="default" w:ascii="Times New Roman" w:hAnsi="Times New Roman" w:cs="Times New Roman"/>
          <w:color w:val="000000"/>
          <w:szCs w:val="21"/>
          <w:highlight w:val="none"/>
          <w:lang w:val="en-US" w:eastAsia="zh-CN"/>
        </w:rPr>
        <w:t>21</w:t>
      </w:r>
      <w:r>
        <w:rPr>
          <w:rFonts w:hint="default" w:ascii="Times New Roman" w:hAnsi="Times New Roman" w:eastAsia="宋体" w:cs="Times New Roman"/>
          <w:color w:val="000000"/>
          <w:szCs w:val="21"/>
          <w:highlight w:val="none"/>
          <w:lang w:val="en-US" w:eastAsia="zh-CN"/>
        </w:rPr>
        <w:t>-2008《铜及铜合金化学分析方法 第</w:t>
      </w:r>
      <w:r>
        <w:rPr>
          <w:rFonts w:hint="default" w:ascii="Times New Roman" w:hAnsi="Times New Roman" w:cs="Times New Roman"/>
          <w:color w:val="000000"/>
          <w:szCs w:val="21"/>
          <w:highlight w:val="none"/>
          <w:lang w:val="en-US" w:eastAsia="zh-CN"/>
        </w:rPr>
        <w:t>21</w:t>
      </w:r>
      <w:r>
        <w:rPr>
          <w:rFonts w:hint="default" w:ascii="Times New Roman" w:hAnsi="Times New Roman" w:eastAsia="宋体" w:cs="Times New Roman"/>
          <w:color w:val="000000"/>
          <w:szCs w:val="21"/>
          <w:highlight w:val="none"/>
          <w:lang w:val="en-US" w:eastAsia="zh-CN"/>
        </w:rPr>
        <w:t>部分：</w:t>
      </w:r>
      <w:r>
        <w:rPr>
          <w:rFonts w:hint="default" w:ascii="Times New Roman" w:hAnsi="Times New Roman" w:cs="Times New Roman"/>
          <w:color w:val="000000"/>
          <w:szCs w:val="21"/>
          <w:highlight w:val="none"/>
          <w:lang w:val="en-US" w:eastAsia="zh-CN"/>
        </w:rPr>
        <w:t>钛</w:t>
      </w:r>
      <w:r>
        <w:rPr>
          <w:rFonts w:hint="default" w:ascii="Times New Roman" w:hAnsi="Times New Roman" w:eastAsia="宋体" w:cs="Times New Roman"/>
          <w:color w:val="000000"/>
          <w:szCs w:val="21"/>
          <w:highlight w:val="none"/>
          <w:lang w:val="en-US" w:eastAsia="zh-CN"/>
        </w:rPr>
        <w:t>含量的测定》，与GB/T 5121.</w:t>
      </w:r>
      <w:r>
        <w:rPr>
          <w:rFonts w:hint="default" w:ascii="Times New Roman" w:hAnsi="Times New Roman" w:cs="Times New Roman"/>
          <w:color w:val="000000"/>
          <w:szCs w:val="21"/>
          <w:highlight w:val="none"/>
          <w:lang w:val="en-US" w:eastAsia="zh-CN"/>
        </w:rPr>
        <w:t>21</w:t>
      </w:r>
      <w:r>
        <w:rPr>
          <w:rFonts w:hint="default" w:ascii="Times New Roman" w:hAnsi="Times New Roman" w:eastAsia="宋体" w:cs="Times New Roman"/>
          <w:color w:val="000000"/>
          <w:szCs w:val="21"/>
          <w:highlight w:val="none"/>
          <w:lang w:val="en-US" w:eastAsia="zh-CN"/>
        </w:rPr>
        <w:t>-2008相比，除了结构调整和编辑性改动外，主要变化如下：</w:t>
      </w:r>
    </w:p>
    <w:p w14:paraId="05F0CF71">
      <w:pPr>
        <w:widowControl/>
        <w:numPr>
          <w:ilvl w:val="0"/>
          <w:numId w:val="9"/>
        </w:numPr>
        <w:autoSpaceDE w:val="0"/>
        <w:autoSpaceDN w:val="0"/>
        <w:ind w:firstLine="420" w:firstLineChars="200"/>
        <w:rPr>
          <w:rFonts w:hint="default" w:ascii="Times New Roman" w:hAnsi="Times New Roman" w:eastAsia="宋体" w:cs="Times New Roman"/>
          <w:color w:val="000000"/>
          <w:szCs w:val="21"/>
          <w:highlight w:val="none"/>
          <w:lang w:val="en-US" w:eastAsia="zh-CN"/>
        </w:rPr>
      </w:pPr>
      <w:r>
        <w:rPr>
          <w:rFonts w:hint="default" w:ascii="Times New Roman" w:hAnsi="Times New Roman" w:cs="Times New Roman"/>
          <w:color w:val="000000"/>
          <w:szCs w:val="21"/>
          <w:highlight w:val="none"/>
          <w:lang w:val="en-US" w:eastAsia="zh-CN"/>
        </w:rPr>
        <w:t>修改了方法的检测范围，</w:t>
      </w:r>
      <w:r>
        <w:rPr>
          <w:rFonts w:hint="default" w:ascii="Times New Roman" w:hAnsi="Times New Roman" w:eastAsia="宋体" w:cs="Times New Roman"/>
          <w:color w:val="000000"/>
          <w:szCs w:val="21"/>
          <w:highlight w:val="none"/>
          <w:lang w:val="en-US" w:eastAsia="zh-CN"/>
        </w:rPr>
        <w:t>由</w:t>
      </w:r>
      <w:r>
        <w:rPr>
          <w:rFonts w:hint="eastAsia" w:cs="Times New Roman"/>
          <w:color w:val="000000"/>
          <w:szCs w:val="21"/>
          <w:highlight w:val="none"/>
          <w:lang w:val="en-US" w:eastAsia="zh-CN"/>
        </w:rPr>
        <w:t>“</w:t>
      </w:r>
      <w:r>
        <w:rPr>
          <w:rFonts w:hint="default" w:ascii="Times New Roman" w:hAnsi="Times New Roman" w:eastAsia="宋体" w:cs="Times New Roman"/>
          <w:highlight w:val="none"/>
          <w:lang w:val="en-US" w:eastAsia="zh-CN"/>
        </w:rPr>
        <w:t>0.050%</w:t>
      </w:r>
      <w:r>
        <w:rPr>
          <w:rFonts w:hint="default" w:ascii="Times New Roman" w:hAnsi="Times New Roman" w:eastAsia="宋体" w:cs="Times New Roman"/>
          <w:szCs w:val="21"/>
          <w:highlight w:val="none"/>
        </w:rPr>
        <w:t>～</w:t>
      </w:r>
      <w:r>
        <w:rPr>
          <w:rFonts w:hint="default" w:ascii="Times New Roman" w:hAnsi="Times New Roman" w:eastAsia="宋体" w:cs="Times New Roman"/>
          <w:szCs w:val="21"/>
          <w:highlight w:val="none"/>
          <w:lang w:val="en-US" w:eastAsia="zh-CN"/>
        </w:rPr>
        <w:t>0.3</w:t>
      </w:r>
      <w:r>
        <w:rPr>
          <w:rFonts w:hint="default" w:ascii="Times New Roman" w:hAnsi="Times New Roman" w:eastAsia="宋体" w:cs="Times New Roman"/>
          <w:szCs w:val="21"/>
          <w:highlight w:val="none"/>
        </w:rPr>
        <w:t>0%</w:t>
      </w:r>
      <w:r>
        <w:rPr>
          <w:rFonts w:hint="eastAsia" w:cs="Times New Roman"/>
          <w:szCs w:val="21"/>
          <w:highlight w:val="none"/>
          <w:lang w:eastAsia="zh-CN"/>
        </w:rPr>
        <w:t>”</w:t>
      </w:r>
      <w:r>
        <w:rPr>
          <w:rFonts w:hint="default" w:ascii="Times New Roman" w:hAnsi="Times New Roman" w:eastAsia="宋体" w:cs="Times New Roman"/>
          <w:szCs w:val="21"/>
          <w:highlight w:val="none"/>
          <w:lang w:val="en-US" w:eastAsia="zh-CN"/>
        </w:rPr>
        <w:t>修改为</w:t>
      </w:r>
      <w:r>
        <w:rPr>
          <w:rFonts w:hint="eastAsia" w:cs="Times New Roman"/>
          <w:szCs w:val="21"/>
          <w:highlight w:val="none"/>
          <w:lang w:val="en-US" w:eastAsia="zh-CN"/>
        </w:rPr>
        <w:t>“</w:t>
      </w:r>
      <w:r>
        <w:rPr>
          <w:rFonts w:hint="default" w:ascii="Times New Roman" w:hAnsi="Times New Roman" w:eastAsia="宋体" w:cs="Times New Roman"/>
          <w:highlight w:val="none"/>
          <w:lang w:val="en-US" w:eastAsia="zh-CN"/>
        </w:rPr>
        <w:t>0.0</w:t>
      </w:r>
      <w:r>
        <w:rPr>
          <w:rFonts w:hint="default" w:ascii="Times New Roman" w:hAnsi="Times New Roman" w:cs="Times New Roman"/>
          <w:highlight w:val="none"/>
          <w:lang w:val="en-US" w:eastAsia="zh-CN"/>
        </w:rPr>
        <w:t>1</w:t>
      </w:r>
      <w:r>
        <w:rPr>
          <w:rFonts w:hint="default" w:ascii="Times New Roman" w:hAnsi="Times New Roman" w:eastAsia="宋体" w:cs="Times New Roman"/>
          <w:highlight w:val="none"/>
          <w:lang w:val="en-US" w:eastAsia="zh-CN"/>
        </w:rPr>
        <w:t>0%</w:t>
      </w:r>
      <w:r>
        <w:rPr>
          <w:rFonts w:hint="default" w:ascii="Times New Roman" w:hAnsi="Times New Roman" w:eastAsia="宋体" w:cs="Times New Roman"/>
          <w:szCs w:val="21"/>
          <w:highlight w:val="none"/>
        </w:rPr>
        <w:t>～</w:t>
      </w:r>
      <w:r>
        <w:rPr>
          <w:rFonts w:hint="default" w:ascii="Times New Roman" w:hAnsi="Times New Roman" w:cs="Times New Roman"/>
          <w:szCs w:val="21"/>
          <w:highlight w:val="none"/>
          <w:lang w:val="en-US" w:eastAsia="zh-CN"/>
        </w:rPr>
        <w:t>5</w:t>
      </w:r>
      <w:r>
        <w:rPr>
          <w:rFonts w:hint="default" w:ascii="Times New Roman" w:hAnsi="Times New Roman" w:eastAsia="宋体" w:cs="Times New Roman"/>
          <w:szCs w:val="21"/>
          <w:highlight w:val="none"/>
          <w:lang w:val="en-US" w:eastAsia="zh-CN"/>
        </w:rPr>
        <w:t>.0</w:t>
      </w:r>
      <w:r>
        <w:rPr>
          <w:rFonts w:hint="default" w:ascii="Times New Roman" w:hAnsi="Times New Roman" w:eastAsia="宋体" w:cs="Times New Roman"/>
          <w:szCs w:val="21"/>
          <w:highlight w:val="none"/>
        </w:rPr>
        <w:t>0%</w:t>
      </w:r>
      <w:r>
        <w:rPr>
          <w:rFonts w:hint="eastAsia" w:cs="Times New Roman"/>
          <w:szCs w:val="21"/>
          <w:highlight w:val="none"/>
          <w:lang w:eastAsia="zh-CN"/>
        </w:rPr>
        <w:t>”</w:t>
      </w:r>
      <w:r>
        <w:rPr>
          <w:rFonts w:hint="default" w:ascii="Times New Roman" w:hAnsi="Times New Roman" w:eastAsia="宋体" w:cs="Times New Roman"/>
          <w:szCs w:val="21"/>
          <w:highlight w:val="none"/>
          <w:lang w:eastAsia="zh-CN"/>
        </w:rPr>
        <w:t>（</w:t>
      </w:r>
      <w:r>
        <w:rPr>
          <w:rFonts w:hint="default" w:ascii="Times New Roman" w:hAnsi="Times New Roman" w:eastAsia="宋体" w:cs="Times New Roman"/>
          <w:szCs w:val="21"/>
          <w:highlight w:val="none"/>
          <w:lang w:val="en-US" w:eastAsia="zh-CN"/>
        </w:rPr>
        <w:t>见第1章，2008年版的第1章</w:t>
      </w:r>
      <w:r>
        <w:rPr>
          <w:rFonts w:hint="default" w:ascii="Times New Roman" w:hAnsi="Times New Roman" w:eastAsia="宋体" w:cs="Times New Roman"/>
          <w:szCs w:val="21"/>
          <w:highlight w:val="none"/>
          <w:lang w:eastAsia="zh-CN"/>
        </w:rPr>
        <w:t>）</w:t>
      </w:r>
      <w:r>
        <w:rPr>
          <w:rFonts w:hint="default" w:ascii="Times New Roman" w:hAnsi="Times New Roman" w:cs="Times New Roman"/>
          <w:szCs w:val="21"/>
          <w:highlight w:val="none"/>
          <w:lang w:eastAsia="zh-CN"/>
        </w:rPr>
        <w:t>；</w:t>
      </w:r>
    </w:p>
    <w:p w14:paraId="6942EAFA">
      <w:pPr>
        <w:widowControl/>
        <w:numPr>
          <w:ilvl w:val="0"/>
          <w:numId w:val="9"/>
        </w:numPr>
        <w:autoSpaceDE w:val="0"/>
        <w:autoSpaceDN w:val="0"/>
        <w:ind w:firstLine="420" w:firstLineChars="200"/>
        <w:rPr>
          <w:rFonts w:hint="default" w:ascii="Times New Roman" w:hAnsi="Times New Roman" w:eastAsia="宋体" w:cs="Times New Roman"/>
          <w:color w:val="000000"/>
          <w:szCs w:val="21"/>
          <w:highlight w:val="none"/>
          <w:lang w:val="en-US" w:eastAsia="zh-CN"/>
        </w:rPr>
      </w:pPr>
      <w:r>
        <w:rPr>
          <w:rFonts w:hint="default" w:ascii="Times New Roman" w:hAnsi="Times New Roman" w:cs="Times New Roman"/>
          <w:szCs w:val="21"/>
          <w:highlight w:val="none"/>
          <w:lang w:val="en-US" w:eastAsia="zh-CN"/>
        </w:rPr>
        <w:t>增加了规范性引用文件（</w:t>
      </w:r>
      <w:r>
        <w:rPr>
          <w:rFonts w:hint="default" w:ascii="Times New Roman" w:hAnsi="Times New Roman" w:eastAsia="宋体" w:cs="Times New Roman"/>
          <w:szCs w:val="21"/>
          <w:highlight w:val="none"/>
          <w:lang w:val="en-US" w:eastAsia="zh-CN"/>
        </w:rPr>
        <w:t>见第2章</w:t>
      </w:r>
      <w:r>
        <w:rPr>
          <w:rFonts w:hint="default" w:ascii="Times New Roman" w:hAnsi="Times New Roman" w:cs="Times New Roman"/>
          <w:szCs w:val="21"/>
          <w:highlight w:val="none"/>
          <w:lang w:val="en-US" w:eastAsia="zh-CN"/>
        </w:rPr>
        <w:t>）；</w:t>
      </w:r>
    </w:p>
    <w:p w14:paraId="622E867B">
      <w:pPr>
        <w:widowControl/>
        <w:numPr>
          <w:ilvl w:val="0"/>
          <w:numId w:val="9"/>
        </w:numPr>
        <w:autoSpaceDE w:val="0"/>
        <w:autoSpaceDN w:val="0"/>
        <w:ind w:firstLine="420" w:firstLineChars="200"/>
        <w:rPr>
          <w:rFonts w:hint="default" w:ascii="Times New Roman" w:hAnsi="Times New Roman" w:eastAsia="宋体" w:cs="Times New Roman"/>
          <w:color w:val="000000"/>
          <w:szCs w:val="21"/>
          <w:highlight w:val="none"/>
          <w:lang w:val="en-US" w:eastAsia="zh-CN"/>
        </w:rPr>
      </w:pPr>
      <w:r>
        <w:rPr>
          <w:rFonts w:hint="default" w:ascii="Times New Roman" w:hAnsi="Times New Roman" w:cs="Times New Roman"/>
          <w:szCs w:val="21"/>
          <w:highlight w:val="none"/>
          <w:lang w:val="en-US" w:eastAsia="zh-CN"/>
        </w:rPr>
        <w:t>增加了</w:t>
      </w:r>
      <w:r>
        <w:rPr>
          <w:rFonts w:hint="default" w:ascii="Times New Roman" w:hAnsi="Times New Roman" w:cs="Times New Roman"/>
          <w:color w:val="auto"/>
          <w:szCs w:val="21"/>
          <w:highlight w:val="none"/>
          <w:lang w:val="en-US" w:eastAsia="zh-CN"/>
        </w:rPr>
        <w:t>术语和定义（见第3章）；</w:t>
      </w:r>
    </w:p>
    <w:p w14:paraId="158B7FB4">
      <w:pPr>
        <w:widowControl/>
        <w:numPr>
          <w:ilvl w:val="0"/>
          <w:numId w:val="9"/>
        </w:numPr>
        <w:autoSpaceDE w:val="0"/>
        <w:autoSpaceDN w:val="0"/>
        <w:ind w:firstLine="420" w:firstLineChars="200"/>
        <w:rPr>
          <w:rFonts w:hint="default" w:ascii="Times New Roman" w:hAnsi="Times New Roman" w:eastAsia="宋体" w:cs="Times New Roman"/>
          <w:color w:val="000000"/>
          <w:szCs w:val="21"/>
          <w:highlight w:val="none"/>
          <w:lang w:val="en-US" w:eastAsia="zh-CN"/>
        </w:rPr>
      </w:pPr>
      <w:r>
        <w:rPr>
          <w:rFonts w:hint="default" w:ascii="Times New Roman" w:hAnsi="Times New Roman" w:cs="Times New Roman"/>
          <w:szCs w:val="21"/>
          <w:highlight w:val="none"/>
          <w:lang w:val="en-US" w:eastAsia="zh-CN"/>
        </w:rPr>
        <w:t>试样的规定由“</w:t>
      </w:r>
      <w:r>
        <w:rPr>
          <w:rFonts w:hint="default" w:ascii="Times New Roman" w:hAnsi="Times New Roman" w:eastAsia="宋体" w:cs="Times New Roman"/>
          <w:szCs w:val="21"/>
          <w:highlight w:val="none"/>
        </w:rPr>
        <w:t>厚度不大于1mm的碎屑</w:t>
      </w:r>
      <w:r>
        <w:rPr>
          <w:rFonts w:hint="default" w:ascii="Times New Roman" w:hAnsi="Times New Roman" w:eastAsia="宋体" w:cs="Times New Roman"/>
          <w:szCs w:val="21"/>
          <w:highlight w:val="none"/>
          <w:lang w:val="en-US" w:eastAsia="zh-CN"/>
        </w:rPr>
        <w:t>”修改为“</w:t>
      </w:r>
      <w:r>
        <w:rPr>
          <w:rFonts w:hint="default" w:ascii="Times New Roman" w:hAnsi="Times New Roman" w:eastAsia="宋体" w:cs="Times New Roman"/>
          <w:szCs w:val="21"/>
          <w:highlight w:val="none"/>
          <w:lang w:eastAsia="zh-CN"/>
        </w:rPr>
        <w:t>按照</w:t>
      </w:r>
      <w:r>
        <w:rPr>
          <w:rFonts w:hint="default" w:ascii="Times New Roman" w:hAnsi="Times New Roman" w:eastAsia="宋体" w:cs="Times New Roman"/>
          <w:kern w:val="0"/>
          <w:szCs w:val="20"/>
          <w:highlight w:val="none"/>
        </w:rPr>
        <w:t>YS/T 668</w:t>
      </w:r>
      <w:r>
        <w:rPr>
          <w:rFonts w:hint="default" w:ascii="Times New Roman" w:hAnsi="Times New Roman" w:eastAsia="宋体" w:cs="Times New Roman"/>
          <w:szCs w:val="21"/>
          <w:highlight w:val="none"/>
          <w:lang w:eastAsia="zh-CN"/>
        </w:rPr>
        <w:t>将试样加工成</w:t>
      </w:r>
      <w:r>
        <w:rPr>
          <w:rFonts w:hint="default" w:ascii="Times New Roman" w:hAnsi="Times New Roman" w:eastAsia="宋体" w:cs="Times New Roman"/>
          <w:szCs w:val="21"/>
          <w:highlight w:val="none"/>
        </w:rPr>
        <w:t>厚度不大于1mm的碎屑</w:t>
      </w:r>
      <w:r>
        <w:rPr>
          <w:rFonts w:hint="default" w:ascii="Times New Roman" w:hAnsi="Times New Roman" w:eastAsia="宋体" w:cs="Times New Roman"/>
          <w:szCs w:val="21"/>
          <w:highlight w:val="none"/>
          <w:lang w:val="en-US" w:eastAsia="zh-CN"/>
        </w:rPr>
        <w:t>”（见第</w:t>
      </w:r>
      <w:r>
        <w:rPr>
          <w:rFonts w:hint="default" w:ascii="Times New Roman" w:hAnsi="Times New Roman" w:cs="Times New Roman"/>
          <w:szCs w:val="21"/>
          <w:highlight w:val="none"/>
          <w:lang w:val="en-US" w:eastAsia="zh-CN"/>
        </w:rPr>
        <w:t>7</w:t>
      </w:r>
      <w:r>
        <w:rPr>
          <w:rFonts w:hint="default" w:ascii="Times New Roman" w:hAnsi="Times New Roman" w:eastAsia="宋体" w:cs="Times New Roman"/>
          <w:szCs w:val="21"/>
          <w:highlight w:val="none"/>
          <w:lang w:val="en-US" w:eastAsia="zh-CN"/>
        </w:rPr>
        <w:t>章，2008年版的第5章）</w:t>
      </w:r>
      <w:r>
        <w:rPr>
          <w:rFonts w:hint="default" w:ascii="Times New Roman" w:hAnsi="Times New Roman" w:cs="Times New Roman"/>
          <w:szCs w:val="21"/>
          <w:highlight w:val="none"/>
          <w:lang w:val="en-US" w:eastAsia="zh-CN"/>
        </w:rPr>
        <w:t>；</w:t>
      </w:r>
    </w:p>
    <w:p w14:paraId="7BB88C5C">
      <w:pPr>
        <w:widowControl/>
        <w:numPr>
          <w:ilvl w:val="0"/>
          <w:numId w:val="9"/>
        </w:numPr>
        <w:autoSpaceDE w:val="0"/>
        <w:autoSpaceDN w:val="0"/>
        <w:ind w:firstLine="420" w:firstLineChars="200"/>
        <w:rPr>
          <w:rFonts w:hint="default" w:ascii="Times New Roman" w:hAnsi="Times New Roman" w:eastAsia="宋体" w:cs="Times New Roman"/>
          <w:color w:val="000000"/>
          <w:szCs w:val="21"/>
          <w:highlight w:val="none"/>
          <w:lang w:val="en-US" w:eastAsia="zh-CN"/>
        </w:rPr>
      </w:pPr>
      <w:r>
        <w:rPr>
          <w:rFonts w:hint="default" w:ascii="Times New Roman" w:hAnsi="Times New Roman" w:cs="Times New Roman"/>
          <w:color w:val="000000"/>
          <w:szCs w:val="21"/>
          <w:highlight w:val="none"/>
          <w:lang w:val="en-US" w:eastAsia="zh-CN"/>
        </w:rPr>
        <w:t>增加了溶样时“</w:t>
      </w:r>
      <w:r>
        <w:rPr>
          <w:rFonts w:hint="default" w:ascii="Times New Roman" w:hAnsi="Times New Roman" w:cs="Times New Roman"/>
          <w:szCs w:val="21"/>
          <w:highlight w:val="none"/>
          <w:lang w:val="en-US" w:eastAsia="zh-CN"/>
        </w:rPr>
        <w:t>当试样中硅为主成分时，需另加入2滴</w:t>
      </w:r>
      <w:r>
        <w:rPr>
          <w:rFonts w:hint="default" w:ascii="Times New Roman" w:hAnsi="Times New Roman" w:cs="Times New Roman"/>
          <w:sz w:val="21"/>
          <w:szCs w:val="21"/>
          <w:highlight w:val="none"/>
        </w:rPr>
        <w:t>～</w:t>
      </w:r>
      <w:r>
        <w:rPr>
          <w:rFonts w:hint="default" w:ascii="Times New Roman" w:hAnsi="Times New Roman" w:cs="Times New Roman"/>
          <w:szCs w:val="21"/>
          <w:highlight w:val="none"/>
          <w:lang w:val="en-US" w:eastAsia="zh-CN"/>
        </w:rPr>
        <w:t>3滴氢氟酸</w:t>
      </w:r>
      <w:r>
        <w:rPr>
          <w:rFonts w:hint="default" w:ascii="Times New Roman" w:hAnsi="Times New Roman" w:cs="Times New Roman"/>
          <w:color w:val="000000"/>
          <w:szCs w:val="21"/>
          <w:highlight w:val="none"/>
          <w:lang w:val="en-US" w:eastAsia="zh-CN"/>
        </w:rPr>
        <w:t>”的操作规定（见8.4.1）；</w:t>
      </w:r>
    </w:p>
    <w:p w14:paraId="1D16C284">
      <w:pPr>
        <w:widowControl/>
        <w:numPr>
          <w:ilvl w:val="0"/>
          <w:numId w:val="9"/>
        </w:numPr>
        <w:autoSpaceDE w:val="0"/>
        <w:autoSpaceDN w:val="0"/>
        <w:ind w:firstLine="420" w:firstLineChars="200"/>
        <w:rPr>
          <w:rFonts w:hint="default" w:ascii="Times New Roman" w:hAnsi="Times New Roman" w:eastAsia="宋体" w:cs="Times New Roman"/>
          <w:color w:val="000000"/>
          <w:szCs w:val="21"/>
          <w:highlight w:val="none"/>
          <w:lang w:val="en-US" w:eastAsia="zh-CN"/>
        </w:rPr>
      </w:pPr>
      <w:r>
        <w:rPr>
          <w:rFonts w:hint="eastAsia" w:cs="Times New Roman"/>
          <w:color w:val="000000"/>
          <w:szCs w:val="21"/>
          <w:highlight w:val="none"/>
          <w:lang w:val="en-US" w:eastAsia="zh-CN"/>
        </w:rPr>
        <w:t>修改了吸收皿的规格，规格由“3cm”修改为“5cm”（见8.4.3、8.5.2，2008年版的6.4.3、6.5.2</w:t>
      </w:r>
      <w:bookmarkStart w:id="3" w:name="_GoBack"/>
      <w:bookmarkEnd w:id="3"/>
      <w:r>
        <w:rPr>
          <w:rFonts w:hint="eastAsia" w:cs="Times New Roman"/>
          <w:color w:val="000000"/>
          <w:szCs w:val="21"/>
          <w:highlight w:val="none"/>
          <w:lang w:val="en-US" w:eastAsia="zh-CN"/>
        </w:rPr>
        <w:t>）；</w:t>
      </w:r>
    </w:p>
    <w:p w14:paraId="098584F2">
      <w:pPr>
        <w:widowControl/>
        <w:numPr>
          <w:ilvl w:val="0"/>
          <w:numId w:val="9"/>
        </w:numPr>
        <w:autoSpaceDE w:val="0"/>
        <w:autoSpaceDN w:val="0"/>
        <w:ind w:firstLine="420" w:firstLineChars="200"/>
        <w:rPr>
          <w:rFonts w:hint="default" w:ascii="Times New Roman" w:hAnsi="Times New Roman" w:eastAsia="宋体" w:cs="Times New Roman"/>
          <w:color w:val="000000"/>
          <w:szCs w:val="21"/>
          <w:highlight w:val="none"/>
          <w:lang w:val="en-US" w:eastAsia="zh-CN"/>
        </w:rPr>
      </w:pPr>
      <w:r>
        <w:rPr>
          <w:rFonts w:hint="default" w:ascii="Times New Roman" w:hAnsi="Times New Roman" w:cs="Times New Roman"/>
          <w:color w:val="000000"/>
          <w:szCs w:val="21"/>
          <w:highlight w:val="none"/>
          <w:lang w:val="en-US" w:eastAsia="zh-CN"/>
        </w:rPr>
        <w:t>增加了当钛的质量分数为&gt;0.20%～5.00%时的分取稀释及加入硫酸的操作规定（见8.4.2.2）；</w:t>
      </w:r>
    </w:p>
    <w:p w14:paraId="38B84EFC">
      <w:pPr>
        <w:widowControl/>
        <w:numPr>
          <w:ilvl w:val="0"/>
          <w:numId w:val="9"/>
        </w:numPr>
        <w:autoSpaceDE w:val="0"/>
        <w:autoSpaceDN w:val="0"/>
        <w:ind w:firstLine="420" w:firstLineChars="200"/>
        <w:rPr>
          <w:rFonts w:hint="default" w:ascii="Times New Roman" w:hAnsi="Times New Roman" w:eastAsia="宋体" w:cs="Times New Roman"/>
          <w:color w:val="000000"/>
          <w:szCs w:val="21"/>
          <w:highlight w:val="none"/>
          <w:lang w:val="en-US" w:eastAsia="zh-CN"/>
        </w:rPr>
      </w:pPr>
      <w:r>
        <w:rPr>
          <w:rFonts w:hint="default" w:ascii="Times New Roman" w:hAnsi="Times New Roman" w:eastAsia="宋体" w:cs="Times New Roman"/>
          <w:color w:val="000000"/>
          <w:szCs w:val="21"/>
          <w:highlight w:val="none"/>
          <w:lang w:val="en-US" w:eastAsia="zh-CN"/>
        </w:rPr>
        <w:t>增加了</w:t>
      </w:r>
      <w:r>
        <w:rPr>
          <w:rFonts w:hint="default" w:ascii="Times New Roman" w:hAnsi="Times New Roman" w:cs="Times New Roman"/>
          <w:color w:val="000000"/>
          <w:szCs w:val="21"/>
          <w:highlight w:val="none"/>
          <w:lang w:val="en-US" w:eastAsia="zh-CN"/>
        </w:rPr>
        <w:t>钛</w:t>
      </w:r>
      <w:r>
        <w:rPr>
          <w:rFonts w:hint="default" w:ascii="Times New Roman" w:hAnsi="Times New Roman" w:eastAsia="宋体" w:cs="Times New Roman"/>
          <w:color w:val="000000"/>
          <w:szCs w:val="21"/>
          <w:highlight w:val="none"/>
          <w:lang w:val="en-US" w:eastAsia="zh-CN"/>
        </w:rPr>
        <w:t>的质量分数为&gt;</w:t>
      </w:r>
      <w:r>
        <w:rPr>
          <w:rFonts w:hint="default" w:ascii="Times New Roman" w:hAnsi="Times New Roman" w:cs="Times New Roman"/>
          <w:color w:val="000000"/>
          <w:szCs w:val="21"/>
          <w:highlight w:val="none"/>
          <w:lang w:val="en-US" w:eastAsia="zh-CN"/>
        </w:rPr>
        <w:t>0.20%～5.00%</w:t>
      </w:r>
      <w:r>
        <w:rPr>
          <w:rFonts w:hint="default" w:ascii="Times New Roman" w:hAnsi="Times New Roman" w:eastAsia="宋体" w:cs="Times New Roman"/>
          <w:color w:val="000000"/>
          <w:szCs w:val="21"/>
          <w:highlight w:val="none"/>
          <w:lang w:val="en-US" w:eastAsia="zh-CN"/>
        </w:rPr>
        <w:t>时重复性限和再现性限的规定（见表</w:t>
      </w:r>
      <w:r>
        <w:rPr>
          <w:rFonts w:hint="default" w:ascii="Times New Roman" w:hAnsi="Times New Roman" w:cs="Times New Roman"/>
          <w:color w:val="000000"/>
          <w:szCs w:val="21"/>
          <w:highlight w:val="none"/>
          <w:lang w:val="en-US" w:eastAsia="zh-CN"/>
        </w:rPr>
        <w:t>2</w:t>
      </w:r>
      <w:r>
        <w:rPr>
          <w:rFonts w:hint="default" w:ascii="Times New Roman" w:hAnsi="Times New Roman" w:eastAsia="宋体" w:cs="Times New Roman"/>
          <w:color w:val="000000"/>
          <w:szCs w:val="21"/>
          <w:highlight w:val="none"/>
          <w:lang w:val="en-US" w:eastAsia="zh-CN"/>
        </w:rPr>
        <w:t>、表</w:t>
      </w:r>
      <w:r>
        <w:rPr>
          <w:rFonts w:hint="default" w:ascii="Times New Roman" w:hAnsi="Times New Roman" w:cs="Times New Roman"/>
          <w:color w:val="000000"/>
          <w:szCs w:val="21"/>
          <w:highlight w:val="none"/>
          <w:lang w:val="en-US" w:eastAsia="zh-CN"/>
        </w:rPr>
        <w:t>3</w:t>
      </w:r>
      <w:r>
        <w:rPr>
          <w:rFonts w:hint="default" w:ascii="Times New Roman" w:hAnsi="Times New Roman" w:eastAsia="宋体" w:cs="Times New Roman"/>
          <w:color w:val="000000"/>
          <w:szCs w:val="21"/>
          <w:highlight w:val="none"/>
          <w:lang w:val="en-US" w:eastAsia="zh-CN"/>
        </w:rPr>
        <w:t>）</w:t>
      </w:r>
      <w:r>
        <w:rPr>
          <w:rFonts w:hint="default" w:ascii="Times New Roman" w:hAnsi="Times New Roman" w:cs="Times New Roman"/>
          <w:color w:val="000000"/>
          <w:szCs w:val="21"/>
          <w:highlight w:val="none"/>
          <w:lang w:val="en-US" w:eastAsia="zh-CN"/>
        </w:rPr>
        <w:t>；</w:t>
      </w:r>
    </w:p>
    <w:p w14:paraId="6BEEE9FD">
      <w:pPr>
        <w:widowControl/>
        <w:numPr>
          <w:ilvl w:val="0"/>
          <w:numId w:val="9"/>
        </w:numPr>
        <w:autoSpaceDE w:val="0"/>
        <w:autoSpaceDN w:val="0"/>
        <w:ind w:firstLine="420" w:firstLineChars="200"/>
        <w:rPr>
          <w:rFonts w:hint="default" w:ascii="Times New Roman" w:hAnsi="Times New Roman" w:eastAsia="宋体" w:cs="Times New Roman"/>
          <w:color w:val="000000"/>
          <w:szCs w:val="21"/>
          <w:highlight w:val="none"/>
          <w:lang w:val="en-US" w:eastAsia="zh-CN"/>
        </w:rPr>
      </w:pPr>
      <w:r>
        <w:rPr>
          <w:rFonts w:hint="default" w:ascii="Times New Roman" w:hAnsi="Times New Roman" w:cs="Times New Roman"/>
          <w:color w:val="000000"/>
          <w:szCs w:val="21"/>
          <w:highlight w:val="none"/>
          <w:lang w:val="en-US" w:eastAsia="zh-CN"/>
        </w:rPr>
        <w:t>删除了“质量保证和控制”（见2008年版的第9章）；</w:t>
      </w:r>
    </w:p>
    <w:p w14:paraId="6A66A47D">
      <w:pPr>
        <w:widowControl/>
        <w:numPr>
          <w:ilvl w:val="0"/>
          <w:numId w:val="9"/>
        </w:numPr>
        <w:autoSpaceDE w:val="0"/>
        <w:autoSpaceDN w:val="0"/>
        <w:ind w:firstLine="420" w:firstLineChars="200"/>
        <w:rPr>
          <w:rFonts w:hint="default" w:ascii="Times New Roman" w:hAnsi="Times New Roman" w:cs="Times New Roman"/>
          <w:color w:val="0D0D0D" w:themeColor="text1" w:themeTint="F2"/>
          <w:szCs w:val="21"/>
          <w:highlight w:val="none"/>
          <w14:textFill>
            <w14:solidFill>
              <w14:schemeClr w14:val="tx1">
                <w14:lumMod w14:val="95000"/>
                <w14:lumOff w14:val="5000"/>
              </w14:schemeClr>
            </w14:solidFill>
          </w14:textFill>
        </w:rPr>
      </w:pPr>
      <w:r>
        <w:rPr>
          <w:rFonts w:hint="default" w:ascii="Times New Roman" w:hAnsi="Times New Roman" w:cs="Times New Roman"/>
          <w:color w:val="000000"/>
          <w:szCs w:val="21"/>
          <w:highlight w:val="none"/>
          <w:lang w:val="en-US" w:eastAsia="zh-CN"/>
        </w:rPr>
        <w:t>增加了“试验报告”（见第11章）。</w:t>
      </w:r>
    </w:p>
    <w:p w14:paraId="75D5C1D7">
      <w:pPr>
        <w:ind w:firstLine="420" w:firstLineChars="200"/>
        <w:rPr>
          <w:rFonts w:hint="default" w:ascii="Times New Roman" w:hAnsi="Times New Roman" w:cs="Times New Roman"/>
          <w:color w:val="000000"/>
          <w:szCs w:val="21"/>
          <w:highlight w:val="none"/>
        </w:rPr>
      </w:pPr>
      <w:r>
        <w:rPr>
          <w:rFonts w:hint="default" w:ascii="Times New Roman" w:hAnsi="Times New Roman" w:cs="Times New Roman"/>
          <w:color w:val="0D0D0D" w:themeColor="text1" w:themeTint="F2"/>
          <w:szCs w:val="21"/>
          <w:highlight w:val="none"/>
          <w14:textFill>
            <w14:solidFill>
              <w14:schemeClr w14:val="tx1">
                <w14:lumMod w14:val="95000"/>
                <w14:lumOff w14:val="5000"/>
              </w14:schemeClr>
            </w14:solidFill>
          </w14:textFill>
        </w:rPr>
        <w:t>请注意本文件的某些内容可能涉及专利。本文件的发布机构</w:t>
      </w:r>
      <w:r>
        <w:rPr>
          <w:rFonts w:hint="default" w:ascii="Times New Roman" w:hAnsi="Times New Roman" w:cs="Times New Roman"/>
          <w:color w:val="000000"/>
          <w:szCs w:val="21"/>
          <w:highlight w:val="none"/>
        </w:rPr>
        <w:t>不承担识别专利的责任。</w:t>
      </w:r>
    </w:p>
    <w:p w14:paraId="2C8CEBDB">
      <w:pPr>
        <w:widowControl/>
        <w:autoSpaceDE w:val="0"/>
        <w:autoSpaceDN w:val="0"/>
        <w:ind w:firstLine="420" w:firstLineChars="200"/>
        <w:rPr>
          <w:rFonts w:hint="default" w:ascii="Times New Roman" w:hAnsi="Times New Roman" w:eastAsia="宋体" w:cs="Times New Roman"/>
          <w:color w:val="000000"/>
          <w:szCs w:val="21"/>
          <w:highlight w:val="none"/>
        </w:rPr>
      </w:pPr>
      <w:r>
        <w:rPr>
          <w:rFonts w:hint="default" w:ascii="Times New Roman" w:hAnsi="Times New Roman" w:cs="Times New Roman"/>
          <w:color w:val="000000"/>
          <w:szCs w:val="21"/>
          <w:highlight w:val="none"/>
        </w:rPr>
        <w:t>本文件由中国有色金属工业协</w:t>
      </w:r>
      <w:r>
        <w:rPr>
          <w:rFonts w:hint="default" w:ascii="Times New Roman" w:hAnsi="Times New Roman" w:eastAsia="宋体" w:cs="Times New Roman"/>
          <w:color w:val="000000"/>
          <w:szCs w:val="21"/>
          <w:highlight w:val="none"/>
        </w:rPr>
        <w:t>会提出。</w:t>
      </w:r>
    </w:p>
    <w:p w14:paraId="3A27A3A2">
      <w:pPr>
        <w:widowControl/>
        <w:autoSpaceDE w:val="0"/>
        <w:autoSpaceDN w:val="0"/>
        <w:ind w:firstLine="420" w:firstLineChars="200"/>
        <w:rPr>
          <w:rFonts w:hint="default" w:ascii="Times New Roman" w:hAnsi="Times New Roman" w:cs="Times New Roman"/>
          <w:color w:val="000000"/>
          <w:szCs w:val="21"/>
          <w:highlight w:val="none"/>
        </w:rPr>
      </w:pPr>
      <w:r>
        <w:rPr>
          <w:rFonts w:hint="default" w:ascii="Times New Roman" w:hAnsi="Times New Roman" w:eastAsia="宋体" w:cs="Times New Roman"/>
          <w:color w:val="000000"/>
          <w:szCs w:val="21"/>
          <w:highlight w:val="none"/>
        </w:rPr>
        <w:t>本文件由全国有色金属标准化技术委员会（SAC/TC 243）归口</w:t>
      </w:r>
      <w:r>
        <w:rPr>
          <w:rFonts w:hint="default" w:ascii="Times New Roman" w:hAnsi="Times New Roman" w:cs="Times New Roman"/>
          <w:color w:val="000000"/>
          <w:szCs w:val="21"/>
          <w:highlight w:val="none"/>
        </w:rPr>
        <w:t>。</w:t>
      </w:r>
    </w:p>
    <w:p w14:paraId="232B98FC">
      <w:pPr>
        <w:widowControl/>
        <w:autoSpaceDE w:val="0"/>
        <w:autoSpaceDN w:val="0"/>
        <w:ind w:firstLine="420" w:firstLineChars="200"/>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本</w:t>
      </w:r>
      <w:r>
        <w:rPr>
          <w:rFonts w:hint="default" w:ascii="Times New Roman" w:hAnsi="Times New Roman" w:cs="Times New Roman"/>
          <w:color w:val="000000"/>
          <w:szCs w:val="21"/>
          <w:highlight w:val="none"/>
          <w:lang w:eastAsia="zh-CN"/>
        </w:rPr>
        <w:t>部分</w:t>
      </w:r>
      <w:r>
        <w:rPr>
          <w:rFonts w:hint="default" w:ascii="Times New Roman" w:hAnsi="Times New Roman" w:cs="Times New Roman"/>
          <w:color w:val="000000"/>
          <w:szCs w:val="21"/>
          <w:highlight w:val="none"/>
        </w:rPr>
        <w:t>文件起草单位：中铝洛阳铜加工有限公司</w:t>
      </w:r>
      <w:r>
        <w:rPr>
          <w:rFonts w:hint="default" w:ascii="Times New Roman" w:hAnsi="Times New Roman" w:cs="Times New Roman"/>
          <w:color w:val="000000"/>
          <w:szCs w:val="21"/>
          <w:highlight w:val="none"/>
          <w:lang w:eastAsia="zh-CN"/>
        </w:rPr>
        <w:t>、</w:t>
      </w:r>
      <w:r>
        <w:rPr>
          <w:rFonts w:hint="eastAsia" w:cs="Times New Roman"/>
          <w:color w:val="000000"/>
          <w:szCs w:val="21"/>
          <w:highlight w:val="none"/>
          <w:lang w:val="en-US" w:eastAsia="zh-CN"/>
        </w:rPr>
        <w:t>XXXXXXXXXX</w:t>
      </w:r>
      <w:r>
        <w:rPr>
          <w:rFonts w:hint="default" w:ascii="Times New Roman" w:hAnsi="Times New Roman" w:cs="Times New Roman"/>
          <w:color w:val="000000"/>
          <w:szCs w:val="21"/>
          <w:highlight w:val="none"/>
        </w:rPr>
        <w:t>。</w:t>
      </w:r>
    </w:p>
    <w:p w14:paraId="71DE0126">
      <w:pPr>
        <w:ind w:firstLine="420" w:firstLineChars="200"/>
        <w:rPr>
          <w:rFonts w:hint="eastAsia" w:eastAsia="宋体"/>
          <w:color w:val="000000"/>
          <w:szCs w:val="21"/>
          <w:lang w:eastAsia="zh-CN"/>
        </w:rPr>
      </w:pPr>
      <w:r>
        <w:rPr>
          <w:color w:val="000000"/>
          <w:szCs w:val="21"/>
        </w:rPr>
        <w:t>本</w:t>
      </w:r>
      <w:r>
        <w:rPr>
          <w:rFonts w:hint="eastAsia"/>
          <w:color w:val="000000"/>
          <w:szCs w:val="21"/>
          <w:lang w:eastAsia="zh-CN"/>
        </w:rPr>
        <w:t>部分</w:t>
      </w:r>
      <w:r>
        <w:rPr>
          <w:rFonts w:hint="eastAsia"/>
          <w:color w:val="000000"/>
          <w:szCs w:val="21"/>
        </w:rPr>
        <w:t>文件</w:t>
      </w:r>
      <w:r>
        <w:rPr>
          <w:color w:val="000000"/>
          <w:szCs w:val="21"/>
        </w:rPr>
        <w:t>主要起草人：</w:t>
      </w:r>
      <w:r>
        <w:rPr>
          <w:rFonts w:hint="eastAsia"/>
          <w:color w:val="000000"/>
          <w:szCs w:val="21"/>
          <w:lang w:val="en-US" w:eastAsia="zh-CN"/>
        </w:rPr>
        <w:t xml:space="preserve"> </w:t>
      </w:r>
    </w:p>
    <w:p w14:paraId="1E936DBA">
      <w:pPr>
        <w:spacing w:line="276" w:lineRule="auto"/>
        <w:ind w:firstLine="420" w:firstLineChars="200"/>
        <w:rPr>
          <w:szCs w:val="21"/>
        </w:rPr>
      </w:pPr>
      <w:r>
        <w:rPr>
          <w:szCs w:val="21"/>
        </w:rPr>
        <w:t>本</w:t>
      </w:r>
      <w:r>
        <w:rPr>
          <w:rFonts w:hint="eastAsia"/>
          <w:szCs w:val="21"/>
        </w:rPr>
        <w:t>文件</w:t>
      </w:r>
      <w:r>
        <w:rPr>
          <w:szCs w:val="21"/>
        </w:rPr>
        <w:t>所代替</w:t>
      </w:r>
      <w:r>
        <w:rPr>
          <w:rFonts w:hint="eastAsia"/>
          <w:szCs w:val="21"/>
        </w:rPr>
        <w:t>文件</w:t>
      </w:r>
      <w:r>
        <w:rPr>
          <w:szCs w:val="21"/>
        </w:rPr>
        <w:t>的历次版本发布情况为：</w:t>
      </w:r>
    </w:p>
    <w:p w14:paraId="7E1116C4">
      <w:pPr>
        <w:widowControl/>
        <w:autoSpaceDE w:val="0"/>
        <w:autoSpaceDN w:val="0"/>
        <w:ind w:firstLine="420" w:firstLineChars="200"/>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rPr>
        <w:t>——</w:t>
      </w:r>
      <w:r>
        <w:rPr>
          <w:rFonts w:hint="default" w:ascii="Times New Roman" w:hAnsi="Times New Roman" w:eastAsia="宋体" w:cs="Times New Roman"/>
          <w:color w:val="auto"/>
          <w:szCs w:val="21"/>
          <w:lang w:val="en-US" w:eastAsia="zh-CN"/>
        </w:rPr>
        <w:t>1996年首次发布为GB/T 5121.21；</w:t>
      </w:r>
    </w:p>
    <w:p w14:paraId="5AA1E033">
      <w:pPr>
        <w:widowControl/>
        <w:autoSpaceDE w:val="0"/>
        <w:autoSpaceDN w:val="0"/>
        <w:ind w:firstLine="420" w:firstLineChars="200"/>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rPr>
        <w:t>——</w:t>
      </w:r>
      <w:r>
        <w:rPr>
          <w:rFonts w:hint="default" w:ascii="Times New Roman" w:hAnsi="Times New Roman" w:eastAsia="宋体" w:cs="Times New Roman"/>
          <w:color w:val="auto"/>
          <w:szCs w:val="21"/>
          <w:lang w:val="en-US" w:eastAsia="zh-CN"/>
        </w:rPr>
        <w:t>2008年为第一次修订；</w:t>
      </w:r>
    </w:p>
    <w:p w14:paraId="37874E5D">
      <w:pPr>
        <w:widowControl/>
        <w:autoSpaceDE w:val="0"/>
        <w:autoSpaceDN w:val="0"/>
        <w:ind w:firstLine="420" w:firstLineChars="200"/>
        <w:rPr>
          <w:rFonts w:hint="default" w:ascii="Times New Roman" w:hAnsi="Times New Roman" w:eastAsia="宋体" w:cs="Times New Roman"/>
          <w:color w:val="auto"/>
          <w:vertAlign w:val="baseline"/>
          <w:lang w:eastAsia="zh-CN"/>
        </w:rPr>
      </w:pPr>
      <w:r>
        <w:rPr>
          <w:rFonts w:hint="default" w:ascii="Times New Roman" w:hAnsi="Times New Roman" w:eastAsia="宋体" w:cs="Times New Roman"/>
          <w:color w:val="auto"/>
          <w:szCs w:val="21"/>
        </w:rPr>
        <w:t>——</w:t>
      </w:r>
      <w:r>
        <w:rPr>
          <w:rFonts w:hint="default" w:ascii="Times New Roman" w:hAnsi="Times New Roman" w:eastAsia="宋体" w:cs="Times New Roman"/>
          <w:color w:val="auto"/>
          <w:szCs w:val="21"/>
          <w:lang w:val="en-US" w:eastAsia="zh-CN"/>
        </w:rPr>
        <w:t>本次为第二次修订。</w:t>
      </w:r>
    </w:p>
    <w:p w14:paraId="2D283DF8">
      <w:pPr>
        <w:ind w:firstLine="420" w:firstLineChars="200"/>
        <w:rPr>
          <w:color w:val="000000"/>
          <w:szCs w:val="21"/>
        </w:rPr>
      </w:pPr>
    </w:p>
    <w:p w14:paraId="78719B56">
      <w:pPr>
        <w:pStyle w:val="58"/>
        <w:ind w:firstLine="420"/>
        <w:rPr>
          <w:rFonts w:hint="eastAsia" w:ascii="宋体" w:hAnsi="宋体"/>
          <w:color w:val="FF0000"/>
          <w:szCs w:val="21"/>
          <w:highlight w:val="yellow"/>
        </w:rPr>
      </w:pPr>
      <w:r>
        <w:rPr>
          <w:color w:val="000000"/>
          <w:szCs w:val="21"/>
        </w:rPr>
        <w:br w:type="page"/>
      </w:r>
      <w:r>
        <w:rPr>
          <w:rFonts w:hint="eastAsia" w:hAnsi="黑体"/>
          <w:color w:val="000000"/>
          <w:kern w:val="2"/>
          <w:szCs w:val="32"/>
          <w:lang w:val="en-US" w:eastAsia="zh-CN"/>
        </w:rPr>
        <w:t>引</w:t>
      </w:r>
      <w:r>
        <w:rPr>
          <w:rFonts w:hAnsi="黑体"/>
          <w:color w:val="000000"/>
          <w:kern w:val="2"/>
          <w:szCs w:val="32"/>
        </w:rPr>
        <w:t xml:space="preserve">    言</w:t>
      </w:r>
    </w:p>
    <w:p w14:paraId="0C9AC11E">
      <w:pPr>
        <w:ind w:firstLine="420"/>
        <w:rPr>
          <w:rFonts w:hint="eastAsia" w:ascii="宋体" w:hAnsi="宋体"/>
          <w:color w:val="auto"/>
          <w:szCs w:val="21"/>
          <w:highlight w:val="none"/>
        </w:rPr>
      </w:pPr>
      <w:r>
        <w:rPr>
          <w:rFonts w:hint="eastAsia" w:ascii="宋体" w:hAnsi="宋体"/>
          <w:color w:val="auto"/>
          <w:szCs w:val="21"/>
          <w:highlight w:val="none"/>
        </w:rPr>
        <w:t>铜及铜合金以其优良的导电、导热和耐腐蚀性能，以及良好的力学性能和加工成型性，广泛应用于</w:t>
      </w:r>
    </w:p>
    <w:p w14:paraId="02E83F40">
      <w:pPr>
        <w:ind w:firstLine="0"/>
        <w:rPr>
          <w:rFonts w:hint="default" w:ascii="Times New Roman" w:hAnsi="Times New Roman" w:cs="Times New Roman"/>
          <w:color w:val="auto"/>
          <w:szCs w:val="21"/>
          <w:highlight w:val="none"/>
        </w:rPr>
      </w:pPr>
      <w:r>
        <w:rPr>
          <w:rFonts w:hint="eastAsia" w:ascii="宋体" w:hAnsi="宋体"/>
          <w:color w:val="auto"/>
          <w:szCs w:val="21"/>
          <w:highlight w:val="none"/>
        </w:rPr>
        <w:t>电力、电子、交通、舰船、机械、石油化工等领域。为了满足行业对铜及铜合金研发、生产和检测的需求</w:t>
      </w:r>
      <w:r>
        <w:rPr>
          <w:rFonts w:hint="default" w:ascii="Times New Roman" w:hAnsi="Times New Roman" w:cs="Times New Roman"/>
          <w:color w:val="auto"/>
          <w:szCs w:val="21"/>
          <w:highlight w:val="none"/>
        </w:rPr>
        <w:t>，十分有必要制订一系列分析方法标准，以在行业内形成统一的测试评价方法，增加检测结果的可靠性和可比性。GB/T</w:t>
      </w:r>
      <w:r>
        <w:rPr>
          <w:rFonts w:hint="default" w:ascii="Times New Roman" w:hAnsi="Times New Roman" w:cs="Times New Roman"/>
          <w:color w:val="auto"/>
          <w:szCs w:val="21"/>
          <w:highlight w:val="none"/>
          <w:lang w:val="en-US" w:eastAsia="zh-CN"/>
        </w:rPr>
        <w:t xml:space="preserve"> </w:t>
      </w:r>
      <w:r>
        <w:rPr>
          <w:rFonts w:hint="default" w:ascii="Times New Roman" w:hAnsi="Times New Roman" w:cs="Times New Roman"/>
          <w:color w:val="auto"/>
          <w:szCs w:val="21"/>
          <w:highlight w:val="none"/>
        </w:rPr>
        <w:t>5121旨在通过实验研究建立一整套切实可行的铜及铜合金化学分析方法标准，由二十九部分组成。</w:t>
      </w:r>
    </w:p>
    <w:p w14:paraId="7B6FC82D">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——第1部分：铜含量的测定；</w:t>
      </w:r>
    </w:p>
    <w:p w14:paraId="0A8CCAC3">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——第2部分：磷含量的测定；</w:t>
      </w:r>
    </w:p>
    <w:p w14:paraId="5F904FD2">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——第3部分：铅含量的测定；</w:t>
      </w:r>
    </w:p>
    <w:p w14:paraId="6D1CEACD">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——第4部分：碳、硫量的测定；</w:t>
      </w:r>
    </w:p>
    <w:p w14:paraId="323AD63B">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——第5部分：镍含量的测定；</w:t>
      </w:r>
    </w:p>
    <w:p w14:paraId="3CCB5305">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——第6部分：铋含量的测定；</w:t>
      </w:r>
    </w:p>
    <w:p w14:paraId="3D87A2F0">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——第7部分：砷含量的测定；</w:t>
      </w:r>
    </w:p>
    <w:p w14:paraId="5A39AFCC">
      <w:pPr>
        <w:spacing w:line="312" w:lineRule="auto"/>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——第8部分：氧</w:t>
      </w:r>
      <w:r>
        <w:rPr>
          <w:rFonts w:hint="default" w:ascii="Times New Roman" w:hAnsi="Times New Roman" w:cs="Times New Roman"/>
          <w:color w:val="0D0D0D" w:themeColor="text1" w:themeTint="F2"/>
          <w:szCs w:val="21"/>
          <w:lang w:eastAsia="zh-CN"/>
          <w14:textFill>
            <w14:solidFill>
              <w14:schemeClr w14:val="tx1">
                <w14:lumMod w14:val="95000"/>
                <w14:lumOff w14:val="5000"/>
              </w14:schemeClr>
            </w14:solidFill>
          </w14:textFill>
        </w:rPr>
        <w:t>、</w:t>
      </w:r>
      <w:r>
        <w:rPr>
          <w:rFonts w:hint="default" w:ascii="Times New Roman" w:hAnsi="Times New Roman" w:cs="Times New Roman"/>
          <w:color w:val="0D0D0D" w:themeColor="text1" w:themeTint="F2"/>
          <w:szCs w:val="21"/>
          <w:lang w:val="en-US" w:eastAsia="zh-CN"/>
          <w14:textFill>
            <w14:solidFill>
              <w14:schemeClr w14:val="tx1">
                <w14:lumMod w14:val="95000"/>
                <w14:lumOff w14:val="5000"/>
              </w14:schemeClr>
            </w14:solidFill>
          </w14:textFill>
        </w:rPr>
        <w:t>氮、氢</w:t>
      </w: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含量的测定；</w:t>
      </w:r>
    </w:p>
    <w:p w14:paraId="126EDA38">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——第9部分：铁含量的测定；</w:t>
      </w:r>
    </w:p>
    <w:p w14:paraId="483A91B1">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——第10部分：锡含量的测定；</w:t>
      </w:r>
    </w:p>
    <w:p w14:paraId="71373348">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——第11部分：锌含量的测定；</w:t>
      </w:r>
    </w:p>
    <w:p w14:paraId="5925B826">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——第12部分：锑含量的测定；</w:t>
      </w:r>
    </w:p>
    <w:p w14:paraId="474BFE98">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——第13部分：铝含量的测定；</w:t>
      </w:r>
    </w:p>
    <w:p w14:paraId="16CD3C9D">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——第14部分：锰含量的测定；</w:t>
      </w:r>
    </w:p>
    <w:p w14:paraId="3959F8C5">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——第15部分：钴含量的测定；</w:t>
      </w:r>
    </w:p>
    <w:p w14:paraId="4D6E8905">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——第16部分：铬含量的测定；</w:t>
      </w:r>
    </w:p>
    <w:p w14:paraId="0E1100D1">
      <w:pPr>
        <w:widowControl/>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——第17部分：铍含量的测定；</w:t>
      </w:r>
    </w:p>
    <w:p w14:paraId="5BE9C10A">
      <w:pPr>
        <w:widowControl/>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w:t>
      </w:r>
      <w:r>
        <w:rPr>
          <w:rFonts w:hint="default" w:ascii="Times New Roman" w:hAnsi="Times New Roman" w:cs="Times New Roman"/>
          <w:color w:val="0D0D0D" w:themeColor="text1" w:themeTint="F2"/>
          <w:szCs w:val="21"/>
          <w:lang w:val="en-US" w:eastAsia="zh-CN"/>
          <w14:textFill>
            <w14:solidFill>
              <w14:schemeClr w14:val="tx1">
                <w14:lumMod w14:val="95000"/>
                <w14:lumOff w14:val="5000"/>
              </w14:schemeClr>
            </w14:solidFill>
          </w14:textFill>
        </w:rPr>
        <w:t>18</w:t>
      </w: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部分：</w:t>
      </w:r>
      <w:r>
        <w:rPr>
          <w:rFonts w:hint="default" w:ascii="Times New Roman" w:hAnsi="Times New Roman" w:cs="Times New Roman"/>
          <w:color w:val="0D0D0D" w:themeColor="text1" w:themeTint="F2"/>
          <w:szCs w:val="21"/>
          <w:lang w:val="en-US" w:eastAsia="zh-CN"/>
          <w14:textFill>
            <w14:solidFill>
              <w14:schemeClr w14:val="tx1">
                <w14:lumMod w14:val="95000"/>
                <w14:lumOff w14:val="5000"/>
              </w14:schemeClr>
            </w14:solidFill>
          </w14:textFill>
        </w:rPr>
        <w:t>镁</w:t>
      </w: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含量的测定；</w:t>
      </w:r>
    </w:p>
    <w:p w14:paraId="12C38E6A">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——第19部分：银含量的测定；</w:t>
      </w:r>
    </w:p>
    <w:p w14:paraId="45256A0E">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——第20部分：锆含量的测定；</w:t>
      </w:r>
    </w:p>
    <w:p w14:paraId="3FB7660E">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——第21部分：</w:t>
      </w:r>
      <w:r>
        <w:rPr>
          <w:rFonts w:hint="default" w:ascii="Times New Roman" w:hAnsi="Times New Roman" w:cs="Times New Roman"/>
          <w:color w:val="0D0D0D" w:themeColor="text1" w:themeTint="F2"/>
          <w:szCs w:val="21"/>
          <w:lang w:eastAsia="zh-CN"/>
          <w14:textFill>
            <w14:solidFill>
              <w14:schemeClr w14:val="tx1">
                <w14:lumMod w14:val="95000"/>
                <w14:lumOff w14:val="5000"/>
              </w14:schemeClr>
            </w14:solidFill>
          </w14:textFill>
        </w:rPr>
        <w:t>钛</w:t>
      </w: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含量的测定；</w:t>
      </w:r>
    </w:p>
    <w:p w14:paraId="275CE1EC">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——第22部分：镉含量的测定；</w:t>
      </w:r>
    </w:p>
    <w:p w14:paraId="37F14A8B">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——第23部分：硅含量的测定；</w:t>
      </w:r>
    </w:p>
    <w:p w14:paraId="1BF53C07">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——第24部分：硒、碲含量的测定；</w:t>
      </w:r>
    </w:p>
    <w:p w14:paraId="3A00E1B6">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——第25部分：硼含量的测定；</w:t>
      </w:r>
    </w:p>
    <w:p w14:paraId="476FDB9E">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——第26部分：汞含量的测定；</w:t>
      </w:r>
    </w:p>
    <w:p w14:paraId="4035B9D6">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——第27部分：电感耦合等离子体原子发射光谱法；</w:t>
      </w:r>
    </w:p>
    <w:p w14:paraId="0A8F2E16">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——第28部分：铬、铁、锰、钴、镍、锌、砷、硒、银、镉、锡、锑、碲、铅、铋量的测定 电感耦合等离子体质谱法；</w:t>
      </w:r>
    </w:p>
    <w:p w14:paraId="167D6781">
      <w:pPr>
        <w:ind w:firstLine="420" w:firstLineChars="200"/>
        <w:rPr>
          <w:rFonts w:hint="default" w:ascii="Times New Roman" w:hAnsi="Times New Roman" w:cs="Times New Roman"/>
          <w:color w:val="0D0D0D" w:themeColor="text1" w:themeTint="F2"/>
          <w:szCs w:val="21"/>
          <w:lang w:eastAsia="zh-CN"/>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——第29部分：三氧化二铝含量的测定</w:t>
      </w:r>
      <w:r>
        <w:rPr>
          <w:rFonts w:hint="default" w:ascii="Times New Roman" w:hAnsi="Times New Roman" w:cs="Times New Roman"/>
          <w:color w:val="0D0D0D" w:themeColor="text1" w:themeTint="F2"/>
          <w:szCs w:val="21"/>
          <w:lang w:eastAsia="zh-CN"/>
          <w14:textFill>
            <w14:solidFill>
              <w14:schemeClr w14:val="tx1">
                <w14:lumMod w14:val="95000"/>
                <w14:lumOff w14:val="5000"/>
              </w14:schemeClr>
            </w14:solidFill>
          </w14:textFill>
        </w:rPr>
        <w:t>。</w:t>
      </w:r>
    </w:p>
    <w:p w14:paraId="4E066A9F">
      <w:pPr>
        <w:ind w:firstLine="420" w:firstLineChars="200"/>
        <w:rPr>
          <w:rFonts w:hint="eastAsia"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color w:val="0D0D0D" w:themeColor="text1" w:themeTint="F2"/>
          <w:szCs w:val="21"/>
          <w14:textFill>
            <w14:solidFill>
              <w14:schemeClr w14:val="tx1">
                <w14:lumMod w14:val="95000"/>
                <w14:lumOff w14:val="5000"/>
              </w14:schemeClr>
            </w14:solidFill>
          </w14:textFill>
        </w:rPr>
        <w:t>本</w:t>
      </w:r>
      <w:r>
        <w:rPr>
          <w:rFonts w:hint="eastAsia" w:ascii="宋体" w:hAnsi="宋体" w:cs="宋体"/>
          <w:color w:val="0D0D0D" w:themeColor="text1" w:themeTint="F2"/>
          <w:szCs w:val="21"/>
          <w:lang w:eastAsia="zh-CN"/>
          <w14:textFill>
            <w14:solidFill>
              <w14:schemeClr w14:val="tx1">
                <w14:lumMod w14:val="95000"/>
                <w14:lumOff w14:val="5000"/>
              </w14:schemeClr>
            </w14:solidFill>
          </w14:textFill>
        </w:rPr>
        <w:t>次修订</w:t>
      </w:r>
      <w:r>
        <w:rPr>
          <w:rFonts w:hint="eastAsia" w:ascii="宋体" w:hAnsi="宋体" w:cs="宋体"/>
          <w:color w:val="0D0D0D" w:themeColor="text1" w:themeTint="F2"/>
          <w:szCs w:val="21"/>
          <w14:textFill>
            <w14:solidFill>
              <w14:schemeClr w14:val="tx1">
                <w14:lumMod w14:val="95000"/>
                <w14:lumOff w14:val="5000"/>
              </w14:schemeClr>
            </w14:solidFill>
          </w14:textFill>
        </w:rPr>
        <w:t>充分考虑了目前铜及铜合金生产、研发、应用和检测的实际技术水平，</w:t>
      </w:r>
      <w:r>
        <w:rPr>
          <w:rFonts w:hint="eastAsia" w:ascii="宋体" w:hAnsi="宋体" w:cs="宋体"/>
          <w:color w:val="0D0D0D" w:themeColor="text1" w:themeTint="F2"/>
          <w:szCs w:val="21"/>
          <w:lang w:eastAsia="zh-CN"/>
          <w14:textFill>
            <w14:solidFill>
              <w14:schemeClr w14:val="tx1">
                <w14:lumMod w14:val="95000"/>
                <w14:lumOff w14:val="5000"/>
              </w14:schemeClr>
            </w14:solidFill>
          </w14:textFill>
        </w:rPr>
        <w:t>在原基础上向上扩展了方法的测定范围，使其在铜及铜合金的检测中具有更广泛的适用性。本文件的修订提高了铜及铜合金检测标准与产品标准适配性，进一步增强了检测方法的操作规范性，推进了铜及铜合金化学分析标准体系的健全完善</w:t>
      </w:r>
      <w:r>
        <w:rPr>
          <w:rFonts w:hint="eastAsia" w:ascii="宋体" w:hAnsi="宋体" w:cs="宋体"/>
          <w:color w:val="0D0D0D" w:themeColor="text1" w:themeTint="F2"/>
          <w:szCs w:val="21"/>
          <w14:textFill>
            <w14:solidFill>
              <w14:schemeClr w14:val="tx1">
                <w14:lumMod w14:val="95000"/>
                <w14:lumOff w14:val="5000"/>
              </w14:schemeClr>
            </w14:solidFill>
          </w14:textFill>
        </w:rPr>
        <w:t>。</w:t>
      </w:r>
    </w:p>
    <w:p w14:paraId="71F9EF74">
      <w:pPr>
        <w:ind w:firstLine="420" w:firstLineChars="200"/>
        <w:rPr>
          <w:rFonts w:hint="eastAsia" w:ascii="宋体" w:hAnsi="宋体" w:cs="宋体"/>
          <w:color w:val="0D0D0D" w:themeColor="text1" w:themeTint="F2"/>
          <w:szCs w:val="21"/>
          <w:highlight w:val="yellow"/>
          <w14:textFill>
            <w14:solidFill>
              <w14:schemeClr w14:val="tx1">
                <w14:lumMod w14:val="95000"/>
                <w14:lumOff w14:val="5000"/>
              </w14:schemeClr>
            </w14:solidFill>
          </w14:textFill>
        </w:rPr>
        <w:sectPr>
          <w:headerReference r:id="rId10" w:type="first"/>
          <w:footerReference r:id="rId13" w:type="first"/>
          <w:headerReference r:id="rId8" w:type="default"/>
          <w:footerReference r:id="rId11" w:type="default"/>
          <w:headerReference r:id="rId9" w:type="even"/>
          <w:footerReference r:id="rId12" w:type="even"/>
          <w:pgSz w:w="11906" w:h="16838"/>
          <w:pgMar w:top="567" w:right="851" w:bottom="851" w:left="1418" w:header="851" w:footer="680" w:gutter="0"/>
          <w:pgNumType w:fmt="upperRoman" w:start="1"/>
          <w:cols w:space="720" w:num="1"/>
          <w:titlePg/>
          <w:docGrid w:type="linesAndChars" w:linePitch="312" w:charSpace="0"/>
        </w:sectPr>
      </w:pPr>
    </w:p>
    <w:p w14:paraId="3F6A50F3">
      <w:pPr>
        <w:adjustRightInd w:val="0"/>
        <w:snapToGrid w:val="0"/>
        <w:jc w:val="center"/>
        <w:rPr>
          <w:rFonts w:ascii="黑体" w:hAnsi="黑体" w:eastAsia="黑体"/>
          <w:color w:val="000000"/>
          <w:sz w:val="32"/>
          <w:szCs w:val="32"/>
        </w:rPr>
      </w:pPr>
      <w:bookmarkStart w:id="2" w:name="_Toc231057302"/>
      <w:r>
        <w:rPr>
          <w:rFonts w:hint="eastAsia" w:ascii="黑体" w:hAnsi="黑体" w:eastAsia="黑体"/>
          <w:color w:val="000000"/>
          <w:sz w:val="32"/>
          <w:szCs w:val="32"/>
        </w:rPr>
        <w:t>铜</w:t>
      </w:r>
      <w:r>
        <w:rPr>
          <w:rFonts w:ascii="黑体" w:hAnsi="黑体" w:eastAsia="黑体"/>
          <w:color w:val="000000"/>
          <w:sz w:val="32"/>
          <w:szCs w:val="32"/>
        </w:rPr>
        <w:t>及</w:t>
      </w:r>
      <w:r>
        <w:rPr>
          <w:rFonts w:hint="eastAsia" w:ascii="黑体" w:hAnsi="黑体" w:eastAsia="黑体"/>
          <w:color w:val="000000"/>
          <w:sz w:val="32"/>
          <w:szCs w:val="32"/>
        </w:rPr>
        <w:t>铜合金</w:t>
      </w:r>
      <w:r>
        <w:rPr>
          <w:rFonts w:ascii="黑体" w:hAnsi="黑体" w:eastAsia="黑体"/>
          <w:color w:val="000000"/>
          <w:sz w:val="32"/>
          <w:szCs w:val="32"/>
        </w:rPr>
        <w:t>化学分析方法</w:t>
      </w:r>
    </w:p>
    <w:p w14:paraId="01B4FEEC">
      <w:pPr>
        <w:adjustRightInd w:val="0"/>
        <w:snapToGrid w:val="0"/>
        <w:jc w:val="center"/>
        <w:rPr>
          <w:rFonts w:ascii="黑体" w:hAnsi="黑体" w:eastAsia="黑体"/>
          <w:color w:val="000000"/>
          <w:sz w:val="32"/>
          <w:szCs w:val="32"/>
        </w:rPr>
      </w:pPr>
      <w:r>
        <w:rPr>
          <w:rFonts w:ascii="黑体" w:hAnsi="黑体" w:eastAsia="黑体"/>
          <w:color w:val="000000"/>
          <w:sz w:val="32"/>
          <w:szCs w:val="32"/>
        </w:rPr>
        <w:t>第</w:t>
      </w:r>
      <w:r>
        <w:rPr>
          <w:rFonts w:hint="eastAsia" w:ascii="黑体" w:hAnsi="黑体" w:eastAsia="黑体"/>
          <w:color w:val="000000"/>
          <w:sz w:val="32"/>
          <w:szCs w:val="32"/>
          <w:lang w:val="en-US" w:eastAsia="zh-CN"/>
        </w:rPr>
        <w:t>21</w:t>
      </w:r>
      <w:r>
        <w:rPr>
          <w:rFonts w:ascii="黑体" w:hAnsi="黑体" w:eastAsia="黑体"/>
          <w:color w:val="000000"/>
          <w:sz w:val="32"/>
          <w:szCs w:val="32"/>
        </w:rPr>
        <w:t>部分：</w:t>
      </w:r>
      <w:r>
        <w:rPr>
          <w:rFonts w:hint="eastAsia" w:ascii="黑体" w:hAnsi="黑体" w:eastAsia="黑体"/>
          <w:color w:val="000000"/>
          <w:sz w:val="32"/>
          <w:szCs w:val="32"/>
          <w:lang w:eastAsia="zh-CN"/>
        </w:rPr>
        <w:t>钛</w:t>
      </w:r>
      <w:r>
        <w:rPr>
          <w:rFonts w:hint="eastAsia" w:ascii="黑体" w:hAnsi="黑体" w:eastAsia="黑体"/>
          <w:color w:val="000000"/>
          <w:sz w:val="32"/>
          <w:szCs w:val="32"/>
        </w:rPr>
        <w:t>含量</w:t>
      </w:r>
      <w:r>
        <w:rPr>
          <w:rFonts w:ascii="黑体" w:hAnsi="黑体" w:eastAsia="黑体"/>
          <w:color w:val="000000"/>
          <w:sz w:val="32"/>
          <w:szCs w:val="32"/>
        </w:rPr>
        <w:t>的测定</w:t>
      </w:r>
    </w:p>
    <w:bookmarkEnd w:id="2"/>
    <w:p w14:paraId="71411880">
      <w:pPr>
        <w:widowControl/>
        <w:numPr>
          <w:ilvl w:val="1"/>
          <w:numId w:val="0"/>
        </w:numPr>
        <w:spacing w:before="486" w:beforeLines="150" w:after="486" w:afterLines="150"/>
        <w:outlineLvl w:val="1"/>
        <w:rPr>
          <w:rFonts w:eastAsia="黑体"/>
          <w:kern w:val="0"/>
          <w:szCs w:val="20"/>
        </w:rPr>
      </w:pPr>
      <w:r>
        <w:rPr>
          <w:rFonts w:hint="eastAsia" w:ascii="黑体" w:hAnsi="宋体" w:eastAsia="黑体"/>
          <w:kern w:val="0"/>
          <w:szCs w:val="20"/>
        </w:rPr>
        <w:t>1  范围</w:t>
      </w:r>
    </w:p>
    <w:p w14:paraId="258F2C88">
      <w:pPr>
        <w:pStyle w:val="68"/>
        <w:ind w:firstLine="420"/>
        <w:rPr>
          <w:rFonts w:hint="default" w:ascii="Times New Roman" w:hAnsi="Times New Roman" w:cs="Times New Roman"/>
          <w:highlight w:val="none"/>
        </w:rPr>
      </w:pPr>
      <w:r>
        <w:rPr>
          <w:rFonts w:hint="eastAsia"/>
        </w:rPr>
        <w:t>本</w:t>
      </w:r>
      <w:r>
        <w:rPr>
          <w:rFonts w:hint="eastAsia"/>
          <w:lang w:eastAsia="zh-CN"/>
        </w:rPr>
        <w:t>文件</w:t>
      </w:r>
      <w:r>
        <w:rPr>
          <w:rFonts w:hint="eastAsia"/>
        </w:rPr>
        <w:t>规定了</w:t>
      </w:r>
      <w:r>
        <w:rPr>
          <w:rFonts w:hint="default" w:ascii="Times New Roman" w:hAnsi="Times New Roman" w:cs="Times New Roman"/>
          <w:bCs/>
          <w:highlight w:val="none"/>
          <w:lang w:eastAsia="zh-CN"/>
        </w:rPr>
        <w:t>铜及铜合金中钛含量</w:t>
      </w:r>
      <w:r>
        <w:rPr>
          <w:rFonts w:hint="default" w:ascii="Times New Roman" w:hAnsi="Times New Roman" w:cs="Times New Roman"/>
          <w:bCs/>
          <w:highlight w:val="none"/>
        </w:rPr>
        <w:t>的分析方法</w:t>
      </w:r>
      <w:r>
        <w:rPr>
          <w:rFonts w:hint="default" w:ascii="Times New Roman" w:hAnsi="Times New Roman" w:cs="Times New Roman"/>
          <w:highlight w:val="none"/>
        </w:rPr>
        <w:t>。</w:t>
      </w:r>
    </w:p>
    <w:p w14:paraId="5505030B">
      <w:pPr>
        <w:pStyle w:val="68"/>
        <w:ind w:firstLine="420"/>
        <w:rPr>
          <w:rFonts w:hint="default" w:ascii="Times New Roman" w:hAnsi="Times New Roman" w:eastAsia="宋体" w:cs="Times New Roman"/>
          <w:highlight w:val="none"/>
          <w:lang w:val="en-US" w:eastAsia="zh-CN"/>
        </w:rPr>
      </w:pPr>
      <w:r>
        <w:rPr>
          <w:rFonts w:hint="default" w:ascii="Times New Roman" w:hAnsi="Times New Roman" w:cs="Times New Roman"/>
          <w:highlight w:val="none"/>
        </w:rPr>
        <w:t>本标准适用于铜及铜合金中</w:t>
      </w:r>
      <w:r>
        <w:rPr>
          <w:rFonts w:hint="default" w:ascii="Times New Roman" w:hAnsi="Times New Roman" w:cs="Times New Roman"/>
          <w:bCs/>
          <w:highlight w:val="none"/>
          <w:lang w:eastAsia="zh-CN"/>
        </w:rPr>
        <w:t>钛</w:t>
      </w:r>
      <w:r>
        <w:rPr>
          <w:rFonts w:hint="default" w:ascii="Times New Roman" w:hAnsi="Times New Roman" w:cs="Times New Roman"/>
          <w:highlight w:val="none"/>
        </w:rPr>
        <w:t>含量的测定。</w:t>
      </w:r>
      <w:r>
        <w:rPr>
          <w:rFonts w:hint="default" w:ascii="Times New Roman" w:hAnsi="Times New Roman" w:cs="Times New Roman"/>
          <w:highlight w:val="none"/>
          <w:lang w:eastAsia="zh-CN"/>
        </w:rPr>
        <w:t>测定范围</w:t>
      </w:r>
      <w:r>
        <w:rPr>
          <w:rFonts w:hint="default" w:ascii="Times New Roman" w:hAnsi="Times New Roman" w:cs="Times New Roman"/>
          <w:highlight w:val="none"/>
          <w:lang w:val="en-US" w:eastAsia="zh-CN"/>
        </w:rPr>
        <w:t>0.010%</w:t>
      </w:r>
      <w:r>
        <w:rPr>
          <w:rFonts w:hint="default" w:ascii="Times New Roman" w:hAnsi="Times New Roman" w:cs="Times New Roman"/>
          <w:szCs w:val="21"/>
          <w:highlight w:val="none"/>
        </w:rPr>
        <w:t>～</w:t>
      </w:r>
      <w:r>
        <w:rPr>
          <w:rFonts w:hint="default" w:ascii="Times New Roman" w:hAnsi="Times New Roman" w:cs="Times New Roman"/>
          <w:szCs w:val="21"/>
          <w:highlight w:val="none"/>
          <w:lang w:val="en-US" w:eastAsia="zh-CN"/>
        </w:rPr>
        <w:t>5.0</w:t>
      </w:r>
      <w:r>
        <w:rPr>
          <w:rFonts w:hint="default" w:ascii="Times New Roman" w:hAnsi="Times New Roman" w:cs="Times New Roman"/>
          <w:szCs w:val="21"/>
          <w:highlight w:val="none"/>
        </w:rPr>
        <w:t>0%。</w:t>
      </w:r>
    </w:p>
    <w:p w14:paraId="4B046E93">
      <w:pPr>
        <w:widowControl/>
        <w:numPr>
          <w:ilvl w:val="1"/>
          <w:numId w:val="0"/>
        </w:numPr>
        <w:spacing w:before="486" w:beforeLines="150" w:after="486" w:afterLines="150"/>
        <w:outlineLvl w:val="1"/>
        <w:rPr>
          <w:rFonts w:ascii="黑体" w:hAnsi="宋体" w:eastAsia="黑体"/>
          <w:kern w:val="0"/>
          <w:szCs w:val="20"/>
        </w:rPr>
      </w:pPr>
      <w:r>
        <w:rPr>
          <w:rFonts w:hint="eastAsia" w:ascii="黑体" w:hAnsi="宋体" w:eastAsia="黑体"/>
          <w:kern w:val="0"/>
          <w:szCs w:val="20"/>
        </w:rPr>
        <w:t>2  规范性引用文件</w:t>
      </w:r>
    </w:p>
    <w:p w14:paraId="5C07DEFB">
      <w:pPr>
        <w:widowControl/>
        <w:numPr>
          <w:ilvl w:val="1"/>
          <w:numId w:val="0"/>
        </w:numPr>
        <w:spacing w:before="156" w:after="156"/>
        <w:ind w:firstLine="420" w:firstLineChars="200"/>
        <w:outlineLvl w:val="1"/>
        <w:rPr>
          <w:rFonts w:hint="default" w:ascii="Times New Roman" w:hAnsi="Times New Roman" w:cs="Times New Roman"/>
          <w:kern w:val="0"/>
          <w:szCs w:val="20"/>
        </w:rPr>
      </w:pPr>
      <w:r>
        <w:rPr>
          <w:rFonts w:hint="eastAsia" w:ascii="宋体" w:hAnsi="宋体"/>
          <w:kern w:val="0"/>
          <w:szCs w:val="20"/>
        </w:rPr>
        <w:t>下</w:t>
      </w:r>
      <w:r>
        <w:rPr>
          <w:rFonts w:hint="eastAsia"/>
          <w:kern w:val="0"/>
          <w:szCs w:val="20"/>
        </w:rPr>
        <w:t>列文件中的内容通过文中的规范性引用而构成本文件必不可少的条款。其中，注日期的引用文件，仅该日期</w:t>
      </w:r>
      <w:r>
        <w:rPr>
          <w:rFonts w:hint="default" w:ascii="Times New Roman" w:hAnsi="Times New Roman" w:cs="Times New Roman"/>
          <w:kern w:val="0"/>
          <w:szCs w:val="20"/>
        </w:rPr>
        <w:t>对应的版本适用于本文件；不注日期的引用文件，其最新版本（包括所有的修改单）适用于本文件。</w:t>
      </w:r>
    </w:p>
    <w:p w14:paraId="291CE7C9">
      <w:pPr>
        <w:widowControl/>
        <w:numPr>
          <w:ilvl w:val="1"/>
          <w:numId w:val="0"/>
        </w:numPr>
        <w:spacing w:before="156" w:after="156"/>
        <w:ind w:firstLine="420" w:firstLineChars="200"/>
        <w:outlineLvl w:val="1"/>
        <w:rPr>
          <w:rFonts w:hint="default" w:ascii="Times New Roman" w:hAnsi="Times New Roman" w:eastAsia="宋体" w:cs="Times New Roman"/>
          <w:kern w:val="0"/>
          <w:szCs w:val="20"/>
        </w:rPr>
      </w:pPr>
      <w:r>
        <w:rPr>
          <w:rFonts w:hint="default" w:ascii="Times New Roman" w:hAnsi="Times New Roman" w:eastAsia="宋体" w:cs="Times New Roman"/>
          <w:kern w:val="0"/>
          <w:szCs w:val="20"/>
        </w:rPr>
        <w:t>YS/T 668 铜及铜合金理化检测取样方法</w:t>
      </w:r>
    </w:p>
    <w:p w14:paraId="02236CC7">
      <w:pPr>
        <w:widowControl/>
        <w:numPr>
          <w:ilvl w:val="1"/>
          <w:numId w:val="0"/>
        </w:numPr>
        <w:spacing w:before="313" w:beforeLines="100" w:after="313" w:afterLines="100"/>
        <w:ind w:firstLine="0" w:firstLineChars="0"/>
        <w:outlineLvl w:val="1"/>
        <w:rPr>
          <w:rFonts w:hint="eastAsia" w:ascii="黑体" w:hAnsi="宋体" w:eastAsia="黑体"/>
          <w:kern w:val="0"/>
          <w:szCs w:val="20"/>
          <w:lang w:val="en-US" w:eastAsia="zh-CN"/>
        </w:rPr>
      </w:pPr>
      <w:r>
        <w:rPr>
          <w:rFonts w:hint="eastAsia" w:ascii="黑体" w:hAnsi="宋体" w:eastAsia="黑体"/>
          <w:kern w:val="0"/>
          <w:szCs w:val="20"/>
          <w:lang w:val="en-US" w:eastAsia="zh-CN"/>
        </w:rPr>
        <w:t>3</w:t>
      </w:r>
      <w:r>
        <w:rPr>
          <w:rFonts w:hint="eastAsia" w:ascii="黑体" w:hAnsi="宋体" w:eastAsia="黑体"/>
          <w:kern w:val="0"/>
          <w:szCs w:val="20"/>
        </w:rPr>
        <w:t xml:space="preserve">  </w:t>
      </w:r>
      <w:r>
        <w:rPr>
          <w:rFonts w:hint="eastAsia" w:ascii="黑体" w:hAnsi="宋体" w:eastAsia="黑体"/>
          <w:kern w:val="0"/>
          <w:szCs w:val="20"/>
          <w:lang w:val="en-US" w:eastAsia="zh-CN"/>
        </w:rPr>
        <w:t>术语和定义</w:t>
      </w:r>
    </w:p>
    <w:p w14:paraId="237ABF81">
      <w:pPr>
        <w:widowControl/>
        <w:numPr>
          <w:ilvl w:val="1"/>
          <w:numId w:val="0"/>
        </w:numPr>
        <w:spacing w:before="156" w:after="156"/>
        <w:ind w:firstLine="0" w:firstLineChars="0"/>
        <w:outlineLvl w:val="1"/>
        <w:rPr>
          <w:rFonts w:hint="eastAsia" w:ascii="宋体" w:hAnsi="宋体" w:eastAsia="宋体" w:cs="宋体"/>
          <w:kern w:val="0"/>
          <w:szCs w:val="20"/>
        </w:rPr>
      </w:pPr>
      <w:r>
        <w:rPr>
          <w:rFonts w:hint="eastAsia" w:ascii="黑体" w:hAnsi="宋体" w:eastAsia="黑体"/>
          <w:kern w:val="0"/>
          <w:szCs w:val="20"/>
          <w:lang w:val="en-US" w:eastAsia="zh-CN"/>
        </w:rPr>
        <w:t xml:space="preserve">   </w:t>
      </w:r>
      <w:r>
        <w:rPr>
          <w:rFonts w:hint="eastAsia" w:ascii="宋体" w:hAnsi="宋体" w:cs="宋体"/>
          <w:kern w:val="0"/>
          <w:szCs w:val="20"/>
        </w:rPr>
        <w:t>本文件没有需要界定的术语和定义。</w:t>
      </w:r>
    </w:p>
    <w:p w14:paraId="47629608">
      <w:pPr>
        <w:widowControl/>
        <w:numPr>
          <w:ilvl w:val="1"/>
          <w:numId w:val="0"/>
        </w:numPr>
        <w:spacing w:before="486" w:beforeLines="150" w:after="486" w:afterLines="150"/>
        <w:outlineLvl w:val="1"/>
        <w:rPr>
          <w:rFonts w:ascii="黑体" w:hAnsi="宋体" w:eastAsia="黑体"/>
          <w:kern w:val="0"/>
          <w:szCs w:val="20"/>
        </w:rPr>
      </w:pPr>
      <w:r>
        <w:rPr>
          <w:rFonts w:hint="eastAsia" w:ascii="黑体" w:hAnsi="宋体" w:eastAsia="黑体"/>
          <w:kern w:val="0"/>
          <w:szCs w:val="20"/>
          <w:lang w:val="en-US" w:eastAsia="zh-CN"/>
        </w:rPr>
        <w:t>4</w:t>
      </w:r>
      <w:r>
        <w:rPr>
          <w:rFonts w:hint="eastAsia" w:ascii="黑体" w:hAnsi="宋体" w:eastAsia="黑体"/>
          <w:kern w:val="0"/>
          <w:szCs w:val="20"/>
        </w:rPr>
        <w:t xml:space="preserve">  </w:t>
      </w:r>
      <w:r>
        <w:rPr>
          <w:rFonts w:hint="eastAsia" w:ascii="黑体" w:hAnsi="宋体" w:eastAsia="黑体"/>
          <w:kern w:val="0"/>
          <w:szCs w:val="20"/>
          <w:lang w:val="en-US" w:eastAsia="zh-CN"/>
        </w:rPr>
        <w:t xml:space="preserve"> </w:t>
      </w:r>
      <w:r>
        <w:rPr>
          <w:rFonts w:hint="eastAsia" w:ascii="黑体" w:hAnsi="宋体" w:eastAsia="黑体"/>
          <w:kern w:val="0"/>
          <w:szCs w:val="20"/>
        </w:rPr>
        <w:t>原理</w:t>
      </w:r>
    </w:p>
    <w:p w14:paraId="4D8F057F">
      <w:pPr>
        <w:widowControl/>
        <w:numPr>
          <w:ilvl w:val="1"/>
          <w:numId w:val="0"/>
        </w:numPr>
        <w:spacing w:before="486" w:beforeLines="150" w:after="486" w:afterLines="150"/>
        <w:ind w:firstLine="420" w:firstLineChars="200"/>
        <w:outlineLvl w:val="1"/>
        <w:rPr>
          <w:rFonts w:hint="default" w:ascii="Times New Roman" w:hAnsi="Times New Roman" w:eastAsia="宋体" w:cs="Times New Roman"/>
          <w:szCs w:val="21"/>
        </w:rPr>
      </w:pPr>
      <w:r>
        <w:rPr>
          <w:rFonts w:hint="default" w:ascii="Times New Roman" w:hAnsi="Times New Roman" w:eastAsia="宋体" w:cs="Times New Roman"/>
          <w:szCs w:val="21"/>
        </w:rPr>
        <w:t>试料用硝酸溶解，于硫酸性溶液中，加入过氧化氢使其与钛生成黄色络合物，于分光光度计波长410nm处测量吸光度。</w:t>
      </w:r>
    </w:p>
    <w:p w14:paraId="1E7DEA30">
      <w:pPr>
        <w:widowControl/>
        <w:numPr>
          <w:ilvl w:val="1"/>
          <w:numId w:val="0"/>
        </w:numPr>
        <w:spacing w:before="486" w:beforeLines="150" w:after="486" w:afterLines="150"/>
        <w:outlineLvl w:val="1"/>
        <w:rPr>
          <w:rFonts w:hint="eastAsia" w:ascii="黑体" w:hAnsi="宋体" w:eastAsia="黑体"/>
          <w:kern w:val="0"/>
          <w:szCs w:val="20"/>
        </w:rPr>
      </w:pPr>
      <w:r>
        <w:rPr>
          <w:rFonts w:hint="eastAsia" w:ascii="黑体" w:hAnsi="宋体" w:eastAsia="黑体"/>
          <w:kern w:val="0"/>
          <w:szCs w:val="20"/>
          <w:lang w:val="en-US" w:eastAsia="zh-CN"/>
        </w:rPr>
        <w:t>5</w:t>
      </w:r>
      <w:r>
        <w:rPr>
          <w:rFonts w:hint="eastAsia" w:ascii="黑体" w:hAnsi="宋体" w:eastAsia="黑体"/>
          <w:kern w:val="0"/>
          <w:szCs w:val="20"/>
        </w:rPr>
        <w:t xml:space="preserve">  试剂或材料</w:t>
      </w:r>
    </w:p>
    <w:p w14:paraId="20FF6ECB">
      <w:pPr>
        <w:keepNext w:val="0"/>
        <w:keepLines w:val="0"/>
        <w:pageBreakBefore w:val="0"/>
        <w:widowControl/>
        <w:numPr>
          <w:ilvl w:val="1"/>
          <w:numId w:val="0"/>
        </w:numPr>
        <w:kinsoku/>
        <w:wordWrap/>
        <w:overflowPunct/>
        <w:topLinePunct w:val="0"/>
        <w:autoSpaceDE/>
        <w:autoSpaceDN/>
        <w:bidi w:val="0"/>
        <w:adjustRightInd/>
        <w:snapToGrid/>
        <w:spacing w:before="163" w:beforeLines="50" w:after="163" w:afterLines="50"/>
        <w:ind w:firstLine="420" w:firstLineChars="200"/>
        <w:textAlignment w:val="auto"/>
        <w:outlineLvl w:val="1"/>
        <w:rPr>
          <w:rFonts w:hint="eastAsia" w:ascii="黑体" w:hAnsi="宋体" w:eastAsia="黑体"/>
          <w:kern w:val="0"/>
          <w:szCs w:val="20"/>
        </w:rPr>
      </w:pPr>
      <w:r>
        <w:rPr>
          <w:rFonts w:hint="eastAsia" w:ascii="宋体" w:hAnsi="宋体" w:eastAsia="宋体" w:cs="宋体"/>
          <w:kern w:val="0"/>
          <w:szCs w:val="20"/>
        </w:rPr>
        <w:t>除非另有说明，在分析中仅使用确认为分析纯的试剂和蒸馏水或去离子水或相当纯度的水</w:t>
      </w:r>
      <w:r>
        <w:rPr>
          <w:rFonts w:hint="eastAsia" w:ascii="黑体" w:hAnsi="宋体" w:eastAsia="黑体"/>
          <w:kern w:val="0"/>
          <w:szCs w:val="20"/>
        </w:rPr>
        <w:t>。</w:t>
      </w:r>
    </w:p>
    <w:p w14:paraId="6A483E77">
      <w:pPr>
        <w:pStyle w:val="90"/>
        <w:numPr>
          <w:ilvl w:val="1"/>
          <w:numId w:val="0"/>
        </w:numPr>
        <w:spacing w:before="162" w:beforeLines="50" w:after="162" w:afterLines="50"/>
        <w:jc w:val="left"/>
        <w:rPr>
          <w:rFonts w:hint="eastAsia" w:ascii="宋体" w:hAnsi="宋体" w:eastAsia="宋体" w:cs="宋体"/>
          <w:kern w:val="2"/>
          <w:szCs w:val="24"/>
          <w:lang w:eastAsia="zh-CN"/>
        </w:rPr>
      </w:pPr>
      <w:r>
        <w:rPr>
          <w:rFonts w:hint="eastAsia" w:hAnsi="黑体" w:cs="黑体"/>
          <w:kern w:val="2"/>
          <w:szCs w:val="24"/>
          <w:lang w:val="en-US" w:eastAsia="zh-CN"/>
        </w:rPr>
        <w:t xml:space="preserve">5.1  </w:t>
      </w:r>
      <w:r>
        <w:rPr>
          <w:rFonts w:hint="eastAsia" w:ascii="宋体" w:hAnsi="宋体" w:eastAsia="宋体" w:cs="宋体"/>
          <w:kern w:val="2"/>
          <w:sz w:val="21"/>
          <w:szCs w:val="24"/>
          <w:lang w:val="en-US" w:eastAsia="zh-CN" w:bidi="ar-SA"/>
        </w:rPr>
        <w:t>硫酸铵</w:t>
      </w:r>
      <w:r>
        <w:rPr>
          <w:rFonts w:hint="eastAsia" w:ascii="宋体" w:hAnsi="宋体" w:eastAsia="宋体" w:cs="宋体"/>
          <w:kern w:val="2"/>
          <w:szCs w:val="24"/>
          <w:lang w:eastAsia="zh-CN"/>
        </w:rPr>
        <w:t>。</w:t>
      </w:r>
    </w:p>
    <w:p w14:paraId="417CDA3B">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宋体" w:hAnsi="宋体" w:eastAsia="宋体" w:cs="宋体"/>
          <w:kern w:val="2"/>
          <w:szCs w:val="24"/>
          <w:lang w:eastAsia="zh-CN"/>
        </w:rPr>
      </w:pPr>
      <w:r>
        <w:rPr>
          <w:rFonts w:hint="eastAsia" w:ascii="黑体" w:hAnsi="黑体" w:eastAsia="黑体" w:cs="黑体"/>
          <w:kern w:val="2"/>
          <w:sz w:val="21"/>
          <w:szCs w:val="24"/>
          <w:lang w:val="en-US" w:eastAsia="zh-CN" w:bidi="ar-SA"/>
        </w:rPr>
        <w:t>5.2</w:t>
      </w:r>
      <w:r>
        <w:rPr>
          <w:rFonts w:hint="eastAsia" w:ascii="宋体" w:hAnsi="宋体" w:cs="宋体"/>
          <w:kern w:val="2"/>
          <w:szCs w:val="24"/>
          <w:lang w:val="en-US" w:eastAsia="zh-CN"/>
        </w:rPr>
        <w:t xml:space="preserve">  硫酸</w:t>
      </w:r>
      <w:r>
        <w:rPr>
          <w:rFonts w:hint="default" w:ascii="Times New Roman" w:hAnsi="Times New Roman" w:eastAsia="宋体" w:cs="Times New Roman"/>
          <w:kern w:val="2"/>
          <w:szCs w:val="24"/>
          <w:lang w:eastAsia="zh-CN"/>
        </w:rPr>
        <w:t>（</w:t>
      </w:r>
      <w:r>
        <w:rPr>
          <w:rFonts w:hint="default" w:ascii="Times New Roman" w:hAnsi="Times New Roman" w:eastAsia="宋体" w:cs="Times New Roman"/>
          <w:i/>
          <w:iCs/>
          <w:kern w:val="2"/>
          <w:szCs w:val="24"/>
          <w:lang w:eastAsia="zh-CN"/>
        </w:rPr>
        <w:t>ρ</w:t>
      </w:r>
      <w:r>
        <w:rPr>
          <w:rFonts w:hint="default" w:ascii="Times New Roman" w:hAnsi="Times New Roman" w:eastAsia="宋体" w:cs="Times New Roman"/>
          <w:kern w:val="2"/>
          <w:szCs w:val="24"/>
          <w:lang w:eastAsia="zh-CN"/>
        </w:rPr>
        <w:t>1.84g/mL）。</w:t>
      </w:r>
    </w:p>
    <w:p w14:paraId="5E2571EC">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default" w:ascii="宋体" w:hAnsi="宋体" w:eastAsia="宋体" w:cs="宋体"/>
          <w:kern w:val="2"/>
          <w:szCs w:val="24"/>
          <w:lang w:val="en-US" w:eastAsia="zh-CN"/>
        </w:rPr>
      </w:pPr>
      <w:r>
        <w:rPr>
          <w:rFonts w:hint="eastAsia" w:ascii="黑体" w:hAnsi="黑体" w:eastAsia="黑体" w:cs="黑体"/>
          <w:kern w:val="2"/>
          <w:sz w:val="21"/>
          <w:szCs w:val="24"/>
          <w:lang w:val="en-US" w:eastAsia="zh-CN" w:bidi="ar-SA"/>
        </w:rPr>
        <w:t>5.3</w:t>
      </w:r>
      <w:r>
        <w:rPr>
          <w:rFonts w:hint="eastAsia" w:ascii="宋体" w:hAnsi="宋体" w:cs="宋体"/>
          <w:kern w:val="2"/>
          <w:szCs w:val="24"/>
          <w:lang w:val="en-US" w:eastAsia="zh-CN"/>
        </w:rPr>
        <w:t xml:space="preserve">  氢氟</w:t>
      </w:r>
      <w:r>
        <w:rPr>
          <w:rFonts w:hint="default" w:ascii="Times New Roman" w:hAnsi="Times New Roman" w:cs="Times New Roman"/>
          <w:kern w:val="2"/>
          <w:szCs w:val="24"/>
          <w:lang w:val="en-US" w:eastAsia="zh-CN"/>
        </w:rPr>
        <w:t>酸</w:t>
      </w:r>
      <w:r>
        <w:rPr>
          <w:rFonts w:hint="default" w:ascii="Times New Roman" w:hAnsi="Times New Roman" w:eastAsia="宋体" w:cs="Times New Roman"/>
          <w:kern w:val="2"/>
          <w:szCs w:val="24"/>
          <w:lang w:eastAsia="zh-CN"/>
        </w:rPr>
        <w:t>（</w:t>
      </w:r>
      <w:r>
        <w:rPr>
          <w:rFonts w:hint="default" w:ascii="Times New Roman" w:hAnsi="Times New Roman" w:eastAsia="宋体" w:cs="Times New Roman"/>
          <w:i/>
          <w:iCs/>
          <w:kern w:val="2"/>
          <w:szCs w:val="24"/>
          <w:lang w:eastAsia="zh-CN"/>
        </w:rPr>
        <w:t>ρ</w:t>
      </w:r>
      <w:r>
        <w:rPr>
          <w:rFonts w:hint="default" w:ascii="Times New Roman" w:hAnsi="Times New Roman" w:eastAsia="宋体" w:cs="Times New Roman"/>
          <w:kern w:val="2"/>
          <w:szCs w:val="24"/>
          <w:lang w:eastAsia="zh-CN"/>
        </w:rPr>
        <w:t>1.</w:t>
      </w:r>
      <w:r>
        <w:rPr>
          <w:rFonts w:hint="default" w:ascii="Times New Roman" w:hAnsi="Times New Roman" w:cs="Times New Roman"/>
          <w:kern w:val="2"/>
          <w:szCs w:val="24"/>
          <w:lang w:val="en-US" w:eastAsia="zh-CN"/>
        </w:rPr>
        <w:t>13</w:t>
      </w:r>
      <w:r>
        <w:rPr>
          <w:rFonts w:hint="default" w:ascii="Times New Roman" w:hAnsi="Times New Roman" w:eastAsia="宋体" w:cs="Times New Roman"/>
          <w:kern w:val="2"/>
          <w:szCs w:val="24"/>
          <w:lang w:eastAsia="zh-CN"/>
        </w:rPr>
        <w:t>g/mL）。</w:t>
      </w:r>
    </w:p>
    <w:p w14:paraId="59F2158A">
      <w:pPr>
        <w:pStyle w:val="90"/>
        <w:numPr>
          <w:ilvl w:val="1"/>
          <w:numId w:val="0"/>
        </w:numPr>
        <w:spacing w:before="162" w:beforeLines="50" w:after="162" w:afterLines="50"/>
        <w:jc w:val="left"/>
        <w:rPr>
          <w:rFonts w:hint="eastAsia" w:ascii="Times New Roman" w:eastAsia="宋体"/>
          <w:kern w:val="2"/>
          <w:szCs w:val="24"/>
          <w:lang w:val="en-US" w:eastAsia="zh-CN"/>
        </w:rPr>
      </w:pPr>
      <w:r>
        <w:rPr>
          <w:rFonts w:hint="eastAsia" w:hAnsi="黑体" w:cs="黑体"/>
          <w:kern w:val="2"/>
          <w:szCs w:val="24"/>
          <w:lang w:val="en-US" w:eastAsia="zh-CN"/>
        </w:rPr>
        <w:t>5</w:t>
      </w:r>
      <w:r>
        <w:rPr>
          <w:rFonts w:hint="eastAsia" w:ascii="黑体" w:hAnsi="黑体" w:eastAsia="黑体" w:cs="黑体"/>
          <w:kern w:val="2"/>
          <w:szCs w:val="24"/>
        </w:rPr>
        <w:t>.</w:t>
      </w:r>
      <w:r>
        <w:rPr>
          <w:rFonts w:hint="eastAsia" w:hAnsi="黑体" w:cs="黑体"/>
          <w:kern w:val="2"/>
          <w:szCs w:val="24"/>
          <w:lang w:val="en-US" w:eastAsia="zh-CN"/>
        </w:rPr>
        <w:t>4</w:t>
      </w:r>
      <w:r>
        <w:rPr>
          <w:rFonts w:hint="eastAsia" w:ascii="黑体" w:hAnsi="黑体" w:eastAsia="黑体" w:cs="黑体"/>
          <w:kern w:val="2"/>
          <w:szCs w:val="24"/>
          <w:lang w:val="en-US" w:eastAsia="zh-CN"/>
        </w:rPr>
        <w:t xml:space="preserve"> </w:t>
      </w:r>
      <w:r>
        <w:rPr>
          <w:rFonts w:hint="eastAsia" w:ascii="Times New Roman" w:eastAsia="宋体"/>
          <w:kern w:val="2"/>
          <w:szCs w:val="24"/>
          <w:lang w:val="en-US" w:eastAsia="zh-CN"/>
        </w:rPr>
        <w:t xml:space="preserve"> 硝酸</w:t>
      </w:r>
      <w:r>
        <w:rPr>
          <w:rFonts w:hint="default" w:ascii="Times New Roman" w:hAnsi="Times New Roman" w:eastAsia="宋体" w:cs="Times New Roman"/>
          <w:kern w:val="2"/>
          <w:szCs w:val="24"/>
          <w:lang w:val="en-US" w:eastAsia="zh-CN"/>
        </w:rPr>
        <w:t>（1＋1）。</w:t>
      </w:r>
    </w:p>
    <w:p w14:paraId="3E9877E8">
      <w:pPr>
        <w:rPr>
          <w:rFonts w:hint="default"/>
          <w:kern w:val="2"/>
          <w:szCs w:val="24"/>
          <w:lang w:val="en-US" w:eastAsia="zh-CN"/>
        </w:rPr>
      </w:pPr>
      <w:r>
        <w:rPr>
          <w:rFonts w:hint="eastAsia" w:ascii="黑体" w:hAnsi="黑体" w:eastAsia="黑体" w:cs="黑体"/>
          <w:kern w:val="2"/>
          <w:szCs w:val="24"/>
          <w:lang w:val="en-US" w:eastAsia="zh-CN"/>
        </w:rPr>
        <w:t>5.5</w:t>
      </w:r>
      <w:r>
        <w:rPr>
          <w:rFonts w:hint="eastAsia"/>
          <w:kern w:val="2"/>
          <w:szCs w:val="24"/>
          <w:lang w:val="en-US" w:eastAsia="zh-CN"/>
        </w:rPr>
        <w:t xml:space="preserve">  硫</w:t>
      </w:r>
      <w:r>
        <w:rPr>
          <w:rFonts w:hint="eastAsia" w:ascii="Times New Roman" w:eastAsia="宋体"/>
          <w:kern w:val="2"/>
          <w:szCs w:val="24"/>
          <w:lang w:val="en-US" w:eastAsia="zh-CN"/>
        </w:rPr>
        <w:t>酸</w:t>
      </w:r>
      <w:r>
        <w:rPr>
          <w:rFonts w:hint="default" w:ascii="Times New Roman" w:hAnsi="Times New Roman" w:eastAsia="宋体" w:cs="Times New Roman"/>
          <w:kern w:val="2"/>
          <w:szCs w:val="24"/>
          <w:lang w:val="en-US" w:eastAsia="zh-CN"/>
        </w:rPr>
        <w:t>（1＋1）。</w:t>
      </w:r>
    </w:p>
    <w:p w14:paraId="0E75FA39">
      <w:pPr>
        <w:pStyle w:val="90"/>
        <w:keepNext w:val="0"/>
        <w:keepLines w:val="0"/>
        <w:pageBreakBefore w:val="0"/>
        <w:numPr>
          <w:ilvl w:val="1"/>
          <w:numId w:val="0"/>
        </w:numPr>
        <w:kinsoku/>
        <w:wordWrap/>
        <w:overflowPunct/>
        <w:topLinePunct w:val="0"/>
        <w:autoSpaceDE/>
        <w:autoSpaceDN/>
        <w:bidi w:val="0"/>
        <w:adjustRightInd/>
        <w:snapToGrid/>
        <w:spacing w:before="162" w:beforeLines="50" w:after="162" w:afterLines="50" w:line="240" w:lineRule="auto"/>
        <w:jc w:val="left"/>
        <w:textAlignment w:val="auto"/>
        <w:rPr>
          <w:rFonts w:ascii="Times New Roman" w:eastAsia="宋体"/>
          <w:kern w:val="2"/>
          <w:szCs w:val="24"/>
        </w:rPr>
      </w:pPr>
      <w:r>
        <w:rPr>
          <w:rFonts w:hint="eastAsia"/>
          <w:kern w:val="2"/>
          <w:szCs w:val="24"/>
          <w:lang w:val="en-US" w:eastAsia="zh-CN"/>
        </w:rPr>
        <w:t xml:space="preserve">5.6  </w:t>
      </w:r>
      <w:r>
        <w:rPr>
          <w:rFonts w:hint="eastAsia" w:ascii="Times New Roman" w:eastAsia="宋体"/>
          <w:kern w:val="2"/>
          <w:szCs w:val="24"/>
        </w:rPr>
        <w:t>过氧化</w:t>
      </w:r>
      <w:r>
        <w:rPr>
          <w:rFonts w:hint="default" w:ascii="Times New Roman" w:hAnsi="Times New Roman" w:eastAsia="宋体" w:cs="Times New Roman"/>
          <w:kern w:val="2"/>
          <w:szCs w:val="24"/>
        </w:rPr>
        <w:t>氢（1＋9）。</w:t>
      </w:r>
    </w:p>
    <w:p w14:paraId="2D74214E">
      <w:pPr>
        <w:pStyle w:val="90"/>
        <w:keepNext w:val="0"/>
        <w:keepLines w:val="0"/>
        <w:pageBreakBefore w:val="0"/>
        <w:numPr>
          <w:ilvl w:val="1"/>
          <w:numId w:val="0"/>
        </w:numPr>
        <w:kinsoku/>
        <w:wordWrap/>
        <w:overflowPunct/>
        <w:topLinePunct w:val="0"/>
        <w:autoSpaceDE/>
        <w:autoSpaceDN/>
        <w:bidi w:val="0"/>
        <w:adjustRightInd/>
        <w:snapToGrid/>
        <w:spacing w:before="162" w:beforeLines="50" w:after="162" w:afterLines="50" w:line="240" w:lineRule="auto"/>
        <w:jc w:val="left"/>
        <w:textAlignment w:val="auto"/>
        <w:rPr>
          <w:rFonts w:hint="default" w:ascii="Times New Roman" w:hAnsi="Times New Roman" w:eastAsia="宋体" w:cs="Times New Roman"/>
          <w:kern w:val="2"/>
          <w:szCs w:val="24"/>
          <w:lang w:eastAsia="zh-CN"/>
        </w:rPr>
      </w:pPr>
      <w:r>
        <w:rPr>
          <w:rFonts w:hint="eastAsia" w:hAnsi="黑体" w:cs="黑体"/>
          <w:kern w:val="2"/>
          <w:szCs w:val="24"/>
          <w:lang w:val="en-US" w:eastAsia="zh-CN"/>
        </w:rPr>
        <w:t>5</w:t>
      </w:r>
      <w:r>
        <w:rPr>
          <w:rFonts w:hint="eastAsia" w:ascii="黑体" w:hAnsi="黑体" w:eastAsia="黑体" w:cs="黑体"/>
          <w:kern w:val="2"/>
          <w:szCs w:val="24"/>
        </w:rPr>
        <w:t>.</w:t>
      </w:r>
      <w:r>
        <w:rPr>
          <w:rFonts w:hint="eastAsia" w:hAnsi="黑体" w:cs="黑体"/>
          <w:kern w:val="2"/>
          <w:szCs w:val="24"/>
          <w:lang w:val="en-US" w:eastAsia="zh-CN"/>
        </w:rPr>
        <w:t xml:space="preserve">7 </w:t>
      </w:r>
      <w:r>
        <w:rPr>
          <w:rFonts w:hint="eastAsia" w:ascii="Times New Roman" w:eastAsia="宋体"/>
          <w:kern w:val="2"/>
          <w:szCs w:val="24"/>
        </w:rPr>
        <w:t xml:space="preserve"> </w:t>
      </w:r>
      <w:r>
        <w:rPr>
          <w:rFonts w:hint="eastAsia" w:ascii="宋体" w:hAnsi="宋体" w:eastAsia="宋体" w:cs="宋体"/>
          <w:kern w:val="2"/>
          <w:szCs w:val="24"/>
          <w:lang w:eastAsia="zh-CN"/>
        </w:rPr>
        <w:t>钛标准溶</w:t>
      </w:r>
      <w:r>
        <w:rPr>
          <w:rFonts w:hint="default" w:ascii="Times New Roman" w:hAnsi="Times New Roman" w:eastAsia="宋体" w:cs="Times New Roman"/>
          <w:kern w:val="2"/>
          <w:szCs w:val="24"/>
          <w:lang w:eastAsia="zh-CN"/>
        </w:rPr>
        <w:t>液：称取0.1666g预先经950℃灼烧至恒重并在干燥器内冷却后的二氧化钛（优级纯），置于干燥的250mL烧杯中，加入30mL硫酸（</w:t>
      </w:r>
      <w:r>
        <w:rPr>
          <w:rFonts w:hint="default" w:ascii="Times New Roman" w:hAnsi="Times New Roman" w:eastAsia="宋体" w:cs="Times New Roman"/>
          <w:kern w:val="2"/>
          <w:szCs w:val="24"/>
          <w:lang w:val="en-US" w:eastAsia="zh-CN"/>
        </w:rPr>
        <w:t>5.2</w:t>
      </w:r>
      <w:r>
        <w:rPr>
          <w:rFonts w:hint="default" w:ascii="Times New Roman" w:hAnsi="Times New Roman" w:eastAsia="宋体" w:cs="Times New Roman"/>
          <w:kern w:val="2"/>
          <w:szCs w:val="24"/>
          <w:lang w:eastAsia="zh-CN"/>
        </w:rPr>
        <w:t>），加热使其溶解，当接近溶完时，加入5g硫酸铵（</w:t>
      </w:r>
      <w:r>
        <w:rPr>
          <w:rFonts w:hint="default" w:ascii="Times New Roman" w:hAnsi="Times New Roman" w:eastAsia="宋体" w:cs="Times New Roman"/>
          <w:kern w:val="2"/>
          <w:szCs w:val="24"/>
          <w:lang w:val="en-US" w:eastAsia="zh-CN"/>
        </w:rPr>
        <w:t>5.1</w:t>
      </w:r>
      <w:r>
        <w:rPr>
          <w:rFonts w:hint="default" w:ascii="Times New Roman" w:hAnsi="Times New Roman" w:eastAsia="宋体" w:cs="Times New Roman"/>
          <w:kern w:val="2"/>
          <w:szCs w:val="24"/>
          <w:lang w:eastAsia="zh-CN"/>
        </w:rPr>
        <w:t>）助溶，溶解完全后，冷却至室温。移入1000mL 容量瓶中，用水稀释至刻度，混匀。此溶液1mL含100µg钛。</w:t>
      </w:r>
    </w:p>
    <w:p w14:paraId="7F7633A7">
      <w:pPr>
        <w:widowControl/>
        <w:numPr>
          <w:ilvl w:val="1"/>
          <w:numId w:val="0"/>
        </w:numPr>
        <w:spacing w:before="486" w:beforeLines="150" w:after="486" w:afterLines="150"/>
        <w:outlineLvl w:val="1"/>
        <w:rPr>
          <w:rFonts w:ascii="黑体" w:hAnsi="宋体" w:eastAsia="黑体"/>
          <w:kern w:val="0"/>
          <w:szCs w:val="20"/>
        </w:rPr>
      </w:pPr>
      <w:r>
        <w:rPr>
          <w:rFonts w:hint="eastAsia" w:ascii="黑体" w:hAnsi="宋体" w:eastAsia="黑体"/>
          <w:kern w:val="0"/>
          <w:szCs w:val="20"/>
          <w:lang w:val="en-US" w:eastAsia="zh-CN"/>
        </w:rPr>
        <w:t>6</w:t>
      </w:r>
      <w:r>
        <w:rPr>
          <w:rFonts w:hint="eastAsia" w:ascii="黑体" w:hAnsi="宋体" w:eastAsia="黑体"/>
          <w:kern w:val="0"/>
          <w:szCs w:val="20"/>
        </w:rPr>
        <w:t xml:space="preserve">  仪器设备</w:t>
      </w:r>
    </w:p>
    <w:p w14:paraId="0BD1EA39">
      <w:pPr>
        <w:widowControl/>
        <w:numPr>
          <w:ilvl w:val="1"/>
          <w:numId w:val="0"/>
        </w:numPr>
        <w:spacing w:before="156" w:after="156"/>
        <w:ind w:firstLine="420" w:firstLineChars="200"/>
        <w:outlineLvl w:val="1"/>
        <w:rPr>
          <w:rFonts w:hint="eastAsia" w:eastAsia="宋体"/>
          <w:szCs w:val="21"/>
          <w:lang w:eastAsia="zh-CN"/>
        </w:rPr>
      </w:pPr>
      <w:r>
        <w:rPr>
          <w:rFonts w:hint="eastAsia"/>
          <w:szCs w:val="21"/>
          <w:lang w:eastAsia="zh-CN"/>
        </w:rPr>
        <w:t>分光光度计。</w:t>
      </w:r>
    </w:p>
    <w:p w14:paraId="56DE119E">
      <w:pPr>
        <w:widowControl/>
        <w:numPr>
          <w:ilvl w:val="1"/>
          <w:numId w:val="0"/>
        </w:numPr>
        <w:spacing w:before="486" w:beforeLines="150" w:after="486" w:afterLines="150"/>
        <w:outlineLvl w:val="1"/>
      </w:pPr>
      <w:r>
        <w:rPr>
          <w:rFonts w:hint="eastAsia" w:ascii="黑体" w:hAnsi="宋体" w:eastAsia="黑体"/>
          <w:kern w:val="0"/>
          <w:szCs w:val="20"/>
          <w:lang w:val="en-US" w:eastAsia="zh-CN"/>
        </w:rPr>
        <w:t>7</w:t>
      </w:r>
      <w:r>
        <w:rPr>
          <w:rFonts w:hint="eastAsia" w:ascii="黑体" w:hAnsi="宋体" w:eastAsia="黑体"/>
          <w:kern w:val="0"/>
          <w:szCs w:val="20"/>
        </w:rPr>
        <w:t xml:space="preserve">  </w:t>
      </w:r>
      <w:r>
        <w:rPr>
          <w:rFonts w:hint="eastAsia" w:ascii="黑体" w:hAnsi="宋体" w:eastAsia="黑体"/>
          <w:kern w:val="0"/>
          <w:szCs w:val="20"/>
          <w:lang w:eastAsia="zh-CN"/>
        </w:rPr>
        <w:t>试样</w:t>
      </w:r>
    </w:p>
    <w:p w14:paraId="54D55197">
      <w:pPr>
        <w:ind w:firstLine="315" w:firstLineChars="150"/>
        <w:rPr>
          <w:rFonts w:hint="eastAsia"/>
          <w:szCs w:val="21"/>
        </w:rPr>
      </w:pPr>
      <w:r>
        <w:rPr>
          <w:rFonts w:hint="eastAsia"/>
          <w:szCs w:val="21"/>
          <w:lang w:eastAsia="zh-CN"/>
        </w:rPr>
        <w:t>按</w:t>
      </w:r>
      <w:r>
        <w:rPr>
          <w:rFonts w:hint="default" w:ascii="Times New Roman" w:hAnsi="Times New Roman" w:cs="Times New Roman"/>
          <w:szCs w:val="21"/>
          <w:lang w:eastAsia="zh-CN"/>
        </w:rPr>
        <w:t>照</w:t>
      </w:r>
      <w:r>
        <w:rPr>
          <w:rFonts w:hint="default" w:ascii="Times New Roman" w:hAnsi="Times New Roman" w:eastAsia="宋体" w:cs="Times New Roman"/>
          <w:kern w:val="0"/>
          <w:szCs w:val="20"/>
        </w:rPr>
        <w:t>YS/T 668</w:t>
      </w:r>
      <w:r>
        <w:rPr>
          <w:rFonts w:hint="default" w:ascii="Times New Roman" w:hAnsi="Times New Roman" w:eastAsia="宋体" w:cs="Times New Roman"/>
          <w:szCs w:val="21"/>
          <w:lang w:eastAsia="zh-CN"/>
        </w:rPr>
        <w:t>将试样加工成</w:t>
      </w:r>
      <w:r>
        <w:rPr>
          <w:rFonts w:hint="default" w:ascii="Times New Roman" w:hAnsi="Times New Roman" w:eastAsia="宋体" w:cs="Times New Roman"/>
          <w:szCs w:val="21"/>
        </w:rPr>
        <w:t>厚度不大于1mm的</w:t>
      </w:r>
      <w:r>
        <w:rPr>
          <w:rFonts w:hint="default" w:ascii="Times New Roman" w:hAnsi="Times New Roman" w:cs="Times New Roman"/>
          <w:szCs w:val="21"/>
        </w:rPr>
        <w:t>碎屑。</w:t>
      </w:r>
    </w:p>
    <w:p w14:paraId="6FEDB69F">
      <w:pPr>
        <w:widowControl/>
        <w:numPr>
          <w:ilvl w:val="1"/>
          <w:numId w:val="0"/>
        </w:numPr>
        <w:spacing w:before="486" w:beforeLines="150" w:after="486" w:afterLines="150"/>
        <w:outlineLvl w:val="1"/>
        <w:rPr>
          <w:rFonts w:ascii="黑体" w:hAnsi="宋体" w:eastAsia="黑体"/>
          <w:kern w:val="0"/>
          <w:szCs w:val="20"/>
        </w:rPr>
      </w:pPr>
      <w:r>
        <w:rPr>
          <w:rFonts w:hint="eastAsia" w:ascii="黑体" w:hAnsi="宋体" w:eastAsia="黑体"/>
          <w:kern w:val="0"/>
          <w:szCs w:val="20"/>
          <w:lang w:val="en-US" w:eastAsia="zh-CN"/>
        </w:rPr>
        <w:t>8</w:t>
      </w:r>
      <w:r>
        <w:rPr>
          <w:rFonts w:hint="eastAsia" w:ascii="黑体" w:hAnsi="宋体" w:eastAsia="黑体"/>
          <w:kern w:val="0"/>
          <w:szCs w:val="20"/>
        </w:rPr>
        <w:t xml:space="preserve">  </w:t>
      </w:r>
      <w:r>
        <w:rPr>
          <w:rFonts w:hint="eastAsia" w:ascii="黑体" w:hAnsi="宋体" w:eastAsia="黑体"/>
          <w:kern w:val="0"/>
          <w:szCs w:val="20"/>
          <w:lang w:eastAsia="zh-CN"/>
        </w:rPr>
        <w:t>分析</w:t>
      </w:r>
      <w:r>
        <w:rPr>
          <w:rFonts w:hint="eastAsia" w:ascii="黑体" w:hAnsi="宋体" w:eastAsia="黑体"/>
          <w:kern w:val="0"/>
          <w:szCs w:val="20"/>
        </w:rPr>
        <w:t>步骤</w:t>
      </w:r>
    </w:p>
    <w:p w14:paraId="14028476">
      <w:pPr>
        <w:spacing w:before="162" w:beforeLines="50" w:after="162" w:afterLines="50"/>
        <w:rPr>
          <w:rFonts w:hint="eastAsia" w:ascii="黑体" w:hAnsi="黑体" w:eastAsia="黑体"/>
          <w:szCs w:val="21"/>
          <w:lang w:eastAsia="zh-CN"/>
        </w:rPr>
      </w:pPr>
      <w:r>
        <w:rPr>
          <w:rFonts w:hint="eastAsia" w:ascii="黑体" w:hAnsi="黑体" w:eastAsia="黑体"/>
          <w:szCs w:val="21"/>
          <w:lang w:val="en-US" w:eastAsia="zh-CN"/>
        </w:rPr>
        <w:t>8</w:t>
      </w:r>
      <w:r>
        <w:rPr>
          <w:rFonts w:hint="eastAsia" w:ascii="黑体" w:hAnsi="黑体" w:eastAsia="黑体"/>
          <w:szCs w:val="21"/>
        </w:rPr>
        <w:t xml:space="preserve">.1  </w:t>
      </w:r>
      <w:r>
        <w:rPr>
          <w:rFonts w:hint="eastAsia" w:ascii="黑体" w:hAnsi="黑体" w:eastAsia="黑体"/>
          <w:szCs w:val="21"/>
          <w:lang w:eastAsia="zh-CN"/>
        </w:rPr>
        <w:t>试料</w:t>
      </w:r>
    </w:p>
    <w:p w14:paraId="0415AAEC">
      <w:pPr>
        <w:spacing w:before="162" w:beforeLines="50" w:after="162" w:afterLines="50"/>
        <w:rPr>
          <w:rFonts w:hint="default" w:ascii="Times New Roman" w:hAnsi="Times New Roman" w:eastAsia="宋体" w:cs="Times New Roman"/>
          <w:szCs w:val="21"/>
          <w:highlight w:val="none"/>
          <w:lang w:val="en-US" w:eastAsia="zh-CN"/>
        </w:rPr>
      </w:pPr>
      <w:r>
        <w:rPr>
          <w:rFonts w:hint="eastAsia" w:ascii="宋体" w:hAnsi="宋体" w:eastAsia="宋体" w:cs="宋体"/>
          <w:szCs w:val="21"/>
          <w:lang w:val="en-US" w:eastAsia="zh-CN"/>
        </w:rPr>
        <w:t xml:space="preserve">    </w:t>
      </w:r>
      <w:r>
        <w:rPr>
          <w:rFonts w:hint="default" w:ascii="Times New Roman" w:hAnsi="Times New Roman" w:cs="Times New Roman"/>
          <w:szCs w:val="21"/>
          <w:highlight w:val="none"/>
          <w:lang w:val="en-US" w:eastAsia="zh-CN"/>
        </w:rPr>
        <w:t>按照表1称取试样（7），精确至0.0001g</w:t>
      </w:r>
    </w:p>
    <w:p w14:paraId="630AB120">
      <w:pPr>
        <w:keepNext w:val="0"/>
        <w:keepLines w:val="0"/>
        <w:pageBreakBefore w:val="0"/>
        <w:widowControl w:val="0"/>
        <w:kinsoku/>
        <w:wordWrap/>
        <w:overflowPunct/>
        <w:topLinePunct w:val="0"/>
        <w:autoSpaceDE/>
        <w:autoSpaceDN/>
        <w:bidi w:val="0"/>
        <w:adjustRightInd/>
        <w:snapToGrid/>
        <w:spacing w:before="163" w:beforeLines="50" w:after="163" w:afterLines="50"/>
        <w:textAlignment w:val="auto"/>
        <w:rPr>
          <w:rFonts w:hint="eastAsia" w:ascii="黑体" w:hAnsi="黑体" w:eastAsia="黑体"/>
          <w:szCs w:val="21"/>
          <w:lang w:eastAsia="zh-CN"/>
        </w:rPr>
      </w:pPr>
      <w:r>
        <w:rPr>
          <w:rFonts w:hint="eastAsia" w:ascii="黑体" w:hAnsi="黑体" w:eastAsia="黑体"/>
          <w:szCs w:val="21"/>
          <w:lang w:val="en-US" w:eastAsia="zh-CN"/>
        </w:rPr>
        <w:t xml:space="preserve">8.2  </w:t>
      </w:r>
      <w:r>
        <w:rPr>
          <w:rFonts w:hint="eastAsia" w:ascii="黑体" w:hAnsi="黑体" w:eastAsia="黑体"/>
          <w:szCs w:val="21"/>
          <w:lang w:eastAsia="zh-CN"/>
        </w:rPr>
        <w:t>测定次数</w:t>
      </w:r>
    </w:p>
    <w:p w14:paraId="4084FD65">
      <w:pPr>
        <w:rPr>
          <w:rFonts w:hint="eastAsia" w:ascii="宋体" w:hAnsi="宋体" w:eastAsia="宋体" w:cs="宋体"/>
          <w:szCs w:val="21"/>
          <w:lang w:val="en-US" w:eastAsia="zh-CN"/>
        </w:rPr>
      </w:pPr>
      <w:r>
        <w:rPr>
          <w:rFonts w:hint="eastAsia" w:ascii="黑体" w:hAnsi="黑体" w:eastAsia="黑体"/>
          <w:szCs w:val="21"/>
          <w:lang w:val="en-US" w:eastAsia="zh-CN"/>
        </w:rPr>
        <w:t xml:space="preserve">    </w:t>
      </w:r>
      <w:r>
        <w:rPr>
          <w:rFonts w:hint="eastAsia" w:ascii="宋体" w:hAnsi="宋体" w:eastAsia="宋体" w:cs="宋体"/>
          <w:szCs w:val="21"/>
          <w:lang w:val="en-US" w:eastAsia="zh-CN"/>
        </w:rPr>
        <w:t>独立进行二次测定，</w:t>
      </w:r>
      <w:r>
        <w:rPr>
          <w:rFonts w:hint="eastAsia" w:ascii="宋体" w:hAnsi="宋体" w:cs="宋体"/>
          <w:szCs w:val="21"/>
          <w:lang w:val="en-US" w:eastAsia="zh-CN"/>
        </w:rPr>
        <w:t>结果</w:t>
      </w:r>
      <w:r>
        <w:rPr>
          <w:rFonts w:hint="eastAsia" w:ascii="宋体" w:hAnsi="宋体" w:eastAsia="宋体" w:cs="宋体"/>
          <w:szCs w:val="21"/>
          <w:lang w:val="en-US" w:eastAsia="zh-CN"/>
        </w:rPr>
        <w:t>取其平均值。</w:t>
      </w:r>
    </w:p>
    <w:p w14:paraId="6A89A15C">
      <w:pPr>
        <w:spacing w:before="162" w:beforeLines="50" w:after="162" w:afterLines="50"/>
        <w:rPr>
          <w:rFonts w:hint="eastAsia" w:ascii="黑体" w:hAnsi="黑体" w:eastAsia="黑体"/>
          <w:szCs w:val="21"/>
          <w:lang w:eastAsia="zh-CN"/>
        </w:rPr>
      </w:pPr>
      <w:r>
        <w:rPr>
          <w:rFonts w:hint="eastAsia" w:ascii="黑体" w:hAnsi="黑体" w:eastAsia="黑体"/>
          <w:szCs w:val="21"/>
          <w:lang w:val="en-US" w:eastAsia="zh-CN"/>
        </w:rPr>
        <w:t>8.3</w:t>
      </w:r>
      <w:r>
        <w:rPr>
          <w:rFonts w:hint="eastAsia" w:ascii="黑体" w:hAnsi="黑体" w:eastAsia="黑体"/>
          <w:szCs w:val="21"/>
        </w:rPr>
        <w:t xml:space="preserve">  空白</w:t>
      </w:r>
      <w:r>
        <w:rPr>
          <w:rFonts w:hint="eastAsia" w:ascii="黑体" w:hAnsi="黑体" w:eastAsia="黑体"/>
          <w:szCs w:val="21"/>
          <w:lang w:eastAsia="zh-CN"/>
        </w:rPr>
        <w:t>试验</w:t>
      </w:r>
    </w:p>
    <w:p w14:paraId="69E83C86">
      <w:pPr>
        <w:spacing w:before="162" w:beforeLines="50" w:after="162" w:afterLines="50"/>
        <w:rPr>
          <w:rFonts w:hint="eastAsia" w:ascii="黑体" w:hAnsi="黑体" w:eastAsia="黑体"/>
          <w:szCs w:val="21"/>
          <w:lang w:val="en-US" w:eastAsia="zh-CN"/>
        </w:rPr>
      </w:pPr>
      <w:r>
        <w:rPr>
          <w:rFonts w:hint="eastAsia" w:ascii="黑体" w:hAnsi="黑体" w:eastAsia="黑体"/>
          <w:szCs w:val="21"/>
          <w:lang w:val="en-US" w:eastAsia="zh-CN"/>
        </w:rPr>
        <w:t xml:space="preserve">8.3.1  </w:t>
      </w:r>
      <w:r>
        <w:rPr>
          <w:rFonts w:hint="eastAsia" w:ascii="宋体" w:hAnsi="宋体" w:cs="宋体"/>
          <w:szCs w:val="21"/>
          <w:lang w:val="en-US" w:eastAsia="zh-CN"/>
        </w:rPr>
        <w:t>随同试料做空白试验，以水为参比测量吸光度。</w:t>
      </w:r>
    </w:p>
    <w:p w14:paraId="59369495">
      <w:pPr>
        <w:spacing w:before="162" w:beforeLines="50" w:after="162" w:afterLines="50"/>
        <w:rPr>
          <w:rFonts w:hint="default" w:ascii="黑体" w:hAnsi="黑体" w:eastAsia="黑体"/>
          <w:szCs w:val="21"/>
          <w:lang w:val="en-US" w:eastAsia="zh-CN"/>
        </w:rPr>
      </w:pPr>
      <w:r>
        <w:rPr>
          <w:rFonts w:hint="eastAsia" w:ascii="黑体" w:hAnsi="黑体" w:eastAsia="黑体"/>
          <w:szCs w:val="21"/>
          <w:lang w:val="en-US" w:eastAsia="zh-CN"/>
        </w:rPr>
        <w:t xml:space="preserve">8.3.2  </w:t>
      </w:r>
      <w:r>
        <w:rPr>
          <w:rFonts w:hint="eastAsia" w:ascii="宋体" w:hAnsi="宋体" w:cs="宋体"/>
          <w:szCs w:val="21"/>
          <w:lang w:val="en-US" w:eastAsia="zh-CN"/>
        </w:rPr>
        <w:t>称取一份试料，除不加过氧化氢外，其他按分析步骤进行，以此溶液为试料溶液的参比溶液。</w:t>
      </w:r>
    </w:p>
    <w:p w14:paraId="3F792870">
      <w:pPr>
        <w:spacing w:before="162" w:beforeLines="50" w:after="162" w:afterLines="50"/>
        <w:rPr>
          <w:rFonts w:ascii="黑体" w:hAnsi="黑体" w:eastAsia="黑体"/>
          <w:szCs w:val="21"/>
        </w:rPr>
      </w:pPr>
      <w:r>
        <w:rPr>
          <w:rFonts w:hint="eastAsia" w:ascii="黑体" w:hAnsi="黑体" w:eastAsia="黑体"/>
          <w:szCs w:val="21"/>
          <w:lang w:val="en-US" w:eastAsia="zh-CN"/>
        </w:rPr>
        <w:t>8.4</w:t>
      </w:r>
      <w:r>
        <w:rPr>
          <w:rFonts w:hint="eastAsia" w:ascii="黑体" w:hAnsi="黑体" w:eastAsia="黑体"/>
          <w:szCs w:val="21"/>
        </w:rPr>
        <w:t xml:space="preserve">  </w:t>
      </w:r>
      <w:r>
        <w:rPr>
          <w:rFonts w:hint="eastAsia" w:ascii="黑体" w:hAnsi="黑体" w:eastAsia="黑体"/>
          <w:szCs w:val="21"/>
          <w:lang w:eastAsia="zh-CN"/>
        </w:rPr>
        <w:t>测定</w:t>
      </w:r>
      <w:r>
        <w:rPr>
          <w:rFonts w:hint="eastAsia" w:ascii="黑体" w:hAnsi="黑体" w:eastAsia="黑体"/>
          <w:szCs w:val="21"/>
        </w:rPr>
        <w:t xml:space="preserve"> </w:t>
      </w:r>
    </w:p>
    <w:p w14:paraId="4C92FD98">
      <w:pPr>
        <w:keepNext w:val="0"/>
        <w:keepLines w:val="0"/>
        <w:pageBreakBefore w:val="0"/>
        <w:widowControl w:val="0"/>
        <w:kinsoku/>
        <w:wordWrap/>
        <w:overflowPunct/>
        <w:topLinePunct w:val="0"/>
        <w:autoSpaceDE/>
        <w:autoSpaceDN/>
        <w:bidi w:val="0"/>
        <w:adjustRightInd/>
        <w:snapToGrid/>
        <w:textAlignment w:val="auto"/>
        <w:rPr>
          <w:rFonts w:hint="eastAsia"/>
          <w:szCs w:val="21"/>
        </w:rPr>
      </w:pPr>
      <w:r>
        <w:rPr>
          <w:rFonts w:hint="eastAsia" w:ascii="黑体" w:hAnsi="黑体" w:eastAsia="黑体"/>
          <w:szCs w:val="21"/>
          <w:lang w:val="en-US" w:eastAsia="zh-CN"/>
        </w:rPr>
        <w:t>8.4.1</w:t>
      </w:r>
      <w:r>
        <w:rPr>
          <w:rFonts w:hint="eastAsia"/>
          <w:b/>
          <w:bCs/>
          <w:szCs w:val="21"/>
          <w:lang w:val="en-US" w:eastAsia="zh-CN"/>
        </w:rPr>
        <w:t xml:space="preserve"> </w:t>
      </w:r>
      <w:r>
        <w:rPr>
          <w:rFonts w:hint="eastAsia"/>
          <w:szCs w:val="21"/>
        </w:rPr>
        <w:t xml:space="preserve"> 将</w:t>
      </w:r>
      <w:r>
        <w:rPr>
          <w:rFonts w:hint="eastAsia" w:ascii="宋体" w:hAnsi="宋体" w:cs="宋体"/>
          <w:szCs w:val="21"/>
          <w:lang w:val="en-US" w:eastAsia="zh-CN"/>
        </w:rPr>
        <w:t>试料</w:t>
      </w:r>
      <w:r>
        <w:rPr>
          <w:rFonts w:hint="default" w:ascii="Times New Roman" w:hAnsi="Times New Roman" w:cs="Times New Roman"/>
          <w:szCs w:val="21"/>
          <w:lang w:val="en-US" w:eastAsia="zh-CN"/>
        </w:rPr>
        <w:t>（8.1）置于150mL烧杯中，加入5mL硝酸（5.4）。当试样中硅为主成分时，需另加入2滴</w:t>
      </w:r>
      <w:r>
        <w:rPr>
          <w:rFonts w:hint="default" w:ascii="Times New Roman" w:hAnsi="Times New Roman" w:cs="Times New Roman"/>
          <w:sz w:val="21"/>
          <w:szCs w:val="21"/>
        </w:rPr>
        <w:t>～</w:t>
      </w:r>
      <w:r>
        <w:rPr>
          <w:rFonts w:hint="default" w:ascii="Times New Roman" w:hAnsi="Times New Roman" w:cs="Times New Roman"/>
          <w:szCs w:val="21"/>
          <w:lang w:val="en-US" w:eastAsia="zh-CN"/>
        </w:rPr>
        <w:t>3滴氢氟酸（5.3）。盖上表皿，加热使其溶解完全，煮沸除去氮的氧化物。用少许水洗涤表皿和杯壁。加入10mL硫酸（5.5），低温蒸发至冒三氧化硫白烟，取下冷却至室温，用水洗涤表皿和</w:t>
      </w:r>
      <w:r>
        <w:rPr>
          <w:rFonts w:hint="eastAsia" w:ascii="宋体" w:hAnsi="宋体" w:cs="宋体"/>
          <w:szCs w:val="21"/>
          <w:lang w:val="en-US" w:eastAsia="zh-CN"/>
        </w:rPr>
        <w:t>杯壁。</w:t>
      </w:r>
    </w:p>
    <w:p w14:paraId="60D2DFD6">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cs="宋体"/>
          <w:szCs w:val="21"/>
          <w:lang w:eastAsia="zh-CN"/>
        </w:rPr>
      </w:pPr>
      <w:r>
        <w:rPr>
          <w:rFonts w:hint="eastAsia" w:ascii="黑体" w:hAnsi="黑体" w:eastAsia="黑体"/>
          <w:szCs w:val="21"/>
          <w:lang w:val="en-US" w:eastAsia="zh-CN"/>
        </w:rPr>
        <w:t>8.4.2</w:t>
      </w:r>
      <w:r>
        <w:rPr>
          <w:rFonts w:hint="eastAsia"/>
          <w:szCs w:val="21"/>
        </w:rPr>
        <w:t xml:space="preserve"> </w:t>
      </w:r>
      <w:r>
        <w:rPr>
          <w:rFonts w:hint="eastAsia"/>
          <w:szCs w:val="21"/>
          <w:lang w:val="en-US" w:eastAsia="zh-CN"/>
        </w:rPr>
        <w:t xml:space="preserve"> </w:t>
      </w:r>
      <w:r>
        <w:rPr>
          <w:rFonts w:hint="eastAsia" w:ascii="宋体" w:hAnsi="宋体" w:eastAsia="宋体" w:cs="宋体"/>
          <w:szCs w:val="21"/>
        </w:rPr>
        <w:t>摇动烧杯至大部分结晶溶解，加热煮沸使溶</w:t>
      </w:r>
      <w:r>
        <w:rPr>
          <w:rFonts w:hint="default" w:ascii="Times New Roman" w:hAnsi="Times New Roman" w:eastAsia="宋体" w:cs="Times New Roman"/>
          <w:szCs w:val="21"/>
        </w:rPr>
        <w:t>液澄清，取下冷却。将溶液移入100mL容</w:t>
      </w:r>
      <w:r>
        <w:rPr>
          <w:rFonts w:hint="eastAsia" w:ascii="宋体" w:hAnsi="宋体" w:eastAsia="宋体" w:cs="宋体"/>
          <w:szCs w:val="21"/>
        </w:rPr>
        <w:t>量瓶中，用水洗涤烧杯和表皿，洗液合并于容量瓶中</w:t>
      </w:r>
      <w:r>
        <w:rPr>
          <w:rFonts w:hint="eastAsia" w:ascii="宋体" w:hAnsi="宋体" w:cs="宋体"/>
          <w:szCs w:val="21"/>
          <w:lang w:eastAsia="zh-CN"/>
        </w:rPr>
        <w:t>。</w:t>
      </w:r>
    </w:p>
    <w:p w14:paraId="6228E0B9">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szCs w:val="21"/>
          <w:highlight w:val="none"/>
        </w:rPr>
      </w:pPr>
      <w:r>
        <w:rPr>
          <w:rFonts w:hint="eastAsia" w:ascii="黑体" w:hAnsi="黑体" w:eastAsia="黑体" w:cs="黑体"/>
          <w:szCs w:val="21"/>
          <w:lang w:val="en-US" w:eastAsia="zh-CN"/>
        </w:rPr>
        <w:t>8.4.2.1</w:t>
      </w:r>
      <w:r>
        <w:rPr>
          <w:rFonts w:hint="eastAsia" w:ascii="宋体" w:hAnsi="宋体" w:cs="宋体"/>
          <w:szCs w:val="21"/>
          <w:lang w:val="en-US" w:eastAsia="zh-CN"/>
        </w:rPr>
        <w:t xml:space="preserve">  当钛的质量分数</w:t>
      </w:r>
      <w:r>
        <w:rPr>
          <w:rFonts w:hint="default" w:ascii="Times New Roman" w:hAnsi="Times New Roman" w:cs="Times New Roman"/>
          <w:szCs w:val="21"/>
          <w:highlight w:val="none"/>
          <w:lang w:val="en-US" w:eastAsia="zh-CN"/>
        </w:rPr>
        <w:t>为</w:t>
      </w:r>
      <w:r>
        <w:rPr>
          <w:rFonts w:hint="default" w:ascii="Times New Roman" w:hAnsi="Times New Roman" w:eastAsia="宋体" w:cs="Times New Roman"/>
          <w:sz w:val="21"/>
          <w:szCs w:val="21"/>
          <w:highlight w:val="none"/>
          <w:vertAlign w:val="baseline"/>
          <w:lang w:val="en-US" w:eastAsia="zh-CN"/>
        </w:rPr>
        <w:t>0.0</w:t>
      </w:r>
      <w:r>
        <w:rPr>
          <w:rFonts w:hint="default" w:ascii="Times New Roman" w:hAnsi="Times New Roman" w:cs="Times New Roman"/>
          <w:sz w:val="21"/>
          <w:szCs w:val="21"/>
          <w:highlight w:val="none"/>
          <w:vertAlign w:val="baseline"/>
          <w:lang w:val="en-US" w:eastAsia="zh-CN"/>
        </w:rPr>
        <w:t>1</w:t>
      </w:r>
      <w:r>
        <w:rPr>
          <w:rFonts w:hint="default" w:ascii="Times New Roman" w:hAnsi="Times New Roman" w:eastAsia="宋体" w:cs="Times New Roman"/>
          <w:sz w:val="21"/>
          <w:szCs w:val="21"/>
          <w:highlight w:val="none"/>
          <w:vertAlign w:val="baseline"/>
          <w:lang w:val="en-US" w:eastAsia="zh-CN"/>
        </w:rPr>
        <w:t>0%</w:t>
      </w:r>
      <w:r>
        <w:rPr>
          <w:rFonts w:hint="default" w:ascii="Times New Roman" w:hAnsi="Times New Roman" w:eastAsia="宋体" w:cs="Times New Roman"/>
          <w:sz w:val="21"/>
          <w:szCs w:val="21"/>
          <w:highlight w:val="none"/>
        </w:rPr>
        <w:t>～</w:t>
      </w:r>
      <w:r>
        <w:rPr>
          <w:rFonts w:hint="default" w:ascii="Times New Roman" w:hAnsi="Times New Roman" w:eastAsia="宋体" w:cs="Times New Roman"/>
          <w:sz w:val="21"/>
          <w:szCs w:val="21"/>
          <w:highlight w:val="none"/>
          <w:lang w:val="en-US" w:eastAsia="zh-CN"/>
        </w:rPr>
        <w:t>0.</w:t>
      </w:r>
      <w:r>
        <w:rPr>
          <w:rFonts w:hint="default" w:ascii="Times New Roman" w:hAnsi="Times New Roman" w:cs="Times New Roman"/>
          <w:sz w:val="21"/>
          <w:szCs w:val="21"/>
          <w:highlight w:val="none"/>
          <w:lang w:val="en-US" w:eastAsia="zh-CN"/>
        </w:rPr>
        <w:t>2</w:t>
      </w:r>
      <w:r>
        <w:rPr>
          <w:rFonts w:hint="default" w:ascii="Times New Roman" w:hAnsi="Times New Roman" w:eastAsia="宋体" w:cs="Times New Roman"/>
          <w:sz w:val="21"/>
          <w:szCs w:val="21"/>
          <w:highlight w:val="none"/>
          <w:lang w:val="en-US" w:eastAsia="zh-CN"/>
        </w:rPr>
        <w:t>0%时</w:t>
      </w:r>
      <w:r>
        <w:rPr>
          <w:rFonts w:hint="default" w:ascii="Times New Roman" w:hAnsi="Times New Roman" w:cs="Times New Roman"/>
          <w:sz w:val="21"/>
          <w:szCs w:val="21"/>
          <w:highlight w:val="none"/>
          <w:lang w:val="en-US" w:eastAsia="zh-CN"/>
        </w:rPr>
        <w:t>，在容量瓶中</w:t>
      </w:r>
      <w:r>
        <w:rPr>
          <w:rFonts w:hint="default" w:ascii="Times New Roman" w:hAnsi="Times New Roman" w:eastAsia="宋体" w:cs="Times New Roman"/>
          <w:szCs w:val="21"/>
          <w:highlight w:val="none"/>
        </w:rPr>
        <w:t>加入2mL过氧化氢（</w:t>
      </w:r>
      <w:r>
        <w:rPr>
          <w:rFonts w:hint="default" w:ascii="Times New Roman" w:hAnsi="Times New Roman" w:cs="Times New Roman"/>
          <w:szCs w:val="21"/>
          <w:highlight w:val="none"/>
          <w:lang w:val="en-US" w:eastAsia="zh-CN"/>
        </w:rPr>
        <w:t>5.6</w:t>
      </w:r>
      <w:r>
        <w:rPr>
          <w:rFonts w:hint="default" w:ascii="Times New Roman" w:hAnsi="Times New Roman" w:eastAsia="宋体" w:cs="Times New Roman"/>
          <w:szCs w:val="21"/>
          <w:highlight w:val="none"/>
        </w:rPr>
        <w:t>），用水稀释至刻度，混匀，放置</w:t>
      </w:r>
      <w:r>
        <w:rPr>
          <w:rFonts w:hint="eastAsia" w:cs="Times New Roman"/>
          <w:szCs w:val="21"/>
          <w:highlight w:val="none"/>
          <w:lang w:val="en-US" w:eastAsia="zh-CN"/>
        </w:rPr>
        <w:t>5</w:t>
      </w:r>
      <w:r>
        <w:rPr>
          <w:rFonts w:hint="default" w:ascii="Times New Roman" w:hAnsi="Times New Roman" w:eastAsia="宋体" w:cs="Times New Roman"/>
          <w:szCs w:val="21"/>
          <w:highlight w:val="none"/>
        </w:rPr>
        <w:t>min。</w:t>
      </w:r>
    </w:p>
    <w:p w14:paraId="2ECC02A5">
      <w:pPr>
        <w:keepNext w:val="0"/>
        <w:keepLines w:val="0"/>
        <w:pageBreakBefore w:val="0"/>
        <w:widowControl w:val="0"/>
        <w:kinsoku/>
        <w:wordWrap/>
        <w:overflowPunct/>
        <w:topLinePunct w:val="0"/>
        <w:autoSpaceDE/>
        <w:autoSpaceDN/>
        <w:bidi w:val="0"/>
        <w:adjustRightInd/>
        <w:snapToGrid/>
        <w:textAlignment w:val="auto"/>
        <w:rPr>
          <w:rFonts w:hint="default" w:ascii="宋体" w:hAnsi="宋体" w:eastAsia="宋体" w:cs="宋体"/>
          <w:szCs w:val="21"/>
          <w:lang w:val="en-US" w:eastAsia="zh-CN"/>
        </w:rPr>
      </w:pPr>
      <w:r>
        <w:rPr>
          <w:rFonts w:hint="eastAsia" w:ascii="黑体" w:hAnsi="黑体" w:eastAsia="黑体" w:cs="黑体"/>
          <w:szCs w:val="21"/>
          <w:lang w:val="en-US" w:eastAsia="zh-CN"/>
        </w:rPr>
        <w:t>8.4.2.2</w:t>
      </w:r>
      <w:r>
        <w:rPr>
          <w:rFonts w:hint="eastAsia" w:ascii="宋体" w:hAnsi="宋体" w:cs="宋体"/>
          <w:szCs w:val="21"/>
          <w:lang w:val="en-US" w:eastAsia="zh-CN"/>
        </w:rPr>
        <w:t xml:space="preserve">  当钛的质量分数</w:t>
      </w:r>
      <w:r>
        <w:rPr>
          <w:rFonts w:hint="default" w:ascii="Times New Roman" w:hAnsi="Times New Roman" w:cs="Times New Roman"/>
          <w:szCs w:val="21"/>
          <w:lang w:val="en-US" w:eastAsia="zh-CN"/>
        </w:rPr>
        <w:t>为</w:t>
      </w:r>
      <w:r>
        <w:rPr>
          <w:rFonts w:hint="default" w:ascii="Times New Roman" w:hAnsi="Times New Roman" w:eastAsia="宋体" w:cs="Times New Roman"/>
          <w:szCs w:val="21"/>
          <w:lang w:val="en-US" w:eastAsia="zh-CN"/>
        </w:rPr>
        <w:t>&gt;</w:t>
      </w:r>
      <w:r>
        <w:rPr>
          <w:rFonts w:hint="default" w:ascii="Times New Roman" w:hAnsi="Times New Roman" w:eastAsia="宋体" w:cs="Times New Roman"/>
          <w:sz w:val="21"/>
          <w:szCs w:val="21"/>
          <w:vertAlign w:val="baseline"/>
          <w:lang w:val="en-US" w:eastAsia="zh-CN"/>
        </w:rPr>
        <w:t>0.</w:t>
      </w:r>
      <w:r>
        <w:rPr>
          <w:rFonts w:hint="default" w:ascii="Times New Roman" w:hAnsi="Times New Roman" w:cs="Times New Roman"/>
          <w:sz w:val="21"/>
          <w:szCs w:val="21"/>
          <w:vertAlign w:val="baseline"/>
          <w:lang w:val="en-US" w:eastAsia="zh-CN"/>
        </w:rPr>
        <w:t>2</w:t>
      </w:r>
      <w:r>
        <w:rPr>
          <w:rFonts w:hint="default" w:ascii="Times New Roman" w:hAnsi="Times New Roman" w:eastAsia="宋体" w:cs="Times New Roman"/>
          <w:sz w:val="21"/>
          <w:szCs w:val="21"/>
          <w:vertAlign w:val="baseline"/>
          <w:lang w:val="en-US" w:eastAsia="zh-CN"/>
        </w:rPr>
        <w:t>0%</w:t>
      </w:r>
      <w:r>
        <w:rPr>
          <w:rFonts w:hint="default" w:ascii="Times New Roman" w:hAnsi="Times New Roman" w:eastAsia="宋体" w:cs="Times New Roman"/>
          <w:sz w:val="21"/>
          <w:szCs w:val="21"/>
        </w:rPr>
        <w:t>～</w:t>
      </w:r>
      <w:r>
        <w:rPr>
          <w:rFonts w:hint="default" w:ascii="Times New Roman" w:hAnsi="Times New Roman" w:cs="Times New Roman"/>
          <w:sz w:val="21"/>
          <w:szCs w:val="21"/>
          <w:lang w:val="en-US" w:eastAsia="zh-CN"/>
        </w:rPr>
        <w:t>5</w:t>
      </w:r>
      <w:r>
        <w:rPr>
          <w:rFonts w:hint="default" w:ascii="Times New Roman" w:hAnsi="Times New Roman" w:eastAsia="宋体" w:cs="Times New Roman"/>
          <w:sz w:val="21"/>
          <w:szCs w:val="21"/>
          <w:lang w:val="en-US" w:eastAsia="zh-CN"/>
        </w:rPr>
        <w:t>.00%时</w:t>
      </w:r>
      <w:r>
        <w:rPr>
          <w:rFonts w:hint="default" w:ascii="Times New Roman" w:hAnsi="Times New Roman" w:cs="Times New Roman"/>
          <w:sz w:val="21"/>
          <w:szCs w:val="21"/>
          <w:lang w:val="en-US" w:eastAsia="zh-CN"/>
        </w:rPr>
        <w:t>，将容量瓶中试液</w:t>
      </w:r>
      <w:r>
        <w:rPr>
          <w:rFonts w:hint="default" w:ascii="Times New Roman" w:hAnsi="Times New Roman" w:eastAsia="宋体" w:cs="Times New Roman"/>
          <w:szCs w:val="21"/>
        </w:rPr>
        <w:t>用水稀释至刻度</w:t>
      </w:r>
      <w:r>
        <w:rPr>
          <w:rFonts w:hint="default" w:ascii="Times New Roman" w:hAnsi="Times New Roman" w:cs="Times New Roman"/>
          <w:szCs w:val="21"/>
          <w:lang w:val="en-US" w:eastAsia="zh-CN"/>
        </w:rPr>
        <w:t>后</w:t>
      </w:r>
      <w:r>
        <w:rPr>
          <w:rFonts w:hint="default" w:ascii="Times New Roman" w:hAnsi="Times New Roman" w:eastAsia="宋体" w:cs="Times New Roman"/>
          <w:szCs w:val="21"/>
        </w:rPr>
        <w:t>混匀</w:t>
      </w:r>
      <w:r>
        <w:rPr>
          <w:rFonts w:hint="default" w:ascii="Times New Roman" w:hAnsi="Times New Roman" w:cs="Times New Roman"/>
          <w:szCs w:val="21"/>
          <w:lang w:eastAsia="zh-CN"/>
        </w:rPr>
        <w:t>，</w:t>
      </w:r>
      <w:r>
        <w:rPr>
          <w:rFonts w:hint="default" w:ascii="Times New Roman" w:hAnsi="Times New Roman" w:cs="Times New Roman"/>
          <w:szCs w:val="21"/>
          <w:lang w:val="en-US" w:eastAsia="zh-CN"/>
        </w:rPr>
        <w:t>按照表1中移取相应体积的试液于100mL容量瓶中，并加入</w:t>
      </w:r>
      <w:r>
        <w:rPr>
          <w:rFonts w:hint="default" w:ascii="Times New Roman" w:hAnsi="Times New Roman" w:eastAsia="宋体" w:cs="Times New Roman"/>
          <w:szCs w:val="21"/>
        </w:rPr>
        <w:t>2mL过氧化氢（</w:t>
      </w:r>
      <w:r>
        <w:rPr>
          <w:rFonts w:hint="default" w:ascii="Times New Roman" w:hAnsi="Times New Roman" w:cs="Times New Roman"/>
          <w:szCs w:val="21"/>
          <w:lang w:val="en-US" w:eastAsia="zh-CN"/>
        </w:rPr>
        <w:t>5.6</w:t>
      </w:r>
      <w:r>
        <w:rPr>
          <w:rFonts w:hint="default" w:ascii="Times New Roman" w:hAnsi="Times New Roman" w:eastAsia="宋体" w:cs="Times New Roman"/>
          <w:szCs w:val="21"/>
        </w:rPr>
        <w:t>）</w:t>
      </w:r>
      <w:r>
        <w:rPr>
          <w:rFonts w:hint="default" w:ascii="Times New Roman" w:hAnsi="Times New Roman" w:cs="Times New Roman"/>
          <w:szCs w:val="21"/>
          <w:lang w:val="en-US" w:eastAsia="zh-CN"/>
        </w:rPr>
        <w:t>和相应体积的硫酸（5.5），</w:t>
      </w:r>
      <w:r>
        <w:rPr>
          <w:rFonts w:hint="default" w:ascii="Times New Roman" w:hAnsi="Times New Roman" w:eastAsia="宋体" w:cs="Times New Roman"/>
          <w:szCs w:val="21"/>
        </w:rPr>
        <w:t>用水稀释至刻度，混匀，放置</w:t>
      </w:r>
      <w:r>
        <w:rPr>
          <w:rFonts w:hint="eastAsia" w:cs="Times New Roman"/>
          <w:szCs w:val="21"/>
          <w:lang w:val="en-US" w:eastAsia="zh-CN"/>
        </w:rPr>
        <w:t>5</w:t>
      </w:r>
      <w:r>
        <w:rPr>
          <w:rFonts w:hint="default" w:ascii="Times New Roman" w:hAnsi="Times New Roman" w:eastAsia="宋体" w:cs="Times New Roman"/>
          <w:szCs w:val="21"/>
        </w:rPr>
        <w:t>min。</w:t>
      </w:r>
    </w:p>
    <w:p w14:paraId="55EEC60F">
      <w:pPr>
        <w:keepNext w:val="0"/>
        <w:keepLines w:val="0"/>
        <w:pageBreakBefore w:val="0"/>
        <w:widowControl w:val="0"/>
        <w:kinsoku/>
        <w:wordWrap/>
        <w:overflowPunct/>
        <w:topLinePunct w:val="0"/>
        <w:autoSpaceDE/>
        <w:autoSpaceDN/>
        <w:bidi w:val="0"/>
        <w:adjustRightInd/>
        <w:snapToGrid/>
        <w:textAlignment w:val="auto"/>
        <w:rPr>
          <w:rFonts w:hint="eastAsia"/>
          <w:szCs w:val="21"/>
        </w:rPr>
      </w:pPr>
      <w:r>
        <w:rPr>
          <w:rFonts w:hint="eastAsia" w:ascii="黑体" w:hAnsi="黑体" w:eastAsia="黑体"/>
          <w:szCs w:val="21"/>
          <w:lang w:val="en-US" w:eastAsia="zh-CN"/>
        </w:rPr>
        <w:t>8.4.3</w:t>
      </w:r>
      <w:r>
        <w:rPr>
          <w:rFonts w:hint="eastAsia"/>
          <w:szCs w:val="21"/>
        </w:rPr>
        <w:t xml:space="preserve"> </w:t>
      </w:r>
      <w:r>
        <w:rPr>
          <w:rFonts w:hint="eastAsia"/>
          <w:szCs w:val="21"/>
          <w:lang w:val="en-US" w:eastAsia="zh-CN"/>
        </w:rPr>
        <w:t xml:space="preserve"> </w:t>
      </w:r>
      <w:r>
        <w:rPr>
          <w:rFonts w:hint="default" w:ascii="Times New Roman" w:hAnsi="Times New Roman" w:cs="Times New Roman"/>
          <w:szCs w:val="21"/>
          <w:highlight w:val="none"/>
          <w:lang w:val="en-US" w:eastAsia="zh-CN"/>
        </w:rPr>
        <w:t>按表1</w:t>
      </w:r>
      <w:r>
        <w:rPr>
          <w:rFonts w:hint="default" w:ascii="Times New Roman" w:hAnsi="Times New Roman" w:eastAsia="宋体" w:cs="Times New Roman"/>
          <w:szCs w:val="21"/>
          <w:highlight w:val="none"/>
        </w:rPr>
        <w:t>将部分溶液移入</w:t>
      </w:r>
      <w:r>
        <w:rPr>
          <w:rFonts w:hint="default" w:ascii="Times New Roman" w:hAnsi="Times New Roman" w:cs="Times New Roman"/>
          <w:szCs w:val="21"/>
          <w:highlight w:val="none"/>
          <w:lang w:val="en-US" w:eastAsia="zh-CN"/>
        </w:rPr>
        <w:t>5cm</w:t>
      </w:r>
      <w:r>
        <w:rPr>
          <w:rFonts w:hint="default" w:ascii="Times New Roman" w:hAnsi="Times New Roman" w:eastAsia="宋体" w:cs="Times New Roman"/>
          <w:szCs w:val="21"/>
          <w:highlight w:val="none"/>
        </w:rPr>
        <w:t>吸收皿中，以试料参比溶液（</w:t>
      </w:r>
      <w:r>
        <w:rPr>
          <w:rFonts w:hint="default" w:ascii="Times New Roman" w:hAnsi="Times New Roman" w:cs="Times New Roman"/>
          <w:szCs w:val="21"/>
          <w:highlight w:val="none"/>
          <w:lang w:val="en-US" w:eastAsia="zh-CN"/>
        </w:rPr>
        <w:t>8</w:t>
      </w:r>
      <w:r>
        <w:rPr>
          <w:rFonts w:hint="default" w:ascii="Times New Roman" w:hAnsi="Times New Roman" w:eastAsia="宋体" w:cs="Times New Roman"/>
          <w:szCs w:val="21"/>
          <w:highlight w:val="none"/>
        </w:rPr>
        <w:t>.3.2）为参比，于分光光度计波长410nm处测量吸光度</w:t>
      </w:r>
      <w:r>
        <w:rPr>
          <w:rFonts w:hint="eastAsia" w:ascii="宋体" w:hAnsi="宋体" w:eastAsia="宋体" w:cs="宋体"/>
          <w:szCs w:val="21"/>
        </w:rPr>
        <w:t>。</w:t>
      </w:r>
    </w:p>
    <w:p w14:paraId="5824E289">
      <w:pPr>
        <w:keepNext w:val="0"/>
        <w:keepLines w:val="0"/>
        <w:pageBreakBefore w:val="0"/>
        <w:widowControl w:val="0"/>
        <w:kinsoku/>
        <w:wordWrap/>
        <w:overflowPunct/>
        <w:topLinePunct w:val="0"/>
        <w:autoSpaceDE/>
        <w:autoSpaceDN/>
        <w:bidi w:val="0"/>
        <w:adjustRightInd/>
        <w:snapToGrid/>
        <w:textAlignment w:val="auto"/>
        <w:rPr>
          <w:rFonts w:hint="eastAsia"/>
          <w:szCs w:val="21"/>
        </w:rPr>
      </w:pPr>
      <w:r>
        <w:rPr>
          <w:rFonts w:hint="eastAsia" w:ascii="黑体" w:hAnsi="黑体" w:eastAsia="黑体"/>
          <w:szCs w:val="21"/>
          <w:lang w:val="en-US" w:eastAsia="zh-CN"/>
        </w:rPr>
        <w:t>8.4.4</w:t>
      </w:r>
      <w:r>
        <w:rPr>
          <w:rFonts w:hint="eastAsia"/>
          <w:b/>
          <w:bCs/>
          <w:szCs w:val="21"/>
        </w:rPr>
        <w:t xml:space="preserve"> </w:t>
      </w:r>
      <w:r>
        <w:rPr>
          <w:rFonts w:hint="eastAsia"/>
          <w:b/>
          <w:bCs/>
          <w:szCs w:val="21"/>
          <w:lang w:val="en-US" w:eastAsia="zh-CN"/>
        </w:rPr>
        <w:t xml:space="preserve"> </w:t>
      </w:r>
      <w:r>
        <w:rPr>
          <w:rFonts w:hint="eastAsia"/>
          <w:szCs w:val="21"/>
        </w:rPr>
        <w:t>减去随同试料的空白溶液的吸光度，从工作曲线上查出相应的钛的质量。</w:t>
      </w:r>
    </w:p>
    <w:p w14:paraId="4519CD9B">
      <w:pPr>
        <w:keepNext w:val="0"/>
        <w:keepLines w:val="0"/>
        <w:pageBreakBefore w:val="0"/>
        <w:kinsoku/>
        <w:wordWrap/>
        <w:overflowPunct/>
        <w:topLinePunct w:val="0"/>
        <w:autoSpaceDE/>
        <w:autoSpaceDN/>
        <w:bidi w:val="0"/>
        <w:adjustRightInd/>
        <w:snapToGrid/>
        <w:spacing w:before="157" w:beforeLines="50" w:after="157" w:afterLines="50"/>
        <w:jc w:val="center"/>
        <w:textAlignment w:val="auto"/>
        <w:rPr>
          <w:rFonts w:hint="default" w:ascii="黑体" w:hAnsi="黑体" w:eastAsia="黑体" w:cs="黑体"/>
          <w:szCs w:val="21"/>
          <w:lang w:val="en-US" w:eastAsia="zh-CN"/>
        </w:rPr>
      </w:pPr>
      <w:r>
        <w:rPr>
          <w:rFonts w:hint="eastAsia" w:ascii="黑体" w:hAnsi="黑体" w:eastAsia="黑体" w:cs="黑体"/>
          <w:szCs w:val="21"/>
          <w:lang w:eastAsia="zh-CN"/>
        </w:rPr>
        <w:t>表</w:t>
      </w:r>
      <w:r>
        <w:rPr>
          <w:rFonts w:hint="eastAsia" w:ascii="黑体" w:hAnsi="黑体" w:eastAsia="黑体" w:cs="黑体"/>
          <w:szCs w:val="21"/>
          <w:lang w:val="en-US" w:eastAsia="zh-CN"/>
        </w:rPr>
        <w:t xml:space="preserve"> 1  </w:t>
      </w:r>
      <w:r>
        <w:rPr>
          <w:rFonts w:hint="eastAsia" w:ascii="黑体" w:hAnsi="黑体" w:eastAsia="黑体" w:cs="黑体"/>
          <w:color w:val="000000"/>
        </w:rPr>
        <w:t>分取试液体积</w:t>
      </w:r>
      <w:r>
        <w:rPr>
          <w:rFonts w:hint="eastAsia" w:ascii="黑体" w:hAnsi="黑体" w:eastAsia="黑体" w:cs="黑体"/>
          <w:color w:val="000000"/>
          <w:lang w:val="en-US" w:eastAsia="zh-CN"/>
        </w:rPr>
        <w:t>和加入硫酸量</w:t>
      </w:r>
    </w:p>
    <w:tbl>
      <w:tblPr>
        <w:tblStyle w:val="41"/>
        <w:tblW w:w="9567"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1594"/>
        <w:gridCol w:w="1594"/>
        <w:gridCol w:w="1594"/>
        <w:gridCol w:w="1594"/>
        <w:gridCol w:w="1594"/>
        <w:gridCol w:w="1597"/>
      </w:tblGrid>
      <w:tr w14:paraId="0724228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96" w:hRule="exact"/>
          <w:jc w:val="center"/>
        </w:trPr>
        <w:tc>
          <w:tcPr>
            <w:tcW w:w="1594" w:type="dxa"/>
            <w:tcBorders>
              <w:bottom w:val="single" w:color="000000" w:sz="12" w:space="0"/>
            </w:tcBorders>
            <w:vAlign w:val="center"/>
          </w:tcPr>
          <w:p w14:paraId="69DB210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钛的质量分数/%</w:t>
            </w:r>
          </w:p>
        </w:tc>
        <w:tc>
          <w:tcPr>
            <w:tcW w:w="1594" w:type="dxa"/>
            <w:tcBorders>
              <w:bottom w:val="single" w:color="000000" w:sz="12" w:space="0"/>
            </w:tcBorders>
            <w:vAlign w:val="center"/>
          </w:tcPr>
          <w:p w14:paraId="411E734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试料重量/g</w:t>
            </w:r>
          </w:p>
        </w:tc>
        <w:tc>
          <w:tcPr>
            <w:tcW w:w="1594" w:type="dxa"/>
            <w:tcBorders>
              <w:bottom w:val="single" w:color="000000" w:sz="12" w:space="0"/>
            </w:tcBorders>
            <w:vAlign w:val="center"/>
          </w:tcPr>
          <w:p w14:paraId="2246040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试液体积/mL</w:t>
            </w:r>
          </w:p>
        </w:tc>
        <w:tc>
          <w:tcPr>
            <w:tcW w:w="1594" w:type="dxa"/>
            <w:tcBorders>
              <w:bottom w:val="single" w:color="000000" w:sz="12" w:space="0"/>
            </w:tcBorders>
            <w:vAlign w:val="center"/>
          </w:tcPr>
          <w:p w14:paraId="17A4440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分</w:t>
            </w:r>
            <w:r>
              <w:rPr>
                <w:rFonts w:hint="default" w:ascii="Times New Roman" w:hAnsi="Times New Roman" w:eastAsia="宋体" w:cs="Times New Roman"/>
                <w:sz w:val="18"/>
                <w:szCs w:val="18"/>
                <w:vertAlign w:val="baseline"/>
                <w:lang w:val="en-US" w:eastAsia="zh-CN"/>
              </w:rPr>
              <w:t>取试液体积/mL</w:t>
            </w:r>
          </w:p>
        </w:tc>
        <w:tc>
          <w:tcPr>
            <w:tcW w:w="1594" w:type="dxa"/>
            <w:tcBorders>
              <w:bottom w:val="single" w:color="000000" w:sz="12" w:space="0"/>
            </w:tcBorders>
            <w:vAlign w:val="center"/>
          </w:tcPr>
          <w:p w14:paraId="516E13D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加入硫酸（5.5）</w:t>
            </w:r>
            <w:r>
              <w:rPr>
                <w:rFonts w:hint="default" w:ascii="Times New Roman" w:hAnsi="Times New Roman" w:cs="Times New Roman"/>
                <w:sz w:val="18"/>
                <w:szCs w:val="18"/>
                <w:vertAlign w:val="baseline"/>
                <w:lang w:val="en-US" w:eastAsia="zh-CN"/>
              </w:rPr>
              <w:t>量</w:t>
            </w:r>
            <w:r>
              <w:rPr>
                <w:rFonts w:hint="default" w:ascii="Times New Roman" w:hAnsi="Times New Roman" w:eastAsia="宋体" w:cs="Times New Roman"/>
                <w:sz w:val="18"/>
                <w:szCs w:val="18"/>
                <w:vertAlign w:val="baseline"/>
                <w:lang w:val="en-US" w:eastAsia="zh-CN"/>
              </w:rPr>
              <w:t>/mL</w:t>
            </w:r>
          </w:p>
        </w:tc>
        <w:tc>
          <w:tcPr>
            <w:tcW w:w="1597" w:type="dxa"/>
            <w:tcBorders>
              <w:bottom w:val="single" w:color="000000" w:sz="12" w:space="0"/>
            </w:tcBorders>
            <w:vAlign w:val="center"/>
          </w:tcPr>
          <w:p w14:paraId="466CC95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定容体积/mL</w:t>
            </w:r>
          </w:p>
        </w:tc>
      </w:tr>
      <w:tr w14:paraId="54D34ED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1594" w:type="dxa"/>
            <w:tcBorders>
              <w:tl2br w:val="nil"/>
              <w:tr2bl w:val="nil"/>
            </w:tcBorders>
            <w:vAlign w:val="center"/>
          </w:tcPr>
          <w:p w14:paraId="7DDD2DD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0.010</w:t>
            </w:r>
            <w:r>
              <w:rPr>
                <w:rFonts w:hint="default" w:ascii="Times New Roman" w:hAnsi="Times New Roman" w:eastAsia="宋体" w:cs="Times New Roman"/>
                <w:sz w:val="18"/>
                <w:szCs w:val="18"/>
                <w:lang w:val="en-US" w:eastAsia="zh-CN"/>
              </w:rPr>
              <w:t>～</w:t>
            </w:r>
            <w:r>
              <w:rPr>
                <w:rFonts w:hint="default" w:ascii="Times New Roman" w:hAnsi="Times New Roman" w:cs="Times New Roman"/>
                <w:sz w:val="18"/>
                <w:szCs w:val="18"/>
                <w:lang w:val="en-US" w:eastAsia="zh-CN"/>
              </w:rPr>
              <w:t>0.20</w:t>
            </w:r>
          </w:p>
        </w:tc>
        <w:tc>
          <w:tcPr>
            <w:tcW w:w="1594" w:type="dxa"/>
            <w:tcBorders>
              <w:tl2br w:val="nil"/>
              <w:tr2bl w:val="nil"/>
            </w:tcBorders>
            <w:vAlign w:val="center"/>
          </w:tcPr>
          <w:p w14:paraId="6AD5667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0.500</w:t>
            </w:r>
          </w:p>
        </w:tc>
        <w:tc>
          <w:tcPr>
            <w:tcW w:w="1594" w:type="dxa"/>
            <w:tcBorders>
              <w:tl2br w:val="nil"/>
              <w:tr2bl w:val="nil"/>
            </w:tcBorders>
            <w:vAlign w:val="center"/>
          </w:tcPr>
          <w:p w14:paraId="0821E2E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100</w:t>
            </w:r>
          </w:p>
        </w:tc>
        <w:tc>
          <w:tcPr>
            <w:tcW w:w="1594" w:type="dxa"/>
            <w:tcBorders>
              <w:tl2br w:val="nil"/>
              <w:tr2bl w:val="nil"/>
            </w:tcBorders>
            <w:vAlign w:val="center"/>
          </w:tcPr>
          <w:p w14:paraId="6A1BF96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kern w:val="2"/>
                <w:sz w:val="18"/>
                <w:szCs w:val="18"/>
                <w:vertAlign w:val="baseline"/>
                <w:lang w:val="en-US" w:eastAsia="zh-CN" w:bidi="ar-SA"/>
              </w:rPr>
            </w:pPr>
            <w:r>
              <w:rPr>
                <w:rFonts w:hint="default" w:ascii="Times New Roman" w:hAnsi="Times New Roman" w:cs="Times New Roman"/>
                <w:sz w:val="18"/>
                <w:szCs w:val="18"/>
                <w:vertAlign w:val="baseline"/>
                <w:lang w:val="en-US" w:eastAsia="zh-CN"/>
              </w:rPr>
              <w:t>---</w:t>
            </w:r>
          </w:p>
        </w:tc>
        <w:tc>
          <w:tcPr>
            <w:tcW w:w="1594" w:type="dxa"/>
            <w:tcBorders>
              <w:tl2br w:val="nil"/>
              <w:tr2bl w:val="nil"/>
            </w:tcBorders>
            <w:vAlign w:val="center"/>
          </w:tcPr>
          <w:p w14:paraId="598D4CF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kern w:val="2"/>
                <w:sz w:val="18"/>
                <w:szCs w:val="18"/>
                <w:vertAlign w:val="baseline"/>
                <w:lang w:val="en-US" w:eastAsia="zh-CN" w:bidi="ar-SA"/>
              </w:rPr>
            </w:pPr>
            <w:r>
              <w:rPr>
                <w:rFonts w:hint="default" w:ascii="Times New Roman" w:hAnsi="Times New Roman" w:cs="Times New Roman"/>
                <w:sz w:val="18"/>
                <w:szCs w:val="18"/>
                <w:vertAlign w:val="baseline"/>
                <w:lang w:val="en-US" w:eastAsia="zh-CN"/>
              </w:rPr>
              <w:t>---</w:t>
            </w:r>
          </w:p>
        </w:tc>
        <w:tc>
          <w:tcPr>
            <w:tcW w:w="1597" w:type="dxa"/>
            <w:tcBorders>
              <w:tl2br w:val="nil"/>
              <w:tr2bl w:val="nil"/>
            </w:tcBorders>
            <w:vAlign w:val="center"/>
          </w:tcPr>
          <w:p w14:paraId="1674F11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w:t>
            </w:r>
          </w:p>
        </w:tc>
      </w:tr>
      <w:tr w14:paraId="1191DA6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1594" w:type="dxa"/>
            <w:tcBorders>
              <w:tl2br w:val="nil"/>
              <w:tr2bl w:val="nil"/>
            </w:tcBorders>
            <w:vAlign w:val="center"/>
          </w:tcPr>
          <w:p w14:paraId="62074AF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&gt;0.</w:t>
            </w:r>
            <w:r>
              <w:rPr>
                <w:rFonts w:hint="default" w:ascii="Times New Roman" w:hAnsi="Times New Roman" w:cs="Times New Roman"/>
                <w:sz w:val="18"/>
                <w:szCs w:val="18"/>
                <w:highlight w:val="none"/>
                <w:vertAlign w:val="baseline"/>
                <w:lang w:val="en-US" w:eastAsia="zh-CN"/>
              </w:rPr>
              <w:t>2</w:t>
            </w:r>
            <w:r>
              <w:rPr>
                <w:rFonts w:hint="default" w:ascii="Times New Roman" w:hAnsi="Times New Roman" w:eastAsia="宋体" w:cs="Times New Roman"/>
                <w:sz w:val="18"/>
                <w:szCs w:val="18"/>
                <w:highlight w:val="none"/>
                <w:vertAlign w:val="baseline"/>
                <w:lang w:val="en-US" w:eastAsia="zh-CN"/>
              </w:rPr>
              <w:t>0</w:t>
            </w:r>
            <w:r>
              <w:rPr>
                <w:rFonts w:hint="default" w:ascii="Times New Roman" w:hAnsi="Times New Roman" w:eastAsia="宋体" w:cs="Times New Roman"/>
                <w:sz w:val="18"/>
                <w:szCs w:val="18"/>
                <w:highlight w:val="none"/>
              </w:rPr>
              <w:t>～</w:t>
            </w:r>
            <w:r>
              <w:rPr>
                <w:rFonts w:hint="default" w:ascii="Times New Roman" w:hAnsi="Times New Roman" w:cs="Times New Roman"/>
                <w:sz w:val="18"/>
                <w:szCs w:val="18"/>
                <w:highlight w:val="none"/>
                <w:lang w:val="en-US" w:eastAsia="zh-CN"/>
              </w:rPr>
              <w:t>1</w:t>
            </w:r>
            <w:r>
              <w:rPr>
                <w:rFonts w:hint="default" w:ascii="Times New Roman" w:hAnsi="Times New Roman" w:eastAsia="宋体" w:cs="Times New Roman"/>
                <w:sz w:val="18"/>
                <w:szCs w:val="18"/>
                <w:highlight w:val="none"/>
                <w:lang w:val="en-US" w:eastAsia="zh-CN"/>
              </w:rPr>
              <w:t>.</w:t>
            </w:r>
            <w:r>
              <w:rPr>
                <w:rFonts w:hint="default" w:ascii="Times New Roman" w:hAnsi="Times New Roman" w:cs="Times New Roman"/>
                <w:sz w:val="18"/>
                <w:szCs w:val="18"/>
                <w:highlight w:val="none"/>
                <w:lang w:val="en-US" w:eastAsia="zh-CN"/>
              </w:rPr>
              <w:t>0</w:t>
            </w:r>
            <w:r>
              <w:rPr>
                <w:rFonts w:hint="default" w:ascii="Times New Roman" w:hAnsi="Times New Roman" w:eastAsia="宋体" w:cs="Times New Roman"/>
                <w:sz w:val="18"/>
                <w:szCs w:val="18"/>
                <w:highlight w:val="none"/>
                <w:lang w:val="en-US" w:eastAsia="zh-CN"/>
              </w:rPr>
              <w:t>0</w:t>
            </w:r>
          </w:p>
        </w:tc>
        <w:tc>
          <w:tcPr>
            <w:tcW w:w="1594" w:type="dxa"/>
            <w:tcBorders>
              <w:tl2br w:val="nil"/>
              <w:tr2bl w:val="nil"/>
            </w:tcBorders>
            <w:vAlign w:val="center"/>
          </w:tcPr>
          <w:p w14:paraId="25411B9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cs="Times New Roman"/>
                <w:sz w:val="18"/>
                <w:szCs w:val="18"/>
                <w:highlight w:val="none"/>
                <w:vertAlign w:val="baseline"/>
                <w:lang w:val="en-US" w:eastAsia="zh-CN"/>
              </w:rPr>
              <w:t>0.400</w:t>
            </w:r>
          </w:p>
        </w:tc>
        <w:tc>
          <w:tcPr>
            <w:tcW w:w="1594" w:type="dxa"/>
            <w:tcBorders>
              <w:tl2br w:val="nil"/>
              <w:tr2bl w:val="nil"/>
            </w:tcBorders>
            <w:vAlign w:val="center"/>
          </w:tcPr>
          <w:p w14:paraId="4A3EEE7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100</w:t>
            </w:r>
          </w:p>
        </w:tc>
        <w:tc>
          <w:tcPr>
            <w:tcW w:w="1594" w:type="dxa"/>
            <w:tcBorders>
              <w:tl2br w:val="nil"/>
              <w:tr2bl w:val="nil"/>
            </w:tcBorders>
            <w:vAlign w:val="center"/>
          </w:tcPr>
          <w:p w14:paraId="2863341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20.00</w:t>
            </w:r>
          </w:p>
        </w:tc>
        <w:tc>
          <w:tcPr>
            <w:tcW w:w="1594" w:type="dxa"/>
            <w:tcBorders>
              <w:tl2br w:val="nil"/>
              <w:tr2bl w:val="nil"/>
            </w:tcBorders>
            <w:vAlign w:val="center"/>
          </w:tcPr>
          <w:p w14:paraId="1A78FE4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8</w:t>
            </w:r>
          </w:p>
        </w:tc>
        <w:tc>
          <w:tcPr>
            <w:tcW w:w="1597" w:type="dxa"/>
            <w:tcBorders>
              <w:tl2br w:val="nil"/>
              <w:tr2bl w:val="nil"/>
            </w:tcBorders>
            <w:vAlign w:val="center"/>
          </w:tcPr>
          <w:p w14:paraId="7D16BD1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18"/>
                <w:szCs w:val="18"/>
                <w:highlight w:val="none"/>
                <w:vertAlign w:val="baseline"/>
                <w:lang w:val="en-US" w:eastAsia="zh-CN"/>
              </w:rPr>
            </w:pPr>
            <w:r>
              <w:rPr>
                <w:rFonts w:hint="default" w:ascii="Times New Roman" w:hAnsi="Times New Roman" w:cs="Times New Roman"/>
                <w:sz w:val="18"/>
                <w:szCs w:val="18"/>
                <w:highlight w:val="none"/>
                <w:vertAlign w:val="baseline"/>
                <w:lang w:val="en-US" w:eastAsia="zh-CN"/>
              </w:rPr>
              <w:t>100</w:t>
            </w:r>
          </w:p>
        </w:tc>
      </w:tr>
      <w:tr w14:paraId="73947EB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1594" w:type="dxa"/>
            <w:tcBorders>
              <w:tl2br w:val="nil"/>
              <w:tr2bl w:val="nil"/>
            </w:tcBorders>
            <w:vAlign w:val="center"/>
          </w:tcPr>
          <w:p w14:paraId="6D84F8A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&gt;</w:t>
            </w:r>
            <w:r>
              <w:rPr>
                <w:rFonts w:hint="default" w:ascii="Times New Roman" w:hAnsi="Times New Roman" w:cs="Times New Roman"/>
                <w:sz w:val="18"/>
                <w:szCs w:val="18"/>
                <w:highlight w:val="none"/>
                <w:lang w:val="en-US" w:eastAsia="zh-CN"/>
              </w:rPr>
              <w:t>1.00</w:t>
            </w:r>
            <w:r>
              <w:rPr>
                <w:rFonts w:hint="default" w:ascii="Times New Roman" w:hAnsi="Times New Roman" w:eastAsia="宋体" w:cs="Times New Roman"/>
                <w:sz w:val="18"/>
                <w:szCs w:val="18"/>
                <w:highlight w:val="none"/>
              </w:rPr>
              <w:t>～</w:t>
            </w:r>
            <w:r>
              <w:rPr>
                <w:rFonts w:hint="default" w:ascii="Times New Roman" w:hAnsi="Times New Roman" w:cs="Times New Roman"/>
                <w:sz w:val="18"/>
                <w:szCs w:val="18"/>
                <w:highlight w:val="none"/>
                <w:lang w:val="en-US" w:eastAsia="zh-CN"/>
              </w:rPr>
              <w:t>5</w:t>
            </w:r>
            <w:r>
              <w:rPr>
                <w:rFonts w:hint="default" w:ascii="Times New Roman" w:hAnsi="Times New Roman" w:eastAsia="宋体" w:cs="Times New Roman"/>
                <w:sz w:val="18"/>
                <w:szCs w:val="18"/>
                <w:highlight w:val="none"/>
                <w:lang w:val="en-US" w:eastAsia="zh-CN"/>
              </w:rPr>
              <w:t>.00</w:t>
            </w:r>
          </w:p>
        </w:tc>
        <w:tc>
          <w:tcPr>
            <w:tcW w:w="1594" w:type="dxa"/>
            <w:tcBorders>
              <w:tl2br w:val="nil"/>
              <w:tr2bl w:val="nil"/>
            </w:tcBorders>
            <w:vAlign w:val="center"/>
          </w:tcPr>
          <w:p w14:paraId="22B1C3A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18"/>
                <w:szCs w:val="18"/>
                <w:highlight w:val="none"/>
                <w:vertAlign w:val="baseline"/>
                <w:lang w:val="en-US" w:eastAsia="zh-CN"/>
              </w:rPr>
            </w:pPr>
            <w:r>
              <w:rPr>
                <w:rFonts w:hint="default" w:ascii="Times New Roman" w:hAnsi="Times New Roman" w:cs="Times New Roman"/>
                <w:sz w:val="18"/>
                <w:szCs w:val="18"/>
                <w:highlight w:val="none"/>
                <w:vertAlign w:val="baseline"/>
                <w:lang w:val="en-US" w:eastAsia="zh-CN"/>
              </w:rPr>
              <w:t>0.200</w:t>
            </w:r>
          </w:p>
        </w:tc>
        <w:tc>
          <w:tcPr>
            <w:tcW w:w="1594" w:type="dxa"/>
            <w:tcBorders>
              <w:tl2br w:val="nil"/>
              <w:tr2bl w:val="nil"/>
            </w:tcBorders>
            <w:vAlign w:val="center"/>
          </w:tcPr>
          <w:p w14:paraId="3F553AE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cs="Times New Roman"/>
                <w:sz w:val="18"/>
                <w:szCs w:val="18"/>
                <w:highlight w:val="none"/>
                <w:vertAlign w:val="baseline"/>
                <w:lang w:val="en-US" w:eastAsia="zh-CN"/>
              </w:rPr>
              <w:t>1</w:t>
            </w:r>
            <w:r>
              <w:rPr>
                <w:rFonts w:hint="default" w:ascii="Times New Roman" w:hAnsi="Times New Roman" w:eastAsia="宋体" w:cs="Times New Roman"/>
                <w:sz w:val="18"/>
                <w:szCs w:val="18"/>
                <w:highlight w:val="none"/>
                <w:vertAlign w:val="baseline"/>
                <w:lang w:val="en-US" w:eastAsia="zh-CN"/>
              </w:rPr>
              <w:t>00</w:t>
            </w:r>
          </w:p>
        </w:tc>
        <w:tc>
          <w:tcPr>
            <w:tcW w:w="1594" w:type="dxa"/>
            <w:tcBorders>
              <w:tl2br w:val="nil"/>
              <w:tr2bl w:val="nil"/>
            </w:tcBorders>
            <w:vAlign w:val="center"/>
          </w:tcPr>
          <w:p w14:paraId="5F897C0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cs="Times New Roman"/>
                <w:sz w:val="18"/>
                <w:szCs w:val="18"/>
                <w:highlight w:val="none"/>
                <w:vertAlign w:val="baseline"/>
                <w:lang w:val="en-US" w:eastAsia="zh-CN"/>
              </w:rPr>
              <w:t>10</w:t>
            </w:r>
            <w:r>
              <w:rPr>
                <w:rFonts w:hint="default" w:ascii="Times New Roman" w:hAnsi="Times New Roman" w:eastAsia="宋体" w:cs="Times New Roman"/>
                <w:sz w:val="18"/>
                <w:szCs w:val="18"/>
                <w:highlight w:val="none"/>
                <w:vertAlign w:val="baseline"/>
                <w:lang w:val="en-US" w:eastAsia="zh-CN"/>
              </w:rPr>
              <w:t>.00</w:t>
            </w:r>
          </w:p>
        </w:tc>
        <w:tc>
          <w:tcPr>
            <w:tcW w:w="1594" w:type="dxa"/>
            <w:tcBorders>
              <w:tl2br w:val="nil"/>
              <w:tr2bl w:val="nil"/>
            </w:tcBorders>
            <w:vAlign w:val="center"/>
          </w:tcPr>
          <w:p w14:paraId="19B0B93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cs="Times New Roman"/>
                <w:sz w:val="18"/>
                <w:szCs w:val="18"/>
                <w:highlight w:val="none"/>
                <w:vertAlign w:val="baseline"/>
                <w:lang w:val="en-US" w:eastAsia="zh-CN"/>
              </w:rPr>
              <w:t>9</w:t>
            </w:r>
          </w:p>
        </w:tc>
        <w:tc>
          <w:tcPr>
            <w:tcW w:w="1597" w:type="dxa"/>
            <w:tcBorders>
              <w:tl2br w:val="nil"/>
              <w:tr2bl w:val="nil"/>
            </w:tcBorders>
            <w:vAlign w:val="center"/>
          </w:tcPr>
          <w:p w14:paraId="0BE8B33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18"/>
                <w:szCs w:val="18"/>
                <w:highlight w:val="none"/>
                <w:vertAlign w:val="baseline"/>
                <w:lang w:val="en-US" w:eastAsia="zh-CN"/>
              </w:rPr>
            </w:pPr>
            <w:r>
              <w:rPr>
                <w:rFonts w:hint="default" w:ascii="Times New Roman" w:hAnsi="Times New Roman" w:cs="Times New Roman"/>
                <w:sz w:val="18"/>
                <w:szCs w:val="18"/>
                <w:highlight w:val="none"/>
                <w:vertAlign w:val="baseline"/>
                <w:lang w:val="en-US" w:eastAsia="zh-CN"/>
              </w:rPr>
              <w:t>100</w:t>
            </w:r>
          </w:p>
        </w:tc>
      </w:tr>
    </w:tbl>
    <w:p w14:paraId="42E7B9C5">
      <w:pPr>
        <w:keepNext w:val="0"/>
        <w:keepLines w:val="0"/>
        <w:pageBreakBefore w:val="0"/>
        <w:kinsoku/>
        <w:wordWrap/>
        <w:overflowPunct/>
        <w:topLinePunct w:val="0"/>
        <w:autoSpaceDE/>
        <w:autoSpaceDN/>
        <w:bidi w:val="0"/>
        <w:adjustRightInd/>
        <w:snapToGrid/>
        <w:spacing w:before="157" w:beforeLines="50" w:after="157" w:afterLines="50"/>
        <w:textAlignment w:val="auto"/>
        <w:rPr>
          <w:rFonts w:hint="eastAsia"/>
          <w:szCs w:val="21"/>
        </w:rPr>
      </w:pPr>
      <w:r>
        <w:rPr>
          <w:rFonts w:hint="eastAsia" w:ascii="黑体" w:hAnsi="黑体" w:eastAsia="黑体"/>
          <w:szCs w:val="21"/>
          <w:lang w:val="en-US" w:eastAsia="zh-CN"/>
        </w:rPr>
        <w:t>8.5</w:t>
      </w:r>
      <w:r>
        <w:rPr>
          <w:rFonts w:hint="eastAsia"/>
          <w:b/>
          <w:bCs/>
          <w:szCs w:val="21"/>
        </w:rPr>
        <w:t xml:space="preserve"> </w:t>
      </w:r>
      <w:r>
        <w:rPr>
          <w:rFonts w:hint="eastAsia"/>
          <w:b/>
          <w:bCs/>
          <w:szCs w:val="21"/>
          <w:lang w:val="en-US" w:eastAsia="zh-CN"/>
        </w:rPr>
        <w:t xml:space="preserve"> </w:t>
      </w:r>
      <w:r>
        <w:rPr>
          <w:rFonts w:hint="eastAsia" w:ascii="黑体" w:hAnsi="黑体" w:eastAsia="黑体"/>
          <w:szCs w:val="21"/>
          <w:lang w:eastAsia="zh-CN"/>
        </w:rPr>
        <w:t>工作曲线的绘制</w:t>
      </w:r>
    </w:p>
    <w:p w14:paraId="4F259F32">
      <w:pPr>
        <w:keepNext w:val="0"/>
        <w:keepLines w:val="0"/>
        <w:pageBreakBefore w:val="0"/>
        <w:kinsoku/>
        <w:wordWrap/>
        <w:overflowPunct/>
        <w:topLinePunct w:val="0"/>
        <w:autoSpaceDE/>
        <w:autoSpaceDN/>
        <w:bidi w:val="0"/>
        <w:adjustRightInd/>
        <w:snapToGrid/>
        <w:spacing w:before="157" w:beforeLines="50" w:after="157" w:afterLines="50"/>
        <w:textAlignment w:val="auto"/>
        <w:rPr>
          <w:rFonts w:hint="eastAsia"/>
          <w:szCs w:val="21"/>
        </w:rPr>
      </w:pPr>
      <w:r>
        <w:rPr>
          <w:rFonts w:hint="eastAsia" w:ascii="黑体" w:hAnsi="黑体" w:eastAsia="黑体"/>
          <w:szCs w:val="21"/>
          <w:lang w:val="en-US" w:eastAsia="zh-CN"/>
        </w:rPr>
        <w:t>8.5.1</w:t>
      </w:r>
      <w:r>
        <w:rPr>
          <w:rFonts w:hint="eastAsia"/>
          <w:szCs w:val="21"/>
        </w:rPr>
        <w:t xml:space="preserve"> </w:t>
      </w:r>
      <w:r>
        <w:rPr>
          <w:rFonts w:hint="eastAsia" w:ascii="宋体" w:hAnsi="宋体" w:eastAsia="宋体" w:cs="宋体"/>
          <w:szCs w:val="21"/>
        </w:rPr>
        <w:t>移取</w:t>
      </w:r>
      <w:r>
        <w:rPr>
          <w:rFonts w:hint="default" w:ascii="Times New Roman" w:hAnsi="Times New Roman" w:eastAsia="宋体" w:cs="Times New Roman"/>
          <w:szCs w:val="21"/>
          <w:highlight w:val="none"/>
        </w:rPr>
        <w:t>0mL，</w:t>
      </w:r>
      <w:r>
        <w:rPr>
          <w:rFonts w:hint="default" w:ascii="Times New Roman" w:hAnsi="Times New Roman" w:cs="Times New Roman"/>
          <w:szCs w:val="21"/>
          <w:highlight w:val="none"/>
          <w:lang w:val="en-US" w:eastAsia="zh-CN"/>
        </w:rPr>
        <w:t>0.50mL，</w:t>
      </w:r>
      <w:r>
        <w:rPr>
          <w:rFonts w:hint="default" w:ascii="Times New Roman" w:hAnsi="Times New Roman" w:eastAsia="宋体" w:cs="Times New Roman"/>
          <w:szCs w:val="21"/>
          <w:highlight w:val="none"/>
        </w:rPr>
        <w:t>2.00mL，4.00mL，6.00mL，8.00mL，10.00mL钛标准溶液</w:t>
      </w:r>
      <w:r>
        <w:rPr>
          <w:rFonts w:hint="default" w:ascii="Times New Roman" w:hAnsi="Times New Roman" w:eastAsia="宋体" w:cs="Times New Roman"/>
          <w:color w:val="auto"/>
          <w:szCs w:val="21"/>
          <w:highlight w:val="none"/>
        </w:rPr>
        <w:t>（</w:t>
      </w:r>
      <w:r>
        <w:rPr>
          <w:rFonts w:hint="default" w:ascii="Times New Roman" w:hAnsi="Times New Roman" w:cs="Times New Roman"/>
          <w:color w:val="auto"/>
          <w:szCs w:val="21"/>
          <w:highlight w:val="none"/>
          <w:lang w:val="en-US" w:eastAsia="zh-CN"/>
        </w:rPr>
        <w:t>5</w:t>
      </w:r>
      <w:r>
        <w:rPr>
          <w:rFonts w:hint="default" w:ascii="Times New Roman" w:hAnsi="Times New Roman" w:eastAsia="宋体" w:cs="Times New Roman"/>
          <w:color w:val="auto"/>
          <w:szCs w:val="21"/>
          <w:highlight w:val="none"/>
          <w:lang w:val="en-US" w:eastAsia="zh-CN"/>
        </w:rPr>
        <w:t>.</w:t>
      </w:r>
      <w:r>
        <w:rPr>
          <w:rFonts w:hint="default" w:ascii="Times New Roman" w:hAnsi="Times New Roman" w:cs="Times New Roman"/>
          <w:color w:val="auto"/>
          <w:szCs w:val="21"/>
          <w:highlight w:val="none"/>
          <w:lang w:val="en-US" w:eastAsia="zh-CN"/>
        </w:rPr>
        <w:t>7</w:t>
      </w:r>
      <w:r>
        <w:rPr>
          <w:rFonts w:hint="default" w:ascii="Times New Roman" w:hAnsi="Times New Roman" w:eastAsia="宋体" w:cs="Times New Roman"/>
          <w:color w:val="auto"/>
          <w:szCs w:val="21"/>
          <w:highlight w:val="none"/>
        </w:rPr>
        <w:t>）</w:t>
      </w:r>
      <w:r>
        <w:rPr>
          <w:rFonts w:hint="default" w:ascii="Times New Roman" w:hAnsi="Times New Roman" w:eastAsia="宋体" w:cs="Times New Roman"/>
          <w:szCs w:val="21"/>
          <w:highlight w:val="none"/>
        </w:rPr>
        <w:t>置于一组100mL容量瓶中，加入10mL硫酸（</w:t>
      </w:r>
      <w:r>
        <w:rPr>
          <w:rFonts w:hint="default" w:ascii="Times New Roman" w:hAnsi="Times New Roman" w:cs="Times New Roman"/>
          <w:szCs w:val="21"/>
          <w:highlight w:val="none"/>
          <w:lang w:val="en-US" w:eastAsia="zh-CN"/>
        </w:rPr>
        <w:t>5.5</w:t>
      </w:r>
      <w:r>
        <w:rPr>
          <w:rFonts w:hint="default" w:ascii="Times New Roman" w:hAnsi="Times New Roman" w:eastAsia="宋体" w:cs="Times New Roman"/>
          <w:szCs w:val="21"/>
          <w:highlight w:val="none"/>
        </w:rPr>
        <w:t>），2m</w:t>
      </w:r>
      <w:r>
        <w:rPr>
          <w:rFonts w:hint="default" w:ascii="Times New Roman" w:hAnsi="Times New Roman" w:eastAsia="宋体" w:cs="Times New Roman"/>
          <w:szCs w:val="21"/>
        </w:rPr>
        <w:t>L过氧化氢（</w:t>
      </w:r>
      <w:r>
        <w:rPr>
          <w:rFonts w:hint="default" w:ascii="Times New Roman" w:hAnsi="Times New Roman" w:cs="Times New Roman"/>
          <w:szCs w:val="21"/>
          <w:lang w:val="en-US" w:eastAsia="zh-CN"/>
        </w:rPr>
        <w:t>5.6</w:t>
      </w:r>
      <w:r>
        <w:rPr>
          <w:rFonts w:hint="default" w:ascii="Times New Roman" w:hAnsi="Times New Roman" w:eastAsia="宋体" w:cs="Times New Roman"/>
          <w:szCs w:val="21"/>
        </w:rPr>
        <w:t>），用水稀释至刻度，混匀，放置</w:t>
      </w:r>
      <w:r>
        <w:rPr>
          <w:rFonts w:hint="eastAsia" w:cs="Times New Roman"/>
          <w:szCs w:val="21"/>
          <w:lang w:val="en-US" w:eastAsia="zh-CN"/>
        </w:rPr>
        <w:t>5</w:t>
      </w:r>
      <w:r>
        <w:rPr>
          <w:rFonts w:hint="default" w:ascii="Times New Roman" w:hAnsi="Times New Roman" w:eastAsia="宋体" w:cs="Times New Roman"/>
          <w:szCs w:val="21"/>
        </w:rPr>
        <w:t>min。</w:t>
      </w:r>
    </w:p>
    <w:p w14:paraId="525E90C1">
      <w:pPr>
        <w:keepNext w:val="0"/>
        <w:keepLines w:val="0"/>
        <w:pageBreakBefore w:val="0"/>
        <w:widowControl/>
        <w:numPr>
          <w:ilvl w:val="1"/>
          <w:numId w:val="0"/>
        </w:numPr>
        <w:kinsoku/>
        <w:wordWrap/>
        <w:overflowPunct/>
        <w:topLinePunct w:val="0"/>
        <w:autoSpaceDE/>
        <w:autoSpaceDN/>
        <w:bidi w:val="0"/>
        <w:adjustRightInd/>
        <w:snapToGrid/>
        <w:spacing w:before="157" w:beforeLines="50" w:after="157" w:afterLines="50"/>
        <w:textAlignment w:val="auto"/>
        <w:outlineLvl w:val="1"/>
        <w:rPr>
          <w:rFonts w:hint="eastAsia"/>
          <w:szCs w:val="21"/>
        </w:rPr>
      </w:pPr>
      <w:r>
        <w:rPr>
          <w:rFonts w:hint="eastAsia" w:ascii="黑体" w:hAnsi="黑体" w:eastAsia="黑体"/>
          <w:szCs w:val="21"/>
          <w:lang w:val="en-US" w:eastAsia="zh-CN"/>
        </w:rPr>
        <w:t xml:space="preserve">8.5.2  </w:t>
      </w:r>
      <w:r>
        <w:rPr>
          <w:rFonts w:hint="eastAsia" w:ascii="宋体" w:hAnsi="宋体" w:eastAsia="宋体" w:cs="宋体"/>
          <w:szCs w:val="21"/>
        </w:rPr>
        <w:t>将部分溶</w:t>
      </w:r>
      <w:r>
        <w:rPr>
          <w:rFonts w:hint="default" w:ascii="Times New Roman" w:hAnsi="Times New Roman" w:eastAsia="宋体" w:cs="Times New Roman"/>
          <w:szCs w:val="21"/>
          <w:highlight w:val="none"/>
        </w:rPr>
        <w:t>液移入</w:t>
      </w:r>
      <w:r>
        <w:rPr>
          <w:rFonts w:hint="default" w:ascii="Times New Roman" w:hAnsi="Times New Roman" w:cs="Times New Roman"/>
          <w:szCs w:val="21"/>
          <w:highlight w:val="none"/>
          <w:lang w:val="en-US" w:eastAsia="zh-CN"/>
        </w:rPr>
        <w:t>5cm</w:t>
      </w:r>
      <w:r>
        <w:rPr>
          <w:rFonts w:hint="default" w:ascii="Times New Roman" w:hAnsi="Times New Roman" w:eastAsia="宋体" w:cs="Times New Roman"/>
          <w:szCs w:val="21"/>
          <w:highlight w:val="none"/>
        </w:rPr>
        <w:t>吸收皿中，以试剂空白溶液为参比，于分光光度计波长410nm处测量吸光度。以钛的质量为横坐标，吸光度为纵坐标，绘制工作</w:t>
      </w:r>
      <w:r>
        <w:rPr>
          <w:rFonts w:hint="eastAsia" w:ascii="宋体" w:hAnsi="宋体" w:eastAsia="宋体" w:cs="宋体"/>
          <w:szCs w:val="21"/>
        </w:rPr>
        <w:t>曲线。</w:t>
      </w:r>
    </w:p>
    <w:p w14:paraId="30AE1DB4">
      <w:pPr>
        <w:widowControl/>
        <w:numPr>
          <w:ilvl w:val="1"/>
          <w:numId w:val="0"/>
        </w:numPr>
        <w:spacing w:before="156" w:after="156"/>
        <w:outlineLvl w:val="1"/>
        <w:rPr>
          <w:rFonts w:hint="default" w:ascii="宋体" w:hAnsi="宋体" w:cs="宋体"/>
          <w:kern w:val="0"/>
          <w:szCs w:val="20"/>
          <w:lang w:val="en-US" w:eastAsia="zh-CN"/>
        </w:rPr>
      </w:pPr>
      <w:r>
        <w:rPr>
          <w:rFonts w:hint="eastAsia" w:ascii="黑体" w:hAnsi="黑体" w:eastAsia="黑体" w:cs="黑体"/>
          <w:kern w:val="0"/>
          <w:szCs w:val="20"/>
          <w:lang w:val="en-US" w:eastAsia="zh-CN"/>
        </w:rPr>
        <w:t>9  分析结果的计算</w:t>
      </w:r>
    </w:p>
    <w:p w14:paraId="67432A11">
      <w:pPr>
        <w:pStyle w:val="37"/>
        <w:spacing w:line="300" w:lineRule="exact"/>
        <w:ind w:left="0" w:leftChars="0" w:firstLine="210" w:firstLineChars="100"/>
        <w:rPr>
          <w:rFonts w:hint="eastAsia"/>
          <w:szCs w:val="21"/>
        </w:rPr>
      </w:pPr>
      <w:r>
        <w:rPr>
          <w:rFonts w:hint="eastAsia"/>
        </w:rPr>
        <w:t>按</w:t>
      </w:r>
      <w:r>
        <w:rPr>
          <w:rFonts w:hint="default" w:ascii="Times New Roman" w:hAnsi="Times New Roman" w:cs="Times New Roman"/>
        </w:rPr>
        <w:t>式（1）</w:t>
      </w:r>
      <w:r>
        <w:rPr>
          <w:rFonts w:hint="default" w:ascii="Times New Roman" w:hAnsi="Times New Roman" w:eastAsia="宋体" w:cs="Times New Roman"/>
        </w:rPr>
        <w:t>计算</w:t>
      </w:r>
      <w:r>
        <w:rPr>
          <w:rFonts w:hint="default" w:ascii="Times New Roman" w:hAnsi="Times New Roman" w:eastAsia="宋体" w:cs="Times New Roman"/>
          <w:kern w:val="0"/>
        </w:rPr>
        <w:t>钛</w:t>
      </w:r>
      <w:r>
        <w:rPr>
          <w:rFonts w:hint="default" w:ascii="Times New Roman" w:hAnsi="Times New Roman" w:eastAsia="宋体" w:cs="Times New Roman"/>
        </w:rPr>
        <w:t>的质量分数</w:t>
      </w:r>
      <w:r>
        <w:rPr>
          <w:rFonts w:hint="default" w:ascii="Times New Roman" w:hAnsi="Times New Roman" w:eastAsia="宋体" w:cs="Times New Roman"/>
          <w:i/>
          <w:iCs/>
        </w:rPr>
        <w:t>ω</w:t>
      </w:r>
      <w:r>
        <w:rPr>
          <w:rFonts w:hint="default" w:ascii="Times New Roman" w:hAnsi="Times New Roman" w:eastAsia="宋体" w:cs="Times New Roman"/>
          <w:i w:val="0"/>
          <w:iCs w:val="0"/>
          <w:lang w:eastAsia="zh-CN"/>
        </w:rPr>
        <w:t>（</w:t>
      </w:r>
      <w:r>
        <w:rPr>
          <w:rFonts w:hint="default" w:ascii="Times New Roman" w:hAnsi="Times New Roman" w:eastAsia="宋体" w:cs="Times New Roman"/>
          <w:i w:val="0"/>
          <w:iCs w:val="0"/>
          <w:vertAlign w:val="baseline"/>
        </w:rPr>
        <w:t>Ti</w:t>
      </w:r>
      <w:r>
        <w:rPr>
          <w:rFonts w:hint="default" w:ascii="Times New Roman" w:hAnsi="Times New Roman" w:eastAsia="宋体" w:cs="Times New Roman"/>
          <w:i w:val="0"/>
          <w:iCs w:val="0"/>
          <w:lang w:eastAsia="zh-CN"/>
        </w:rPr>
        <w:t>）</w:t>
      </w:r>
      <w:r>
        <w:rPr>
          <w:rFonts w:hint="default" w:ascii="Times New Roman" w:hAnsi="Times New Roman" w:eastAsia="宋体" w:cs="Times New Roman"/>
          <w:i w:val="0"/>
          <w:iCs w:val="0"/>
        </w:rPr>
        <w:t xml:space="preserve"> </w:t>
      </w:r>
      <w:r>
        <w:rPr>
          <w:rFonts w:hint="default" w:ascii="Times New Roman" w:hAnsi="Times New Roman" w:eastAsia="宋体" w:cs="Times New Roman"/>
        </w:rPr>
        <w:t>，</w:t>
      </w:r>
      <w:r>
        <w:rPr>
          <w:rFonts w:hint="default" w:ascii="Times New Roman" w:hAnsi="Times New Roman" w:eastAsia="宋体" w:cs="Times New Roman"/>
          <w:kern w:val="0"/>
        </w:rPr>
        <w:t>数值以</w:t>
      </w:r>
      <w:r>
        <w:rPr>
          <w:rFonts w:hint="default" w:ascii="Times New Roman" w:hAnsi="Times New Roman" w:eastAsia="宋体" w:cs="Times New Roman"/>
          <w:szCs w:val="21"/>
        </w:rPr>
        <w:t>%表示</w:t>
      </w:r>
      <w:r>
        <w:rPr>
          <w:rFonts w:hint="default" w:ascii="Times New Roman" w:hAnsi="Times New Roman" w:cs="Times New Roman"/>
          <w:szCs w:val="21"/>
        </w:rPr>
        <w:t>：</w:t>
      </w:r>
    </w:p>
    <w:p w14:paraId="6C441C4F">
      <w:pPr>
        <w:ind w:firstLine="1050" w:firstLineChars="500"/>
        <w:rPr>
          <w:rFonts w:hint="eastAsia"/>
          <w:szCs w:val="21"/>
        </w:rPr>
      </w:pPr>
      <w:r>
        <w:rPr>
          <w:position w:val="-30"/>
        </w:rPr>
        <w:object>
          <v:shape id="_x0000_i1025" o:spt="75" type="#_x0000_t75" style="height:31.8pt;width:104.95pt;" o:ole="t" filled="f" o:preferrelative="t" stroked="f" coordsize="21600,21600">
            <v:path/>
            <v:fill on="f" focussize="0,0"/>
            <v:stroke on="f"/>
            <v:imagedata r:id="rId23" o:title=""/>
            <o:lock v:ext="edit" aspectratio="t"/>
            <w10:wrap type="none"/>
            <w10:anchorlock/>
          </v:shape>
          <o:OLEObject Type="Embed" ProgID="Equation.DSMT4" ShapeID="_x0000_i1025" DrawAspect="Content" ObjectID="_1468075725" r:id="rId22">
            <o:LockedField>false</o:LockedField>
          </o:OLEObject>
        </w:object>
      </w:r>
      <w:r>
        <w:rPr>
          <w:rFonts w:hint="default" w:ascii="Times New Roman" w:hAnsi="Times New Roman" w:cs="Times New Roman"/>
        </w:rPr>
        <w:t xml:space="preserve">………………………………………………………… </w:t>
      </w:r>
      <w:r>
        <w:rPr>
          <w:rFonts w:hint="default" w:ascii="Times New Roman" w:hAnsi="Times New Roman" w:eastAsia="宋体" w:cs="Times New Roman"/>
        </w:rPr>
        <w:t>( 1 )</w:t>
      </w:r>
    </w:p>
    <w:p w14:paraId="1E293093">
      <w:pPr>
        <w:rPr>
          <w:rFonts w:hint="eastAsia"/>
          <w:szCs w:val="21"/>
        </w:rPr>
      </w:pPr>
    </w:p>
    <w:p w14:paraId="7AB3456C">
      <w:pPr>
        <w:ind w:firstLine="315" w:firstLineChars="150"/>
        <w:rPr>
          <w:rFonts w:hint="default" w:ascii="Times New Roman" w:hAnsi="Times New Roman" w:eastAsia="宋体" w:cs="Times New Roman"/>
          <w:szCs w:val="21"/>
        </w:rPr>
      </w:pPr>
      <w:r>
        <w:rPr>
          <w:rFonts w:hint="eastAsia"/>
          <w:szCs w:val="21"/>
        </w:rPr>
        <w:t>式中</w:t>
      </w:r>
      <w:r>
        <w:rPr>
          <w:rFonts w:hint="default" w:ascii="Times New Roman" w:hAnsi="Times New Roman" w:eastAsia="宋体" w:cs="Times New Roman"/>
          <w:szCs w:val="21"/>
        </w:rPr>
        <w:t>：</w:t>
      </w:r>
      <w:r>
        <w:rPr>
          <w:rFonts w:hint="default" w:ascii="Times New Roman" w:hAnsi="Times New Roman" w:eastAsia="宋体" w:cs="Times New Roman"/>
          <w:i/>
          <w:iCs/>
          <w:szCs w:val="21"/>
        </w:rPr>
        <w:t>m</w:t>
      </w:r>
      <w:r>
        <w:rPr>
          <w:rFonts w:hint="default" w:ascii="Times New Roman" w:hAnsi="Times New Roman" w:eastAsia="宋体" w:cs="Times New Roman"/>
          <w:i/>
          <w:iCs/>
          <w:szCs w:val="21"/>
          <w:vertAlign w:val="subscript"/>
        </w:rPr>
        <w:t>1</w:t>
      </w:r>
      <w:r>
        <w:rPr>
          <w:rFonts w:hint="default" w:ascii="Times New Roman" w:hAnsi="Times New Roman" w:eastAsia="宋体" w:cs="Times New Roman"/>
          <w:szCs w:val="21"/>
        </w:rPr>
        <w:t>－自工作曲线上查得的钛的质量，单位为</w:t>
      </w:r>
      <w:r>
        <w:rPr>
          <w:rFonts w:hint="eastAsia" w:cs="Times New Roman"/>
          <w:szCs w:val="21"/>
          <w:lang w:val="en-US" w:eastAsia="zh-CN"/>
        </w:rPr>
        <w:t>毫</w:t>
      </w:r>
      <w:r>
        <w:rPr>
          <w:rFonts w:hint="default" w:ascii="Times New Roman" w:hAnsi="Times New Roman" w:eastAsia="宋体" w:cs="Times New Roman"/>
          <w:szCs w:val="21"/>
        </w:rPr>
        <w:t>克（</w:t>
      </w:r>
      <w:r>
        <w:rPr>
          <w:rFonts w:hint="eastAsia" w:cs="Times New Roman"/>
          <w:szCs w:val="21"/>
          <w:lang w:val="en-US" w:eastAsia="zh-CN"/>
        </w:rPr>
        <w:t>m</w:t>
      </w:r>
      <w:r>
        <w:rPr>
          <w:rFonts w:hint="default" w:ascii="Times New Roman" w:hAnsi="Times New Roman" w:eastAsia="宋体" w:cs="Times New Roman"/>
          <w:szCs w:val="21"/>
        </w:rPr>
        <w:t>g）；</w:t>
      </w:r>
    </w:p>
    <w:p w14:paraId="41A7ADA9">
      <w:pPr>
        <w:rPr>
          <w:rFonts w:hint="default" w:ascii="Times New Roman" w:hAnsi="Times New Roman" w:eastAsia="宋体" w:cs="Times New Roman"/>
          <w:szCs w:val="21"/>
        </w:rPr>
      </w:pPr>
      <w:r>
        <w:rPr>
          <w:rFonts w:hint="default" w:ascii="Times New Roman" w:hAnsi="Times New Roman" w:eastAsia="宋体" w:cs="Times New Roman"/>
          <w:szCs w:val="21"/>
        </w:rPr>
        <w:t xml:space="preserve">         </w:t>
      </w:r>
      <w:r>
        <w:rPr>
          <w:rFonts w:hint="default" w:ascii="Times New Roman" w:hAnsi="Times New Roman" w:eastAsia="宋体" w:cs="Times New Roman"/>
          <w:i/>
          <w:iCs/>
          <w:szCs w:val="21"/>
        </w:rPr>
        <w:t>m</w:t>
      </w:r>
      <w:r>
        <w:rPr>
          <w:rFonts w:hint="default" w:ascii="Times New Roman" w:hAnsi="Times New Roman" w:eastAsia="宋体" w:cs="Times New Roman"/>
          <w:i/>
          <w:iCs/>
          <w:szCs w:val="21"/>
          <w:vertAlign w:val="subscript"/>
        </w:rPr>
        <w:t>0</w:t>
      </w:r>
      <w:r>
        <w:rPr>
          <w:rFonts w:hint="default" w:ascii="Times New Roman" w:hAnsi="Times New Roman" w:eastAsia="宋体" w:cs="Times New Roman"/>
          <w:szCs w:val="21"/>
        </w:rPr>
        <w:t>－试料的质量，单位为克（g）。</w:t>
      </w:r>
    </w:p>
    <w:p w14:paraId="4DC0C40A">
      <w:pPr>
        <w:adjustRightInd w:val="0"/>
        <w:snapToGrid w:val="0"/>
        <w:spacing w:line="300" w:lineRule="auto"/>
        <w:ind w:firstLine="210" w:firstLineChars="100"/>
        <w:rPr>
          <w:rFonts w:hint="default" w:ascii="Times New Roman" w:hAnsi="Times New Roman" w:eastAsia="宋体" w:cs="Times New Roman"/>
          <w:kern w:val="0"/>
        </w:rPr>
      </w:pPr>
      <w:r>
        <w:rPr>
          <w:rFonts w:hint="default" w:ascii="Times New Roman" w:hAnsi="Times New Roman" w:eastAsia="宋体" w:cs="Times New Roman"/>
          <w:kern w:val="0"/>
        </w:rPr>
        <w:t>所得结果表示至小数点后第二位。若钛的质量分数小于0.10%时，表示至小数点后第三位。</w:t>
      </w:r>
    </w:p>
    <w:p w14:paraId="6F77ABA2">
      <w:pPr>
        <w:pStyle w:val="65"/>
        <w:tabs>
          <w:tab w:val="left" w:pos="420"/>
        </w:tabs>
        <w:spacing w:before="162" w:after="162"/>
        <w:rPr>
          <w:rFonts w:ascii="Times New Roman"/>
          <w:szCs w:val="21"/>
        </w:rPr>
      </w:pPr>
      <w:r>
        <w:rPr>
          <w:rFonts w:hint="eastAsia" w:hAnsi="黑体" w:cs="黑体"/>
          <w:szCs w:val="21"/>
          <w:lang w:val="en-US" w:eastAsia="zh-CN"/>
        </w:rPr>
        <w:t>10</w:t>
      </w:r>
      <w:r>
        <w:rPr>
          <w:rFonts w:ascii="Times New Roman"/>
          <w:szCs w:val="21"/>
        </w:rPr>
        <w:t xml:space="preserve"> </w:t>
      </w:r>
      <w:r>
        <w:rPr>
          <w:rFonts w:hint="eastAsia" w:ascii="Times New Roman"/>
          <w:szCs w:val="21"/>
          <w:lang w:val="en-US" w:eastAsia="zh-CN"/>
        </w:rPr>
        <w:t xml:space="preserve"> </w:t>
      </w:r>
      <w:r>
        <w:rPr>
          <w:rFonts w:hint="eastAsia" w:ascii="Times New Roman"/>
          <w:szCs w:val="21"/>
        </w:rPr>
        <w:t>精密度</w:t>
      </w:r>
    </w:p>
    <w:p w14:paraId="1416D348">
      <w:pPr>
        <w:pStyle w:val="90"/>
        <w:numPr>
          <w:ilvl w:val="0"/>
          <w:numId w:val="0"/>
        </w:numPr>
        <w:tabs>
          <w:tab w:val="left" w:pos="420"/>
        </w:tabs>
        <w:spacing w:before="120" w:after="120"/>
        <w:rPr>
          <w:rFonts w:hAnsi="黑体"/>
          <w:kern w:val="2"/>
        </w:rPr>
      </w:pPr>
      <w:r>
        <w:rPr>
          <w:rFonts w:hint="eastAsia" w:hAnsi="黑体"/>
          <w:kern w:val="2"/>
          <w:lang w:val="en-US" w:eastAsia="zh-CN"/>
        </w:rPr>
        <w:t>10</w:t>
      </w:r>
      <w:r>
        <w:rPr>
          <w:rFonts w:hint="eastAsia" w:hAnsi="黑体"/>
          <w:kern w:val="2"/>
        </w:rPr>
        <w:t>.1  重复性</w:t>
      </w:r>
    </w:p>
    <w:p w14:paraId="2ED661EA">
      <w:pPr>
        <w:numPr>
          <w:ilvl w:val="0"/>
          <w:numId w:val="10"/>
        </w:numPr>
        <w:adjustRightInd w:val="0"/>
        <w:snapToGrid w:val="0"/>
        <w:ind w:firstLine="420" w:firstLineChars="200"/>
        <w:jc w:val="left"/>
        <w:rPr>
          <w:szCs w:val="21"/>
        </w:rPr>
      </w:pPr>
      <w:r>
        <w:rPr>
          <w:rFonts w:hint="eastAsia"/>
          <w:szCs w:val="21"/>
        </w:rPr>
        <w:t>在重复性条件</w:t>
      </w:r>
      <w:r>
        <w:rPr>
          <w:rFonts w:hint="eastAsia" w:ascii="宋体" w:hAnsi="宋体" w:eastAsia="宋体" w:cs="宋体"/>
          <w:szCs w:val="21"/>
        </w:rPr>
        <w:t>下获得的</w:t>
      </w:r>
      <w:r>
        <w:rPr>
          <w:rFonts w:hint="default" w:ascii="Times New Roman" w:hAnsi="Times New Roman" w:eastAsia="宋体" w:cs="Times New Roman"/>
          <w:szCs w:val="21"/>
        </w:rPr>
        <w:t>两次独立测试结果的测定值，在表</w:t>
      </w:r>
      <w:r>
        <w:rPr>
          <w:rFonts w:hint="eastAsia" w:cs="Times New Roman"/>
          <w:szCs w:val="21"/>
          <w:lang w:val="en-US" w:eastAsia="zh-CN"/>
        </w:rPr>
        <w:t>2</w:t>
      </w:r>
      <w:r>
        <w:rPr>
          <w:rFonts w:hint="default" w:ascii="Times New Roman" w:hAnsi="Times New Roman" w:eastAsia="宋体" w:cs="Times New Roman"/>
          <w:szCs w:val="21"/>
        </w:rPr>
        <w:t>给出的平均值范围内，这两个测试结果的绝对差值不超过重复性限（</w:t>
      </w:r>
      <w:r>
        <w:rPr>
          <w:rFonts w:hint="default" w:ascii="Times New Roman" w:hAnsi="Times New Roman" w:eastAsia="宋体" w:cs="Times New Roman"/>
          <w:i/>
          <w:szCs w:val="21"/>
        </w:rPr>
        <w:t>r</w:t>
      </w:r>
      <w:r>
        <w:rPr>
          <w:rFonts w:hint="default" w:ascii="Times New Roman" w:hAnsi="Times New Roman" w:eastAsia="宋体" w:cs="Times New Roman"/>
          <w:szCs w:val="21"/>
        </w:rPr>
        <w:t>），超过重复性限（</w:t>
      </w:r>
      <w:r>
        <w:rPr>
          <w:rFonts w:hint="default" w:ascii="Times New Roman" w:hAnsi="Times New Roman" w:eastAsia="宋体" w:cs="Times New Roman"/>
          <w:i/>
          <w:szCs w:val="21"/>
        </w:rPr>
        <w:t>r</w:t>
      </w:r>
      <w:r>
        <w:rPr>
          <w:rFonts w:hint="default" w:ascii="Times New Roman" w:hAnsi="Times New Roman" w:eastAsia="宋体" w:cs="Times New Roman"/>
          <w:szCs w:val="21"/>
        </w:rPr>
        <w:t>）的情况不超过5%，重复性限（</w:t>
      </w:r>
      <w:r>
        <w:rPr>
          <w:rFonts w:hint="default" w:ascii="Times New Roman" w:hAnsi="Times New Roman" w:eastAsia="宋体" w:cs="Times New Roman"/>
          <w:i/>
          <w:szCs w:val="21"/>
        </w:rPr>
        <w:t>r</w:t>
      </w:r>
      <w:r>
        <w:rPr>
          <w:rFonts w:hint="default" w:ascii="Times New Roman" w:hAnsi="Times New Roman" w:eastAsia="宋体" w:cs="Times New Roman"/>
          <w:szCs w:val="21"/>
        </w:rPr>
        <w:t>）按表</w:t>
      </w:r>
      <w:r>
        <w:rPr>
          <w:rFonts w:hint="default" w:ascii="Times New Roman" w:hAnsi="Times New Roman" w:eastAsia="宋体" w:cs="Times New Roman"/>
          <w:szCs w:val="21"/>
          <w:lang w:val="en-US" w:eastAsia="zh-CN"/>
        </w:rPr>
        <w:t>2</w:t>
      </w:r>
      <w:r>
        <w:rPr>
          <w:rFonts w:hint="default" w:ascii="Times New Roman" w:hAnsi="Times New Roman" w:eastAsia="宋体" w:cs="Times New Roman"/>
          <w:szCs w:val="21"/>
        </w:rPr>
        <w:t>数据采用线性内插法或外延法求得</w:t>
      </w:r>
      <w:r>
        <w:rPr>
          <w:rFonts w:hint="default" w:ascii="Times New Roman" w:hAnsi="Times New Roman" w:cs="Times New Roman"/>
          <w:szCs w:val="21"/>
        </w:rPr>
        <w:t>。</w:t>
      </w:r>
    </w:p>
    <w:p w14:paraId="086E14ED">
      <w:pPr>
        <w:adjustRightInd w:val="0"/>
        <w:snapToGrid w:val="0"/>
        <w:jc w:val="center"/>
        <w:rPr>
          <w:rFonts w:hint="default" w:eastAsia="黑体"/>
          <w:szCs w:val="21"/>
          <w:lang w:val="en-US" w:eastAsia="zh-CN"/>
        </w:rPr>
      </w:pPr>
      <w:r>
        <w:rPr>
          <w:rFonts w:hint="eastAsia" w:eastAsia="黑体"/>
          <w:szCs w:val="21"/>
        </w:rPr>
        <w:t>表</w:t>
      </w:r>
      <w:r>
        <w:rPr>
          <w:rFonts w:hint="eastAsia" w:eastAsia="黑体"/>
          <w:szCs w:val="21"/>
          <w:lang w:val="en-US" w:eastAsia="zh-CN"/>
        </w:rPr>
        <w:t>2</w:t>
      </w:r>
      <w:r>
        <w:rPr>
          <w:rFonts w:eastAsia="黑体"/>
          <w:szCs w:val="21"/>
        </w:rPr>
        <w:t xml:space="preserve"> </w:t>
      </w:r>
      <w:r>
        <w:rPr>
          <w:rFonts w:hint="eastAsia" w:eastAsia="黑体"/>
          <w:szCs w:val="21"/>
        </w:rPr>
        <w:t>重复性限</w:t>
      </w:r>
    </w:p>
    <w:tbl>
      <w:tblPr>
        <w:tblStyle w:val="4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0"/>
        <w:gridCol w:w="1374"/>
        <w:gridCol w:w="1374"/>
        <w:gridCol w:w="1374"/>
        <w:gridCol w:w="1374"/>
        <w:gridCol w:w="1374"/>
      </w:tblGrid>
      <w:tr w14:paraId="50E99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700" w:type="dxa"/>
            <w:tcBorders>
              <w:top w:val="single" w:color="auto" w:sz="4" w:space="0"/>
              <w:left w:val="single" w:color="auto" w:sz="4" w:space="0"/>
              <w:bottom w:val="single" w:color="auto" w:sz="4" w:space="0"/>
              <w:right w:val="single" w:color="auto" w:sz="4" w:space="0"/>
            </w:tcBorders>
            <w:vAlign w:val="top"/>
          </w:tcPr>
          <w:p w14:paraId="6F630EC2">
            <w:pPr>
              <w:adjustRightInd w:val="0"/>
              <w:snapToGrid w:val="0"/>
              <w:spacing w:line="300" w:lineRule="auto"/>
              <w:jc w:val="center"/>
              <w:rPr>
                <w:rFonts w:hint="default" w:ascii="Times New Roman" w:hAnsi="Times New Roman" w:cs="Times New Roman"/>
                <w:szCs w:val="21"/>
              </w:rPr>
            </w:pPr>
            <w:r>
              <w:rPr>
                <w:rFonts w:hint="default" w:ascii="Times New Roman" w:hAnsi="Times New Roman" w:cs="Times New Roman"/>
                <w:color w:val="000000"/>
                <w:kern w:val="0"/>
                <w:sz w:val="18"/>
                <w:lang w:val="en-US" w:eastAsia="zh-CN"/>
              </w:rPr>
              <w:t>钛</w:t>
            </w:r>
            <w:r>
              <w:rPr>
                <w:rFonts w:hint="default" w:ascii="Times New Roman" w:hAnsi="Times New Roman" w:cs="Times New Roman"/>
                <w:color w:val="000000"/>
                <w:kern w:val="0"/>
                <w:sz w:val="18"/>
              </w:rPr>
              <w:t>的质量分数/%</w:t>
            </w:r>
          </w:p>
        </w:tc>
        <w:tc>
          <w:tcPr>
            <w:tcW w:w="1374" w:type="dxa"/>
            <w:tcBorders>
              <w:top w:val="single" w:color="auto" w:sz="4" w:space="0"/>
              <w:left w:val="single" w:color="auto" w:sz="4" w:space="0"/>
              <w:bottom w:val="single" w:color="auto" w:sz="4" w:space="0"/>
              <w:right w:val="single" w:color="auto" w:sz="4" w:space="0"/>
            </w:tcBorders>
            <w:vAlign w:val="top"/>
          </w:tcPr>
          <w:p w14:paraId="2E0F2F41">
            <w:pPr>
              <w:adjustRightInd w:val="0"/>
              <w:snapToGrid w:val="0"/>
              <w:spacing w:line="300" w:lineRule="auto"/>
              <w:jc w:val="center"/>
              <w:rPr>
                <w:rFonts w:hint="default" w:ascii="Times New Roman" w:hAnsi="Times New Roman" w:eastAsia="宋体" w:cs="Times New Roman"/>
                <w:color w:val="auto"/>
                <w:sz w:val="18"/>
                <w:szCs w:val="18"/>
              </w:rPr>
            </w:pPr>
          </w:p>
        </w:tc>
        <w:tc>
          <w:tcPr>
            <w:tcW w:w="1374" w:type="dxa"/>
            <w:tcBorders>
              <w:top w:val="single" w:color="auto" w:sz="4" w:space="0"/>
              <w:left w:val="single" w:color="auto" w:sz="4" w:space="0"/>
              <w:bottom w:val="single" w:color="auto" w:sz="4" w:space="0"/>
              <w:right w:val="single" w:color="auto" w:sz="4" w:space="0"/>
            </w:tcBorders>
            <w:vAlign w:val="top"/>
          </w:tcPr>
          <w:p w14:paraId="7215BD44">
            <w:pPr>
              <w:adjustRightInd w:val="0"/>
              <w:snapToGrid w:val="0"/>
              <w:spacing w:line="300" w:lineRule="auto"/>
              <w:jc w:val="center"/>
              <w:rPr>
                <w:rFonts w:hint="default" w:ascii="Times New Roman" w:hAnsi="Times New Roman" w:eastAsia="宋体" w:cs="Times New Roman"/>
                <w:color w:val="auto"/>
                <w:sz w:val="18"/>
                <w:szCs w:val="18"/>
              </w:rPr>
            </w:pPr>
          </w:p>
        </w:tc>
        <w:tc>
          <w:tcPr>
            <w:tcW w:w="1374" w:type="dxa"/>
            <w:tcBorders>
              <w:top w:val="single" w:color="auto" w:sz="4" w:space="0"/>
              <w:left w:val="single" w:color="auto" w:sz="4" w:space="0"/>
              <w:bottom w:val="single" w:color="auto" w:sz="4" w:space="0"/>
              <w:right w:val="single" w:color="auto" w:sz="4" w:space="0"/>
            </w:tcBorders>
            <w:vAlign w:val="top"/>
          </w:tcPr>
          <w:p w14:paraId="25A4C1AF">
            <w:pPr>
              <w:jc w:val="center"/>
              <w:rPr>
                <w:rFonts w:hint="default" w:ascii="Times New Roman" w:hAnsi="Times New Roman" w:eastAsia="宋体" w:cs="Times New Roman"/>
                <w:color w:val="auto"/>
                <w:sz w:val="18"/>
                <w:szCs w:val="18"/>
              </w:rPr>
            </w:pPr>
          </w:p>
        </w:tc>
        <w:tc>
          <w:tcPr>
            <w:tcW w:w="1374" w:type="dxa"/>
            <w:tcBorders>
              <w:top w:val="single" w:color="auto" w:sz="4" w:space="0"/>
              <w:left w:val="single" w:color="auto" w:sz="4" w:space="0"/>
              <w:bottom w:val="single" w:color="auto" w:sz="4" w:space="0"/>
              <w:right w:val="single" w:color="auto" w:sz="4" w:space="0"/>
            </w:tcBorders>
            <w:vAlign w:val="top"/>
          </w:tcPr>
          <w:p w14:paraId="1E9AD624">
            <w:pPr>
              <w:jc w:val="center"/>
              <w:rPr>
                <w:rFonts w:hint="default" w:ascii="Times New Roman" w:hAnsi="Times New Roman" w:eastAsia="宋体" w:cs="Times New Roman"/>
                <w:color w:val="auto"/>
                <w:sz w:val="18"/>
                <w:szCs w:val="18"/>
              </w:rPr>
            </w:pPr>
          </w:p>
        </w:tc>
        <w:tc>
          <w:tcPr>
            <w:tcW w:w="1374" w:type="dxa"/>
            <w:tcBorders>
              <w:top w:val="single" w:color="auto" w:sz="4" w:space="0"/>
              <w:left w:val="single" w:color="auto" w:sz="4" w:space="0"/>
              <w:bottom w:val="single" w:color="auto" w:sz="4" w:space="0"/>
              <w:right w:val="single" w:color="auto" w:sz="4" w:space="0"/>
            </w:tcBorders>
            <w:vAlign w:val="top"/>
          </w:tcPr>
          <w:p w14:paraId="322B4EFF">
            <w:pPr>
              <w:adjustRightInd w:val="0"/>
              <w:snapToGrid w:val="0"/>
              <w:spacing w:line="300" w:lineRule="auto"/>
              <w:jc w:val="center"/>
              <w:rPr>
                <w:rFonts w:hint="default" w:ascii="Times New Roman" w:hAnsi="Times New Roman" w:eastAsia="宋体" w:cs="Times New Roman"/>
                <w:sz w:val="18"/>
                <w:szCs w:val="18"/>
                <w:lang w:val="en-US" w:eastAsia="zh-CN"/>
              </w:rPr>
            </w:pPr>
          </w:p>
        </w:tc>
      </w:tr>
      <w:tr w14:paraId="70A55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700" w:type="dxa"/>
            <w:tcBorders>
              <w:top w:val="single" w:color="auto" w:sz="4" w:space="0"/>
              <w:left w:val="single" w:color="auto" w:sz="4" w:space="0"/>
              <w:bottom w:val="single" w:color="auto" w:sz="4" w:space="0"/>
              <w:right w:val="single" w:color="auto" w:sz="4" w:space="0"/>
            </w:tcBorders>
            <w:vAlign w:val="top"/>
          </w:tcPr>
          <w:p w14:paraId="4F24B6B6">
            <w:pPr>
              <w:adjustRightInd w:val="0"/>
              <w:snapToGrid w:val="0"/>
              <w:spacing w:line="300" w:lineRule="auto"/>
              <w:jc w:val="center"/>
              <w:rPr>
                <w:rFonts w:hint="default" w:ascii="Times New Roman" w:hAnsi="Times New Roman" w:eastAsia="宋体" w:cs="Times New Roman"/>
                <w:szCs w:val="21"/>
              </w:rPr>
            </w:pPr>
            <w:r>
              <w:rPr>
                <w:rFonts w:hint="default" w:ascii="Times New Roman" w:hAnsi="Times New Roman" w:eastAsia="宋体" w:cs="Times New Roman"/>
                <w:color w:val="000000"/>
                <w:kern w:val="0"/>
                <w:sz w:val="18"/>
              </w:rPr>
              <w:t>重复性限（</w:t>
            </w:r>
            <w:r>
              <w:rPr>
                <w:rFonts w:hint="default" w:ascii="Times New Roman" w:hAnsi="Times New Roman" w:eastAsia="宋体" w:cs="Times New Roman"/>
                <w:i/>
                <w:iCs/>
                <w:color w:val="000000"/>
                <w:kern w:val="0"/>
                <w:sz w:val="18"/>
              </w:rPr>
              <w:t>r</w:t>
            </w:r>
            <w:r>
              <w:rPr>
                <w:rFonts w:hint="default" w:ascii="Times New Roman" w:hAnsi="Times New Roman" w:eastAsia="宋体" w:cs="Times New Roman"/>
                <w:color w:val="000000"/>
                <w:kern w:val="0"/>
                <w:sz w:val="18"/>
              </w:rPr>
              <w:t>）/%</w:t>
            </w:r>
          </w:p>
        </w:tc>
        <w:tc>
          <w:tcPr>
            <w:tcW w:w="1374" w:type="dxa"/>
            <w:tcBorders>
              <w:top w:val="single" w:color="auto" w:sz="4" w:space="0"/>
              <w:left w:val="single" w:color="auto" w:sz="4" w:space="0"/>
              <w:bottom w:val="single" w:color="auto" w:sz="4" w:space="0"/>
              <w:right w:val="single" w:color="auto" w:sz="4" w:space="0"/>
            </w:tcBorders>
            <w:vAlign w:val="top"/>
          </w:tcPr>
          <w:p w14:paraId="4F792BDC">
            <w:pPr>
              <w:adjustRightInd w:val="0"/>
              <w:snapToGrid w:val="0"/>
              <w:spacing w:line="300" w:lineRule="auto"/>
              <w:jc w:val="center"/>
              <w:rPr>
                <w:rFonts w:hint="default" w:ascii="Times New Roman" w:hAnsi="Times New Roman" w:eastAsia="宋体" w:cs="Times New Roman"/>
                <w:color w:val="auto"/>
                <w:sz w:val="18"/>
                <w:szCs w:val="18"/>
                <w:lang w:val="en-US" w:eastAsia="zh-CN"/>
              </w:rPr>
            </w:pPr>
          </w:p>
        </w:tc>
        <w:tc>
          <w:tcPr>
            <w:tcW w:w="1374" w:type="dxa"/>
            <w:tcBorders>
              <w:top w:val="single" w:color="auto" w:sz="4" w:space="0"/>
              <w:left w:val="single" w:color="auto" w:sz="4" w:space="0"/>
              <w:bottom w:val="single" w:color="auto" w:sz="4" w:space="0"/>
              <w:right w:val="single" w:color="auto" w:sz="4" w:space="0"/>
            </w:tcBorders>
            <w:vAlign w:val="top"/>
          </w:tcPr>
          <w:p w14:paraId="2C4D7EBA">
            <w:pPr>
              <w:adjustRightInd w:val="0"/>
              <w:snapToGrid w:val="0"/>
              <w:spacing w:line="300" w:lineRule="auto"/>
              <w:jc w:val="center"/>
              <w:rPr>
                <w:rFonts w:hint="default" w:ascii="Times New Roman" w:hAnsi="Times New Roman" w:eastAsia="宋体" w:cs="Times New Roman"/>
                <w:color w:val="auto"/>
                <w:sz w:val="18"/>
                <w:szCs w:val="18"/>
              </w:rPr>
            </w:pPr>
          </w:p>
        </w:tc>
        <w:tc>
          <w:tcPr>
            <w:tcW w:w="1374" w:type="dxa"/>
            <w:tcBorders>
              <w:top w:val="single" w:color="auto" w:sz="4" w:space="0"/>
              <w:left w:val="single" w:color="auto" w:sz="4" w:space="0"/>
              <w:bottom w:val="single" w:color="auto" w:sz="4" w:space="0"/>
              <w:right w:val="single" w:color="auto" w:sz="4" w:space="0"/>
            </w:tcBorders>
            <w:vAlign w:val="top"/>
          </w:tcPr>
          <w:p w14:paraId="711694BD">
            <w:pPr>
              <w:adjustRightInd w:val="0"/>
              <w:snapToGrid w:val="0"/>
              <w:spacing w:line="300" w:lineRule="auto"/>
              <w:jc w:val="center"/>
              <w:rPr>
                <w:rFonts w:hint="default" w:ascii="Times New Roman" w:hAnsi="Times New Roman" w:eastAsia="宋体" w:cs="Times New Roman"/>
                <w:color w:val="auto"/>
                <w:sz w:val="18"/>
                <w:szCs w:val="18"/>
              </w:rPr>
            </w:pPr>
          </w:p>
        </w:tc>
        <w:tc>
          <w:tcPr>
            <w:tcW w:w="1374" w:type="dxa"/>
            <w:tcBorders>
              <w:top w:val="single" w:color="auto" w:sz="4" w:space="0"/>
              <w:left w:val="single" w:color="auto" w:sz="4" w:space="0"/>
              <w:bottom w:val="single" w:color="auto" w:sz="4" w:space="0"/>
              <w:right w:val="single" w:color="auto" w:sz="4" w:space="0"/>
            </w:tcBorders>
            <w:vAlign w:val="top"/>
          </w:tcPr>
          <w:p w14:paraId="15E75A6C">
            <w:pPr>
              <w:adjustRightInd w:val="0"/>
              <w:snapToGrid w:val="0"/>
              <w:spacing w:line="300" w:lineRule="auto"/>
              <w:jc w:val="center"/>
              <w:rPr>
                <w:rFonts w:hint="default" w:ascii="Times New Roman" w:hAnsi="Times New Roman" w:eastAsia="宋体" w:cs="Times New Roman"/>
                <w:color w:val="auto"/>
                <w:sz w:val="18"/>
                <w:szCs w:val="18"/>
              </w:rPr>
            </w:pPr>
          </w:p>
        </w:tc>
        <w:tc>
          <w:tcPr>
            <w:tcW w:w="1374" w:type="dxa"/>
            <w:tcBorders>
              <w:top w:val="single" w:color="auto" w:sz="4" w:space="0"/>
              <w:left w:val="single" w:color="auto" w:sz="4" w:space="0"/>
              <w:bottom w:val="single" w:color="auto" w:sz="4" w:space="0"/>
              <w:right w:val="single" w:color="auto" w:sz="4" w:space="0"/>
            </w:tcBorders>
            <w:vAlign w:val="top"/>
          </w:tcPr>
          <w:p w14:paraId="5C1EDA00">
            <w:pPr>
              <w:adjustRightInd w:val="0"/>
              <w:snapToGrid w:val="0"/>
              <w:spacing w:line="300" w:lineRule="auto"/>
              <w:jc w:val="center"/>
              <w:rPr>
                <w:rFonts w:hint="default" w:ascii="Times New Roman" w:hAnsi="Times New Roman" w:eastAsia="宋体" w:cs="Times New Roman"/>
                <w:sz w:val="18"/>
                <w:szCs w:val="18"/>
                <w:lang w:val="en-US" w:eastAsia="zh-CN"/>
              </w:rPr>
            </w:pPr>
          </w:p>
        </w:tc>
      </w:tr>
      <w:tr w14:paraId="6052D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 w:hRule="atLeast"/>
          <w:jc w:val="center"/>
        </w:trPr>
        <w:tc>
          <w:tcPr>
            <w:tcW w:w="9570" w:type="dxa"/>
            <w:gridSpan w:val="6"/>
            <w:noWrap w:val="0"/>
            <w:vAlign w:val="top"/>
          </w:tcPr>
          <w:p w14:paraId="605A5237">
            <w:pPr>
              <w:adjustRightInd w:val="0"/>
              <w:snapToGrid w:val="0"/>
              <w:spacing w:line="300" w:lineRule="auto"/>
              <w:rPr>
                <w:rFonts w:hint="default" w:ascii="Times New Roman" w:hAnsi="Times New Roman" w:eastAsia="宋体" w:cs="Times New Roman"/>
                <w:color w:val="000000"/>
                <w:kern w:val="0"/>
                <w:sz w:val="18"/>
              </w:rPr>
            </w:pPr>
            <w:r>
              <w:rPr>
                <w:rFonts w:hint="default" w:ascii="Times New Roman" w:hAnsi="Times New Roman" w:eastAsia="宋体" w:cs="Times New Roman"/>
                <w:color w:val="000000"/>
                <w:kern w:val="0"/>
                <w:sz w:val="18"/>
              </w:rPr>
              <w:t>注：重复性限（</w:t>
            </w:r>
            <w:r>
              <w:rPr>
                <w:rFonts w:hint="default" w:ascii="Times New Roman" w:hAnsi="Times New Roman" w:eastAsia="宋体" w:cs="Times New Roman"/>
                <w:i/>
                <w:iCs/>
                <w:color w:val="000000"/>
                <w:kern w:val="0"/>
                <w:sz w:val="18"/>
              </w:rPr>
              <w:t>r</w:t>
            </w:r>
            <w:r>
              <w:rPr>
                <w:rFonts w:hint="default" w:ascii="Times New Roman" w:hAnsi="Times New Roman" w:eastAsia="宋体" w:cs="Times New Roman"/>
                <w:color w:val="000000"/>
                <w:kern w:val="0"/>
                <w:sz w:val="18"/>
              </w:rPr>
              <w:t>）为2.83</w:t>
            </w:r>
            <w:r>
              <w:rPr>
                <w:rFonts w:hint="default" w:ascii="Times New Roman" w:hAnsi="Times New Roman" w:eastAsia="宋体" w:cs="Times New Roman"/>
                <w:i/>
                <w:iCs/>
                <w:color w:val="000000"/>
                <w:kern w:val="0"/>
                <w:sz w:val="18"/>
              </w:rPr>
              <w:t>Sr</w:t>
            </w:r>
            <w:r>
              <w:rPr>
                <w:rFonts w:hint="default" w:ascii="Times New Roman" w:hAnsi="Times New Roman" w:eastAsia="宋体" w:cs="Times New Roman"/>
                <w:color w:val="000000"/>
                <w:kern w:val="0"/>
                <w:sz w:val="18"/>
              </w:rPr>
              <w:t>，</w:t>
            </w:r>
            <w:r>
              <w:rPr>
                <w:rFonts w:hint="default" w:ascii="Times New Roman" w:hAnsi="Times New Roman" w:eastAsia="宋体" w:cs="Times New Roman"/>
                <w:i/>
                <w:iCs/>
                <w:color w:val="000000"/>
                <w:kern w:val="0"/>
                <w:sz w:val="18"/>
              </w:rPr>
              <w:t>Sr</w:t>
            </w:r>
            <w:r>
              <w:rPr>
                <w:rFonts w:hint="default" w:ascii="Times New Roman" w:hAnsi="Times New Roman" w:eastAsia="宋体" w:cs="Times New Roman"/>
                <w:color w:val="000000"/>
                <w:kern w:val="0"/>
                <w:sz w:val="18"/>
              </w:rPr>
              <w:t>为重复性标准偏差。</w:t>
            </w:r>
          </w:p>
        </w:tc>
      </w:tr>
    </w:tbl>
    <w:p w14:paraId="385BEF8C">
      <w:pPr>
        <w:adjustRightInd w:val="0"/>
        <w:snapToGrid w:val="0"/>
        <w:spacing w:before="162" w:beforeLines="50" w:line="360" w:lineRule="auto"/>
        <w:rPr>
          <w:rFonts w:ascii="黑体" w:hAnsi="黑体" w:eastAsia="黑体"/>
          <w:color w:val="auto"/>
          <w:szCs w:val="32"/>
        </w:rPr>
      </w:pPr>
      <w:r>
        <w:rPr>
          <w:rFonts w:hint="eastAsia" w:ascii="黑体" w:hAnsi="黑体" w:eastAsia="黑体"/>
          <w:color w:val="auto"/>
          <w:szCs w:val="32"/>
          <w:lang w:val="en-US" w:eastAsia="zh-CN"/>
        </w:rPr>
        <w:t>10.2</w:t>
      </w:r>
      <w:r>
        <w:rPr>
          <w:rFonts w:hint="eastAsia" w:ascii="黑体" w:hAnsi="黑体" w:eastAsia="黑体"/>
          <w:color w:val="auto"/>
          <w:szCs w:val="32"/>
        </w:rPr>
        <w:t xml:space="preserve">  再现性</w:t>
      </w:r>
    </w:p>
    <w:p w14:paraId="0AC57947">
      <w:pPr>
        <w:spacing w:before="50" w:after="50"/>
        <w:ind w:firstLine="420" w:firstLineChars="200"/>
        <w:rPr>
          <w:rFonts w:hint="eastAsia" w:ascii="黑体" w:hAnsi="黑体" w:eastAsia="黑体"/>
          <w:szCs w:val="21"/>
        </w:rPr>
      </w:pPr>
      <w:r>
        <w:rPr>
          <w:rFonts w:hint="eastAsia"/>
          <w:color w:val="auto"/>
        </w:rPr>
        <w:t>在再现性条</w:t>
      </w:r>
      <w:r>
        <w:rPr>
          <w:rFonts w:hint="default" w:ascii="Times New Roman" w:hAnsi="Times New Roman" w:cs="Times New Roman"/>
          <w:color w:val="auto"/>
        </w:rPr>
        <w:t>件</w:t>
      </w:r>
      <w:r>
        <w:rPr>
          <w:rFonts w:hint="default" w:ascii="Times New Roman" w:hAnsi="Times New Roman" w:eastAsia="宋体" w:cs="Times New Roman"/>
          <w:color w:val="auto"/>
        </w:rPr>
        <w:t>下获得的两次独立测试结果的测定值，在表3给出的平均值范围内，两个测试结果的绝对差值不超过再现性限（</w:t>
      </w:r>
      <w:r>
        <w:rPr>
          <w:rFonts w:hint="default" w:ascii="Times New Roman" w:hAnsi="Times New Roman" w:eastAsia="宋体" w:cs="Times New Roman"/>
          <w:i/>
          <w:color w:val="auto"/>
        </w:rPr>
        <w:t>R</w:t>
      </w:r>
      <w:r>
        <w:rPr>
          <w:rFonts w:hint="default" w:ascii="Times New Roman" w:hAnsi="Times New Roman" w:eastAsia="宋体" w:cs="Times New Roman"/>
          <w:color w:val="auto"/>
        </w:rPr>
        <w:t>），超过再现性限（</w:t>
      </w:r>
      <w:r>
        <w:rPr>
          <w:rFonts w:hint="default" w:ascii="Times New Roman" w:hAnsi="Times New Roman" w:eastAsia="宋体" w:cs="Times New Roman"/>
          <w:i/>
          <w:color w:val="auto"/>
        </w:rPr>
        <w:t>R</w:t>
      </w:r>
      <w:r>
        <w:rPr>
          <w:rFonts w:hint="default" w:ascii="Times New Roman" w:hAnsi="Times New Roman" w:eastAsia="宋体" w:cs="Times New Roman"/>
          <w:color w:val="auto"/>
        </w:rPr>
        <w:t>）情况不超过5%。再现性限（</w:t>
      </w:r>
      <w:r>
        <w:rPr>
          <w:rFonts w:hint="default" w:ascii="Times New Roman" w:hAnsi="Times New Roman" w:eastAsia="宋体" w:cs="Times New Roman"/>
          <w:i/>
          <w:color w:val="auto"/>
        </w:rPr>
        <w:t>R</w:t>
      </w:r>
      <w:r>
        <w:rPr>
          <w:rFonts w:hint="default" w:ascii="Times New Roman" w:hAnsi="Times New Roman" w:eastAsia="宋体" w:cs="Times New Roman"/>
          <w:color w:val="auto"/>
        </w:rPr>
        <w:t>）按表</w:t>
      </w:r>
      <w:r>
        <w:rPr>
          <w:rFonts w:hint="default" w:ascii="Times New Roman" w:hAnsi="Times New Roman" w:eastAsia="宋体" w:cs="Times New Roman"/>
          <w:color w:val="auto"/>
          <w:lang w:val="en-US" w:eastAsia="zh-CN"/>
        </w:rPr>
        <w:t>3</w:t>
      </w:r>
      <w:r>
        <w:rPr>
          <w:rFonts w:hint="default" w:ascii="Times New Roman" w:hAnsi="Times New Roman" w:eastAsia="宋体" w:cs="Times New Roman"/>
          <w:color w:val="auto"/>
        </w:rPr>
        <w:t>数据采用线性内插法或外延法</w:t>
      </w:r>
      <w:r>
        <w:rPr>
          <w:rFonts w:hint="eastAsia" w:ascii="宋体" w:hAnsi="宋体" w:eastAsia="宋体" w:cs="宋体"/>
          <w:color w:val="auto"/>
        </w:rPr>
        <w:t>求得。</w:t>
      </w:r>
    </w:p>
    <w:p w14:paraId="596E17AD">
      <w:pPr>
        <w:spacing w:line="360" w:lineRule="auto"/>
        <w:ind w:firstLine="420" w:firstLineChars="200"/>
        <w:jc w:val="center"/>
        <w:rPr>
          <w:rFonts w:ascii="黑体" w:hAnsi="黑体" w:eastAsia="黑体"/>
        </w:rPr>
      </w:pPr>
      <w:r>
        <w:rPr>
          <w:rFonts w:hint="eastAsia" w:ascii="黑体" w:hAnsi="黑体" w:eastAsia="黑体"/>
          <w:szCs w:val="21"/>
        </w:rPr>
        <w:t>表</w:t>
      </w:r>
      <w:r>
        <w:rPr>
          <w:rFonts w:hint="eastAsia" w:ascii="黑体" w:hAnsi="黑体" w:eastAsia="黑体"/>
          <w:szCs w:val="21"/>
          <w:lang w:val="en-US" w:eastAsia="zh-CN"/>
        </w:rPr>
        <w:t>3</w:t>
      </w:r>
      <w:r>
        <w:rPr>
          <w:rFonts w:hint="eastAsia" w:ascii="黑体" w:hAnsi="黑体" w:eastAsia="黑体"/>
          <w:szCs w:val="21"/>
        </w:rPr>
        <w:t xml:space="preserve">  </w:t>
      </w:r>
      <w:r>
        <w:rPr>
          <w:rFonts w:hint="eastAsia" w:ascii="黑体" w:hAnsi="黑体" w:eastAsia="黑体"/>
        </w:rPr>
        <w:t>再现性限</w:t>
      </w:r>
    </w:p>
    <w:tbl>
      <w:tblPr>
        <w:tblStyle w:val="4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0"/>
        <w:gridCol w:w="1374"/>
        <w:gridCol w:w="1374"/>
        <w:gridCol w:w="1374"/>
        <w:gridCol w:w="1374"/>
        <w:gridCol w:w="1374"/>
      </w:tblGrid>
      <w:tr w14:paraId="7F566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700" w:type="dxa"/>
            <w:tcBorders>
              <w:top w:val="single" w:color="auto" w:sz="4" w:space="0"/>
              <w:left w:val="single" w:color="auto" w:sz="4" w:space="0"/>
              <w:bottom w:val="single" w:color="auto" w:sz="4" w:space="0"/>
              <w:right w:val="single" w:color="auto" w:sz="4" w:space="0"/>
            </w:tcBorders>
            <w:vAlign w:val="top"/>
          </w:tcPr>
          <w:p w14:paraId="2743BA0A">
            <w:pPr>
              <w:adjustRightInd w:val="0"/>
              <w:snapToGrid w:val="0"/>
              <w:spacing w:line="300" w:lineRule="auto"/>
              <w:jc w:val="center"/>
              <w:rPr>
                <w:rFonts w:hint="default" w:ascii="Times New Roman" w:hAnsi="Times New Roman" w:cs="Times New Roman"/>
                <w:szCs w:val="21"/>
              </w:rPr>
            </w:pPr>
            <w:r>
              <w:rPr>
                <w:rFonts w:hint="default" w:ascii="Times New Roman" w:hAnsi="Times New Roman" w:cs="Times New Roman"/>
                <w:color w:val="000000"/>
                <w:kern w:val="0"/>
                <w:sz w:val="18"/>
                <w:lang w:val="en-US" w:eastAsia="zh-CN"/>
              </w:rPr>
              <w:t>钛</w:t>
            </w:r>
            <w:r>
              <w:rPr>
                <w:rFonts w:hint="default" w:ascii="Times New Roman" w:hAnsi="Times New Roman" w:cs="Times New Roman"/>
                <w:color w:val="000000"/>
                <w:kern w:val="0"/>
                <w:sz w:val="18"/>
              </w:rPr>
              <w:t>的质量分数/%</w:t>
            </w:r>
          </w:p>
        </w:tc>
        <w:tc>
          <w:tcPr>
            <w:tcW w:w="1374" w:type="dxa"/>
            <w:tcBorders>
              <w:top w:val="single" w:color="auto" w:sz="4" w:space="0"/>
              <w:left w:val="single" w:color="auto" w:sz="4" w:space="0"/>
              <w:bottom w:val="single" w:color="auto" w:sz="4" w:space="0"/>
              <w:right w:val="single" w:color="auto" w:sz="4" w:space="0"/>
            </w:tcBorders>
            <w:vAlign w:val="top"/>
          </w:tcPr>
          <w:p w14:paraId="07E149F4">
            <w:pPr>
              <w:adjustRightInd w:val="0"/>
              <w:snapToGrid w:val="0"/>
              <w:spacing w:line="300" w:lineRule="auto"/>
              <w:jc w:val="center"/>
              <w:rPr>
                <w:rFonts w:hint="eastAsia" w:ascii="Times New Roman" w:hAnsi="Times New Roman" w:eastAsia="宋体" w:cs="Times New Roman"/>
                <w:color w:val="auto"/>
                <w:sz w:val="18"/>
                <w:szCs w:val="18"/>
                <w:lang w:eastAsia="zh-CN"/>
              </w:rPr>
            </w:pPr>
          </w:p>
        </w:tc>
        <w:tc>
          <w:tcPr>
            <w:tcW w:w="1374" w:type="dxa"/>
            <w:tcBorders>
              <w:top w:val="single" w:color="auto" w:sz="4" w:space="0"/>
              <w:left w:val="single" w:color="auto" w:sz="4" w:space="0"/>
              <w:bottom w:val="single" w:color="auto" w:sz="4" w:space="0"/>
              <w:right w:val="single" w:color="auto" w:sz="4" w:space="0"/>
            </w:tcBorders>
            <w:vAlign w:val="top"/>
          </w:tcPr>
          <w:p w14:paraId="3C7E5BB0">
            <w:pPr>
              <w:adjustRightInd w:val="0"/>
              <w:snapToGrid w:val="0"/>
              <w:spacing w:line="300" w:lineRule="auto"/>
              <w:jc w:val="center"/>
              <w:rPr>
                <w:rFonts w:hint="default" w:ascii="Times New Roman" w:hAnsi="Times New Roman" w:eastAsia="宋体" w:cs="Times New Roman"/>
                <w:color w:val="auto"/>
                <w:sz w:val="18"/>
                <w:szCs w:val="18"/>
              </w:rPr>
            </w:pPr>
          </w:p>
        </w:tc>
        <w:tc>
          <w:tcPr>
            <w:tcW w:w="1374" w:type="dxa"/>
            <w:tcBorders>
              <w:top w:val="single" w:color="auto" w:sz="4" w:space="0"/>
              <w:left w:val="single" w:color="auto" w:sz="4" w:space="0"/>
              <w:bottom w:val="single" w:color="auto" w:sz="4" w:space="0"/>
              <w:right w:val="single" w:color="auto" w:sz="4" w:space="0"/>
            </w:tcBorders>
            <w:vAlign w:val="top"/>
          </w:tcPr>
          <w:p w14:paraId="2AC4EC83">
            <w:pPr>
              <w:jc w:val="center"/>
              <w:rPr>
                <w:rFonts w:hint="default" w:ascii="Times New Roman" w:hAnsi="Times New Roman" w:eastAsia="宋体" w:cs="Times New Roman"/>
                <w:color w:val="auto"/>
                <w:sz w:val="18"/>
                <w:szCs w:val="18"/>
              </w:rPr>
            </w:pPr>
          </w:p>
        </w:tc>
        <w:tc>
          <w:tcPr>
            <w:tcW w:w="1374" w:type="dxa"/>
            <w:tcBorders>
              <w:top w:val="single" w:color="auto" w:sz="4" w:space="0"/>
              <w:left w:val="single" w:color="auto" w:sz="4" w:space="0"/>
              <w:bottom w:val="single" w:color="auto" w:sz="4" w:space="0"/>
              <w:right w:val="single" w:color="auto" w:sz="4" w:space="0"/>
            </w:tcBorders>
            <w:vAlign w:val="top"/>
          </w:tcPr>
          <w:p w14:paraId="4FA5853E">
            <w:pPr>
              <w:jc w:val="center"/>
              <w:rPr>
                <w:rFonts w:hint="default" w:ascii="Times New Roman" w:hAnsi="Times New Roman" w:eastAsia="宋体" w:cs="Times New Roman"/>
                <w:color w:val="auto"/>
                <w:sz w:val="18"/>
                <w:szCs w:val="18"/>
              </w:rPr>
            </w:pPr>
          </w:p>
        </w:tc>
        <w:tc>
          <w:tcPr>
            <w:tcW w:w="1374" w:type="dxa"/>
            <w:tcBorders>
              <w:top w:val="single" w:color="auto" w:sz="4" w:space="0"/>
              <w:left w:val="single" w:color="auto" w:sz="4" w:space="0"/>
              <w:bottom w:val="single" w:color="auto" w:sz="4" w:space="0"/>
              <w:right w:val="single" w:color="auto" w:sz="4" w:space="0"/>
            </w:tcBorders>
            <w:vAlign w:val="top"/>
          </w:tcPr>
          <w:p w14:paraId="1E4E721F">
            <w:pPr>
              <w:adjustRightInd w:val="0"/>
              <w:snapToGrid w:val="0"/>
              <w:spacing w:line="300" w:lineRule="auto"/>
              <w:jc w:val="center"/>
              <w:rPr>
                <w:rFonts w:hint="default" w:ascii="Times New Roman" w:hAnsi="Times New Roman" w:eastAsia="宋体" w:cs="Times New Roman"/>
                <w:sz w:val="18"/>
                <w:szCs w:val="18"/>
                <w:lang w:val="en-US" w:eastAsia="zh-CN"/>
              </w:rPr>
            </w:pPr>
          </w:p>
        </w:tc>
      </w:tr>
      <w:tr w14:paraId="541ED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700" w:type="dxa"/>
            <w:tcBorders>
              <w:top w:val="single" w:color="auto" w:sz="4" w:space="0"/>
              <w:left w:val="single" w:color="auto" w:sz="4" w:space="0"/>
              <w:bottom w:val="single" w:color="auto" w:sz="4" w:space="0"/>
              <w:right w:val="single" w:color="auto" w:sz="4" w:space="0"/>
            </w:tcBorders>
            <w:vAlign w:val="top"/>
          </w:tcPr>
          <w:p w14:paraId="35D6126D">
            <w:pPr>
              <w:adjustRightInd w:val="0"/>
              <w:snapToGrid w:val="0"/>
              <w:spacing w:line="300" w:lineRule="auto"/>
              <w:jc w:val="center"/>
              <w:rPr>
                <w:rFonts w:hint="default" w:ascii="Times New Roman" w:hAnsi="Times New Roman" w:eastAsia="宋体" w:cs="Times New Roman"/>
                <w:szCs w:val="21"/>
              </w:rPr>
            </w:pPr>
            <w:r>
              <w:rPr>
                <w:rFonts w:hint="default" w:ascii="Times New Roman" w:hAnsi="Times New Roman" w:eastAsia="宋体" w:cs="Times New Roman"/>
                <w:kern w:val="0"/>
                <w:sz w:val="18"/>
              </w:rPr>
              <w:t>再现性限（</w:t>
            </w:r>
            <w:r>
              <w:rPr>
                <w:rFonts w:hint="default" w:ascii="Times New Roman" w:hAnsi="Times New Roman" w:eastAsia="宋体" w:cs="Times New Roman"/>
                <w:i/>
                <w:iCs/>
                <w:kern w:val="0"/>
                <w:sz w:val="18"/>
              </w:rPr>
              <w:t>R</w:t>
            </w:r>
            <w:r>
              <w:rPr>
                <w:rFonts w:hint="default" w:ascii="Times New Roman" w:hAnsi="Times New Roman" w:eastAsia="宋体" w:cs="Times New Roman"/>
                <w:kern w:val="0"/>
                <w:sz w:val="18"/>
              </w:rPr>
              <w:t>）</w:t>
            </w:r>
            <w:r>
              <w:rPr>
                <w:rFonts w:hint="default" w:ascii="Times New Roman" w:hAnsi="Times New Roman" w:eastAsia="宋体" w:cs="Times New Roman"/>
                <w:color w:val="000000"/>
                <w:kern w:val="0"/>
                <w:sz w:val="18"/>
              </w:rPr>
              <w:t>/%</w:t>
            </w:r>
          </w:p>
        </w:tc>
        <w:tc>
          <w:tcPr>
            <w:tcW w:w="1374" w:type="dxa"/>
            <w:tcBorders>
              <w:top w:val="single" w:color="auto" w:sz="4" w:space="0"/>
              <w:left w:val="single" w:color="auto" w:sz="4" w:space="0"/>
              <w:bottom w:val="single" w:color="auto" w:sz="4" w:space="0"/>
              <w:right w:val="single" w:color="auto" w:sz="4" w:space="0"/>
            </w:tcBorders>
            <w:vAlign w:val="top"/>
          </w:tcPr>
          <w:p w14:paraId="1E9A0356">
            <w:pPr>
              <w:adjustRightInd w:val="0"/>
              <w:snapToGrid w:val="0"/>
              <w:spacing w:line="300" w:lineRule="auto"/>
              <w:jc w:val="center"/>
              <w:rPr>
                <w:rFonts w:hint="default" w:ascii="Times New Roman" w:hAnsi="Times New Roman" w:eastAsia="宋体" w:cs="Times New Roman"/>
                <w:color w:val="auto"/>
                <w:sz w:val="18"/>
                <w:szCs w:val="18"/>
                <w:lang w:val="en-US" w:eastAsia="zh-CN"/>
              </w:rPr>
            </w:pPr>
          </w:p>
        </w:tc>
        <w:tc>
          <w:tcPr>
            <w:tcW w:w="1374" w:type="dxa"/>
            <w:tcBorders>
              <w:top w:val="single" w:color="auto" w:sz="4" w:space="0"/>
              <w:left w:val="single" w:color="auto" w:sz="4" w:space="0"/>
              <w:bottom w:val="single" w:color="auto" w:sz="4" w:space="0"/>
              <w:right w:val="single" w:color="auto" w:sz="4" w:space="0"/>
            </w:tcBorders>
            <w:vAlign w:val="top"/>
          </w:tcPr>
          <w:p w14:paraId="0C2A6A75">
            <w:pPr>
              <w:adjustRightInd w:val="0"/>
              <w:snapToGrid w:val="0"/>
              <w:spacing w:line="300" w:lineRule="auto"/>
              <w:jc w:val="center"/>
              <w:rPr>
                <w:rFonts w:hint="default" w:ascii="Times New Roman" w:hAnsi="Times New Roman" w:eastAsia="宋体" w:cs="Times New Roman"/>
                <w:color w:val="auto"/>
                <w:sz w:val="18"/>
                <w:szCs w:val="18"/>
              </w:rPr>
            </w:pPr>
          </w:p>
        </w:tc>
        <w:tc>
          <w:tcPr>
            <w:tcW w:w="1374" w:type="dxa"/>
            <w:tcBorders>
              <w:top w:val="single" w:color="auto" w:sz="4" w:space="0"/>
              <w:left w:val="single" w:color="auto" w:sz="4" w:space="0"/>
              <w:bottom w:val="single" w:color="auto" w:sz="4" w:space="0"/>
              <w:right w:val="single" w:color="auto" w:sz="4" w:space="0"/>
            </w:tcBorders>
            <w:vAlign w:val="top"/>
          </w:tcPr>
          <w:p w14:paraId="34FA8A55">
            <w:pPr>
              <w:jc w:val="center"/>
              <w:rPr>
                <w:rFonts w:hint="default" w:ascii="Times New Roman" w:hAnsi="Times New Roman" w:eastAsia="宋体" w:cs="Times New Roman"/>
                <w:color w:val="auto"/>
                <w:sz w:val="18"/>
                <w:szCs w:val="18"/>
              </w:rPr>
            </w:pPr>
          </w:p>
        </w:tc>
        <w:tc>
          <w:tcPr>
            <w:tcW w:w="1374" w:type="dxa"/>
            <w:tcBorders>
              <w:top w:val="single" w:color="auto" w:sz="4" w:space="0"/>
              <w:left w:val="single" w:color="auto" w:sz="4" w:space="0"/>
              <w:bottom w:val="single" w:color="auto" w:sz="4" w:space="0"/>
              <w:right w:val="single" w:color="auto" w:sz="4" w:space="0"/>
            </w:tcBorders>
            <w:vAlign w:val="top"/>
          </w:tcPr>
          <w:p w14:paraId="2F0DADA0">
            <w:pPr>
              <w:jc w:val="center"/>
              <w:rPr>
                <w:rFonts w:hint="default" w:ascii="Times New Roman" w:hAnsi="Times New Roman" w:eastAsia="宋体" w:cs="Times New Roman"/>
                <w:color w:val="auto"/>
                <w:sz w:val="18"/>
                <w:szCs w:val="18"/>
              </w:rPr>
            </w:pPr>
          </w:p>
        </w:tc>
        <w:tc>
          <w:tcPr>
            <w:tcW w:w="1374" w:type="dxa"/>
            <w:tcBorders>
              <w:top w:val="single" w:color="auto" w:sz="4" w:space="0"/>
              <w:left w:val="single" w:color="auto" w:sz="4" w:space="0"/>
              <w:bottom w:val="single" w:color="auto" w:sz="4" w:space="0"/>
              <w:right w:val="single" w:color="auto" w:sz="4" w:space="0"/>
            </w:tcBorders>
            <w:vAlign w:val="top"/>
          </w:tcPr>
          <w:p w14:paraId="5D81A9F6">
            <w:pPr>
              <w:adjustRightInd w:val="0"/>
              <w:snapToGrid w:val="0"/>
              <w:spacing w:line="300" w:lineRule="auto"/>
              <w:jc w:val="center"/>
              <w:rPr>
                <w:rFonts w:hint="default" w:ascii="Times New Roman" w:hAnsi="Times New Roman" w:eastAsia="宋体" w:cs="Times New Roman"/>
                <w:sz w:val="18"/>
                <w:szCs w:val="18"/>
                <w:lang w:val="en-US" w:eastAsia="zh-CN"/>
              </w:rPr>
            </w:pPr>
          </w:p>
        </w:tc>
      </w:tr>
      <w:tr w14:paraId="2494C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 w:hRule="atLeast"/>
          <w:jc w:val="center"/>
        </w:trPr>
        <w:tc>
          <w:tcPr>
            <w:tcW w:w="9570" w:type="dxa"/>
            <w:gridSpan w:val="6"/>
            <w:noWrap w:val="0"/>
            <w:vAlign w:val="top"/>
          </w:tcPr>
          <w:p w14:paraId="3B6817D3">
            <w:pPr>
              <w:adjustRightInd w:val="0"/>
              <w:snapToGrid w:val="0"/>
              <w:spacing w:line="300" w:lineRule="auto"/>
              <w:rPr>
                <w:rFonts w:hint="default" w:ascii="Times New Roman" w:hAnsi="Times New Roman" w:eastAsia="宋体" w:cs="Times New Roman"/>
                <w:color w:val="000000"/>
                <w:kern w:val="0"/>
                <w:sz w:val="18"/>
              </w:rPr>
            </w:pPr>
            <w:r>
              <w:rPr>
                <w:rFonts w:hint="default" w:ascii="Times New Roman" w:hAnsi="Times New Roman" w:eastAsia="宋体" w:cs="Times New Roman"/>
                <w:kern w:val="0"/>
                <w:sz w:val="18"/>
              </w:rPr>
              <w:t>注：再现性限（</w:t>
            </w:r>
            <w:r>
              <w:rPr>
                <w:rFonts w:hint="default" w:ascii="Times New Roman" w:hAnsi="Times New Roman" w:eastAsia="宋体" w:cs="Times New Roman"/>
                <w:i/>
                <w:iCs/>
                <w:kern w:val="0"/>
                <w:sz w:val="18"/>
              </w:rPr>
              <w:t>R</w:t>
            </w:r>
            <w:r>
              <w:rPr>
                <w:rFonts w:hint="default" w:ascii="Times New Roman" w:hAnsi="Times New Roman" w:eastAsia="宋体" w:cs="Times New Roman"/>
                <w:kern w:val="0"/>
                <w:sz w:val="18"/>
              </w:rPr>
              <w:t>）为2.83</w:t>
            </w:r>
            <w:r>
              <w:rPr>
                <w:rFonts w:hint="default" w:ascii="Times New Roman" w:hAnsi="Times New Roman" w:eastAsia="宋体" w:cs="Times New Roman"/>
                <w:i/>
                <w:iCs/>
                <w:kern w:val="0"/>
                <w:sz w:val="18"/>
              </w:rPr>
              <w:t>S</w:t>
            </w:r>
            <w:r>
              <w:rPr>
                <w:rFonts w:hint="default" w:ascii="Times New Roman" w:hAnsi="Times New Roman" w:eastAsia="宋体" w:cs="Times New Roman"/>
                <w:i/>
                <w:iCs/>
                <w:kern w:val="0"/>
                <w:szCs w:val="21"/>
                <w:vertAlign w:val="subscript"/>
              </w:rPr>
              <w:t>R</w:t>
            </w:r>
            <w:r>
              <w:rPr>
                <w:rFonts w:hint="default" w:ascii="Times New Roman" w:hAnsi="Times New Roman" w:eastAsia="宋体" w:cs="Times New Roman"/>
                <w:kern w:val="0"/>
                <w:sz w:val="18"/>
              </w:rPr>
              <w:t>，</w:t>
            </w:r>
            <w:r>
              <w:rPr>
                <w:rFonts w:hint="default" w:ascii="Times New Roman" w:hAnsi="Times New Roman" w:eastAsia="宋体" w:cs="Times New Roman"/>
                <w:i/>
                <w:iCs/>
                <w:kern w:val="0"/>
                <w:sz w:val="18"/>
              </w:rPr>
              <w:t>S</w:t>
            </w:r>
            <w:r>
              <w:rPr>
                <w:rFonts w:hint="default" w:ascii="Times New Roman" w:hAnsi="Times New Roman" w:eastAsia="宋体" w:cs="Times New Roman"/>
                <w:i/>
                <w:iCs/>
                <w:kern w:val="0"/>
                <w:szCs w:val="21"/>
                <w:vertAlign w:val="subscript"/>
              </w:rPr>
              <w:t>R</w:t>
            </w:r>
            <w:r>
              <w:rPr>
                <w:rFonts w:hint="default" w:ascii="Times New Roman" w:hAnsi="Times New Roman" w:eastAsia="宋体" w:cs="Times New Roman"/>
                <w:kern w:val="0"/>
                <w:sz w:val="18"/>
              </w:rPr>
              <w:t>为再现性标准偏差。</w:t>
            </w:r>
          </w:p>
        </w:tc>
      </w:tr>
    </w:tbl>
    <w:p w14:paraId="6CF22D42">
      <w:pPr>
        <w:spacing w:line="360" w:lineRule="auto"/>
        <w:jc w:val="left"/>
        <w:outlineLvl w:val="1"/>
        <w:rPr>
          <w:rFonts w:ascii="黑体" w:hAnsi="黑体" w:eastAsia="黑体"/>
          <w:szCs w:val="32"/>
        </w:rPr>
      </w:pPr>
    </w:p>
    <w:p w14:paraId="27B5171E">
      <w:pPr>
        <w:spacing w:line="360" w:lineRule="auto"/>
        <w:jc w:val="left"/>
        <w:outlineLvl w:val="1"/>
        <w:rPr>
          <w:rFonts w:ascii="黑体" w:hAnsi="黑体" w:eastAsia="黑体"/>
          <w:szCs w:val="32"/>
        </w:rPr>
      </w:pPr>
      <w:r>
        <w:rPr>
          <w:rFonts w:hint="eastAsia" w:ascii="黑体" w:hAnsi="黑体" w:eastAsia="黑体"/>
          <w:szCs w:val="32"/>
          <w:lang w:val="en-US" w:eastAsia="zh-CN"/>
        </w:rPr>
        <w:t>11</w:t>
      </w:r>
      <w:r>
        <w:rPr>
          <w:rFonts w:ascii="黑体" w:hAnsi="黑体" w:eastAsia="黑体"/>
          <w:szCs w:val="32"/>
        </w:rPr>
        <w:t xml:space="preserve">  </w:t>
      </w:r>
      <w:r>
        <w:rPr>
          <w:rFonts w:hint="eastAsia" w:ascii="黑体" w:hAnsi="黑体" w:eastAsia="黑体"/>
          <w:szCs w:val="32"/>
        </w:rPr>
        <w:t>试验报告</w:t>
      </w:r>
    </w:p>
    <w:p w14:paraId="4E252EAA">
      <w:pPr>
        <w:ind w:firstLine="420" w:firstLineChars="200"/>
        <w:rPr>
          <w:color w:val="auto"/>
        </w:rPr>
      </w:pPr>
      <w:r>
        <w:rPr>
          <w:rFonts w:hint="eastAsia"/>
          <w:color w:val="auto"/>
        </w:rPr>
        <w:t>试验报告至少应包括下列内容：</w:t>
      </w:r>
    </w:p>
    <w:p w14:paraId="636387AE">
      <w:pPr>
        <w:adjustRightInd w:val="0"/>
        <w:snapToGrid w:val="0"/>
        <w:ind w:firstLine="437"/>
        <w:rPr>
          <w:color w:val="auto"/>
        </w:rPr>
      </w:pPr>
      <w:r>
        <w:rPr>
          <w:color w:val="auto"/>
        </w:rPr>
        <w:t>——</w:t>
      </w:r>
      <w:r>
        <w:rPr>
          <w:rFonts w:hint="eastAsia"/>
          <w:color w:val="auto"/>
        </w:rPr>
        <w:t>样品；</w:t>
      </w:r>
    </w:p>
    <w:p w14:paraId="466D101A">
      <w:pPr>
        <w:adjustRightInd w:val="0"/>
        <w:snapToGrid w:val="0"/>
        <w:ind w:firstLine="437"/>
        <w:rPr>
          <w:rFonts w:hint="eastAsia"/>
          <w:color w:val="auto"/>
        </w:rPr>
      </w:pPr>
      <w:r>
        <w:rPr>
          <w:color w:val="auto"/>
        </w:rPr>
        <w:t>——</w:t>
      </w:r>
      <w:r>
        <w:rPr>
          <w:rFonts w:hint="eastAsia"/>
          <w:color w:val="auto"/>
        </w:rPr>
        <w:t>使用的标准（包括发布和出版年号）；</w:t>
      </w:r>
    </w:p>
    <w:p w14:paraId="5B482724">
      <w:pPr>
        <w:adjustRightInd w:val="0"/>
        <w:snapToGrid w:val="0"/>
        <w:ind w:firstLine="437"/>
        <w:rPr>
          <w:rFonts w:hint="eastAsia"/>
          <w:color w:val="auto"/>
        </w:rPr>
      </w:pPr>
      <w:r>
        <w:rPr>
          <w:color w:val="auto"/>
        </w:rPr>
        <w:t>——</w:t>
      </w:r>
      <w:r>
        <w:rPr>
          <w:rFonts w:hint="eastAsia"/>
          <w:color w:val="auto"/>
        </w:rPr>
        <w:t>分析结果及其表示；</w:t>
      </w:r>
    </w:p>
    <w:p w14:paraId="3950555A">
      <w:pPr>
        <w:adjustRightInd w:val="0"/>
        <w:snapToGrid w:val="0"/>
        <w:ind w:firstLine="437"/>
        <w:rPr>
          <w:rFonts w:hint="default" w:eastAsia="宋体"/>
          <w:color w:val="auto"/>
          <w:lang w:val="en-US" w:eastAsia="zh-CN"/>
        </w:rPr>
      </w:pPr>
      <w:r>
        <w:rPr>
          <w:color w:val="auto"/>
        </w:rPr>
        <w:t>——</w:t>
      </w:r>
      <w:r>
        <w:rPr>
          <w:rFonts w:hint="eastAsia"/>
          <w:color w:val="auto"/>
          <w:lang w:val="en-US" w:eastAsia="zh-CN"/>
        </w:rPr>
        <w:t>与试验步骤的差异；</w:t>
      </w:r>
    </w:p>
    <w:p w14:paraId="18ECABAB">
      <w:pPr>
        <w:adjustRightInd w:val="0"/>
        <w:snapToGrid w:val="0"/>
        <w:ind w:firstLine="437"/>
        <w:rPr>
          <w:color w:val="auto"/>
        </w:rPr>
      </w:pPr>
      <w:r>
        <w:rPr>
          <w:color w:val="auto"/>
        </w:rPr>
        <w:t>——</w:t>
      </w:r>
      <w:r>
        <w:rPr>
          <w:rFonts w:hint="eastAsia"/>
          <w:color w:val="auto"/>
        </w:rPr>
        <w:t>测定中观察到的异常现象；</w:t>
      </w:r>
    </w:p>
    <w:p w14:paraId="4E3278D7">
      <w:pPr>
        <w:adjustRightInd w:val="0"/>
        <w:snapToGrid w:val="0"/>
        <w:ind w:firstLine="437"/>
        <w:rPr>
          <w:rFonts w:hint="eastAsia"/>
          <w:color w:val="auto"/>
        </w:rPr>
      </w:pPr>
      <w:r>
        <w:rPr>
          <w:color w:val="auto"/>
        </w:rPr>
        <w:t>——</w:t>
      </w:r>
      <w:r>
        <w:rPr>
          <w:rFonts w:hint="eastAsia"/>
          <w:color w:val="auto"/>
        </w:rPr>
        <w:t>试验日期。</w:t>
      </w:r>
    </w:p>
    <w:p w14:paraId="540B4756">
      <w:pPr>
        <w:adjustRightInd w:val="0"/>
        <w:snapToGrid w:val="0"/>
        <w:ind w:firstLine="437"/>
        <w:rPr>
          <w:rFonts w:hint="eastAsia"/>
          <w:color w:val="auto"/>
        </w:rPr>
      </w:pPr>
    </w:p>
    <w:p w14:paraId="42B22F7F">
      <w:pPr>
        <w:adjustRightInd w:val="0"/>
        <w:snapToGrid w:val="0"/>
        <w:ind w:firstLine="437"/>
        <w:rPr>
          <w:color w:val="000000"/>
          <w:sz w:val="15"/>
          <w:szCs w:val="15"/>
        </w:rPr>
      </w:pPr>
      <w:r>
        <mc:AlternateContent>
          <mc:Choice Requires="wps">
            <w:drawing>
              <wp:anchor distT="0" distB="0" distL="114300" distR="114300" simplePos="0" relativeHeight="251669504" behindDoc="0" locked="0" layoutInCell="1" allowOverlap="1">
                <wp:simplePos x="0" y="0"/>
                <wp:positionH relativeFrom="column">
                  <wp:posOffset>2000250</wp:posOffset>
                </wp:positionH>
                <wp:positionV relativeFrom="paragraph">
                  <wp:posOffset>254000</wp:posOffset>
                </wp:positionV>
                <wp:extent cx="2286000" cy="635"/>
                <wp:effectExtent l="0" t="0" r="0" b="0"/>
                <wp:wrapNone/>
                <wp:docPr id="13" name="直线 41"/>
                <wp:cNvGraphicFramePr/>
                <a:graphic xmlns:a="http://schemas.openxmlformats.org/drawingml/2006/main">
                  <a:graphicData uri="http://schemas.microsoft.com/office/word/2010/wordprocessingShape">
                    <wps:wsp>
                      <wps:cNvCnPr/>
                      <wps:spPr>
                        <a:xfrm>
                          <a:off x="0" y="0"/>
                          <a:ext cx="22860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1" o:spid="_x0000_s1026" o:spt="20" style="position:absolute;left:0pt;margin-left:157.5pt;margin-top:20pt;height:0.05pt;width:180pt;z-index:251669504;mso-width-relative:page;mso-height-relative:page;" filled="f" stroked="t" coordsize="21600,21600" o:gfxdata="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8oN0s&#10;1gAAAAkBAAAPAAAAAAAAAAEAIAAAACIAAABkcnMvZG93bnJldi54bWxQSwECFAAUAAAACACHTuJA&#10;hWuj3uoBAADfAwAADgAAAAAAAAABACAAAAAlAQAAZHJzL2Uyb0RvYy54bWxQSwUGAAAAAAYABgBZ&#10;AQAAgQUAAAAA&#10;">
                <v:fill on="f" focussize="0,0"/>
                <v:stroke color="#000000" joinstyle="round"/>
                <v:imagedata o:title=""/>
                <o:lock v:ext="edit" aspectratio="f"/>
              </v:line>
            </w:pict>
          </mc:Fallback>
        </mc:AlternateContent>
      </w:r>
      <w:bookmarkEnd w:id="1"/>
    </w:p>
    <w:sectPr>
      <w:headerReference r:id="rId16" w:type="first"/>
      <w:footerReference r:id="rId19" w:type="first"/>
      <w:headerReference r:id="rId14" w:type="default"/>
      <w:footerReference r:id="rId17" w:type="default"/>
      <w:headerReference r:id="rId15" w:type="even"/>
      <w:footerReference r:id="rId18" w:type="even"/>
      <w:pgSz w:w="11906" w:h="16838"/>
      <w:pgMar w:top="1418" w:right="1134" w:bottom="1418" w:left="1418" w:header="1418" w:footer="1134" w:gutter="0"/>
      <w:pgBorders>
        <w:top w:val="none" w:sz="0" w:space="0"/>
        <w:left w:val="none" w:sz="0" w:space="0"/>
        <w:bottom w:val="none" w:sz="0" w:space="0"/>
        <w:right w:val="none" w:sz="0" w:space="0"/>
      </w:pgBorders>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6DE0D">
    <w:pPr>
      <w:pStyle w:val="79"/>
      <w:rPr>
        <w:rStyle w:val="44"/>
      </w:rPr>
    </w:pPr>
    <w:r>
      <w:rPr>
        <w:rStyle w:val="44"/>
      </w:rPr>
      <w:fldChar w:fldCharType="begin"/>
    </w:r>
    <w:r>
      <w:rPr>
        <w:rStyle w:val="44"/>
      </w:rPr>
      <w:instrText xml:space="preserve">PAGE  </w:instrText>
    </w:r>
    <w:r>
      <w:rPr>
        <w:rStyle w:val="44"/>
      </w:rPr>
      <w:fldChar w:fldCharType="separate"/>
    </w:r>
    <w:r>
      <w:rPr>
        <w:rStyle w:val="44"/>
      </w:rPr>
      <w:t>1</w:t>
    </w:r>
    <w:r>
      <w:rPr>
        <w:rStyle w:val="4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0B2E3">
    <w:pPr>
      <w:pStyle w:val="88"/>
      <w:rPr>
        <w:rStyle w:val="44"/>
      </w:rPr>
    </w:pPr>
    <w:r>
      <w:rPr>
        <w:rStyle w:val="44"/>
      </w:rPr>
      <w:fldChar w:fldCharType="begin"/>
    </w:r>
    <w:r>
      <w:rPr>
        <w:rStyle w:val="44"/>
      </w:rPr>
      <w:instrText xml:space="preserve">PAGE  </w:instrText>
    </w:r>
    <w:r>
      <w:rPr>
        <w:rStyle w:val="4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3580A">
    <w:pPr>
      <w:pStyle w:val="2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87299E">
                          <w:pPr>
                            <w:pStyle w:val="2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0QSpckBAACaAwAADgAAAGRycy9lMm9Eb2MueG1srVPNjtMwEL4j8Q6W&#10;79TZg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SLm/CG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jRBKlyQEAAJoDAAAOAAAAAAAAAAEAIAAAAB4BAABkcnMvZTJvRG9j&#10;LnhtbFBLBQYAAAAABgAGAFkBAABZBQAAAAA=&#10;">
              <v:fill on="f" focussize="0,0"/>
              <v:stroke on="f"/>
              <v:imagedata o:title=""/>
              <o:lock v:ext="edit" aspectratio="f"/>
              <v:textbox inset="0mm,0mm,0mm,0mm" style="mso-fit-shape-to-text:t;">
                <w:txbxContent>
                  <w:p w14:paraId="4387299E">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A3717">
    <w:pPr>
      <w:pStyle w:val="29"/>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70C277">
                          <w:pPr>
                            <w:pStyle w:val="29"/>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bxOyckBAACaAwAADgAAAGRycy9lMm9Eb2MueG1srVPNjtMwEL4j8Q6W&#10;79TZC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SLm/CG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VvE7JyQEAAJoDAAAOAAAAAAAAAAEAIAAAAB4BAABkcnMvZTJvRG9j&#10;LnhtbFBLBQYAAAAABgAGAFkBAABZBQAAAAA=&#10;">
              <v:fill on="f" focussize="0,0"/>
              <v:stroke on="f"/>
              <v:imagedata o:title=""/>
              <o:lock v:ext="edit" aspectratio="f"/>
              <v:textbox inset="0mm,0mm,0mm,0mm" style="mso-fit-shape-to-text:t;">
                <w:txbxContent>
                  <w:p w14:paraId="2C70C277">
                    <w:pPr>
                      <w:pStyle w:val="2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1EF3F">
    <w:pPr>
      <w:pStyle w:val="29"/>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A604873">
                          <w:pPr>
                            <w:pStyle w:val="29"/>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50xp8kBAACaAwAADgAAAGRycy9lMm9Eb2MueG1srVPNjtMwEL4j8Q6W&#10;79TZSqy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uAnXlDhuceLnnz/Ov/6cf38n&#10;b7M+fYAa0+4DJqbhnR8wd/YDOjPtQUWbv0iIYBzVPV3UlUMiIj9aLVerCkMCY/MF8dnD8xAhvZfe&#10;kmw0NOL4iqr8+BHSmDqn5GrO32ljygiN+8eBmNnDcu9jj9lKw26YCO18e0I+PU6+oQ4XnRLzwaGw&#10;eUlmI87GbjYOIep9V7Yo14Nwe0jYROktVxhhp8I4ssJuWq+8E4/vJevhl9r8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HnTGnyQEAAJoDAAAOAAAAAAAAAAEAIAAAAB4BAABkcnMvZTJvRG9j&#10;LnhtbFBLBQYAAAAABgAGAFkBAABZBQAAAAA=&#10;">
              <v:fill on="f" focussize="0,0"/>
              <v:stroke on="f"/>
              <v:imagedata o:title=""/>
              <o:lock v:ext="edit" aspectratio="f"/>
              <v:textbox inset="0mm,0mm,0mm,0mm" style="mso-fit-shape-to-text:t;">
                <w:txbxContent>
                  <w:p w14:paraId="6A604873">
                    <w:pPr>
                      <w:pStyle w:val="29"/>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F0CB4">
    <w:pPr>
      <w:pStyle w:val="29"/>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57171B0">
                          <w:pPr>
                            <w:pStyle w:val="29"/>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u8dRJ8cBAACaAwAADgAAAAAAAAABACAAAAAeAQAAZHJzL2Uyb0RvYy54&#10;bWxQSwUGAAAAAAYABgBZAQAAVwUAAAAA&#10;">
              <v:fill on="f" focussize="0,0"/>
              <v:stroke on="f"/>
              <v:imagedata o:title=""/>
              <o:lock v:ext="edit" aspectratio="f"/>
              <v:textbox inset="0mm,0mm,0mm,0mm" style="mso-fit-shape-to-text:t;">
                <w:txbxContent>
                  <w:p w14:paraId="557171B0">
                    <w:pPr>
                      <w:pStyle w:val="29"/>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2D1AC">
    <w:pPr>
      <w:pStyle w:val="29"/>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D11B10">
                          <w:pPr>
                            <w:pStyle w:val="29"/>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KRw7kbIAQAAmgMAAA4AAAAAAAAAAQAgAAAAHgEAAGRycy9lMm9Eb2Mu&#10;eG1sUEsFBgAAAAAGAAYAWQEAAFgFAAAAAA==&#10;">
              <v:fill on="f" focussize="0,0"/>
              <v:stroke on="f"/>
              <v:imagedata o:title=""/>
              <o:lock v:ext="edit" aspectratio="f"/>
              <v:textbox inset="0mm,0mm,0mm,0mm" style="mso-fit-shape-to-text:t;">
                <w:txbxContent>
                  <w:p w14:paraId="79D11B10">
                    <w:pPr>
                      <w:pStyle w:val="29"/>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623CD">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5E8F">
    <w:pPr>
      <w:pStyle w:val="84"/>
    </w:pPr>
    <w:r>
      <w:t>GB/T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5C5E2">
    <w:pPr>
      <w:pStyle w:val="95"/>
    </w:pPr>
    <w:r>
      <w:t>GB/T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4B38F">
    <w:pPr>
      <w:pStyle w:val="94"/>
    </w:pP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C91BE">
    <w:pPr>
      <w:pStyle w:val="30"/>
      <w:pBdr>
        <w:bottom w:val="none" w:color="auto" w:sz="0" w:space="0"/>
      </w:pBdr>
      <w:jc w:val="right"/>
    </w:pPr>
    <w:r>
      <w:rPr>
        <w:rFonts w:hint="eastAsia" w:ascii="黑体" w:eastAsia="黑体"/>
      </w:rPr>
      <w:t>GB/T 5121</w:t>
    </w:r>
    <w:r>
      <w:rPr>
        <w:rFonts w:hint="eastAsia" w:ascii="黑体" w:eastAsia="黑体"/>
        <w:lang w:eastAsia="zh-CN"/>
      </w:rPr>
      <w:t>.</w:t>
    </w:r>
    <w:r>
      <w:rPr>
        <w:rFonts w:hint="eastAsia" w:ascii="黑体" w:eastAsia="黑体"/>
        <w:lang w:val="en-US" w:eastAsia="zh-CN"/>
      </w:rPr>
      <w:t>21</w:t>
    </w:r>
    <w:r>
      <w:rPr>
        <w:rFonts w:hint="eastAsia" w:ascii="黑体" w:eastAsia="黑体"/>
      </w:rPr>
      <w:t>—202×</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D0A54">
    <w:pPr>
      <w:pStyle w:val="30"/>
      <w:pBdr>
        <w:bottom w:val="none" w:color="auto" w:sz="0" w:space="0"/>
      </w:pBdr>
      <w:ind w:firstLine="7920" w:firstLineChars="4400"/>
      <w:jc w:val="both"/>
    </w:pPr>
    <w:r>
      <w:rPr>
        <w:rFonts w:hint="eastAsia" w:ascii="黑体" w:eastAsia="黑体"/>
      </w:rPr>
      <w:t>GB/T 5121</w:t>
    </w:r>
    <w:r>
      <w:rPr>
        <w:rFonts w:hint="eastAsia" w:ascii="黑体" w:eastAsia="黑体"/>
        <w:lang w:eastAsia="zh-CN"/>
      </w:rPr>
      <w:t>.</w:t>
    </w:r>
    <w:r>
      <w:rPr>
        <w:rFonts w:hint="eastAsia" w:ascii="黑体" w:eastAsia="黑体"/>
        <w:lang w:val="en-US" w:eastAsia="zh-CN"/>
      </w:rPr>
      <w:t>21</w:t>
    </w:r>
    <w:r>
      <w:rPr>
        <w:rFonts w:hint="eastAsia" w:ascii="黑体" w:eastAsia="黑体"/>
      </w:rPr>
      <w:t>—202×</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2C4E5">
    <w:pPr>
      <w:pStyle w:val="30"/>
      <w:pBdr>
        <w:bottom w:val="none" w:color="auto" w:sz="0" w:space="0"/>
      </w:pBdr>
      <w:jc w:val="right"/>
    </w:pPr>
    <w:r>
      <w:rPr>
        <w:rFonts w:hint="eastAsia" w:ascii="黑体" w:eastAsia="黑体"/>
        <w:color w:val="auto"/>
      </w:rPr>
      <w:t>GB/T 5121</w:t>
    </w:r>
    <w:r>
      <w:rPr>
        <w:rFonts w:hint="eastAsia" w:ascii="黑体" w:eastAsia="黑体"/>
        <w:color w:val="auto"/>
        <w:lang w:eastAsia="zh-CN"/>
      </w:rPr>
      <w:t>.</w:t>
    </w:r>
    <w:r>
      <w:rPr>
        <w:rFonts w:hint="eastAsia" w:ascii="黑体" w:eastAsia="黑体"/>
        <w:color w:val="auto"/>
        <w:lang w:val="en-US" w:eastAsia="zh-CN"/>
      </w:rPr>
      <w:t>21</w:t>
    </w:r>
    <w:r>
      <w:rPr>
        <w:rFonts w:hint="eastAsia" w:ascii="黑体" w:eastAsia="黑体"/>
        <w:color w:val="auto"/>
      </w:rPr>
      <w:t>—202×</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7AA2E">
    <w:pPr>
      <w:pStyle w:val="84"/>
      <w:rPr>
        <w:rFonts w:ascii="黑体" w:eastAsia="黑体"/>
      </w:rPr>
    </w:pPr>
    <w:r>
      <w:rPr>
        <w:rFonts w:hint="eastAsia" w:ascii="黑体" w:eastAsia="黑体"/>
      </w:rPr>
      <w:t>GB/T 5121.</w:t>
    </w:r>
    <w:r>
      <w:rPr>
        <w:rFonts w:hint="eastAsia" w:ascii="黑体" w:eastAsia="黑体"/>
        <w:lang w:val="en-US" w:eastAsia="zh-CN"/>
      </w:rPr>
      <w:t>21</w:t>
    </w:r>
    <w:r>
      <w:rPr>
        <w:rFonts w:hint="eastAsia" w:ascii="黑体" w:eastAsia="黑体"/>
      </w:rPr>
      <w:t>—202×</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48DF0">
    <w:pPr>
      <w:pStyle w:val="84"/>
      <w:rPr>
        <w:rFonts w:ascii="黑体" w:eastAsia="黑体"/>
      </w:rPr>
    </w:pPr>
    <w:r>
      <w:rPr>
        <w:rFonts w:hint="eastAsia" w:ascii="黑体" w:eastAsia="黑体"/>
      </w:rPr>
      <w:t>GB/T 5121.</w:t>
    </w:r>
    <w:r>
      <w:rPr>
        <w:rFonts w:hint="eastAsia" w:ascii="黑体" w:eastAsia="黑体"/>
        <w:lang w:val="en-US" w:eastAsia="zh-CN"/>
      </w:rPr>
      <w:t>21</w:t>
    </w:r>
    <w:r>
      <w:rPr>
        <w:rFonts w:hint="eastAsia" w:ascii="黑体" w:eastAsia="黑体"/>
      </w:rPr>
      <w:t>—202×</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B4642">
    <w:pPr>
      <w:pStyle w:val="30"/>
      <w:pBdr>
        <w:bottom w:val="none" w:color="auto" w:sz="0" w:space="0"/>
      </w:pBdr>
      <w:jc w:val="right"/>
      <w:rPr>
        <w:rFonts w:ascii="黑体" w:eastAsia="黑体"/>
        <w:sz w:val="21"/>
        <w:szCs w:val="21"/>
      </w:rPr>
    </w:pPr>
    <w:r>
      <w:rPr>
        <w:rFonts w:hint="eastAsia" w:ascii="黑体" w:eastAsia="黑体"/>
        <w:sz w:val="21"/>
        <w:szCs w:val="21"/>
      </w:rPr>
      <w:t>GB/T 4698.2-20XX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806F7D"/>
    <w:multiLevelType w:val="multilevel"/>
    <w:tmpl w:val="46806F7D"/>
    <w:lvl w:ilvl="0" w:tentative="0">
      <w:start w:val="1"/>
      <w:numFmt w:val="none"/>
      <w:pStyle w:val="120"/>
      <w:lvlText w:val="图"/>
      <w:lvlJc w:val="left"/>
      <w:pPr>
        <w:tabs>
          <w:tab w:val="left" w:pos="360"/>
        </w:tabs>
        <w:ind w:left="0" w:firstLine="0"/>
      </w:pPr>
      <w:rPr>
        <w:rFonts w:hint="eastAsia" w:ascii="黑体" w:eastAsia="黑体"/>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6D22D8F"/>
    <w:multiLevelType w:val="multilevel"/>
    <w:tmpl w:val="46D22D8F"/>
    <w:lvl w:ilvl="0" w:tentative="0">
      <w:start w:val="1"/>
      <w:numFmt w:val="none"/>
      <w:pStyle w:val="124"/>
      <w:lvlText w:val="%1◆　"/>
      <w:lvlJc w:val="left"/>
      <w:pPr>
        <w:tabs>
          <w:tab w:val="left" w:pos="960"/>
        </w:tabs>
        <w:ind w:left="917" w:hanging="317"/>
      </w:pPr>
      <w:rPr>
        <w:rFonts w:hint="eastAsia" w:ascii="宋体" w:hAnsi="Times New Roman" w:eastAsia="宋体"/>
        <w:b w:val="0"/>
        <w:i w:val="0"/>
        <w:position w:val="4"/>
        <w:sz w:val="1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496E4D7B"/>
    <w:multiLevelType w:val="multilevel"/>
    <w:tmpl w:val="496E4D7B"/>
    <w:lvl w:ilvl="0" w:tentative="0">
      <w:start w:val="1"/>
      <w:numFmt w:val="none"/>
      <w:pStyle w:val="135"/>
      <w:lvlText w:val="%1注"/>
      <w:lvlJc w:val="left"/>
      <w:pPr>
        <w:tabs>
          <w:tab w:val="left" w:pos="900"/>
        </w:tabs>
        <w:ind w:left="900" w:hanging="50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14E4EF8"/>
    <w:multiLevelType w:val="singleLevel"/>
    <w:tmpl w:val="514E4EF8"/>
    <w:lvl w:ilvl="0" w:tentative="0">
      <w:start w:val="1"/>
      <w:numFmt w:val="lowerLetter"/>
      <w:lvlText w:val="%1)"/>
      <w:lvlJc w:val="left"/>
      <w:pPr>
        <w:tabs>
          <w:tab w:val="left" w:pos="312"/>
        </w:tabs>
      </w:pPr>
      <w:rPr>
        <w:rFonts w:hint="default" w:ascii="Times New Roman" w:hAnsi="Times New Roman" w:eastAsia="宋体" w:cs="Times New Roman"/>
      </w:rPr>
    </w:lvl>
  </w:abstractNum>
  <w:abstractNum w:abstractNumId="4">
    <w:nsid w:val="557C2AF5"/>
    <w:multiLevelType w:val="multilevel"/>
    <w:tmpl w:val="557C2AF5"/>
    <w:lvl w:ilvl="0" w:tentative="0">
      <w:start w:val="1"/>
      <w:numFmt w:val="decimal"/>
      <w:pStyle w:val="140"/>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
    <w:nsid w:val="646260FA"/>
    <w:multiLevelType w:val="multilevel"/>
    <w:tmpl w:val="646260FA"/>
    <w:lvl w:ilvl="0" w:tentative="0">
      <w:start w:val="1"/>
      <w:numFmt w:val="decimal"/>
      <w:pStyle w:val="138"/>
      <w:suff w:val="nothing"/>
      <w:lvlText w:val="表%1 "/>
      <w:lvlJc w:val="center"/>
      <w:pPr>
        <w:ind w:left="4935" w:firstLine="0"/>
      </w:pPr>
      <w:rPr>
        <w:rFonts w:hint="eastAsia" w:ascii="黑体" w:hAnsi="Times New Roman" w:eastAsia="黑体"/>
        <w:b w:val="0"/>
        <w:i w:val="0"/>
        <w:sz w:val="21"/>
      </w:rPr>
    </w:lvl>
    <w:lvl w:ilvl="1" w:tentative="0">
      <w:start w:val="1"/>
      <w:numFmt w:val="decimal"/>
      <w:pStyle w:val="127"/>
      <w:lvlText w:val="%1.%2"/>
      <w:lvlJc w:val="left"/>
      <w:pPr>
        <w:tabs>
          <w:tab w:val="left" w:pos="887"/>
        </w:tabs>
        <w:ind w:left="887" w:hanging="567"/>
      </w:pPr>
      <w:rPr>
        <w:rFonts w:hint="eastAsia"/>
      </w:rPr>
    </w:lvl>
    <w:lvl w:ilvl="2" w:tentative="0">
      <w:start w:val="1"/>
      <w:numFmt w:val="decimal"/>
      <w:lvlText w:val="%1.%2.%3"/>
      <w:lvlJc w:val="left"/>
      <w:pPr>
        <w:tabs>
          <w:tab w:val="left" w:pos="1313"/>
        </w:tabs>
        <w:ind w:left="1313" w:hanging="567"/>
      </w:pPr>
      <w:rPr>
        <w:rFonts w:hint="eastAsia"/>
      </w:rPr>
    </w:lvl>
    <w:lvl w:ilvl="3" w:tentative="0">
      <w:start w:val="1"/>
      <w:numFmt w:val="decimal"/>
      <w:lvlText w:val="%1.%2.%3.%4"/>
      <w:lvlJc w:val="left"/>
      <w:pPr>
        <w:tabs>
          <w:tab w:val="left" w:pos="1879"/>
        </w:tabs>
        <w:ind w:left="1879" w:hanging="708"/>
      </w:pPr>
      <w:rPr>
        <w:rFonts w:hint="eastAsia"/>
      </w:rPr>
    </w:lvl>
    <w:lvl w:ilvl="4" w:tentative="0">
      <w:start w:val="1"/>
      <w:numFmt w:val="decimal"/>
      <w:lvlText w:val="%1.%2.%3.%4.%5"/>
      <w:lvlJc w:val="left"/>
      <w:pPr>
        <w:tabs>
          <w:tab w:val="left" w:pos="2446"/>
        </w:tabs>
        <w:ind w:left="2446" w:hanging="850"/>
      </w:pPr>
      <w:rPr>
        <w:rFonts w:hint="eastAsia"/>
      </w:rPr>
    </w:lvl>
    <w:lvl w:ilvl="5" w:tentative="0">
      <w:start w:val="1"/>
      <w:numFmt w:val="decimal"/>
      <w:lvlText w:val="%1.%2.%3.%4.%5.%6"/>
      <w:lvlJc w:val="left"/>
      <w:pPr>
        <w:tabs>
          <w:tab w:val="left" w:pos="3155"/>
        </w:tabs>
        <w:ind w:left="3155" w:hanging="1134"/>
      </w:pPr>
      <w:rPr>
        <w:rFonts w:hint="eastAsia"/>
      </w:rPr>
    </w:lvl>
    <w:lvl w:ilvl="6" w:tentative="0">
      <w:start w:val="1"/>
      <w:numFmt w:val="decimal"/>
      <w:pStyle w:val="121"/>
      <w:lvlText w:val="%1.%2.%3.%4.%5.%6.%7"/>
      <w:lvlJc w:val="left"/>
      <w:pPr>
        <w:tabs>
          <w:tab w:val="left" w:pos="3722"/>
        </w:tabs>
        <w:ind w:left="3722" w:hanging="1276"/>
      </w:pPr>
      <w:rPr>
        <w:rFonts w:hint="eastAsia"/>
      </w:rPr>
    </w:lvl>
    <w:lvl w:ilvl="7" w:tentative="0">
      <w:start w:val="1"/>
      <w:numFmt w:val="decimal"/>
      <w:lvlText w:val="%1.%2.%3.%4.%5.%6.%7.%8"/>
      <w:lvlJc w:val="left"/>
      <w:pPr>
        <w:tabs>
          <w:tab w:val="left" w:pos="4289"/>
        </w:tabs>
        <w:ind w:left="4289" w:hanging="1418"/>
      </w:pPr>
      <w:rPr>
        <w:rFonts w:hint="eastAsia"/>
      </w:rPr>
    </w:lvl>
    <w:lvl w:ilvl="8" w:tentative="0">
      <w:start w:val="1"/>
      <w:numFmt w:val="decimal"/>
      <w:lvlText w:val="%1.%2.%3.%4.%5.%6.%7.%8.%9"/>
      <w:lvlJc w:val="left"/>
      <w:pPr>
        <w:tabs>
          <w:tab w:val="left" w:pos="4997"/>
        </w:tabs>
        <w:ind w:left="4997" w:hanging="1700"/>
      </w:pPr>
      <w:rPr>
        <w:rFonts w:hint="eastAsia"/>
      </w:rPr>
    </w:lvl>
  </w:abstractNum>
  <w:abstractNum w:abstractNumId="6">
    <w:nsid w:val="657D3FBC"/>
    <w:multiLevelType w:val="multilevel"/>
    <w:tmpl w:val="657D3FBC"/>
    <w:lvl w:ilvl="0" w:tentative="0">
      <w:start w:val="1"/>
      <w:numFmt w:val="upperLetter"/>
      <w:pStyle w:val="115"/>
      <w:suff w:val="nothing"/>
      <w:lvlText w:val="附　录　%1"/>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6CEA2025"/>
    <w:multiLevelType w:val="multilevel"/>
    <w:tmpl w:val="6CEA2025"/>
    <w:lvl w:ilvl="0" w:tentative="0">
      <w:start w:val="1"/>
      <w:numFmt w:val="none"/>
      <w:pStyle w:val="114"/>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
    <w:nsid w:val="6DBF04F4"/>
    <w:multiLevelType w:val="multilevel"/>
    <w:tmpl w:val="6DBF04F4"/>
    <w:lvl w:ilvl="0" w:tentative="0">
      <w:start w:val="1"/>
      <w:numFmt w:val="none"/>
      <w:pStyle w:val="131"/>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7"/>
  </w:num>
  <w:num w:numId="2">
    <w:abstractNumId w:val="6"/>
  </w:num>
  <w:num w:numId="3">
    <w:abstractNumId w:val="0"/>
  </w:num>
  <w:num w:numId="4">
    <w:abstractNumId w:val="5"/>
  </w:num>
  <w:num w:numId="5">
    <w:abstractNumId w:val="1"/>
  </w:num>
  <w:num w:numId="6">
    <w:abstractNumId w:val="8"/>
  </w:num>
  <w:num w:numId="7">
    <w:abstractNumId w:val="2"/>
  </w:num>
  <w:num w:numId="8">
    <w:abstractNumId w:val="4"/>
  </w:num>
  <w:num w:numId="9">
    <w:abstractNumId w:val="3"/>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1ZTliOTQ3YjRkNTVkMDY0MDEyZDk5ZTEwZjNjNmEifQ=="/>
  </w:docVars>
  <w:rsids>
    <w:rsidRoot w:val="00B45D38"/>
    <w:rsid w:val="00001600"/>
    <w:rsid w:val="00003893"/>
    <w:rsid w:val="00012E6C"/>
    <w:rsid w:val="00012F3A"/>
    <w:rsid w:val="00014191"/>
    <w:rsid w:val="00023E8F"/>
    <w:rsid w:val="0002524F"/>
    <w:rsid w:val="00026FBA"/>
    <w:rsid w:val="00033530"/>
    <w:rsid w:val="00037930"/>
    <w:rsid w:val="000448D5"/>
    <w:rsid w:val="00044CA1"/>
    <w:rsid w:val="00044E39"/>
    <w:rsid w:val="00045022"/>
    <w:rsid w:val="00061C50"/>
    <w:rsid w:val="000620E6"/>
    <w:rsid w:val="00062137"/>
    <w:rsid w:val="000707C9"/>
    <w:rsid w:val="00075D21"/>
    <w:rsid w:val="000762F0"/>
    <w:rsid w:val="000826C8"/>
    <w:rsid w:val="00083C40"/>
    <w:rsid w:val="00085501"/>
    <w:rsid w:val="00085AA2"/>
    <w:rsid w:val="000916D0"/>
    <w:rsid w:val="00094A62"/>
    <w:rsid w:val="00096972"/>
    <w:rsid w:val="000A0570"/>
    <w:rsid w:val="000A6A6E"/>
    <w:rsid w:val="000B2ABA"/>
    <w:rsid w:val="000B39E8"/>
    <w:rsid w:val="000C2071"/>
    <w:rsid w:val="000C4F08"/>
    <w:rsid w:val="000D5EDB"/>
    <w:rsid w:val="000D6AE8"/>
    <w:rsid w:val="000E304B"/>
    <w:rsid w:val="000E694B"/>
    <w:rsid w:val="000F2840"/>
    <w:rsid w:val="001032CE"/>
    <w:rsid w:val="001044B0"/>
    <w:rsid w:val="00105F41"/>
    <w:rsid w:val="00113F69"/>
    <w:rsid w:val="00116747"/>
    <w:rsid w:val="001173AC"/>
    <w:rsid w:val="00123AFD"/>
    <w:rsid w:val="00123D01"/>
    <w:rsid w:val="00126E87"/>
    <w:rsid w:val="00130F45"/>
    <w:rsid w:val="00134E3F"/>
    <w:rsid w:val="00137478"/>
    <w:rsid w:val="00142C31"/>
    <w:rsid w:val="00145613"/>
    <w:rsid w:val="001654D5"/>
    <w:rsid w:val="001664FC"/>
    <w:rsid w:val="001716D9"/>
    <w:rsid w:val="00173168"/>
    <w:rsid w:val="00173A33"/>
    <w:rsid w:val="00176F60"/>
    <w:rsid w:val="001825AF"/>
    <w:rsid w:val="00186561"/>
    <w:rsid w:val="001879A3"/>
    <w:rsid w:val="001939C5"/>
    <w:rsid w:val="00195503"/>
    <w:rsid w:val="0019666D"/>
    <w:rsid w:val="001A33D8"/>
    <w:rsid w:val="001A533F"/>
    <w:rsid w:val="001B1550"/>
    <w:rsid w:val="001B544F"/>
    <w:rsid w:val="001B597D"/>
    <w:rsid w:val="001C15AD"/>
    <w:rsid w:val="001C1B2E"/>
    <w:rsid w:val="001C307B"/>
    <w:rsid w:val="001D72AD"/>
    <w:rsid w:val="001E0667"/>
    <w:rsid w:val="001E2DD4"/>
    <w:rsid w:val="001E2FC8"/>
    <w:rsid w:val="001E74D8"/>
    <w:rsid w:val="001F2AB4"/>
    <w:rsid w:val="001F5C02"/>
    <w:rsid w:val="001F5F19"/>
    <w:rsid w:val="00200BD4"/>
    <w:rsid w:val="00200D66"/>
    <w:rsid w:val="0020306D"/>
    <w:rsid w:val="00203208"/>
    <w:rsid w:val="00211CAF"/>
    <w:rsid w:val="0022320F"/>
    <w:rsid w:val="0022768D"/>
    <w:rsid w:val="00231A75"/>
    <w:rsid w:val="00235724"/>
    <w:rsid w:val="00236E05"/>
    <w:rsid w:val="00241F04"/>
    <w:rsid w:val="002421A9"/>
    <w:rsid w:val="00243F71"/>
    <w:rsid w:val="002525CC"/>
    <w:rsid w:val="00270CA6"/>
    <w:rsid w:val="002731E7"/>
    <w:rsid w:val="00275129"/>
    <w:rsid w:val="00291CED"/>
    <w:rsid w:val="002A0CDA"/>
    <w:rsid w:val="002A27D5"/>
    <w:rsid w:val="002B2279"/>
    <w:rsid w:val="002C180F"/>
    <w:rsid w:val="002C1929"/>
    <w:rsid w:val="002C70D3"/>
    <w:rsid w:val="002D1FBF"/>
    <w:rsid w:val="002D61BE"/>
    <w:rsid w:val="002D62B0"/>
    <w:rsid w:val="002E3CF9"/>
    <w:rsid w:val="002E7FAD"/>
    <w:rsid w:val="00300C24"/>
    <w:rsid w:val="00300DFF"/>
    <w:rsid w:val="003045E5"/>
    <w:rsid w:val="00305C1C"/>
    <w:rsid w:val="00311344"/>
    <w:rsid w:val="00311A04"/>
    <w:rsid w:val="00314863"/>
    <w:rsid w:val="00315DBC"/>
    <w:rsid w:val="00321313"/>
    <w:rsid w:val="00323F2C"/>
    <w:rsid w:val="0032530A"/>
    <w:rsid w:val="003257CE"/>
    <w:rsid w:val="00335B4D"/>
    <w:rsid w:val="00336435"/>
    <w:rsid w:val="0033765E"/>
    <w:rsid w:val="0035525E"/>
    <w:rsid w:val="00366F54"/>
    <w:rsid w:val="003671A8"/>
    <w:rsid w:val="00371476"/>
    <w:rsid w:val="00372043"/>
    <w:rsid w:val="003729C8"/>
    <w:rsid w:val="00375EE1"/>
    <w:rsid w:val="003A703A"/>
    <w:rsid w:val="003B0C28"/>
    <w:rsid w:val="003C2D48"/>
    <w:rsid w:val="003D071F"/>
    <w:rsid w:val="003D190A"/>
    <w:rsid w:val="003D2277"/>
    <w:rsid w:val="003D274D"/>
    <w:rsid w:val="003E35CE"/>
    <w:rsid w:val="003E409B"/>
    <w:rsid w:val="003E7977"/>
    <w:rsid w:val="003F2D41"/>
    <w:rsid w:val="003F3B14"/>
    <w:rsid w:val="003F4F11"/>
    <w:rsid w:val="00410C70"/>
    <w:rsid w:val="004119A2"/>
    <w:rsid w:val="00423929"/>
    <w:rsid w:val="00427E69"/>
    <w:rsid w:val="00437846"/>
    <w:rsid w:val="004549FB"/>
    <w:rsid w:val="00456443"/>
    <w:rsid w:val="00457343"/>
    <w:rsid w:val="004602FF"/>
    <w:rsid w:val="00461B73"/>
    <w:rsid w:val="00463178"/>
    <w:rsid w:val="00464FC3"/>
    <w:rsid w:val="00466B4A"/>
    <w:rsid w:val="00471C42"/>
    <w:rsid w:val="004737D9"/>
    <w:rsid w:val="00476AEE"/>
    <w:rsid w:val="00480577"/>
    <w:rsid w:val="004811CC"/>
    <w:rsid w:val="00482E4C"/>
    <w:rsid w:val="00493E1F"/>
    <w:rsid w:val="00494168"/>
    <w:rsid w:val="004969B1"/>
    <w:rsid w:val="004A14AD"/>
    <w:rsid w:val="004A45DA"/>
    <w:rsid w:val="004A5100"/>
    <w:rsid w:val="004A7A99"/>
    <w:rsid w:val="004B20E3"/>
    <w:rsid w:val="004B597C"/>
    <w:rsid w:val="004C5061"/>
    <w:rsid w:val="004D10F4"/>
    <w:rsid w:val="004D2022"/>
    <w:rsid w:val="004D5C95"/>
    <w:rsid w:val="004E5674"/>
    <w:rsid w:val="004F4C87"/>
    <w:rsid w:val="0050129F"/>
    <w:rsid w:val="00504125"/>
    <w:rsid w:val="00504EC5"/>
    <w:rsid w:val="00510569"/>
    <w:rsid w:val="00512CAC"/>
    <w:rsid w:val="0052287D"/>
    <w:rsid w:val="00522881"/>
    <w:rsid w:val="005334FC"/>
    <w:rsid w:val="00543C22"/>
    <w:rsid w:val="00546275"/>
    <w:rsid w:val="005474A2"/>
    <w:rsid w:val="00550E0B"/>
    <w:rsid w:val="00552521"/>
    <w:rsid w:val="00552E86"/>
    <w:rsid w:val="00560EEC"/>
    <w:rsid w:val="00566730"/>
    <w:rsid w:val="00576E66"/>
    <w:rsid w:val="005823B9"/>
    <w:rsid w:val="00584147"/>
    <w:rsid w:val="00586DF7"/>
    <w:rsid w:val="00595DCF"/>
    <w:rsid w:val="00597C20"/>
    <w:rsid w:val="00597C71"/>
    <w:rsid w:val="005A0FD9"/>
    <w:rsid w:val="005A1496"/>
    <w:rsid w:val="005A1CED"/>
    <w:rsid w:val="005A2ED1"/>
    <w:rsid w:val="005A3D9A"/>
    <w:rsid w:val="005A435C"/>
    <w:rsid w:val="005B5353"/>
    <w:rsid w:val="005B7FDB"/>
    <w:rsid w:val="005C28C3"/>
    <w:rsid w:val="005D31AA"/>
    <w:rsid w:val="005D36A7"/>
    <w:rsid w:val="005D5991"/>
    <w:rsid w:val="005D6846"/>
    <w:rsid w:val="005D6D53"/>
    <w:rsid w:val="005E0805"/>
    <w:rsid w:val="00600DF3"/>
    <w:rsid w:val="006060C6"/>
    <w:rsid w:val="00611E97"/>
    <w:rsid w:val="00613BAB"/>
    <w:rsid w:val="006216BF"/>
    <w:rsid w:val="00631425"/>
    <w:rsid w:val="006330BA"/>
    <w:rsid w:val="00646666"/>
    <w:rsid w:val="006467F6"/>
    <w:rsid w:val="00647394"/>
    <w:rsid w:val="00647520"/>
    <w:rsid w:val="00650B28"/>
    <w:rsid w:val="00652868"/>
    <w:rsid w:val="00657953"/>
    <w:rsid w:val="00661F51"/>
    <w:rsid w:val="006620F2"/>
    <w:rsid w:val="006647BC"/>
    <w:rsid w:val="006664D2"/>
    <w:rsid w:val="00674571"/>
    <w:rsid w:val="006750EC"/>
    <w:rsid w:val="00682102"/>
    <w:rsid w:val="0068520E"/>
    <w:rsid w:val="006901A7"/>
    <w:rsid w:val="00693102"/>
    <w:rsid w:val="0069498C"/>
    <w:rsid w:val="006A0851"/>
    <w:rsid w:val="006A7E61"/>
    <w:rsid w:val="006B1335"/>
    <w:rsid w:val="006B1688"/>
    <w:rsid w:val="006B46BE"/>
    <w:rsid w:val="006C19CD"/>
    <w:rsid w:val="006C2993"/>
    <w:rsid w:val="006D0A8A"/>
    <w:rsid w:val="006D4C2E"/>
    <w:rsid w:val="006E2759"/>
    <w:rsid w:val="006E714E"/>
    <w:rsid w:val="006E7BD7"/>
    <w:rsid w:val="006F1899"/>
    <w:rsid w:val="006F2A55"/>
    <w:rsid w:val="006F68B6"/>
    <w:rsid w:val="006F72E3"/>
    <w:rsid w:val="007035F6"/>
    <w:rsid w:val="0070745D"/>
    <w:rsid w:val="00713BEB"/>
    <w:rsid w:val="0071575B"/>
    <w:rsid w:val="00717588"/>
    <w:rsid w:val="00721A95"/>
    <w:rsid w:val="00722D8C"/>
    <w:rsid w:val="00724204"/>
    <w:rsid w:val="00756509"/>
    <w:rsid w:val="00757E60"/>
    <w:rsid w:val="007656E7"/>
    <w:rsid w:val="00767163"/>
    <w:rsid w:val="00770B23"/>
    <w:rsid w:val="00773EF2"/>
    <w:rsid w:val="007767D8"/>
    <w:rsid w:val="00780C58"/>
    <w:rsid w:val="00781250"/>
    <w:rsid w:val="00783EA5"/>
    <w:rsid w:val="007924B9"/>
    <w:rsid w:val="007A0D78"/>
    <w:rsid w:val="007A3949"/>
    <w:rsid w:val="007A63ED"/>
    <w:rsid w:val="007A7F8F"/>
    <w:rsid w:val="007B10B7"/>
    <w:rsid w:val="007B1C42"/>
    <w:rsid w:val="007B66E3"/>
    <w:rsid w:val="007C1E23"/>
    <w:rsid w:val="007C3D0E"/>
    <w:rsid w:val="007C58E9"/>
    <w:rsid w:val="007C6F1E"/>
    <w:rsid w:val="007D1EC6"/>
    <w:rsid w:val="007D65D2"/>
    <w:rsid w:val="007E578C"/>
    <w:rsid w:val="007F17AE"/>
    <w:rsid w:val="007F2B0A"/>
    <w:rsid w:val="00801697"/>
    <w:rsid w:val="0080270A"/>
    <w:rsid w:val="008059DC"/>
    <w:rsid w:val="00805D3F"/>
    <w:rsid w:val="00807FC4"/>
    <w:rsid w:val="00812F6F"/>
    <w:rsid w:val="008157B8"/>
    <w:rsid w:val="00825F36"/>
    <w:rsid w:val="00826215"/>
    <w:rsid w:val="008319A8"/>
    <w:rsid w:val="00832B6E"/>
    <w:rsid w:val="00832DE1"/>
    <w:rsid w:val="008343C1"/>
    <w:rsid w:val="0083662C"/>
    <w:rsid w:val="0085149E"/>
    <w:rsid w:val="00852637"/>
    <w:rsid w:val="00854BA4"/>
    <w:rsid w:val="00857243"/>
    <w:rsid w:val="00860130"/>
    <w:rsid w:val="00861E94"/>
    <w:rsid w:val="00865CF0"/>
    <w:rsid w:val="0086723F"/>
    <w:rsid w:val="00873237"/>
    <w:rsid w:val="008767EB"/>
    <w:rsid w:val="0087785A"/>
    <w:rsid w:val="0088021D"/>
    <w:rsid w:val="0088081D"/>
    <w:rsid w:val="00881828"/>
    <w:rsid w:val="0088474A"/>
    <w:rsid w:val="00891449"/>
    <w:rsid w:val="008A2EB2"/>
    <w:rsid w:val="008B2FE3"/>
    <w:rsid w:val="008C7611"/>
    <w:rsid w:val="008D26EE"/>
    <w:rsid w:val="008D3C0B"/>
    <w:rsid w:val="008E0550"/>
    <w:rsid w:val="008E1941"/>
    <w:rsid w:val="008E581A"/>
    <w:rsid w:val="008E6B2F"/>
    <w:rsid w:val="008F338D"/>
    <w:rsid w:val="008F388D"/>
    <w:rsid w:val="0090497C"/>
    <w:rsid w:val="00905F33"/>
    <w:rsid w:val="00907C0C"/>
    <w:rsid w:val="009109EF"/>
    <w:rsid w:val="0093081F"/>
    <w:rsid w:val="009417C7"/>
    <w:rsid w:val="00943BFF"/>
    <w:rsid w:val="009569A8"/>
    <w:rsid w:val="00956A13"/>
    <w:rsid w:val="00956E63"/>
    <w:rsid w:val="00961280"/>
    <w:rsid w:val="00970020"/>
    <w:rsid w:val="00970458"/>
    <w:rsid w:val="00972A29"/>
    <w:rsid w:val="00974A4C"/>
    <w:rsid w:val="009810E1"/>
    <w:rsid w:val="00982B21"/>
    <w:rsid w:val="00984453"/>
    <w:rsid w:val="009849F1"/>
    <w:rsid w:val="00987B85"/>
    <w:rsid w:val="009A23BC"/>
    <w:rsid w:val="009A4083"/>
    <w:rsid w:val="009A41B4"/>
    <w:rsid w:val="009B00D6"/>
    <w:rsid w:val="009B3E97"/>
    <w:rsid w:val="009B4324"/>
    <w:rsid w:val="009B70CD"/>
    <w:rsid w:val="009C165B"/>
    <w:rsid w:val="009C28CC"/>
    <w:rsid w:val="009D0680"/>
    <w:rsid w:val="009D0CC2"/>
    <w:rsid w:val="009D103E"/>
    <w:rsid w:val="009E7E4F"/>
    <w:rsid w:val="00A032FB"/>
    <w:rsid w:val="00A112EC"/>
    <w:rsid w:val="00A11A86"/>
    <w:rsid w:val="00A14534"/>
    <w:rsid w:val="00A20DA6"/>
    <w:rsid w:val="00A27313"/>
    <w:rsid w:val="00A2760A"/>
    <w:rsid w:val="00A34C74"/>
    <w:rsid w:val="00A37A4E"/>
    <w:rsid w:val="00A47A04"/>
    <w:rsid w:val="00A50D58"/>
    <w:rsid w:val="00A65F29"/>
    <w:rsid w:val="00A67EDD"/>
    <w:rsid w:val="00A7103E"/>
    <w:rsid w:val="00A7610F"/>
    <w:rsid w:val="00A81432"/>
    <w:rsid w:val="00A82387"/>
    <w:rsid w:val="00A84D18"/>
    <w:rsid w:val="00A87267"/>
    <w:rsid w:val="00A940FB"/>
    <w:rsid w:val="00A97AFF"/>
    <w:rsid w:val="00AA1B8C"/>
    <w:rsid w:val="00AA6981"/>
    <w:rsid w:val="00AA7B2D"/>
    <w:rsid w:val="00AA7FE2"/>
    <w:rsid w:val="00AB0688"/>
    <w:rsid w:val="00AC2793"/>
    <w:rsid w:val="00AC2CE3"/>
    <w:rsid w:val="00AC3B75"/>
    <w:rsid w:val="00AC544C"/>
    <w:rsid w:val="00AD11DC"/>
    <w:rsid w:val="00AD2D42"/>
    <w:rsid w:val="00AE0827"/>
    <w:rsid w:val="00AF044E"/>
    <w:rsid w:val="00AF3747"/>
    <w:rsid w:val="00AF3D93"/>
    <w:rsid w:val="00B072CC"/>
    <w:rsid w:val="00B15F71"/>
    <w:rsid w:val="00B169EB"/>
    <w:rsid w:val="00B2026A"/>
    <w:rsid w:val="00B21854"/>
    <w:rsid w:val="00B22823"/>
    <w:rsid w:val="00B25B76"/>
    <w:rsid w:val="00B25CD4"/>
    <w:rsid w:val="00B43BDD"/>
    <w:rsid w:val="00B45D38"/>
    <w:rsid w:val="00B50229"/>
    <w:rsid w:val="00B53DC0"/>
    <w:rsid w:val="00B663BA"/>
    <w:rsid w:val="00B67356"/>
    <w:rsid w:val="00B747B0"/>
    <w:rsid w:val="00B7557A"/>
    <w:rsid w:val="00B75E6A"/>
    <w:rsid w:val="00B84B54"/>
    <w:rsid w:val="00B859D8"/>
    <w:rsid w:val="00B86533"/>
    <w:rsid w:val="00B87E3C"/>
    <w:rsid w:val="00B87FD2"/>
    <w:rsid w:val="00B94350"/>
    <w:rsid w:val="00B946F7"/>
    <w:rsid w:val="00B968DE"/>
    <w:rsid w:val="00BA186C"/>
    <w:rsid w:val="00BA1AF5"/>
    <w:rsid w:val="00BA4788"/>
    <w:rsid w:val="00BA5960"/>
    <w:rsid w:val="00BA63AA"/>
    <w:rsid w:val="00BB026B"/>
    <w:rsid w:val="00BB03FA"/>
    <w:rsid w:val="00BB093B"/>
    <w:rsid w:val="00BB495B"/>
    <w:rsid w:val="00BB673D"/>
    <w:rsid w:val="00BC1DD9"/>
    <w:rsid w:val="00BC50BC"/>
    <w:rsid w:val="00BD2983"/>
    <w:rsid w:val="00BD37C6"/>
    <w:rsid w:val="00BE0844"/>
    <w:rsid w:val="00BE3109"/>
    <w:rsid w:val="00BE6725"/>
    <w:rsid w:val="00BE6C6C"/>
    <w:rsid w:val="00BE719B"/>
    <w:rsid w:val="00C01CBC"/>
    <w:rsid w:val="00C0217A"/>
    <w:rsid w:val="00C042E1"/>
    <w:rsid w:val="00C04724"/>
    <w:rsid w:val="00C06CEE"/>
    <w:rsid w:val="00C106B2"/>
    <w:rsid w:val="00C243B0"/>
    <w:rsid w:val="00C27E4E"/>
    <w:rsid w:val="00C34A31"/>
    <w:rsid w:val="00C35387"/>
    <w:rsid w:val="00C36CCD"/>
    <w:rsid w:val="00C37F74"/>
    <w:rsid w:val="00C421F6"/>
    <w:rsid w:val="00C42B9F"/>
    <w:rsid w:val="00C4411D"/>
    <w:rsid w:val="00C45CA6"/>
    <w:rsid w:val="00C4616C"/>
    <w:rsid w:val="00C46CB2"/>
    <w:rsid w:val="00C5145C"/>
    <w:rsid w:val="00C56A26"/>
    <w:rsid w:val="00C56CE9"/>
    <w:rsid w:val="00C64DE7"/>
    <w:rsid w:val="00C67EF5"/>
    <w:rsid w:val="00C72743"/>
    <w:rsid w:val="00C729E7"/>
    <w:rsid w:val="00C82B7D"/>
    <w:rsid w:val="00C86345"/>
    <w:rsid w:val="00C8686C"/>
    <w:rsid w:val="00C9090C"/>
    <w:rsid w:val="00C910D2"/>
    <w:rsid w:val="00C9529A"/>
    <w:rsid w:val="00C9785B"/>
    <w:rsid w:val="00CA56AF"/>
    <w:rsid w:val="00CA6516"/>
    <w:rsid w:val="00CA691F"/>
    <w:rsid w:val="00CA6A76"/>
    <w:rsid w:val="00CB11BE"/>
    <w:rsid w:val="00CC2406"/>
    <w:rsid w:val="00CC2662"/>
    <w:rsid w:val="00CC5A70"/>
    <w:rsid w:val="00CC696E"/>
    <w:rsid w:val="00CC7610"/>
    <w:rsid w:val="00CD271B"/>
    <w:rsid w:val="00CD2AF5"/>
    <w:rsid w:val="00CD40C8"/>
    <w:rsid w:val="00CE0E92"/>
    <w:rsid w:val="00CE30D4"/>
    <w:rsid w:val="00CE6359"/>
    <w:rsid w:val="00CF41B1"/>
    <w:rsid w:val="00CF5229"/>
    <w:rsid w:val="00CF585D"/>
    <w:rsid w:val="00CF7A6A"/>
    <w:rsid w:val="00D02E6F"/>
    <w:rsid w:val="00D05C96"/>
    <w:rsid w:val="00D13650"/>
    <w:rsid w:val="00D150CD"/>
    <w:rsid w:val="00D24086"/>
    <w:rsid w:val="00D24437"/>
    <w:rsid w:val="00D25F5C"/>
    <w:rsid w:val="00D35D58"/>
    <w:rsid w:val="00D40992"/>
    <w:rsid w:val="00D456D3"/>
    <w:rsid w:val="00D5046D"/>
    <w:rsid w:val="00D51CC1"/>
    <w:rsid w:val="00D543FA"/>
    <w:rsid w:val="00D54834"/>
    <w:rsid w:val="00D54B9C"/>
    <w:rsid w:val="00D65BDB"/>
    <w:rsid w:val="00D65FC7"/>
    <w:rsid w:val="00D832BC"/>
    <w:rsid w:val="00D83585"/>
    <w:rsid w:val="00D86AA8"/>
    <w:rsid w:val="00D873C1"/>
    <w:rsid w:val="00D90262"/>
    <w:rsid w:val="00D902E8"/>
    <w:rsid w:val="00D97C17"/>
    <w:rsid w:val="00DA1060"/>
    <w:rsid w:val="00DA2E06"/>
    <w:rsid w:val="00DA3EA5"/>
    <w:rsid w:val="00DB092E"/>
    <w:rsid w:val="00DB251C"/>
    <w:rsid w:val="00DB6010"/>
    <w:rsid w:val="00DC29D0"/>
    <w:rsid w:val="00DC3495"/>
    <w:rsid w:val="00DD39EE"/>
    <w:rsid w:val="00DD3C22"/>
    <w:rsid w:val="00DE0F61"/>
    <w:rsid w:val="00DE3130"/>
    <w:rsid w:val="00DE43F2"/>
    <w:rsid w:val="00DE6C62"/>
    <w:rsid w:val="00DF1509"/>
    <w:rsid w:val="00DF16E5"/>
    <w:rsid w:val="00DF5F09"/>
    <w:rsid w:val="00DF5FA9"/>
    <w:rsid w:val="00DF7A7A"/>
    <w:rsid w:val="00E0054A"/>
    <w:rsid w:val="00E022BE"/>
    <w:rsid w:val="00E02C12"/>
    <w:rsid w:val="00E03BC4"/>
    <w:rsid w:val="00E103A9"/>
    <w:rsid w:val="00E209D8"/>
    <w:rsid w:val="00E2256D"/>
    <w:rsid w:val="00E25EF3"/>
    <w:rsid w:val="00E2703B"/>
    <w:rsid w:val="00E309FE"/>
    <w:rsid w:val="00E336DB"/>
    <w:rsid w:val="00E41757"/>
    <w:rsid w:val="00E43616"/>
    <w:rsid w:val="00E52C90"/>
    <w:rsid w:val="00E5661C"/>
    <w:rsid w:val="00E627D3"/>
    <w:rsid w:val="00E63A77"/>
    <w:rsid w:val="00E63ED6"/>
    <w:rsid w:val="00E66C7C"/>
    <w:rsid w:val="00E935BF"/>
    <w:rsid w:val="00E951A2"/>
    <w:rsid w:val="00E953FE"/>
    <w:rsid w:val="00E971C5"/>
    <w:rsid w:val="00EA6BC2"/>
    <w:rsid w:val="00EB1FB7"/>
    <w:rsid w:val="00ED0786"/>
    <w:rsid w:val="00ED4062"/>
    <w:rsid w:val="00EE09A7"/>
    <w:rsid w:val="00EE5B4D"/>
    <w:rsid w:val="00EE60F3"/>
    <w:rsid w:val="00EF4084"/>
    <w:rsid w:val="00F0662D"/>
    <w:rsid w:val="00F072C0"/>
    <w:rsid w:val="00F25378"/>
    <w:rsid w:val="00F3028E"/>
    <w:rsid w:val="00F306DD"/>
    <w:rsid w:val="00F33DD6"/>
    <w:rsid w:val="00F33DED"/>
    <w:rsid w:val="00F36671"/>
    <w:rsid w:val="00F37586"/>
    <w:rsid w:val="00F41DCE"/>
    <w:rsid w:val="00F44026"/>
    <w:rsid w:val="00F44971"/>
    <w:rsid w:val="00F51B77"/>
    <w:rsid w:val="00F529DE"/>
    <w:rsid w:val="00F5558C"/>
    <w:rsid w:val="00F55EBC"/>
    <w:rsid w:val="00F57AFC"/>
    <w:rsid w:val="00F67D00"/>
    <w:rsid w:val="00F7384A"/>
    <w:rsid w:val="00F76B69"/>
    <w:rsid w:val="00F91984"/>
    <w:rsid w:val="00F92E98"/>
    <w:rsid w:val="00F97558"/>
    <w:rsid w:val="00FA090B"/>
    <w:rsid w:val="00FB1633"/>
    <w:rsid w:val="00FB6AFB"/>
    <w:rsid w:val="00FC41C2"/>
    <w:rsid w:val="00FC6B50"/>
    <w:rsid w:val="00FC7026"/>
    <w:rsid w:val="00FD3AAD"/>
    <w:rsid w:val="00FD46EE"/>
    <w:rsid w:val="00FE41F4"/>
    <w:rsid w:val="00FE45CC"/>
    <w:rsid w:val="00FE618E"/>
    <w:rsid w:val="00FE62A6"/>
    <w:rsid w:val="0112473E"/>
    <w:rsid w:val="04AB445C"/>
    <w:rsid w:val="04F632B0"/>
    <w:rsid w:val="050C6CC6"/>
    <w:rsid w:val="05783B0A"/>
    <w:rsid w:val="059663B4"/>
    <w:rsid w:val="05E149ED"/>
    <w:rsid w:val="08316AB3"/>
    <w:rsid w:val="08614263"/>
    <w:rsid w:val="0865499C"/>
    <w:rsid w:val="0ADF2C9F"/>
    <w:rsid w:val="0B584C32"/>
    <w:rsid w:val="0B831C71"/>
    <w:rsid w:val="0D944959"/>
    <w:rsid w:val="0E395D20"/>
    <w:rsid w:val="0E67019E"/>
    <w:rsid w:val="0F724C99"/>
    <w:rsid w:val="0FFD09F9"/>
    <w:rsid w:val="101F3C57"/>
    <w:rsid w:val="10D45DE5"/>
    <w:rsid w:val="114D01A0"/>
    <w:rsid w:val="127A55B4"/>
    <w:rsid w:val="12877A6A"/>
    <w:rsid w:val="13203999"/>
    <w:rsid w:val="13DB2F8D"/>
    <w:rsid w:val="145F444C"/>
    <w:rsid w:val="147320BA"/>
    <w:rsid w:val="14B011EF"/>
    <w:rsid w:val="16016EC7"/>
    <w:rsid w:val="163202A1"/>
    <w:rsid w:val="170564BC"/>
    <w:rsid w:val="17410382"/>
    <w:rsid w:val="184C63F2"/>
    <w:rsid w:val="186A1BEC"/>
    <w:rsid w:val="187060AF"/>
    <w:rsid w:val="193560CE"/>
    <w:rsid w:val="1ACD5720"/>
    <w:rsid w:val="1ACE4623"/>
    <w:rsid w:val="1C5D021E"/>
    <w:rsid w:val="1D7067DA"/>
    <w:rsid w:val="1DEF3103"/>
    <w:rsid w:val="1E9C300C"/>
    <w:rsid w:val="1FDD5143"/>
    <w:rsid w:val="1FE43FA1"/>
    <w:rsid w:val="2066593C"/>
    <w:rsid w:val="2244538D"/>
    <w:rsid w:val="227A7AD0"/>
    <w:rsid w:val="23024978"/>
    <w:rsid w:val="237F534D"/>
    <w:rsid w:val="23EE02BB"/>
    <w:rsid w:val="25675458"/>
    <w:rsid w:val="25E81495"/>
    <w:rsid w:val="275B644D"/>
    <w:rsid w:val="278E2FB5"/>
    <w:rsid w:val="27C039DA"/>
    <w:rsid w:val="29FE4E85"/>
    <w:rsid w:val="2C4310C1"/>
    <w:rsid w:val="2E5C7515"/>
    <w:rsid w:val="2ECE02F6"/>
    <w:rsid w:val="2EDB6183"/>
    <w:rsid w:val="2F3C5BD8"/>
    <w:rsid w:val="2F630D1E"/>
    <w:rsid w:val="2FE05FEA"/>
    <w:rsid w:val="30C94408"/>
    <w:rsid w:val="30F8359F"/>
    <w:rsid w:val="31CD2AE7"/>
    <w:rsid w:val="32D22A86"/>
    <w:rsid w:val="33267E4C"/>
    <w:rsid w:val="33564A45"/>
    <w:rsid w:val="34362BC5"/>
    <w:rsid w:val="349F4C0E"/>
    <w:rsid w:val="36976FC4"/>
    <w:rsid w:val="37C82101"/>
    <w:rsid w:val="37E63190"/>
    <w:rsid w:val="3849669A"/>
    <w:rsid w:val="38BF0EB7"/>
    <w:rsid w:val="39153083"/>
    <w:rsid w:val="39A06C73"/>
    <w:rsid w:val="3C333C2C"/>
    <w:rsid w:val="3C957D79"/>
    <w:rsid w:val="3D324146"/>
    <w:rsid w:val="3D605157"/>
    <w:rsid w:val="3DBD6105"/>
    <w:rsid w:val="3DF520EC"/>
    <w:rsid w:val="3E3B1247"/>
    <w:rsid w:val="3E7517F2"/>
    <w:rsid w:val="3F5B1A36"/>
    <w:rsid w:val="3F810153"/>
    <w:rsid w:val="3FF80285"/>
    <w:rsid w:val="427E2307"/>
    <w:rsid w:val="43B94602"/>
    <w:rsid w:val="43FE4D82"/>
    <w:rsid w:val="443E1644"/>
    <w:rsid w:val="454F1D39"/>
    <w:rsid w:val="468969C2"/>
    <w:rsid w:val="48D60C67"/>
    <w:rsid w:val="4B052E99"/>
    <w:rsid w:val="4C7F4A18"/>
    <w:rsid w:val="4C9B4524"/>
    <w:rsid w:val="4D035504"/>
    <w:rsid w:val="4D062EE1"/>
    <w:rsid w:val="4E0B07C7"/>
    <w:rsid w:val="4E3306B2"/>
    <w:rsid w:val="4F0125BF"/>
    <w:rsid w:val="50243514"/>
    <w:rsid w:val="50E96732"/>
    <w:rsid w:val="51662D86"/>
    <w:rsid w:val="519F1952"/>
    <w:rsid w:val="52EA43B8"/>
    <w:rsid w:val="53446024"/>
    <w:rsid w:val="53D0139F"/>
    <w:rsid w:val="541D3002"/>
    <w:rsid w:val="55314FB7"/>
    <w:rsid w:val="5590521E"/>
    <w:rsid w:val="55F9666F"/>
    <w:rsid w:val="56344490"/>
    <w:rsid w:val="56675D08"/>
    <w:rsid w:val="566D6420"/>
    <w:rsid w:val="57CF648D"/>
    <w:rsid w:val="5A7B0F2D"/>
    <w:rsid w:val="5A845CF1"/>
    <w:rsid w:val="5AD53B49"/>
    <w:rsid w:val="5B0A1E20"/>
    <w:rsid w:val="5B1C06DB"/>
    <w:rsid w:val="5B4D1FA1"/>
    <w:rsid w:val="5B985C49"/>
    <w:rsid w:val="5BA04646"/>
    <w:rsid w:val="5C3E7830"/>
    <w:rsid w:val="5E4E1442"/>
    <w:rsid w:val="5E586D46"/>
    <w:rsid w:val="60BD4361"/>
    <w:rsid w:val="618E6FF3"/>
    <w:rsid w:val="61F560F2"/>
    <w:rsid w:val="629343B7"/>
    <w:rsid w:val="62EC3671"/>
    <w:rsid w:val="632A0D90"/>
    <w:rsid w:val="65855B7B"/>
    <w:rsid w:val="65A56CD7"/>
    <w:rsid w:val="67307DA3"/>
    <w:rsid w:val="67765B41"/>
    <w:rsid w:val="687E438E"/>
    <w:rsid w:val="689E063A"/>
    <w:rsid w:val="69132EFA"/>
    <w:rsid w:val="69702EB3"/>
    <w:rsid w:val="69925B6A"/>
    <w:rsid w:val="699D27C3"/>
    <w:rsid w:val="6A5407DE"/>
    <w:rsid w:val="6AFF1E9B"/>
    <w:rsid w:val="6BE0675B"/>
    <w:rsid w:val="6CC92AB6"/>
    <w:rsid w:val="6D0E0631"/>
    <w:rsid w:val="6DAB305B"/>
    <w:rsid w:val="6E4A10B7"/>
    <w:rsid w:val="6EF15BDC"/>
    <w:rsid w:val="6FB3239B"/>
    <w:rsid w:val="6FD10C92"/>
    <w:rsid w:val="70657DB3"/>
    <w:rsid w:val="71833EA2"/>
    <w:rsid w:val="729B15CF"/>
    <w:rsid w:val="73363E43"/>
    <w:rsid w:val="73BE0928"/>
    <w:rsid w:val="73F751C6"/>
    <w:rsid w:val="74C37C18"/>
    <w:rsid w:val="75FA2D4B"/>
    <w:rsid w:val="762B7FDF"/>
    <w:rsid w:val="76324C32"/>
    <w:rsid w:val="76F17148"/>
    <w:rsid w:val="77F6707F"/>
    <w:rsid w:val="784501A7"/>
    <w:rsid w:val="78D72FFA"/>
    <w:rsid w:val="79116D2A"/>
    <w:rsid w:val="7A454EDD"/>
    <w:rsid w:val="7A6E5DCC"/>
    <w:rsid w:val="7B0A7346"/>
    <w:rsid w:val="7C240B22"/>
    <w:rsid w:val="7CC11B0C"/>
    <w:rsid w:val="7CC43D31"/>
    <w:rsid w:val="7D9A5540"/>
    <w:rsid w:val="7DAB589A"/>
    <w:rsid w:val="7E2D5010"/>
    <w:rsid w:val="7ECB797B"/>
    <w:rsid w:val="7FAB33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qFormat="1"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uiPriority="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qFormat="1" w:unhideWhenUsed="0" w:uiPriority="0" w:semiHidden="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link w:val="62"/>
    <w:qFormat/>
    <w:uiPriority w:val="0"/>
    <w:pPr>
      <w:keepLines/>
      <w:adjustRightInd w:val="0"/>
      <w:spacing w:before="120" w:after="120"/>
      <w:jc w:val="left"/>
      <w:textAlignment w:val="baseline"/>
      <w:outlineLvl w:val="0"/>
    </w:pPr>
    <w:rPr>
      <w:rFonts w:ascii="黑体" w:hAnsi="Verdana" w:eastAsia="黑体"/>
      <w:kern w:val="0"/>
      <w:szCs w:val="20"/>
    </w:rPr>
  </w:style>
  <w:style w:type="paragraph" w:styleId="5">
    <w:name w:val="heading 2"/>
    <w:basedOn w:val="2"/>
    <w:next w:val="6"/>
    <w:link w:val="63"/>
    <w:qFormat/>
    <w:uiPriority w:val="0"/>
    <w:pPr>
      <w:tabs>
        <w:tab w:val="left" w:pos="360"/>
      </w:tabs>
      <w:outlineLvl w:val="1"/>
    </w:pPr>
    <w:rPr>
      <w:rFonts w:ascii="宋体" w:hAnsi="Times New Roman" w:eastAsia="宋体"/>
    </w:rPr>
  </w:style>
  <w:style w:type="paragraph" w:styleId="7">
    <w:name w:val="heading 3"/>
    <w:basedOn w:val="2"/>
    <w:next w:val="6"/>
    <w:qFormat/>
    <w:uiPriority w:val="0"/>
    <w:pPr>
      <w:tabs>
        <w:tab w:val="left" w:pos="360"/>
      </w:tabs>
      <w:outlineLvl w:val="2"/>
    </w:pPr>
    <w:rPr>
      <w:rFonts w:ascii="宋体" w:hAnsi="Tahoma" w:eastAsia="宋体"/>
    </w:rPr>
  </w:style>
  <w:style w:type="paragraph" w:styleId="8">
    <w:name w:val="heading 4"/>
    <w:basedOn w:val="2"/>
    <w:next w:val="6"/>
    <w:qFormat/>
    <w:uiPriority w:val="0"/>
    <w:pPr>
      <w:keepNext/>
      <w:tabs>
        <w:tab w:val="left" w:pos="360"/>
      </w:tabs>
      <w:outlineLvl w:val="3"/>
    </w:pPr>
    <w:rPr>
      <w:rFonts w:ascii="宋体" w:hAnsi="Tahoma" w:eastAsia="宋体"/>
    </w:rPr>
  </w:style>
  <w:style w:type="paragraph" w:styleId="9">
    <w:name w:val="heading 5"/>
    <w:basedOn w:val="7"/>
    <w:next w:val="6"/>
    <w:qFormat/>
    <w:uiPriority w:val="0"/>
    <w:pPr>
      <w:outlineLvl w:val="4"/>
    </w:pPr>
  </w:style>
  <w:style w:type="paragraph" w:styleId="10">
    <w:name w:val="heading 6"/>
    <w:basedOn w:val="1"/>
    <w:next w:val="1"/>
    <w:link w:val="100"/>
    <w:qFormat/>
    <w:uiPriority w:val="0"/>
    <w:pPr>
      <w:keepNext/>
      <w:keepLines/>
      <w:spacing w:before="240" w:after="64" w:line="320" w:lineRule="auto"/>
      <w:outlineLvl w:val="5"/>
    </w:pPr>
    <w:rPr>
      <w:rFonts w:ascii="Arial" w:hAnsi="Arial" w:eastAsia="黑体"/>
      <w:b/>
      <w:bCs/>
      <w:sz w:val="24"/>
    </w:rPr>
  </w:style>
  <w:style w:type="paragraph" w:styleId="11">
    <w:name w:val="heading 7"/>
    <w:basedOn w:val="1"/>
    <w:next w:val="1"/>
    <w:link w:val="101"/>
    <w:qFormat/>
    <w:uiPriority w:val="0"/>
    <w:pPr>
      <w:keepNext/>
      <w:keepLines/>
      <w:spacing w:before="240" w:after="64" w:line="320" w:lineRule="auto"/>
      <w:outlineLvl w:val="6"/>
    </w:pPr>
    <w:rPr>
      <w:b/>
      <w:bCs/>
      <w:sz w:val="24"/>
    </w:rPr>
  </w:style>
  <w:style w:type="paragraph" w:styleId="12">
    <w:name w:val="heading 8"/>
    <w:basedOn w:val="1"/>
    <w:next w:val="1"/>
    <w:link w:val="102"/>
    <w:qFormat/>
    <w:uiPriority w:val="0"/>
    <w:pPr>
      <w:keepNext/>
      <w:keepLines/>
      <w:spacing w:before="240" w:after="64" w:line="320" w:lineRule="auto"/>
      <w:outlineLvl w:val="7"/>
    </w:pPr>
    <w:rPr>
      <w:rFonts w:ascii="Arial" w:hAnsi="Arial" w:eastAsia="黑体"/>
      <w:sz w:val="24"/>
    </w:rPr>
  </w:style>
  <w:style w:type="paragraph" w:styleId="13">
    <w:name w:val="heading 9"/>
    <w:basedOn w:val="1"/>
    <w:next w:val="1"/>
    <w:link w:val="103"/>
    <w:qFormat/>
    <w:uiPriority w:val="0"/>
    <w:pPr>
      <w:keepNext/>
      <w:keepLines/>
      <w:spacing w:before="240" w:after="64" w:line="320" w:lineRule="auto"/>
      <w:outlineLvl w:val="8"/>
    </w:pPr>
    <w:rPr>
      <w:rFonts w:ascii="Arial" w:hAnsi="Arial" w:eastAsia="黑体"/>
      <w:szCs w:val="21"/>
    </w:rPr>
  </w:style>
  <w:style w:type="character" w:default="1" w:styleId="43">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3">
    <w:name w:val="Body Text First Indent"/>
    <w:basedOn w:val="4"/>
    <w:qFormat/>
    <w:uiPriority w:val="0"/>
    <w:pPr>
      <w:ind w:firstLine="420" w:firstLineChars="100"/>
    </w:pPr>
  </w:style>
  <w:style w:type="paragraph" w:styleId="4">
    <w:name w:val="Body Text"/>
    <w:basedOn w:val="1"/>
    <w:qFormat/>
    <w:uiPriority w:val="0"/>
    <w:pPr>
      <w:spacing w:after="120"/>
    </w:pPr>
  </w:style>
  <w:style w:type="paragraph" w:styleId="6">
    <w:name w:val="Normal Indent"/>
    <w:basedOn w:val="1"/>
    <w:qFormat/>
    <w:uiPriority w:val="0"/>
    <w:pPr>
      <w:adjustRightInd w:val="0"/>
      <w:spacing w:line="360" w:lineRule="atLeast"/>
      <w:ind w:firstLine="420"/>
      <w:jc w:val="left"/>
      <w:textAlignment w:val="baseline"/>
    </w:pPr>
    <w:rPr>
      <w:kern w:val="0"/>
      <w:sz w:val="24"/>
      <w:szCs w:val="20"/>
    </w:rPr>
  </w:style>
  <w:style w:type="paragraph" w:styleId="14">
    <w:name w:val="toc 7"/>
    <w:basedOn w:val="15"/>
    <w:next w:val="1"/>
    <w:qFormat/>
    <w:uiPriority w:val="0"/>
  </w:style>
  <w:style w:type="paragraph" w:styleId="15">
    <w:name w:val="toc 6"/>
    <w:basedOn w:val="16"/>
    <w:next w:val="1"/>
    <w:qFormat/>
    <w:uiPriority w:val="0"/>
  </w:style>
  <w:style w:type="paragraph" w:styleId="16">
    <w:name w:val="toc 5"/>
    <w:basedOn w:val="17"/>
    <w:next w:val="1"/>
    <w:qFormat/>
    <w:uiPriority w:val="0"/>
  </w:style>
  <w:style w:type="paragraph" w:styleId="17">
    <w:name w:val="toc 4"/>
    <w:basedOn w:val="18"/>
    <w:next w:val="1"/>
    <w:qFormat/>
    <w:uiPriority w:val="0"/>
  </w:style>
  <w:style w:type="paragraph" w:styleId="18">
    <w:name w:val="toc 3"/>
    <w:basedOn w:val="19"/>
    <w:next w:val="1"/>
    <w:qFormat/>
    <w:uiPriority w:val="0"/>
    <w:pPr>
      <w:widowControl/>
      <w:ind w:left="0" w:leftChars="0"/>
    </w:pPr>
    <w:rPr>
      <w:rFonts w:ascii="宋体"/>
      <w:kern w:val="0"/>
      <w:szCs w:val="20"/>
    </w:rPr>
  </w:style>
  <w:style w:type="paragraph" w:styleId="19">
    <w:name w:val="toc 2"/>
    <w:basedOn w:val="1"/>
    <w:next w:val="1"/>
    <w:semiHidden/>
    <w:qFormat/>
    <w:uiPriority w:val="0"/>
    <w:pPr>
      <w:ind w:left="420" w:leftChars="200"/>
    </w:pPr>
  </w:style>
  <w:style w:type="paragraph" w:styleId="20">
    <w:name w:val="Document Map"/>
    <w:basedOn w:val="1"/>
    <w:link w:val="128"/>
    <w:qFormat/>
    <w:uiPriority w:val="0"/>
    <w:pPr>
      <w:shd w:val="clear" w:color="auto" w:fill="000080"/>
    </w:pPr>
  </w:style>
  <w:style w:type="paragraph" w:styleId="21">
    <w:name w:val="annotation text"/>
    <w:basedOn w:val="1"/>
    <w:link w:val="105"/>
    <w:qFormat/>
    <w:uiPriority w:val="0"/>
    <w:pPr>
      <w:jc w:val="left"/>
    </w:pPr>
  </w:style>
  <w:style w:type="paragraph" w:styleId="22">
    <w:name w:val="Body Text Indent"/>
    <w:basedOn w:val="1"/>
    <w:qFormat/>
    <w:uiPriority w:val="0"/>
    <w:pPr>
      <w:adjustRightInd w:val="0"/>
      <w:spacing w:line="300" w:lineRule="exact"/>
      <w:ind w:firstLine="420" w:firstLineChars="200"/>
      <w:textAlignment w:val="baseline"/>
    </w:pPr>
    <w:rPr>
      <w:kern w:val="0"/>
      <w:szCs w:val="20"/>
    </w:rPr>
  </w:style>
  <w:style w:type="paragraph" w:styleId="23">
    <w:name w:val="HTML Address"/>
    <w:basedOn w:val="1"/>
    <w:link w:val="116"/>
    <w:qFormat/>
    <w:uiPriority w:val="0"/>
    <w:rPr>
      <w:i/>
      <w:iCs/>
    </w:rPr>
  </w:style>
  <w:style w:type="paragraph" w:styleId="24">
    <w:name w:val="Plain Text"/>
    <w:basedOn w:val="1"/>
    <w:qFormat/>
    <w:uiPriority w:val="0"/>
    <w:rPr>
      <w:rFonts w:ascii="宋体" w:hAnsi="Courier New" w:cs="Courier New"/>
      <w:szCs w:val="21"/>
    </w:rPr>
  </w:style>
  <w:style w:type="paragraph" w:styleId="25">
    <w:name w:val="toc 8"/>
    <w:basedOn w:val="14"/>
    <w:next w:val="1"/>
    <w:qFormat/>
    <w:uiPriority w:val="0"/>
  </w:style>
  <w:style w:type="paragraph" w:styleId="26">
    <w:name w:val="Date"/>
    <w:basedOn w:val="1"/>
    <w:next w:val="1"/>
    <w:link w:val="59"/>
    <w:qFormat/>
    <w:uiPriority w:val="0"/>
    <w:pPr>
      <w:ind w:left="100" w:leftChars="2500"/>
    </w:pPr>
  </w:style>
  <w:style w:type="paragraph" w:styleId="27">
    <w:name w:val="Body Text Indent 2"/>
    <w:basedOn w:val="1"/>
    <w:qFormat/>
    <w:uiPriority w:val="0"/>
    <w:pPr>
      <w:adjustRightInd w:val="0"/>
      <w:spacing w:line="312" w:lineRule="atLeast"/>
      <w:ind w:firstLine="315" w:firstLineChars="150"/>
      <w:textAlignment w:val="baseline"/>
    </w:pPr>
    <w:rPr>
      <w:kern w:val="0"/>
      <w:szCs w:val="20"/>
    </w:rPr>
  </w:style>
  <w:style w:type="paragraph" w:styleId="28">
    <w:name w:val="Balloon Text"/>
    <w:basedOn w:val="1"/>
    <w:link w:val="107"/>
    <w:qFormat/>
    <w:uiPriority w:val="0"/>
    <w:rPr>
      <w:sz w:val="18"/>
      <w:szCs w:val="18"/>
    </w:rPr>
  </w:style>
  <w:style w:type="paragraph" w:styleId="29">
    <w:name w:val="footer"/>
    <w:basedOn w:val="1"/>
    <w:link w:val="104"/>
    <w:qFormat/>
    <w:uiPriority w:val="99"/>
    <w:pPr>
      <w:tabs>
        <w:tab w:val="center" w:pos="4153"/>
        <w:tab w:val="right" w:pos="8306"/>
      </w:tabs>
      <w:snapToGrid w:val="0"/>
      <w:ind w:right="210" w:rightChars="100"/>
      <w:jc w:val="right"/>
    </w:pPr>
    <w:rPr>
      <w:sz w:val="18"/>
      <w:szCs w:val="18"/>
    </w:rPr>
  </w:style>
  <w:style w:type="paragraph" w:styleId="3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semiHidden/>
    <w:qFormat/>
    <w:uiPriority w:val="0"/>
  </w:style>
  <w:style w:type="paragraph" w:styleId="32">
    <w:name w:val="footnote text"/>
    <w:basedOn w:val="1"/>
    <w:link w:val="125"/>
    <w:qFormat/>
    <w:uiPriority w:val="0"/>
    <w:pPr>
      <w:snapToGrid w:val="0"/>
      <w:jc w:val="left"/>
    </w:pPr>
    <w:rPr>
      <w:sz w:val="18"/>
      <w:szCs w:val="18"/>
    </w:rPr>
  </w:style>
  <w:style w:type="paragraph" w:styleId="33">
    <w:name w:val="Body Text Indent 3"/>
    <w:basedOn w:val="1"/>
    <w:qFormat/>
    <w:uiPriority w:val="0"/>
    <w:pPr>
      <w:ind w:firstLine="420" w:firstLineChars="200"/>
    </w:pPr>
    <w:rPr>
      <w:color w:val="0000FF"/>
    </w:rPr>
  </w:style>
  <w:style w:type="paragraph" w:styleId="34">
    <w:name w:val="toc 9"/>
    <w:basedOn w:val="25"/>
    <w:next w:val="1"/>
    <w:qFormat/>
    <w:uiPriority w:val="0"/>
  </w:style>
  <w:style w:type="paragraph" w:styleId="35">
    <w:name w:val="Body Text 2"/>
    <w:basedOn w:val="1"/>
    <w:qFormat/>
    <w:uiPriority w:val="0"/>
    <w:pPr>
      <w:framePr w:w="5863" w:hSpace="181" w:wrap="notBeside" w:vAnchor="page" w:hAnchor="page" w:x="1419" w:y="2405"/>
      <w:adjustRightInd w:val="0"/>
      <w:spacing w:line="0" w:lineRule="atLeast"/>
      <w:jc w:val="center"/>
      <w:textAlignment w:val="baseline"/>
    </w:pPr>
    <w:rPr>
      <w:rFonts w:eastAsia="黑体"/>
      <w:kern w:val="0"/>
      <w:sz w:val="52"/>
      <w:szCs w:val="20"/>
    </w:rPr>
  </w:style>
  <w:style w:type="paragraph" w:styleId="36">
    <w:name w:val="HTML Preformatted"/>
    <w:basedOn w:val="1"/>
    <w:link w:val="111"/>
    <w:qFormat/>
    <w:uiPriority w:val="0"/>
    <w:rPr>
      <w:rFonts w:ascii="Courier New" w:hAnsi="Courier New" w:cs="Courier New"/>
      <w:sz w:val="20"/>
      <w:szCs w:val="20"/>
    </w:rPr>
  </w:style>
  <w:style w:type="paragraph" w:styleId="37">
    <w:name w:val="List Continue 3"/>
    <w:basedOn w:val="1"/>
    <w:qFormat/>
    <w:uiPriority w:val="0"/>
    <w:pPr>
      <w:spacing w:after="120"/>
      <w:ind w:left="1260" w:leftChars="600"/>
    </w:pPr>
  </w:style>
  <w:style w:type="paragraph" w:styleId="38">
    <w:name w:val="Title"/>
    <w:basedOn w:val="1"/>
    <w:link w:val="134"/>
    <w:qFormat/>
    <w:uiPriority w:val="0"/>
    <w:pPr>
      <w:spacing w:before="240" w:after="60"/>
      <w:jc w:val="center"/>
      <w:outlineLvl w:val="0"/>
    </w:pPr>
    <w:rPr>
      <w:rFonts w:ascii="Arial" w:hAnsi="Arial" w:cs="Arial"/>
      <w:b/>
      <w:bCs/>
      <w:sz w:val="32"/>
      <w:szCs w:val="32"/>
    </w:rPr>
  </w:style>
  <w:style w:type="paragraph" w:styleId="39">
    <w:name w:val="annotation subject"/>
    <w:basedOn w:val="21"/>
    <w:next w:val="21"/>
    <w:link w:val="106"/>
    <w:qFormat/>
    <w:uiPriority w:val="0"/>
    <w:rPr>
      <w:b/>
      <w:bCs/>
    </w:rPr>
  </w:style>
  <w:style w:type="table" w:styleId="41">
    <w:name w:val="Table Grid"/>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2">
    <w:name w:val="Table Classic 1"/>
    <w:basedOn w:val="40"/>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character" w:styleId="44">
    <w:name w:val="page number"/>
    <w:qFormat/>
    <w:uiPriority w:val="0"/>
    <w:rPr>
      <w:rFonts w:ascii="Times New Roman" w:hAnsi="Times New Roman" w:eastAsia="宋体"/>
      <w:sz w:val="18"/>
    </w:rPr>
  </w:style>
  <w:style w:type="character" w:styleId="45">
    <w:name w:val="FollowedHyperlink"/>
    <w:qFormat/>
    <w:uiPriority w:val="0"/>
    <w:rPr>
      <w:color w:val="800080"/>
      <w:u w:val="single"/>
    </w:rPr>
  </w:style>
  <w:style w:type="character" w:styleId="46">
    <w:name w:val="HTML Definition"/>
    <w:qFormat/>
    <w:uiPriority w:val="0"/>
    <w:rPr>
      <w:i/>
      <w:iCs/>
    </w:rPr>
  </w:style>
  <w:style w:type="character" w:styleId="47">
    <w:name w:val="HTML Typewriter"/>
    <w:qFormat/>
    <w:uiPriority w:val="0"/>
    <w:rPr>
      <w:rFonts w:ascii="Courier New" w:hAnsi="Courier New"/>
      <w:sz w:val="20"/>
      <w:szCs w:val="20"/>
    </w:rPr>
  </w:style>
  <w:style w:type="character" w:styleId="48">
    <w:name w:val="HTML Acronym"/>
    <w:basedOn w:val="43"/>
    <w:qFormat/>
    <w:uiPriority w:val="0"/>
  </w:style>
  <w:style w:type="character" w:styleId="49">
    <w:name w:val="HTML Variable"/>
    <w:qFormat/>
    <w:uiPriority w:val="0"/>
    <w:rPr>
      <w:i/>
      <w:iCs/>
    </w:rPr>
  </w:style>
  <w:style w:type="character" w:styleId="50">
    <w:name w:val="Hyperlink"/>
    <w:qFormat/>
    <w:uiPriority w:val="0"/>
    <w:rPr>
      <w:color w:val="0000FF"/>
      <w:u w:val="single"/>
    </w:rPr>
  </w:style>
  <w:style w:type="character" w:styleId="51">
    <w:name w:val="HTML Code"/>
    <w:qFormat/>
    <w:uiPriority w:val="0"/>
    <w:rPr>
      <w:rFonts w:ascii="Courier New" w:hAnsi="Courier New"/>
      <w:sz w:val="20"/>
      <w:szCs w:val="20"/>
    </w:rPr>
  </w:style>
  <w:style w:type="character" w:styleId="52">
    <w:name w:val="annotation reference"/>
    <w:qFormat/>
    <w:uiPriority w:val="0"/>
    <w:rPr>
      <w:sz w:val="21"/>
      <w:szCs w:val="21"/>
    </w:rPr>
  </w:style>
  <w:style w:type="character" w:styleId="53">
    <w:name w:val="HTML Cite"/>
    <w:qFormat/>
    <w:uiPriority w:val="0"/>
    <w:rPr>
      <w:i/>
      <w:iCs/>
    </w:rPr>
  </w:style>
  <w:style w:type="character" w:styleId="54">
    <w:name w:val="footnote reference"/>
    <w:qFormat/>
    <w:uiPriority w:val="0"/>
    <w:rPr>
      <w:vertAlign w:val="superscript"/>
    </w:rPr>
  </w:style>
  <w:style w:type="character" w:styleId="55">
    <w:name w:val="HTML Keyboard"/>
    <w:qFormat/>
    <w:uiPriority w:val="0"/>
    <w:rPr>
      <w:rFonts w:ascii="Courier New" w:hAnsi="Courier New"/>
      <w:sz w:val="20"/>
      <w:szCs w:val="20"/>
    </w:rPr>
  </w:style>
  <w:style w:type="character" w:styleId="56">
    <w:name w:val="HTML Sample"/>
    <w:qFormat/>
    <w:uiPriority w:val="0"/>
    <w:rPr>
      <w:rFonts w:ascii="Courier New" w:hAnsi="Courier New"/>
    </w:rPr>
  </w:style>
  <w:style w:type="character" w:customStyle="1" w:styleId="57">
    <w:name w:val="前言、引言标题 Char"/>
    <w:link w:val="58"/>
    <w:qFormat/>
    <w:uiPriority w:val="0"/>
    <w:rPr>
      <w:rFonts w:ascii="黑体" w:eastAsia="黑体"/>
      <w:sz w:val="32"/>
      <w:shd w:val="clear" w:color="FFFFFF" w:fill="FFFFFF"/>
    </w:rPr>
  </w:style>
  <w:style w:type="paragraph" w:customStyle="1" w:styleId="58">
    <w:name w:val="前言、引言标题"/>
    <w:next w:val="1"/>
    <w:link w:val="57"/>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character" w:customStyle="1" w:styleId="59">
    <w:name w:val="日期 字符"/>
    <w:link w:val="26"/>
    <w:qFormat/>
    <w:uiPriority w:val="0"/>
    <w:rPr>
      <w:rFonts w:eastAsia="宋体"/>
      <w:kern w:val="2"/>
      <w:sz w:val="21"/>
      <w:szCs w:val="24"/>
      <w:lang w:val="en-US" w:eastAsia="zh-CN" w:bidi="ar-SA"/>
    </w:rPr>
  </w:style>
  <w:style w:type="character" w:customStyle="1" w:styleId="60">
    <w:name w:val="个人答复风格"/>
    <w:qFormat/>
    <w:uiPriority w:val="0"/>
    <w:rPr>
      <w:rFonts w:ascii="Arial" w:hAnsi="Arial" w:eastAsia="宋体" w:cs="Arial"/>
      <w:color w:val="auto"/>
      <w:sz w:val="20"/>
    </w:rPr>
  </w:style>
  <w:style w:type="character" w:customStyle="1" w:styleId="61">
    <w:name w:val="发布"/>
    <w:qFormat/>
    <w:uiPriority w:val="0"/>
    <w:rPr>
      <w:rFonts w:ascii="黑体" w:eastAsia="黑体"/>
      <w:spacing w:val="22"/>
      <w:w w:val="100"/>
      <w:position w:val="3"/>
      <w:sz w:val="28"/>
    </w:rPr>
  </w:style>
  <w:style w:type="character" w:customStyle="1" w:styleId="62">
    <w:name w:val="标题 1 字符"/>
    <w:link w:val="2"/>
    <w:qFormat/>
    <w:uiPriority w:val="0"/>
    <w:rPr>
      <w:rFonts w:ascii="黑体" w:hAnsi="Verdana" w:eastAsia="黑体"/>
      <w:sz w:val="21"/>
    </w:rPr>
  </w:style>
  <w:style w:type="character" w:customStyle="1" w:styleId="63">
    <w:name w:val="标题 2 字符"/>
    <w:link w:val="5"/>
    <w:qFormat/>
    <w:uiPriority w:val="0"/>
    <w:rPr>
      <w:rFonts w:ascii="宋体" w:hAnsi="Verdana" w:eastAsia="宋体"/>
      <w:sz w:val="21"/>
      <w:lang w:val="en-US" w:eastAsia="zh-CN" w:bidi="ar-SA"/>
    </w:rPr>
  </w:style>
  <w:style w:type="character" w:customStyle="1" w:styleId="64">
    <w:name w:val="章标题 Char"/>
    <w:link w:val="65"/>
    <w:qFormat/>
    <w:uiPriority w:val="0"/>
    <w:rPr>
      <w:rFonts w:ascii="黑体" w:eastAsia="黑体"/>
      <w:sz w:val="21"/>
    </w:rPr>
  </w:style>
  <w:style w:type="paragraph" w:customStyle="1" w:styleId="65">
    <w:name w:val="章标题"/>
    <w:next w:val="1"/>
    <w:link w:val="64"/>
    <w:qFormat/>
    <w:uiPriority w:val="0"/>
    <w:pPr>
      <w:spacing w:beforeLines="50" w:afterLines="50"/>
      <w:jc w:val="both"/>
      <w:outlineLvl w:val="1"/>
    </w:pPr>
    <w:rPr>
      <w:rFonts w:ascii="黑体" w:hAnsi="Times New Roman" w:eastAsia="黑体" w:cs="Times New Roman"/>
      <w:sz w:val="21"/>
      <w:lang w:val="en-US" w:eastAsia="zh-CN" w:bidi="ar-SA"/>
    </w:rPr>
  </w:style>
  <w:style w:type="character" w:customStyle="1" w:styleId="66">
    <w:name w:val="正文表标题 Char"/>
    <w:link w:val="67"/>
    <w:qFormat/>
    <w:uiPriority w:val="0"/>
    <w:rPr>
      <w:rFonts w:ascii="黑体" w:eastAsia="黑体"/>
      <w:sz w:val="21"/>
    </w:rPr>
  </w:style>
  <w:style w:type="paragraph" w:customStyle="1" w:styleId="67">
    <w:name w:val="正文表标题"/>
    <w:next w:val="68"/>
    <w:link w:val="66"/>
    <w:qFormat/>
    <w:uiPriority w:val="0"/>
    <w:pPr>
      <w:ind w:left="4935"/>
      <w:jc w:val="center"/>
    </w:pPr>
    <w:rPr>
      <w:rFonts w:ascii="黑体" w:hAnsi="Times New Roman" w:eastAsia="黑体" w:cs="Times New Roman"/>
      <w:sz w:val="21"/>
      <w:lang w:val="en-US" w:eastAsia="zh-CN" w:bidi="ar-SA"/>
    </w:rPr>
  </w:style>
  <w:style w:type="paragraph" w:customStyle="1" w:styleId="68">
    <w:name w:val="段"/>
    <w:link w:val="142"/>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9">
    <w:name w:val="图表脚注"/>
    <w:next w:val="68"/>
    <w:qFormat/>
    <w:uiPriority w:val="0"/>
    <w:pPr>
      <w:jc w:val="both"/>
    </w:pPr>
    <w:rPr>
      <w:rFonts w:ascii="宋体" w:hAnsi="Times New Roman" w:eastAsia="宋体" w:cs="Times New Roman"/>
      <w:sz w:val="18"/>
      <w:lang w:val="en-US" w:eastAsia="zh-CN" w:bidi="ar-SA"/>
    </w:rPr>
  </w:style>
  <w:style w:type="paragraph" w:customStyle="1" w:styleId="70">
    <w:name w:val="实施日期"/>
    <w:basedOn w:val="71"/>
    <w:qFormat/>
    <w:uiPriority w:val="0"/>
    <w:pPr>
      <w:framePr w:hSpace="0" w:wrap="around" w:xAlign="right"/>
      <w:jc w:val="right"/>
    </w:pPr>
  </w:style>
  <w:style w:type="paragraph" w:customStyle="1" w:styleId="7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72">
    <w:name w:val="封面标准号2"/>
    <w:basedOn w:val="1"/>
    <w:qFormat/>
    <w:uiPriority w:val="0"/>
    <w:pPr>
      <w:framePr w:w="9138" w:h="1244" w:hRule="exact" w:wrap="around" w:vAnchor="page" w:hAnchor="margin" w:y="2908" w:anchorLock="1"/>
      <w:kinsoku w:val="0"/>
      <w:overflowPunct w:val="0"/>
      <w:autoSpaceDE w:val="0"/>
      <w:autoSpaceDN w:val="0"/>
      <w:adjustRightInd w:val="0"/>
      <w:spacing w:before="357" w:line="280" w:lineRule="exact"/>
      <w:jc w:val="right"/>
      <w:textAlignment w:val="center"/>
    </w:pPr>
    <w:rPr>
      <w:kern w:val="0"/>
      <w:sz w:val="28"/>
      <w:szCs w:val="20"/>
    </w:rPr>
  </w:style>
  <w:style w:type="paragraph" w:customStyle="1" w:styleId="73">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74">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75">
    <w:name w:val="附录一级条标题"/>
    <w:basedOn w:val="1"/>
    <w:next w:val="68"/>
    <w:qFormat/>
    <w:uiPriority w:val="0"/>
    <w:pPr>
      <w:widowControl/>
      <w:wordWrap w:val="0"/>
      <w:overflowPunct w:val="0"/>
      <w:autoSpaceDE w:val="0"/>
      <w:autoSpaceDN w:val="0"/>
      <w:textAlignment w:val="baseline"/>
      <w:outlineLvl w:val="2"/>
    </w:pPr>
    <w:rPr>
      <w:rFonts w:ascii="黑体" w:eastAsia="黑体"/>
      <w:kern w:val="21"/>
      <w:szCs w:val="20"/>
    </w:rPr>
  </w:style>
  <w:style w:type="paragraph" w:customStyle="1" w:styleId="76">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77">
    <w:name w:val="发布部门"/>
    <w:next w:val="1"/>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78">
    <w:name w:val="附录二级条标题"/>
    <w:basedOn w:val="75"/>
    <w:next w:val="68"/>
    <w:qFormat/>
    <w:uiPriority w:val="0"/>
    <w:pPr>
      <w:outlineLvl w:val="3"/>
    </w:pPr>
  </w:style>
  <w:style w:type="paragraph" w:customStyle="1" w:styleId="79">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80">
    <w:name w:val="附录表标题"/>
    <w:next w:val="68"/>
    <w:qFormat/>
    <w:uiPriority w:val="0"/>
    <w:pPr>
      <w:tabs>
        <w:tab w:val="left" w:pos="360"/>
      </w:tabs>
      <w:jc w:val="center"/>
      <w:textAlignment w:val="baseline"/>
    </w:pPr>
    <w:rPr>
      <w:rFonts w:ascii="黑体" w:hAnsi="Times New Roman" w:eastAsia="黑体" w:cs="Times New Roman"/>
      <w:kern w:val="21"/>
      <w:sz w:val="21"/>
      <w:lang w:val="en-US" w:eastAsia="zh-CN" w:bidi="ar-SA"/>
    </w:rPr>
  </w:style>
  <w:style w:type="paragraph" w:customStyle="1" w:styleId="81">
    <w:name w:val="封面正文"/>
    <w:qFormat/>
    <w:uiPriority w:val="0"/>
    <w:pPr>
      <w:jc w:val="both"/>
    </w:pPr>
    <w:rPr>
      <w:rFonts w:ascii="Times New Roman" w:hAnsi="Times New Roman" w:eastAsia="宋体" w:cs="Times New Roman"/>
      <w:lang w:val="en-US" w:eastAsia="zh-CN" w:bidi="ar-SA"/>
    </w:rPr>
  </w:style>
  <w:style w:type="paragraph" w:customStyle="1" w:styleId="82">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8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4">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85">
    <w:name w:val="附录四级条标题"/>
    <w:basedOn w:val="86"/>
    <w:next w:val="68"/>
    <w:qFormat/>
    <w:uiPriority w:val="0"/>
    <w:pPr>
      <w:outlineLvl w:val="5"/>
    </w:pPr>
  </w:style>
  <w:style w:type="paragraph" w:customStyle="1" w:styleId="86">
    <w:name w:val="附录三级条标题"/>
    <w:basedOn w:val="78"/>
    <w:next w:val="68"/>
    <w:qFormat/>
    <w:uiPriority w:val="0"/>
    <w:pPr>
      <w:outlineLvl w:val="4"/>
    </w:pPr>
  </w:style>
  <w:style w:type="paragraph" w:customStyle="1" w:styleId="87">
    <w:name w:val="附录图标题"/>
    <w:next w:val="68"/>
    <w:qFormat/>
    <w:uiPriority w:val="0"/>
    <w:pPr>
      <w:tabs>
        <w:tab w:val="left" w:pos="360"/>
      </w:tabs>
      <w:jc w:val="center"/>
    </w:pPr>
    <w:rPr>
      <w:rFonts w:ascii="黑体" w:hAnsi="Times New Roman" w:eastAsia="黑体" w:cs="Times New Roman"/>
      <w:sz w:val="21"/>
      <w:lang w:val="en-US" w:eastAsia="zh-CN" w:bidi="ar-SA"/>
    </w:rPr>
  </w:style>
  <w:style w:type="paragraph" w:customStyle="1" w:styleId="88">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89">
    <w:name w:val="二级条标题"/>
    <w:basedOn w:val="90"/>
    <w:next w:val="1"/>
    <w:qFormat/>
    <w:uiPriority w:val="0"/>
    <w:pPr>
      <w:outlineLvl w:val="3"/>
    </w:pPr>
  </w:style>
  <w:style w:type="paragraph" w:customStyle="1" w:styleId="90">
    <w:name w:val="一级条标题"/>
    <w:basedOn w:val="65"/>
    <w:next w:val="1"/>
    <w:qFormat/>
    <w:uiPriority w:val="0"/>
    <w:pPr>
      <w:spacing w:beforeLines="0" w:afterLines="0"/>
      <w:outlineLvl w:val="2"/>
    </w:pPr>
  </w:style>
  <w:style w:type="paragraph" w:customStyle="1" w:styleId="91">
    <w:name w:val="五级条标题"/>
    <w:basedOn w:val="92"/>
    <w:next w:val="1"/>
    <w:qFormat/>
    <w:uiPriority w:val="0"/>
    <w:pPr>
      <w:outlineLvl w:val="6"/>
    </w:pPr>
  </w:style>
  <w:style w:type="paragraph" w:customStyle="1" w:styleId="92">
    <w:name w:val="四级条标题"/>
    <w:basedOn w:val="93"/>
    <w:next w:val="1"/>
    <w:qFormat/>
    <w:uiPriority w:val="0"/>
    <w:pPr>
      <w:outlineLvl w:val="5"/>
    </w:pPr>
  </w:style>
  <w:style w:type="paragraph" w:customStyle="1" w:styleId="93">
    <w:name w:val="三级条标题"/>
    <w:basedOn w:val="89"/>
    <w:next w:val="1"/>
    <w:qFormat/>
    <w:uiPriority w:val="0"/>
    <w:pPr>
      <w:outlineLvl w:val="4"/>
    </w:pPr>
  </w:style>
  <w:style w:type="paragraph" w:customStyle="1" w:styleId="94">
    <w:name w:val="标准书眉一"/>
    <w:qFormat/>
    <w:uiPriority w:val="0"/>
    <w:pPr>
      <w:jc w:val="both"/>
    </w:pPr>
    <w:rPr>
      <w:rFonts w:ascii="Times New Roman" w:hAnsi="Times New Roman" w:eastAsia="宋体" w:cs="Times New Roman"/>
      <w:lang w:val="en-US" w:eastAsia="zh-CN" w:bidi="ar-SA"/>
    </w:rPr>
  </w:style>
  <w:style w:type="paragraph" w:customStyle="1" w:styleId="95">
    <w:name w:val="标准书眉_偶数页"/>
    <w:basedOn w:val="84"/>
    <w:next w:val="1"/>
    <w:qFormat/>
    <w:uiPriority w:val="0"/>
    <w:pPr>
      <w:jc w:val="left"/>
    </w:pPr>
  </w:style>
  <w:style w:type="paragraph" w:customStyle="1" w:styleId="96">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97">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98">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99">
    <w:name w:val="标准"/>
    <w:basedOn w:val="1"/>
    <w:qFormat/>
    <w:uiPriority w:val="0"/>
    <w:pPr>
      <w:adjustRightInd w:val="0"/>
      <w:spacing w:line="312" w:lineRule="atLeast"/>
      <w:jc w:val="center"/>
      <w:textAlignment w:val="baseline"/>
    </w:pPr>
    <w:rPr>
      <w:kern w:val="0"/>
      <w:szCs w:val="20"/>
    </w:rPr>
  </w:style>
  <w:style w:type="character" w:customStyle="1" w:styleId="100">
    <w:name w:val="标题 6 字符"/>
    <w:basedOn w:val="43"/>
    <w:link w:val="10"/>
    <w:qFormat/>
    <w:uiPriority w:val="0"/>
    <w:rPr>
      <w:rFonts w:ascii="Arial" w:hAnsi="Arial" w:eastAsia="黑体"/>
      <w:b/>
      <w:bCs/>
      <w:kern w:val="2"/>
      <w:sz w:val="24"/>
      <w:szCs w:val="24"/>
    </w:rPr>
  </w:style>
  <w:style w:type="character" w:customStyle="1" w:styleId="101">
    <w:name w:val="标题 7 字符"/>
    <w:basedOn w:val="43"/>
    <w:link w:val="11"/>
    <w:qFormat/>
    <w:uiPriority w:val="0"/>
    <w:rPr>
      <w:b/>
      <w:bCs/>
      <w:kern w:val="2"/>
      <w:sz w:val="24"/>
      <w:szCs w:val="24"/>
    </w:rPr>
  </w:style>
  <w:style w:type="character" w:customStyle="1" w:styleId="102">
    <w:name w:val="标题 8 字符"/>
    <w:basedOn w:val="43"/>
    <w:link w:val="12"/>
    <w:qFormat/>
    <w:uiPriority w:val="0"/>
    <w:rPr>
      <w:rFonts w:ascii="Arial" w:hAnsi="Arial" w:eastAsia="黑体"/>
      <w:kern w:val="2"/>
      <w:sz w:val="24"/>
      <w:szCs w:val="24"/>
    </w:rPr>
  </w:style>
  <w:style w:type="character" w:customStyle="1" w:styleId="103">
    <w:name w:val="标题 9 字符"/>
    <w:basedOn w:val="43"/>
    <w:link w:val="13"/>
    <w:qFormat/>
    <w:uiPriority w:val="0"/>
    <w:rPr>
      <w:rFonts w:ascii="Arial" w:hAnsi="Arial" w:eastAsia="黑体"/>
      <w:kern w:val="2"/>
      <w:sz w:val="21"/>
      <w:szCs w:val="21"/>
    </w:rPr>
  </w:style>
  <w:style w:type="character" w:customStyle="1" w:styleId="104">
    <w:name w:val="页脚 字符"/>
    <w:link w:val="29"/>
    <w:qFormat/>
    <w:uiPriority w:val="99"/>
    <w:rPr>
      <w:kern w:val="2"/>
      <w:sz w:val="18"/>
      <w:szCs w:val="18"/>
    </w:rPr>
  </w:style>
  <w:style w:type="character" w:customStyle="1" w:styleId="105">
    <w:name w:val="批注文字 字符"/>
    <w:link w:val="21"/>
    <w:qFormat/>
    <w:uiPriority w:val="0"/>
    <w:rPr>
      <w:kern w:val="2"/>
      <w:sz w:val="21"/>
      <w:szCs w:val="24"/>
    </w:rPr>
  </w:style>
  <w:style w:type="character" w:customStyle="1" w:styleId="106">
    <w:name w:val="批注主题 字符"/>
    <w:link w:val="39"/>
    <w:qFormat/>
    <w:uiPriority w:val="0"/>
    <w:rPr>
      <w:b/>
      <w:bCs/>
      <w:kern w:val="2"/>
      <w:sz w:val="21"/>
      <w:szCs w:val="24"/>
    </w:rPr>
  </w:style>
  <w:style w:type="character" w:customStyle="1" w:styleId="107">
    <w:name w:val="批注框文本 字符"/>
    <w:link w:val="28"/>
    <w:qFormat/>
    <w:uiPriority w:val="0"/>
    <w:rPr>
      <w:kern w:val="2"/>
      <w:sz w:val="18"/>
      <w:szCs w:val="18"/>
    </w:rPr>
  </w:style>
  <w:style w:type="character" w:customStyle="1" w:styleId="108">
    <w:name w:val="二级条标题 Char"/>
    <w:basedOn w:val="109"/>
    <w:qFormat/>
    <w:uiPriority w:val="0"/>
    <w:rPr>
      <w:rFonts w:eastAsia="黑体"/>
      <w:kern w:val="2"/>
      <w:sz w:val="21"/>
      <w:szCs w:val="24"/>
      <w:lang w:val="en-US" w:eastAsia="zh-CN" w:bidi="ar-SA"/>
    </w:rPr>
  </w:style>
  <w:style w:type="character" w:customStyle="1" w:styleId="109">
    <w:name w:val="一级条标题 Char"/>
    <w:qFormat/>
    <w:uiPriority w:val="0"/>
    <w:rPr>
      <w:rFonts w:eastAsia="黑体"/>
      <w:kern w:val="2"/>
      <w:sz w:val="21"/>
      <w:szCs w:val="24"/>
      <w:lang w:val="en-US" w:eastAsia="zh-CN" w:bidi="ar-SA"/>
    </w:rPr>
  </w:style>
  <w:style w:type="character" w:customStyle="1" w:styleId="110">
    <w:name w:val="个人撰写风格"/>
    <w:qFormat/>
    <w:uiPriority w:val="0"/>
    <w:rPr>
      <w:rFonts w:ascii="Arial" w:hAnsi="Arial" w:eastAsia="宋体" w:cs="Arial"/>
      <w:color w:val="auto"/>
      <w:sz w:val="20"/>
    </w:rPr>
  </w:style>
  <w:style w:type="character" w:customStyle="1" w:styleId="111">
    <w:name w:val="HTML 预设格式 字符"/>
    <w:basedOn w:val="43"/>
    <w:link w:val="36"/>
    <w:qFormat/>
    <w:uiPriority w:val="0"/>
    <w:rPr>
      <w:rFonts w:ascii="Courier New" w:hAnsi="Courier New" w:cs="Courier New"/>
      <w:kern w:val="2"/>
    </w:rPr>
  </w:style>
  <w:style w:type="paragraph" w:customStyle="1" w:styleId="112">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113">
    <w:name w:val="Revision"/>
    <w:semiHidden/>
    <w:qFormat/>
    <w:uiPriority w:val="99"/>
    <w:rPr>
      <w:rFonts w:ascii="Times New Roman" w:hAnsi="Times New Roman" w:eastAsia="宋体" w:cs="Times New Roman"/>
      <w:kern w:val="2"/>
      <w:sz w:val="21"/>
      <w:szCs w:val="24"/>
      <w:lang w:val="en-US" w:eastAsia="zh-CN" w:bidi="ar-SA"/>
    </w:rPr>
  </w:style>
  <w:style w:type="paragraph" w:customStyle="1" w:styleId="114">
    <w:name w:val="列项◆（三级）"/>
    <w:qFormat/>
    <w:uiPriority w:val="0"/>
    <w:pPr>
      <w:numPr>
        <w:ilvl w:val="0"/>
        <w:numId w:val="1"/>
      </w:numPr>
      <w:tabs>
        <w:tab w:val="left" w:pos="960"/>
      </w:tabs>
      <w:ind w:left="800" w:leftChars="600" w:hanging="200" w:hangingChars="200"/>
    </w:pPr>
    <w:rPr>
      <w:rFonts w:ascii="宋体" w:hAnsi="Times New Roman" w:eastAsia="宋体" w:cs="Times New Roman"/>
      <w:sz w:val="21"/>
      <w:lang w:val="en-US" w:eastAsia="zh-CN" w:bidi="ar-SA"/>
    </w:rPr>
  </w:style>
  <w:style w:type="paragraph" w:customStyle="1" w:styleId="115">
    <w:name w:val="注："/>
    <w:next w:val="68"/>
    <w:qFormat/>
    <w:uiPriority w:val="0"/>
    <w:pPr>
      <w:widowControl w:val="0"/>
      <w:numPr>
        <w:ilvl w:val="0"/>
        <w:numId w:val="2"/>
      </w:numPr>
      <w:autoSpaceDE w:val="0"/>
      <w:autoSpaceDN w:val="0"/>
      <w:jc w:val="both"/>
    </w:pPr>
    <w:rPr>
      <w:rFonts w:ascii="宋体" w:hAnsi="Times New Roman" w:eastAsia="宋体" w:cs="Times New Roman"/>
      <w:sz w:val="18"/>
      <w:lang w:val="en-US" w:eastAsia="zh-CN" w:bidi="ar-SA"/>
    </w:rPr>
  </w:style>
  <w:style w:type="character" w:customStyle="1" w:styleId="116">
    <w:name w:val="HTML 地址 字符"/>
    <w:basedOn w:val="43"/>
    <w:link w:val="23"/>
    <w:qFormat/>
    <w:uiPriority w:val="0"/>
    <w:rPr>
      <w:i/>
      <w:iCs/>
      <w:kern w:val="2"/>
      <w:sz w:val="21"/>
      <w:szCs w:val="24"/>
    </w:rPr>
  </w:style>
  <w:style w:type="paragraph" w:customStyle="1" w:styleId="117">
    <w:name w:val="参考文献、索引标题"/>
    <w:basedOn w:val="58"/>
    <w:next w:val="1"/>
    <w:qFormat/>
    <w:uiPriority w:val="0"/>
    <w:pPr>
      <w:spacing w:after="200"/>
    </w:pPr>
    <w:rPr>
      <w:sz w:val="21"/>
    </w:rPr>
  </w:style>
  <w:style w:type="character" w:customStyle="1" w:styleId="118">
    <w:name w:val="批注框文本 Char1"/>
    <w:basedOn w:val="43"/>
    <w:qFormat/>
    <w:uiPriority w:val="0"/>
    <w:rPr>
      <w:kern w:val="2"/>
      <w:sz w:val="18"/>
      <w:szCs w:val="18"/>
    </w:rPr>
  </w:style>
  <w:style w:type="paragraph" w:customStyle="1" w:styleId="11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120">
    <w:name w:val="列项——（一级）"/>
    <w:qFormat/>
    <w:uiPriority w:val="0"/>
    <w:pPr>
      <w:widowControl w:val="0"/>
      <w:numPr>
        <w:ilvl w:val="0"/>
        <w:numId w:val="3"/>
      </w:numPr>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121">
    <w:name w:val="附录五级条标题"/>
    <w:basedOn w:val="85"/>
    <w:next w:val="68"/>
    <w:qFormat/>
    <w:uiPriority w:val="0"/>
    <w:pPr>
      <w:numPr>
        <w:ilvl w:val="6"/>
        <w:numId w:val="4"/>
      </w:numPr>
      <w:outlineLvl w:val="6"/>
    </w:pPr>
  </w:style>
  <w:style w:type="paragraph" w:customStyle="1" w:styleId="122">
    <w:name w:val="编号列项（三级）"/>
    <w:qFormat/>
    <w:uiPriority w:val="0"/>
    <w:pPr>
      <w:ind w:left="800" w:leftChars="600" w:hanging="200" w:hangingChars="200"/>
    </w:pPr>
    <w:rPr>
      <w:rFonts w:ascii="宋体" w:hAnsi="Times New Roman" w:eastAsia="宋体" w:cs="Times New Roman"/>
      <w:sz w:val="21"/>
      <w:lang w:val="en-US" w:eastAsia="zh-CN" w:bidi="ar-SA"/>
    </w:rPr>
  </w:style>
  <w:style w:type="character" w:customStyle="1" w:styleId="123">
    <w:name w:val="批注文字 Char1"/>
    <w:basedOn w:val="43"/>
    <w:qFormat/>
    <w:uiPriority w:val="0"/>
    <w:rPr>
      <w:kern w:val="2"/>
      <w:sz w:val="21"/>
      <w:szCs w:val="24"/>
    </w:rPr>
  </w:style>
  <w:style w:type="paragraph" w:customStyle="1" w:styleId="124">
    <w:name w:val="注×："/>
    <w:qFormat/>
    <w:uiPriority w:val="0"/>
    <w:pPr>
      <w:widowControl w:val="0"/>
      <w:numPr>
        <w:ilvl w:val="0"/>
        <w:numId w:val="5"/>
      </w:numPr>
      <w:tabs>
        <w:tab w:val="left" w:pos="630"/>
      </w:tabs>
      <w:autoSpaceDE w:val="0"/>
      <w:autoSpaceDN w:val="0"/>
      <w:jc w:val="both"/>
    </w:pPr>
    <w:rPr>
      <w:rFonts w:ascii="宋体" w:hAnsi="Times New Roman" w:eastAsia="宋体" w:cs="Times New Roman"/>
      <w:sz w:val="18"/>
      <w:lang w:val="en-US" w:eastAsia="zh-CN" w:bidi="ar-SA"/>
    </w:rPr>
  </w:style>
  <w:style w:type="character" w:customStyle="1" w:styleId="125">
    <w:name w:val="脚注文本 字符"/>
    <w:basedOn w:val="43"/>
    <w:link w:val="32"/>
    <w:qFormat/>
    <w:uiPriority w:val="0"/>
    <w:rPr>
      <w:kern w:val="2"/>
      <w:sz w:val="18"/>
      <w:szCs w:val="18"/>
    </w:rPr>
  </w:style>
  <w:style w:type="paragraph" w:customStyle="1" w:styleId="126">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127">
    <w:name w:val="附录章标题"/>
    <w:next w:val="68"/>
    <w:qFormat/>
    <w:uiPriority w:val="0"/>
    <w:pPr>
      <w:numPr>
        <w:ilvl w:val="1"/>
        <w:numId w:val="4"/>
      </w:num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character" w:customStyle="1" w:styleId="128">
    <w:name w:val="文档结构图 字符"/>
    <w:basedOn w:val="43"/>
    <w:link w:val="20"/>
    <w:qFormat/>
    <w:uiPriority w:val="0"/>
    <w:rPr>
      <w:kern w:val="2"/>
      <w:sz w:val="21"/>
      <w:szCs w:val="24"/>
      <w:shd w:val="clear" w:color="auto" w:fill="000080"/>
    </w:rPr>
  </w:style>
  <w:style w:type="paragraph" w:customStyle="1" w:styleId="129">
    <w:name w:val="其他标准称谓"/>
    <w:qFormat/>
    <w:uiPriority w:val="0"/>
    <w:pPr>
      <w:spacing w:line="0" w:lineRule="atLeast"/>
      <w:jc w:val="distribute"/>
    </w:pPr>
    <w:rPr>
      <w:rFonts w:ascii="黑体" w:hAnsi="宋体" w:eastAsia="黑体" w:cs="Times New Roman"/>
      <w:sz w:val="52"/>
      <w:lang w:val="en-US" w:eastAsia="zh-CN" w:bidi="ar-SA"/>
    </w:rPr>
  </w:style>
  <w:style w:type="character" w:customStyle="1" w:styleId="130">
    <w:name w:val="批注主题 Char1"/>
    <w:basedOn w:val="123"/>
    <w:qFormat/>
    <w:uiPriority w:val="0"/>
    <w:rPr>
      <w:b/>
      <w:bCs/>
      <w:kern w:val="2"/>
      <w:sz w:val="21"/>
      <w:szCs w:val="24"/>
    </w:rPr>
  </w:style>
  <w:style w:type="paragraph" w:customStyle="1" w:styleId="131">
    <w:name w:val="示例"/>
    <w:next w:val="68"/>
    <w:qFormat/>
    <w:uiPriority w:val="0"/>
    <w:pPr>
      <w:numPr>
        <w:ilvl w:val="0"/>
        <w:numId w:val="6"/>
      </w:numPr>
      <w:tabs>
        <w:tab w:val="left" w:pos="816"/>
        <w:tab w:val="clear" w:pos="1140"/>
      </w:tabs>
      <w:ind w:firstLine="419" w:firstLineChars="233"/>
      <w:jc w:val="both"/>
    </w:pPr>
    <w:rPr>
      <w:rFonts w:ascii="宋体" w:hAnsi="Times New Roman" w:eastAsia="宋体" w:cs="Times New Roman"/>
      <w:sz w:val="18"/>
      <w:lang w:val="en-US" w:eastAsia="zh-CN" w:bidi="ar-SA"/>
    </w:rPr>
  </w:style>
  <w:style w:type="paragraph" w:customStyle="1" w:styleId="132">
    <w:name w:val="其他发布部门"/>
    <w:basedOn w:val="77"/>
    <w:qFormat/>
    <w:uiPriority w:val="0"/>
    <w:pPr>
      <w:framePr w:wrap="around"/>
      <w:spacing w:line="0" w:lineRule="atLeast"/>
    </w:pPr>
    <w:rPr>
      <w:rFonts w:ascii="黑体" w:eastAsia="黑体"/>
      <w:b w:val="0"/>
    </w:rPr>
  </w:style>
  <w:style w:type="paragraph" w:customStyle="1" w:styleId="133">
    <w:name w:val="条文脚注"/>
    <w:basedOn w:val="32"/>
    <w:qFormat/>
    <w:uiPriority w:val="0"/>
    <w:pPr>
      <w:ind w:left="780" w:leftChars="200" w:hanging="360" w:hangingChars="200"/>
      <w:jc w:val="both"/>
    </w:pPr>
    <w:rPr>
      <w:rFonts w:ascii="宋体"/>
    </w:rPr>
  </w:style>
  <w:style w:type="character" w:customStyle="1" w:styleId="134">
    <w:name w:val="标题 字符"/>
    <w:basedOn w:val="43"/>
    <w:link w:val="38"/>
    <w:qFormat/>
    <w:uiPriority w:val="0"/>
    <w:rPr>
      <w:rFonts w:ascii="Arial" w:hAnsi="Arial" w:cs="Arial"/>
      <w:b/>
      <w:bCs/>
      <w:kern w:val="2"/>
      <w:sz w:val="32"/>
      <w:szCs w:val="32"/>
    </w:rPr>
  </w:style>
  <w:style w:type="paragraph" w:customStyle="1" w:styleId="135">
    <w:name w:val="正文图标题"/>
    <w:next w:val="68"/>
    <w:qFormat/>
    <w:uiPriority w:val="0"/>
    <w:pPr>
      <w:numPr>
        <w:ilvl w:val="0"/>
        <w:numId w:val="7"/>
      </w:numPr>
      <w:jc w:val="center"/>
    </w:pPr>
    <w:rPr>
      <w:rFonts w:ascii="黑体" w:hAnsi="Times New Roman" w:eastAsia="黑体" w:cs="Times New Roman"/>
      <w:sz w:val="21"/>
      <w:lang w:val="en-US" w:eastAsia="zh-CN" w:bidi="ar-SA"/>
    </w:rPr>
  </w:style>
  <w:style w:type="paragraph" w:customStyle="1" w:styleId="136">
    <w:name w:val="封面标准代替信息"/>
    <w:basedOn w:val="72"/>
    <w:qFormat/>
    <w:uiPriority w:val="0"/>
    <w:pPr>
      <w:framePr w:wrap="around" w:anchorLock="0"/>
      <w:spacing w:before="57"/>
    </w:pPr>
    <w:rPr>
      <w:rFonts w:ascii="宋体"/>
      <w:sz w:val="21"/>
    </w:rPr>
  </w:style>
  <w:style w:type="paragraph" w:customStyle="1" w:styleId="137">
    <w:name w:val="目次、标准名称标题"/>
    <w:basedOn w:val="58"/>
    <w:next w:val="68"/>
    <w:qFormat/>
    <w:uiPriority w:val="0"/>
    <w:pPr>
      <w:spacing w:line="460" w:lineRule="exact"/>
    </w:pPr>
  </w:style>
  <w:style w:type="paragraph" w:customStyle="1" w:styleId="138">
    <w:name w:val="附录标识"/>
    <w:basedOn w:val="58"/>
    <w:qFormat/>
    <w:uiPriority w:val="0"/>
    <w:pPr>
      <w:numPr>
        <w:ilvl w:val="0"/>
        <w:numId w:val="4"/>
      </w:numPr>
      <w:tabs>
        <w:tab w:val="left" w:pos="6405"/>
      </w:tabs>
      <w:spacing w:after="200"/>
    </w:pPr>
    <w:rPr>
      <w:sz w:val="21"/>
    </w:rPr>
  </w:style>
  <w:style w:type="paragraph" w:customStyle="1" w:styleId="139">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140">
    <w:name w:val="列项●（二级）"/>
    <w:qFormat/>
    <w:uiPriority w:val="0"/>
    <w:pPr>
      <w:numPr>
        <w:ilvl w:val="0"/>
        <w:numId w:val="8"/>
      </w:numPr>
      <w:tabs>
        <w:tab w:val="left" w:pos="760"/>
        <w:tab w:val="left" w:pos="840"/>
      </w:tabs>
      <w:ind w:left="600" w:leftChars="400" w:hanging="200" w:hangingChars="200"/>
      <w:jc w:val="both"/>
    </w:pPr>
    <w:rPr>
      <w:rFonts w:ascii="宋体" w:hAnsi="Times New Roman" w:eastAsia="宋体" w:cs="Times New Roman"/>
      <w:sz w:val="21"/>
      <w:lang w:val="en-US" w:eastAsia="zh-CN" w:bidi="ar-SA"/>
    </w:rPr>
  </w:style>
  <w:style w:type="paragraph" w:styleId="141">
    <w:name w:val="List Paragraph"/>
    <w:basedOn w:val="1"/>
    <w:qFormat/>
    <w:uiPriority w:val="99"/>
    <w:pPr>
      <w:ind w:firstLine="420" w:firstLineChars="200"/>
    </w:pPr>
  </w:style>
  <w:style w:type="character" w:customStyle="1" w:styleId="142">
    <w:name w:val="段 Char"/>
    <w:link w:val="68"/>
    <w:qFormat/>
    <w:uiPriority w:val="0"/>
    <w:rPr>
      <w:rFonts w:ascii="宋体"/>
      <w:sz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customXml" Target="../customXml/item2.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2.wmf"/><Relationship Id="rId22" Type="http://schemas.openxmlformats.org/officeDocument/2006/relationships/oleObject" Target="embeddings/oleObject1.bin"/><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154329-AFC4-4383-A476-E9D50658D7A2}">
  <ds:schemaRefs/>
</ds:datastoreItem>
</file>

<file path=docProps/app.xml><?xml version="1.0" encoding="utf-8"?>
<Properties xmlns="http://schemas.openxmlformats.org/officeDocument/2006/extended-properties" xmlns:vt="http://schemas.openxmlformats.org/officeDocument/2006/docPropsVTypes">
  <Template>Normal.dotm</Template>
  <Company>csu</Company>
  <Pages>10</Pages>
  <Words>3273</Words>
  <Characters>3913</Characters>
  <Lines>33</Lines>
  <Paragraphs>9</Paragraphs>
  <TotalTime>2134</TotalTime>
  <ScaleCrop>false</ScaleCrop>
  <LinksUpToDate>false</LinksUpToDate>
  <CharactersWithSpaces>4034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2020-10-13T05:59:00Z</dcterms:created>
  <dc:creator>zjf</dc:creator>
  <cp:lastModifiedBy>李绍文</cp:lastModifiedBy>
  <cp:lastPrinted>2021-10-15T23:51:00Z</cp:lastPrinted>
  <dcterms:modified xsi:type="dcterms:W3CDTF">2025-07-23T05:12:43Z</dcterms:modified>
  <cp:revision>369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27EEADECE3B64449835801CF03BD5730_13</vt:lpwstr>
  </property>
  <property fmtid="{D5CDD505-2E9C-101B-9397-08002B2CF9AE}" pid="4" name="KSOTemplateDocerSaveRecord">
    <vt:lpwstr>eyJoZGlkIjoiMWY1ZTliOTQ3YjRkNTVkMDY0MDEyZDk5ZTEwZjNjNmEiLCJ1c2VySWQiOiI0Mzk4ODQ3NDYifQ==</vt:lpwstr>
  </property>
</Properties>
</file>