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pBdr>
          <w:top w:val="none" w:sz="0" w:space="0"/>
          <w:left w:val="none" w:sz="0" w:space="0"/>
          <w:bottom w:val="none" w:sz="0" w:space="0"/>
          <w:right w:val="none" w:sz="0" w:space="0"/>
        </w:pBdr>
        <w:spacing w:line="360" w:lineRule="auto"/>
      </w:pPr>
      <w:r>
        <mc:AlternateContent>
          <mc:Choice Requires="wps">
            <w:drawing>
              <wp:anchor distT="0" distB="0" distL="114300" distR="114300" simplePos="0" relativeHeight="251666432" behindDoc="0" locked="1" layoutInCell="1" allowOverlap="1">
                <wp:simplePos x="0" y="0"/>
                <wp:positionH relativeFrom="margin">
                  <wp:posOffset>2549525</wp:posOffset>
                </wp:positionH>
                <wp:positionV relativeFrom="margin">
                  <wp:posOffset>107315</wp:posOffset>
                </wp:positionV>
                <wp:extent cx="3175000" cy="720090"/>
                <wp:effectExtent l="0" t="0" r="6350" b="3810"/>
                <wp:wrapNone/>
                <wp:docPr id="15" name="文本框 15"/>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wps:spPr>
                      <wps:txbx>
                        <w:txbxContent>
                          <w:p>
                            <w:pPr>
                              <w:pStyle w:val="15"/>
                            </w:pPr>
                            <w:r>
                              <w:rPr>
                                <w:rFonts w:ascii="Times New Roman" w:hAnsi="Times New Roman" w:eastAsia="宋体" w:cs="Times New Roman"/>
                                <w:w w:val="130"/>
                                <w:szCs w:val="20"/>
                              </w:rPr>
                              <w:t>YS</w:t>
                            </w:r>
                          </w:p>
                        </w:txbxContent>
                      </wps:txbx>
                      <wps:bodyPr lIns="0" tIns="0" rIns="0" bIns="0" upright="1"/>
                    </wps:wsp>
                  </a:graphicData>
                </a:graphic>
              </wp:anchor>
            </w:drawing>
          </mc:Choice>
          <mc:Fallback>
            <w:pict>
              <v:shape id="_x0000_s1026" o:spid="_x0000_s1026" o:spt="202" type="#_x0000_t202" style="position:absolute;left:0pt;margin-left:200.75pt;margin-top:8.45pt;height:56.7pt;width:250pt;mso-position-horizontal-relative:margin;mso-position-vertical-relative:margin;z-index:251666432;mso-width-relative:page;mso-height-relative:page;" fillcolor="#FFFFFF" filled="t" stroked="f" coordsize="21600,21600"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lZOzzYAAAACgEAAA8AAAAAAAAAAQAgAAAAIgAA&#10;AGRycy9kb3ducmV2LnhtbFBLAQIUABQAAAAIAIdO4kA2PStIzwEAAJ0DAAAOAAAAAAAAAAEAIAAA&#10;ACcBAABkcnMvZTJvRG9jLnhtbFBLBQYAAAAABgAGAFkBAABoBQAAAAA=&#10;">
                <v:fill on="t" focussize="0,0"/>
                <v:stroke on="f"/>
                <v:imagedata o:title=""/>
                <o:lock v:ext="edit" aspectratio="f"/>
                <v:textbox inset="0mm,0mm,0mm,0mm">
                  <w:txbxContent>
                    <w:p>
                      <w:pPr>
                        <w:pStyle w:val="15"/>
                      </w:pPr>
                      <w:r>
                        <w:rPr>
                          <w:rFonts w:ascii="Times New Roman" w:hAnsi="Times New Roman" w:eastAsia="宋体" w:cs="Times New Roman"/>
                          <w:w w:val="130"/>
                          <w:szCs w:val="20"/>
                        </w:rPr>
                        <w:t>YS</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4148455</wp:posOffset>
                </wp:positionH>
                <wp:positionV relativeFrom="margin">
                  <wp:posOffset>8182610</wp:posOffset>
                </wp:positionV>
                <wp:extent cx="2019300" cy="312420"/>
                <wp:effectExtent l="0" t="0" r="0" b="11430"/>
                <wp:wrapNone/>
                <wp:docPr id="16" name="文本框 1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27"/>
                            </w:pPr>
                            <w:r>
                              <w:rPr>
                                <w:rFonts w:hint="eastAsia"/>
                              </w:rPr>
                              <w:t>××××-××-××实施</w:t>
                            </w:r>
                          </w:p>
                          <w:p/>
                        </w:txbxContent>
                      </wps:txbx>
                      <wps:bodyPr lIns="0" tIns="0" rIns="0" bIns="0" upright="1"/>
                    </wps:wsp>
                  </a:graphicData>
                </a:graphic>
              </wp:anchor>
            </w:drawing>
          </mc:Choice>
          <mc:Fallback>
            <w:pict>
              <v:shape id="_x0000_s1026" o:spid="_x0000_s1026" o:spt="202" type="#_x0000_t202" style="position:absolute;left:0pt;margin-left:326.65pt;margin-top:644.3pt;height:24.6pt;width:159pt;mso-position-horizontal-relative:margin;mso-position-vertical-relative:margin;z-index:251663360;mso-width-relative:page;mso-height-relative:page;" fillcolor="#FFFFFF" filled="t" stroked="f" coordsize="21600,21600" o:gfxdata="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uFpEjaAAAADQEAAA8AAAAAAAAAAQAgAAAA&#10;IgAAAGRycy9kb3ducmV2LnhtbFBLAQIUABQAAAAIAIdO4kCk1bHz0AEAAJ0DAAAOAAAAAAAAAAEA&#10;IAAAACkBAABkcnMvZTJvRG9jLnhtbFBLBQYAAAAABgAGAFkBAABrBQAAAAA=&#10;">
                <v:fill on="t" focussize="0,0"/>
                <v:stroke on="f"/>
                <v:imagedata o:title=""/>
                <o:lock v:ext="edit" aspectratio="f"/>
                <v:textbox inset="0mm,0mm,0mm,0mm">
                  <w:txbxContent>
                    <w:p>
                      <w:pPr>
                        <w:pStyle w:val="27"/>
                      </w:pPr>
                      <w:r>
                        <w:rPr>
                          <w:rFonts w:hint="eastAsia"/>
                        </w:rPr>
                        <w:t>××××-××-××实施</w:t>
                      </w:r>
                    </w:p>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8154035</wp:posOffset>
                </wp:positionV>
                <wp:extent cx="2019300" cy="312420"/>
                <wp:effectExtent l="0" t="0" r="0" b="11430"/>
                <wp:wrapNone/>
                <wp:docPr id="17" name="文本框 17"/>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25"/>
                            </w:pPr>
                            <w:r>
                              <w:rPr>
                                <w:rFonts w:hint="eastAsia"/>
                              </w:rPr>
                              <w:t>××××-××-××发布</w:t>
                            </w:r>
                          </w:p>
                          <w:p/>
                        </w:txbxContent>
                      </wps:txbx>
                      <wps:bodyPr lIns="0" tIns="0" rIns="0" bIns="0" upright="1"/>
                    </wps:wsp>
                  </a:graphicData>
                </a:graphic>
              </wp:anchor>
            </w:drawing>
          </mc:Choice>
          <mc:Fallback>
            <w:pict>
              <v:shape id="_x0000_s1026" o:spid="_x0000_s1026" o:spt="202" type="#_x0000_t202" style="position:absolute;left:0pt;margin-left:0pt;margin-top:642.05pt;height:24.6pt;width:159pt;mso-position-horizontal-relative:margin;mso-position-vertical-relative:margin;z-index:251662336;mso-width-relative:page;mso-height-relative:page;" fillcolor="#FFFFFF" filled="t" stroked="f" coordsize="21600,21600" o:gfxdata="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Ke1QHXAAAACgEAAA8AAAAAAAAAAQAgAAAAIgAA&#10;AGRycy9kb3ducmV2LnhtbFBLAQIUABQAAAAIAIdO4kBiAtRB0AEAAJ0DAAAOAAAAAAAAAAEAIAAA&#10;ACYBAABkcnMvZTJvRG9jLnhtbFBLBQYAAAAABgAGAFkBAABoBQAAAAA=&#10;">
                <v:fill on="t" focussize="0,0"/>
                <v:stroke on="f"/>
                <v:imagedata o:title=""/>
                <o:lock v:ext="edit" aspectratio="f"/>
                <v:textbox inset="0mm,0mm,0mm,0mm">
                  <w:txbxContent>
                    <w:p>
                      <w:pPr>
                        <w:pStyle w:val="25"/>
                      </w:pPr>
                      <w:r>
                        <w:rPr>
                          <w:rFonts w:hint="eastAsia"/>
                        </w:rPr>
                        <w:t>××××-××-××发布</w:t>
                      </w:r>
                    </w:p>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1401445</wp:posOffset>
                </wp:positionV>
                <wp:extent cx="5802630" cy="860425"/>
                <wp:effectExtent l="0" t="0" r="7620" b="15875"/>
                <wp:wrapNone/>
                <wp:docPr id="23" name="文本框 23"/>
                <wp:cNvGraphicFramePr/>
                <a:graphic xmlns:a="http://schemas.openxmlformats.org/drawingml/2006/main">
                  <a:graphicData uri="http://schemas.microsoft.com/office/word/2010/wordprocessingShape">
                    <wps:wsp>
                      <wps:cNvSpPr txBox="1"/>
                      <wps:spPr>
                        <a:xfrm>
                          <a:off x="0" y="0"/>
                          <a:ext cx="5802630" cy="860425"/>
                        </a:xfrm>
                        <a:prstGeom prst="rect">
                          <a:avLst/>
                        </a:prstGeom>
                        <a:solidFill>
                          <a:srgbClr val="FFFFFF"/>
                        </a:solidFill>
                        <a:ln>
                          <a:noFill/>
                        </a:ln>
                      </wps:spPr>
                      <wps:txbx>
                        <w:txbxContent>
                          <w:p>
                            <w:pPr>
                              <w:pStyle w:val="43"/>
                            </w:pPr>
                            <w:r>
                              <w:rPr>
                                <w:rFonts w:hint="eastAsia"/>
                              </w:rPr>
                              <w:t>YS</w:t>
                            </w:r>
                            <w:r>
                              <w:t xml:space="preserve"> </w:t>
                            </w:r>
                            <w:r>
                              <w:rPr>
                                <w:rFonts w:hint="eastAsia"/>
                              </w:rPr>
                              <w:t>/T XXXX</w:t>
                            </w:r>
                            <w:r>
                              <w:t>—</w:t>
                            </w:r>
                            <w:r>
                              <w:rPr>
                                <w:rFonts w:hint="eastAsia"/>
                              </w:rPr>
                              <w:t>202X</w:t>
                            </w:r>
                          </w:p>
                          <w:p>
                            <w:pPr>
                              <w:pStyle w:val="43"/>
                            </w:pPr>
                          </w:p>
                        </w:txbxContent>
                      </wps:txbx>
                      <wps:bodyPr lIns="0" tIns="0" rIns="0" bIns="0" upright="1"/>
                    </wps:wsp>
                  </a:graphicData>
                </a:graphic>
              </wp:anchor>
            </w:drawing>
          </mc:Choice>
          <mc:Fallback>
            <w:pict>
              <v:shape id="_x0000_s1026" o:spid="_x0000_s1026" o:spt="202" type="#_x0000_t202" style="position:absolute;left:0pt;margin-left:0pt;margin-top:110.35pt;height:67.75pt;width:456.9pt;mso-position-horizontal-relative:margin;mso-position-vertical-relative:margin;z-index:251661312;mso-width-relative:page;mso-height-relative:page;" fillcolor="#FFFFFF" filled="t" stroked="f" coordsize="21600,21600"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UBpPvYAAAACAEAAA8AAAAAAAAAAQAgAAAAIgAA&#10;AGRycy9kb3ducmV2LnhtbFBLAQIUABQAAAAIAIdO4kCJ7eCEzwEAAJ0DAAAOAAAAAAAAAAEAIAAA&#10;ACcBAABkcnMvZTJvRG9jLnhtbFBLBQYAAAAABgAGAFkBAABoBQAAAAA=&#10;">
                <v:fill on="t" focussize="0,0"/>
                <v:stroke on="f"/>
                <v:imagedata o:title=""/>
                <o:lock v:ext="edit" aspectratio="f"/>
                <v:textbox inset="0mm,0mm,0mm,0mm">
                  <w:txbxContent>
                    <w:p>
                      <w:pPr>
                        <w:pStyle w:val="43"/>
                      </w:pPr>
                      <w:r>
                        <w:rPr>
                          <w:rFonts w:hint="eastAsia"/>
                        </w:rPr>
                        <w:t>YS</w:t>
                      </w:r>
                      <w:r>
                        <w:t xml:space="preserve"> </w:t>
                      </w:r>
                      <w:r>
                        <w:rPr>
                          <w:rFonts w:hint="eastAsia"/>
                        </w:rPr>
                        <w:t>/T XXXX</w:t>
                      </w:r>
                      <w:r>
                        <w:t>—</w:t>
                      </w:r>
                      <w:r>
                        <w:rPr>
                          <w:rFonts w:hint="eastAsia"/>
                        </w:rPr>
                        <w:t>202X</w:t>
                      </w:r>
                    </w:p>
                    <w:p>
                      <w:pPr>
                        <w:pStyle w:val="43"/>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13970" b="8890"/>
                <wp:wrapNone/>
                <wp:docPr id="18" name="文本框 18"/>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pPr>
                              <w:pStyle w:val="16"/>
                            </w:pPr>
                            <w:r>
                              <w:rPr>
                                <w:rFonts w:hint="eastAsia" w:hAnsi="宋体" w:cs="Times New Roman"/>
                                <w:spacing w:val="0"/>
                                <w:sz w:val="52"/>
                                <w:szCs w:val="20"/>
                              </w:rPr>
                              <w:t>中华人民共和国有色金属行业标准</w:t>
                            </w:r>
                          </w:p>
                        </w:txbxContent>
                      </wps:txbx>
                      <wps:bodyPr lIns="0" tIns="0" rIns="0" bIns="0" upright="1"/>
                    </wps:wsp>
                  </a:graphicData>
                </a:graphic>
              </wp:anchor>
            </w:drawing>
          </mc:Choice>
          <mc:Fallback>
            <w:pict>
              <v:shape id="_x0000_s1026"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GDkcF1wAAAAgBAAAPAAAAAAAAAAEAIAAAACIAAABk&#10;cnMvZG93bnJldi54bWxQSwECFAAUAAAACACHTuJAalM1eM4BAACdAwAADgAAAAAAAAABACAAAAAm&#10;AQAAZHJzL2Uyb0RvYy54bWxQSwUGAAAAAAYABgBZAQAAZgUAAAAA&#10;">
                <v:fill on="t" focussize="0,0"/>
                <v:stroke on="f"/>
                <v:imagedata o:title=""/>
                <o:lock v:ext="edit" aspectratio="f"/>
                <v:textbox inset="0mm,0mm,0mm,0mm">
                  <w:txbxContent>
                    <w:p>
                      <w:pPr>
                        <w:pStyle w:val="16"/>
                      </w:pPr>
                      <w:r>
                        <w:rPr>
                          <w:rFonts w:hint="eastAsia" w:hAnsi="宋体" w:cs="Times New Roman"/>
                          <w:spacing w:val="0"/>
                          <w:sz w:val="52"/>
                          <w:szCs w:val="20"/>
                        </w:rPr>
                        <w:t>中华人民共和国有色金属行业标准</w:t>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198120</wp:posOffset>
                </wp:positionV>
                <wp:extent cx="2540000" cy="396240"/>
                <wp:effectExtent l="0" t="0" r="12700" b="3810"/>
                <wp:wrapNone/>
                <wp:docPr id="22" name="文本框 22"/>
                <wp:cNvGraphicFramePr/>
                <a:graphic xmlns:a="http://schemas.openxmlformats.org/drawingml/2006/main">
                  <a:graphicData uri="http://schemas.microsoft.com/office/word/2010/wordprocessingShape">
                    <wps:wsp>
                      <wps:cNvSpPr txBox="1"/>
                      <wps:spPr>
                        <a:xfrm>
                          <a:off x="0" y="0"/>
                          <a:ext cx="2540000" cy="396240"/>
                        </a:xfrm>
                        <a:prstGeom prst="rect">
                          <a:avLst/>
                        </a:prstGeom>
                        <a:solidFill>
                          <a:srgbClr val="FFFFFF"/>
                        </a:solidFill>
                        <a:ln>
                          <a:noFill/>
                        </a:ln>
                      </wps:spPr>
                      <wps:txbx>
                        <w:txbxContent>
                          <w:p>
                            <w:pPr>
                              <w:pStyle w:val="14"/>
                              <w:rPr>
                                <w:rFonts w:ascii="黑体" w:hAnsi="黑体" w:cs="黑体"/>
                              </w:rPr>
                            </w:pPr>
                            <w:r>
                              <w:rPr>
                                <w:rFonts w:ascii="Times New Roman"/>
                                <w:color w:val="000000" w:themeColor="text1"/>
                                <w14:textFill>
                                  <w14:solidFill>
                                    <w14:schemeClr w14:val="tx1"/>
                                  </w14:solidFill>
                                </w14:textFill>
                              </w:rPr>
                              <w:t>ICS</w:t>
                            </w:r>
                            <w:r>
                              <w:rPr>
                                <w:rFonts w:hint="eastAsia" w:ascii="Times New Roman"/>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77.120</w:t>
                            </w:r>
                          </w:p>
                          <w:p>
                            <w:pPr>
                              <w:pStyle w:val="14"/>
                              <w:rPr>
                                <w:rFonts w:ascii="黑体" w:hAnsi="黑体" w:cs="黑体"/>
                              </w:rPr>
                            </w:pPr>
                            <w:r>
                              <w:rPr>
                                <w:rFonts w:hint="eastAsia"/>
                                <w:color w:val="000000" w:themeColor="text1"/>
                                <w:lang w:val="en-US" w:eastAsia="zh-CN"/>
                                <w14:textFill>
                                  <w14:solidFill>
                                    <w14:schemeClr w14:val="tx1"/>
                                  </w14:solidFill>
                                </w14:textFill>
                              </w:rPr>
                              <w:t>CCS H 60</w:t>
                            </w:r>
                          </w:p>
                          <w:p>
                            <w:pPr>
                              <w:pStyle w:val="14"/>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0pt;margin-top:15.6pt;height:31.2pt;width:200pt;mso-position-horizontal-relative:margin;mso-position-vertical-relative:margin;z-index:251659264;mso-width-relative:page;mso-height-relative:page;" fillcolor="#FFFFFF" filled="t" stroked="f" coordsize="21600,21600" o:gfxdata="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&#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kUF431QAAAAYBAAAPAAAAAAAAAAEAIAAAACIAAABk&#10;cnMvZG93bnJldi54bWxQSwECFAAUAAAACACHTuJAvtOIjtABAACdAwAADgAAAAAAAAABACAAAAAk&#10;AQAAZHJzL2Uyb0RvYy54bWxQSwUGAAAAAAYABgBZAQAAZgUAAAAA&#10;">
                <v:fill on="t" focussize="0,0"/>
                <v:stroke on="f"/>
                <v:imagedata o:title=""/>
                <o:lock v:ext="edit" aspectratio="f"/>
                <v:textbox inset="0mm,0mm,0mm,0mm">
                  <w:txbxContent>
                    <w:p>
                      <w:pPr>
                        <w:pStyle w:val="14"/>
                        <w:rPr>
                          <w:rFonts w:ascii="黑体" w:hAnsi="黑体" w:cs="黑体"/>
                        </w:rPr>
                      </w:pPr>
                      <w:r>
                        <w:rPr>
                          <w:rFonts w:ascii="Times New Roman"/>
                          <w:color w:val="000000" w:themeColor="text1"/>
                          <w14:textFill>
                            <w14:solidFill>
                              <w14:schemeClr w14:val="tx1"/>
                            </w14:solidFill>
                          </w14:textFill>
                        </w:rPr>
                        <w:t>ICS</w:t>
                      </w:r>
                      <w:r>
                        <w:rPr>
                          <w:rFonts w:hint="eastAsia" w:ascii="Times New Roman"/>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77.120</w:t>
                      </w:r>
                    </w:p>
                    <w:p>
                      <w:pPr>
                        <w:pStyle w:val="14"/>
                        <w:rPr>
                          <w:rFonts w:ascii="黑体" w:hAnsi="黑体" w:cs="黑体"/>
                        </w:rPr>
                      </w:pPr>
                      <w:r>
                        <w:rPr>
                          <w:rFonts w:hint="eastAsia"/>
                          <w:color w:val="000000" w:themeColor="text1"/>
                          <w:lang w:val="en-US" w:eastAsia="zh-CN"/>
                          <w14:textFill>
                            <w14:solidFill>
                              <w14:schemeClr w14:val="tx1"/>
                            </w14:solidFill>
                          </w14:textFill>
                        </w:rPr>
                        <w:t>CCS H 60</w:t>
                      </w:r>
                    </w:p>
                    <w:p>
                      <w:pPr>
                        <w:pStyle w:val="14"/>
                        <w:rPr>
                          <w:rFonts w:hint="eastAsia"/>
                        </w:rPr>
                      </w:pPr>
                    </w:p>
                  </w:txbxContent>
                </v:textbox>
                <w10:anchorlock/>
              </v:shape>
            </w:pict>
          </mc:Fallback>
        </mc:AlternateContent>
      </w:r>
    </w:p>
    <w:p>
      <w:pPr>
        <w:pBdr>
          <w:top w:val="none" w:sz="0" w:space="0"/>
          <w:left w:val="none" w:sz="0" w:space="0"/>
          <w:bottom w:val="none" w:sz="0" w:space="0"/>
          <w:right w:val="none" w:sz="0" w:space="0"/>
        </w:pBdr>
        <w:spacing w:line="360" w:lineRule="auto"/>
      </w:pPr>
    </w:p>
    <w:p>
      <w:pPr>
        <w:pBdr>
          <w:top w:val="none" w:sz="0" w:space="0"/>
          <w:left w:val="none" w:sz="0" w:space="0"/>
          <w:bottom w:val="none" w:sz="0" w:space="0"/>
          <w:right w:val="none" w:sz="0" w:space="0"/>
        </w:pBdr>
        <w:spacing w:line="360" w:lineRule="auto"/>
      </w:pPr>
    </w:p>
    <w:p>
      <w:pPr>
        <w:pBdr>
          <w:top w:val="none" w:sz="0" w:space="0"/>
          <w:left w:val="none" w:sz="0" w:space="0"/>
          <w:bottom w:val="none" w:sz="0" w:space="0"/>
          <w:right w:val="none" w:sz="0" w:space="0"/>
        </w:pBdr>
        <w:spacing w:line="360" w:lineRule="auto"/>
      </w:pPr>
    </w:p>
    <w:p>
      <w:pPr>
        <w:pBdr>
          <w:top w:val="none" w:sz="0" w:space="0"/>
          <w:left w:val="none" w:sz="0" w:space="0"/>
          <w:bottom w:val="none" w:sz="0" w:space="0"/>
          <w:right w:val="none" w:sz="0" w:space="0"/>
        </w:pBdr>
        <w:spacing w:line="360" w:lineRule="auto"/>
      </w:pPr>
    </w:p>
    <w:p>
      <w:pPr>
        <w:pBdr>
          <w:top w:val="none" w:sz="0" w:space="0"/>
          <w:left w:val="none" w:sz="0" w:space="0"/>
          <w:bottom w:val="none" w:sz="0" w:space="0"/>
          <w:right w:val="none" w:sz="0" w:space="0"/>
        </w:pBdr>
        <w:spacing w:line="360" w:lineRule="auto"/>
      </w:pPr>
    </w:p>
    <w:p>
      <w:pPr>
        <w:pBdr>
          <w:top w:val="none" w:sz="0" w:space="0"/>
          <w:left w:val="none" w:sz="0" w:space="0"/>
          <w:bottom w:val="none" w:sz="0" w:space="0"/>
          <w:right w:val="none" w:sz="0" w:space="0"/>
        </w:pBdr>
        <w:spacing w:line="360" w:lineRule="auto"/>
      </w:pPr>
    </w:p>
    <w:p>
      <w:pPr>
        <w:pBdr>
          <w:top w:val="none" w:sz="0" w:space="0"/>
          <w:left w:val="none" w:sz="0" w:space="0"/>
          <w:bottom w:val="none" w:sz="0" w:space="0"/>
          <w:right w:val="none" w:sz="0" w:space="0"/>
        </w:pBdr>
        <w:spacing w:line="360" w:lineRule="auto"/>
      </w:pPr>
    </w:p>
    <w:p>
      <w:pPr>
        <w:pBdr>
          <w:top w:val="none" w:sz="0" w:space="0"/>
          <w:left w:val="none" w:sz="0" w:space="0"/>
          <w:bottom w:val="none" w:sz="0" w:space="0"/>
          <w:right w:val="none" w:sz="0" w:space="0"/>
        </w:pBdr>
        <w:spacing w:line="360" w:lineRule="auto"/>
      </w:pPr>
      <w:r>
        <mc:AlternateContent>
          <mc:Choice Requires="wps">
            <w:drawing>
              <wp:anchor distT="0" distB="0" distL="114300" distR="114300" simplePos="0" relativeHeight="251664384" behindDoc="0" locked="0" layoutInCell="1" allowOverlap="1">
                <wp:simplePos x="0" y="0"/>
                <wp:positionH relativeFrom="column">
                  <wp:posOffset>85725</wp:posOffset>
                </wp:positionH>
                <wp:positionV relativeFrom="paragraph">
                  <wp:posOffset>38735</wp:posOffset>
                </wp:positionV>
                <wp:extent cx="6121400" cy="0"/>
                <wp:effectExtent l="0" t="0" r="0" b="0"/>
                <wp:wrapTopAndBottom/>
                <wp:docPr id="19" name="直接连接符 19"/>
                <wp:cNvGraphicFramePr/>
                <a:graphic xmlns:a="http://schemas.openxmlformats.org/drawingml/2006/main">
                  <a:graphicData uri="http://schemas.microsoft.com/office/word/2010/wordprocessingShape">
                    <wps:wsp>
                      <wps:cNvSp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5pt;margin-top:3.05pt;height:0pt;width:482pt;mso-wrap-distance-bottom:0pt;mso-wrap-distance-top:0pt;z-index:251664384;mso-width-relative:page;mso-height-relative:page;" filled="f" stroked="t" coordsize="21600,21600" o:gfxdata="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fm0fHSAAAABgEAAA8AAAAAAAAAAQAgAAAAIgAAAGRycy9kb3ducmV2LnhtbFBLAQIUABQA&#10;AAAIAIdO4kA/UB1X9gEAAOcDAAAOAAAAAAAAAAEAIAAAACEBAABkcnMvZTJvRG9jLnhtbFBLBQYA&#10;AAAABgAGAFkBAACJBQAAAAA=&#10;">
                <v:fill on="f" focussize="0,0"/>
                <v:stroke weight="1pt" color="#800008" joinstyle="round"/>
                <v:imagedata o:title=""/>
                <o:lock v:ext="edit" aspectratio="f"/>
                <w10:wrap type="topAndBottom"/>
              </v:line>
            </w:pict>
          </mc:Fallback>
        </mc:AlternateContent>
      </w:r>
    </w:p>
    <w:p>
      <w:pPr>
        <w:pBdr>
          <w:top w:val="none" w:sz="0" w:space="0"/>
          <w:left w:val="none" w:sz="0" w:space="0"/>
          <w:bottom w:val="none" w:sz="0" w:space="0"/>
          <w:right w:val="none" w:sz="0" w:space="0"/>
        </w:pBdr>
        <w:spacing w:line="360" w:lineRule="auto"/>
      </w:pPr>
    </w:p>
    <w:p>
      <w:pPr>
        <w:pBdr>
          <w:top w:val="none" w:sz="0" w:space="0"/>
          <w:left w:val="none" w:sz="0" w:space="0"/>
          <w:bottom w:val="none" w:sz="0" w:space="0"/>
          <w:right w:val="none" w:sz="0" w:space="0"/>
        </w:pBdr>
        <w:spacing w:line="360" w:lineRule="auto"/>
      </w:pPr>
    </w:p>
    <w:p>
      <w:pPr>
        <w:pBdr>
          <w:top w:val="none" w:sz="0" w:space="0"/>
          <w:left w:val="none" w:sz="0" w:space="0"/>
          <w:bottom w:val="none" w:sz="0" w:space="0"/>
          <w:right w:val="none" w:sz="0" w:space="0"/>
        </w:pBdr>
        <w:spacing w:line="360" w:lineRule="auto"/>
      </w:pPr>
    </w:p>
    <w:p>
      <w:pPr>
        <w:pBdr>
          <w:top w:val="none" w:sz="0" w:space="0"/>
          <w:left w:val="none" w:sz="0" w:space="0"/>
          <w:bottom w:val="none" w:sz="0" w:space="0"/>
          <w:right w:val="none" w:sz="0" w:space="0"/>
        </w:pBdr>
        <w:spacing w:line="360" w:lineRule="auto"/>
      </w:pPr>
    </w:p>
    <w:p>
      <w:pPr>
        <w:pBdr>
          <w:top w:val="none" w:sz="0" w:space="0"/>
          <w:left w:val="none" w:sz="0" w:space="0"/>
          <w:bottom w:val="none" w:sz="0" w:space="0"/>
          <w:right w:val="none" w:sz="0" w:space="0"/>
        </w:pBdr>
        <w:spacing w:line="360" w:lineRule="auto"/>
        <w:jc w:val="center"/>
        <w:rPr>
          <w:rFonts w:hint="eastAsia" w:eastAsia="黑体"/>
          <w:sz w:val="52"/>
        </w:rPr>
      </w:pPr>
    </w:p>
    <w:p>
      <w:pPr>
        <w:pBdr>
          <w:top w:val="none" w:sz="0" w:space="0"/>
          <w:left w:val="none" w:sz="0" w:space="0"/>
          <w:bottom w:val="none" w:sz="0" w:space="0"/>
          <w:right w:val="none" w:sz="0" w:space="0"/>
        </w:pBdr>
        <w:spacing w:line="360" w:lineRule="auto"/>
        <w:jc w:val="center"/>
        <w:rPr>
          <w:rFonts w:hint="eastAsia"/>
          <w:sz w:val="28"/>
        </w:rPr>
      </w:pPr>
      <w:r>
        <w:rPr>
          <w:rFonts w:hint="eastAsia" w:eastAsia="黑体"/>
          <w:sz w:val="52"/>
        </w:rPr>
        <w:t>有色金属行业工业数据分类分级指南</w:t>
      </w:r>
      <w:r>
        <w:rPr>
          <w:rFonts w:hint="eastAsia"/>
          <w:sz w:val="28"/>
        </w:rPr>
        <w:t xml:space="preserve"> Guidelines for industial data classification and grading of non-ferrous metals industry</w:t>
      </w:r>
    </w:p>
    <w:p>
      <w:pPr>
        <w:pBdr>
          <w:top w:val="none" w:sz="0" w:space="0"/>
          <w:left w:val="none" w:sz="0" w:space="0"/>
          <w:bottom w:val="none" w:sz="0" w:space="0"/>
          <w:right w:val="none" w:sz="0" w:space="0"/>
        </w:pBdr>
        <w:spacing w:line="360" w:lineRule="auto"/>
        <w:jc w:val="center"/>
        <w:rPr>
          <w:rFonts w:hint="eastAsia"/>
          <w:sz w:val="28"/>
        </w:rPr>
      </w:pPr>
      <w:r>
        <w:rPr>
          <w:rFonts w:hint="eastAsia"/>
          <w:sz w:val="28"/>
        </w:rPr>
        <w:t>（</w:t>
      </w:r>
      <w:r>
        <w:rPr>
          <w:rFonts w:hint="eastAsia"/>
          <w:sz w:val="28"/>
          <w:lang w:val="en-US" w:eastAsia="zh-CN"/>
        </w:rPr>
        <w:t>讨论</w:t>
      </w:r>
      <w:r>
        <w:rPr>
          <w:rFonts w:hint="eastAsia"/>
          <w:sz w:val="28"/>
        </w:rPr>
        <w:t>稿）</w:t>
      </w:r>
    </w:p>
    <w:p>
      <w:pPr>
        <w:pBdr>
          <w:top w:val="none" w:sz="0" w:space="0"/>
          <w:left w:val="none" w:sz="0" w:space="0"/>
          <w:bottom w:val="none" w:sz="0" w:space="0"/>
          <w:right w:val="none" w:sz="0" w:space="0"/>
        </w:pBdr>
        <w:spacing w:line="360" w:lineRule="auto"/>
        <w:jc w:val="center"/>
        <w:rPr>
          <w:sz w:val="28"/>
        </w:rPr>
      </w:pPr>
    </w:p>
    <w:p>
      <w:pPr>
        <w:pBdr>
          <w:top w:val="none" w:sz="0" w:space="0"/>
          <w:left w:val="none" w:sz="0" w:space="0"/>
          <w:bottom w:val="none" w:sz="0" w:space="0"/>
          <w:right w:val="none" w:sz="0" w:space="0"/>
        </w:pBdr>
        <w:spacing w:line="360" w:lineRule="auto"/>
        <w:rPr>
          <w:sz w:val="28"/>
        </w:rPr>
      </w:pPr>
    </w:p>
    <w:p>
      <w:pPr>
        <w:pBdr>
          <w:top w:val="none" w:sz="0" w:space="0"/>
          <w:left w:val="none" w:sz="0" w:space="0"/>
          <w:bottom w:val="none" w:sz="0" w:space="0"/>
          <w:right w:val="none" w:sz="0" w:space="0"/>
        </w:pBdr>
        <w:spacing w:line="360" w:lineRule="auto"/>
        <w:rPr>
          <w:b/>
          <w:bCs/>
          <w:sz w:val="28"/>
        </w:rPr>
      </w:pPr>
    </w:p>
    <w:p>
      <w:pPr>
        <w:pBdr>
          <w:top w:val="none" w:sz="0" w:space="0"/>
          <w:left w:val="none" w:sz="0" w:space="0"/>
          <w:bottom w:val="none" w:sz="0" w:space="0"/>
          <w:right w:val="none" w:sz="0" w:space="0"/>
        </w:pBdr>
        <w:spacing w:line="360" w:lineRule="auto"/>
        <w:rPr>
          <w:b/>
          <w:bCs/>
          <w:sz w:val="28"/>
        </w:rPr>
      </w:pPr>
    </w:p>
    <w:p>
      <w:pPr>
        <w:pBdr>
          <w:top w:val="none" w:sz="0" w:space="0"/>
          <w:left w:val="none" w:sz="0" w:space="0"/>
          <w:bottom w:val="none" w:sz="0" w:space="0"/>
          <w:right w:val="none" w:sz="0" w:space="0"/>
        </w:pBdr>
        <w:spacing w:line="360" w:lineRule="auto"/>
        <w:rPr>
          <w:rFonts w:hint="eastAsia"/>
          <w:b/>
          <w:bCs/>
          <w:sz w:val="28"/>
          <w:u w:val="thick"/>
        </w:rPr>
      </w:pPr>
    </w:p>
    <w:p>
      <w:pPr>
        <w:pBdr>
          <w:top w:val="none" w:sz="0" w:space="0"/>
          <w:left w:val="none" w:sz="0" w:space="0"/>
          <w:bottom w:val="none" w:sz="0" w:space="0"/>
          <w:right w:val="none" w:sz="0" w:space="0"/>
        </w:pBdr>
        <w:spacing w:line="360" w:lineRule="auto"/>
        <w:rPr>
          <w:rFonts w:hint="eastAsia"/>
          <w:b/>
          <w:bCs/>
          <w:sz w:val="28"/>
          <w:u w:val="thick"/>
        </w:rPr>
      </w:pPr>
    </w:p>
    <w:p>
      <w:pPr>
        <w:pBdr>
          <w:top w:val="none" w:sz="0" w:space="0"/>
          <w:left w:val="none" w:sz="0" w:space="0"/>
          <w:bottom w:val="none" w:sz="0" w:space="0"/>
          <w:right w:val="none" w:sz="0" w:space="0"/>
        </w:pBdr>
        <w:spacing w:line="360" w:lineRule="auto"/>
        <w:rPr>
          <w:b/>
          <w:bCs/>
          <w:sz w:val="28"/>
          <w:u w:val="thick"/>
        </w:rPr>
      </w:pPr>
      <w:r>
        <mc:AlternateContent>
          <mc:Choice Requires="wps">
            <w:drawing>
              <wp:anchor distT="0" distB="0" distL="114300" distR="114300" simplePos="0" relativeHeight="251665408" behindDoc="0" locked="0" layoutInCell="1" allowOverlap="1">
                <wp:simplePos x="0" y="0"/>
                <wp:positionH relativeFrom="column">
                  <wp:posOffset>17780</wp:posOffset>
                </wp:positionH>
                <wp:positionV relativeFrom="paragraph">
                  <wp:posOffset>13970</wp:posOffset>
                </wp:positionV>
                <wp:extent cx="6121400" cy="0"/>
                <wp:effectExtent l="0" t="0" r="0" b="0"/>
                <wp:wrapTopAndBottom/>
                <wp:docPr id="20" name="直接连接符 20"/>
                <wp:cNvGraphicFramePr/>
                <a:graphic xmlns:a="http://schemas.openxmlformats.org/drawingml/2006/main">
                  <a:graphicData uri="http://schemas.microsoft.com/office/word/2010/wordprocessingShape">
                    <wps:wsp>
                      <wps:cNvSp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pt;margin-top:1.1pt;height:0pt;width:482pt;mso-wrap-distance-bottom:0pt;mso-wrap-distance-top:0pt;z-index:251665408;mso-width-relative:page;mso-height-relative:page;" filled="f" stroked="t" coordsize="21600,21600" o:gfxdata="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Rp+RNcAAAALAQAADwAAAAAAAAABACAAAAAiAAAAZHJzL2Rvd25yZXYueG1sUEsB&#10;AhQAFAAAAAgAh07iQHRLJjH2AQAA5wMAAA4AAAAAAAAAAQAgAAAAJgEAAGRycy9lMm9Eb2MueG1s&#10;UEsFBgAAAAAGAAYAWQEAAI4FAAAAAA==&#10;">
                <v:fill on="f" focussize="0,0"/>
                <v:stroke weight="1pt" color="#800008" joinstyle="round"/>
                <v:imagedata o:title=""/>
                <o:lock v:ext="edit" aspectratio="f"/>
                <w10:wrap type="topAndBottom"/>
              </v:line>
            </w:pict>
          </mc:Fallback>
        </mc:AlternateContent>
      </w:r>
      <w:r>
        <w:rPr>
          <w:b/>
          <w:bCs/>
          <w:sz w:val="28"/>
          <w:u w:val="thick"/>
        </w:rPr>
        <mc:AlternateContent>
          <mc:Choice Requires="wps">
            <w:drawing>
              <wp:anchor distT="0" distB="0" distL="114300" distR="114300" simplePos="0" relativeHeight="251667456" behindDoc="0" locked="1" layoutInCell="1" allowOverlap="1">
                <wp:simplePos x="0" y="0"/>
                <wp:positionH relativeFrom="margin">
                  <wp:posOffset>0</wp:posOffset>
                </wp:positionH>
                <wp:positionV relativeFrom="margin">
                  <wp:posOffset>8740140</wp:posOffset>
                </wp:positionV>
                <wp:extent cx="6120130" cy="363220"/>
                <wp:effectExtent l="0" t="0" r="13970" b="17780"/>
                <wp:wrapNone/>
                <wp:docPr id="21" name="文本框 21"/>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p>
                            <w:pPr>
                              <w:pStyle w:val="28"/>
                            </w:pPr>
                            <w:r>
                              <w:rPr>
                                <w:rFonts w:hint="eastAsia"/>
                              </w:rPr>
                              <w:t>中华人民共和国工业和信息化部</w:t>
                            </w:r>
                            <w:r>
                              <w:rPr>
                                <w:rStyle w:val="31"/>
                                <w:rFonts w:hint="eastAsia"/>
                              </w:rPr>
                              <w:t xml:space="preserve"> 发布</w:t>
                            </w:r>
                          </w:p>
                        </w:txbxContent>
                      </wps:txbx>
                      <wps:bodyPr lIns="0" tIns="0" rIns="0" bIns="0" upright="1"/>
                    </wps:wsp>
                  </a:graphicData>
                </a:graphic>
              </wp:anchor>
            </w:drawing>
          </mc:Choice>
          <mc:Fallback>
            <w:pict>
              <v:shape id="_x0000_s1026" o:spid="_x0000_s1026" o:spt="202" type="#_x0000_t202" style="position:absolute;left:0pt;margin-left:0pt;margin-top:688.2pt;height:28.6pt;width:481.9pt;mso-position-horizontal-relative:margin;mso-position-vertical-relative:margin;z-index:251667456;mso-width-relative:page;mso-height-relative:page;" fillcolor="#FFFFFF" filled="t" stroked="f" coordsize="21600,21600" o:gfxdata="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FmFjYAAAACgEAAA8AAAAAAAAAAQAgAAAAIgAA&#10;AGRycy9kb3ducmV2LnhtbFBLAQIUABQAAAAIAIdO4kAIzI9nzwEAAJ0DAAAOAAAAAAAAAAEAIAAA&#10;ACcBAABkcnMvZTJvRG9jLnhtbFBLBQYAAAAABgAGAFkBAABoBQAAAAA=&#10;">
                <v:fill on="t" focussize="0,0"/>
                <v:stroke on="f"/>
                <v:imagedata o:title=""/>
                <o:lock v:ext="edit" aspectratio="f"/>
                <v:textbox inset="0mm,0mm,0mm,0mm">
                  <w:txbxContent>
                    <w:p>
                      <w:pPr>
                        <w:pStyle w:val="28"/>
                      </w:pPr>
                      <w:r>
                        <w:rPr>
                          <w:rFonts w:hint="eastAsia"/>
                        </w:rPr>
                        <w:t>中华人民共和国工业和信息化部</w:t>
                      </w:r>
                      <w:r>
                        <w:rPr>
                          <w:rStyle w:val="31"/>
                          <w:rFonts w:hint="eastAsia"/>
                        </w:rPr>
                        <w:t xml:space="preserve"> 发布</w:t>
                      </w:r>
                    </w:p>
                  </w:txbxContent>
                </v:textbox>
                <w10:anchorlock/>
              </v:shape>
            </w:pict>
          </mc:Fallback>
        </mc:AlternateContent>
      </w:r>
    </w:p>
    <w:p>
      <w:pPr>
        <w:pBdr>
          <w:top w:val="none" w:sz="0" w:space="0"/>
          <w:left w:val="none" w:sz="0" w:space="0"/>
          <w:bottom w:val="none" w:sz="0" w:space="0"/>
          <w:right w:val="none" w:sz="0" w:space="0"/>
        </w:pBdr>
        <w:spacing w:line="360" w:lineRule="auto"/>
        <w:rPr>
          <w:kern w:val="0"/>
        </w:rPr>
      </w:pPr>
    </w:p>
    <w:p>
      <w:pPr>
        <w:pBdr>
          <w:top w:val="none" w:sz="0" w:space="0"/>
          <w:left w:val="none" w:sz="0" w:space="0"/>
          <w:bottom w:val="none" w:sz="0" w:space="0"/>
          <w:right w:val="none" w:sz="0" w:space="0"/>
        </w:pBdr>
        <w:autoSpaceDE w:val="0"/>
        <w:autoSpaceDN w:val="0"/>
        <w:adjustRightInd w:val="0"/>
        <w:spacing w:before="1" w:line="360" w:lineRule="auto"/>
        <w:ind w:right="284" w:firstLine="3840" w:firstLineChars="1200"/>
        <w:outlineLvl w:val="0"/>
        <w:rPr>
          <w:rFonts w:ascii="黑体" w:hAnsi="黑体" w:eastAsia="黑体" w:cs="黑体"/>
          <w:kern w:val="0"/>
          <w:sz w:val="32"/>
          <w:szCs w:val="28"/>
        </w:rPr>
        <w:sectPr>
          <w:pgSz w:w="11906" w:h="16838"/>
          <w:pgMar w:top="1134" w:right="1418" w:bottom="1134" w:left="1418" w:header="567" w:footer="283" w:gutter="0"/>
          <w:pgBorders>
            <w:top w:val="none" w:sz="0" w:space="0"/>
            <w:left w:val="none" w:sz="0" w:space="0"/>
            <w:bottom w:val="none" w:sz="0" w:space="0"/>
            <w:right w:val="none" w:sz="0" w:space="0"/>
          </w:pgBorders>
          <w:pgNumType w:fmt="upperRoman" w:start="1"/>
          <w:cols w:space="720" w:num="1"/>
          <w:docGrid w:type="lines" w:linePitch="312" w:charSpace="0"/>
        </w:sectPr>
      </w:pPr>
    </w:p>
    <w:p>
      <w:pPr>
        <w:spacing w:line="360" w:lineRule="auto"/>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MS Mincho" w:hAnsi="MS Mincho" w:eastAsia="MS Mincho" w:cs="MS Mincho"/>
        </w:rPr>
        <w:t>  </w:t>
      </w:r>
      <w:r>
        <w:rPr>
          <w:rFonts w:hint="eastAsia" w:ascii="黑体" w:hAnsi="黑体" w:eastAsia="黑体" w:cs="黑体"/>
          <w:sz w:val="32"/>
          <w:szCs w:val="32"/>
        </w:rPr>
        <w:t>次</w:t>
      </w:r>
    </w:p>
    <w:p>
      <w:pPr>
        <w:spacing w:line="360" w:lineRule="auto"/>
        <w:jc w:val="center"/>
        <w:rPr>
          <w:rFonts w:hint="eastAsia"/>
          <w:sz w:val="32"/>
          <w:szCs w:val="32"/>
        </w:rPr>
      </w:pPr>
    </w:p>
    <w:p>
      <w:pPr>
        <w:pStyle w:val="8"/>
        <w:tabs>
          <w:tab w:val="right" w:leader="dot" w:pos="9746"/>
          <w:tab w:val="clear" w:pos="9241"/>
        </w:tabs>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_Toc15767 </w:instrText>
      </w:r>
      <w:r>
        <w:rPr>
          <w:rFonts w:hint="eastAsia" w:ascii="宋体" w:hAnsi="宋体" w:eastAsia="宋体" w:cs="宋体"/>
          <w:szCs w:val="21"/>
        </w:rPr>
        <w:fldChar w:fldCharType="separate"/>
      </w:r>
      <w:r>
        <w:rPr>
          <w:rFonts w:hint="eastAsia" w:ascii="黑体" w:hAnsi="黑体" w:eastAsia="黑体" w:cs="黑体"/>
        </w:rPr>
        <w:t>前  言</w:t>
      </w:r>
      <w:r>
        <w:tab/>
      </w:r>
      <w:r>
        <w:fldChar w:fldCharType="begin"/>
      </w:r>
      <w:r>
        <w:instrText xml:space="preserve"> PAGEREF _Toc15767 \h </w:instrText>
      </w:r>
      <w:r>
        <w:fldChar w:fldCharType="separate"/>
      </w:r>
      <w:r>
        <w:t>II</w:t>
      </w:r>
      <w:r>
        <w:fldChar w:fldCharType="end"/>
      </w:r>
      <w:r>
        <w:rPr>
          <w:rFonts w:hint="eastAsia" w:ascii="宋体" w:hAnsi="宋体" w:eastAsia="宋体" w:cs="宋体"/>
          <w:szCs w:val="21"/>
        </w:rPr>
        <w:fldChar w:fldCharType="end"/>
      </w:r>
    </w:p>
    <w:p>
      <w:pPr>
        <w:pStyle w:val="8"/>
        <w:tabs>
          <w:tab w:val="right" w:leader="dot" w:pos="9746"/>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_Toc25829 </w:instrText>
      </w:r>
      <w:r>
        <w:rPr>
          <w:rFonts w:hint="eastAsia" w:ascii="宋体" w:hAnsi="宋体" w:eastAsia="宋体" w:cs="宋体"/>
          <w:bCs/>
          <w:szCs w:val="21"/>
          <w:lang w:val="zh-CN"/>
        </w:rPr>
        <w:fldChar w:fldCharType="separate"/>
      </w:r>
      <w:r>
        <w:rPr>
          <w:rFonts w:hint="eastAsia" w:ascii="黑体" w:hAnsi="黑体" w:eastAsia="黑体" w:cs="黑体"/>
          <w:bCs w:val="0"/>
          <w:lang w:val="en-US" w:eastAsia="zh-CN"/>
        </w:rPr>
        <w:t>引</w:t>
      </w:r>
      <w:r>
        <w:rPr>
          <w:rFonts w:hint="eastAsia" w:ascii="黑体" w:hAnsi="黑体" w:eastAsia="黑体" w:cs="黑体"/>
          <w:bCs w:val="0"/>
        </w:rPr>
        <w:t>  言</w:t>
      </w:r>
      <w:r>
        <w:tab/>
      </w:r>
      <w:r>
        <w:fldChar w:fldCharType="begin"/>
      </w:r>
      <w:r>
        <w:instrText xml:space="preserve"> PAGEREF _Toc25829 \h </w:instrText>
      </w:r>
      <w:r>
        <w:fldChar w:fldCharType="separate"/>
      </w:r>
      <w:r>
        <w:t>III</w:t>
      </w:r>
      <w:r>
        <w:fldChar w:fldCharType="end"/>
      </w:r>
      <w:r>
        <w:rPr>
          <w:rFonts w:hint="eastAsia" w:ascii="宋体" w:hAnsi="宋体" w:eastAsia="宋体" w:cs="宋体"/>
          <w:bCs/>
          <w:szCs w:val="21"/>
          <w:lang w:val="zh-CN"/>
        </w:rPr>
        <w:fldChar w:fldCharType="end"/>
      </w:r>
    </w:p>
    <w:p>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_Toc17464 </w:instrText>
      </w:r>
      <w:r>
        <w:rPr>
          <w:rFonts w:hint="eastAsia" w:ascii="宋体" w:hAnsi="宋体" w:eastAsia="宋体" w:cs="宋体"/>
          <w:bCs/>
          <w:szCs w:val="21"/>
          <w:lang w:val="zh-CN"/>
        </w:rPr>
        <w:fldChar w:fldCharType="separate"/>
      </w:r>
      <w:r>
        <w:rPr>
          <w:rFonts w:hint="eastAsia"/>
          <w:bCs/>
          <w:lang w:val="en-US" w:eastAsia="zh-CN"/>
        </w:rPr>
        <w:t xml:space="preserve">1  </w:t>
      </w:r>
      <w:r>
        <w:rPr>
          <w:rFonts w:hint="eastAsia"/>
          <w:bCs/>
        </w:rPr>
        <w:t>范围</w:t>
      </w:r>
      <w:r>
        <w:tab/>
      </w:r>
      <w:r>
        <w:fldChar w:fldCharType="begin"/>
      </w:r>
      <w:r>
        <w:instrText xml:space="preserve"> PAGEREF _Toc17464 \h </w:instrText>
      </w:r>
      <w:r>
        <w:fldChar w:fldCharType="separate"/>
      </w:r>
      <w:r>
        <w:t>1</w:t>
      </w:r>
      <w:r>
        <w:fldChar w:fldCharType="end"/>
      </w:r>
      <w:r>
        <w:rPr>
          <w:rFonts w:hint="eastAsia" w:ascii="宋体" w:hAnsi="宋体" w:eastAsia="宋体" w:cs="宋体"/>
          <w:bCs/>
          <w:szCs w:val="21"/>
          <w:lang w:val="zh-CN"/>
        </w:rPr>
        <w:fldChar w:fldCharType="end"/>
      </w:r>
    </w:p>
    <w:p>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_Toc23863 </w:instrText>
      </w:r>
      <w:r>
        <w:rPr>
          <w:rFonts w:hint="eastAsia" w:ascii="宋体" w:hAnsi="宋体" w:eastAsia="宋体" w:cs="宋体"/>
          <w:bCs/>
          <w:szCs w:val="21"/>
          <w:lang w:val="zh-CN"/>
        </w:rPr>
        <w:fldChar w:fldCharType="separate"/>
      </w:r>
      <w:r>
        <w:rPr>
          <w:rFonts w:hint="eastAsia" w:cs="Times New Roman"/>
          <w:bCs/>
          <w:lang w:val="en-US" w:eastAsia="zh-CN"/>
        </w:rPr>
        <w:t>2  规范性引用文件</w:t>
      </w:r>
      <w:r>
        <w:tab/>
      </w:r>
      <w:r>
        <w:fldChar w:fldCharType="begin"/>
      </w:r>
      <w:r>
        <w:instrText xml:space="preserve"> PAGEREF _Toc23863 \h </w:instrText>
      </w:r>
      <w:r>
        <w:fldChar w:fldCharType="separate"/>
      </w:r>
      <w:r>
        <w:t>1</w:t>
      </w:r>
      <w:r>
        <w:fldChar w:fldCharType="end"/>
      </w:r>
      <w:r>
        <w:rPr>
          <w:rFonts w:hint="eastAsia" w:ascii="宋体" w:hAnsi="宋体" w:eastAsia="宋体" w:cs="宋体"/>
          <w:bCs/>
          <w:szCs w:val="21"/>
          <w:lang w:val="zh-CN"/>
        </w:rPr>
        <w:fldChar w:fldCharType="end"/>
      </w:r>
    </w:p>
    <w:p>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_Toc2375 </w:instrText>
      </w:r>
      <w:r>
        <w:rPr>
          <w:rFonts w:hint="eastAsia" w:ascii="宋体" w:hAnsi="宋体" w:eastAsia="宋体" w:cs="宋体"/>
          <w:bCs/>
          <w:szCs w:val="21"/>
          <w:lang w:val="zh-CN"/>
        </w:rPr>
        <w:fldChar w:fldCharType="separate"/>
      </w:r>
      <w:r>
        <w:rPr>
          <w:rFonts w:hint="eastAsia" w:cs="Times New Roman"/>
          <w:bCs/>
          <w:lang w:val="en-US" w:eastAsia="zh-CN"/>
        </w:rPr>
        <w:t>3  术语和定义</w:t>
      </w:r>
      <w:r>
        <w:tab/>
      </w:r>
      <w:r>
        <w:fldChar w:fldCharType="begin"/>
      </w:r>
      <w:r>
        <w:instrText xml:space="preserve"> PAGEREF _Toc2375 \h </w:instrText>
      </w:r>
      <w:r>
        <w:fldChar w:fldCharType="separate"/>
      </w:r>
      <w:r>
        <w:t>1</w:t>
      </w:r>
      <w:r>
        <w:fldChar w:fldCharType="end"/>
      </w:r>
      <w:r>
        <w:rPr>
          <w:rFonts w:hint="eastAsia" w:ascii="宋体" w:hAnsi="宋体" w:eastAsia="宋体" w:cs="宋体"/>
          <w:bCs/>
          <w:szCs w:val="21"/>
          <w:lang w:val="zh-CN"/>
        </w:rPr>
        <w:fldChar w:fldCharType="end"/>
      </w:r>
    </w:p>
    <w:p>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_Toc3102 </w:instrText>
      </w:r>
      <w:r>
        <w:rPr>
          <w:rFonts w:hint="eastAsia" w:ascii="宋体" w:hAnsi="宋体" w:eastAsia="宋体" w:cs="宋体"/>
          <w:bCs/>
          <w:szCs w:val="21"/>
          <w:lang w:val="zh-CN"/>
        </w:rPr>
        <w:fldChar w:fldCharType="separate"/>
      </w:r>
      <w:r>
        <w:rPr>
          <w:rFonts w:hint="eastAsia" w:cs="Times New Roman"/>
          <w:bCs/>
          <w:lang w:val="en-US" w:eastAsia="zh-CN"/>
        </w:rPr>
        <w:t>4  基本原则</w:t>
      </w:r>
      <w:r>
        <w:tab/>
      </w:r>
      <w:r>
        <w:fldChar w:fldCharType="begin"/>
      </w:r>
      <w:r>
        <w:instrText xml:space="preserve"> PAGEREF _Toc3102 \h </w:instrText>
      </w:r>
      <w:r>
        <w:fldChar w:fldCharType="separate"/>
      </w:r>
      <w:r>
        <w:t>2</w:t>
      </w:r>
      <w:r>
        <w:fldChar w:fldCharType="end"/>
      </w:r>
      <w:r>
        <w:rPr>
          <w:rFonts w:hint="eastAsia" w:ascii="宋体" w:hAnsi="宋体" w:eastAsia="宋体" w:cs="宋体"/>
          <w:bCs/>
          <w:szCs w:val="21"/>
          <w:lang w:val="zh-CN"/>
        </w:rPr>
        <w:fldChar w:fldCharType="end"/>
      </w:r>
    </w:p>
    <w:p>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_Toc27122 </w:instrText>
      </w:r>
      <w:r>
        <w:rPr>
          <w:rFonts w:hint="eastAsia" w:ascii="宋体" w:hAnsi="宋体" w:eastAsia="宋体" w:cs="宋体"/>
          <w:bCs/>
          <w:szCs w:val="21"/>
          <w:lang w:val="zh-CN"/>
        </w:rPr>
        <w:fldChar w:fldCharType="separate"/>
      </w:r>
      <w:r>
        <w:rPr>
          <w:rFonts w:hint="eastAsia" w:cs="Times New Roman"/>
          <w:bCs/>
          <w:lang w:val="en-US" w:eastAsia="zh-CN"/>
        </w:rPr>
        <w:t>5  数据分类规则</w:t>
      </w:r>
      <w:r>
        <w:tab/>
      </w:r>
      <w:r>
        <w:fldChar w:fldCharType="begin"/>
      </w:r>
      <w:r>
        <w:instrText xml:space="preserve"> PAGEREF _Toc27122 \h </w:instrText>
      </w:r>
      <w:r>
        <w:fldChar w:fldCharType="separate"/>
      </w:r>
      <w:r>
        <w:t>3</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_Toc27422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5.1 数据分类框架</w:t>
      </w:r>
      <w:r>
        <w:tab/>
      </w:r>
      <w:r>
        <w:fldChar w:fldCharType="begin"/>
      </w:r>
      <w:r>
        <w:instrText xml:space="preserve"> PAGEREF _Toc27422 \h </w:instrText>
      </w:r>
      <w:r>
        <w:fldChar w:fldCharType="separate"/>
      </w:r>
      <w:r>
        <w:t>3</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_Toc28303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5.2 数据分类方法</w:t>
      </w:r>
      <w:r>
        <w:tab/>
      </w:r>
      <w:r>
        <w:fldChar w:fldCharType="begin"/>
      </w:r>
      <w:r>
        <w:instrText xml:space="preserve"> PAGEREF _Toc28303 \h </w:instrText>
      </w:r>
      <w:r>
        <w:fldChar w:fldCharType="separate"/>
      </w:r>
      <w:r>
        <w:t>3</w:t>
      </w:r>
      <w:r>
        <w:fldChar w:fldCharType="end"/>
      </w:r>
      <w:r>
        <w:rPr>
          <w:rFonts w:hint="eastAsia" w:ascii="宋体" w:hAnsi="宋体" w:eastAsia="宋体" w:cs="宋体"/>
          <w:bCs/>
          <w:szCs w:val="21"/>
          <w:lang w:val="zh-CN"/>
        </w:rPr>
        <w:fldChar w:fldCharType="end"/>
      </w:r>
    </w:p>
    <w:p>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_Toc2703 </w:instrText>
      </w:r>
      <w:r>
        <w:rPr>
          <w:rFonts w:hint="eastAsia" w:ascii="宋体" w:hAnsi="宋体" w:eastAsia="宋体" w:cs="宋体"/>
          <w:bCs/>
          <w:szCs w:val="21"/>
          <w:lang w:val="zh-CN"/>
        </w:rPr>
        <w:fldChar w:fldCharType="separate"/>
      </w:r>
      <w:r>
        <w:rPr>
          <w:rFonts w:hint="eastAsia" w:cs="Times New Roman"/>
          <w:bCs/>
          <w:lang w:val="en-US" w:eastAsia="zh-CN"/>
        </w:rPr>
        <w:t>6  数据分级规则</w:t>
      </w:r>
      <w:r>
        <w:tab/>
      </w:r>
      <w:r>
        <w:fldChar w:fldCharType="begin"/>
      </w:r>
      <w:r>
        <w:instrText xml:space="preserve"> PAGEREF _Toc2703 \h </w:instrText>
      </w:r>
      <w:r>
        <w:fldChar w:fldCharType="separate"/>
      </w:r>
      <w:r>
        <w:t>4</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_Toc21004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6.1 数据分级框架</w:t>
      </w:r>
      <w:r>
        <w:tab/>
      </w:r>
      <w:r>
        <w:fldChar w:fldCharType="begin"/>
      </w:r>
      <w:r>
        <w:instrText xml:space="preserve"> PAGEREF _Toc21004 \h </w:instrText>
      </w:r>
      <w:r>
        <w:fldChar w:fldCharType="separate"/>
      </w:r>
      <w:r>
        <w:t>4</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_Toc15820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6.2 数据分级方法</w:t>
      </w:r>
      <w:r>
        <w:tab/>
      </w:r>
      <w:r>
        <w:fldChar w:fldCharType="begin"/>
      </w:r>
      <w:r>
        <w:instrText xml:space="preserve"> PAGEREF _Toc15820 \h </w:instrText>
      </w:r>
      <w:r>
        <w:fldChar w:fldCharType="separate"/>
      </w:r>
      <w:r>
        <w:t>4</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_Toc13781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 重要数据识别</w:t>
      </w:r>
      <w:r>
        <w:tab/>
      </w:r>
      <w:r>
        <w:fldChar w:fldCharType="begin"/>
      </w:r>
      <w:r>
        <w:instrText xml:space="preserve"> PAGEREF _Toc13781 \h </w:instrText>
      </w:r>
      <w:r>
        <w:fldChar w:fldCharType="separate"/>
      </w:r>
      <w:r>
        <w:t>4</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_Toc22030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6.3.1 概述</w:t>
      </w:r>
      <w:r>
        <w:tab/>
      </w:r>
      <w:r>
        <w:fldChar w:fldCharType="begin"/>
      </w:r>
      <w:r>
        <w:instrText xml:space="preserve"> PAGEREF _Toc22030 \h </w:instrText>
      </w:r>
      <w:r>
        <w:fldChar w:fldCharType="separate"/>
      </w:r>
      <w:r>
        <w:t>4</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_Toc28114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6.3.2 与国家秘密生成相关</w:t>
      </w:r>
      <w:r>
        <w:tab/>
      </w:r>
      <w:r>
        <w:fldChar w:fldCharType="begin"/>
      </w:r>
      <w:r>
        <w:instrText xml:space="preserve"> PAGEREF _Toc28114 \h </w:instrText>
      </w:r>
      <w:r>
        <w:fldChar w:fldCharType="separate"/>
      </w:r>
      <w:r>
        <w:t>4</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_Toc18665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6.3.3 与国家安全相关</w:t>
      </w:r>
      <w:r>
        <w:tab/>
      </w:r>
      <w:r>
        <w:fldChar w:fldCharType="begin"/>
      </w:r>
      <w:r>
        <w:instrText xml:space="preserve"> PAGEREF _Toc18665 \h </w:instrText>
      </w:r>
      <w:r>
        <w:fldChar w:fldCharType="separate"/>
      </w:r>
      <w:r>
        <w:t>5</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_Toc28013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6.3.4 与行业发展相关</w:t>
      </w:r>
      <w:r>
        <w:tab/>
      </w:r>
      <w:r>
        <w:fldChar w:fldCharType="begin"/>
      </w:r>
      <w:r>
        <w:instrText xml:space="preserve"> PAGEREF _Toc28013 \h </w:instrText>
      </w:r>
      <w:r>
        <w:fldChar w:fldCharType="separate"/>
      </w:r>
      <w:r>
        <w:t>5</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_Toc18360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6.3.5 与工业领域出口管制物项相关</w:t>
      </w:r>
      <w:r>
        <w:tab/>
      </w:r>
      <w:r>
        <w:fldChar w:fldCharType="begin"/>
      </w:r>
      <w:r>
        <w:instrText xml:space="preserve"> PAGEREF _Toc18360 \h </w:instrText>
      </w:r>
      <w:r>
        <w:fldChar w:fldCharType="separate"/>
      </w:r>
      <w:r>
        <w:t>6</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_Toc26053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6.3.6 与行业特色相关</w:t>
      </w:r>
      <w:r>
        <w:tab/>
      </w:r>
      <w:r>
        <w:fldChar w:fldCharType="begin"/>
      </w:r>
      <w:r>
        <w:instrText xml:space="preserve"> PAGEREF _Toc26053 \h </w:instrText>
      </w:r>
      <w:r>
        <w:fldChar w:fldCharType="separate"/>
      </w:r>
      <w:r>
        <w:t>6</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840" w:firstLineChars="4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_Toc14215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6.3.7 其他</w:t>
      </w:r>
      <w:r>
        <w:tab/>
      </w:r>
      <w:r>
        <w:fldChar w:fldCharType="begin"/>
      </w:r>
      <w:r>
        <w:instrText xml:space="preserve"> PAGEREF _Toc14215 \h </w:instrText>
      </w:r>
      <w:r>
        <w:fldChar w:fldCharType="separate"/>
      </w:r>
      <w:r>
        <w:t>6</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_Toc26229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6.4 综合确定级别</w:t>
      </w:r>
      <w:r>
        <w:tab/>
      </w:r>
      <w:r>
        <w:fldChar w:fldCharType="begin"/>
      </w:r>
      <w:r>
        <w:instrText xml:space="preserve"> PAGEREF _Toc26229 \h </w:instrText>
      </w:r>
      <w:r>
        <w:fldChar w:fldCharType="separate"/>
      </w:r>
      <w:r>
        <w:t>7</w:t>
      </w:r>
      <w:r>
        <w:fldChar w:fldCharType="end"/>
      </w:r>
      <w:r>
        <w:rPr>
          <w:rFonts w:hint="eastAsia" w:ascii="宋体" w:hAnsi="宋体" w:eastAsia="宋体" w:cs="宋体"/>
          <w:bCs/>
          <w:szCs w:val="21"/>
          <w:lang w:val="zh-CN"/>
        </w:rPr>
        <w:fldChar w:fldCharType="end"/>
      </w:r>
    </w:p>
    <w:p>
      <w:pPr>
        <w:pStyle w:val="9"/>
        <w:tabs>
          <w:tab w:val="right" w:leader="dot" w:pos="9746"/>
          <w:tab w:val="clear" w:pos="1470"/>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_Toc13629 </w:instrText>
      </w:r>
      <w:r>
        <w:rPr>
          <w:rFonts w:hint="eastAsia" w:ascii="宋体" w:hAnsi="宋体" w:eastAsia="宋体" w:cs="宋体"/>
          <w:bCs/>
          <w:szCs w:val="21"/>
          <w:lang w:val="zh-CN"/>
        </w:rPr>
        <w:fldChar w:fldCharType="separate"/>
      </w:r>
      <w:r>
        <w:rPr>
          <w:rFonts w:hint="eastAsia" w:cs="Times New Roman"/>
          <w:bCs/>
          <w:lang w:val="en-US" w:eastAsia="zh-CN"/>
        </w:rPr>
        <w:t>7  数据分类分级流程</w:t>
      </w:r>
      <w:r>
        <w:tab/>
      </w:r>
      <w:r>
        <w:fldChar w:fldCharType="begin"/>
      </w:r>
      <w:r>
        <w:instrText xml:space="preserve"> PAGEREF _Toc13629 \h </w:instrText>
      </w:r>
      <w:r>
        <w:fldChar w:fldCharType="separate"/>
      </w:r>
      <w:r>
        <w:t>7</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_Toc7579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7.1 概述</w:t>
      </w:r>
      <w:r>
        <w:tab/>
      </w:r>
      <w:r>
        <w:fldChar w:fldCharType="begin"/>
      </w:r>
      <w:r>
        <w:instrText xml:space="preserve"> PAGEREF _Toc7579 \h </w:instrText>
      </w:r>
      <w:r>
        <w:fldChar w:fldCharType="separate"/>
      </w:r>
      <w:r>
        <w:t>7</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_Toc28687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7.2 数据资产梳理</w:t>
      </w:r>
      <w:r>
        <w:tab/>
      </w:r>
      <w:r>
        <w:fldChar w:fldCharType="begin"/>
      </w:r>
      <w:r>
        <w:instrText xml:space="preserve"> PAGEREF _Toc28687 \h </w:instrText>
      </w:r>
      <w:r>
        <w:fldChar w:fldCharType="separate"/>
      </w:r>
      <w:r>
        <w:t>7</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_Toc30973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7.3 重要数据识别</w:t>
      </w:r>
      <w:r>
        <w:tab/>
      </w:r>
      <w:r>
        <w:fldChar w:fldCharType="begin"/>
      </w:r>
      <w:r>
        <w:instrText xml:space="preserve"> PAGEREF _Toc30973 \h </w:instrText>
      </w:r>
      <w:r>
        <w:fldChar w:fldCharType="separate"/>
      </w:r>
      <w:r>
        <w:t>8</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_Toc13439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7.4 内部审批</w:t>
      </w:r>
      <w:r>
        <w:tab/>
      </w:r>
      <w:r>
        <w:fldChar w:fldCharType="begin"/>
      </w:r>
      <w:r>
        <w:instrText xml:space="preserve"> PAGEREF _Toc13439 \h </w:instrText>
      </w:r>
      <w:r>
        <w:fldChar w:fldCharType="separate"/>
      </w:r>
      <w:r>
        <w:t>8</w:t>
      </w:r>
      <w:r>
        <w:fldChar w:fldCharType="end"/>
      </w:r>
      <w:r>
        <w:rPr>
          <w:rFonts w:hint="eastAsia" w:ascii="宋体" w:hAnsi="宋体" w:eastAsia="宋体" w:cs="宋体"/>
          <w:bCs/>
          <w:szCs w:val="21"/>
          <w:lang w:val="zh-CN"/>
        </w:rPr>
        <w:fldChar w:fldCharType="end"/>
      </w:r>
    </w:p>
    <w:p>
      <w:pPr>
        <w:pStyle w:val="9"/>
        <w:keepNext w:val="0"/>
        <w:keepLines w:val="0"/>
        <w:pageBreakBefore w:val="0"/>
        <w:widowControl w:val="0"/>
        <w:tabs>
          <w:tab w:val="right" w:leader="dot" w:pos="9746"/>
          <w:tab w:val="clear" w:pos="1470"/>
          <w:tab w:val="clear" w:pos="9241"/>
        </w:tabs>
        <w:kinsoku/>
        <w:wordWrap/>
        <w:overflowPunct/>
        <w:topLinePunct w:val="0"/>
        <w:autoSpaceDE/>
        <w:autoSpaceDN/>
        <w:bidi w:val="0"/>
        <w:adjustRightInd/>
        <w:snapToGrid/>
        <w:ind w:firstLine="420" w:firstLineChars="200"/>
        <w:textAlignment w:val="auto"/>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_Toc14726 </w:instrText>
      </w:r>
      <w:r>
        <w:rPr>
          <w:rFonts w:hint="eastAsia" w:ascii="宋体" w:hAnsi="宋体" w:eastAsia="宋体" w:cs="宋体"/>
          <w:bCs/>
          <w:szCs w:val="21"/>
          <w:lang w:val="zh-CN"/>
        </w:rPr>
        <w:fldChar w:fldCharType="separate"/>
      </w:r>
      <w:r>
        <w:rPr>
          <w:rFonts w:hint="eastAsia" w:ascii="黑体" w:hAnsi="黑体" w:cs="黑体"/>
          <w:bCs w:val="0"/>
          <w:lang w:val="en-US" w:eastAsia="zh-CN"/>
        </w:rPr>
        <w:t>7.5 重要数据目录备案</w:t>
      </w:r>
      <w:r>
        <w:tab/>
      </w:r>
      <w:r>
        <w:fldChar w:fldCharType="begin"/>
      </w:r>
      <w:r>
        <w:instrText xml:space="preserve"> PAGEREF _Toc14726 \h </w:instrText>
      </w:r>
      <w:r>
        <w:fldChar w:fldCharType="separate"/>
      </w:r>
      <w:r>
        <w:t>8</w:t>
      </w:r>
      <w:r>
        <w:fldChar w:fldCharType="end"/>
      </w:r>
      <w:r>
        <w:rPr>
          <w:rFonts w:hint="eastAsia" w:ascii="宋体" w:hAnsi="宋体" w:eastAsia="宋体" w:cs="宋体"/>
          <w:bCs/>
          <w:szCs w:val="21"/>
          <w:lang w:val="zh-CN"/>
        </w:rPr>
        <w:fldChar w:fldCharType="end"/>
      </w:r>
    </w:p>
    <w:p>
      <w:pPr>
        <w:pStyle w:val="8"/>
        <w:tabs>
          <w:tab w:val="right" w:leader="dot" w:pos="9746"/>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_Toc5243 </w:instrText>
      </w:r>
      <w:r>
        <w:rPr>
          <w:rFonts w:hint="eastAsia" w:ascii="宋体" w:hAnsi="宋体" w:eastAsia="宋体" w:cs="宋体"/>
          <w:bCs/>
          <w:szCs w:val="21"/>
          <w:lang w:val="zh-CN"/>
        </w:rPr>
        <w:fldChar w:fldCharType="separate"/>
      </w:r>
      <w:r>
        <w:rPr>
          <w:rFonts w:hint="eastAsia" w:ascii="黑体" w:hAnsi="黑体" w:eastAsia="黑体" w:cs="黑体"/>
          <w:bCs w:val="0"/>
          <w:szCs w:val="21"/>
          <w:lang w:val="en-US" w:eastAsia="zh-CN"/>
        </w:rPr>
        <w:t>附 录 A</w:t>
      </w:r>
      <w:r>
        <w:tab/>
      </w:r>
      <w:r>
        <w:fldChar w:fldCharType="begin"/>
      </w:r>
      <w:r>
        <w:instrText xml:space="preserve"> PAGEREF _Toc5243 \h </w:instrText>
      </w:r>
      <w:r>
        <w:fldChar w:fldCharType="separate"/>
      </w:r>
      <w:r>
        <w:t>1</w:t>
      </w:r>
      <w:r>
        <w:fldChar w:fldCharType="end"/>
      </w:r>
      <w:r>
        <w:rPr>
          <w:rFonts w:hint="eastAsia" w:ascii="宋体" w:hAnsi="宋体" w:eastAsia="宋体" w:cs="宋体"/>
          <w:bCs/>
          <w:szCs w:val="21"/>
          <w:lang w:val="zh-CN"/>
        </w:rPr>
        <w:fldChar w:fldCharType="end"/>
      </w:r>
    </w:p>
    <w:p>
      <w:pPr>
        <w:pStyle w:val="8"/>
        <w:tabs>
          <w:tab w:val="right" w:leader="dot" w:pos="9746"/>
          <w:tab w:val="clear" w:pos="9241"/>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_Toc21356 </w:instrText>
      </w:r>
      <w:r>
        <w:rPr>
          <w:rFonts w:hint="eastAsia" w:ascii="宋体" w:hAnsi="宋体" w:eastAsia="宋体" w:cs="宋体"/>
          <w:bCs/>
          <w:szCs w:val="21"/>
          <w:lang w:val="zh-CN"/>
        </w:rPr>
        <w:fldChar w:fldCharType="separate"/>
      </w:r>
      <w:r>
        <w:rPr>
          <w:rFonts w:hint="eastAsia" w:ascii="黑体" w:hAnsi="黑体" w:eastAsia="黑体" w:cs="黑体"/>
          <w:bCs w:val="0"/>
          <w:szCs w:val="21"/>
          <w:lang w:val="en-US" w:eastAsia="zh-CN"/>
        </w:rPr>
        <w:t>参 考 文 献</w:t>
      </w:r>
      <w:r>
        <w:tab/>
      </w:r>
      <w:r>
        <w:fldChar w:fldCharType="begin"/>
      </w:r>
      <w:r>
        <w:instrText xml:space="preserve"> PAGEREF _Toc21356 \h </w:instrText>
      </w:r>
      <w:r>
        <w:fldChar w:fldCharType="separate"/>
      </w:r>
      <w:r>
        <w:t>1</w:t>
      </w:r>
      <w:r>
        <w:fldChar w:fldCharType="end"/>
      </w:r>
      <w:r>
        <w:rPr>
          <w:rFonts w:hint="eastAsia" w:ascii="宋体" w:hAnsi="宋体" w:eastAsia="宋体" w:cs="宋体"/>
          <w:bCs/>
          <w:szCs w:val="21"/>
          <w:lang w:val="zh-CN"/>
        </w:rPr>
        <w:fldChar w:fldCharType="end"/>
      </w:r>
    </w:p>
    <w:p>
      <w:pPr>
        <w:pBdr>
          <w:top w:val="none" w:sz="0" w:space="0"/>
          <w:left w:val="none" w:sz="0" w:space="0"/>
          <w:bottom w:val="none" w:sz="0" w:space="0"/>
          <w:right w:val="none" w:sz="0" w:space="0"/>
        </w:pBdr>
        <w:spacing w:line="360" w:lineRule="auto"/>
        <w:jc w:val="center"/>
        <w:rPr>
          <w:rFonts w:hint="eastAsia" w:ascii="宋体" w:hAnsi="宋体" w:eastAsia="宋体" w:cs="宋体"/>
          <w:sz w:val="21"/>
          <w:szCs w:val="21"/>
        </w:rPr>
      </w:pPr>
      <w:r>
        <w:rPr>
          <w:rFonts w:hint="eastAsia" w:ascii="宋体" w:hAnsi="宋体" w:eastAsia="宋体" w:cs="宋体"/>
          <w:bCs/>
          <w:szCs w:val="21"/>
          <w:lang w:val="zh-CN"/>
        </w:rPr>
        <w:fldChar w:fldCharType="end"/>
      </w:r>
    </w:p>
    <w:p>
      <w:pPr>
        <w:pStyle w:val="28"/>
      </w:pPr>
    </w:p>
    <w:p>
      <w:pPr>
        <w:pStyle w:val="33"/>
        <w:rPr>
          <w:rFonts w:hint="eastAsia" w:ascii="黑体" w:hAnsi="黑体" w:eastAsia="黑体" w:cs="黑体"/>
        </w:rPr>
      </w:pPr>
      <w:bookmarkStart w:id="0" w:name="_Toc15767"/>
      <w:r>
        <w:rPr>
          <w:rFonts w:hint="eastAsia" w:ascii="黑体" w:hAnsi="黑体" w:eastAsia="黑体" w:cs="黑体"/>
        </w:rPr>
        <w:t>前  言</w:t>
      </w:r>
      <w:bookmarkEnd w:id="0"/>
    </w:p>
    <w:p>
      <w:pPr>
        <w:numPr>
          <w:ilvl w:val="0"/>
          <w:numId w:val="3"/>
        </w:numPr>
        <w:spacing w:line="360" w:lineRule="auto"/>
        <w:ind w:firstLine="420" w:firstLineChars="200"/>
        <w:rPr>
          <w:highlight w:val="none"/>
        </w:rPr>
      </w:pPr>
      <w:r>
        <w:rPr>
          <w:rFonts w:hint="eastAsia"/>
          <w:highlight w:val="none"/>
        </w:rPr>
        <w:t>本文件按照</w:t>
      </w:r>
      <w:r>
        <w:rPr>
          <w:highlight w:val="none"/>
        </w:rPr>
        <w:t>GB/T 1.1—20</w:t>
      </w:r>
      <w:r>
        <w:rPr>
          <w:rFonts w:hint="eastAsia"/>
          <w:highlight w:val="none"/>
        </w:rPr>
        <w:t>20《标准化工作导则  第1部分：标准化文件的结构和起草规则》的规定起草。</w:t>
      </w:r>
    </w:p>
    <w:p>
      <w:pPr>
        <w:autoSpaceDE w:val="0"/>
        <w:autoSpaceDN w:val="0"/>
        <w:adjustRightInd w:val="0"/>
        <w:spacing w:before="1" w:line="360" w:lineRule="auto"/>
        <w:ind w:right="284" w:firstLine="420" w:firstLineChars="200"/>
        <w:rPr>
          <w:rFonts w:hint="eastAsia"/>
          <w:kern w:val="0"/>
          <w:highlight w:val="none"/>
        </w:rPr>
      </w:pPr>
      <w:r>
        <w:rPr>
          <w:rFonts w:hint="eastAsia"/>
          <w:highlight w:val="none"/>
        </w:rPr>
        <w:t>请注意本文件的某些内容可能涉及专利。本文件的发布机构不承担识别专利的责任。</w:t>
      </w:r>
    </w:p>
    <w:p>
      <w:pPr>
        <w:pStyle w:val="30"/>
        <w:spacing w:line="360" w:lineRule="auto"/>
        <w:ind w:firstLine="420"/>
        <w:rPr>
          <w:rFonts w:hint="eastAsia"/>
          <w:highlight w:val="none"/>
        </w:rPr>
      </w:pPr>
      <w:r>
        <w:rPr>
          <w:rFonts w:hint="eastAsia"/>
          <w:highlight w:val="none"/>
        </w:rPr>
        <w:t>本文件由全国有色金属标准化技术委员会（SAC/TC243）提出并归口。</w:t>
      </w:r>
    </w:p>
    <w:p>
      <w:pPr>
        <w:pStyle w:val="30"/>
        <w:spacing w:line="360" w:lineRule="auto"/>
        <w:ind w:firstLine="420"/>
        <w:rPr>
          <w:rFonts w:hint="eastAsia"/>
        </w:rPr>
      </w:pPr>
      <w:r>
        <w:rPr>
          <w:rFonts w:hint="eastAsia" w:ascii="宋体" w:hAnsi="宋体" w:cs="宋体"/>
          <w:kern w:val="0"/>
          <w:highlight w:val="none"/>
        </w:rPr>
        <w:t>本文件起草单位：</w:t>
      </w:r>
      <w:r>
        <w:rPr>
          <w:rFonts w:hint="eastAsia" w:ascii="宋体" w:hAnsi="宋体" w:eastAsia="宋体" w:cs="宋体"/>
          <w:lang w:eastAsia="zh-CN"/>
        </w:rPr>
        <w:t>江西</w:t>
      </w:r>
      <w:r>
        <w:rPr>
          <w:rFonts w:hint="eastAsia" w:ascii="宋体" w:hAnsi="宋体" w:eastAsia="宋体" w:cs="宋体"/>
          <w:lang w:val="en-US" w:eastAsia="zh-CN"/>
        </w:rPr>
        <w:t>铜业股份有限公司</w:t>
      </w:r>
      <w:r>
        <w:rPr>
          <w:rFonts w:hint="eastAsia" w:ascii="宋体" w:hAnsi="宋体" w:eastAsia="宋体" w:cs="宋体"/>
          <w:szCs w:val="21"/>
          <w:lang w:val="en-US" w:eastAsia="zh-CN"/>
        </w:rPr>
        <w:t>、国家工业信息安全发展研究中心、矿冶科技集团有限公司、江西铜业股份有限公司贵溪冶炼厂</w:t>
      </w:r>
      <w:r>
        <w:rPr>
          <w:rFonts w:hint="eastAsia" w:ascii="宋体" w:hAnsi="宋体" w:eastAsia="宋体" w:cs="宋体"/>
          <w:lang w:val="en-US" w:eastAsia="zh-CN"/>
        </w:rPr>
        <w:t>、</w:t>
      </w:r>
      <w:r>
        <w:rPr>
          <w:rFonts w:hint="eastAsia" w:ascii="宋体" w:hAnsi="宋体" w:eastAsia="宋体" w:cs="宋体"/>
          <w:szCs w:val="21"/>
          <w:lang w:val="en-US" w:eastAsia="zh-CN"/>
        </w:rPr>
        <w:t>江西铜锐信息技术有限公司</w:t>
      </w:r>
      <w:r>
        <w:rPr>
          <w:rFonts w:hint="eastAsia" w:ascii="宋体" w:hAnsi="宋体" w:eastAsia="宋体" w:cs="宋体"/>
          <w:szCs w:val="21"/>
          <w:lang w:val="en-US" w:eastAsia="zh-CN"/>
        </w:rPr>
        <w:t>、云南铜业股份有限公司、紫金矿业集团股份有限公司、铜陵有色集团股份有限公司、金川集团股份有限公司等。</w:t>
      </w:r>
    </w:p>
    <w:p>
      <w:pPr>
        <w:ind w:firstLine="420" w:firstLineChars="200"/>
        <w:rPr>
          <w:rFonts w:hint="eastAsia" w:ascii="宋体" w:cs="宋体"/>
          <w:kern w:val="0"/>
          <w:szCs w:val="21"/>
          <w:lang w:eastAsia="zh-CN"/>
        </w:rPr>
      </w:pPr>
      <w:r>
        <w:rPr>
          <w:rFonts w:hint="eastAsia"/>
        </w:rPr>
        <w:t>本文件主要起草人：xxx</w:t>
      </w:r>
    </w:p>
    <w:p>
      <w:pPr>
        <w:ind w:firstLine="420" w:firstLineChars="200"/>
        <w:rPr>
          <w:rFonts w:hint="eastAsia" w:ascii="宋体" w:cs="宋体"/>
          <w:kern w:val="0"/>
          <w:szCs w:val="21"/>
          <w:lang w:eastAsia="zh-CN"/>
        </w:rPr>
      </w:pPr>
    </w:p>
    <w:p>
      <w:pPr>
        <w:ind w:firstLine="420" w:firstLineChars="200"/>
        <w:rPr>
          <w:rFonts w:hint="eastAsia" w:ascii="宋体" w:cs="宋体"/>
          <w:kern w:val="0"/>
          <w:szCs w:val="21"/>
          <w:lang w:eastAsia="zh-CN"/>
        </w:rPr>
      </w:pPr>
    </w:p>
    <w:p>
      <w:pPr>
        <w:ind w:firstLine="420" w:firstLineChars="200"/>
        <w:rPr>
          <w:rFonts w:hint="eastAsia" w:ascii="宋体" w:cs="宋体"/>
          <w:kern w:val="0"/>
          <w:szCs w:val="21"/>
          <w:lang w:eastAsia="zh-CN"/>
        </w:rPr>
      </w:pPr>
    </w:p>
    <w:p>
      <w:pPr>
        <w:rPr>
          <w:rFonts w:hint="eastAsia" w:ascii="宋体" w:cs="宋体"/>
          <w:kern w:val="0"/>
          <w:szCs w:val="21"/>
          <w:lang w:eastAsia="zh-CN"/>
        </w:rPr>
      </w:pPr>
    </w:p>
    <w:p>
      <w:pPr>
        <w:ind w:firstLine="420" w:firstLineChars="200"/>
      </w:pPr>
      <w:r>
        <w:br w:type="page"/>
      </w:r>
    </w:p>
    <w:p>
      <w:pPr>
        <w:pStyle w:val="33"/>
        <w:rPr>
          <w:rFonts w:hint="eastAsia" w:ascii="黑体" w:hAnsi="黑体" w:eastAsia="黑体" w:cs="黑体"/>
          <w:b w:val="0"/>
          <w:bCs w:val="0"/>
        </w:rPr>
      </w:pPr>
      <w:bookmarkStart w:id="1" w:name="_Toc25829"/>
      <w:r>
        <w:rPr>
          <w:rFonts w:hint="eastAsia" w:ascii="黑体" w:hAnsi="黑体" w:eastAsia="黑体" w:cs="黑体"/>
          <w:b w:val="0"/>
          <w:bCs w:val="0"/>
          <w:lang w:val="en-US" w:eastAsia="zh-CN"/>
        </w:rPr>
        <w:t>引</w:t>
      </w:r>
      <w:r>
        <w:rPr>
          <w:rFonts w:hint="eastAsia" w:ascii="黑体" w:hAnsi="黑体" w:eastAsia="黑体" w:cs="黑体"/>
          <w:b w:val="0"/>
          <w:bCs w:val="0"/>
        </w:rPr>
        <w:t>  言</w:t>
      </w:r>
      <w:bookmarkEnd w:id="1"/>
    </w:p>
    <w:p>
      <w:pPr>
        <w:pStyle w:val="30"/>
        <w:bidi w:val="0"/>
        <w:rPr>
          <w:rFonts w:hint="eastAsia"/>
          <w:lang w:val="en-US" w:eastAsia="zh-CN"/>
        </w:rPr>
      </w:pPr>
      <w:r>
        <w:t>本</w:t>
      </w:r>
      <w:r>
        <w:rPr>
          <w:rFonts w:hint="eastAsia"/>
          <w:lang w:eastAsia="zh-CN"/>
        </w:rPr>
        <w:t>文件</w:t>
      </w:r>
      <w:r>
        <w:t>依据</w:t>
      </w:r>
      <w:r>
        <w:rPr>
          <w:rFonts w:hint="eastAsia"/>
          <w:lang w:eastAsia="zh-CN"/>
        </w:rPr>
        <w:t>《</w:t>
      </w:r>
      <w:r>
        <w:rPr>
          <w:rFonts w:hint="eastAsia" w:ascii="宋体" w:hAnsi="宋体" w:eastAsia="宋体" w:cs="Times New Roman"/>
        </w:rPr>
        <w:t>“十四五”智能制造发展规划</w:t>
      </w:r>
      <w:r>
        <w:rPr>
          <w:rFonts w:hint="eastAsia"/>
          <w:lang w:eastAsia="zh-CN"/>
        </w:rPr>
        <w:t>》、《</w:t>
      </w:r>
      <w:r>
        <w:rPr>
          <w:rFonts w:hint="eastAsia" w:ascii="宋体" w:hAnsi="宋体" w:eastAsia="宋体" w:cs="Times New Roman"/>
          <w:lang w:val="en-US" w:eastAsia="zh-CN"/>
        </w:rPr>
        <w:t>工业数据分类分级指南（</w:t>
      </w:r>
      <w:r>
        <w:rPr>
          <w:rFonts w:hint="eastAsia" w:cs="Times New Roman"/>
          <w:lang w:val="en-US" w:eastAsia="zh-CN"/>
        </w:rPr>
        <w:t>试</w:t>
      </w:r>
      <w:r>
        <w:rPr>
          <w:rFonts w:hint="eastAsia" w:ascii="宋体" w:hAnsi="宋体" w:eastAsia="宋体" w:cs="Times New Roman"/>
          <w:lang w:val="en-US" w:eastAsia="zh-CN"/>
        </w:rPr>
        <w:t>行）</w:t>
      </w:r>
      <w:r>
        <w:rPr>
          <w:rFonts w:hint="eastAsia"/>
          <w:lang w:eastAsia="zh-CN"/>
        </w:rPr>
        <w:t>》</w:t>
      </w:r>
      <w:r>
        <w:rPr>
          <w:rFonts w:hint="eastAsia"/>
          <w:lang w:val="en-US" w:eastAsia="zh-CN"/>
        </w:rPr>
        <w:t>相关政策文件要求，结合</w:t>
      </w:r>
      <w:r>
        <w:t>《有色金属行业智能制造标准体系建设指南（2023版）》</w:t>
      </w:r>
      <w:r>
        <w:rPr>
          <w:rFonts w:hint="eastAsia"/>
          <w:lang w:val="en-US" w:eastAsia="zh-CN"/>
        </w:rPr>
        <w:t>行业标准建设规划</w:t>
      </w:r>
      <w:r>
        <w:t>，</w:t>
      </w:r>
      <w:r>
        <w:rPr>
          <w:rFonts w:hint="eastAsia"/>
          <w:lang w:val="en-US" w:eastAsia="zh-CN"/>
        </w:rPr>
        <w:t>同时以解决有色金属行业发展的实际需求，推动行业数字化转型为目的进行编制。</w:t>
      </w:r>
    </w:p>
    <w:p>
      <w:pPr>
        <w:pStyle w:val="30"/>
        <w:bidi w:val="0"/>
      </w:pPr>
      <w:r>
        <w:rPr>
          <w:rFonts w:hint="eastAsia"/>
          <w:lang w:eastAsia="zh-CN"/>
        </w:rPr>
        <w:t>本文件</w:t>
      </w:r>
      <w:r>
        <w:t>旨在为有色金属行业提供一套全面、系统的</w:t>
      </w:r>
      <w:r>
        <w:rPr>
          <w:rFonts w:hint="eastAsia"/>
          <w:lang w:val="en-US" w:eastAsia="zh-CN"/>
        </w:rPr>
        <w:t>工业数据分类分级规范</w:t>
      </w:r>
      <w:r>
        <w:t>，涵盖</w:t>
      </w:r>
      <w:r>
        <w:rPr>
          <w:rFonts w:hint="eastAsia" w:ascii="Times New Roman" w:hAnsi="Times New Roman" w:eastAsia="宋体" w:cs="Times New Roman"/>
          <w:szCs w:val="21"/>
          <w:lang w:val="en-US" w:eastAsia="zh-CN"/>
        </w:rPr>
        <w:t>有色金属</w:t>
      </w:r>
      <w:r>
        <w:rPr>
          <w:rFonts w:hint="eastAsia" w:ascii="Times New Roman" w:hAnsi="Times New Roman" w:cs="Times New Roman"/>
          <w:szCs w:val="21"/>
          <w:lang w:val="en-US" w:eastAsia="zh-CN"/>
        </w:rPr>
        <w:t>工业</w:t>
      </w:r>
      <w:r>
        <w:rPr>
          <w:rFonts w:hint="eastAsia" w:ascii="Times New Roman" w:hAnsi="Times New Roman" w:eastAsia="宋体" w:cs="Times New Roman"/>
          <w:szCs w:val="21"/>
          <w:lang w:val="en-US" w:eastAsia="zh-CN"/>
        </w:rPr>
        <w:t>数据的分类分级</w:t>
      </w:r>
      <w:r>
        <w:rPr>
          <w:rFonts w:hint="eastAsia" w:ascii="Times New Roman" w:hAnsi="Times New Roman" w:cs="Times New Roman"/>
          <w:szCs w:val="21"/>
          <w:lang w:val="en-US" w:eastAsia="zh-CN"/>
        </w:rPr>
        <w:t>规则及示例</w:t>
      </w:r>
      <w:r>
        <w:t>。</w:t>
      </w:r>
    </w:p>
    <w:p>
      <w:pPr>
        <w:pStyle w:val="30"/>
        <w:bidi w:val="0"/>
      </w:pPr>
    </w:p>
    <w:p>
      <w:pPr>
        <w:pStyle w:val="30"/>
        <w:bidi w:val="0"/>
        <w:rPr>
          <w:rFonts w:hint="default"/>
          <w:lang w:val="en-US" w:eastAsia="zh-CN"/>
        </w:rPr>
      </w:pPr>
    </w:p>
    <w:p>
      <w:pPr>
        <w:pStyle w:val="32"/>
        <w:rPr>
          <w:rFonts w:hint="eastAsia"/>
        </w:rPr>
        <w:sectPr>
          <w:headerReference r:id="rId3" w:type="default"/>
          <w:footerReference r:id="rId4" w:type="default"/>
          <w:pgSz w:w="11906" w:h="16838"/>
          <w:pgMar w:top="1440" w:right="1080" w:bottom="1440" w:left="1080" w:header="1418" w:footer="1134" w:gutter="0"/>
          <w:pgBorders>
            <w:top w:val="none" w:sz="0" w:space="0"/>
            <w:left w:val="none" w:sz="0" w:space="0"/>
            <w:bottom w:val="none" w:sz="0" w:space="0"/>
            <w:right w:val="none" w:sz="0" w:space="0"/>
          </w:pgBorders>
          <w:pgNumType w:fmt="upperRoman" w:start="1"/>
          <w:cols w:space="0" w:num="1"/>
          <w:formProt w:val="0"/>
          <w:rtlGutter w:val="0"/>
          <w:docGrid w:type="lines" w:linePitch="312" w:charSpace="0"/>
        </w:sectPr>
      </w:pPr>
    </w:p>
    <w:p>
      <w:pPr>
        <w:pStyle w:val="30"/>
        <w:spacing w:line="360" w:lineRule="auto"/>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eastAsia="zh-CN"/>
        </w:rPr>
        <w:t>有色金属行业</w:t>
      </w:r>
      <w:r>
        <w:rPr>
          <w:rFonts w:hint="eastAsia" w:ascii="黑体" w:hAnsi="黑体" w:eastAsia="黑体" w:cs="黑体"/>
          <w:sz w:val="32"/>
          <w:szCs w:val="32"/>
          <w:lang w:val="en-US" w:eastAsia="zh-CN"/>
        </w:rPr>
        <w:t>工业</w:t>
      </w:r>
      <w:r>
        <w:rPr>
          <w:rFonts w:hint="eastAsia" w:ascii="黑体" w:hAnsi="黑体" w:eastAsia="黑体" w:cs="黑体"/>
          <w:sz w:val="32"/>
          <w:szCs w:val="32"/>
          <w:lang w:eastAsia="zh-CN"/>
        </w:rPr>
        <w:t>数据分类分级指南</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rPr>
          <w:b w:val="0"/>
          <w:bCs/>
        </w:rPr>
      </w:pPr>
      <w:bookmarkStart w:id="2" w:name="_Toc17464"/>
      <w:r>
        <w:rPr>
          <w:rFonts w:hint="eastAsia"/>
          <w:b w:val="0"/>
          <w:bCs/>
          <w:lang w:val="en-US" w:eastAsia="zh-CN"/>
        </w:rPr>
        <w:t xml:space="preserve">1  </w:t>
      </w:r>
      <w:r>
        <w:rPr>
          <w:rFonts w:hint="eastAsia"/>
          <w:b w:val="0"/>
          <w:bCs/>
        </w:rPr>
        <w:t>范围</w:t>
      </w:r>
      <w:bookmarkEnd w:id="2"/>
    </w:p>
    <w:p>
      <w:pPr>
        <w:pStyle w:val="30"/>
        <w:spacing w:line="360" w:lineRule="auto"/>
        <w:ind w:firstLine="420"/>
        <w:rPr>
          <w:rFonts w:hint="eastAsia" w:ascii="宋体" w:hAnsi="Times New Roman" w:eastAsia="宋体" w:cs="Times New Roman"/>
          <w:lang w:val="en-US" w:eastAsia="zh-CN"/>
        </w:rPr>
      </w:pPr>
      <w:r>
        <w:rPr>
          <w:rFonts w:hint="eastAsia" w:ascii="宋体" w:hAnsi="Times New Roman" w:eastAsia="宋体" w:cs="Times New Roman"/>
        </w:rPr>
        <w:t>本文件</w:t>
      </w:r>
      <w:r>
        <w:rPr>
          <w:rFonts w:hint="eastAsia" w:ascii="宋体" w:hAnsi="Times New Roman" w:eastAsia="宋体" w:cs="Times New Roman"/>
          <w:lang w:val="en-US" w:eastAsia="zh-CN"/>
        </w:rPr>
        <w:t>规定了</w:t>
      </w:r>
      <w:r>
        <w:rPr>
          <w:rFonts w:hint="eastAsia" w:ascii="宋体" w:hAnsi="Times New Roman" w:eastAsia="宋体" w:cs="Times New Roman"/>
          <w:lang w:eastAsia="zh-CN"/>
        </w:rPr>
        <w:t>有色金属行业</w:t>
      </w:r>
      <w:r>
        <w:rPr>
          <w:rFonts w:hint="eastAsia" w:ascii="宋体" w:hAnsi="Times New Roman" w:eastAsia="宋体" w:cs="Times New Roman"/>
          <w:lang w:val="en-US" w:eastAsia="zh-CN"/>
        </w:rPr>
        <w:t>工业</w:t>
      </w:r>
      <w:r>
        <w:rPr>
          <w:rFonts w:hint="eastAsia" w:ascii="宋体" w:hAnsi="Times New Roman" w:eastAsia="宋体" w:cs="Times New Roman"/>
          <w:lang w:eastAsia="zh-CN"/>
        </w:rPr>
        <w:t>数据分类分级</w:t>
      </w:r>
      <w:r>
        <w:rPr>
          <w:rFonts w:hint="eastAsia" w:ascii="宋体" w:hAnsi="Times New Roman" w:eastAsia="宋体" w:cs="Times New Roman"/>
          <w:lang w:val="en-US" w:eastAsia="zh-CN"/>
        </w:rPr>
        <w:t>的基本原则、数据分类规则和数据分级规则。</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lang w:val="en-US" w:eastAsia="zh-CN"/>
        </w:rPr>
        <w:t>本文件适用于有色金属行业采选、冶炼、加工企业参考本标准开展数据分类分级工作,同时为数据处理者进行数据分类分级提供参考。</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rPr>
          <w:rFonts w:hint="eastAsia" w:cs="Times New Roman"/>
          <w:b w:val="0"/>
          <w:bCs/>
          <w:lang w:val="en-US" w:eastAsia="zh-CN"/>
        </w:rPr>
      </w:pPr>
      <w:bookmarkStart w:id="3" w:name="_Toc23863"/>
      <w:r>
        <w:rPr>
          <w:rFonts w:hint="eastAsia" w:cs="Times New Roman"/>
          <w:b w:val="0"/>
          <w:bCs/>
          <w:lang w:val="en-US" w:eastAsia="zh-CN"/>
        </w:rPr>
        <w:t>2  规范性引用文件</w:t>
      </w:r>
      <w:bookmarkEnd w:id="3"/>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0"/>
        <w:spacing w:line="360" w:lineRule="auto"/>
        <w:ind w:firstLine="420"/>
        <w:rPr>
          <w:rFonts w:hint="default" w:ascii="宋体" w:hAnsi="Times New Roman" w:eastAsia="宋体" w:cs="Times New Roman"/>
          <w:lang w:val="en-US" w:eastAsia="zh-CN"/>
        </w:rPr>
      </w:pPr>
      <w:r>
        <w:rPr>
          <w:rFonts w:hint="eastAsia" w:ascii="宋体" w:hAnsi="Times New Roman" w:eastAsia="宋体" w:cs="Times New Roman"/>
        </w:rPr>
        <w:t>GB/T 36073—2018</w:t>
      </w:r>
      <w:r>
        <w:rPr>
          <w:rFonts w:hint="eastAsia" w:ascii="宋体" w:hAnsi="Times New Roman" w:eastAsia="宋体" w:cs="Times New Roman"/>
          <w:lang w:val="en-US" w:eastAsia="zh-CN"/>
        </w:rPr>
        <w:t xml:space="preserve"> 数据管理能力成熟度评估模型</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GB/T 43697—2024</w:t>
      </w:r>
      <w:r>
        <w:rPr>
          <w:rFonts w:hint="eastAsia" w:ascii="宋体" w:hAnsi="Times New Roman" w:eastAsia="宋体" w:cs="Times New Roman"/>
          <w:lang w:val="en-US" w:eastAsia="zh-CN"/>
        </w:rPr>
        <w:t xml:space="preserve"> </w:t>
      </w:r>
      <w:r>
        <w:rPr>
          <w:rFonts w:hint="eastAsia" w:ascii="宋体" w:hAnsi="Times New Roman" w:eastAsia="宋体" w:cs="Times New Roman"/>
        </w:rPr>
        <w:t>数据安全技术 数据分类分级规则</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rPr>
          <w:rFonts w:hint="eastAsia" w:cs="Times New Roman"/>
          <w:b w:val="0"/>
          <w:bCs/>
          <w:lang w:val="en-US" w:eastAsia="zh-CN"/>
        </w:rPr>
      </w:pPr>
      <w:bookmarkStart w:id="4" w:name="_Toc2375"/>
      <w:r>
        <w:rPr>
          <w:rFonts w:hint="eastAsia" w:cs="Times New Roman"/>
          <w:b w:val="0"/>
          <w:bCs/>
          <w:lang w:val="en-US" w:eastAsia="zh-CN"/>
        </w:rPr>
        <w:t>3  术语和定义</w:t>
      </w:r>
      <w:bookmarkEnd w:id="4"/>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GB/T 36073—2018和GB/T 43697—2024</w:t>
      </w:r>
      <w:r>
        <w:rPr>
          <w:rFonts w:hint="eastAsia" w:ascii="宋体" w:hAnsi="Times New Roman" w:eastAsia="宋体" w:cs="Times New Roman"/>
          <w:lang w:val="en-US" w:eastAsia="zh-CN"/>
        </w:rPr>
        <w:t>界定的</w:t>
      </w:r>
      <w:r>
        <w:rPr>
          <w:rFonts w:hint="eastAsia" w:ascii="宋体" w:hAnsi="Times New Roman" w:eastAsia="宋体" w:cs="Times New Roman"/>
        </w:rPr>
        <w:t>以及下列术语和定义适用于本</w:t>
      </w:r>
      <w:r>
        <w:rPr>
          <w:rFonts w:hint="eastAsia" w:ascii="宋体" w:hAnsi="Times New Roman" w:eastAsia="宋体" w:cs="Times New Roman"/>
          <w:lang w:val="en-US" w:eastAsia="zh-CN"/>
        </w:rPr>
        <w:t>文件</w:t>
      </w:r>
      <w:r>
        <w:rPr>
          <w:rFonts w:hint="eastAsia" w:ascii="宋体" w:hAnsi="Times New Roman" w:eastAsia="宋体" w:cs="Times New Roman"/>
        </w:rPr>
        <w:t>。</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3.1</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eastAsia"/>
        </w:rPr>
      </w:pPr>
      <w:r>
        <w:rPr>
          <w:rFonts w:hint="eastAsia" w:ascii="黑体" w:hAnsi="黑体" w:eastAsia="黑体" w:cs="黑体"/>
          <w:b w:val="0"/>
          <w:bCs w:val="0"/>
          <w:lang w:val="en-US" w:eastAsia="zh-CN"/>
        </w:rPr>
        <w:t>工业</w:t>
      </w:r>
      <w:r>
        <w:rPr>
          <w:rFonts w:hint="eastAsia" w:ascii="黑体" w:hAnsi="黑体" w:eastAsia="黑体" w:cs="黑体"/>
          <w:b w:val="0"/>
          <w:bCs w:val="0"/>
        </w:rPr>
        <w:t xml:space="preserve">数据 </w:t>
      </w:r>
      <w:r>
        <w:rPr>
          <w:rFonts w:hint="eastAsia" w:ascii="黑体" w:hAnsi="黑体" w:eastAsia="黑体" w:cs="黑体"/>
          <w:b w:val="0"/>
          <w:bCs w:val="0"/>
          <w:lang w:val="en-US" w:eastAsia="zh-CN"/>
        </w:rPr>
        <w:t>industrial</w:t>
      </w:r>
      <w:r>
        <w:rPr>
          <w:rFonts w:hint="eastAsia" w:ascii="黑体" w:hAnsi="黑体" w:eastAsia="黑体" w:cs="黑体"/>
          <w:b w:val="0"/>
          <w:bCs w:val="0"/>
        </w:rPr>
        <w:t xml:space="preserve"> </w:t>
      </w:r>
      <w:r>
        <w:rPr>
          <w:rFonts w:hint="eastAsia" w:ascii="黑体" w:hAnsi="黑体" w:eastAsia="黑体" w:cs="黑体"/>
          <w:b w:val="0"/>
          <w:bCs w:val="0"/>
          <w:lang w:val="en-US" w:eastAsia="zh-CN"/>
        </w:rPr>
        <w:t>d</w:t>
      </w:r>
      <w:r>
        <w:rPr>
          <w:rFonts w:hint="eastAsia" w:ascii="黑体" w:hAnsi="黑体" w:eastAsia="黑体" w:cs="黑体"/>
          <w:b w:val="0"/>
          <w:bCs w:val="0"/>
        </w:rPr>
        <w:t>ata</w:t>
      </w:r>
    </w:p>
    <w:p>
      <w:pPr>
        <w:pStyle w:val="30"/>
        <w:spacing w:line="360" w:lineRule="auto"/>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工业各行业各领域在研发设计、生产制造、经营管理、平台运营、应用服务等过程中产生或收集的数据</w:t>
      </w:r>
      <w:r>
        <w:rPr>
          <w:rFonts w:hint="eastAsia" w:ascii="宋体" w:hAnsi="Times New Roman" w:eastAsia="宋体" w:cs="Times New Roman"/>
        </w:rPr>
        <w:t>。</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3.2</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eastAsia" w:ascii="黑体" w:hAnsi="黑体" w:eastAsia="黑体" w:cs="黑体"/>
          <w:b w:val="0"/>
          <w:bCs w:val="0"/>
        </w:rPr>
      </w:pPr>
      <w:r>
        <w:rPr>
          <w:rFonts w:hint="eastAsia" w:ascii="黑体" w:hAnsi="黑体" w:eastAsia="黑体" w:cs="黑体"/>
          <w:b w:val="0"/>
          <w:bCs w:val="0"/>
        </w:rPr>
        <w:t xml:space="preserve">重要数据 </w:t>
      </w:r>
      <w:r>
        <w:rPr>
          <w:rFonts w:hint="eastAsia" w:ascii="黑体" w:hAnsi="黑体" w:eastAsia="黑体" w:cs="黑体"/>
          <w:b w:val="0"/>
          <w:bCs w:val="0"/>
          <w:lang w:val="en-US" w:eastAsia="zh-CN"/>
        </w:rPr>
        <w:t>key</w:t>
      </w:r>
      <w:r>
        <w:rPr>
          <w:rFonts w:hint="eastAsia" w:ascii="黑体" w:hAnsi="黑体" w:eastAsia="黑体" w:cs="黑体"/>
          <w:b w:val="0"/>
          <w:bCs w:val="0"/>
        </w:rPr>
        <w:t xml:space="preserve"> </w:t>
      </w:r>
      <w:r>
        <w:rPr>
          <w:rFonts w:hint="eastAsia" w:ascii="黑体" w:hAnsi="黑体" w:eastAsia="黑体" w:cs="黑体"/>
          <w:b w:val="0"/>
          <w:bCs w:val="0"/>
          <w:lang w:val="en-US" w:eastAsia="zh-CN"/>
        </w:rPr>
        <w:t>d</w:t>
      </w:r>
      <w:r>
        <w:rPr>
          <w:rFonts w:hint="eastAsia" w:ascii="黑体" w:hAnsi="黑体" w:eastAsia="黑体" w:cs="黑体"/>
          <w:b w:val="0"/>
          <w:bCs w:val="0"/>
        </w:rPr>
        <w:t>ata</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对</w:t>
      </w:r>
      <w:r>
        <w:rPr>
          <w:rFonts w:hint="eastAsia" w:ascii="宋体" w:hAnsi="Times New Roman" w:eastAsia="宋体" w:cs="Times New Roman"/>
          <w:lang w:val="en-US" w:eastAsia="zh-CN"/>
        </w:rPr>
        <w:t>国家安全、社会秩序、经济运行和</w:t>
      </w:r>
      <w:r>
        <w:rPr>
          <w:rFonts w:hint="eastAsia" w:ascii="宋体" w:hAnsi="Times New Roman" w:eastAsia="宋体" w:cs="Times New Roman"/>
        </w:rPr>
        <w:t>行业</w:t>
      </w:r>
      <w:r>
        <w:rPr>
          <w:rFonts w:hint="eastAsia" w:ascii="宋体" w:hAnsi="Times New Roman" w:eastAsia="宋体" w:cs="Times New Roman"/>
          <w:lang w:val="en-US" w:eastAsia="zh-CN"/>
        </w:rPr>
        <w:t>发展</w:t>
      </w:r>
      <w:r>
        <w:rPr>
          <w:rFonts w:hint="eastAsia" w:ascii="宋体" w:hAnsi="Times New Roman" w:eastAsia="宋体" w:cs="Times New Roman"/>
        </w:rPr>
        <w:t>具有较大影响的</w:t>
      </w:r>
      <w:r>
        <w:rPr>
          <w:rFonts w:hint="eastAsia" w:ascii="宋体" w:hAnsi="Times New Roman" w:eastAsia="宋体" w:cs="Times New Roman"/>
          <w:lang w:val="en-US" w:eastAsia="zh-CN"/>
        </w:rPr>
        <w:t>工业</w:t>
      </w:r>
      <w:r>
        <w:rPr>
          <w:rFonts w:hint="eastAsia" w:ascii="宋体" w:hAnsi="Times New Roman" w:eastAsia="宋体" w:cs="Times New Roman"/>
        </w:rPr>
        <w:t>数据</w:t>
      </w:r>
      <w:r>
        <w:rPr>
          <w:rFonts w:hint="eastAsia" w:ascii="宋体" w:hAnsi="Times New Roman" w:eastAsia="宋体" w:cs="Times New Roman"/>
          <w:lang w:val="en-US" w:eastAsia="zh-CN"/>
        </w:rPr>
        <w:t>，一旦遭到泄露、篡改、损毁、或者非法获取、非法使用、非法共享，对国家安全、社会秩序、经济运行和行业发展</w:t>
      </w:r>
      <w:r>
        <w:rPr>
          <w:rFonts w:hint="eastAsia" w:ascii="宋体" w:hAnsi="Times New Roman" w:eastAsia="宋体" w:cs="Times New Roman"/>
        </w:rPr>
        <w:t>造成</w:t>
      </w:r>
      <w:r>
        <w:rPr>
          <w:rFonts w:hint="eastAsia" w:ascii="宋体" w:hAnsi="Times New Roman" w:eastAsia="宋体" w:cs="Times New Roman"/>
          <w:lang w:val="en-US" w:eastAsia="zh-CN"/>
        </w:rPr>
        <w:t>较</w:t>
      </w:r>
      <w:r>
        <w:rPr>
          <w:rFonts w:hint="eastAsia" w:ascii="宋体" w:hAnsi="Times New Roman" w:eastAsia="宋体" w:cs="Times New Roman"/>
        </w:rPr>
        <w:t>大风险。</w:t>
      </w:r>
    </w:p>
    <w:p>
      <w:pPr>
        <w:pStyle w:val="30"/>
        <w:spacing w:line="360" w:lineRule="auto"/>
        <w:ind w:firstLine="420"/>
        <w:rPr>
          <w:rFonts w:hint="eastAsia" w:ascii="宋体" w:hAnsi="Times New Roman" w:eastAsia="宋体" w:cs="Times New Roman"/>
        </w:rPr>
      </w:pPr>
      <w:r>
        <w:rPr>
          <w:rFonts w:hint="eastAsia" w:ascii="黑体" w:hAnsi="黑体" w:eastAsia="黑体" w:cs="黑体"/>
          <w:sz w:val="18"/>
          <w:szCs w:val="18"/>
          <w:lang w:val="en-US" w:eastAsia="zh-CN"/>
        </w:rPr>
        <w:t>注：</w:t>
      </w:r>
      <w:r>
        <w:rPr>
          <w:rFonts w:hint="eastAsia" w:ascii="宋体" w:hAnsi="宋体" w:eastAsia="宋体" w:cs="宋体"/>
          <w:sz w:val="18"/>
          <w:szCs w:val="18"/>
          <w:lang w:val="en-US" w:eastAsia="zh-CN"/>
        </w:rPr>
        <w:t>只对企业自身而言重要的数据（如企业的内部管理相关数据等）不属于重要数据。</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3.3</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eastAsia"/>
        </w:rPr>
      </w:pPr>
      <w:r>
        <w:rPr>
          <w:rFonts w:hint="eastAsia" w:ascii="黑体" w:hAnsi="黑体" w:eastAsia="黑体" w:cs="黑体"/>
          <w:b w:val="0"/>
          <w:bCs w:val="0"/>
        </w:rPr>
        <w:t xml:space="preserve">核心数据 </w:t>
      </w:r>
      <w:r>
        <w:rPr>
          <w:rFonts w:hint="eastAsia" w:ascii="黑体" w:hAnsi="黑体" w:eastAsia="黑体" w:cs="黑体"/>
          <w:b w:val="0"/>
          <w:bCs w:val="0"/>
          <w:lang w:val="en-US" w:eastAsia="zh-CN"/>
        </w:rPr>
        <w:t>c</w:t>
      </w:r>
      <w:r>
        <w:rPr>
          <w:rFonts w:hint="eastAsia" w:ascii="黑体" w:hAnsi="黑体" w:eastAsia="黑体" w:cs="黑体"/>
          <w:b w:val="0"/>
          <w:bCs w:val="0"/>
        </w:rPr>
        <w:t xml:space="preserve">ore </w:t>
      </w:r>
      <w:r>
        <w:rPr>
          <w:rFonts w:hint="eastAsia" w:ascii="黑体" w:hAnsi="黑体" w:eastAsia="黑体" w:cs="黑体"/>
          <w:b w:val="0"/>
          <w:bCs w:val="0"/>
          <w:lang w:val="en-US" w:eastAsia="zh-CN"/>
        </w:rPr>
        <w:t>d</w:t>
      </w:r>
      <w:r>
        <w:rPr>
          <w:rFonts w:hint="eastAsia" w:ascii="黑体" w:hAnsi="黑体" w:eastAsia="黑体" w:cs="黑体"/>
          <w:b w:val="0"/>
          <w:bCs w:val="0"/>
        </w:rPr>
        <w:t>ata</w:t>
      </w:r>
    </w:p>
    <w:p>
      <w:pPr>
        <w:pStyle w:val="30"/>
        <w:spacing w:line="360" w:lineRule="auto"/>
        <w:ind w:firstLine="420"/>
        <w:rPr>
          <w:rFonts w:hint="eastAsia" w:ascii="宋体" w:hAnsi="Times New Roman" w:eastAsia="宋体" w:cs="Times New Roman"/>
          <w:lang w:val="en-US" w:eastAsia="zh-CN"/>
        </w:rPr>
      </w:pPr>
      <w:r>
        <w:rPr>
          <w:rFonts w:hint="eastAsia" w:ascii="宋体" w:hAnsi="Times New Roman" w:eastAsia="宋体" w:cs="Times New Roman"/>
        </w:rPr>
        <w:t>对国家安全、</w:t>
      </w:r>
      <w:r>
        <w:rPr>
          <w:rFonts w:hint="eastAsia" w:ascii="宋体" w:hAnsi="Times New Roman" w:eastAsia="宋体" w:cs="Times New Roman"/>
          <w:lang w:eastAsia="zh-CN"/>
        </w:rPr>
        <w:t>社会秩序</w:t>
      </w:r>
      <w:r>
        <w:rPr>
          <w:rFonts w:hint="eastAsia" w:ascii="宋体" w:hAnsi="Times New Roman" w:eastAsia="宋体" w:cs="Times New Roman"/>
        </w:rPr>
        <w:t>、经济运行和行业发展具有</w:t>
      </w:r>
      <w:r>
        <w:rPr>
          <w:rFonts w:hint="eastAsia" w:ascii="宋体" w:hAnsi="Times New Roman" w:eastAsia="宋体" w:cs="Times New Roman"/>
          <w:lang w:val="en-US" w:eastAsia="zh-CN"/>
        </w:rPr>
        <w:t>重</w:t>
      </w:r>
      <w:r>
        <w:rPr>
          <w:rFonts w:hint="eastAsia" w:ascii="宋体" w:hAnsi="Times New Roman" w:eastAsia="宋体" w:cs="Times New Roman"/>
        </w:rPr>
        <w:t>大影响的工业数据，</w:t>
      </w:r>
      <w:r>
        <w:rPr>
          <w:rFonts w:hint="eastAsia" w:ascii="宋体" w:hAnsi="Times New Roman" w:eastAsia="宋体" w:cs="Times New Roman"/>
          <w:lang w:val="en-US" w:eastAsia="zh-CN"/>
        </w:rPr>
        <w:t>一旦遭到泄露、篡改、损毁、或者非法获取、非法使用、非法共享，</w:t>
      </w:r>
      <w:r>
        <w:rPr>
          <w:rFonts w:hint="eastAsia" w:ascii="宋体" w:hAnsi="Times New Roman" w:eastAsia="宋体" w:cs="Times New Roman"/>
        </w:rPr>
        <w:t>对国家安全、</w:t>
      </w:r>
      <w:r>
        <w:rPr>
          <w:rFonts w:hint="eastAsia" w:ascii="宋体" w:hAnsi="Times New Roman" w:eastAsia="宋体" w:cs="Times New Roman"/>
          <w:lang w:eastAsia="zh-CN"/>
        </w:rPr>
        <w:t>社会秩序</w:t>
      </w:r>
      <w:r>
        <w:rPr>
          <w:rFonts w:hint="eastAsia" w:ascii="宋体" w:hAnsi="Times New Roman" w:eastAsia="宋体" w:cs="Times New Roman"/>
        </w:rPr>
        <w:t>、经济运行和行业发展造成</w:t>
      </w:r>
      <w:r>
        <w:rPr>
          <w:rFonts w:hint="eastAsia" w:ascii="宋体" w:hAnsi="Times New Roman" w:eastAsia="宋体" w:cs="Times New Roman"/>
          <w:lang w:val="en-US" w:eastAsia="zh-CN"/>
        </w:rPr>
        <w:t>重</w:t>
      </w:r>
      <w:r>
        <w:rPr>
          <w:rFonts w:hint="eastAsia" w:ascii="宋体" w:hAnsi="Times New Roman" w:eastAsia="宋体" w:cs="Times New Roman"/>
        </w:rPr>
        <w:t>大风险</w:t>
      </w:r>
      <w:r>
        <w:rPr>
          <w:rFonts w:hint="eastAsia" w:ascii="宋体" w:hAnsi="Times New Roman" w:eastAsia="宋体" w:cs="Times New Roman"/>
          <w:lang w:eastAsia="zh-CN"/>
        </w:rPr>
        <w:t>，</w:t>
      </w:r>
      <w:r>
        <w:rPr>
          <w:rFonts w:hint="eastAsia" w:ascii="宋体" w:hAnsi="Times New Roman" w:eastAsia="宋体" w:cs="Times New Roman"/>
          <w:lang w:val="en-US" w:eastAsia="zh-CN"/>
        </w:rPr>
        <w:t>或</w:t>
      </w:r>
      <w:r>
        <w:rPr>
          <w:rFonts w:hint="eastAsia" w:ascii="宋体" w:hAnsi="Times New Roman" w:eastAsia="宋体" w:cs="Times New Roman"/>
        </w:rPr>
        <w:t>危害国家安全、公共利益</w:t>
      </w:r>
      <w:r>
        <w:rPr>
          <w:rFonts w:hint="eastAsia" w:ascii="宋体" w:hAnsi="Times New Roman" w:eastAsia="宋体" w:cs="Times New Roman"/>
          <w:lang w:val="en-US" w:eastAsia="zh-CN"/>
        </w:rPr>
        <w:t>的重要数据</w:t>
      </w:r>
      <w:r>
        <w:rPr>
          <w:rFonts w:hint="eastAsia" w:ascii="宋体" w:hAnsi="Times New Roman" w:eastAsia="宋体" w:cs="Times New Roman"/>
        </w:rPr>
        <w:t>。</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3.4</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eastAsia" w:ascii="黑体" w:hAnsi="黑体" w:eastAsia="黑体" w:cs="黑体"/>
          <w:b w:val="0"/>
          <w:bCs w:val="0"/>
        </w:rPr>
      </w:pPr>
      <w:r>
        <w:rPr>
          <w:rFonts w:hint="eastAsia" w:ascii="黑体" w:hAnsi="黑体" w:eastAsia="黑体" w:cs="黑体"/>
          <w:b w:val="0"/>
          <w:bCs w:val="0"/>
        </w:rPr>
        <w:t xml:space="preserve">一般数据 </w:t>
      </w:r>
      <w:r>
        <w:rPr>
          <w:rFonts w:hint="eastAsia" w:ascii="黑体" w:hAnsi="黑体" w:eastAsia="黑体" w:cs="黑体"/>
          <w:b w:val="0"/>
          <w:bCs w:val="0"/>
          <w:lang w:val="en-US" w:eastAsia="zh-CN"/>
        </w:rPr>
        <w:t>g</w:t>
      </w:r>
      <w:r>
        <w:rPr>
          <w:rFonts w:hint="eastAsia" w:ascii="黑体" w:hAnsi="黑体" w:eastAsia="黑体" w:cs="黑体"/>
          <w:b w:val="0"/>
          <w:bCs w:val="0"/>
        </w:rPr>
        <w:t xml:space="preserve">eneral </w:t>
      </w:r>
      <w:r>
        <w:rPr>
          <w:rFonts w:hint="eastAsia" w:ascii="黑体" w:hAnsi="黑体" w:eastAsia="黑体" w:cs="黑体"/>
          <w:b w:val="0"/>
          <w:bCs w:val="0"/>
          <w:lang w:val="en-US" w:eastAsia="zh-CN"/>
        </w:rPr>
        <w:t>d</w:t>
      </w:r>
      <w:r>
        <w:rPr>
          <w:rFonts w:hint="eastAsia" w:ascii="黑体" w:hAnsi="黑体" w:eastAsia="黑体" w:cs="黑体"/>
          <w:b w:val="0"/>
          <w:bCs w:val="0"/>
        </w:rPr>
        <w:t>ata</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核心数据</w:t>
      </w:r>
      <w:r>
        <w:rPr>
          <w:rFonts w:hint="eastAsia" w:ascii="宋体" w:hAnsi="Times New Roman" w:eastAsia="宋体" w:cs="Times New Roman"/>
          <w:lang w:eastAsia="zh-CN"/>
        </w:rPr>
        <w:t>、</w:t>
      </w:r>
      <w:r>
        <w:rPr>
          <w:rFonts w:hint="eastAsia" w:ascii="宋体" w:hAnsi="Times New Roman" w:eastAsia="宋体" w:cs="Times New Roman"/>
        </w:rPr>
        <w:t>重要数据之外的其他数据。</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lang w:val="en-US" w:eastAsia="zh-CN"/>
        </w:rPr>
        <w:t>[来源：</w:t>
      </w:r>
      <w:r>
        <w:rPr>
          <w:rFonts w:hint="eastAsia" w:ascii="宋体" w:hAnsi="Times New Roman" w:eastAsia="宋体" w:cs="Times New Roman"/>
        </w:rPr>
        <w:t>GB/T 43697—2024</w:t>
      </w:r>
      <w:r>
        <w:rPr>
          <w:rFonts w:hint="eastAsia" w:ascii="宋体" w:hAnsi="Times New Roman" w:eastAsia="宋体" w:cs="Times New Roman"/>
          <w:lang w:val="en-US" w:eastAsia="zh-CN"/>
        </w:rPr>
        <w:t>,3.4]</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3.5</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eastAsia" w:ascii="黑体" w:hAnsi="黑体" w:eastAsia="黑体" w:cs="黑体"/>
          <w:b w:val="0"/>
          <w:bCs w:val="0"/>
        </w:rPr>
      </w:pPr>
      <w:r>
        <w:rPr>
          <w:rFonts w:hint="eastAsia" w:ascii="黑体" w:hAnsi="黑体" w:eastAsia="黑体" w:cs="黑体"/>
          <w:b w:val="0"/>
          <w:bCs w:val="0"/>
        </w:rPr>
        <w:t xml:space="preserve">数据处理者 </w:t>
      </w:r>
      <w:r>
        <w:rPr>
          <w:rFonts w:hint="eastAsia" w:ascii="黑体" w:hAnsi="黑体" w:eastAsia="黑体" w:cs="黑体"/>
          <w:b w:val="0"/>
          <w:bCs w:val="0"/>
          <w:lang w:val="en-US" w:eastAsia="zh-CN"/>
        </w:rPr>
        <w:t>d</w:t>
      </w:r>
      <w:r>
        <w:rPr>
          <w:rFonts w:hint="eastAsia" w:ascii="黑体" w:hAnsi="黑体" w:eastAsia="黑体" w:cs="黑体"/>
          <w:b w:val="0"/>
          <w:bCs w:val="0"/>
        </w:rPr>
        <w:t xml:space="preserve">ata </w:t>
      </w:r>
      <w:r>
        <w:rPr>
          <w:rFonts w:hint="eastAsia" w:ascii="黑体" w:hAnsi="黑体" w:eastAsia="黑体" w:cs="黑体"/>
          <w:b w:val="0"/>
          <w:bCs w:val="0"/>
          <w:lang w:val="en-US" w:eastAsia="zh-CN"/>
        </w:rPr>
        <w:t>p</w:t>
      </w:r>
      <w:r>
        <w:rPr>
          <w:rFonts w:hint="eastAsia" w:ascii="黑体" w:hAnsi="黑体" w:eastAsia="黑体" w:cs="黑体"/>
          <w:b w:val="0"/>
          <w:bCs w:val="0"/>
        </w:rPr>
        <w:t>rocessor</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rPr>
        <w:t>在数据处理活动中自主决定数据处理目的</w:t>
      </w:r>
      <w:r>
        <w:rPr>
          <w:rFonts w:hint="eastAsia" w:ascii="宋体" w:hAnsi="Times New Roman" w:eastAsia="宋体" w:cs="Times New Roman"/>
          <w:lang w:eastAsia="zh-CN"/>
        </w:rPr>
        <w:t>、</w:t>
      </w:r>
      <w:r>
        <w:rPr>
          <w:rFonts w:hint="eastAsia" w:ascii="宋体" w:hAnsi="Times New Roman" w:eastAsia="宋体" w:cs="Times New Roman"/>
          <w:lang w:val="en-US" w:eastAsia="zh-CN"/>
        </w:rPr>
        <w:t>处理</w:t>
      </w:r>
      <w:r>
        <w:rPr>
          <w:rFonts w:hint="eastAsia" w:ascii="宋体" w:hAnsi="Times New Roman" w:eastAsia="宋体" w:cs="Times New Roman"/>
        </w:rPr>
        <w:t>方式的</w:t>
      </w:r>
      <w:r>
        <w:rPr>
          <w:rFonts w:hint="eastAsia" w:ascii="宋体" w:hAnsi="Times New Roman" w:eastAsia="宋体" w:cs="Times New Roman"/>
          <w:lang w:val="en-US" w:eastAsia="zh-CN"/>
        </w:rPr>
        <w:t>工业领域各类</w:t>
      </w:r>
      <w:r>
        <w:rPr>
          <w:rFonts w:hint="eastAsia" w:ascii="宋体" w:hAnsi="Times New Roman" w:eastAsia="宋体" w:cs="Times New Roman"/>
        </w:rPr>
        <w:t>主体。</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lang w:val="en-US" w:eastAsia="zh-CN"/>
        </w:rPr>
        <w:t>[来源：</w:t>
      </w:r>
      <w:r>
        <w:rPr>
          <w:rFonts w:hint="eastAsia" w:ascii="宋体" w:hAnsi="Times New Roman" w:eastAsia="宋体" w:cs="Times New Roman"/>
        </w:rPr>
        <w:t>GB/T 43697—2024</w:t>
      </w:r>
      <w:r>
        <w:rPr>
          <w:rFonts w:hint="eastAsia" w:ascii="宋体" w:hAnsi="Times New Roman" w:eastAsia="宋体" w:cs="Times New Roman"/>
          <w:lang w:val="en-US" w:eastAsia="zh-CN"/>
        </w:rPr>
        <w:t>,3.11,有修改]</w:t>
      </w:r>
    </w:p>
    <w:p>
      <w:pPr>
        <w:pStyle w:val="30"/>
        <w:spacing w:before="156" w:after="156"/>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3.6</w:t>
      </w:r>
    </w:p>
    <w:p>
      <w:pPr>
        <w:pStyle w:val="30"/>
        <w:keepNext w:val="0"/>
        <w:keepLines w:val="0"/>
        <w:pageBreakBefore w:val="0"/>
        <w:widowControl/>
        <w:kinsoku/>
        <w:wordWrap/>
        <w:overflowPunct/>
        <w:topLinePunct w:val="0"/>
        <w:autoSpaceDE w:val="0"/>
        <w:autoSpaceDN w:val="0"/>
        <w:bidi w:val="0"/>
        <w:adjustRightInd/>
        <w:snapToGrid/>
        <w:spacing w:before="156" w:line="360" w:lineRule="auto"/>
        <w:ind w:left="0" w:leftChars="0" w:firstLine="420" w:firstLineChars="200"/>
        <w:textAlignment w:val="auto"/>
        <w:rPr>
          <w:rFonts w:hint="default" w:ascii="黑体" w:hAnsi="黑体" w:eastAsia="黑体" w:cs="黑体"/>
          <w:b w:val="0"/>
          <w:bCs w:val="0"/>
          <w:lang w:val="en-US" w:eastAsia="zh-CN"/>
        </w:rPr>
      </w:pPr>
      <w:r>
        <w:rPr>
          <w:rFonts w:hint="eastAsia" w:ascii="黑体" w:hAnsi="黑体" w:eastAsia="黑体" w:cs="黑体"/>
          <w:b w:val="0"/>
          <w:bCs w:val="0"/>
          <w:lang w:val="en-US" w:eastAsia="zh-CN"/>
        </w:rPr>
        <w:t>数据安全 data security</w:t>
      </w:r>
    </w:p>
    <w:p>
      <w:pPr>
        <w:pStyle w:val="30"/>
        <w:spacing w:line="360" w:lineRule="auto"/>
        <w:ind w:firstLine="420"/>
        <w:rPr>
          <w:rFonts w:hint="eastAsia" w:ascii="宋体" w:hAnsi="Times New Roman" w:eastAsia="宋体" w:cs="Times New Roman"/>
        </w:rPr>
      </w:pPr>
      <w:r>
        <w:rPr>
          <w:rFonts w:hint="eastAsia" w:ascii="宋体" w:hAnsi="Times New Roman" w:eastAsia="宋体" w:cs="Times New Roman"/>
          <w:lang w:val="en-US" w:eastAsia="zh-CN"/>
        </w:rPr>
        <w:t>数据的机密性、完整性和可用性</w:t>
      </w:r>
      <w:r>
        <w:rPr>
          <w:rFonts w:hint="eastAsia" w:ascii="宋体" w:hAnsi="Times New Roman" w:eastAsia="宋体" w:cs="Times New Roman"/>
        </w:rPr>
        <w:t>。</w:t>
      </w:r>
    </w:p>
    <w:p>
      <w:pPr>
        <w:pStyle w:val="30"/>
        <w:spacing w:line="360" w:lineRule="auto"/>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[来源：</w:t>
      </w:r>
      <w:r>
        <w:rPr>
          <w:rFonts w:hint="eastAsia" w:ascii="宋体" w:hAnsi="Times New Roman" w:eastAsia="宋体" w:cs="Times New Roman"/>
        </w:rPr>
        <w:t>GB/T 36073—2018</w:t>
      </w:r>
      <w:r>
        <w:rPr>
          <w:rFonts w:hint="eastAsia" w:ascii="宋体" w:hAnsi="Times New Roman" w:eastAsia="宋体" w:cs="Times New Roman"/>
          <w:lang w:val="en-US" w:eastAsia="zh-CN"/>
        </w:rPr>
        <w:t>,3.11]</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rPr>
          <w:rFonts w:hint="eastAsia" w:cs="Times New Roman"/>
          <w:b w:val="0"/>
          <w:bCs/>
          <w:lang w:val="en-US" w:eastAsia="zh-CN"/>
        </w:rPr>
      </w:pPr>
      <w:bookmarkStart w:id="5" w:name="_Toc3102"/>
      <w:r>
        <w:rPr>
          <w:rFonts w:hint="eastAsia" w:cs="Times New Roman"/>
          <w:b w:val="0"/>
          <w:bCs/>
          <w:lang w:val="en-US" w:eastAsia="zh-CN"/>
        </w:rPr>
        <w:t>4  基本原则</w:t>
      </w:r>
      <w:bookmarkEnd w:id="5"/>
    </w:p>
    <w:p>
      <w:pPr>
        <w:keepNext w:val="0"/>
        <w:keepLines w:val="0"/>
        <w:pageBreakBefore w:val="0"/>
        <w:widowControl/>
        <w:suppressLineNumbers w:val="0"/>
        <w:kinsoku/>
        <w:wordWrap/>
        <w:overflowPunct/>
        <w:topLinePunct w:val="0"/>
        <w:autoSpaceDE/>
        <w:autoSpaceDN/>
        <w:bidi w:val="0"/>
        <w:adjustRightInd/>
        <w:snapToGrid/>
        <w:spacing w:line="360" w:lineRule="auto"/>
        <w:ind w:firstLine="436" w:firstLineChars="200"/>
        <w:jc w:val="left"/>
        <w:textAlignment w:val="auto"/>
        <w:rPr>
          <w:rFonts w:hint="eastAsia" w:ascii="宋体" w:hAnsi="宋体" w:eastAsia="宋体" w:cs="宋体"/>
          <w:color w:val="000000"/>
          <w:kern w:val="0"/>
          <w:sz w:val="21"/>
          <w:szCs w:val="21"/>
          <w:lang w:bidi="ar"/>
        </w:rPr>
      </w:pPr>
      <w:r>
        <w:rPr>
          <w:rFonts w:hint="eastAsia" w:ascii="宋体" w:hAnsi="宋体" w:eastAsia="宋体" w:cs="宋体"/>
          <w:i w:val="0"/>
          <w:iCs w:val="0"/>
          <w:caps w:val="0"/>
          <w:color w:val="060607"/>
          <w:spacing w:val="4"/>
          <w:sz w:val="21"/>
          <w:szCs w:val="21"/>
          <w:shd w:val="clear" w:fill="FFFFFF"/>
        </w:rPr>
        <w:t>有色金属行业工业数据分类分级</w:t>
      </w:r>
      <w:r>
        <w:rPr>
          <w:rFonts w:hint="eastAsia" w:ascii="宋体" w:hAnsi="宋体" w:eastAsia="宋体" w:cs="宋体"/>
          <w:i w:val="0"/>
          <w:iCs w:val="0"/>
          <w:caps w:val="0"/>
          <w:color w:val="060607"/>
          <w:spacing w:val="4"/>
          <w:sz w:val="21"/>
          <w:szCs w:val="21"/>
          <w:shd w:val="clear" w:fill="FFFFFF"/>
          <w:lang w:val="en-US" w:eastAsia="zh-CN"/>
        </w:rPr>
        <w:t>除</w:t>
      </w:r>
      <w:r>
        <w:rPr>
          <w:rFonts w:hint="eastAsia" w:ascii="宋体" w:hAnsi="宋体" w:eastAsia="宋体" w:cs="宋体"/>
          <w:color w:val="000000"/>
          <w:kern w:val="0"/>
          <w:sz w:val="21"/>
          <w:szCs w:val="21"/>
          <w:lang w:val="en-US" w:eastAsia="zh-CN" w:bidi="ar"/>
        </w:rPr>
        <w:t>遵循</w:t>
      </w:r>
      <w:r>
        <w:rPr>
          <w:rFonts w:hint="eastAsia" w:ascii="宋体" w:hAnsi="宋体" w:eastAsia="宋体" w:cs="宋体"/>
        </w:rPr>
        <w:t>GB/T 43697</w:t>
      </w:r>
      <w:r>
        <w:rPr>
          <w:rFonts w:hint="eastAsia" w:ascii="宋体" w:hAnsi="宋体" w:eastAsia="宋体" w:cs="宋体"/>
          <w:i w:val="0"/>
          <w:iCs w:val="0"/>
          <w:caps w:val="0"/>
          <w:color w:val="060607"/>
          <w:spacing w:val="4"/>
          <w:sz w:val="21"/>
          <w:szCs w:val="21"/>
          <w:shd w:val="clear" w:fill="FFFFFF"/>
          <w:lang w:val="en-US" w:eastAsia="zh-CN"/>
        </w:rPr>
        <w:t>基本原则</w:t>
      </w:r>
      <w:r>
        <w:rPr>
          <w:rFonts w:hint="eastAsia" w:ascii="宋体" w:hAnsi="宋体" w:eastAsia="宋体" w:cs="宋体"/>
          <w:lang w:val="en-US" w:eastAsia="zh-CN"/>
        </w:rPr>
        <w:t>外，在重要数据识别上还应当</w:t>
      </w:r>
      <w:r>
        <w:rPr>
          <w:rFonts w:hint="eastAsia" w:ascii="宋体" w:hAnsi="宋体" w:eastAsia="宋体" w:cs="宋体"/>
          <w:color w:val="000000"/>
          <w:kern w:val="0"/>
          <w:sz w:val="21"/>
          <w:szCs w:val="21"/>
          <w:lang w:val="en-US" w:eastAsia="zh-CN" w:bidi="ar"/>
        </w:rPr>
        <w:t>遵循</w:t>
      </w:r>
      <w:r>
        <w:rPr>
          <w:rFonts w:hint="eastAsia" w:ascii="宋体" w:hAnsi="宋体" w:eastAsia="宋体" w:cs="宋体"/>
          <w:lang w:val="en-US" w:eastAsia="zh-CN"/>
        </w:rPr>
        <w:t>以下原则</w:t>
      </w:r>
      <w:r>
        <w:rPr>
          <w:rFonts w:hint="eastAsia" w:ascii="宋体" w:hAnsi="宋体" w:eastAsia="宋体" w:cs="宋体"/>
          <w:color w:val="000000"/>
          <w:kern w:val="0"/>
          <w:sz w:val="21"/>
          <w:szCs w:val="21"/>
          <w:lang w:bidi="ar"/>
        </w:rPr>
        <w:t>。</w:t>
      </w:r>
    </w:p>
    <w:p>
      <w:pPr>
        <w:keepNext w:val="0"/>
        <w:keepLines w:val="0"/>
        <w:pageBreakBefore w:val="0"/>
        <w:numPr>
          <w:ilvl w:val="0"/>
          <w:numId w:val="4"/>
        </w:numPr>
        <w:tabs>
          <w:tab w:val="clear" w:pos="780"/>
        </w:tabs>
        <w:kinsoku/>
        <w:wordWrap/>
        <w:overflowPunct/>
        <w:topLinePunct w:val="0"/>
        <w:autoSpaceDE/>
        <w:autoSpaceDN/>
        <w:bidi w:val="0"/>
        <w:adjustRightInd/>
        <w:snapToGrid/>
        <w:spacing w:line="360" w:lineRule="auto"/>
        <w:textAlignment w:val="auto"/>
        <w:rPr>
          <w:rStyle w:val="12"/>
          <w:rFonts w:hint="eastAsia" w:ascii="宋体" w:hAnsi="宋体" w:eastAsia="宋体" w:cs="宋体"/>
          <w:b w:val="0"/>
          <w:bCs w:val="0"/>
          <w:i w:val="0"/>
          <w:iCs w:val="0"/>
          <w:caps w:val="0"/>
          <w:color w:val="060607"/>
          <w:spacing w:val="4"/>
          <w:kern w:val="0"/>
          <w:sz w:val="21"/>
          <w:szCs w:val="21"/>
          <w:shd w:val="clear" w:fill="FFFFFF"/>
          <w:vertAlign w:val="baseline"/>
          <w:lang w:val="en-US" w:eastAsia="zh-CN" w:bidi="ar"/>
        </w:rPr>
      </w:pPr>
      <w:r>
        <w:rPr>
          <w:rStyle w:val="12"/>
          <w:rFonts w:hint="eastAsia" w:ascii="宋体" w:hAnsi="宋体" w:eastAsia="宋体" w:cs="宋体"/>
          <w:b w:val="0"/>
          <w:bCs w:val="0"/>
          <w:i w:val="0"/>
          <w:iCs w:val="0"/>
          <w:caps w:val="0"/>
          <w:color w:val="060607"/>
          <w:spacing w:val="4"/>
          <w:kern w:val="0"/>
          <w:sz w:val="21"/>
          <w:szCs w:val="21"/>
          <w:shd w:val="clear" w:fill="FFFFFF"/>
          <w:vertAlign w:val="baseline"/>
          <w:lang w:val="en-US" w:eastAsia="zh-CN" w:bidi="ar"/>
        </w:rPr>
        <w:t>战略资源评估原则：从有色金属资源战略属性进行评估，识别对国家资源安全、产业链自主可控及国际市场话语权具有直接影响的数据，一旦泄露或滥用可能削弱国家在全球资源竞争中的优势，影响产业链关键环节的稳定性；</w:t>
      </w:r>
    </w:p>
    <w:p>
      <w:pPr>
        <w:keepNext w:val="0"/>
        <w:keepLines w:val="0"/>
        <w:pageBreakBefore w:val="0"/>
        <w:numPr>
          <w:ilvl w:val="0"/>
          <w:numId w:val="4"/>
        </w:numPr>
        <w:tabs>
          <w:tab w:val="clear" w:pos="780"/>
        </w:tabs>
        <w:kinsoku/>
        <w:wordWrap/>
        <w:overflowPunct/>
        <w:topLinePunct w:val="0"/>
        <w:autoSpaceDE/>
        <w:autoSpaceDN/>
        <w:bidi w:val="0"/>
        <w:adjustRightInd/>
        <w:snapToGrid/>
        <w:spacing w:line="360" w:lineRule="auto"/>
        <w:textAlignment w:val="auto"/>
        <w:rPr>
          <w:rStyle w:val="12"/>
          <w:rFonts w:hint="eastAsia" w:ascii="宋体" w:hAnsi="宋体" w:eastAsia="宋体" w:cs="宋体"/>
          <w:b w:val="0"/>
          <w:bCs w:val="0"/>
          <w:i w:val="0"/>
          <w:iCs w:val="0"/>
          <w:caps w:val="0"/>
          <w:color w:val="060607"/>
          <w:spacing w:val="4"/>
          <w:kern w:val="0"/>
          <w:sz w:val="21"/>
          <w:szCs w:val="21"/>
          <w:shd w:val="clear" w:fill="FFFFFF"/>
          <w:vertAlign w:val="baseline"/>
          <w:lang w:val="en-US" w:eastAsia="zh-CN" w:bidi="ar"/>
        </w:rPr>
      </w:pPr>
      <w:r>
        <w:rPr>
          <w:rStyle w:val="12"/>
          <w:rFonts w:hint="eastAsia" w:ascii="宋体" w:hAnsi="宋体" w:eastAsia="宋体" w:cs="宋体"/>
          <w:b w:val="0"/>
          <w:bCs w:val="0"/>
          <w:i w:val="0"/>
          <w:iCs w:val="0"/>
          <w:caps w:val="0"/>
          <w:color w:val="060607"/>
          <w:spacing w:val="4"/>
          <w:kern w:val="0"/>
          <w:sz w:val="21"/>
          <w:szCs w:val="21"/>
          <w:shd w:val="clear" w:fill="FFFFFF"/>
          <w:vertAlign w:val="baseline"/>
          <w:lang w:val="en-US" w:eastAsia="zh-CN" w:bidi="ar"/>
        </w:rPr>
        <w:t>安全风险影响原则：从国家安全、社会秩序、经济运行和行业发展等角度识别工业数据的影响力，数据一旦被泄露、篡改、损毁、非法获取或非法使用，对国家、社会、经济和行业造成的安全事故风险和经济损失程度；</w:t>
      </w:r>
    </w:p>
    <w:p>
      <w:pPr>
        <w:keepNext w:val="0"/>
        <w:keepLines w:val="0"/>
        <w:pageBreakBefore w:val="0"/>
        <w:numPr>
          <w:ilvl w:val="0"/>
          <w:numId w:val="4"/>
        </w:numPr>
        <w:tabs>
          <w:tab w:val="clear" w:pos="780"/>
        </w:tabs>
        <w:kinsoku/>
        <w:wordWrap/>
        <w:overflowPunct/>
        <w:topLinePunct w:val="0"/>
        <w:autoSpaceDE/>
        <w:autoSpaceDN/>
        <w:bidi w:val="0"/>
        <w:adjustRightInd/>
        <w:snapToGrid/>
        <w:spacing w:line="360" w:lineRule="auto"/>
        <w:textAlignment w:val="auto"/>
        <w:rPr>
          <w:rStyle w:val="12"/>
          <w:rFonts w:hint="eastAsia" w:ascii="宋体" w:hAnsi="宋体" w:eastAsia="宋体" w:cs="宋体"/>
          <w:b w:val="0"/>
          <w:bCs w:val="0"/>
          <w:i w:val="0"/>
          <w:iCs w:val="0"/>
          <w:caps w:val="0"/>
          <w:color w:val="060607"/>
          <w:spacing w:val="4"/>
          <w:kern w:val="0"/>
          <w:sz w:val="21"/>
          <w:szCs w:val="21"/>
          <w:shd w:val="clear" w:fill="FFFFFF"/>
          <w:vertAlign w:val="baseline"/>
          <w:lang w:val="en-US" w:eastAsia="zh-CN" w:bidi="ar"/>
        </w:rPr>
      </w:pPr>
      <w:r>
        <w:rPr>
          <w:rStyle w:val="12"/>
          <w:rFonts w:hint="eastAsia" w:ascii="宋体" w:hAnsi="宋体" w:eastAsia="宋体" w:cs="宋体"/>
          <w:b w:val="0"/>
          <w:bCs w:val="0"/>
          <w:i w:val="0"/>
          <w:iCs w:val="0"/>
          <w:caps w:val="0"/>
          <w:color w:val="060607"/>
          <w:spacing w:val="4"/>
          <w:kern w:val="0"/>
          <w:sz w:val="21"/>
          <w:szCs w:val="21"/>
          <w:shd w:val="clear" w:fill="FFFFFF"/>
          <w:vertAlign w:val="baseline"/>
          <w:lang w:val="en-US" w:eastAsia="zh-CN" w:bidi="ar"/>
        </w:rPr>
        <w:t>定性定量结合原则：以定性与定量相结合的方式识别重要数据，并根据具体数据类型、数据用途、数据来源采取不同的定性或定量方法。</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rPr>
          <w:rFonts w:hint="eastAsia" w:cs="Times New Roman"/>
          <w:b w:val="0"/>
          <w:bCs/>
          <w:lang w:val="en-US" w:eastAsia="zh-CN"/>
        </w:rPr>
      </w:pPr>
      <w:bookmarkStart w:id="6" w:name="_Toc27122"/>
      <w:r>
        <w:rPr>
          <w:rFonts w:hint="eastAsia" w:cs="Times New Roman"/>
          <w:b w:val="0"/>
          <w:bCs/>
          <w:lang w:val="en-US" w:eastAsia="zh-CN"/>
        </w:rPr>
        <w:t>5  数据分类规则</w:t>
      </w:r>
      <w:bookmarkEnd w:id="6"/>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bookmarkStart w:id="7" w:name="_Toc27422"/>
      <w:r>
        <w:rPr>
          <w:rFonts w:hint="eastAsia" w:ascii="黑体" w:hAnsi="黑体" w:cs="黑体"/>
          <w:b w:val="0"/>
          <w:bCs w:val="0"/>
          <w:lang w:val="en-US" w:eastAsia="zh-CN"/>
        </w:rPr>
        <w:t>5.1 数据分类框架</w:t>
      </w:r>
      <w:bookmarkEnd w:id="7"/>
    </w:p>
    <w:p>
      <w:pPr>
        <w:pStyle w:val="30"/>
        <w:keepNext w:val="0"/>
        <w:keepLines w:val="0"/>
        <w:pageBreakBefore w:val="0"/>
        <w:widowControl/>
        <w:kinsoku/>
        <w:wordWrap/>
        <w:overflowPunct/>
        <w:topLinePunct w:val="0"/>
        <w:autoSpaceDE w:val="0"/>
        <w:autoSpaceDN w:val="0"/>
        <w:bidi w:val="0"/>
        <w:adjustRightInd/>
        <w:snapToGrid/>
        <w:spacing w:line="360" w:lineRule="auto"/>
        <w:ind w:left="0" w:leftChars="0" w:firstLine="436" w:firstLineChars="200"/>
        <w:textAlignment w:val="auto"/>
        <w:rPr>
          <w:rFonts w:hint="default" w:ascii="Helvetica" w:hAnsi="Helvetica" w:eastAsia="宋体" w:cs="Helvetica"/>
          <w:i w:val="0"/>
          <w:iCs w:val="0"/>
          <w:caps w:val="0"/>
          <w:color w:val="060607"/>
          <w:spacing w:val="4"/>
          <w:sz w:val="21"/>
          <w:szCs w:val="21"/>
          <w:shd w:val="clear" w:fill="FFFFFF"/>
          <w:lang w:val="en-US" w:eastAsia="zh-CN"/>
        </w:rPr>
      </w:pPr>
      <w:r>
        <w:rPr>
          <w:rFonts w:hint="eastAsia" w:ascii="Helvetica" w:hAnsi="Helvetica" w:eastAsia="Helvetica" w:cs="Helvetica"/>
          <w:i w:val="0"/>
          <w:iCs w:val="0"/>
          <w:caps w:val="0"/>
          <w:color w:val="060607"/>
          <w:spacing w:val="4"/>
          <w:sz w:val="21"/>
          <w:szCs w:val="21"/>
          <w:shd w:val="clear" w:fill="FFFFFF"/>
        </w:rPr>
        <w:t>有色金属行业的数据分类框架应结合行业特点，</w:t>
      </w:r>
      <w:r>
        <w:rPr>
          <w:rFonts w:hint="eastAsia" w:ascii="Helvetica" w:hAnsi="Helvetica" w:eastAsia="宋体" w:cs="Helvetica"/>
          <w:i w:val="0"/>
          <w:iCs w:val="0"/>
          <w:caps w:val="0"/>
          <w:color w:val="060607"/>
          <w:spacing w:val="4"/>
          <w:sz w:val="21"/>
          <w:szCs w:val="21"/>
          <w:shd w:val="clear" w:fill="FFFFFF"/>
          <w:lang w:val="en-US" w:eastAsia="zh-CN"/>
        </w:rPr>
        <w:t>按照</w:t>
      </w:r>
      <w:r>
        <w:rPr>
          <w:rFonts w:hint="eastAsia" w:ascii="Helvetica" w:hAnsi="Helvetica" w:eastAsia="Helvetica" w:cs="Helvetica"/>
          <w:i w:val="0"/>
          <w:iCs w:val="0"/>
          <w:caps w:val="0"/>
          <w:color w:val="060607"/>
          <w:spacing w:val="4"/>
          <w:sz w:val="21"/>
          <w:szCs w:val="21"/>
          <w:shd w:val="clear" w:fill="FFFFFF"/>
        </w:rPr>
        <w:t>业务属性进行细</w:t>
      </w:r>
      <w:r>
        <w:rPr>
          <w:rFonts w:hint="eastAsia" w:ascii="Helvetica" w:hAnsi="Helvetica" w:eastAsia="宋体" w:cs="Helvetica"/>
          <w:i w:val="0"/>
          <w:iCs w:val="0"/>
          <w:caps w:val="0"/>
          <w:color w:val="060607"/>
          <w:spacing w:val="4"/>
          <w:sz w:val="21"/>
          <w:szCs w:val="21"/>
          <w:shd w:val="clear" w:fill="FFFFFF"/>
          <w:lang w:val="en-US" w:eastAsia="zh-CN"/>
        </w:rPr>
        <w:t>化</w:t>
      </w:r>
      <w:r>
        <w:rPr>
          <w:rFonts w:hint="eastAsia" w:ascii="Helvetica" w:hAnsi="Helvetica" w:eastAsia="Helvetica" w:cs="Helvetica"/>
          <w:i w:val="0"/>
          <w:iCs w:val="0"/>
          <w:caps w:val="0"/>
          <w:color w:val="060607"/>
          <w:spacing w:val="4"/>
          <w:sz w:val="21"/>
          <w:szCs w:val="21"/>
          <w:shd w:val="clear" w:fill="FFFFFF"/>
        </w:rPr>
        <w:t>分</w:t>
      </w:r>
      <w:r>
        <w:rPr>
          <w:rFonts w:hint="eastAsia" w:ascii="Helvetica" w:hAnsi="Helvetica" w:eastAsia="宋体" w:cs="Helvetica"/>
          <w:i w:val="0"/>
          <w:iCs w:val="0"/>
          <w:caps w:val="0"/>
          <w:color w:val="060607"/>
          <w:spacing w:val="4"/>
          <w:sz w:val="21"/>
          <w:szCs w:val="21"/>
          <w:shd w:val="clear" w:fill="FFFFFF"/>
          <w:lang w:val="en-US" w:eastAsia="zh-CN"/>
        </w:rPr>
        <w:t>类</w:t>
      </w:r>
      <w:r>
        <w:rPr>
          <w:rFonts w:hint="eastAsia" w:ascii="Helvetica" w:hAnsi="Helvetica" w:eastAsia="宋体" w:cs="Helvetica"/>
          <w:i w:val="0"/>
          <w:iCs w:val="0"/>
          <w:caps w:val="0"/>
          <w:color w:val="060607"/>
          <w:spacing w:val="4"/>
          <w:sz w:val="21"/>
          <w:szCs w:val="21"/>
          <w:shd w:val="clear" w:fill="FFFFFF"/>
          <w:lang w:val="en-US" w:eastAsia="zh-CN"/>
        </w:rPr>
        <w:t>。</w:t>
      </w:r>
      <w:r>
        <w:rPr>
          <w:rFonts w:hint="default" w:ascii="Helvetica" w:hAnsi="Helvetica" w:eastAsia="宋体" w:cs="Helvetica"/>
          <w:i w:val="0"/>
          <w:iCs w:val="0"/>
          <w:caps w:val="0"/>
          <w:color w:val="060607"/>
          <w:spacing w:val="4"/>
          <w:sz w:val="21"/>
          <w:szCs w:val="21"/>
          <w:shd w:val="clear" w:fill="FFFFFF"/>
          <w:lang w:val="en-US" w:eastAsia="zh-CN"/>
        </w:rPr>
        <w:t>常见业务属性包括但不限于</w:t>
      </w:r>
      <w:r>
        <w:rPr>
          <w:rFonts w:hint="eastAsia" w:ascii="Helvetica" w:hAnsi="Helvetica" w:cs="Helvetica"/>
          <w:i w:val="0"/>
          <w:iCs w:val="0"/>
          <w:caps w:val="0"/>
          <w:color w:val="060607"/>
          <w:spacing w:val="4"/>
          <w:sz w:val="21"/>
          <w:szCs w:val="21"/>
          <w:shd w:val="clear" w:fill="FFFFFF"/>
          <w:lang w:val="en-US" w:eastAsia="zh-CN"/>
        </w:rPr>
        <w:t>：</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业务领域</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按照业务范围、业务种类或业务功能进行细化分类</w:t>
      </w:r>
      <w:r>
        <w:rPr>
          <w:rStyle w:val="12"/>
          <w:rFonts w:hint="eastAsia" w:ascii="Helvetica" w:hAnsi="Helvetica" w:eastAsia="Helvetica" w:cs="Helvetica"/>
          <w:b w:val="0"/>
          <w:bCs w:val="0"/>
          <w:i w:val="0"/>
          <w:iCs w:val="0"/>
          <w:caps w:val="0"/>
          <w:color w:val="060607"/>
          <w:spacing w:val="4"/>
          <w:kern w:val="0"/>
          <w:sz w:val="21"/>
          <w:szCs w:val="21"/>
          <w:shd w:val="clear" w:fill="FFFFFF"/>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04" w:leftChars="397" w:hanging="470" w:hangingChars="250"/>
        <w:textAlignment w:val="auto"/>
        <w:rPr>
          <w:rStyle w:val="12"/>
          <w:rFonts w:hint="default" w:ascii="黑体" w:hAnsi="黑体" w:eastAsia="黑体" w:cs="黑体"/>
          <w:b w:val="0"/>
          <w:bCs w:val="0"/>
          <w:i w:val="0"/>
          <w:iCs w:val="0"/>
          <w:caps w:val="0"/>
          <w:color w:val="060607"/>
          <w:spacing w:val="4"/>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注1：</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按照有色金属行业业务领域分为重金属、轻金属、贵金属、稀有金属。</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责任</w:t>
      </w:r>
      <w:r>
        <w:rPr>
          <w:rFonts w:hint="eastAsia" w:ascii="Times New Roman" w:hAnsi="Times New Roman" w:eastAsia="宋体" w:cs="Times New Roman"/>
          <w:lang w:val="en-US" w:eastAsia="zh-CN"/>
        </w:rPr>
        <w:t>主体：从数据全生命周期的权责划分，</w:t>
      </w:r>
      <w:r>
        <w:rPr>
          <w:rFonts w:hint="default" w:ascii="Times New Roman" w:hAnsi="Times New Roman" w:eastAsia="宋体" w:cs="Times New Roman"/>
          <w:lang w:val="en-US" w:eastAsia="zh-CN"/>
        </w:rPr>
        <w:t>按照数据产生、管理、使用的责任单位或部门进行细化分类</w:t>
      </w:r>
      <w:r>
        <w:rPr>
          <w:rStyle w:val="12"/>
          <w:rFonts w:hint="eastAsia" w:ascii="Helvetica" w:hAnsi="Helvetica" w:eastAsia="Helvetica" w:cs="Helvetica"/>
          <w:b w:val="0"/>
          <w:bCs w:val="0"/>
          <w:i w:val="0"/>
          <w:iCs w:val="0"/>
          <w:caps w:val="0"/>
          <w:color w:val="060607"/>
          <w:spacing w:val="4"/>
          <w:kern w:val="0"/>
          <w:sz w:val="21"/>
          <w:szCs w:val="21"/>
          <w:shd w:val="clear" w:fill="FFFFFF"/>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04" w:leftChars="397" w:hanging="470" w:hangingChars="250"/>
        <w:textAlignment w:val="auto"/>
        <w:rPr>
          <w:rStyle w:val="12"/>
          <w:rFonts w:hint="default" w:ascii="黑体" w:hAnsi="黑体" w:eastAsia="黑体" w:cs="黑体"/>
          <w:b w:val="0"/>
          <w:bCs w:val="0"/>
          <w:i w:val="0"/>
          <w:iCs w:val="0"/>
          <w:caps w:val="0"/>
          <w:color w:val="060607"/>
          <w:spacing w:val="4"/>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注2：</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按照责任主体分为数据生产者、数据处理者、数据使用者、数据监管者。</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流程环节</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按照业务流程、产业链环节进行细化分类</w:t>
      </w:r>
      <w:r>
        <w:rPr>
          <w:rStyle w:val="12"/>
          <w:rFonts w:hint="eastAsia" w:ascii="Helvetica" w:hAnsi="Helvetica" w:eastAsia="Helvetica" w:cs="Helvetica"/>
          <w:b w:val="0"/>
          <w:bCs w:val="0"/>
          <w:i w:val="0"/>
          <w:iCs w:val="0"/>
          <w:caps w:val="0"/>
          <w:color w:val="060607"/>
          <w:spacing w:val="4"/>
          <w:kern w:val="0"/>
          <w:sz w:val="21"/>
          <w:szCs w:val="21"/>
          <w:shd w:val="clear" w:fill="FFFFFF"/>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04" w:leftChars="397" w:hanging="470" w:hangingChars="250"/>
        <w:textAlignment w:val="auto"/>
        <w:rPr>
          <w:rStyle w:val="12"/>
          <w:rFonts w:hint="default" w:ascii="黑体" w:hAnsi="黑体" w:eastAsia="黑体" w:cs="黑体"/>
          <w:b w:val="0"/>
          <w:bCs w:val="0"/>
          <w:i w:val="0"/>
          <w:iCs w:val="0"/>
          <w:caps w:val="0"/>
          <w:color w:val="060607"/>
          <w:spacing w:val="4"/>
          <w:kern w:val="0"/>
          <w:sz w:val="18"/>
          <w:szCs w:val="18"/>
          <w:shd w:val="clear" w:fill="FFFFFF"/>
          <w:vertAlign w:val="baseline"/>
          <w:lang w:val="en-US" w:eastAsia="zh-CN" w:bidi="ar"/>
        </w:rPr>
      </w:pPr>
      <w:r>
        <w:rPr>
          <w:rStyle w:val="12"/>
          <w:rFonts w:hint="default" w:ascii="黑体" w:hAnsi="黑体" w:eastAsia="黑体" w:cs="黑体"/>
          <w:b w:val="0"/>
          <w:bCs w:val="0"/>
          <w:i w:val="0"/>
          <w:iCs w:val="0"/>
          <w:caps w:val="0"/>
          <w:color w:val="060607"/>
          <w:spacing w:val="4"/>
          <w:kern w:val="0"/>
          <w:sz w:val="18"/>
          <w:szCs w:val="18"/>
          <w:shd w:val="clear" w:fill="FFFFFF"/>
          <w:vertAlign w:val="baseline"/>
          <w:lang w:val="en-US" w:eastAsia="zh-CN" w:bidi="ar"/>
        </w:rPr>
        <w:t>注</w:t>
      </w: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3：</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按照有色金属行业特性，流程环节分为采选、冶炼、加工。</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描述对象</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按照数据描述的对象进行细化分类</w:t>
      </w:r>
      <w:r>
        <w:rPr>
          <w:rStyle w:val="12"/>
          <w:rFonts w:hint="eastAsia" w:ascii="Helvetica" w:hAnsi="Helvetica" w:eastAsia="Helvetica" w:cs="Helvetica"/>
          <w:b w:val="0"/>
          <w:bCs w:val="0"/>
          <w:i w:val="0"/>
          <w:iCs w:val="0"/>
          <w:caps w:val="0"/>
          <w:color w:val="060607"/>
          <w:spacing w:val="4"/>
          <w:kern w:val="0"/>
          <w:sz w:val="21"/>
          <w:szCs w:val="21"/>
          <w:shd w:val="clear" w:fill="FFFFFF"/>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04" w:leftChars="397" w:hanging="470" w:hangingChars="250"/>
        <w:textAlignment w:val="auto"/>
        <w:rPr>
          <w:rStyle w:val="12"/>
          <w:rFonts w:hint="default" w:ascii="黑体" w:hAnsi="黑体" w:eastAsia="黑体" w:cs="黑体"/>
          <w:b w:val="0"/>
          <w:bCs w:val="0"/>
          <w:i w:val="0"/>
          <w:iCs w:val="0"/>
          <w:caps w:val="0"/>
          <w:color w:val="060607"/>
          <w:spacing w:val="4"/>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注4：</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按照描述对象分为研发设计、生产制造、经营管理、运行维护、平台运营、应用服务。</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除以上外，还可按照</w:t>
      </w:r>
      <w:r>
        <w:rPr>
          <w:rFonts w:hint="default" w:ascii="Times New Roman" w:hAnsi="Times New Roman" w:eastAsia="宋体" w:cs="Times New Roman"/>
          <w:lang w:val="en-US" w:eastAsia="zh-CN"/>
        </w:rPr>
        <w:t>内容主题</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数据用途</w:t>
      </w:r>
      <w:r>
        <w:rPr>
          <w:rFonts w:hint="eastAsia" w:ascii="Times New Roman" w:hAnsi="Times New Roman" w:eastAsia="宋体" w:cs="Times New Roman"/>
          <w:lang w:val="en-US" w:eastAsia="zh-CN"/>
        </w:rPr>
        <w:t>、数据处理、</w:t>
      </w:r>
      <w:r>
        <w:rPr>
          <w:rFonts w:hint="default" w:ascii="Times New Roman" w:hAnsi="Times New Roman" w:eastAsia="宋体" w:cs="Times New Roman"/>
          <w:lang w:val="en-US" w:eastAsia="zh-CN"/>
        </w:rPr>
        <w:t>数据来源</w:t>
      </w:r>
      <w:r>
        <w:rPr>
          <w:rFonts w:hint="eastAsia" w:ascii="Times New Roman" w:hAnsi="Times New Roman" w:eastAsia="宋体" w:cs="Times New Roman"/>
          <w:lang w:val="en-US" w:eastAsia="zh-CN"/>
        </w:rPr>
        <w:t>等属性</w:t>
      </w:r>
      <w:r>
        <w:rPr>
          <w:rFonts w:hint="default" w:ascii="Times New Roman" w:hAnsi="Times New Roman" w:eastAsia="宋体" w:cs="Times New Roman"/>
          <w:lang w:val="en-US" w:eastAsia="zh-CN"/>
        </w:rPr>
        <w:t>进行细化分类</w:t>
      </w:r>
      <w:r>
        <w:rPr>
          <w:rFonts w:hint="eastAsia" w:ascii="Times New Roman" w:hAnsi="Times New Roman" w:eastAsia="宋体" w:cs="Times New Roman"/>
          <w:lang w:val="en-US" w:eastAsia="zh-CN"/>
        </w:rPr>
        <w:t>；</w:t>
      </w:r>
    </w:p>
    <w:p>
      <w:pPr>
        <w:keepNext w:val="0"/>
        <w:keepLines w:val="0"/>
        <w:pageBreakBefore w:val="0"/>
        <w:numPr>
          <w:ilvl w:val="0"/>
          <w:numId w:val="5"/>
        </w:numPr>
        <w:tabs>
          <w:tab w:val="clear" w:pos="780"/>
        </w:tabs>
        <w:kinsoku/>
        <w:wordWrap/>
        <w:overflowPunct/>
        <w:topLinePunct w:val="0"/>
        <w:bidi w:val="0"/>
        <w:adjustRightInd/>
        <w:snapToGrid/>
        <w:spacing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如涉及法律法规有专门管理要求的数据类别，应按照有关规定和标准进行识别和分类。</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eastAsia" w:ascii="黑体" w:hAnsi="黑体" w:cs="黑体"/>
          <w:b w:val="0"/>
          <w:bCs w:val="0"/>
          <w:lang w:val="en-US" w:eastAsia="zh-CN"/>
        </w:rPr>
      </w:pPr>
      <w:bookmarkStart w:id="8" w:name="_Toc28303"/>
      <w:r>
        <w:rPr>
          <w:rFonts w:hint="eastAsia" w:ascii="黑体" w:hAnsi="黑体" w:cs="黑体"/>
          <w:b w:val="0"/>
          <w:bCs w:val="0"/>
          <w:lang w:val="en-US" w:eastAsia="zh-CN"/>
        </w:rPr>
        <w:t>5.2 数据分类方法</w:t>
      </w:r>
      <w:bookmarkEnd w:id="8"/>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数据分类应根据数据管理和使用需求，结合已有数据分类基础，灵活选择业务属性将数据细化分类。有色金属行业企业可参考以下步骤开展工业数据分类。</w:t>
      </w:r>
    </w:p>
    <w:p>
      <w:pPr>
        <w:keepNext w:val="0"/>
        <w:keepLines w:val="0"/>
        <w:pageBreakBefore w:val="0"/>
        <w:numPr>
          <w:ilvl w:val="0"/>
          <w:numId w:val="6"/>
        </w:numPr>
        <w:tabs>
          <w:tab w:val="clear" w:pos="780"/>
        </w:tabs>
        <w:kinsoku/>
        <w:wordWrap/>
        <w:overflowPunct/>
        <w:topLinePunct w:val="0"/>
        <w:bidi w:val="0"/>
        <w:adjustRightInd/>
        <w:snapToGrid/>
        <w:spacing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明确数据范围：企业可根据业务范围以及在产业链中所处流程环节，明确管理的数据范围；</w:t>
      </w:r>
    </w:p>
    <w:p>
      <w:pPr>
        <w:keepNext w:val="0"/>
        <w:keepLines w:val="0"/>
        <w:pageBreakBefore w:val="0"/>
        <w:numPr>
          <w:ilvl w:val="0"/>
          <w:numId w:val="6"/>
        </w:numPr>
        <w:tabs>
          <w:tab w:val="clear" w:pos="780"/>
        </w:tabs>
        <w:kinsoku/>
        <w:wordWrap/>
        <w:overflowPunct/>
        <w:topLinePunct w:val="0"/>
        <w:bidi w:val="0"/>
        <w:adjustRightInd/>
        <w:snapToGrid/>
        <w:spacing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细化业务分类：企业可结合部门职责分工、管理模式、业务流程等，细化或明确各业务条线的业务分类</w:t>
      </w:r>
      <w:r>
        <w:rPr>
          <w:rFonts w:hint="eastAsia" w:ascii="Times New Roman" w:hAnsi="Times New Roman" w:eastAsia="宋体"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04" w:leftChars="397" w:hanging="470" w:hangingChars="250"/>
        <w:textAlignment w:val="auto"/>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注1：</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按照业务条线可分为研发设计、生产制造、供应链管理、环保与安全、设备与能源、运行与维护、数据管理与服务。</w:t>
      </w:r>
    </w:p>
    <w:p>
      <w:pPr>
        <w:keepNext w:val="0"/>
        <w:keepLines w:val="0"/>
        <w:pageBreakBefore w:val="0"/>
        <w:numPr>
          <w:ilvl w:val="0"/>
          <w:numId w:val="6"/>
        </w:numPr>
        <w:tabs>
          <w:tab w:val="clear" w:pos="780"/>
        </w:tabs>
        <w:kinsoku/>
        <w:wordWrap/>
        <w:overflowPunct/>
        <w:topLinePunct w:val="0"/>
        <w:bidi w:val="0"/>
        <w:adjustRightInd/>
        <w:snapToGrid/>
        <w:spacing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业务属性分类：选择合适的业务属性，对关键业务的数据进行细化分类</w:t>
      </w:r>
      <w:r>
        <w:rPr>
          <w:rFonts w:hint="eastAsia" w:ascii="Times New Roman" w:hAnsi="Times New Roman" w:eastAsia="宋体"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04" w:leftChars="397" w:hanging="470" w:hangingChars="250"/>
        <w:textAlignment w:val="auto"/>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注2：</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常用的业务属性包括业务领域、责任主体、流程环节、描述对象等。</w:t>
      </w:r>
    </w:p>
    <w:p>
      <w:pPr>
        <w:keepNext w:val="0"/>
        <w:keepLines w:val="0"/>
        <w:pageBreakBefore w:val="0"/>
        <w:numPr>
          <w:ilvl w:val="0"/>
          <w:numId w:val="6"/>
        </w:numPr>
        <w:tabs>
          <w:tab w:val="clear" w:pos="780"/>
        </w:tabs>
        <w:kinsoku/>
        <w:wordWrap/>
        <w:overflowPunct/>
        <w:topLinePunct w:val="0"/>
        <w:bidi w:val="0"/>
        <w:adjustRightInd/>
        <w:snapToGrid/>
        <w:spacing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确定分类规则：梳理分析各关键业务的数据分类结果，根据数据管理和使用需求，</w:t>
      </w:r>
      <w:r>
        <w:rPr>
          <w:rFonts w:hint="eastAsia" w:ascii="宋体" w:hAnsi="宋体" w:eastAsia="宋体" w:cs="Times New Roman"/>
          <w:lang w:val="en-US" w:eastAsia="zh-CN"/>
        </w:rPr>
        <w:t>可采取“业务条线—关键业务—业务属性分类”的方式给出数据分类规则，或对关键业务的数据分类结果进行归类分析，将具有相似主题的数据子类进行归类。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04" w:leftChars="397" w:hanging="470" w:hangingChars="250"/>
        <w:textAlignment w:val="auto"/>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注3：</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以冶炼企业为例，数据按照描述对象方法,可分为研发设计数据、生产制造数据、经营管理数据、运行维护数据等，生产制造数据细分为</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生产监控数据</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控制信息</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、工况状态、工艺参数等，以熔炼配料数据为例，</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数据</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类别可标识为“冶炼数据-生产制造数据-工艺参数数据”。</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rPr>
          <w:rFonts w:hint="eastAsia" w:cs="Times New Roman"/>
          <w:b w:val="0"/>
          <w:bCs/>
          <w:lang w:val="en-US" w:eastAsia="zh-CN"/>
        </w:rPr>
      </w:pPr>
      <w:bookmarkStart w:id="9" w:name="_Toc2703"/>
      <w:r>
        <w:rPr>
          <w:rFonts w:hint="eastAsia" w:cs="Times New Roman"/>
          <w:b w:val="0"/>
          <w:bCs/>
          <w:lang w:val="en-US" w:eastAsia="zh-CN"/>
        </w:rPr>
        <w:t>6  数据分级规则</w:t>
      </w:r>
      <w:bookmarkEnd w:id="9"/>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eastAsia" w:ascii="黑体" w:hAnsi="黑体" w:cs="黑体"/>
          <w:b w:val="0"/>
          <w:bCs w:val="0"/>
          <w:lang w:val="en-US" w:eastAsia="zh-CN"/>
        </w:rPr>
      </w:pPr>
      <w:bookmarkStart w:id="10" w:name="_Toc21004"/>
      <w:r>
        <w:rPr>
          <w:rFonts w:hint="eastAsia" w:ascii="黑体" w:hAnsi="黑体" w:cs="黑体"/>
          <w:b w:val="0"/>
          <w:bCs w:val="0"/>
          <w:lang w:val="en-US" w:eastAsia="zh-CN"/>
        </w:rPr>
        <w:t>6.1 数据分级框架</w:t>
      </w:r>
      <w:bookmarkEnd w:id="10"/>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根据数据在国家安全、社会秩序、经济运行和行业发展的重要程度，以及一旦遭到泄露、篡改、损毁、或者非法获取、非法使用、非法共享,对国家安全、社会秩序、经济运行和行业发展造成的危害程度，将数据从高到低分为核心数据、重要数据、一般数据三个级别。</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eastAsia" w:ascii="黑体" w:hAnsi="黑体" w:cs="黑体"/>
          <w:b w:val="0"/>
          <w:bCs w:val="0"/>
          <w:lang w:val="en-US" w:eastAsia="zh-CN"/>
        </w:rPr>
      </w:pPr>
      <w:bookmarkStart w:id="11" w:name="_Toc15820"/>
      <w:r>
        <w:rPr>
          <w:rFonts w:hint="eastAsia" w:ascii="黑体" w:hAnsi="黑体" w:cs="黑体"/>
          <w:b w:val="0"/>
          <w:bCs w:val="0"/>
          <w:lang w:val="en-US" w:eastAsia="zh-CN"/>
        </w:rPr>
        <w:t>6.2 数据分级方法</w:t>
      </w:r>
      <w:bookmarkEnd w:id="11"/>
    </w:p>
    <w:p>
      <w:pPr>
        <w:pStyle w:val="3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default"/>
          <w:lang w:val="en-US" w:eastAsia="zh-CN"/>
        </w:rPr>
        <w:t>数据分级是为了确保数据在全生命周期内的安全性和合规性，有色金属行业采选、冶炼、加工企业可参考以下步骤进行</w:t>
      </w:r>
      <w:r>
        <w:rPr>
          <w:rFonts w:hint="eastAsia"/>
          <w:lang w:val="en-US" w:eastAsia="zh-CN"/>
        </w:rPr>
        <w:t>数据分级</w:t>
      </w:r>
      <w:r>
        <w:rPr>
          <w:rFonts w:hint="default"/>
          <w:lang w:val="en-US" w:eastAsia="zh-CN"/>
        </w:rPr>
        <w:t>。</w:t>
      </w:r>
    </w:p>
    <w:p>
      <w:pPr>
        <w:keepNext w:val="0"/>
        <w:keepLines w:val="0"/>
        <w:pageBreakBefore w:val="0"/>
        <w:numPr>
          <w:ilvl w:val="0"/>
          <w:numId w:val="7"/>
        </w:numPr>
        <w:kinsoku/>
        <w:wordWrap/>
        <w:overflowPunct/>
        <w:topLinePunct w:val="0"/>
        <w:bidi w:val="0"/>
        <w:adjustRightInd/>
        <w:snapToGrid/>
        <w:spacing w:line="360" w:lineRule="auto"/>
        <w:ind w:left="780" w:leftChars="0" w:hanging="360" w:firstLineChars="0"/>
        <w:textAlignment w:val="auto"/>
        <w:rPr>
          <w:rFonts w:hint="eastAsia"/>
        </w:rPr>
      </w:pPr>
      <w:r>
        <w:rPr>
          <w:rFonts w:hint="default"/>
          <w:lang w:val="en-US" w:eastAsia="zh-CN"/>
        </w:rPr>
        <w:t>确定分级对象：明确待分级的数据对象，包括但不限于数据项、数据集、衍生数据等</w:t>
      </w:r>
      <w:r>
        <w:rPr>
          <w:rStyle w:val="12"/>
          <w:rFonts w:hint="eastAsia" w:ascii="Helvetica" w:hAnsi="Helvetica" w:eastAsia="Helvetica" w:cs="Helvetica"/>
          <w:b w:val="0"/>
          <w:bCs w:val="0"/>
          <w:i w:val="0"/>
          <w:iCs w:val="0"/>
          <w:caps w:val="0"/>
          <w:color w:val="060607"/>
          <w:spacing w:val="4"/>
          <w:kern w:val="0"/>
          <w:sz w:val="21"/>
          <w:szCs w:val="21"/>
          <w:shd w:val="clear" w:fill="FFFFFF"/>
          <w:vertAlign w:val="baseli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10" w:leftChars="397" w:hanging="376" w:hangingChars="200"/>
        <w:textAlignment w:val="auto"/>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pP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注：</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数据项通常表现为数据库表中的某一列字段，例如铜冶炼工艺参数中的电流密度。数据集是由多个数据记录组成的集合，如数据库表、数据文件或生产过程中的实时监测数据集合</w:t>
      </w:r>
      <w:r>
        <w:rPr>
          <w:rStyle w:val="12"/>
          <w:rFonts w:hint="eastAsia" w:ascii="黑体" w:hAnsi="黑体" w:eastAsia="黑体" w:cs="黑体"/>
          <w:b w:val="0"/>
          <w:bCs w:val="0"/>
          <w:i w:val="0"/>
          <w:iCs w:val="0"/>
          <w:caps w:val="0"/>
          <w:color w:val="060607"/>
          <w:spacing w:val="4"/>
          <w:kern w:val="0"/>
          <w:sz w:val="18"/>
          <w:szCs w:val="18"/>
          <w:shd w:val="clear" w:fill="FFFFFF"/>
          <w:vertAlign w:val="baseline"/>
          <w:lang w:val="en-US" w:eastAsia="zh-CN" w:bidi="ar"/>
        </w:rPr>
        <w:t>。</w:t>
      </w:r>
      <w:r>
        <w:rPr>
          <w:rStyle w:val="12"/>
          <w:rFonts w:hint="eastAsia" w:ascii="宋体" w:hAnsi="宋体" w:eastAsia="宋体" w:cs="宋体"/>
          <w:b w:val="0"/>
          <w:bCs w:val="0"/>
          <w:i w:val="0"/>
          <w:iCs w:val="0"/>
          <w:caps w:val="0"/>
          <w:color w:val="060607"/>
          <w:spacing w:val="4"/>
          <w:kern w:val="0"/>
          <w:sz w:val="18"/>
          <w:szCs w:val="18"/>
          <w:shd w:val="clear" w:fill="FFFFFF"/>
          <w:vertAlign w:val="baseline"/>
          <w:lang w:val="en-US" w:eastAsia="zh-CN" w:bidi="ar"/>
        </w:rPr>
        <w:t>衍生数据是指基于原始数据（包括数据项、数据集等）通过加工、计算、转换、聚合等处理方式而产生的新数据。</w:t>
      </w:r>
    </w:p>
    <w:p>
      <w:pPr>
        <w:keepNext w:val="0"/>
        <w:keepLines w:val="0"/>
        <w:pageBreakBefore w:val="0"/>
        <w:numPr>
          <w:ilvl w:val="0"/>
          <w:numId w:val="7"/>
        </w:numPr>
        <w:kinsoku/>
        <w:wordWrap/>
        <w:overflowPunct/>
        <w:topLinePunct w:val="0"/>
        <w:bidi w:val="0"/>
        <w:adjustRightInd/>
        <w:snapToGrid/>
        <w:spacing w:line="360" w:lineRule="auto"/>
        <w:ind w:left="780" w:leftChars="0" w:hanging="360" w:firstLineChars="0"/>
        <w:textAlignment w:val="auto"/>
        <w:rPr>
          <w:rFonts w:hint="eastAsia" w:ascii="宋体" w:hAnsi="宋体" w:eastAsia="宋体" w:cs="宋体"/>
        </w:rPr>
      </w:pPr>
      <w:r>
        <w:rPr>
          <w:rFonts w:hint="eastAsia" w:ascii="宋体" w:hAnsi="宋体" w:cs="宋体"/>
          <w:lang w:val="en-US" w:eastAsia="zh-CN"/>
        </w:rPr>
        <w:t>重要数据</w:t>
      </w:r>
      <w:r>
        <w:rPr>
          <w:rFonts w:hint="eastAsia" w:ascii="宋体" w:hAnsi="宋体" w:eastAsia="宋体" w:cs="宋体"/>
          <w:lang w:val="en-US" w:eastAsia="zh-CN"/>
        </w:rPr>
        <w:t>识别</w:t>
      </w:r>
      <w:r>
        <w:rPr>
          <w:rFonts w:hint="eastAsia" w:ascii="宋体" w:hAnsi="宋体" w:eastAsia="宋体" w:cs="宋体"/>
          <w:lang w:val="en-US" w:eastAsia="zh-CN"/>
        </w:rPr>
        <w:t>：结合有色金属行业的数据特点，</w:t>
      </w:r>
      <w:r>
        <w:rPr>
          <w:rFonts w:hint="eastAsia" w:ascii="宋体" w:hAnsi="宋体" w:cs="宋体"/>
          <w:lang w:val="en-US" w:eastAsia="zh-CN"/>
        </w:rPr>
        <w:t>按照6.3进行重要数据</w:t>
      </w:r>
      <w:r>
        <w:rPr>
          <w:rFonts w:hint="eastAsia" w:ascii="宋体" w:hAnsi="宋体" w:eastAsia="宋体" w:cs="宋体"/>
          <w:lang w:val="en-US" w:eastAsia="zh-CN"/>
        </w:rPr>
        <w:t>识别，分析数据在遭到</w:t>
      </w:r>
      <w:r>
        <w:rPr>
          <w:rFonts w:hint="eastAsia" w:ascii="宋体" w:hAnsi="宋体" w:eastAsia="宋体" w:cs="Times New Roman"/>
          <w:lang w:val="en-US" w:eastAsia="zh-CN"/>
        </w:rPr>
        <w:t>泄露、篡改、损毁、或者非法获取、非法使用、非法共享</w:t>
      </w:r>
      <w:r>
        <w:rPr>
          <w:rFonts w:hint="eastAsia" w:ascii="宋体" w:hAnsi="宋体" w:eastAsia="宋体" w:cs="宋体"/>
          <w:lang w:val="en-US" w:eastAsia="zh-CN"/>
        </w:rPr>
        <w:t>时</w:t>
      </w:r>
      <w:r>
        <w:rPr>
          <w:rFonts w:hint="eastAsia" w:ascii="宋体" w:hAnsi="宋体" w:cs="宋体"/>
          <w:lang w:val="en-US" w:eastAsia="zh-CN"/>
        </w:rPr>
        <w:t>，</w:t>
      </w:r>
      <w:r>
        <w:rPr>
          <w:rFonts w:hint="eastAsia" w:ascii="宋体" w:hAnsi="宋体" w:eastAsia="宋体" w:cs="宋体"/>
          <w:lang w:val="en-US" w:eastAsia="zh-CN"/>
        </w:rPr>
        <w:t>可能影响的对象（如国家安全、经济运行、社会秩序、</w:t>
      </w:r>
      <w:r>
        <w:rPr>
          <w:rFonts w:hint="eastAsia" w:ascii="宋体" w:hAnsi="宋体" w:cs="宋体"/>
          <w:lang w:val="en-US" w:eastAsia="zh-CN"/>
        </w:rPr>
        <w:t>行业发展</w:t>
      </w:r>
      <w:r>
        <w:rPr>
          <w:rFonts w:hint="eastAsia" w:ascii="宋体" w:hAnsi="宋体" w:eastAsia="宋体" w:cs="宋体"/>
          <w:lang w:val="en-US" w:eastAsia="zh-CN"/>
        </w:rPr>
        <w:t>）及影响程度（特别严重危害、严重危害、一般危害）</w:t>
      </w:r>
      <w:r>
        <w:rPr>
          <w:rStyle w:val="12"/>
          <w:rFonts w:hint="eastAsia" w:ascii="Helvetica" w:hAnsi="Helvetica" w:eastAsia="Helvetica" w:cs="Helvetica"/>
          <w:b w:val="0"/>
          <w:bCs w:val="0"/>
          <w:i w:val="0"/>
          <w:iCs w:val="0"/>
          <w:caps w:val="0"/>
          <w:color w:val="060607"/>
          <w:spacing w:val="4"/>
          <w:kern w:val="0"/>
          <w:sz w:val="21"/>
          <w:szCs w:val="21"/>
          <w:shd w:val="clear" w:fill="FFFFFF"/>
          <w:vertAlign w:val="baseline"/>
          <w:lang w:val="en-US" w:eastAsia="zh-CN" w:bidi="ar"/>
        </w:rPr>
        <w:t>；</w:t>
      </w:r>
    </w:p>
    <w:p>
      <w:pPr>
        <w:keepNext w:val="0"/>
        <w:keepLines w:val="0"/>
        <w:pageBreakBefore w:val="0"/>
        <w:numPr>
          <w:ilvl w:val="0"/>
          <w:numId w:val="7"/>
        </w:numPr>
        <w:kinsoku/>
        <w:wordWrap/>
        <w:overflowPunct/>
        <w:topLinePunct w:val="0"/>
        <w:bidi w:val="0"/>
        <w:adjustRightInd/>
        <w:snapToGrid/>
        <w:spacing w:line="360" w:lineRule="auto"/>
        <w:ind w:left="780" w:leftChars="0" w:hanging="360" w:firstLineChars="0"/>
        <w:textAlignment w:val="auto"/>
        <w:rPr>
          <w:rFonts w:hint="eastAsia" w:ascii="宋体" w:hAnsi="宋体" w:eastAsia="宋体" w:cs="宋体"/>
        </w:rPr>
      </w:pPr>
      <w:r>
        <w:rPr>
          <w:rFonts w:hint="eastAsia" w:ascii="宋体" w:hAnsi="宋体" w:eastAsia="宋体" w:cs="宋体"/>
          <w:lang w:val="en-US" w:eastAsia="zh-CN"/>
        </w:rPr>
        <w:t>综合确定级别：综合考虑数据的分级</w:t>
      </w:r>
      <w:r>
        <w:rPr>
          <w:rFonts w:hint="eastAsia" w:ascii="宋体" w:hAnsi="宋体" w:cs="宋体"/>
          <w:lang w:val="en-US" w:eastAsia="zh-CN"/>
        </w:rPr>
        <w:t>维度</w:t>
      </w:r>
      <w:r>
        <w:rPr>
          <w:rFonts w:hint="eastAsia" w:ascii="宋体" w:hAnsi="宋体" w:eastAsia="宋体" w:cs="宋体"/>
          <w:lang w:val="en-US" w:eastAsia="zh-CN"/>
        </w:rPr>
        <w:t>和影响分析结果，确定数据的级别。在确定级别时，应遵循“就高从严”的原则，确保数据分级的科学性和安全性。</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bookmarkStart w:id="12" w:name="_Toc13781"/>
      <w:r>
        <w:rPr>
          <w:rFonts w:hint="eastAsia" w:ascii="黑体" w:hAnsi="黑体" w:cs="黑体"/>
          <w:b w:val="0"/>
          <w:bCs w:val="0"/>
          <w:lang w:val="en-US" w:eastAsia="zh-CN"/>
        </w:rPr>
        <w:t>6.3 重要数据识别</w:t>
      </w:r>
      <w:bookmarkEnd w:id="12"/>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3"/>
        <w:rPr>
          <w:rFonts w:hint="eastAsia" w:ascii="黑体" w:hAnsi="黑体" w:cs="黑体"/>
          <w:b w:val="0"/>
          <w:bCs w:val="0"/>
          <w:lang w:val="en-US" w:eastAsia="zh-CN"/>
        </w:rPr>
      </w:pPr>
      <w:bookmarkStart w:id="13" w:name="_Toc22030"/>
      <w:r>
        <w:rPr>
          <w:rFonts w:hint="eastAsia" w:ascii="黑体" w:hAnsi="黑体" w:cs="黑体"/>
          <w:b w:val="0"/>
          <w:bCs w:val="0"/>
          <w:lang w:val="en-US" w:eastAsia="zh-CN"/>
        </w:rPr>
        <w:t>6.3.1 概述</w:t>
      </w:r>
      <w:bookmarkEnd w:id="13"/>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Times New Roman"/>
          <w:lang w:val="en-US" w:eastAsia="zh-CN"/>
        </w:rPr>
      </w:pPr>
      <w:r>
        <w:rPr>
          <w:rFonts w:hint="eastAsia" w:ascii="宋体" w:hAnsi="宋体" w:eastAsia="宋体" w:cs="Times New Roman"/>
          <w:lang w:val="en-US" w:eastAsia="zh-CN"/>
        </w:rPr>
        <w:t>有色金属行业工业数据识别维度包括与国家秘密生成相关、与国家安全相关、与行业发展相关、与工业领域出口管制物项相关、与行业特色相关、其他，按照数据与分级维度的相符性确定数据为核心数据、重要数据或一般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3"/>
        <w:rPr>
          <w:rFonts w:hint="default" w:ascii="黑体" w:hAnsi="黑体" w:cs="黑体"/>
          <w:b w:val="0"/>
          <w:bCs w:val="0"/>
          <w:lang w:val="en-US" w:eastAsia="zh-CN"/>
        </w:rPr>
      </w:pPr>
      <w:bookmarkStart w:id="14" w:name="_Toc28114"/>
      <w:r>
        <w:rPr>
          <w:rFonts w:hint="eastAsia" w:ascii="黑体" w:hAnsi="黑体" w:cs="黑体"/>
          <w:b w:val="0"/>
          <w:bCs w:val="0"/>
          <w:lang w:val="en-US" w:eastAsia="zh-CN"/>
        </w:rPr>
        <w:t>6.3.2 与国家秘密生成相关</w:t>
      </w:r>
      <w:bookmarkEnd w:id="14"/>
    </w:p>
    <w:p>
      <w:pPr>
        <w:pStyle w:val="3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eastAsia"/>
          <w:lang w:val="en-US" w:eastAsia="zh-CN"/>
        </w:rPr>
        <w:t>有色金属行业与国家秘密相关的或在生成国家秘密的过程中所使用分析的原始非密数据。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3"/>
        <w:rPr>
          <w:rFonts w:hint="default" w:ascii="黑体" w:hAnsi="黑体" w:cs="黑体"/>
          <w:b w:val="0"/>
          <w:bCs w:val="0"/>
          <w:lang w:val="en-US" w:eastAsia="zh-CN"/>
        </w:rPr>
      </w:pPr>
      <w:bookmarkStart w:id="15" w:name="_Toc18665"/>
      <w:r>
        <w:rPr>
          <w:rFonts w:hint="eastAsia" w:ascii="黑体" w:hAnsi="黑体" w:cs="黑体"/>
          <w:b w:val="0"/>
          <w:bCs w:val="0"/>
          <w:lang w:val="en-US" w:eastAsia="zh-CN"/>
        </w:rPr>
        <w:t>6.3.3 与国家安全相关</w:t>
      </w:r>
      <w:bookmarkEnd w:id="15"/>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Times New Roman"/>
          <w:lang w:val="en-US" w:eastAsia="zh-CN"/>
        </w:rPr>
      </w:pPr>
      <w:r>
        <w:rPr>
          <w:rFonts w:hint="eastAsia" w:ascii="宋体" w:hAnsi="宋体" w:eastAsia="宋体" w:cs="Times New Roman"/>
          <w:lang w:val="en-US" w:eastAsia="zh-CN"/>
        </w:rPr>
        <w:t>数据</w:t>
      </w:r>
      <w:r>
        <w:rPr>
          <w:rFonts w:hint="eastAsia" w:ascii="宋体" w:hAnsi="宋体" w:eastAsia="宋体" w:cs="宋体"/>
          <w:lang w:val="en-US" w:eastAsia="zh-CN"/>
        </w:rPr>
        <w:t>遭到</w:t>
      </w:r>
      <w:r>
        <w:rPr>
          <w:rFonts w:hint="eastAsia" w:ascii="宋体" w:hAnsi="宋体" w:eastAsia="宋体" w:cs="Times New Roman"/>
          <w:lang w:val="en-US" w:eastAsia="zh-CN"/>
        </w:rPr>
        <w:t>泄露、篡改、损毁、或者非法获取、非法使用、非法共享，对政治、国土、军事、经济、文化、社会、科技、生态、资源、海外利益、人工智能等国家安全相关领域造成严重影响的工业数据属于重要数据，包括但不限于：</w:t>
      </w:r>
    </w:p>
    <w:p>
      <w:pPr>
        <w:keepNext w:val="0"/>
        <w:keepLines w:val="0"/>
        <w:pageBreakBefore w:val="0"/>
        <w:numPr>
          <w:ilvl w:val="0"/>
          <w:numId w:val="8"/>
        </w:numPr>
        <w:tabs>
          <w:tab w:val="clear" w:pos="780"/>
        </w:tabs>
        <w:kinsoku/>
        <w:wordWrap/>
        <w:overflowPunct/>
        <w:topLinePunct w:val="0"/>
        <w:bidi w:val="0"/>
        <w:adjustRightInd/>
        <w:snapToGrid/>
        <w:spacing w:line="360" w:lineRule="auto"/>
        <w:ind w:hanging="363"/>
        <w:textAlignment w:val="auto"/>
      </w:pPr>
      <w:r>
        <w:rPr>
          <w:rFonts w:hint="eastAsia"/>
          <w:lang w:val="en-US" w:eastAsia="zh-CN"/>
        </w:rPr>
        <w:t>与国家经济安全相关：经汇聚、分析后能够推算未公开的国家经济运行情况的相关行业数据，如未公开的重点有色金属企业的进出口量及流向数据</w:t>
      </w:r>
      <w:r>
        <w:rPr>
          <w:rFonts w:hint="eastAsia" w:ascii="Helvetica" w:hAnsi="Helvetica" w:eastAsia="宋体" w:cs="Helvetica"/>
          <w:i w:val="0"/>
          <w:iCs w:val="0"/>
          <w:caps w:val="0"/>
          <w:color w:val="060607"/>
          <w:spacing w:val="4"/>
          <w:sz w:val="21"/>
          <w:szCs w:val="21"/>
          <w:shd w:val="clear" w:fill="FFFFFF"/>
          <w:lang w:val="en-US" w:eastAsia="zh-CN"/>
        </w:rPr>
        <w:t>；</w:t>
      </w:r>
    </w:p>
    <w:p>
      <w:pPr>
        <w:keepNext w:val="0"/>
        <w:keepLines w:val="0"/>
        <w:pageBreakBefore w:val="0"/>
        <w:numPr>
          <w:ilvl w:val="0"/>
          <w:numId w:val="8"/>
        </w:numPr>
        <w:tabs>
          <w:tab w:val="clear" w:pos="780"/>
        </w:tabs>
        <w:kinsoku/>
        <w:wordWrap/>
        <w:overflowPunct/>
        <w:topLinePunct w:val="0"/>
        <w:bidi w:val="0"/>
        <w:adjustRightInd/>
        <w:snapToGrid/>
        <w:spacing w:line="360" w:lineRule="auto"/>
        <w:ind w:hanging="363"/>
        <w:textAlignment w:val="auto"/>
      </w:pPr>
      <w:r>
        <w:rPr>
          <w:rFonts w:hint="eastAsia"/>
          <w:lang w:val="en-US" w:eastAsia="zh-CN"/>
        </w:rPr>
        <w:t>与国家科技安全相关，包括但不限于：</w:t>
      </w:r>
    </w:p>
    <w:p>
      <w:pPr>
        <w:pStyle w:val="30"/>
        <w:keepNext w:val="0"/>
        <w:keepLines w:val="0"/>
        <w:pageBreakBefore w:val="0"/>
        <w:numPr>
          <w:ilvl w:val="0"/>
          <w:numId w:val="9"/>
        </w:numPr>
        <w:tabs>
          <w:tab w:val="center" w:pos="1276"/>
          <w:tab w:val="clear" w:pos="4201"/>
        </w:tabs>
        <w:kinsoku/>
        <w:wordWrap/>
        <w:overflowPunct/>
        <w:topLinePunct w:val="0"/>
        <w:bidi w:val="0"/>
        <w:adjustRightInd/>
        <w:snapToGrid/>
        <w:spacing w:line="360" w:lineRule="auto"/>
        <w:ind w:left="1276" w:hanging="363" w:firstLineChars="0"/>
        <w:textAlignment w:val="auto"/>
      </w:pPr>
      <w:r>
        <w:rPr>
          <w:rFonts w:hint="eastAsia"/>
          <w:lang w:val="en-US" w:eastAsia="zh-CN"/>
        </w:rPr>
        <w:t>与国家安全直接相关的有色金属行业领域国家科技计划（含国家重大专项、重点研发计划）项目在规划和实施过程中产生的，涉及国家安全和社会发展利益的数据，国家专项范围相关可行性研究报告、建设方案、科研数据、科技成果、产品技术研发路线以及相关知识产权数据</w:t>
      </w:r>
      <w:r>
        <w:rPr>
          <w:rFonts w:hint="eastAsia"/>
          <w:lang w:eastAsia="zh-CN"/>
        </w:rPr>
        <w:t>；</w:t>
      </w:r>
    </w:p>
    <w:p>
      <w:pPr>
        <w:pStyle w:val="30"/>
        <w:keepNext w:val="0"/>
        <w:keepLines w:val="0"/>
        <w:pageBreakBefore w:val="0"/>
        <w:numPr>
          <w:ilvl w:val="0"/>
          <w:numId w:val="9"/>
        </w:numPr>
        <w:tabs>
          <w:tab w:val="center" w:pos="1276"/>
          <w:tab w:val="clear" w:pos="4201"/>
        </w:tabs>
        <w:kinsoku/>
        <w:wordWrap/>
        <w:overflowPunct/>
        <w:topLinePunct w:val="0"/>
        <w:bidi w:val="0"/>
        <w:adjustRightInd/>
        <w:snapToGrid/>
        <w:spacing w:line="360" w:lineRule="auto"/>
        <w:ind w:left="1276" w:hanging="363" w:firstLineChars="0"/>
        <w:textAlignment w:val="auto"/>
      </w:pPr>
      <w:r>
        <w:rPr>
          <w:rFonts w:hint="eastAsia"/>
          <w:lang w:eastAsia="zh-CN"/>
        </w:rPr>
        <w:t>《</w:t>
      </w:r>
      <w:r>
        <w:rPr>
          <w:rFonts w:hint="eastAsia"/>
          <w:lang w:val="en-US" w:eastAsia="zh-CN"/>
        </w:rPr>
        <w:t>中国禁止出口限购出口技术目录</w:t>
      </w:r>
      <w:r>
        <w:rPr>
          <w:rFonts w:hint="eastAsia"/>
          <w:lang w:eastAsia="zh-CN"/>
        </w:rPr>
        <w:t>》</w:t>
      </w:r>
      <w:r>
        <w:rPr>
          <w:rFonts w:hint="eastAsia"/>
          <w:lang w:val="en-US" w:eastAsia="zh-CN"/>
        </w:rPr>
        <w:t>中涉及的我国有色金属行业领域特有技术数据，如特有配方、制件工艺、生产工艺、编码和加密技术、制备技术等</w:t>
      </w:r>
      <w:r>
        <w:rPr>
          <w:rFonts w:hint="eastAsia"/>
          <w:lang w:eastAsia="zh-CN"/>
        </w:rPr>
        <w:t>。</w:t>
      </w:r>
    </w:p>
    <w:p>
      <w:pPr>
        <w:keepNext w:val="0"/>
        <w:keepLines w:val="0"/>
        <w:pageBreakBefore w:val="0"/>
        <w:numPr>
          <w:ilvl w:val="0"/>
          <w:numId w:val="8"/>
        </w:numPr>
        <w:tabs>
          <w:tab w:val="clear" w:pos="780"/>
        </w:tabs>
        <w:kinsoku/>
        <w:wordWrap/>
        <w:overflowPunct/>
        <w:topLinePunct w:val="0"/>
        <w:bidi w:val="0"/>
        <w:adjustRightInd/>
        <w:snapToGrid/>
        <w:spacing w:line="360" w:lineRule="auto"/>
        <w:ind w:hanging="363"/>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与国家网络安全相关：能够引发行业重大网络和数据安全事件或生产安全事故的漏洞信息、恶意程序、事件信息、应急通信数据、网络与数据安全重大发现与重要研究成果；</w:t>
      </w:r>
    </w:p>
    <w:p>
      <w:pPr>
        <w:keepNext w:val="0"/>
        <w:keepLines w:val="0"/>
        <w:pageBreakBefore w:val="0"/>
        <w:numPr>
          <w:ilvl w:val="0"/>
          <w:numId w:val="8"/>
        </w:numPr>
        <w:tabs>
          <w:tab w:val="clear" w:pos="780"/>
        </w:tabs>
        <w:kinsoku/>
        <w:wordWrap/>
        <w:overflowPunct/>
        <w:topLinePunct w:val="0"/>
        <w:bidi w:val="0"/>
        <w:adjustRightInd/>
        <w:snapToGrid/>
        <w:spacing w:line="360" w:lineRule="auto"/>
        <w:ind w:hanging="363"/>
        <w:textAlignment w:val="auto"/>
        <w:rPr>
          <w:rFonts w:hint="default"/>
          <w:lang w:val="en-US" w:eastAsia="zh-CN"/>
        </w:rPr>
      </w:pPr>
      <w:r>
        <w:rPr>
          <w:rFonts w:hint="eastAsia" w:ascii="Times New Roman" w:hAnsi="Times New Roman" w:eastAsia="宋体" w:cs="Times New Roman"/>
          <w:lang w:val="en-US" w:eastAsia="zh-CN"/>
        </w:rPr>
        <w:t>与人工智能相关：人工智能控制程序、算法、源代码、训练模型、挖掘分析数据等。</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3"/>
        <w:rPr>
          <w:rFonts w:hint="default" w:ascii="黑体" w:hAnsi="黑体" w:cs="黑体"/>
          <w:b w:val="0"/>
          <w:bCs w:val="0"/>
          <w:lang w:val="en-US" w:eastAsia="zh-CN"/>
        </w:rPr>
      </w:pPr>
      <w:bookmarkStart w:id="16" w:name="_Toc28013"/>
      <w:r>
        <w:rPr>
          <w:rFonts w:hint="eastAsia" w:ascii="黑体" w:hAnsi="黑体" w:cs="黑体"/>
          <w:b w:val="0"/>
          <w:bCs w:val="0"/>
          <w:lang w:val="en-US" w:eastAsia="zh-CN"/>
        </w:rPr>
        <w:t>6.3.4 与行业发展相关</w:t>
      </w:r>
      <w:bookmarkEnd w:id="16"/>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数据</w:t>
      </w:r>
      <w:r>
        <w:rPr>
          <w:rFonts w:hint="eastAsia" w:ascii="宋体" w:hAnsi="宋体" w:eastAsia="宋体" w:cs="宋体"/>
          <w:lang w:val="en-US" w:eastAsia="zh-CN"/>
        </w:rPr>
        <w:t>遭到</w:t>
      </w:r>
      <w:r>
        <w:rPr>
          <w:rFonts w:hint="eastAsia" w:ascii="宋体" w:hAnsi="宋体" w:eastAsia="宋体" w:cs="Times New Roman"/>
          <w:lang w:val="en-US" w:eastAsia="zh-CN"/>
        </w:rPr>
        <w:t>泄露、篡改、损毁、或者非法获取、非法使用、非法共享，对有色金属行业发展造成严重影响的工业数据属于重要数据，包括但不限于：</w:t>
      </w:r>
    </w:p>
    <w:p>
      <w:pPr>
        <w:keepNext w:val="0"/>
        <w:keepLines w:val="0"/>
        <w:pageBreakBefore w:val="0"/>
        <w:numPr>
          <w:ilvl w:val="0"/>
          <w:numId w:val="10"/>
        </w:numPr>
        <w:tabs>
          <w:tab w:val="clear" w:pos="780"/>
        </w:tabs>
        <w:kinsoku/>
        <w:wordWrap/>
        <w:overflowPunct/>
        <w:topLinePunct w:val="0"/>
        <w:bidi w:val="0"/>
        <w:adjustRightInd/>
        <w:snapToGrid/>
        <w:spacing w:line="360" w:lineRule="auto"/>
        <w:ind w:hanging="363"/>
        <w:textAlignment w:val="auto"/>
      </w:pPr>
      <w:r>
        <w:rPr>
          <w:rFonts w:hint="eastAsia"/>
          <w:lang w:val="en-US" w:eastAsia="zh-CN"/>
        </w:rPr>
        <w:t>与行业竞争性或产业核心竞争力相关：涉及行业核心竞争力或产业生态发展的关键技术、关键工艺、关键产品、重要国产化设备在研发设计、生产制造等过程中收集和产生的数据，包括</w:t>
      </w:r>
      <w:r>
        <w:rPr>
          <w:rFonts w:hint="eastAsia" w:ascii="Helvetica" w:hAnsi="Helvetica" w:eastAsia="宋体" w:cs="Helvetica"/>
          <w:i w:val="0"/>
          <w:iCs w:val="0"/>
          <w:caps w:val="0"/>
          <w:color w:val="060607"/>
          <w:spacing w:val="4"/>
          <w:sz w:val="21"/>
          <w:szCs w:val="21"/>
          <w:shd w:val="clear" w:fill="FFFFFF"/>
          <w:lang w:val="en-US" w:eastAsia="zh-CN"/>
        </w:rPr>
        <w:t>；</w:t>
      </w:r>
    </w:p>
    <w:p>
      <w:pPr>
        <w:pStyle w:val="30"/>
        <w:keepNext w:val="0"/>
        <w:keepLines w:val="0"/>
        <w:pageBreakBefore w:val="0"/>
        <w:numPr>
          <w:ilvl w:val="0"/>
          <w:numId w:val="11"/>
        </w:numPr>
        <w:tabs>
          <w:tab w:val="center" w:pos="1276"/>
          <w:tab w:val="clear" w:pos="4201"/>
        </w:tabs>
        <w:kinsoku/>
        <w:wordWrap/>
        <w:overflowPunct/>
        <w:topLinePunct w:val="0"/>
        <w:bidi w:val="0"/>
        <w:adjustRightInd/>
        <w:snapToGrid/>
        <w:spacing w:line="360" w:lineRule="auto"/>
        <w:ind w:left="1276" w:hanging="363" w:firstLineChars="0"/>
        <w:textAlignment w:val="auto"/>
      </w:pPr>
      <w:r>
        <w:rPr>
          <w:rFonts w:hint="eastAsia"/>
          <w:lang w:val="en-US" w:eastAsia="zh-CN"/>
        </w:rPr>
        <w:t>在研发设计过程中，收集和产生的与行业竞争力相关的数据，如短流程冶炼技术的实验报告、稀土元素分离的萃取剂配比、新型合金材料配方等数据；</w:t>
      </w:r>
    </w:p>
    <w:p>
      <w:pPr>
        <w:pStyle w:val="30"/>
        <w:keepNext w:val="0"/>
        <w:keepLines w:val="0"/>
        <w:pageBreakBefore w:val="0"/>
        <w:numPr>
          <w:ilvl w:val="0"/>
          <w:numId w:val="11"/>
        </w:numPr>
        <w:tabs>
          <w:tab w:val="center" w:pos="1276"/>
          <w:tab w:val="clear" w:pos="4201"/>
        </w:tabs>
        <w:kinsoku/>
        <w:wordWrap/>
        <w:overflowPunct/>
        <w:topLinePunct w:val="0"/>
        <w:bidi w:val="0"/>
        <w:adjustRightInd/>
        <w:snapToGrid/>
        <w:spacing w:line="360" w:lineRule="auto"/>
        <w:ind w:left="1276" w:hanging="363" w:firstLineChars="0"/>
        <w:textAlignment w:val="auto"/>
      </w:pPr>
      <w:r>
        <w:rPr>
          <w:rFonts w:hint="eastAsia"/>
          <w:lang w:val="en-US" w:eastAsia="zh-CN"/>
        </w:rPr>
        <w:t>在生产制造过程中，收集和产生的与行业生产安全发展相关的先进基础工艺参数、测试数据、控制信息、质量数据等，如高温合金真空熔炼动态控制参数、合成反应釜温度压力联动测试数据、智能生产线紧急停机逻辑控制代码等数据；</w:t>
      </w:r>
    </w:p>
    <w:p>
      <w:pPr>
        <w:pStyle w:val="30"/>
        <w:keepNext w:val="0"/>
        <w:keepLines w:val="0"/>
        <w:pageBreakBefore w:val="0"/>
        <w:numPr>
          <w:ilvl w:val="0"/>
          <w:numId w:val="11"/>
        </w:numPr>
        <w:tabs>
          <w:tab w:val="center" w:pos="1276"/>
          <w:tab w:val="clear" w:pos="4201"/>
        </w:tabs>
        <w:kinsoku/>
        <w:wordWrap/>
        <w:overflowPunct/>
        <w:topLinePunct w:val="0"/>
        <w:bidi w:val="0"/>
        <w:adjustRightInd/>
        <w:snapToGrid/>
        <w:spacing w:line="360" w:lineRule="auto"/>
        <w:ind w:left="1276" w:hanging="363" w:firstLineChars="0"/>
        <w:textAlignment w:val="auto"/>
      </w:pPr>
      <w:r>
        <w:rPr>
          <w:rFonts w:hint="eastAsia"/>
          <w:lang w:val="en-US" w:eastAsia="zh-CN"/>
        </w:rPr>
        <w:t>在经营管理过程中，收集和产生的有色金属行业整体发展战略、重大决策、安全建设方案等数据；</w:t>
      </w:r>
    </w:p>
    <w:p>
      <w:pPr>
        <w:pStyle w:val="30"/>
        <w:keepNext w:val="0"/>
        <w:keepLines w:val="0"/>
        <w:pageBreakBefore w:val="0"/>
        <w:numPr>
          <w:ilvl w:val="0"/>
          <w:numId w:val="11"/>
        </w:numPr>
        <w:tabs>
          <w:tab w:val="center" w:pos="1276"/>
          <w:tab w:val="clear" w:pos="4201"/>
        </w:tabs>
        <w:kinsoku/>
        <w:wordWrap/>
        <w:overflowPunct/>
        <w:topLinePunct w:val="0"/>
        <w:bidi w:val="0"/>
        <w:adjustRightInd/>
        <w:snapToGrid/>
        <w:spacing w:line="360" w:lineRule="auto"/>
        <w:ind w:left="1276" w:hanging="363" w:firstLineChars="0"/>
        <w:textAlignment w:val="auto"/>
      </w:pPr>
      <w:r>
        <w:rPr>
          <w:rFonts w:hint="eastAsia"/>
          <w:lang w:val="en-US" w:eastAsia="zh-CN"/>
        </w:rPr>
        <w:t>在系统运维、技术服务等过程中，收集和产生的关系行业发展的重要系统、平台的账号密码、采购销售订单、库存信息等数据；</w:t>
      </w:r>
    </w:p>
    <w:p>
      <w:pPr>
        <w:pStyle w:val="30"/>
        <w:keepNext w:val="0"/>
        <w:keepLines w:val="0"/>
        <w:pageBreakBefore w:val="0"/>
        <w:numPr>
          <w:ilvl w:val="0"/>
          <w:numId w:val="11"/>
        </w:numPr>
        <w:tabs>
          <w:tab w:val="center" w:pos="1276"/>
          <w:tab w:val="clear" w:pos="4201"/>
        </w:tabs>
        <w:kinsoku/>
        <w:wordWrap/>
        <w:overflowPunct/>
        <w:topLinePunct w:val="0"/>
        <w:bidi w:val="0"/>
        <w:adjustRightInd/>
        <w:snapToGrid/>
        <w:spacing w:line="360" w:lineRule="auto"/>
        <w:ind w:left="1276" w:hanging="363" w:firstLineChars="0"/>
        <w:textAlignment w:val="auto"/>
      </w:pPr>
      <w:r>
        <w:rPr>
          <w:rFonts w:hint="eastAsia"/>
          <w:lang w:val="en-US" w:eastAsia="zh-CN"/>
        </w:rPr>
        <w:t>在平台运营过程中，收集和产生的关系行业发展的平台运营分析数据，如平台汇聚的有色金属全产业链（采矿、冶炼、加工）的产能利用率动态分析、平台记录的上下游企业交易规模与趋势等数据。</w:t>
      </w:r>
    </w:p>
    <w:p>
      <w:pPr>
        <w:keepNext w:val="0"/>
        <w:keepLines w:val="0"/>
        <w:pageBreakBefore w:val="0"/>
        <w:numPr>
          <w:ilvl w:val="0"/>
          <w:numId w:val="10"/>
        </w:numPr>
        <w:tabs>
          <w:tab w:val="clear" w:pos="780"/>
        </w:tabs>
        <w:kinsoku/>
        <w:wordWrap/>
        <w:overflowPunct/>
        <w:topLinePunct w:val="0"/>
        <w:bidi w:val="0"/>
        <w:adjustRightInd/>
        <w:snapToGrid/>
        <w:spacing w:line="360" w:lineRule="auto"/>
        <w:ind w:hanging="363"/>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与行业供应链安全相关：涉及有色金属行业关键系统，能够影响供应链安全的组件、软件和设备的销售、使用、运行、维护等情况的相关数据，以及行业供需情况、价格趋势、供应商及用户分布情况等数据；</w:t>
      </w:r>
    </w:p>
    <w:p>
      <w:pPr>
        <w:keepNext w:val="0"/>
        <w:keepLines w:val="0"/>
        <w:pageBreakBefore w:val="0"/>
        <w:numPr>
          <w:ilvl w:val="0"/>
          <w:numId w:val="10"/>
        </w:numPr>
        <w:tabs>
          <w:tab w:val="clear" w:pos="780"/>
        </w:tabs>
        <w:kinsoku/>
        <w:wordWrap/>
        <w:overflowPunct/>
        <w:topLinePunct w:val="0"/>
        <w:bidi w:val="0"/>
        <w:adjustRightInd/>
        <w:snapToGrid/>
        <w:spacing w:line="360" w:lineRule="auto"/>
        <w:ind w:hanging="363"/>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与行业经济运行相关：整体反映有色金属行业或重大技术装备生产经营情况的未公开的运行分析数据；</w:t>
      </w:r>
    </w:p>
    <w:p>
      <w:pPr>
        <w:keepNext w:val="0"/>
        <w:keepLines w:val="0"/>
        <w:pageBreakBefore w:val="0"/>
        <w:numPr>
          <w:ilvl w:val="0"/>
          <w:numId w:val="10"/>
        </w:numPr>
        <w:tabs>
          <w:tab w:val="clear" w:pos="780"/>
        </w:tabs>
        <w:kinsoku/>
        <w:wordWrap/>
        <w:overflowPunct/>
        <w:topLinePunct w:val="0"/>
        <w:bidi w:val="0"/>
        <w:adjustRightInd/>
        <w:snapToGrid/>
        <w:spacing w:line="360" w:lineRule="auto"/>
        <w:ind w:hanging="363"/>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与行业生产安全管控相关：整体反映有色金属行业生产安全管控情况的数据，如行业生产安全管理系统中的作业管控数据；</w:t>
      </w:r>
    </w:p>
    <w:p>
      <w:pPr>
        <w:keepNext w:val="0"/>
        <w:keepLines w:val="0"/>
        <w:pageBreakBefore w:val="0"/>
        <w:numPr>
          <w:ilvl w:val="0"/>
          <w:numId w:val="10"/>
        </w:numPr>
        <w:tabs>
          <w:tab w:val="clear" w:pos="780"/>
        </w:tabs>
        <w:kinsoku/>
        <w:wordWrap/>
        <w:overflowPunct/>
        <w:topLinePunct w:val="0"/>
        <w:bidi w:val="0"/>
        <w:adjustRightInd/>
        <w:snapToGrid/>
        <w:spacing w:line="360" w:lineRule="auto"/>
        <w:ind w:hanging="363"/>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与行业绿色发展相关：整体反映有色金属行业能源资源消耗、碳排放情况的未公开数据。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3"/>
        <w:rPr>
          <w:rFonts w:hint="default" w:ascii="黑体" w:hAnsi="黑体" w:cs="黑体"/>
          <w:b w:val="0"/>
          <w:bCs w:val="0"/>
          <w:lang w:val="en-US" w:eastAsia="zh-CN"/>
        </w:rPr>
      </w:pPr>
      <w:bookmarkStart w:id="17" w:name="_Toc18360"/>
      <w:r>
        <w:rPr>
          <w:rFonts w:hint="eastAsia" w:ascii="黑体" w:hAnsi="黑体" w:cs="黑体"/>
          <w:b w:val="0"/>
          <w:bCs w:val="0"/>
          <w:lang w:val="en-US" w:eastAsia="zh-CN"/>
        </w:rPr>
        <w:t>6.3.5 与工业领域出口管制物项相关</w:t>
      </w:r>
      <w:bookmarkEnd w:id="17"/>
    </w:p>
    <w:p>
      <w:pPr>
        <w:pStyle w:val="3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eastAsia"/>
          <w:lang w:val="en-US" w:eastAsia="zh-CN"/>
        </w:rPr>
        <w:t>有色金属行业出口管制物项涉及的核心技术、设计方案、生产工艺、制件方法、源代码等数据。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3"/>
        <w:rPr>
          <w:rFonts w:hint="default" w:ascii="黑体" w:hAnsi="黑体" w:cs="黑体"/>
          <w:b w:val="0"/>
          <w:bCs w:val="0"/>
          <w:lang w:val="en-US" w:eastAsia="zh-CN"/>
        </w:rPr>
      </w:pPr>
      <w:bookmarkStart w:id="18" w:name="_Toc26053"/>
      <w:r>
        <w:rPr>
          <w:rFonts w:hint="eastAsia" w:ascii="黑体" w:hAnsi="黑体" w:cs="黑体"/>
          <w:b w:val="0"/>
          <w:bCs w:val="0"/>
          <w:lang w:val="en-US" w:eastAsia="zh-CN"/>
        </w:rPr>
        <w:t>6.3.6 与行业特色相关</w:t>
      </w:r>
      <w:bookmarkEnd w:id="18"/>
    </w:p>
    <w:p>
      <w:pPr>
        <w:pStyle w:val="30"/>
        <w:keepNext w:val="0"/>
        <w:keepLines w:val="0"/>
        <w:pageBreakBefore w:val="0"/>
        <w:kinsoku/>
        <w:wordWrap/>
        <w:overflowPunct/>
        <w:topLinePunct w:val="0"/>
        <w:bidi w:val="0"/>
        <w:adjustRightInd/>
        <w:snapToGrid/>
        <w:spacing w:line="360" w:lineRule="auto"/>
        <w:textAlignment w:val="auto"/>
        <w:rPr>
          <w:rFonts w:hint="eastAsia"/>
          <w:lang w:val="en-US" w:eastAsia="zh-CN"/>
        </w:rPr>
      </w:pPr>
      <w:r>
        <w:rPr>
          <w:rFonts w:hint="eastAsia"/>
          <w:lang w:val="en-US" w:eastAsia="zh-CN"/>
        </w:rPr>
        <w:t>结合有色金属行业数据特点，与行业特色相关的重要数据，包括但不限于：</w:t>
      </w:r>
    </w:p>
    <w:p>
      <w:pPr>
        <w:pStyle w:val="3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eastAsia"/>
          <w:lang w:val="en-US" w:eastAsia="zh-CN"/>
        </w:rPr>
        <w:t>有色金属采选、冶炼、加工等环节的原料渠道、物料储备、销售去向、工厂设置等涉及敏感领域的信息，或可能影响战略性矿产资源安全和产业安全的数据。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3"/>
        <w:rPr>
          <w:rFonts w:hint="default" w:ascii="黑体" w:hAnsi="黑体" w:cs="黑体"/>
          <w:b w:val="0"/>
          <w:bCs w:val="0"/>
          <w:lang w:val="en-US" w:eastAsia="zh-CN"/>
        </w:rPr>
      </w:pPr>
      <w:bookmarkStart w:id="19" w:name="_Toc14215"/>
      <w:r>
        <w:rPr>
          <w:rFonts w:hint="eastAsia" w:ascii="黑体" w:hAnsi="黑体" w:cs="黑体"/>
          <w:b w:val="0"/>
          <w:bCs w:val="0"/>
          <w:lang w:val="en-US" w:eastAsia="zh-CN"/>
        </w:rPr>
        <w:t>6.3.7 其他</w:t>
      </w:r>
      <w:bookmarkEnd w:id="19"/>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其他满足下列条件之一的数据属于重要数据：</w:t>
      </w:r>
    </w:p>
    <w:p>
      <w:pPr>
        <w:keepNext w:val="0"/>
        <w:keepLines w:val="0"/>
        <w:pageBreakBefore w:val="0"/>
        <w:numPr>
          <w:ilvl w:val="0"/>
          <w:numId w:val="12"/>
        </w:numPr>
        <w:tabs>
          <w:tab w:val="clear" w:pos="780"/>
        </w:tabs>
        <w:kinsoku/>
        <w:wordWrap/>
        <w:overflowPunct/>
        <w:topLinePunct w:val="0"/>
        <w:bidi w:val="0"/>
        <w:adjustRightInd/>
        <w:snapToGrid/>
        <w:spacing w:line="360" w:lineRule="auto"/>
        <w:ind w:hanging="363"/>
        <w:textAlignment w:val="auto"/>
      </w:pPr>
      <w:r>
        <w:rPr>
          <w:rFonts w:hint="eastAsia"/>
          <w:lang w:val="en-US" w:eastAsia="zh-CN"/>
        </w:rPr>
        <w:t>数据处理者收集和产生的达到一定数量或影响一定范围的个人信息，包括</w:t>
      </w:r>
      <w:r>
        <w:rPr>
          <w:rFonts w:hint="eastAsia" w:ascii="Helvetica" w:hAnsi="Helvetica" w:eastAsia="宋体" w:cs="Helvetica"/>
          <w:i w:val="0"/>
          <w:iCs w:val="0"/>
          <w:caps w:val="0"/>
          <w:color w:val="060607"/>
          <w:spacing w:val="4"/>
          <w:sz w:val="21"/>
          <w:szCs w:val="21"/>
          <w:shd w:val="clear" w:fill="FFFFFF"/>
          <w:lang w:val="en-US" w:eastAsia="zh-CN"/>
        </w:rPr>
        <w:t>；</w:t>
      </w:r>
    </w:p>
    <w:p>
      <w:pPr>
        <w:pStyle w:val="30"/>
        <w:keepNext w:val="0"/>
        <w:keepLines w:val="0"/>
        <w:pageBreakBefore w:val="0"/>
        <w:numPr>
          <w:ilvl w:val="0"/>
          <w:numId w:val="13"/>
        </w:numPr>
        <w:tabs>
          <w:tab w:val="center" w:pos="1276"/>
          <w:tab w:val="clear" w:pos="4201"/>
        </w:tabs>
        <w:kinsoku/>
        <w:wordWrap/>
        <w:overflowPunct/>
        <w:topLinePunct w:val="0"/>
        <w:bidi w:val="0"/>
        <w:adjustRightInd/>
        <w:snapToGrid/>
        <w:spacing w:line="360" w:lineRule="auto"/>
        <w:ind w:left="1276" w:hanging="363" w:firstLineChars="0"/>
        <w:textAlignment w:val="auto"/>
      </w:pPr>
      <w:r>
        <w:rPr>
          <w:rFonts w:hint="eastAsia"/>
          <w:lang w:val="en-US" w:eastAsia="zh-CN"/>
        </w:rPr>
        <w:t>10万人以上敏感个人信息，包括生物识别、宗教信仰、特定身份、医疗健康、金融账户、行踪轨迹等信息，以及不满十四周岁未成年人的个人信息；</w:t>
      </w:r>
    </w:p>
    <w:p>
      <w:pPr>
        <w:pStyle w:val="30"/>
        <w:keepNext w:val="0"/>
        <w:keepLines w:val="0"/>
        <w:pageBreakBefore w:val="0"/>
        <w:numPr>
          <w:ilvl w:val="0"/>
          <w:numId w:val="13"/>
        </w:numPr>
        <w:tabs>
          <w:tab w:val="center" w:pos="1276"/>
          <w:tab w:val="clear" w:pos="4201"/>
        </w:tabs>
        <w:kinsoku/>
        <w:wordWrap/>
        <w:overflowPunct/>
        <w:topLinePunct w:val="0"/>
        <w:bidi w:val="0"/>
        <w:adjustRightInd/>
        <w:snapToGrid/>
        <w:spacing w:line="360" w:lineRule="auto"/>
        <w:ind w:left="1276" w:hanging="363" w:firstLineChars="0"/>
        <w:textAlignment w:val="auto"/>
      </w:pPr>
      <w:r>
        <w:rPr>
          <w:rFonts w:hint="eastAsia"/>
          <w:lang w:val="en-US" w:eastAsia="zh-CN"/>
        </w:rPr>
        <w:t>特定群体，一旦遭到泄露、篡改、损毁、或者非法获取、非法使用、非法共享，可能直接危害国家安全、经济运行、公共健康和安全的个人信息。</w:t>
      </w:r>
    </w:p>
    <w:p>
      <w:pPr>
        <w:keepNext w:val="0"/>
        <w:keepLines w:val="0"/>
        <w:pageBreakBefore w:val="0"/>
        <w:numPr>
          <w:ilvl w:val="0"/>
          <w:numId w:val="12"/>
        </w:numPr>
        <w:tabs>
          <w:tab w:val="clear" w:pos="780"/>
        </w:tabs>
        <w:kinsoku/>
        <w:wordWrap/>
        <w:overflowPunct/>
        <w:topLinePunct w:val="0"/>
        <w:bidi w:val="0"/>
        <w:adjustRightInd/>
        <w:snapToGrid/>
        <w:spacing w:line="360" w:lineRule="auto"/>
        <w:ind w:hanging="363"/>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其他</w:t>
      </w:r>
      <w:r>
        <w:rPr>
          <w:rFonts w:hint="eastAsia"/>
          <w:lang w:val="en-US" w:eastAsia="zh-CN"/>
        </w:rPr>
        <w:t>一旦遭到泄露、篡改、损毁、或者非法获取、非法使用、非法共享，危害程度符合下列条件的数据：</w:t>
      </w:r>
    </w:p>
    <w:p>
      <w:pPr>
        <w:pStyle w:val="30"/>
        <w:keepNext w:val="0"/>
        <w:keepLines w:val="0"/>
        <w:pageBreakBefore w:val="0"/>
        <w:numPr>
          <w:ilvl w:val="0"/>
          <w:numId w:val="14"/>
        </w:numPr>
        <w:tabs>
          <w:tab w:val="center" w:pos="1276"/>
          <w:tab w:val="clear" w:pos="4201"/>
        </w:tabs>
        <w:kinsoku/>
        <w:wordWrap/>
        <w:overflowPunct/>
        <w:topLinePunct w:val="0"/>
        <w:bidi w:val="0"/>
        <w:adjustRightInd/>
        <w:snapToGrid/>
        <w:spacing w:line="360" w:lineRule="auto"/>
        <w:ind w:left="1276" w:hanging="363" w:firstLineChars="0"/>
        <w:textAlignment w:val="auto"/>
        <w:rPr>
          <w:rFonts w:hint="default" w:ascii="宋体" w:hAnsi="宋体" w:eastAsia="宋体" w:cs="Times New Roman"/>
          <w:lang w:val="en-US" w:eastAsia="zh-CN"/>
        </w:rPr>
      </w:pPr>
      <w:r>
        <w:rPr>
          <w:rFonts w:hint="eastAsia" w:ascii="宋体" w:hAnsi="宋体" w:eastAsia="宋体" w:cs="Times New Roman"/>
          <w:lang w:val="en-US" w:eastAsia="zh-CN"/>
        </w:rPr>
        <w:t>对政治、国土、军事、经济、文化、社会、科技、生态、资源等构成威胁，影响海外利益、人工智能等与国家安全相关的重点领域；</w:t>
      </w:r>
    </w:p>
    <w:p>
      <w:pPr>
        <w:pStyle w:val="30"/>
        <w:keepNext w:val="0"/>
        <w:keepLines w:val="0"/>
        <w:pageBreakBefore w:val="0"/>
        <w:numPr>
          <w:ilvl w:val="0"/>
          <w:numId w:val="14"/>
        </w:numPr>
        <w:tabs>
          <w:tab w:val="center" w:pos="1276"/>
          <w:tab w:val="clear" w:pos="4201"/>
        </w:tabs>
        <w:kinsoku/>
        <w:wordWrap/>
        <w:overflowPunct/>
        <w:topLinePunct w:val="0"/>
        <w:bidi w:val="0"/>
        <w:adjustRightInd/>
        <w:snapToGrid/>
        <w:spacing w:line="360" w:lineRule="auto"/>
        <w:ind w:left="1276" w:hanging="363" w:firstLineChars="0"/>
        <w:textAlignment w:val="auto"/>
        <w:rPr>
          <w:rFonts w:hint="default" w:ascii="宋体" w:hAnsi="宋体" w:eastAsia="宋体" w:cs="Times New Roman"/>
          <w:lang w:val="en-US" w:eastAsia="zh-CN"/>
        </w:rPr>
      </w:pPr>
      <w:r>
        <w:rPr>
          <w:rFonts w:hint="eastAsia" w:ascii="宋体" w:hAnsi="宋体" w:eastAsia="宋体" w:cs="Times New Roman"/>
          <w:lang w:val="en-US" w:eastAsia="zh-CN"/>
        </w:rPr>
        <w:t>对行业发展、生产、运行和经济利益等造成严重影响；</w:t>
      </w:r>
    </w:p>
    <w:p>
      <w:pPr>
        <w:pStyle w:val="30"/>
        <w:keepNext w:val="0"/>
        <w:keepLines w:val="0"/>
        <w:pageBreakBefore w:val="0"/>
        <w:numPr>
          <w:ilvl w:val="0"/>
          <w:numId w:val="14"/>
        </w:numPr>
        <w:tabs>
          <w:tab w:val="center" w:pos="1276"/>
          <w:tab w:val="clear" w:pos="4201"/>
        </w:tabs>
        <w:kinsoku/>
        <w:wordWrap/>
        <w:overflowPunct/>
        <w:topLinePunct w:val="0"/>
        <w:bidi w:val="0"/>
        <w:adjustRightInd/>
        <w:snapToGrid/>
        <w:spacing w:line="360" w:lineRule="auto"/>
        <w:ind w:left="1276" w:hanging="363" w:firstLineChars="0"/>
        <w:textAlignment w:val="auto"/>
        <w:rPr>
          <w:rFonts w:hint="default" w:ascii="宋体" w:hAnsi="宋体" w:eastAsia="宋体" w:cs="Times New Roman"/>
          <w:lang w:val="en-US" w:eastAsia="zh-CN"/>
        </w:rPr>
      </w:pPr>
      <w:r>
        <w:rPr>
          <w:rFonts w:hint="eastAsia" w:ascii="宋体" w:hAnsi="宋体" w:eastAsia="宋体" w:cs="Times New Roman"/>
          <w:lang w:val="en-US" w:eastAsia="zh-CN"/>
        </w:rPr>
        <w:t>造成重大数据安全事件或生产安全事故，对公共利益或者个人、组织合法权益造成严重影响，社会负面影响大；</w:t>
      </w:r>
    </w:p>
    <w:p>
      <w:pPr>
        <w:pStyle w:val="30"/>
        <w:keepNext w:val="0"/>
        <w:keepLines w:val="0"/>
        <w:pageBreakBefore w:val="0"/>
        <w:numPr>
          <w:ilvl w:val="0"/>
          <w:numId w:val="14"/>
        </w:numPr>
        <w:tabs>
          <w:tab w:val="center" w:pos="1276"/>
          <w:tab w:val="clear" w:pos="4201"/>
        </w:tabs>
        <w:kinsoku/>
        <w:wordWrap/>
        <w:overflowPunct/>
        <w:topLinePunct w:val="0"/>
        <w:bidi w:val="0"/>
        <w:adjustRightInd/>
        <w:snapToGrid/>
        <w:spacing w:line="360" w:lineRule="auto"/>
        <w:ind w:left="1276" w:hanging="363" w:firstLineChars="0"/>
        <w:textAlignment w:val="auto"/>
        <w:rPr>
          <w:rFonts w:hint="default" w:ascii="宋体" w:hAnsi="宋体" w:eastAsia="宋体" w:cs="Times New Roman"/>
          <w:lang w:val="en-US" w:eastAsia="zh-CN"/>
        </w:rPr>
      </w:pPr>
      <w:r>
        <w:rPr>
          <w:rFonts w:hint="eastAsia" w:ascii="宋体" w:hAnsi="宋体" w:eastAsia="宋体" w:cs="Times New Roman"/>
          <w:lang w:val="en-US" w:eastAsia="zh-CN"/>
        </w:rPr>
        <w:t>引发的级联效应明显，影响范围涉及多个行业、区域或者行业内多个企业，或者影响持续时间长，对行业发展、技术进步和产业生态造成严重影响；</w:t>
      </w:r>
    </w:p>
    <w:p>
      <w:pPr>
        <w:pStyle w:val="30"/>
        <w:keepNext w:val="0"/>
        <w:keepLines w:val="0"/>
        <w:pageBreakBefore w:val="0"/>
        <w:numPr>
          <w:ilvl w:val="0"/>
          <w:numId w:val="14"/>
        </w:numPr>
        <w:tabs>
          <w:tab w:val="center" w:pos="1276"/>
          <w:tab w:val="clear" w:pos="4201"/>
        </w:tabs>
        <w:kinsoku/>
        <w:wordWrap/>
        <w:overflowPunct/>
        <w:topLinePunct w:val="0"/>
        <w:bidi w:val="0"/>
        <w:adjustRightInd/>
        <w:snapToGrid/>
        <w:spacing w:line="360" w:lineRule="auto"/>
        <w:ind w:left="1276" w:hanging="363" w:firstLineChars="0"/>
        <w:textAlignment w:val="auto"/>
        <w:rPr>
          <w:rFonts w:hint="default" w:ascii="宋体" w:hAnsi="宋体" w:eastAsia="宋体" w:cs="Times New Roman"/>
          <w:lang w:val="en-US" w:eastAsia="zh-CN"/>
        </w:rPr>
      </w:pPr>
      <w:r>
        <w:rPr>
          <w:rFonts w:hint="eastAsia" w:ascii="宋体" w:hAnsi="宋体" w:eastAsia="宋体" w:cs="Times New Roman"/>
          <w:lang w:val="en-US" w:eastAsia="zh-CN"/>
        </w:rPr>
        <w:t>经有色金属行业监管部门评估确定的其他重要数据。</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eastAsia" w:ascii="黑体" w:hAnsi="黑体" w:cs="黑体"/>
          <w:b w:val="0"/>
          <w:bCs w:val="0"/>
          <w:lang w:val="en-US" w:eastAsia="zh-CN"/>
        </w:rPr>
      </w:pPr>
      <w:bookmarkStart w:id="20" w:name="_Toc26229"/>
      <w:r>
        <w:rPr>
          <w:rFonts w:hint="eastAsia" w:ascii="黑体" w:hAnsi="黑体" w:cs="黑体"/>
          <w:b w:val="0"/>
          <w:bCs w:val="0"/>
          <w:lang w:val="en-US" w:eastAsia="zh-CN"/>
        </w:rPr>
        <w:t>6.</w:t>
      </w:r>
      <w:r>
        <w:rPr>
          <w:rFonts w:hint="eastAsia" w:ascii="黑体" w:hAnsi="黑体" w:cs="黑体"/>
          <w:b w:val="0"/>
          <w:bCs w:val="0"/>
          <w:lang w:val="en-US" w:eastAsia="zh-CN"/>
        </w:rPr>
        <w:t>4 综合确定级别</w:t>
      </w:r>
      <w:bookmarkEnd w:id="20"/>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有色金属行业</w:t>
      </w:r>
      <w:r>
        <w:rPr>
          <w:rFonts w:hint="eastAsia" w:cs="宋体"/>
          <w:sz w:val="21"/>
          <w:szCs w:val="21"/>
          <w:lang w:val="en-US" w:eastAsia="zh-CN"/>
        </w:rPr>
        <w:t>企业</w:t>
      </w:r>
      <w:r>
        <w:rPr>
          <w:rFonts w:hint="eastAsia" w:cs="宋体"/>
          <w:sz w:val="21"/>
          <w:szCs w:val="21"/>
          <w:lang w:val="en-US" w:eastAsia="zh-CN"/>
        </w:rPr>
        <w:t>确定工业数据分级对象后，</w:t>
      </w:r>
      <w:r>
        <w:rPr>
          <w:rFonts w:hint="eastAsia" w:cs="宋体"/>
          <w:sz w:val="21"/>
          <w:szCs w:val="21"/>
          <w:lang w:val="en-US" w:eastAsia="zh-CN"/>
        </w:rPr>
        <w:t>依据6.3完成重要数据识别，进一步</w:t>
      </w:r>
      <w:r>
        <w:rPr>
          <w:rFonts w:hint="eastAsia" w:ascii="宋体" w:hAnsi="宋体" w:eastAsia="宋体" w:cs="宋体"/>
          <w:sz w:val="21"/>
          <w:szCs w:val="21"/>
          <w:lang w:val="en-US" w:eastAsia="zh-CN"/>
        </w:rPr>
        <w:t>分析</w:t>
      </w:r>
      <w:r>
        <w:rPr>
          <w:rFonts w:hint="eastAsia" w:ascii="宋体" w:hAnsi="宋体" w:eastAsia="宋体" w:cs="宋体"/>
          <w:sz w:val="21"/>
          <w:szCs w:val="21"/>
          <w:lang w:val="en-US" w:eastAsia="zh-CN"/>
        </w:rPr>
        <w:t>数据影响</w:t>
      </w:r>
      <w:r>
        <w:rPr>
          <w:rFonts w:hint="eastAsia" w:cs="宋体"/>
          <w:sz w:val="21"/>
          <w:szCs w:val="21"/>
          <w:lang w:val="en-US" w:eastAsia="zh-CN"/>
        </w:rPr>
        <w:t>对象和危害程度</w:t>
      </w:r>
      <w:r>
        <w:rPr>
          <w:rFonts w:hint="eastAsia" w:ascii="宋体" w:hAnsi="宋体" w:eastAsia="宋体" w:cs="宋体"/>
          <w:sz w:val="21"/>
          <w:szCs w:val="21"/>
          <w:lang w:val="en-US" w:eastAsia="zh-CN"/>
        </w:rPr>
        <w:t>，按照以下规则综合确定数据级别：</w:t>
      </w:r>
    </w:p>
    <w:p>
      <w:pPr>
        <w:keepNext w:val="0"/>
        <w:keepLines w:val="0"/>
        <w:pageBreakBefore w:val="0"/>
        <w:numPr>
          <w:ilvl w:val="0"/>
          <w:numId w:val="15"/>
        </w:numPr>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cs="宋体"/>
          <w:i w:val="0"/>
          <w:iCs w:val="0"/>
          <w:caps w:val="0"/>
          <w:color w:val="060607"/>
          <w:spacing w:val="4"/>
          <w:sz w:val="21"/>
          <w:szCs w:val="21"/>
          <w:shd w:val="clear" w:fill="FFFFFF"/>
          <w:lang w:val="en-US" w:eastAsia="zh-CN"/>
        </w:rPr>
        <w:t>重要数据：符合6.3.2-6.3.7任意一个识别维度的数据均属于重要数据</w:t>
      </w:r>
      <w:r>
        <w:rPr>
          <w:rStyle w:val="12"/>
          <w:rFonts w:hint="eastAsia" w:ascii="Helvetica" w:hAnsi="Helvetica" w:eastAsia="Helvetica" w:cs="Helvetica"/>
          <w:b w:val="0"/>
          <w:bCs w:val="0"/>
          <w:i w:val="0"/>
          <w:iCs w:val="0"/>
          <w:caps w:val="0"/>
          <w:color w:val="060607"/>
          <w:spacing w:val="4"/>
          <w:kern w:val="0"/>
          <w:sz w:val="21"/>
          <w:szCs w:val="21"/>
          <w:shd w:val="clear" w:fill="FFFFFF"/>
          <w:vertAlign w:val="baseline"/>
          <w:lang w:val="en-US" w:eastAsia="zh-CN" w:bidi="ar"/>
        </w:rPr>
        <w:t>；</w:t>
      </w:r>
    </w:p>
    <w:p>
      <w:pPr>
        <w:keepNext w:val="0"/>
        <w:keepLines w:val="0"/>
        <w:pageBreakBefore w:val="0"/>
        <w:numPr>
          <w:ilvl w:val="0"/>
          <w:numId w:val="15"/>
        </w:numPr>
        <w:kinsoku/>
        <w:wordWrap/>
        <w:overflowPunct/>
        <w:topLinePunct w:val="0"/>
        <w:bidi w:val="0"/>
        <w:adjustRightInd/>
        <w:snapToGrid/>
        <w:spacing w:line="360" w:lineRule="auto"/>
        <w:textAlignment w:val="auto"/>
        <w:rPr>
          <w:rFonts w:hint="eastAsia" w:ascii="宋体" w:hAnsi="宋体" w:eastAsia="宋体" w:cs="宋体"/>
          <w:i w:val="0"/>
          <w:iCs w:val="0"/>
          <w:caps w:val="0"/>
          <w:color w:val="060607"/>
          <w:spacing w:val="4"/>
          <w:sz w:val="21"/>
          <w:szCs w:val="21"/>
          <w:shd w:val="clear" w:fill="FFFFFF"/>
          <w:lang w:val="en-US" w:eastAsia="zh-CN"/>
        </w:rPr>
      </w:pPr>
      <w:r>
        <w:rPr>
          <w:rFonts w:hint="eastAsia" w:ascii="宋体" w:hAnsi="宋体" w:eastAsia="宋体" w:cs="宋体"/>
          <w:i w:val="0"/>
          <w:iCs w:val="0"/>
          <w:caps w:val="0"/>
          <w:color w:val="060607"/>
          <w:spacing w:val="4"/>
          <w:sz w:val="21"/>
          <w:szCs w:val="21"/>
          <w:shd w:val="clear" w:fill="FFFFFF"/>
          <w:lang w:val="en-US" w:eastAsia="zh-CN"/>
        </w:rPr>
        <w:t>核心数据：在重要数据范围内，对国家安全、</w:t>
      </w:r>
      <w:bookmarkStart w:id="29" w:name="_GoBack"/>
      <w:bookmarkEnd w:id="29"/>
      <w:r>
        <w:rPr>
          <w:rFonts w:hint="eastAsia" w:ascii="宋体" w:hAnsi="宋体" w:eastAsia="宋体" w:cs="宋体"/>
          <w:i w:val="0"/>
          <w:iCs w:val="0"/>
          <w:caps w:val="0"/>
          <w:color w:val="060607"/>
          <w:spacing w:val="4"/>
          <w:sz w:val="21"/>
          <w:szCs w:val="21"/>
          <w:shd w:val="clear" w:fill="FFFFFF"/>
          <w:lang w:val="en-US" w:eastAsia="zh-CN"/>
        </w:rPr>
        <w:t>社会秩序、经济运行和行业发展具有重大影响，一旦遭到泄露、篡改、损毁、或者非法获取、非法使用、非法共享，对国家安全、社会秩序、经济运行和行业发展造成重大风险，或危害国家安全、公共利益的重要数据，识别为核心数据:</w:t>
      </w:r>
    </w:p>
    <w:p>
      <w:pPr>
        <w:keepNext w:val="0"/>
        <w:keepLines w:val="0"/>
        <w:pageBreakBefore w:val="0"/>
        <w:numPr>
          <w:ilvl w:val="0"/>
          <w:numId w:val="15"/>
        </w:numPr>
        <w:kinsoku/>
        <w:wordWrap/>
        <w:overflowPunct/>
        <w:topLinePunct w:val="0"/>
        <w:bidi w:val="0"/>
        <w:adjustRightInd/>
        <w:snapToGrid/>
        <w:spacing w:line="360" w:lineRule="auto"/>
        <w:textAlignment w:val="auto"/>
        <w:rPr>
          <w:rFonts w:hint="eastAsia" w:ascii="宋体" w:hAnsi="宋体" w:eastAsia="宋体" w:cs="宋体"/>
          <w:i w:val="0"/>
          <w:iCs w:val="0"/>
          <w:caps w:val="0"/>
          <w:color w:val="060607"/>
          <w:spacing w:val="4"/>
          <w:sz w:val="21"/>
          <w:szCs w:val="21"/>
          <w:shd w:val="clear" w:fill="FFFFFF"/>
          <w:lang w:val="en-US" w:eastAsia="zh-CN"/>
        </w:rPr>
      </w:pPr>
      <w:r>
        <w:rPr>
          <w:rFonts w:hint="eastAsia" w:ascii="宋体" w:hAnsi="宋体" w:eastAsia="宋体" w:cs="宋体"/>
          <w:i w:val="0"/>
          <w:iCs w:val="0"/>
          <w:caps w:val="0"/>
          <w:color w:val="060607"/>
          <w:spacing w:val="4"/>
          <w:sz w:val="21"/>
          <w:szCs w:val="21"/>
          <w:shd w:val="clear" w:fill="FFFFFF"/>
          <w:lang w:val="en-US" w:eastAsia="zh-CN"/>
        </w:rPr>
        <w:t>一般数据：未识别为核心数据、重要数据的其他数据,确定为一般数据；</w:t>
      </w:r>
    </w:p>
    <w:p>
      <w:pPr>
        <w:keepNext w:val="0"/>
        <w:keepLines w:val="0"/>
        <w:pageBreakBefore w:val="0"/>
        <w:numPr>
          <w:ilvl w:val="0"/>
          <w:numId w:val="15"/>
        </w:numPr>
        <w:kinsoku/>
        <w:wordWrap/>
        <w:overflowPunct/>
        <w:topLinePunct w:val="0"/>
        <w:bidi w:val="0"/>
        <w:adjustRightInd/>
        <w:snapToGrid/>
        <w:spacing w:line="360" w:lineRule="auto"/>
        <w:textAlignment w:val="auto"/>
        <w:rPr>
          <w:rFonts w:hint="eastAsia" w:ascii="宋体" w:hAnsi="宋体" w:eastAsia="宋体" w:cs="宋体"/>
          <w:i w:val="0"/>
          <w:iCs w:val="0"/>
          <w:caps w:val="0"/>
          <w:color w:val="060607"/>
          <w:spacing w:val="4"/>
          <w:sz w:val="21"/>
          <w:szCs w:val="21"/>
          <w:shd w:val="clear" w:fill="FFFFFF"/>
          <w:lang w:val="en-US" w:eastAsia="zh-CN"/>
        </w:rPr>
      </w:pPr>
      <w:r>
        <w:rPr>
          <w:rFonts w:hint="eastAsia" w:ascii="宋体" w:hAnsi="宋体" w:eastAsia="宋体" w:cs="宋体"/>
          <w:i w:val="0"/>
          <w:iCs w:val="0"/>
          <w:caps w:val="0"/>
          <w:color w:val="060607"/>
          <w:spacing w:val="4"/>
          <w:sz w:val="21"/>
          <w:szCs w:val="21"/>
          <w:shd w:val="clear" w:fill="FFFFFF"/>
          <w:lang w:val="en-US" w:eastAsia="zh-CN"/>
        </w:rPr>
        <w:t>如待分级数据涉及多个要素、多个影响对象或影响程度,应按照就高从严原则确定数据级别；</w:t>
      </w:r>
    </w:p>
    <w:p>
      <w:pPr>
        <w:keepNext w:val="0"/>
        <w:keepLines w:val="0"/>
        <w:pageBreakBefore w:val="0"/>
        <w:numPr>
          <w:ilvl w:val="0"/>
          <w:numId w:val="15"/>
        </w:numPr>
        <w:kinsoku/>
        <w:wordWrap/>
        <w:overflowPunct/>
        <w:topLinePunct w:val="0"/>
        <w:bidi w:val="0"/>
        <w:adjustRightInd/>
        <w:snapToGrid/>
        <w:spacing w:line="360" w:lineRule="auto"/>
        <w:textAlignment w:val="auto"/>
        <w:rPr>
          <w:rFonts w:hint="eastAsia" w:ascii="宋体" w:hAnsi="宋体" w:eastAsia="宋体" w:cs="宋体"/>
          <w:i w:val="0"/>
          <w:iCs w:val="0"/>
          <w:caps w:val="0"/>
          <w:color w:val="060607"/>
          <w:spacing w:val="4"/>
          <w:sz w:val="21"/>
          <w:szCs w:val="21"/>
          <w:shd w:val="clear" w:fill="FFFFFF"/>
          <w:lang w:val="en-US" w:eastAsia="zh-CN"/>
        </w:rPr>
      </w:pPr>
      <w:r>
        <w:rPr>
          <w:rFonts w:hint="eastAsia" w:ascii="宋体" w:hAnsi="宋体" w:eastAsia="宋体" w:cs="宋体"/>
          <w:i w:val="0"/>
          <w:iCs w:val="0"/>
          <w:caps w:val="0"/>
          <w:color w:val="060607"/>
          <w:spacing w:val="4"/>
          <w:sz w:val="21"/>
          <w:szCs w:val="21"/>
          <w:shd w:val="clear" w:fill="FFFFFF"/>
          <w:lang w:val="en-US" w:eastAsia="zh-CN"/>
        </w:rPr>
        <w:t>根据数据重要程度和可能造成的危害程度的变化,应对数据级别进行动态更新。</w:t>
      </w:r>
    </w:p>
    <w:p>
      <w:pPr>
        <w:pStyle w:val="34"/>
        <w:keepNext w:val="0"/>
        <w:keepLines w:val="0"/>
        <w:pageBreakBefore w:val="0"/>
        <w:widowControl/>
        <w:numPr>
          <w:ilvl w:val="0"/>
          <w:numId w:val="0"/>
        </w:numPr>
        <w:kinsoku/>
        <w:wordWrap/>
        <w:overflowPunct/>
        <w:topLinePunct w:val="0"/>
        <w:autoSpaceDE/>
        <w:autoSpaceDN/>
        <w:bidi w:val="0"/>
        <w:adjustRightInd/>
        <w:snapToGrid/>
        <w:spacing w:after="157" w:afterLines="50"/>
        <w:ind w:leftChars="0"/>
        <w:textAlignment w:val="auto"/>
        <w:rPr>
          <w:rFonts w:hint="eastAsia" w:cs="Times New Roman"/>
          <w:b w:val="0"/>
          <w:bCs/>
          <w:lang w:val="en-US" w:eastAsia="zh-CN"/>
        </w:rPr>
      </w:pPr>
      <w:bookmarkStart w:id="21" w:name="_Toc13629"/>
      <w:r>
        <w:rPr>
          <w:rFonts w:hint="eastAsia" w:cs="Times New Roman"/>
          <w:b w:val="0"/>
          <w:bCs/>
          <w:lang w:val="en-US" w:eastAsia="zh-CN"/>
        </w:rPr>
        <w:t>7  数据分类分级流程</w:t>
      </w:r>
      <w:bookmarkEnd w:id="21"/>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bookmarkStart w:id="22" w:name="_Toc7579"/>
      <w:r>
        <w:rPr>
          <w:rFonts w:hint="eastAsia" w:ascii="黑体" w:hAnsi="黑体" w:cs="黑体"/>
          <w:b w:val="0"/>
          <w:bCs w:val="0"/>
          <w:lang w:val="en-US" w:eastAsia="zh-CN"/>
        </w:rPr>
        <w:t>7.1 概述</w:t>
      </w:r>
      <w:bookmarkEnd w:id="22"/>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有色金属行业企业作为工业数据处理者在进行数据分类分级工作时，可按照数据资产梳理、重要数据识别、内部审批、重要数据目录备案四个阶段开展工作。</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bookmarkStart w:id="23" w:name="_Toc28687"/>
      <w:r>
        <w:rPr>
          <w:rFonts w:hint="eastAsia" w:ascii="黑体" w:hAnsi="黑体" w:cs="黑体"/>
          <w:b w:val="0"/>
          <w:bCs w:val="0"/>
          <w:lang w:val="en-US" w:eastAsia="zh-CN"/>
        </w:rPr>
        <w:t>7.2 数据资产梳理</w:t>
      </w:r>
      <w:bookmarkEnd w:id="23"/>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有色金属行业企业应组织相关数据所属部门（如研发、生产、运维部门等），全面梳理盘点数据资产，形成数据资产清单。对数据进行分类，并对公共数据、外部数据等特殊类别数据进行识别和分类。</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bookmarkStart w:id="24" w:name="_Toc30973"/>
      <w:r>
        <w:rPr>
          <w:rFonts w:hint="eastAsia" w:ascii="黑体" w:hAnsi="黑体" w:cs="黑体"/>
          <w:b w:val="0"/>
          <w:bCs w:val="0"/>
          <w:lang w:val="en-US" w:eastAsia="zh-CN"/>
        </w:rPr>
        <w:t>7.3 重要数据识别</w:t>
      </w:r>
      <w:bookmarkEnd w:id="24"/>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有色金属行业企业应参照重要数据识别维度开展重要数据识别工作，并进一步根据影响对象和危害程度识别核心数据，确定核心数据、重要数据和一般数据的范围，形成重要数据（含核心数据）清单。</w:t>
      </w:r>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有色金属行业采选、冶炼、加工企业工业数据分类分级清单示例见附录A。</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bookmarkStart w:id="25" w:name="_Toc13439"/>
      <w:r>
        <w:rPr>
          <w:rFonts w:hint="eastAsia" w:ascii="黑体" w:hAnsi="黑体" w:cs="黑体"/>
          <w:b w:val="0"/>
          <w:bCs w:val="0"/>
          <w:lang w:val="en-US" w:eastAsia="zh-CN"/>
        </w:rPr>
        <w:t>7.4 内部审批</w:t>
      </w:r>
      <w:bookmarkEnd w:id="25"/>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有色金属行业企业应对形成的重要数据清单进行内部审批，如审批通过，生成重要数据目录，如审批未通过，应重新开展重要数据识别工作。</w:t>
      </w:r>
    </w:p>
    <w:p>
      <w:pPr>
        <w:pStyle w:val="35"/>
        <w:keepNext/>
        <w:keepLines/>
        <w:pageBreakBefore w:val="0"/>
        <w:widowControl w:val="0"/>
        <w:numPr>
          <w:ilvl w:val="1"/>
          <w:numId w:val="0"/>
        </w:numPr>
        <w:kinsoku/>
        <w:wordWrap/>
        <w:overflowPunct/>
        <w:topLinePunct w:val="0"/>
        <w:autoSpaceDE/>
        <w:autoSpaceDN/>
        <w:bidi w:val="0"/>
        <w:adjustRightInd/>
        <w:snapToGrid/>
        <w:spacing w:before="157" w:beforeLines="50" w:after="157" w:afterLines="50"/>
        <w:textAlignment w:val="auto"/>
        <w:outlineLvl w:val="2"/>
        <w:rPr>
          <w:rFonts w:hint="default" w:ascii="黑体" w:hAnsi="黑体" w:cs="黑体"/>
          <w:b w:val="0"/>
          <w:bCs w:val="0"/>
          <w:lang w:val="en-US" w:eastAsia="zh-CN"/>
        </w:rPr>
      </w:pPr>
      <w:bookmarkStart w:id="26" w:name="_Toc14726"/>
      <w:r>
        <w:rPr>
          <w:rFonts w:hint="eastAsia" w:ascii="黑体" w:hAnsi="黑体" w:cs="黑体"/>
          <w:b w:val="0"/>
          <w:bCs w:val="0"/>
          <w:lang w:val="en-US" w:eastAsia="zh-CN"/>
        </w:rPr>
        <w:t>7.5 重要数据目录备案</w:t>
      </w:r>
      <w:bookmarkEnd w:id="26"/>
    </w:p>
    <w:p>
      <w:pPr>
        <w:pStyle w:val="30"/>
        <w:keepNext w:val="0"/>
        <w:keepLines w:val="0"/>
        <w:pageBreakBefore w:val="0"/>
        <w:kinsoku/>
        <w:wordWrap/>
        <w:overflowPunct/>
        <w:topLinePunct w:val="0"/>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有色金属行业企业应向行业监管部门报送重要数据目录，如重要数据目录审核通过，按要求开展重要数据保护；如重要数据目录审核未通过，应重新开展重要数据识别和报送工作。企业重要数据目录发生重大变化时，及时更新重要数据目录并进行上报。</w:t>
      </w:r>
    </w:p>
    <w:p>
      <w:pPr>
        <w:pStyle w:val="30"/>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lang w:val="en-US" w:eastAsia="zh-CN"/>
        </w:rPr>
      </w:pPr>
    </w:p>
    <w:p>
      <w:pPr>
        <w:pStyle w:val="30"/>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i w:val="0"/>
          <w:iCs w:val="0"/>
          <w:caps w:val="0"/>
          <w:color w:val="060607"/>
          <w:spacing w:val="4"/>
          <w:sz w:val="21"/>
          <w:szCs w:val="21"/>
          <w:shd w:val="clear" w:fill="FFFFFF"/>
          <w:lang w:eastAsia="zh-CN"/>
        </w:rPr>
      </w:pPr>
    </w:p>
    <w:p>
      <w:pPr>
        <w:pStyle w:val="30"/>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i w:val="0"/>
          <w:iCs w:val="0"/>
          <w:caps w:val="0"/>
          <w:color w:val="060607"/>
          <w:spacing w:val="4"/>
          <w:sz w:val="21"/>
          <w:szCs w:val="21"/>
          <w:shd w:val="clear" w:fill="FFFFFF"/>
          <w:lang w:eastAsia="zh-CN"/>
        </w:rPr>
        <w:sectPr>
          <w:footerReference r:id="rId5" w:type="default"/>
          <w:pgSz w:w="11906" w:h="16838"/>
          <w:pgMar w:top="567" w:right="1134" w:bottom="1134" w:left="1417" w:header="1418" w:footer="1134" w:gutter="0"/>
          <w:pgBorders>
            <w:top w:val="none" w:sz="0" w:space="0"/>
            <w:left w:val="none" w:sz="0" w:space="0"/>
            <w:bottom w:val="none" w:sz="0" w:space="0"/>
            <w:right w:val="none" w:sz="0" w:space="0"/>
          </w:pgBorders>
          <w:pgNumType w:fmt="decimal" w:start="1"/>
          <w:cols w:space="0" w:num="1"/>
          <w:formProt w:val="0"/>
          <w:rtlGutter w:val="0"/>
          <w:docGrid w:type="lines" w:linePitch="312" w:charSpace="0"/>
        </w:sectPr>
      </w:pPr>
    </w:p>
    <w:p>
      <w:pPr>
        <w:pStyle w:val="33"/>
        <w:keepNext/>
        <w:keepLines w:val="0"/>
        <w:pageBreakBefore/>
        <w:widowControl/>
        <w:shd w:val="clear" w:color="FFFFFF" w:fill="FFFFFF"/>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sz w:val="21"/>
          <w:szCs w:val="21"/>
          <w:lang w:val="en-US" w:eastAsia="zh-CN"/>
        </w:rPr>
      </w:pPr>
      <w:bookmarkStart w:id="27" w:name="_Toc5243"/>
      <w:r>
        <w:rPr>
          <w:rFonts w:hint="eastAsia" w:ascii="黑体" w:hAnsi="黑体" w:eastAsia="黑体" w:cs="黑体"/>
          <w:b w:val="0"/>
          <w:bCs w:val="0"/>
          <w:sz w:val="21"/>
          <w:szCs w:val="21"/>
          <w:lang w:val="en-US" w:eastAsia="zh-CN"/>
        </w:rPr>
        <w:t>附 录 A</w:t>
      </w:r>
      <w:bookmarkEnd w:id="27"/>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1"/>
          <w:szCs w:val="21"/>
        </w:rPr>
      </w:pPr>
      <w:r>
        <w:rPr>
          <w:rFonts w:hint="eastAsia" w:ascii="黑体" w:hAnsi="黑体" w:eastAsia="黑体" w:cs="黑体"/>
          <w:color w:val="000000"/>
          <w:kern w:val="0"/>
          <w:sz w:val="21"/>
          <w:szCs w:val="21"/>
          <w:lang w:val="en-US" w:eastAsia="zh-CN" w:bidi="ar"/>
        </w:rPr>
        <w:t>(资料性)</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1"/>
          <w:szCs w:val="21"/>
        </w:rPr>
      </w:pPr>
      <w:r>
        <w:rPr>
          <w:rFonts w:hint="eastAsia" w:ascii="黑体" w:hAnsi="黑体" w:eastAsia="黑体" w:cs="黑体"/>
          <w:color w:val="000000"/>
          <w:kern w:val="0"/>
          <w:sz w:val="21"/>
          <w:szCs w:val="21"/>
          <w:lang w:val="en-US" w:eastAsia="zh-CN" w:bidi="ar"/>
        </w:rPr>
        <w:t>有色金属行业工业数据分类分级清单示例</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黑体" w:hAnsi="黑体" w:eastAsia="黑体" w:cs="黑体"/>
          <w:lang w:val="en-US"/>
        </w:rPr>
      </w:pPr>
      <w:r>
        <w:rPr>
          <w:rFonts w:hint="eastAsia" w:ascii="黑体" w:hAnsi="黑体" w:eastAsia="黑体" w:cs="黑体"/>
          <w:color w:val="000000"/>
          <w:kern w:val="0"/>
          <w:sz w:val="21"/>
          <w:szCs w:val="21"/>
          <w:lang w:val="en-US" w:eastAsia="zh-CN" w:bidi="ar"/>
        </w:rPr>
        <w:t>A.1 采选企业</w:t>
      </w:r>
      <w:r>
        <w:rPr>
          <w:rFonts w:hint="eastAsia" w:ascii="黑体" w:hAnsi="黑体" w:eastAsia="黑体" w:cs="黑体"/>
          <w:color w:val="000000"/>
          <w:kern w:val="0"/>
          <w:sz w:val="21"/>
          <w:szCs w:val="21"/>
          <w:lang w:val="en-US" w:eastAsia="zh-CN" w:bidi="ar"/>
        </w:rPr>
        <w:t>工业</w:t>
      </w:r>
      <w:r>
        <w:rPr>
          <w:rFonts w:hint="eastAsia" w:ascii="黑体" w:hAnsi="黑体" w:eastAsia="黑体" w:cs="黑体"/>
          <w:color w:val="000000"/>
          <w:kern w:val="0"/>
          <w:sz w:val="21"/>
          <w:szCs w:val="21"/>
          <w:lang w:val="en-US" w:eastAsia="zh-CN" w:bidi="ar"/>
        </w:rPr>
        <w:t>数据分类分级清单示例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pPr>
      <w:r>
        <w:rPr>
          <w:rFonts w:hint="eastAsia" w:ascii="宋体" w:hAnsi="宋体" w:eastAsia="宋体" w:cs="宋体"/>
          <w:color w:val="000000"/>
          <w:kern w:val="0"/>
          <w:sz w:val="21"/>
          <w:szCs w:val="21"/>
          <w:lang w:val="en-US" w:eastAsia="zh-CN" w:bidi="ar"/>
        </w:rPr>
        <w:t>采选企业工业数据具有强资源关联性、高安全风险及深产业链渗透特点，数据分类分级围绕研发、生产、运维等数据域，依据数据对资源安全、生产安全和企业竞争力的影响，划分为核心、重要和一般数据，精准覆盖矿产勘探、工艺参数等关键数据。采选企业工业数据分类分级清单示例见表A.1。</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黑体" w:hAnsi="黑体" w:eastAsia="黑体" w:cs="黑体"/>
          <w:color w:val="000000"/>
          <w:kern w:val="0"/>
          <w:sz w:val="21"/>
          <w:szCs w:val="21"/>
          <w:lang w:val="en-US" w:eastAsia="zh-CN" w:bidi="ar"/>
        </w:rPr>
        <w:t>表 A.1 采选企业工业数据分类分级清单示例</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79"/>
        <w:gridCol w:w="1279"/>
        <w:gridCol w:w="1279"/>
        <w:gridCol w:w="1691"/>
        <w:gridCol w:w="4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数据类型</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数据名称</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数据级别</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数据量（参考）</w:t>
            </w:r>
          </w:p>
        </w:tc>
        <w:tc>
          <w:tcPr>
            <w:tcW w:w="220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矿产资源勘探数据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核心数据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10-50GB（三维地质模型、钻孔数据等）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包含矿区地质构造图、矿产储量估算模型、钻孔岩芯分析数据、资源品位分布数据等，是采选企业规划开采方案、评估资源价值的核心依据，直接关系企业战略布局和国家资源安全。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选矿工艺优化实验数据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1-10GB（实验记录、参数对比表等）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涵盖浮选药剂配比实验、磨矿细度与回收率关系数据、选矿流程模拟结果等，用于优化选矿效率，提升精矿品质和产量，对企业经济效益有重要影响。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采矿方法开发数据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5-20GB（采矿方案设计图、模拟仿真数据等）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包括井下采矿方法（如充填采矿法、空场采矿法）的设计参数、稳定性模拟数据、现场试验效果记录等，关系采矿作业的安全性和资源回收率。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采矿作业控制信息</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重要数据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100GB-1TB/年（实时控制指令、传感器流数据）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涵盖爆破参数（装药量、起爆时间）、井下开采面推进控制指令、提升机运行控制信号等，直接控制采矿作业流程，其准确性和安全性关乎生产安全与连续性。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选矿工况状态数据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50GB-500GB/年（设备实时状态、环境监测数据）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包括球磨机电流、浮选槽液位、矿浆浓度、尾矿库水位等实时监测数据，是判断选矿生产是否稳定的重要依据，可用于及时发现和处理生产异常。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关键工艺参数</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5-50GB/年（历史参数记录、优化阈值）</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如选矿回收率目标值、精矿品位控制区间、采矿贫化率参数等，直接决定产品质量与资源利用率，是采选企业生产的核心指标，影响企业核心竞争力。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生产系统运行日志</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10-100GB/年（系统操作记录、错误日志）</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包括PLC系统操作日志、设备启停记录、数据采集异常报警日志等，主要用于故障追溯和系统维护，不直接涉及核心工艺和生产安全。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设备运维记录数据</w:t>
            </w:r>
          </w:p>
        </w:tc>
        <w:tc>
          <w:tcPr>
            <w:tcW w:w="646" w:type="pct"/>
            <w:shd w:val="clear" w:color="auto" w:fill="auto"/>
            <w:tcMar>
              <w:top w:w="180" w:type="dxa"/>
              <w:left w:w="270" w:type="dxa"/>
              <w:bottom w:w="180" w:type="dxa"/>
              <w:right w:w="270" w:type="dxa"/>
            </w:tcMar>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1-5GB/年（维修记录、备件更换记录）</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涵盖破碎机轴承更换记录、选矿设备润滑周期数据、关键部件寿命预测数据等，关系设备的可靠性和使用寿命，保障生产的连续稳定运行。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矿山物流调度数据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500MB-2GB/年（运输路线、车次记录）</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包括矿车运输路线规划、矿石从井下到选矿厂的转运记录、辅料（如炸药）配送调度数据等，反映矿山物流的效率和合理性。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尾矿库运维数据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重要数据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2-10GB/年（坝体位移监测、渗流数据等）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包含尾矿库坝体沉降位移监测数据、渗流量及水质监测数据、排洪系统运行状态记录等，直接关系尾矿库的安全，避免发生溃坝等重大安全事故。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矿产资源储备数据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核心数据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5-30GB（可采储量、储备分布等）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包括矿区内各类矿产的可采储量、储备分布区域、品位等级划分数据，以及短期和长期开采储备规划数据，是企业可持续生产的基础，关系国家资源安全和企业长远发展。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生产物资储备数据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1-10GB（备件库存、辅料储备等）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涵盖生产所需的关键设备备件库存数量及位置、炸药、浮选药剂等辅料的储备量及保质期数据，以及应急物资（如急救设备、防汛物资）的储备记录，保障生产的连续性和应对突发情况的能力。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矿山资产台账数据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500MB-2GB（设备资产、土地权证等）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涵盖采矿权证书数字化信息、大型设备（如矿井提升机）资产原值与折旧数据、矿区土地使用范围坐标等，是企业合法运营的基础，关系企业的权益和生存发展。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安全生产管理数据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500MB-2GB/年（安全检查记录、隐患整改数据等）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包括井下安全检查记录、安全隐患排查与整改数据、重大危险源监控数据等，保障矿山生产安全，避免发生安全事故。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人力资源数据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100-500MB（员工信息、考勤记录等）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包括员工基本信息、考勤记录、薪酬数据等，主要用于企业内部人力资源管理，不直接影响生产和行业竞争力。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精矿产品销售数据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1-5GB/年（销售合同、客户信息等）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包括精矿产品销售合同、客户信息、销售价格及数量记录等，关系企业的市场份额和经济效益，反映企业的市场竞争力。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原材料采购数据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1-5GB/年（采购合同、供应商信息等）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如炸药、选矿药剂等原材料的采购合同、供应商信息、采购价格与渠道记录等，保障原材料的稳定供应，影响生产的连续性。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生产经营统计数据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500MB-2GB/年（产量统计、成本核算等）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包括月度、季度及年度的采矿量、选矿量统计数据，生产成木核算数据等，用于企业内部经营管理和决策分析。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行业政策法规数据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100-500MB（政策文件、法规解读等）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包括国家及地方关于采选行业的政策文件、法规解读、行业标准等，用于企业合规经营和战略调整。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市场行情数据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500MB-2GB（价格走势、市场需求等）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如各类矿产资源及精矿产品的市场价格走势、市场需求预测数据等，用于企业调整生产计划和销售策略，应对市场变化。</w:t>
            </w:r>
          </w:p>
        </w:tc>
      </w:tr>
    </w:tbl>
    <w:p>
      <w:pPr>
        <w:keepNext w:val="0"/>
        <w:keepLines w:val="0"/>
        <w:widowControl/>
        <w:suppressLineNumbers w:val="0"/>
        <w:jc w:val="cente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rPr>
      </w:pPr>
      <w:r>
        <w:rPr>
          <w:rFonts w:hint="eastAsia" w:ascii="黑体" w:hAnsi="黑体" w:eastAsia="黑体" w:cs="黑体"/>
          <w:color w:val="000000"/>
          <w:kern w:val="0"/>
          <w:sz w:val="21"/>
          <w:szCs w:val="21"/>
          <w:lang w:val="en-US" w:eastAsia="zh-CN" w:bidi="ar"/>
        </w:rPr>
        <w:t>A.2 冶炼企业工业数据分类分级清单示例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80" w:firstLineChars="200"/>
        <w:jc w:val="left"/>
        <w:textAlignment w:val="auto"/>
      </w:pPr>
      <w:r>
        <w:rPr>
          <w:rFonts w:hint="eastAsia" w:ascii="宋体" w:hAnsi="宋体" w:eastAsia="宋体" w:cs="宋体"/>
          <w:color w:val="000000"/>
          <w:kern w:val="0"/>
          <w:sz w:val="19"/>
          <w:szCs w:val="19"/>
          <w:lang w:val="en-US" w:eastAsia="zh-CN" w:bidi="ar"/>
        </w:rPr>
        <w:t>冶炼企业工业数据具有高温高压环境下的强实时性、多环节工艺关联性及高环保安全敏感性特点，数据分类分级以研发、生产、运维等数据域为框架，按数据对冶炼工艺稳定性、产品质量、环保达标及企业核心竞争力的影响，划分为核心、重要和一般数据，涵盖熔炼参数、污染物排放监测等关键数据。冶炼企业工业数据分类分级清单示例见表A.2。</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0"/>
          <w:kern w:val="0"/>
          <w:sz w:val="19"/>
          <w:szCs w:val="19"/>
          <w:lang w:val="en-US" w:eastAsia="zh-CN" w:bidi="ar"/>
        </w:rPr>
      </w:pPr>
      <w:r>
        <w:rPr>
          <w:rFonts w:hint="eastAsia" w:ascii="黑体" w:hAnsi="黑体" w:eastAsia="黑体" w:cs="黑体"/>
          <w:color w:val="000000"/>
          <w:kern w:val="0"/>
          <w:sz w:val="19"/>
          <w:szCs w:val="19"/>
          <w:lang w:val="en-US" w:eastAsia="zh-CN" w:bidi="ar"/>
        </w:rPr>
        <w:t>表 A.2 冶炼企业工业数据分类分级清单示例</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79"/>
        <w:gridCol w:w="1279"/>
        <w:gridCol w:w="1279"/>
        <w:gridCol w:w="1691"/>
        <w:gridCol w:w="4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数据类型</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数据名称</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数据级别</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数据量（参考）</w:t>
            </w:r>
          </w:p>
        </w:tc>
        <w:tc>
          <w:tcPr>
            <w:tcW w:w="220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冶炼关键技术开发及工艺优化科研项目数据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核心数据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10-50GB（图纸文档、研究报告等）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国家科技计划项目相关数据，包括国家专项范围相关可行性研究报告、建设方案、科学数据、科技成果、产品技术研发路线以及相关知识产权数据，属于国家重大专项、重点研发计划等项目在规划和实施过程中产生的与国家科技安全相关高价值敏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冶炼工艺研发数据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重要数据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15-80GB（工艺设计图纸、实验参数等）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包含新型冶炼工艺（如短流程冶炼、真空熔炼）的设计方案、关键参数（如反应温度、还原剂配比）、中试实验记录等，是企业技术突破和降本增效的核心支撑，直接决定冶炼效率与产品竞争力。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环保技术开发数据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5-30GB（脱硫脱硝工艺、废水处理实验等）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包括污染物处理工艺（如烟气脱硫效率提升实验）、环保材料选型数据、超低排放技术验证报告等，关系企业环保合规性与绿色生产竞争力。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冶炼关键系统组件、设备控制数据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重要数据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200GB-2TB/年（实时控制指令、传感器流数据）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熔炼炉/转炉/电解槽的温度、压力、电流等实时控制指令，以及深冷制氧、湿法制砷等高危生产环节中关键系统组件、设备的控制信息，用于冶炼生产过程中生产指令操作、控制和调度工作，涉及行业内未公开的先进基础工艺、重点危险化学品生产存储/严重影响生产安全的关键控制系统及联网控制器。属于在生产制造过程中，收集和产生的与行业生产安全发展相关的先进基础工艺参数、控制信息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冶炼工况监测数据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100GB-1TB/年（设备运行状态、介质参数等）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包括冶炼炉窑的能耗数据（如吨铜能耗）、炉气成分（如一氧化碳浓度）、冷却水流量等实时监测数据，用于判断生产状态是否正常，是故障预警的关键依据。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生产系统运行日志</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50-300GB/年（操作记录、报警日志等）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包括控制系统操作记录、设备故障报警日志（非核心参数异常）、数据采集断点记录等，主要用于事后追溯，不直接影响实时生产。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危化品管理数据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重要数据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1-5GB/年（存储位置、使用记录、应急处置等）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包含冶炼硫酸、三氧化二砷、剧毒萃取剂等危化品的存储坐标、领用记录、泄漏应急处理预案数据，直接关系厂区安全与人员健康。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冶炼设备资产数据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2-10GB（设备台账、价值评估等）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涵盖熔炼炉、电解槽等核心设备的采购合同、折旧记录、技术参数），是企业生产能力的核心载体，关系固定资产管理与产能规划。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安全生产管理数据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2-10GB/年（隐患排查、应急演练等）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包括高温作业区安全防护记录、煤气泄漏应急演练视频数据、特种作业人员资质台账等，用于保障冶炼高风险环境下的生产安全。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人力资源与培训数据
</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500MB-2GB（员工档案、培训记录等）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涵盖冶炼车间工人岗位资质、安全培训考核成绩、薪酬发放记录等，主要用于内部人事管理，不直接影响生产工艺。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冶炼产品质量数据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1-8GB/年（质检报告、追溯记录等）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包括产品成分检测报告（如铜纯度99.99%）、缺陷品追溯数据、客户反馈的质量异议处理记录，直接影响下游加工企业合作与品牌声誉。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原材料采购与供应链数据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5-30GB/年（供应商信息、采购合同等）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如铜精矿采购价格与渠道、供应商产能数据、运输损耗率记录等，关系原材料成本控制与供应链稳定性（如突发断供风险）。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生产计划与统计数据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1-5GB/年（月度计划、产量报表等）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包括季度冶炼产量计划、各车间生产任务分配表、能耗统计报表等，反映生产目标完成情况，用于经营分析。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行业环保标准数据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500MB-2GB（国标/行标文件、解读报告等）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如国家大气污染物排放标准、地方环保政策解读等，用于对标合规，不涉及企业核心技术。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关键设备运维数据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5-30GB/年（检修记录、备件更换记录等）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涵盖冶炼炉炉衬更换周期数据、电解槽大修工艺记录、真空泵等关键设备的振动/温度趋势分析，关系设备寿命与生产连续性，避免非计划停机。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冶炼物料调度数据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2-10GB/年（原料配送路线、物料平衡表等）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包括矿石从料场到冶炼炉的配送计划、中间产品（如粗铜）转运记录、辅料（如焦炭）库存调配数据等，反映物料流转效率。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上下游企业共享数据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1-5GB/年（需求预测、质量要求等）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如下游加工企业对高纯阴极铜的成分要求、上游矿山的矿石品位预报数据，用于调整生产计划，保障产业链协同效率。</w:t>
            </w:r>
          </w:p>
        </w:tc>
      </w:tr>
    </w:tbl>
    <w:p>
      <w:pPr>
        <w:keepNext w:val="0"/>
        <w:keepLines w:val="0"/>
        <w:widowControl/>
        <w:suppressLineNumbers w:val="0"/>
        <w:jc w:val="center"/>
        <w:rPr>
          <w:rFonts w:hint="eastAsia" w:ascii="黑体" w:hAnsi="黑体" w:eastAsia="黑体" w:cs="黑体"/>
          <w:color w:val="000000"/>
          <w:kern w:val="0"/>
          <w:sz w:val="19"/>
          <w:szCs w:val="19"/>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rPr>
      </w:pPr>
      <w:r>
        <w:rPr>
          <w:rFonts w:hint="eastAsia" w:ascii="黑体" w:hAnsi="黑体" w:eastAsia="黑体" w:cs="黑体"/>
          <w:color w:val="000000"/>
          <w:kern w:val="0"/>
          <w:sz w:val="21"/>
          <w:szCs w:val="21"/>
          <w:lang w:val="en-US" w:eastAsia="zh-CN" w:bidi="ar"/>
        </w:rPr>
        <w:t>A.3 加工企业工业数据分类分级清单示例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80" w:firstLineChars="200"/>
        <w:jc w:val="left"/>
        <w:textAlignment w:val="auto"/>
      </w:pPr>
      <w:r>
        <w:rPr>
          <w:rFonts w:hint="eastAsia" w:ascii="宋体" w:hAnsi="宋体" w:eastAsia="宋体" w:cs="宋体"/>
          <w:color w:val="000000"/>
          <w:kern w:val="0"/>
          <w:sz w:val="19"/>
          <w:szCs w:val="19"/>
          <w:lang w:val="en-US" w:eastAsia="zh-CN" w:bidi="ar"/>
        </w:rPr>
        <w:t>加工企业工业数据具有高精密性、多工序关联性及强客户定制化特征，数据分类分级以研发、生产、运维等数据域为基础，依据数据对加工精度、产品质量稳定性及市场竞争力的影响，划分为核心、重要和一般数据，覆盖工艺参数、质量检测等关键数据。加工企业工业数据分类分级清单示例见表A.3。</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0"/>
          <w:kern w:val="0"/>
          <w:sz w:val="19"/>
          <w:szCs w:val="19"/>
          <w:lang w:val="en-US" w:eastAsia="zh-CN" w:bidi="ar"/>
        </w:rPr>
      </w:pPr>
      <w:r>
        <w:rPr>
          <w:rFonts w:hint="eastAsia" w:ascii="黑体" w:hAnsi="黑体" w:eastAsia="黑体" w:cs="黑体"/>
          <w:color w:val="000000"/>
          <w:kern w:val="0"/>
          <w:sz w:val="19"/>
          <w:szCs w:val="19"/>
          <w:lang w:val="en-US" w:eastAsia="zh-CN" w:bidi="ar"/>
        </w:rPr>
        <w:t>表 A.3 加工企业工业数据分类分级清单示例</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79"/>
        <w:gridCol w:w="1279"/>
        <w:gridCol w:w="1279"/>
        <w:gridCol w:w="1691"/>
        <w:gridCol w:w="4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数据类型</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数据名称</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数据级别</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数据量（参考）</w:t>
            </w:r>
          </w:p>
        </w:tc>
        <w:tc>
          <w:tcPr>
            <w:tcW w:w="2206" w:type="pct"/>
            <w:shd w:val="clear" w:color="auto" w:fill="auto"/>
            <w:tcMar>
              <w:top w:w="180" w:type="dxa"/>
              <w:left w:w="270" w:type="dxa"/>
              <w:bottom w:w="180" w:type="dxa"/>
              <w:right w:w="270"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产品研发设计数据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重要数据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20-100GB（三维模型、设计图纸等）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包含各类有色金属加工产品（如铝合金型材、铜箔等）的三维模型、结构设计图纸、材料选用参数等，是产品研发的核心成果，直接影响产品性能和市场竞争力。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工艺改进实验数据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5-30GB（实验记录、参数优化数据等）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涵盖轧制工艺参数调整实验、热处理工艺改进数据、表面处理效果测试记录等，用于提升产品质量和生产效率，对企业经济效益有重要影响。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研发数据域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新设备开发适配数据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10-50GB（设备参数匹配、调试数据等）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包括为适应新型加工工艺而开发的设备参数匹配数据、设备调试过程中的运行数据、设备与工艺适配性测试记录等。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关键质量参数</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10-80GB/年（质量检测标准、历史数据等）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如产品尺寸公差范围、力学性能指标（抗拉强度、延伸率）、表面粗糙度要求等，直接决定产品是否符合标准，是企业产品质量的核心体现。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生产过程控制信息</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200GB-2TB/年（实时控制指令、传感器数据）</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涵盖轧制速度控制指令、温度调节信号、压力控制参数等，直接控制加工生产流程，其准确性和稳定性关乎产品质量与生产安全。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生产工况监测数据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100GB-1GB/年（设备运行状态、环境数据等）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包括加工设备运行转速、电流、温度，车间环境温湿度、粉尘浓度等实时监测数据，是判断生产是否正常的重要依据，可及时发现生产异常。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设备维护保养数据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5-20GB/年（保养计划、维修记录等）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涵盖加工设备定期保养计划、零部件更换记录、故障维修报告等，关系设备的使用寿命和运行稳定性，保障生产连续进行。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生产物料调度数据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1-5GB/年（物料配送路线、批次记录等）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包括原材料从仓库到生产线的配送路线、加工成品的转运记录、物料批次追溯数据等，反映生产物料流转效率。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运维数据域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工具工装管理数据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2-10GB/年（工具参数、使用寿命记录等）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包含模具尺寸参数、刀具使用寿命记录、工装夹具维护数据等，直接影响加工精度和产品质量，避免因工具问题导致生产事故。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生产设备资产数据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1-5GB（设备台账、价值评估等）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涵盖加工设备（如轧机、冲压机）的资产台账、购置价值、折旧记录、设备技术参数等，是企业生产资产的重要组成部分，关系企业生产能力。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生产安全管理数据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1-5GB/年（安全检查记录、应急演练数据等）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包括车间安全检查记录、生产安全隐患整改数据、应急演练方案及结果记录等，保障生产过程中的人员和设备安全。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管理数据域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人员岗位技能数据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200-800MB（技能证书、培训记录等）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包括员工岗位技能证书、专业培训记录、技能考核成绩等，主要用于人员岗位调配和技能提升管理，不直接影响核心生产。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产品销售订单数据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5-20GB/年（订单信息、客户需求等）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包括产品销售订单详情、客户对产品的特殊要求、交货期约定等，关系企业的市场份额和客户满意度，反映企业市场响应能力。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原材料采购供应数据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5-20GB/年（采购计划、供应商信息等）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如有色金属原材料采购计划、供应商资质数据、采购价格及交货周期记录等，保障原材料稳定供应，影响生产连续性。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业务服务数据域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生产经营分析数据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1-5GB/年（产量分析、成本核算等）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包括月度及年度生产产量分析、产品成本核算、生产效率统计等数据，用于企业内部经营决策和管理优化。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行业技术标准数据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200-1000MB（标准文件、规范要求等）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包括国家及行业关于有色金属加工产品的技术标准、质量规范、环保要求等，用于指导企业生产合规产品。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外部数据域</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市场竞争动态数据</w:t>
            </w:r>
          </w:p>
        </w:tc>
        <w:tc>
          <w:tcPr>
            <w:tcW w:w="646"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一般数据</w:t>
            </w:r>
          </w:p>
        </w:tc>
        <w:tc>
          <w:tcPr>
            <w:tcW w:w="854" w:type="pct"/>
            <w:shd w:val="clear" w:color="auto" w:fill="auto"/>
            <w:tcMar>
              <w:top w:w="180" w:type="dxa"/>
              <w:left w:w="270" w:type="dxa"/>
              <w:bottom w:w="180" w:type="dxa"/>
              <w:right w:w="270"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1-5GB（竞争对手信息、市场份额等）</w:t>
            </w:r>
          </w:p>
        </w:tc>
        <w:tc>
          <w:tcPr>
            <w:tcW w:w="2206" w:type="pct"/>
            <w:shd w:val="clear" w:color="auto" w:fill="auto"/>
            <w:tcMar>
              <w:top w:w="180" w:type="dxa"/>
              <w:left w:w="270" w:type="dxa"/>
              <w:bottom w:w="180" w:type="dxa"/>
              <w:right w:w="270" w:type="dxa"/>
            </w:tcMar>
            <w:vAlign w:val="center"/>
          </w:tcPr>
          <w:p>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如竞争对手的产品特点、市场价格策略、市场占有率变化等数据，用于企业制定市场竞争策略，应对市场变化。</w:t>
            </w:r>
          </w:p>
        </w:tc>
      </w:tr>
    </w:tbl>
    <w:p>
      <w:pPr>
        <w:keepNext w:val="0"/>
        <w:keepLines w:val="0"/>
        <w:widowControl/>
        <w:suppressLineNumbers w:val="0"/>
        <w:jc w:val="center"/>
      </w:pPr>
    </w:p>
    <w:p>
      <w:pPr>
        <w:keepNext w:val="0"/>
        <w:keepLines w:val="0"/>
        <w:widowControl/>
        <w:suppressLineNumbers w:val="0"/>
        <w:jc w:val="center"/>
      </w:pPr>
    </w:p>
    <w:p>
      <w:pPr>
        <w:keepNext w:val="0"/>
        <w:keepLines w:val="0"/>
        <w:widowControl/>
        <w:suppressLineNumbers w:val="0"/>
        <w:jc w:val="center"/>
        <w:sectPr>
          <w:pgSz w:w="11906" w:h="16838"/>
          <w:pgMar w:top="567" w:right="1134" w:bottom="1134" w:left="1417" w:header="1418" w:footer="1134" w:gutter="0"/>
          <w:pgBorders>
            <w:top w:val="none" w:sz="0" w:space="0"/>
            <w:left w:val="none" w:sz="0" w:space="0"/>
            <w:bottom w:val="none" w:sz="0" w:space="0"/>
            <w:right w:val="none" w:sz="0" w:space="0"/>
          </w:pgBorders>
          <w:pgNumType w:fmt="decimal" w:start="1"/>
          <w:cols w:space="0" w:num="1"/>
          <w:formProt w:val="0"/>
          <w:rtlGutter w:val="0"/>
          <w:docGrid w:type="lines" w:linePitch="312" w:charSpace="0"/>
        </w:sectPr>
      </w:pPr>
    </w:p>
    <w:p>
      <w:pPr>
        <w:pStyle w:val="33"/>
        <w:rPr>
          <w:rFonts w:hint="eastAsia"/>
        </w:rPr>
      </w:pPr>
      <w:bookmarkStart w:id="28" w:name="_Toc21356"/>
      <w:r>
        <w:rPr>
          <w:rFonts w:hint="eastAsia" w:ascii="黑体" w:hAnsi="黑体" w:eastAsia="黑体" w:cs="黑体"/>
          <w:b w:val="0"/>
          <w:bCs w:val="0"/>
          <w:sz w:val="21"/>
          <w:szCs w:val="21"/>
          <w:lang w:val="en-US" w:eastAsia="zh-CN"/>
        </w:rPr>
        <w:t>参 考 文 献</w:t>
      </w:r>
      <w:bookmarkEnd w:id="28"/>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eastAsia="宋体"/>
          <w:lang w:val="en-US" w:eastAsia="zh-CN"/>
        </w:rPr>
      </w:pPr>
      <w:r>
        <w:rPr>
          <w:rFonts w:hint="eastAsia"/>
          <w:lang w:val="en-US" w:eastAsia="zh-CN"/>
        </w:rPr>
        <w:t>[1] YD/T 4981</w:t>
      </w:r>
      <w:r>
        <w:rPr>
          <w:rFonts w:hint="eastAsia" w:ascii="Times New Roman"/>
        </w:rPr>
        <w:t>—</w:t>
      </w:r>
      <w:r>
        <w:rPr>
          <w:rFonts w:hint="eastAsia" w:ascii="Times New Roman"/>
          <w:lang w:val="en-US" w:eastAsia="zh-CN"/>
        </w:rPr>
        <w:t>2024 工业领域重要数据识别指南</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[2] 中华人民共和国数据安全法</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[3] 中华人民共和国网络安全法</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[4] 中华人民共和国个人信息保护法</w:t>
      </w:r>
    </w:p>
    <w:p>
      <w:pPr>
        <w:pStyle w:val="30"/>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lang w:val="en-US" w:eastAsia="zh-CN"/>
        </w:rPr>
      </w:pPr>
      <w:r>
        <w:rPr>
          <w:rFonts w:hint="eastAsia"/>
          <w:lang w:val="en-US" w:eastAsia="zh-CN"/>
        </w:rPr>
        <w:t>[5] 工业和信息化领域数据安全管理办法</w:t>
      </w:r>
    </w:p>
    <w:p>
      <w:pPr>
        <w:pStyle w:val="30"/>
        <w:bidi w:val="0"/>
        <w:jc w:val="center"/>
        <w:rPr>
          <w:rFonts w:hint="default"/>
          <w:lang w:val="en-US" w:eastAsia="zh-CN"/>
        </w:rPr>
      </w:pPr>
      <w:r>
        <w:rPr>
          <w:rFonts w:hint="eastAsia"/>
          <w:lang w:val="en-US" w:eastAsia="zh-CN"/>
        </w:rPr>
        <w:t>______________________________</w:t>
      </w:r>
    </w:p>
    <w:sectPr>
      <w:pgSz w:w="11906" w:h="16838"/>
      <w:pgMar w:top="567" w:right="1134" w:bottom="1134" w:left="1417" w:header="1418" w:footer="1134" w:gutter="0"/>
      <w:pgBorders>
        <w:top w:val="none" w:sz="0" w:space="0"/>
        <w:left w:val="none" w:sz="0" w:space="0"/>
        <w:bottom w:val="none" w:sz="0" w:space="0"/>
        <w:right w:val="none" w:sz="0" w:space="0"/>
      </w:pgBorders>
      <w:pgNumType w:fmt="decimal"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E-HZ">
    <w:altName w:val="XcGJSymbol"/>
    <w:panose1 w:val="00000000000000000000"/>
    <w:charset w:val="00"/>
    <w:family w:val="auto"/>
    <w:pitch w:val="default"/>
    <w:sig w:usb0="00000000" w:usb1="00000000" w:usb2="00000000" w:usb3="00000000" w:csb0="00000000" w:csb1="00000000"/>
  </w:font>
  <w:font w:name="E-BZ">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E-FZ">
    <w:altName w:val="XcGJSymbol"/>
    <w:panose1 w:val="00000000000000000000"/>
    <w:charset w:val="00"/>
    <w:family w:val="auto"/>
    <w:pitch w:val="default"/>
    <w:sig w:usb0="00000000" w:usb1="00000000" w:usb2="00000000" w:usb3="00000000" w:csb0="00000000" w:csb1="00000000"/>
  </w:font>
  <w:font w:name="FZSSK--GBK1-0">
    <w:altName w:val="XcGJSymbol"/>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rFonts w:hint="eastAsia"/>
      </w:rPr>
      <w:t>YS/T</w:t>
    </w:r>
    <w: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DFE66"/>
    <w:multiLevelType w:val="multilevel"/>
    <w:tmpl w:val="8AADFE66"/>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93C870A6"/>
    <w:multiLevelType w:val="multilevel"/>
    <w:tmpl w:val="93C870A6"/>
    <w:lvl w:ilvl="0" w:tentative="0">
      <w:start w:val="1"/>
      <w:numFmt w:val="lowerLetter"/>
      <w:lvlText w:val="%1）"/>
      <w:lvlJc w:val="left"/>
      <w:pPr>
        <w:tabs>
          <w:tab w:val="left" w:pos="780"/>
        </w:tabs>
        <w:ind w:left="780" w:hanging="360"/>
      </w:pPr>
      <w:rPr>
        <w:rFonts w:hint="default" w:ascii="宋体" w:hAnsi="宋体" w:eastAsia="宋体" w:cs="宋体"/>
        <w:b w:val="0"/>
        <w:bCs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9BBB18FE"/>
    <w:multiLevelType w:val="multilevel"/>
    <w:tmpl w:val="9BBB18FE"/>
    <w:lvl w:ilvl="0" w:tentative="0">
      <w:start w:val="1"/>
      <w:numFmt w:val="decimal"/>
      <w:lvlText w:val="%1)"/>
      <w:lvlJc w:val="left"/>
      <w:pPr>
        <w:ind w:left="1200" w:hanging="360"/>
      </w:pPr>
      <w:rPr>
        <w:rFonts w:hint="default"/>
        <w:sz w:val="21"/>
        <w:szCs w:val="21"/>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A3B7D1F4"/>
    <w:multiLevelType w:val="multilevel"/>
    <w:tmpl w:val="A3B7D1F4"/>
    <w:lvl w:ilvl="0" w:tentative="0">
      <w:start w:val="1"/>
      <w:numFmt w:val="decimal"/>
      <w:lvlText w:val="%1)"/>
      <w:lvlJc w:val="left"/>
      <w:pPr>
        <w:ind w:left="1200" w:hanging="360"/>
      </w:pPr>
      <w:rPr>
        <w:rFonts w:hint="default"/>
        <w:sz w:val="21"/>
        <w:szCs w:val="21"/>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B91DD0BB"/>
    <w:multiLevelType w:val="multilevel"/>
    <w:tmpl w:val="B91DD0BB"/>
    <w:lvl w:ilvl="0" w:tentative="0">
      <w:start w:val="1"/>
      <w:numFmt w:val="decimal"/>
      <w:lvlText w:val="%1)"/>
      <w:lvlJc w:val="left"/>
      <w:pPr>
        <w:ind w:left="1200" w:hanging="360"/>
      </w:pPr>
      <w:rPr>
        <w:rFonts w:hint="default"/>
        <w:sz w:val="21"/>
        <w:szCs w:val="21"/>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FCA8EC13"/>
    <w:multiLevelType w:val="multilevel"/>
    <w:tmpl w:val="FCA8EC13"/>
    <w:lvl w:ilvl="0" w:tentative="0">
      <w:start w:val="1"/>
      <w:numFmt w:val="lowerLetter"/>
      <w:lvlText w:val="%1）"/>
      <w:lvlJc w:val="left"/>
      <w:pPr>
        <w:tabs>
          <w:tab w:val="left" w:pos="780"/>
        </w:tabs>
        <w:ind w:left="780" w:hanging="360"/>
      </w:pPr>
      <w:rPr>
        <w:rFonts w:hint="default" w:ascii="宋体" w:hAnsi="宋体" w:eastAsia="宋体" w:cs="宋体"/>
        <w:b w:val="0"/>
        <w:bCs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F9C7C17"/>
    <w:multiLevelType w:val="multilevel"/>
    <w:tmpl w:val="0F9C7C17"/>
    <w:lvl w:ilvl="0" w:tentative="0">
      <w:start w:val="1"/>
      <w:numFmt w:val="decimal"/>
      <w:lvlText w:val="%1"/>
      <w:lvlJc w:val="left"/>
      <w:pPr>
        <w:ind w:left="432" w:hanging="432"/>
      </w:pPr>
      <w:rPr>
        <w:rFonts w:hint="default"/>
        <w:b/>
        <w:bCs/>
      </w:rPr>
    </w:lvl>
    <w:lvl w:ilvl="1" w:tentative="0">
      <w:start w:val="1"/>
      <w:numFmt w:val="decimal"/>
      <w:pStyle w:val="2"/>
      <w:lvlText w:val="%1.%2"/>
      <w:lvlJc w:val="left"/>
      <w:pPr>
        <w:ind w:left="576" w:hanging="576"/>
      </w:pPr>
      <w:rPr>
        <w:rFonts w:hint="default" w:ascii="黑体" w:hAnsi="黑体" w:eastAsia="黑体"/>
        <w:b/>
        <w:bCs/>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ascii="黑体" w:hAnsi="黑体" w:eastAsia="黑体"/>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1F6A8368"/>
    <w:multiLevelType w:val="multilevel"/>
    <w:tmpl w:val="1F6A8368"/>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none"/>
      <w:lvlText w:val="注："/>
      <w:lvlJc w:val="left"/>
      <w:pPr>
        <w:ind w:left="1270" w:leftChars="0" w:hanging="430" w:firstLineChars="0"/>
      </w:pPr>
      <w:rPr>
        <w:rFonts w:hint="default" w:ascii="黑体" w:hAnsi="黑体" w:eastAsia="黑体" w:cs="黑体"/>
        <w:b w:val="0"/>
        <w:bCs/>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B52EDBE"/>
    <w:multiLevelType w:val="multilevel"/>
    <w:tmpl w:val="2B52EDBE"/>
    <w:lvl w:ilvl="0" w:tentative="0">
      <w:start w:val="1"/>
      <w:numFmt w:val="lowerLetter"/>
      <w:lvlText w:val="%1）"/>
      <w:lvlJc w:val="left"/>
      <w:pPr>
        <w:tabs>
          <w:tab w:val="left" w:pos="780"/>
        </w:tabs>
        <w:ind w:left="780" w:hanging="360"/>
      </w:pPr>
      <w:rPr>
        <w:rFonts w:hint="default" w:ascii="宋体" w:hAnsi="宋体" w:eastAsia="宋体" w:cs="宋体"/>
        <w:b w:val="0"/>
        <w:bCs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4D6E7ED1"/>
    <w:multiLevelType w:val="multilevel"/>
    <w:tmpl w:val="4D6E7ED1"/>
    <w:lvl w:ilvl="0" w:tentative="0">
      <w:start w:val="1"/>
      <w:numFmt w:val="decimal"/>
      <w:lvlText w:val="%1)"/>
      <w:lvlJc w:val="left"/>
      <w:pPr>
        <w:ind w:left="1200" w:hanging="360"/>
      </w:pPr>
      <w:rPr>
        <w:rFonts w:hint="default"/>
        <w:sz w:val="21"/>
        <w:szCs w:val="21"/>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500CA415"/>
    <w:multiLevelType w:val="multilevel"/>
    <w:tmpl w:val="500CA415"/>
    <w:lvl w:ilvl="0" w:tentative="0">
      <w:start w:val="1"/>
      <w:numFmt w:val="lowerLetter"/>
      <w:lvlText w:val="%1）"/>
      <w:lvlJc w:val="left"/>
      <w:pPr>
        <w:tabs>
          <w:tab w:val="left" w:pos="780"/>
        </w:tabs>
        <w:ind w:left="780" w:hanging="360"/>
      </w:pPr>
      <w:rPr>
        <w:rFonts w:hint="default" w:ascii="宋体" w:hAnsi="宋体" w:eastAsia="宋体" w:cs="宋体"/>
        <w:b w:val="0"/>
        <w:bCs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646260FA"/>
    <w:multiLevelType w:val="multilevel"/>
    <w:tmpl w:val="646260FA"/>
    <w:lvl w:ilvl="0" w:tentative="0">
      <w:start w:val="1"/>
      <w:numFmt w:val="decimal"/>
      <w:pStyle w:val="4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1C5BB0"/>
    <w:multiLevelType w:val="multilevel"/>
    <w:tmpl w:val="6D1C5BB0"/>
    <w:lvl w:ilvl="0" w:tentative="0">
      <w:start w:val="1"/>
      <w:numFmt w:val="lowerLetter"/>
      <w:lvlText w:val="%1）"/>
      <w:lvlJc w:val="left"/>
      <w:pPr>
        <w:tabs>
          <w:tab w:val="left" w:pos="780"/>
        </w:tabs>
        <w:ind w:left="780" w:hanging="360"/>
      </w:pPr>
      <w:rPr>
        <w:rFonts w:hint="default" w:ascii="宋体" w:hAnsi="宋体" w:eastAsia="宋体" w:cs="宋体"/>
        <w:b w:val="0"/>
        <w:bCs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7ACCCBAA"/>
    <w:multiLevelType w:val="multilevel"/>
    <w:tmpl w:val="7ACCCBAA"/>
    <w:lvl w:ilvl="0" w:tentative="0">
      <w:start w:val="1"/>
      <w:numFmt w:val="lowerLetter"/>
      <w:lvlText w:val="%1）"/>
      <w:lvlJc w:val="left"/>
      <w:pPr>
        <w:tabs>
          <w:tab w:val="left" w:pos="780"/>
        </w:tabs>
        <w:ind w:left="780" w:hanging="360"/>
      </w:pPr>
      <w:rPr>
        <w:rFonts w:hint="default" w:ascii="宋体" w:hAnsi="宋体" w:eastAsia="宋体" w:cs="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6"/>
  </w:num>
  <w:num w:numId="2">
    <w:abstractNumId w:val="11"/>
  </w:num>
  <w:num w:numId="3">
    <w:abstractNumId w:val="12"/>
  </w:num>
  <w:num w:numId="4">
    <w:abstractNumId w:val="14"/>
  </w:num>
  <w:num w:numId="5">
    <w:abstractNumId w:val="13"/>
  </w:num>
  <w:num w:numId="6">
    <w:abstractNumId w:val="1"/>
  </w:num>
  <w:num w:numId="7">
    <w:abstractNumId w:val="7"/>
  </w:num>
  <w:num w:numId="8">
    <w:abstractNumId w:val="8"/>
  </w:num>
  <w:num w:numId="9">
    <w:abstractNumId w:val="3"/>
  </w:num>
  <w:num w:numId="10">
    <w:abstractNumId w:val="10"/>
  </w:num>
  <w:num w:numId="11">
    <w:abstractNumId w:val="9"/>
  </w:num>
  <w:num w:numId="12">
    <w:abstractNumId w:val="5"/>
  </w:num>
  <w:num w:numId="13">
    <w:abstractNumId w:val="4"/>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ZmNhODdlMGIxMDc1Mjk0NzgyMzFlNDY4MjM2MDAifQ=="/>
  </w:docVars>
  <w:rsids>
    <w:rsidRoot w:val="39F16015"/>
    <w:rsid w:val="003C4B21"/>
    <w:rsid w:val="003D49F4"/>
    <w:rsid w:val="004D720D"/>
    <w:rsid w:val="010D654B"/>
    <w:rsid w:val="01F4435B"/>
    <w:rsid w:val="02014C63"/>
    <w:rsid w:val="022A2F1B"/>
    <w:rsid w:val="02755A93"/>
    <w:rsid w:val="028E7122"/>
    <w:rsid w:val="030D12B9"/>
    <w:rsid w:val="03161237"/>
    <w:rsid w:val="03256636"/>
    <w:rsid w:val="040B51EE"/>
    <w:rsid w:val="05145458"/>
    <w:rsid w:val="054576D8"/>
    <w:rsid w:val="05471393"/>
    <w:rsid w:val="057B3CD5"/>
    <w:rsid w:val="05972365"/>
    <w:rsid w:val="05B74BAA"/>
    <w:rsid w:val="05F33875"/>
    <w:rsid w:val="064A2E72"/>
    <w:rsid w:val="065910BF"/>
    <w:rsid w:val="065D535C"/>
    <w:rsid w:val="06B75EE8"/>
    <w:rsid w:val="072169E8"/>
    <w:rsid w:val="07CA2ED7"/>
    <w:rsid w:val="07F6721E"/>
    <w:rsid w:val="07FA7E23"/>
    <w:rsid w:val="0853529F"/>
    <w:rsid w:val="08E01DA3"/>
    <w:rsid w:val="09161874"/>
    <w:rsid w:val="098531AD"/>
    <w:rsid w:val="098F0FA5"/>
    <w:rsid w:val="0A0100FD"/>
    <w:rsid w:val="0A6506AD"/>
    <w:rsid w:val="0A920D6E"/>
    <w:rsid w:val="0BB9314C"/>
    <w:rsid w:val="0C1237DB"/>
    <w:rsid w:val="0C420E51"/>
    <w:rsid w:val="0C9E289C"/>
    <w:rsid w:val="0CD90829"/>
    <w:rsid w:val="0D4C6FD9"/>
    <w:rsid w:val="0D9D78B8"/>
    <w:rsid w:val="0DAE2F9F"/>
    <w:rsid w:val="0E2F1962"/>
    <w:rsid w:val="0E324ADA"/>
    <w:rsid w:val="0E3A1CFF"/>
    <w:rsid w:val="0E960F7B"/>
    <w:rsid w:val="0EE42D5D"/>
    <w:rsid w:val="0F262DE9"/>
    <w:rsid w:val="0F5F7EB5"/>
    <w:rsid w:val="0F642379"/>
    <w:rsid w:val="0F697787"/>
    <w:rsid w:val="0F6D575B"/>
    <w:rsid w:val="0F7E1C23"/>
    <w:rsid w:val="102E0E8F"/>
    <w:rsid w:val="10B647F9"/>
    <w:rsid w:val="10D242CF"/>
    <w:rsid w:val="111B4D7F"/>
    <w:rsid w:val="11825B20"/>
    <w:rsid w:val="11B248DD"/>
    <w:rsid w:val="11DF2DD0"/>
    <w:rsid w:val="11F34201"/>
    <w:rsid w:val="12290C30"/>
    <w:rsid w:val="12552C20"/>
    <w:rsid w:val="125606A2"/>
    <w:rsid w:val="12B90746"/>
    <w:rsid w:val="138E0F73"/>
    <w:rsid w:val="13CF716E"/>
    <w:rsid w:val="143D2B06"/>
    <w:rsid w:val="14691EDC"/>
    <w:rsid w:val="1478454C"/>
    <w:rsid w:val="14994BCF"/>
    <w:rsid w:val="14F670A8"/>
    <w:rsid w:val="15200185"/>
    <w:rsid w:val="15D12ED7"/>
    <w:rsid w:val="15D361A8"/>
    <w:rsid w:val="16526AEE"/>
    <w:rsid w:val="167C35DD"/>
    <w:rsid w:val="16A843D2"/>
    <w:rsid w:val="16BB13FE"/>
    <w:rsid w:val="16E7123F"/>
    <w:rsid w:val="171C0D51"/>
    <w:rsid w:val="17A53209"/>
    <w:rsid w:val="17C95FBA"/>
    <w:rsid w:val="17D2397F"/>
    <w:rsid w:val="1822066F"/>
    <w:rsid w:val="18565113"/>
    <w:rsid w:val="19696774"/>
    <w:rsid w:val="19A17550"/>
    <w:rsid w:val="1A0E6C42"/>
    <w:rsid w:val="1A6C44A8"/>
    <w:rsid w:val="1A7A6085"/>
    <w:rsid w:val="1A7F13E7"/>
    <w:rsid w:val="1A821E92"/>
    <w:rsid w:val="1A953AA2"/>
    <w:rsid w:val="1AB62205"/>
    <w:rsid w:val="1B0A7C6C"/>
    <w:rsid w:val="1B15245C"/>
    <w:rsid w:val="1B7262F1"/>
    <w:rsid w:val="1B920E49"/>
    <w:rsid w:val="1BF223F6"/>
    <w:rsid w:val="1C182059"/>
    <w:rsid w:val="1CBB4733"/>
    <w:rsid w:val="1CBF78B4"/>
    <w:rsid w:val="1D0D78A7"/>
    <w:rsid w:val="1D381F16"/>
    <w:rsid w:val="1D40788B"/>
    <w:rsid w:val="1D8E0EC0"/>
    <w:rsid w:val="1DD41F50"/>
    <w:rsid w:val="1DE01993"/>
    <w:rsid w:val="1DFE2229"/>
    <w:rsid w:val="1E2123EB"/>
    <w:rsid w:val="1E4D0963"/>
    <w:rsid w:val="1EA06BBB"/>
    <w:rsid w:val="1F0957C1"/>
    <w:rsid w:val="1F251A49"/>
    <w:rsid w:val="1F5155C6"/>
    <w:rsid w:val="1F682713"/>
    <w:rsid w:val="1FC11EA9"/>
    <w:rsid w:val="1FC513E7"/>
    <w:rsid w:val="200D799B"/>
    <w:rsid w:val="205729C5"/>
    <w:rsid w:val="206B7D6A"/>
    <w:rsid w:val="20C813D6"/>
    <w:rsid w:val="20D538AC"/>
    <w:rsid w:val="21346507"/>
    <w:rsid w:val="21A97250"/>
    <w:rsid w:val="22071169"/>
    <w:rsid w:val="220821C8"/>
    <w:rsid w:val="223B6B95"/>
    <w:rsid w:val="228274AE"/>
    <w:rsid w:val="229049BB"/>
    <w:rsid w:val="22974956"/>
    <w:rsid w:val="22BC2D38"/>
    <w:rsid w:val="22CC3FAD"/>
    <w:rsid w:val="22D66FF2"/>
    <w:rsid w:val="22DE117B"/>
    <w:rsid w:val="22E57F9E"/>
    <w:rsid w:val="22F85279"/>
    <w:rsid w:val="230B1E6C"/>
    <w:rsid w:val="234E5CCC"/>
    <w:rsid w:val="24424E18"/>
    <w:rsid w:val="247B4B68"/>
    <w:rsid w:val="24976644"/>
    <w:rsid w:val="24E013A4"/>
    <w:rsid w:val="24F14CA9"/>
    <w:rsid w:val="24FD2909"/>
    <w:rsid w:val="25420DC4"/>
    <w:rsid w:val="25446CB1"/>
    <w:rsid w:val="25847E20"/>
    <w:rsid w:val="26793BE5"/>
    <w:rsid w:val="268D703C"/>
    <w:rsid w:val="26E543C0"/>
    <w:rsid w:val="27135C28"/>
    <w:rsid w:val="27544493"/>
    <w:rsid w:val="27663A80"/>
    <w:rsid w:val="27DD6975"/>
    <w:rsid w:val="27FB3942"/>
    <w:rsid w:val="27FC1E61"/>
    <w:rsid w:val="28193077"/>
    <w:rsid w:val="284C5E4A"/>
    <w:rsid w:val="290B259E"/>
    <w:rsid w:val="29C33313"/>
    <w:rsid w:val="2A072B1B"/>
    <w:rsid w:val="2A0D63FD"/>
    <w:rsid w:val="2A68414C"/>
    <w:rsid w:val="2AC670C5"/>
    <w:rsid w:val="2B597F39"/>
    <w:rsid w:val="2B715282"/>
    <w:rsid w:val="2BB90718"/>
    <w:rsid w:val="2C090FCE"/>
    <w:rsid w:val="2C0C79D5"/>
    <w:rsid w:val="2C5D3253"/>
    <w:rsid w:val="2CE91E27"/>
    <w:rsid w:val="2D364B93"/>
    <w:rsid w:val="2D900586"/>
    <w:rsid w:val="2DA21723"/>
    <w:rsid w:val="2F352725"/>
    <w:rsid w:val="2F397228"/>
    <w:rsid w:val="2F70752B"/>
    <w:rsid w:val="2FDA2024"/>
    <w:rsid w:val="30073ABF"/>
    <w:rsid w:val="30161F54"/>
    <w:rsid w:val="30233650"/>
    <w:rsid w:val="30263F71"/>
    <w:rsid w:val="306E51F2"/>
    <w:rsid w:val="30AF613B"/>
    <w:rsid w:val="30B55C11"/>
    <w:rsid w:val="312456BF"/>
    <w:rsid w:val="323077C6"/>
    <w:rsid w:val="324C0285"/>
    <w:rsid w:val="32807969"/>
    <w:rsid w:val="32917273"/>
    <w:rsid w:val="32E60304"/>
    <w:rsid w:val="32EF2E0A"/>
    <w:rsid w:val="33111651"/>
    <w:rsid w:val="33C0792A"/>
    <w:rsid w:val="33F407FF"/>
    <w:rsid w:val="345614B9"/>
    <w:rsid w:val="346E5C12"/>
    <w:rsid w:val="34836482"/>
    <w:rsid w:val="350D68A4"/>
    <w:rsid w:val="35215623"/>
    <w:rsid w:val="35B47D0F"/>
    <w:rsid w:val="361E5A4A"/>
    <w:rsid w:val="36E94025"/>
    <w:rsid w:val="374643BF"/>
    <w:rsid w:val="37553E76"/>
    <w:rsid w:val="37751A06"/>
    <w:rsid w:val="37E56B2E"/>
    <w:rsid w:val="37EB7B3F"/>
    <w:rsid w:val="38455ACD"/>
    <w:rsid w:val="38542969"/>
    <w:rsid w:val="38834C85"/>
    <w:rsid w:val="38C05E29"/>
    <w:rsid w:val="38DA0B62"/>
    <w:rsid w:val="39251919"/>
    <w:rsid w:val="39487007"/>
    <w:rsid w:val="39C22DE4"/>
    <w:rsid w:val="39F16015"/>
    <w:rsid w:val="3A0A3189"/>
    <w:rsid w:val="3A0C2FBD"/>
    <w:rsid w:val="3A234F15"/>
    <w:rsid w:val="3A4606E3"/>
    <w:rsid w:val="3A844811"/>
    <w:rsid w:val="3B056063"/>
    <w:rsid w:val="3B0752BB"/>
    <w:rsid w:val="3B4007CD"/>
    <w:rsid w:val="3B564B69"/>
    <w:rsid w:val="3B5C15F8"/>
    <w:rsid w:val="3B6B5FCD"/>
    <w:rsid w:val="3B77509E"/>
    <w:rsid w:val="3B927D15"/>
    <w:rsid w:val="3B993054"/>
    <w:rsid w:val="3BEB698B"/>
    <w:rsid w:val="3C1557B6"/>
    <w:rsid w:val="3C353CE7"/>
    <w:rsid w:val="3C5E53AF"/>
    <w:rsid w:val="3C8C7AEE"/>
    <w:rsid w:val="3C97441D"/>
    <w:rsid w:val="3CC03DB6"/>
    <w:rsid w:val="3D007B53"/>
    <w:rsid w:val="3D623944"/>
    <w:rsid w:val="3D8C40DD"/>
    <w:rsid w:val="3E383B83"/>
    <w:rsid w:val="3E7D754F"/>
    <w:rsid w:val="3EAB715E"/>
    <w:rsid w:val="3EC13ECC"/>
    <w:rsid w:val="3EE51CD9"/>
    <w:rsid w:val="3EFA6251"/>
    <w:rsid w:val="3F034249"/>
    <w:rsid w:val="3F30526F"/>
    <w:rsid w:val="3FB50A00"/>
    <w:rsid w:val="3FC456AD"/>
    <w:rsid w:val="3FCF5C3C"/>
    <w:rsid w:val="3FE32840"/>
    <w:rsid w:val="4034639D"/>
    <w:rsid w:val="406C796F"/>
    <w:rsid w:val="408137D6"/>
    <w:rsid w:val="40BB71EE"/>
    <w:rsid w:val="40F07398"/>
    <w:rsid w:val="4148218A"/>
    <w:rsid w:val="414C7ECC"/>
    <w:rsid w:val="41933FD4"/>
    <w:rsid w:val="41A73FD7"/>
    <w:rsid w:val="41AD7A52"/>
    <w:rsid w:val="41D47692"/>
    <w:rsid w:val="41DD5436"/>
    <w:rsid w:val="41E71F48"/>
    <w:rsid w:val="421D2BB5"/>
    <w:rsid w:val="425C68A4"/>
    <w:rsid w:val="42BF4F03"/>
    <w:rsid w:val="44546EE9"/>
    <w:rsid w:val="448A687F"/>
    <w:rsid w:val="44B042CE"/>
    <w:rsid w:val="44E53C46"/>
    <w:rsid w:val="45131C52"/>
    <w:rsid w:val="455C6204"/>
    <w:rsid w:val="45737BDF"/>
    <w:rsid w:val="45823382"/>
    <w:rsid w:val="458A7911"/>
    <w:rsid w:val="46177DFD"/>
    <w:rsid w:val="464F66B7"/>
    <w:rsid w:val="470D43A0"/>
    <w:rsid w:val="471B6F39"/>
    <w:rsid w:val="472C13D1"/>
    <w:rsid w:val="473429D4"/>
    <w:rsid w:val="474657FE"/>
    <w:rsid w:val="47555600"/>
    <w:rsid w:val="477B49D4"/>
    <w:rsid w:val="47D93B3C"/>
    <w:rsid w:val="47EF7803"/>
    <w:rsid w:val="4849586A"/>
    <w:rsid w:val="4851260D"/>
    <w:rsid w:val="48804281"/>
    <w:rsid w:val="488F1019"/>
    <w:rsid w:val="48A04659"/>
    <w:rsid w:val="48E51A62"/>
    <w:rsid w:val="49984538"/>
    <w:rsid w:val="49BD3C89"/>
    <w:rsid w:val="49C01457"/>
    <w:rsid w:val="49C51AD6"/>
    <w:rsid w:val="49E366AE"/>
    <w:rsid w:val="49F20EE5"/>
    <w:rsid w:val="4A1E1CDA"/>
    <w:rsid w:val="4A2E73B2"/>
    <w:rsid w:val="4A5F5EDB"/>
    <w:rsid w:val="4A9A58AC"/>
    <w:rsid w:val="4B7B46F0"/>
    <w:rsid w:val="4BBD5522"/>
    <w:rsid w:val="4BFE4527"/>
    <w:rsid w:val="4C265CC6"/>
    <w:rsid w:val="4C4D523C"/>
    <w:rsid w:val="4C675DE6"/>
    <w:rsid w:val="4CC103F0"/>
    <w:rsid w:val="4CE27C75"/>
    <w:rsid w:val="4D322037"/>
    <w:rsid w:val="4D35565B"/>
    <w:rsid w:val="4D3A7CC9"/>
    <w:rsid w:val="4D5B106D"/>
    <w:rsid w:val="4D601FB1"/>
    <w:rsid w:val="4D7A191D"/>
    <w:rsid w:val="4E0D0129"/>
    <w:rsid w:val="4E5F4707"/>
    <w:rsid w:val="4EB12A71"/>
    <w:rsid w:val="4F1A33B7"/>
    <w:rsid w:val="4F1F148C"/>
    <w:rsid w:val="4F3062A5"/>
    <w:rsid w:val="4F31425D"/>
    <w:rsid w:val="4F696084"/>
    <w:rsid w:val="4F797BAB"/>
    <w:rsid w:val="4F975561"/>
    <w:rsid w:val="4F9C201E"/>
    <w:rsid w:val="50233325"/>
    <w:rsid w:val="502718C3"/>
    <w:rsid w:val="505179D5"/>
    <w:rsid w:val="50671B79"/>
    <w:rsid w:val="50AB003F"/>
    <w:rsid w:val="512A02E4"/>
    <w:rsid w:val="513F39D2"/>
    <w:rsid w:val="51964985"/>
    <w:rsid w:val="51B82F1C"/>
    <w:rsid w:val="52671844"/>
    <w:rsid w:val="52F01600"/>
    <w:rsid w:val="53463BFC"/>
    <w:rsid w:val="543737DA"/>
    <w:rsid w:val="545C1D7C"/>
    <w:rsid w:val="545F66E9"/>
    <w:rsid w:val="548079D5"/>
    <w:rsid w:val="54FD1AC9"/>
    <w:rsid w:val="557D7F01"/>
    <w:rsid w:val="55AF78A6"/>
    <w:rsid w:val="56BC4265"/>
    <w:rsid w:val="56BF6FF0"/>
    <w:rsid w:val="56D26C7F"/>
    <w:rsid w:val="57720D7B"/>
    <w:rsid w:val="577F009D"/>
    <w:rsid w:val="579221F0"/>
    <w:rsid w:val="57DB56EB"/>
    <w:rsid w:val="58923090"/>
    <w:rsid w:val="58A13AA3"/>
    <w:rsid w:val="595E51D7"/>
    <w:rsid w:val="59C772F1"/>
    <w:rsid w:val="59E35ED0"/>
    <w:rsid w:val="5A3F7DB6"/>
    <w:rsid w:val="5ABF3065"/>
    <w:rsid w:val="5B0E2582"/>
    <w:rsid w:val="5B1369AF"/>
    <w:rsid w:val="5B653E6E"/>
    <w:rsid w:val="5B6E15E4"/>
    <w:rsid w:val="5B81476F"/>
    <w:rsid w:val="5BBF5B13"/>
    <w:rsid w:val="5BC94674"/>
    <w:rsid w:val="5BE30FD5"/>
    <w:rsid w:val="5C001C90"/>
    <w:rsid w:val="5C401B37"/>
    <w:rsid w:val="5CC826A5"/>
    <w:rsid w:val="5CFE0FC7"/>
    <w:rsid w:val="5D152E0F"/>
    <w:rsid w:val="5D3808CD"/>
    <w:rsid w:val="5D6B3074"/>
    <w:rsid w:val="5D83481E"/>
    <w:rsid w:val="5D995DEF"/>
    <w:rsid w:val="5DAF64AB"/>
    <w:rsid w:val="5E495364"/>
    <w:rsid w:val="5EFB537D"/>
    <w:rsid w:val="5EFD25E1"/>
    <w:rsid w:val="5EFF27C0"/>
    <w:rsid w:val="5F2C1A7B"/>
    <w:rsid w:val="5F2D46F6"/>
    <w:rsid w:val="5FB80565"/>
    <w:rsid w:val="600E6E0D"/>
    <w:rsid w:val="60680A3A"/>
    <w:rsid w:val="606E01A6"/>
    <w:rsid w:val="607C7302"/>
    <w:rsid w:val="60FD1644"/>
    <w:rsid w:val="60FE69AF"/>
    <w:rsid w:val="611F660B"/>
    <w:rsid w:val="61276FB4"/>
    <w:rsid w:val="61357BDD"/>
    <w:rsid w:val="617678F3"/>
    <w:rsid w:val="61C54741"/>
    <w:rsid w:val="61D554B4"/>
    <w:rsid w:val="620424D9"/>
    <w:rsid w:val="620C3034"/>
    <w:rsid w:val="6222328F"/>
    <w:rsid w:val="62C236F2"/>
    <w:rsid w:val="62CC2C2D"/>
    <w:rsid w:val="62EE47AC"/>
    <w:rsid w:val="63562F74"/>
    <w:rsid w:val="63D412A5"/>
    <w:rsid w:val="642B6186"/>
    <w:rsid w:val="646E3B0C"/>
    <w:rsid w:val="651803A5"/>
    <w:rsid w:val="655B398A"/>
    <w:rsid w:val="658265DD"/>
    <w:rsid w:val="65FA13F5"/>
    <w:rsid w:val="662D6FF1"/>
    <w:rsid w:val="66615CF5"/>
    <w:rsid w:val="672940C9"/>
    <w:rsid w:val="67A05FCC"/>
    <w:rsid w:val="682643EB"/>
    <w:rsid w:val="6829511B"/>
    <w:rsid w:val="68924F9A"/>
    <w:rsid w:val="68A276A3"/>
    <w:rsid w:val="68A7750E"/>
    <w:rsid w:val="69112B6D"/>
    <w:rsid w:val="691873F2"/>
    <w:rsid w:val="693B5546"/>
    <w:rsid w:val="69A41DA4"/>
    <w:rsid w:val="6A384ADA"/>
    <w:rsid w:val="6A4860BB"/>
    <w:rsid w:val="6A571104"/>
    <w:rsid w:val="6AE7483F"/>
    <w:rsid w:val="6B23052E"/>
    <w:rsid w:val="6B3B3325"/>
    <w:rsid w:val="6B3C2484"/>
    <w:rsid w:val="6BD44496"/>
    <w:rsid w:val="6BFD677B"/>
    <w:rsid w:val="6C442A2F"/>
    <w:rsid w:val="6C4A1337"/>
    <w:rsid w:val="6C4B45B8"/>
    <w:rsid w:val="6C5C0714"/>
    <w:rsid w:val="6CE61263"/>
    <w:rsid w:val="6D512242"/>
    <w:rsid w:val="6D6A4A10"/>
    <w:rsid w:val="6D7E5A8E"/>
    <w:rsid w:val="6DB07703"/>
    <w:rsid w:val="6DC26339"/>
    <w:rsid w:val="6DC31DCA"/>
    <w:rsid w:val="6DED797A"/>
    <w:rsid w:val="6E35795C"/>
    <w:rsid w:val="6E8E04A4"/>
    <w:rsid w:val="6F93328A"/>
    <w:rsid w:val="6FA21DDE"/>
    <w:rsid w:val="6FC41126"/>
    <w:rsid w:val="6FC778CB"/>
    <w:rsid w:val="6FEA15AC"/>
    <w:rsid w:val="714A6763"/>
    <w:rsid w:val="71716B68"/>
    <w:rsid w:val="71791D1D"/>
    <w:rsid w:val="719A5A6F"/>
    <w:rsid w:val="71AA5A25"/>
    <w:rsid w:val="71C92D3B"/>
    <w:rsid w:val="71D701A8"/>
    <w:rsid w:val="71F87130"/>
    <w:rsid w:val="71FE3596"/>
    <w:rsid w:val="7242215A"/>
    <w:rsid w:val="72BF1FCE"/>
    <w:rsid w:val="72FE5C6B"/>
    <w:rsid w:val="730E3151"/>
    <w:rsid w:val="737838B2"/>
    <w:rsid w:val="73843011"/>
    <w:rsid w:val="738D4559"/>
    <w:rsid w:val="751C4038"/>
    <w:rsid w:val="75FC27A0"/>
    <w:rsid w:val="76027B23"/>
    <w:rsid w:val="76120095"/>
    <w:rsid w:val="76175C62"/>
    <w:rsid w:val="761B0CC8"/>
    <w:rsid w:val="76263B40"/>
    <w:rsid w:val="765C5BBE"/>
    <w:rsid w:val="76AE3D4D"/>
    <w:rsid w:val="771D4F43"/>
    <w:rsid w:val="774C3647"/>
    <w:rsid w:val="775C1463"/>
    <w:rsid w:val="77AB07A1"/>
    <w:rsid w:val="77BF7E83"/>
    <w:rsid w:val="77F50340"/>
    <w:rsid w:val="7831493E"/>
    <w:rsid w:val="78592911"/>
    <w:rsid w:val="7868492C"/>
    <w:rsid w:val="79382508"/>
    <w:rsid w:val="79471B51"/>
    <w:rsid w:val="798450E7"/>
    <w:rsid w:val="79A22C08"/>
    <w:rsid w:val="79B86F11"/>
    <w:rsid w:val="79ED56BC"/>
    <w:rsid w:val="79F77CCE"/>
    <w:rsid w:val="7A1563A6"/>
    <w:rsid w:val="7A4B76EC"/>
    <w:rsid w:val="7A5944E4"/>
    <w:rsid w:val="7A6E7F35"/>
    <w:rsid w:val="7A703BEB"/>
    <w:rsid w:val="7A7A3D98"/>
    <w:rsid w:val="7A8F43AA"/>
    <w:rsid w:val="7AC95061"/>
    <w:rsid w:val="7B172B57"/>
    <w:rsid w:val="7BBE37CE"/>
    <w:rsid w:val="7BF001E1"/>
    <w:rsid w:val="7CF505C4"/>
    <w:rsid w:val="7D1E3FE0"/>
    <w:rsid w:val="7D677C98"/>
    <w:rsid w:val="7D6A489F"/>
    <w:rsid w:val="7D70024B"/>
    <w:rsid w:val="7D8442E1"/>
    <w:rsid w:val="7DB5691B"/>
    <w:rsid w:val="7EA53AC7"/>
    <w:rsid w:val="7EC860DC"/>
    <w:rsid w:val="7EF377C6"/>
    <w:rsid w:val="7F455CF9"/>
    <w:rsid w:val="7FE51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260" w:after="260"/>
      <w:outlineLvl w:val="1"/>
    </w:pPr>
    <w:rPr>
      <w:rFonts w:ascii="等线 Light" w:hAnsi="等线 Light" w:eastAsia="黑体"/>
      <w:bCs/>
      <w:szCs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rFonts w:ascii="Times New Roman" w:hAnsi="Times New Roman" w:eastAsia="黑体"/>
      <w:b/>
      <w:sz w:val="21"/>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39"/>
    <w:pPr>
      <w:tabs>
        <w:tab w:val="right" w:leader="dot" w:pos="9241"/>
      </w:tabs>
      <w:ind w:firstLine="210" w:firstLineChars="100"/>
      <w:jc w:val="left"/>
    </w:pPr>
    <w:rPr>
      <w:rFonts w:ascii="宋体"/>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tabs>
        <w:tab w:val="right" w:leader="dot" w:pos="9241"/>
      </w:tabs>
      <w:spacing w:before="78" w:beforeLines="25" w:after="78" w:afterLines="25"/>
      <w:jc w:val="left"/>
    </w:pPr>
    <w:rPr>
      <w:rFonts w:ascii="宋体"/>
      <w:szCs w:val="21"/>
    </w:rPr>
  </w:style>
  <w:style w:type="paragraph" w:styleId="9">
    <w:name w:val="toc 2"/>
    <w:basedOn w:val="1"/>
    <w:next w:val="1"/>
    <w:qFormat/>
    <w:uiPriority w:val="39"/>
    <w:pPr>
      <w:tabs>
        <w:tab w:val="left" w:pos="1470"/>
        <w:tab w:val="right" w:leader="dot" w:pos="9241"/>
      </w:tabs>
    </w:pPr>
    <w:rPr>
      <w:rFonts w:ascii="宋体"/>
      <w:szCs w:val="21"/>
    </w:rPr>
  </w:style>
  <w:style w:type="character" w:styleId="12">
    <w:name w:val="Strong"/>
    <w:basedOn w:val="11"/>
    <w:qFormat/>
    <w:uiPriority w:val="0"/>
    <w:rPr>
      <w:b/>
    </w:rPr>
  </w:style>
  <w:style w:type="character" w:styleId="13">
    <w:name w:val="Hyperlink"/>
    <w:qFormat/>
    <w:uiPriority w:val="99"/>
    <w:rPr>
      <w:color w:val="0000FF"/>
      <w:spacing w:val="0"/>
      <w:w w:val="100"/>
      <w:szCs w:val="21"/>
      <w:u w:val="single"/>
    </w:rPr>
  </w:style>
  <w:style w:type="paragraph" w:customStyle="1" w:styleId="1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0">
    <w:name w:val="封面标准英文名称"/>
    <w:basedOn w:val="19"/>
    <w:qFormat/>
    <w:uiPriority w:val="0"/>
    <w:pPr>
      <w:spacing w:before="370" w:line="400" w:lineRule="exact"/>
    </w:pPr>
    <w:rPr>
      <w:rFonts w:ascii="Times New Roman"/>
      <w:sz w:val="28"/>
      <w:szCs w:val="28"/>
    </w:rPr>
  </w:style>
  <w:style w:type="paragraph" w:customStyle="1" w:styleId="21">
    <w:name w:val="封面一致性程度标识"/>
    <w:basedOn w:val="20"/>
    <w:qFormat/>
    <w:uiPriority w:val="0"/>
    <w:pPr>
      <w:spacing w:before="440"/>
    </w:pPr>
    <w:rPr>
      <w:rFonts w:ascii="宋体" w:eastAsia="宋体"/>
    </w:rPr>
  </w:style>
  <w:style w:type="paragraph" w:customStyle="1" w:styleId="22">
    <w:name w:val="封面标准文稿类别"/>
    <w:basedOn w:val="21"/>
    <w:qFormat/>
    <w:uiPriority w:val="0"/>
    <w:pPr>
      <w:spacing w:after="160" w:line="240" w:lineRule="auto"/>
    </w:pPr>
    <w:rPr>
      <w:sz w:val="24"/>
    </w:rPr>
  </w:style>
  <w:style w:type="paragraph" w:customStyle="1" w:styleId="23">
    <w:name w:val="封面标准文稿编辑信息"/>
    <w:basedOn w:val="22"/>
    <w:qFormat/>
    <w:uiPriority w:val="0"/>
    <w:pPr>
      <w:spacing w:before="180" w:line="180" w:lineRule="exact"/>
    </w:pPr>
    <w:rPr>
      <w:sz w:val="21"/>
    </w:rPr>
  </w:style>
  <w:style w:type="paragraph" w:customStyle="1" w:styleId="24">
    <w:name w:val="其他发布日期"/>
    <w:basedOn w:val="25"/>
    <w:qFormat/>
    <w:uiPriority w:val="0"/>
    <w:pPr>
      <w:framePr w:vAnchor="page" w:hAnchor="page" w:x="1419"/>
    </w:pPr>
  </w:style>
  <w:style w:type="paragraph" w:customStyle="1" w:styleId="2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6">
    <w:name w:val="其他实施日期"/>
    <w:basedOn w:val="27"/>
    <w:qFormat/>
    <w:uiPriority w:val="0"/>
  </w:style>
  <w:style w:type="paragraph" w:customStyle="1" w:styleId="27">
    <w:name w:val="实施日期"/>
    <w:basedOn w:val="25"/>
    <w:qFormat/>
    <w:uiPriority w:val="0"/>
    <w:pPr>
      <w:framePr w:vAnchor="page" w:hAnchor="page"/>
      <w:jc w:val="right"/>
    </w:pPr>
  </w:style>
  <w:style w:type="paragraph" w:customStyle="1" w:styleId="28">
    <w:name w:val="其他发布部门"/>
    <w:basedOn w:val="29"/>
    <w:qFormat/>
    <w:uiPriority w:val="0"/>
    <w:pPr>
      <w:framePr w:y="15310"/>
      <w:spacing w:line="0" w:lineRule="atLeast"/>
    </w:pPr>
    <w:rPr>
      <w:rFonts w:ascii="黑体" w:eastAsia="黑体"/>
      <w:b w:val="0"/>
    </w:rPr>
  </w:style>
  <w:style w:type="paragraph" w:customStyle="1" w:styleId="29">
    <w:name w:val="发布部门"/>
    <w:next w:val="3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30">
    <w:name w:val="段"/>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character" w:customStyle="1" w:styleId="31">
    <w:name w:val="发布"/>
    <w:qFormat/>
    <w:uiPriority w:val="0"/>
    <w:rPr>
      <w:rFonts w:ascii="黑体" w:eastAsia="黑体"/>
      <w:spacing w:val="85"/>
      <w:w w:val="100"/>
      <w:position w:val="3"/>
      <w:sz w:val="28"/>
      <w:szCs w:val="28"/>
    </w:rPr>
  </w:style>
  <w:style w:type="paragraph" w:customStyle="1" w:styleId="32">
    <w:name w:val="目次、标准名称标题"/>
    <w:basedOn w:val="1"/>
    <w:next w:val="3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3">
    <w:name w:val="前言、引言标题"/>
    <w:next w:val="3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
    <w:name w:val="章标题"/>
    <w:next w:val="30"/>
    <w:qFormat/>
    <w:uiPriority w:val="0"/>
    <w:pPr>
      <w:spacing w:before="100" w:beforeLines="100" w:after="100" w:afterLines="100"/>
      <w:jc w:val="both"/>
      <w:outlineLvl w:val="1"/>
    </w:pPr>
    <w:rPr>
      <w:rFonts w:ascii="黑体" w:hAnsi="黑体" w:eastAsia="黑体" w:cs="Times New Roman"/>
      <w:b/>
      <w:sz w:val="21"/>
      <w:lang w:val="en-US" w:eastAsia="zh-CN" w:bidi="ar-SA"/>
    </w:rPr>
  </w:style>
  <w:style w:type="paragraph" w:customStyle="1" w:styleId="35">
    <w:name w:val="样式7"/>
    <w:basedOn w:val="36"/>
    <w:qFormat/>
    <w:uiPriority w:val="0"/>
    <w:pPr>
      <w:ind w:left="576" w:hanging="576"/>
    </w:pPr>
    <w:rPr>
      <w:rFonts w:eastAsia="黑体"/>
      <w:b/>
      <w:sz w:val="21"/>
    </w:rPr>
  </w:style>
  <w:style w:type="paragraph" w:customStyle="1" w:styleId="36">
    <w:name w:val="样式6"/>
    <w:basedOn w:val="2"/>
    <w:qFormat/>
    <w:uiPriority w:val="0"/>
    <w:pPr>
      <w:ind w:left="0" w:hanging="578" w:hangingChars="275"/>
    </w:pPr>
  </w:style>
  <w:style w:type="paragraph" w:customStyle="1" w:styleId="37">
    <w:name w:val="标准书眉_偶数页"/>
    <w:basedOn w:val="38"/>
    <w:next w:val="1"/>
    <w:qFormat/>
    <w:uiPriority w:val="0"/>
    <w:pPr>
      <w:tabs>
        <w:tab w:val="center" w:pos="4154"/>
        <w:tab w:val="right" w:pos="8306"/>
      </w:tabs>
      <w:jc w:val="left"/>
    </w:pPr>
    <w:rPr>
      <w:rFonts w:ascii="黑体" w:eastAsia="黑体"/>
    </w:rPr>
  </w:style>
  <w:style w:type="paragraph" w:customStyle="1" w:styleId="3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1">
    <w:name w:val="正文表标题"/>
    <w:next w:val="30"/>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42">
    <w:name w:val="封面正文"/>
    <w:uiPriority w:val="0"/>
    <w:pPr>
      <w:jc w:val="both"/>
    </w:pPr>
    <w:rPr>
      <w:rFonts w:ascii="Times New Roman" w:hAnsi="Times New Roman" w:eastAsia="宋体" w:cs="Times New Roman"/>
      <w:lang w:val="en-US" w:eastAsia="zh-CN" w:bidi="ar-SA"/>
    </w:rPr>
  </w:style>
  <w:style w:type="paragraph" w:customStyle="1" w:styleId="4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styleId="44">
    <w:name w:val="List Paragraph"/>
    <w:basedOn w:val="1"/>
    <w:qFormat/>
    <w:uiPriority w:val="34"/>
    <w:pPr>
      <w:ind w:firstLine="420" w:firstLineChars="200"/>
    </w:pPr>
    <w:rPr>
      <w:szCs w:val="24"/>
    </w:rPr>
  </w:style>
  <w:style w:type="paragraph" w:customStyle="1" w:styleId="4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江西铜业股份有限公司贵溪冶炼厂</Company>
  <Pages>19</Pages>
  <Words>10562</Words>
  <Characters>11304</Characters>
  <Lines>1</Lines>
  <Paragraphs>1</Paragraphs>
  <TotalTime>5</TotalTime>
  <ScaleCrop>false</ScaleCrop>
  <LinksUpToDate>false</LinksUpToDate>
  <CharactersWithSpaces>13188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2025-02-25T06:53:00Z</dcterms:created>
  <dc:creator>（数字化部）徐娟华</dc:creator>
  <cp:lastModifiedBy>徐娟华</cp:lastModifiedBy>
  <dcterms:modified xsi:type="dcterms:W3CDTF">2025-07-14T01:21:45Z</dcterms:modified>
  <dc:title>行业标准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31D0C7E797804B60AADC31C1C4A5BD32_13</vt:lpwstr>
  </property>
  <property fmtid="{D5CDD505-2E9C-101B-9397-08002B2CF9AE}" pid="4" name="KSOTemplateDocerSaveRecord">
    <vt:lpwstr>eyJoZGlkIjoiMDExZjM0YjdhMWI4MGI1OWE0ODRkNjk3NzZiODZkMzIiLCJ1c2VySWQiOiIxMDAzNDI2MTY3In0=</vt:lpwstr>
  </property>
</Properties>
</file>