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360" w:lineRule="auto"/>
        <w:jc w:val="center"/>
        <w:textAlignment w:val="auto"/>
        <w:rPr>
          <w:rFonts w:hint="eastAsia" w:eastAsia="黑体"/>
          <w:color w:val="auto"/>
          <w:sz w:val="28"/>
          <w:szCs w:val="28"/>
        </w:rPr>
      </w:pPr>
    </w:p>
    <w:p>
      <w:pPr>
        <w:keepNext w:val="0"/>
        <w:keepLines w:val="0"/>
        <w:pageBreakBefore w:val="0"/>
        <w:widowControl w:val="0"/>
        <w:kinsoku/>
        <w:wordWrap/>
        <w:overflowPunct/>
        <w:topLinePunct w:val="0"/>
        <w:bidi w:val="0"/>
        <w:snapToGrid/>
        <w:spacing w:line="360" w:lineRule="auto"/>
        <w:ind w:firstLine="0" w:firstLineChars="0"/>
        <w:jc w:val="center"/>
        <w:textAlignment w:val="auto"/>
        <w:rPr>
          <w:rFonts w:hint="eastAsia" w:ascii="黑体" w:hAnsi="黑体" w:eastAsia="黑体" w:cs="黑体"/>
          <w:b w:val="0"/>
          <w:bCs/>
          <w:sz w:val="44"/>
          <w:szCs w:val="44"/>
          <w:lang w:val="en-US" w:eastAsia="zh-CN"/>
        </w:rPr>
      </w:pPr>
      <w:r>
        <w:rPr>
          <w:rFonts w:hint="eastAsia" w:ascii="黑体" w:hAnsi="黑体" w:eastAsia="黑体" w:cs="黑体"/>
          <w:b w:val="0"/>
          <w:bCs/>
          <w:sz w:val="44"/>
          <w:szCs w:val="44"/>
          <w:lang w:val="en-US" w:eastAsia="zh-CN"/>
        </w:rPr>
        <w:t>行业标准</w:t>
      </w:r>
    </w:p>
    <w:p>
      <w:pPr>
        <w:pStyle w:val="6"/>
        <w:keepNext w:val="0"/>
        <w:keepLines w:val="0"/>
        <w:pageBreakBefore w:val="0"/>
        <w:widowControl w:val="0"/>
        <w:kinsoku/>
        <w:wordWrap/>
        <w:overflowPunct/>
        <w:topLinePunct w:val="0"/>
        <w:bidi w:val="0"/>
        <w:snapToGrid/>
        <w:spacing w:before="0" w:beforeLines="0" w:line="360" w:lineRule="auto"/>
        <w:textAlignment w:val="auto"/>
        <w:rPr>
          <w:rFonts w:hint="eastAsia" w:ascii="黑体" w:hAnsi="黑体" w:eastAsia="黑体" w:cs="黑体"/>
          <w:b w:val="0"/>
          <w:bCs/>
          <w:sz w:val="44"/>
          <w:szCs w:val="44"/>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rPr>
      </w:pPr>
      <w:r>
        <w:rPr>
          <w:rFonts w:hint="eastAsia" w:ascii="黑体" w:hAnsi="黑体" w:eastAsia="黑体" w:cs="黑体"/>
          <w:b w:val="0"/>
          <w:bCs w:val="0"/>
          <w:kern w:val="0"/>
          <w:sz w:val="48"/>
          <w:szCs w:val="48"/>
          <w:lang w:val="en-US" w:eastAsia="zh-CN" w:bidi="ar-SA"/>
        </w:rPr>
        <w:t>《有色金属行业工业数据分类分级指南》</w:t>
      </w:r>
    </w:p>
    <w:p>
      <w:pPr>
        <w:pStyle w:val="6"/>
        <w:keepNext w:val="0"/>
        <w:keepLines w:val="0"/>
        <w:pageBreakBefore w:val="0"/>
        <w:widowControl w:val="0"/>
        <w:kinsoku/>
        <w:wordWrap/>
        <w:overflowPunct/>
        <w:topLinePunct w:val="0"/>
        <w:bidi w:val="0"/>
        <w:snapToGrid/>
        <w:spacing w:before="0" w:beforeLines="0" w:line="360" w:lineRule="auto"/>
        <w:textAlignment w:val="auto"/>
        <w:rPr>
          <w:rFonts w:hint="eastAsia" w:ascii="黑体" w:hAnsi="黑体" w:eastAsia="黑体" w:cs="黑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rPr>
      </w:pPr>
      <w:r>
        <w:rPr>
          <w:rFonts w:hint="eastAsia" w:ascii="黑体" w:hAnsi="黑体" w:eastAsia="黑体" w:cs="黑体"/>
          <w:b w:val="0"/>
          <w:bCs/>
          <w:sz w:val="44"/>
          <w:szCs w:val="44"/>
        </w:rPr>
        <w:t>编制说明</w:t>
      </w:r>
    </w:p>
    <w:p>
      <w:pPr>
        <w:pStyle w:val="3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黑体" w:hAnsi="黑体" w:eastAsia="黑体" w:cs="黑体"/>
          <w:b w:val="0"/>
          <w:bCs/>
          <w:sz w:val="44"/>
          <w:szCs w:val="44"/>
          <w:lang w:eastAsia="zh-CN"/>
        </w:rPr>
      </w:pPr>
      <w:r>
        <w:rPr>
          <w:rFonts w:hint="eastAsia" w:ascii="黑体" w:hAnsi="黑体" w:eastAsia="黑体" w:cs="黑体"/>
          <w:b w:val="0"/>
          <w:bCs/>
          <w:sz w:val="44"/>
          <w:szCs w:val="44"/>
          <w:lang w:eastAsia="zh-CN"/>
        </w:rPr>
        <w:t>（</w:t>
      </w:r>
      <w:r>
        <w:rPr>
          <w:rFonts w:hint="eastAsia" w:ascii="黑体" w:hAnsi="黑体" w:eastAsia="黑体" w:cs="黑体"/>
          <w:b w:val="0"/>
          <w:bCs/>
          <w:sz w:val="44"/>
          <w:szCs w:val="44"/>
          <w:lang w:val="en-US" w:eastAsia="zh-CN"/>
        </w:rPr>
        <w:t>讨论稿</w:t>
      </w:r>
      <w:r>
        <w:rPr>
          <w:rFonts w:hint="eastAsia" w:ascii="黑体" w:hAnsi="黑体" w:eastAsia="黑体" w:cs="黑体"/>
          <w:b w:val="0"/>
          <w:bCs/>
          <w:sz w:val="44"/>
          <w:szCs w:val="44"/>
          <w:lang w:eastAsia="zh-CN"/>
        </w:rPr>
        <w:t>）</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ascii="Times New Roman" w:hAnsi="Times New Roman" w:eastAsia="微软雅黑"/>
          <w:sz w:val="28"/>
          <w:szCs w:val="32"/>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ascii="QWRLLA+MicrosoftYaHei-Bold"/>
          <w:color w:val="000000"/>
          <w:spacing w:val="0"/>
          <w:sz w:val="4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微软雅黑"/>
          <w:sz w:val="28"/>
          <w:szCs w:val="32"/>
          <w:lang w:eastAsia="zh-CN"/>
        </w:rPr>
      </w:pPr>
      <w:r>
        <w:rPr>
          <w:rFonts w:hint="eastAsia" w:ascii="Times New Roman" w:hAnsi="Times New Roman" w:eastAsia="微软雅黑"/>
          <w:sz w:val="28"/>
          <w:szCs w:val="32"/>
          <w:lang w:eastAsia="zh-CN"/>
        </w:rPr>
        <w:t>《有色金属行业工业数据分类分级指南》编制组</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微软雅黑"/>
          <w:sz w:val="28"/>
          <w:szCs w:val="32"/>
          <w:lang w:val="en-US" w:eastAsia="zh-CN"/>
        </w:rPr>
      </w:pPr>
      <w:r>
        <w:rPr>
          <w:rFonts w:hint="eastAsia" w:ascii="Times New Roman" w:hAnsi="Times New Roman" w:eastAsia="微软雅黑"/>
          <w:sz w:val="28"/>
          <w:szCs w:val="32"/>
          <w:lang w:eastAsia="zh-CN"/>
        </w:rPr>
        <w:t>主编单位：</w:t>
      </w:r>
      <w:r>
        <w:rPr>
          <w:rFonts w:hint="eastAsia" w:ascii="Times New Roman" w:hAnsi="Times New Roman" w:eastAsia="微软雅黑"/>
          <w:sz w:val="28"/>
          <w:szCs w:val="32"/>
          <w:lang w:val="en-US" w:eastAsia="zh-CN"/>
        </w:rPr>
        <w:t>江西铜业股份有限公司</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imes New Roman" w:hAnsi="Times New Roman" w:eastAsia="微软雅黑"/>
          <w:sz w:val="28"/>
          <w:szCs w:val="32"/>
          <w:lang w:eastAsia="zh-CN"/>
        </w:rPr>
      </w:pPr>
      <w:r>
        <w:rPr>
          <w:rFonts w:hint="eastAsia" w:ascii="Times New Roman" w:hAnsi="Times New Roman" w:eastAsia="微软雅黑"/>
          <w:sz w:val="28"/>
          <w:szCs w:val="32"/>
          <w:lang w:eastAsia="zh-CN"/>
        </w:rPr>
        <w:t>2025年</w:t>
      </w:r>
      <w:r>
        <w:rPr>
          <w:rFonts w:hint="eastAsia" w:ascii="Times New Roman" w:hAnsi="Times New Roman" w:eastAsia="微软雅黑"/>
          <w:sz w:val="28"/>
          <w:szCs w:val="32"/>
          <w:lang w:val="en-US" w:eastAsia="zh-CN"/>
        </w:rPr>
        <w:t>7</w:t>
      </w:r>
      <w:r>
        <w:rPr>
          <w:rFonts w:hint="eastAsia" w:ascii="Times New Roman" w:hAnsi="Times New Roman" w:eastAsia="微软雅黑"/>
          <w:sz w:val="28"/>
          <w:szCs w:val="32"/>
          <w:lang w:eastAsia="zh-CN"/>
        </w:rPr>
        <w:t>月</w:t>
      </w:r>
    </w:p>
    <w:p>
      <w:pPr>
        <w:keepNext w:val="0"/>
        <w:keepLines w:val="0"/>
        <w:pageBreakBefore w:val="0"/>
        <w:widowControl w:val="0"/>
        <w:kinsoku/>
        <w:wordWrap/>
        <w:overflowPunct/>
        <w:topLinePunct w:val="0"/>
        <w:autoSpaceDE w:val="0"/>
        <w:autoSpaceDN w:val="0"/>
        <w:bidi w:val="0"/>
        <w:adjustRightInd w:val="0"/>
        <w:snapToGrid/>
        <w:spacing w:after="0" w:line="360" w:lineRule="auto"/>
        <w:ind w:left="0" w:right="0" w:firstLine="0"/>
        <w:jc w:val="left"/>
        <w:textAlignment w:val="auto"/>
        <w:rPr>
          <w:rFonts w:hint="eastAsia" w:ascii="QWRLLA+MicrosoftYaHei-Bold"/>
          <w:color w:val="000000"/>
          <w:spacing w:val="0"/>
          <w:sz w:val="44"/>
        </w:rPr>
      </w:pPr>
    </w:p>
    <w:p>
      <w:pPr>
        <w:pStyle w:val="2"/>
        <w:rPr>
          <w:rFonts w:hint="eastAsia" w:eastAsia="黑体"/>
          <w:color w:val="auto"/>
          <w:sz w:val="28"/>
          <w:szCs w:val="28"/>
        </w:rPr>
      </w:pPr>
    </w:p>
    <w:p>
      <w:pPr>
        <w:pStyle w:val="2"/>
        <w:rPr>
          <w:rFonts w:hint="eastAsia" w:eastAsia="黑体"/>
          <w:color w:val="auto"/>
          <w:sz w:val="28"/>
          <w:szCs w:val="28"/>
        </w:rPr>
        <w:sectPr>
          <w:pgSz w:w="11906" w:h="16838"/>
          <w:pgMar w:top="1440" w:right="1780" w:bottom="1440" w:left="1780" w:header="851" w:footer="992" w:gutter="0"/>
          <w:cols w:space="425" w:num="1"/>
          <w:docGrid w:type="lines" w:linePitch="312" w:charSpace="0"/>
        </w:sectPr>
      </w:pPr>
    </w:p>
    <w:p>
      <w:pPr>
        <w:pStyle w:val="40"/>
        <w:jc w:val="center"/>
        <w:rPr>
          <w:rFonts w:hint="eastAsia" w:ascii="黑体" w:hAnsi="黑体" w:eastAsia="黑体" w:cs="黑体"/>
          <w:b w:val="0"/>
          <w:bCs w:val="0"/>
          <w:color w:val="auto"/>
          <w:sz w:val="32"/>
          <w:szCs w:val="32"/>
          <w:lang w:val="zh-CN" w:eastAsia="zh-CN"/>
        </w:rPr>
      </w:pPr>
      <w:r>
        <w:rPr>
          <w:rFonts w:hint="eastAsia" w:ascii="黑体" w:hAnsi="黑体" w:eastAsia="黑体" w:cs="黑体"/>
          <w:b w:val="0"/>
          <w:bCs w:val="0"/>
          <w:color w:val="auto"/>
          <w:sz w:val="32"/>
          <w:szCs w:val="32"/>
          <w:lang w:val="zh-CN"/>
        </w:rPr>
        <w:t>目</w:t>
      </w:r>
      <w:r>
        <w:rPr>
          <w:rFonts w:hint="eastAsia" w:ascii="黑体" w:hAnsi="黑体" w:eastAsia="黑体" w:cs="黑体"/>
          <w:b w:val="0"/>
          <w:bCs w:val="0"/>
          <w:color w:val="auto"/>
          <w:sz w:val="32"/>
          <w:szCs w:val="32"/>
          <w:lang w:val="en-US" w:eastAsia="zh-CN"/>
        </w:rPr>
        <w:t xml:space="preserve">  录</w:t>
      </w:r>
    </w:p>
    <w:p>
      <w:pPr>
        <w:pStyle w:val="13"/>
        <w:tabs>
          <w:tab w:val="right" w:leader="dot" w:pos="8346"/>
        </w:tabs>
      </w:pP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TOC \o "1-2" \h \u </w:instrText>
      </w:r>
      <w:r>
        <w:rPr>
          <w:rFonts w:hint="eastAsia" w:ascii="宋体" w:hAnsi="宋体" w:eastAsia="宋体" w:cs="宋体"/>
          <w:sz w:val="28"/>
          <w:szCs w:val="28"/>
          <w:lang w:val="en-US" w:eastAsia="zh-CN"/>
        </w:rPr>
        <w:fldChar w:fldCharType="separate"/>
      </w: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_Toc4583 </w:instrText>
      </w:r>
      <w:r>
        <w:rPr>
          <w:rFonts w:hint="eastAsia" w:ascii="宋体" w:hAnsi="宋体" w:eastAsia="宋体" w:cs="宋体"/>
          <w:szCs w:val="28"/>
          <w:lang w:val="en-US" w:eastAsia="zh-CN"/>
        </w:rPr>
        <w:fldChar w:fldCharType="separate"/>
      </w:r>
      <w:r>
        <w:rPr>
          <w:rFonts w:hint="eastAsia" w:ascii="黑体" w:hAnsi="宋体" w:eastAsia="黑体" w:cs="Arial"/>
          <w:bCs w:val="0"/>
          <w:szCs w:val="21"/>
        </w:rPr>
        <w:t>一、 工作简况</w:t>
      </w:r>
      <w:r>
        <w:tab/>
      </w:r>
      <w:r>
        <w:fldChar w:fldCharType="begin"/>
      </w:r>
      <w:r>
        <w:instrText xml:space="preserve"> PAGEREF _Toc4583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_Toc24398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1.1任务来源</w:t>
      </w:r>
      <w:r>
        <w:tab/>
      </w:r>
      <w:r>
        <w:fldChar w:fldCharType="begin"/>
      </w:r>
      <w:r>
        <w:instrText xml:space="preserve"> PAGEREF _Toc24398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_Toc837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1.2编制背景、必要性与依据</w:t>
      </w:r>
      <w:r>
        <w:tab/>
      </w:r>
      <w:r>
        <w:fldChar w:fldCharType="begin"/>
      </w:r>
      <w:r>
        <w:instrText xml:space="preserve"> PAGEREF _Toc837 \h </w:instrText>
      </w:r>
      <w:r>
        <w:fldChar w:fldCharType="separate"/>
      </w:r>
      <w:r>
        <w:t>2</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_Toc6223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1.3主要参加单位和工作人员及其所作工作</w:t>
      </w:r>
      <w:r>
        <w:tab/>
      </w:r>
      <w:r>
        <w:fldChar w:fldCharType="begin"/>
      </w:r>
      <w:r>
        <w:instrText xml:space="preserve"> PAGEREF _Toc6223 \h </w:instrText>
      </w:r>
      <w:r>
        <w:fldChar w:fldCharType="separate"/>
      </w:r>
      <w:r>
        <w:t>3</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_Toc9744 </w:instrText>
      </w:r>
      <w:r>
        <w:rPr>
          <w:rFonts w:hint="eastAsia" w:ascii="宋体" w:hAnsi="宋体" w:eastAsia="宋体" w:cs="宋体"/>
          <w:szCs w:val="28"/>
          <w:lang w:val="en-US" w:eastAsia="zh-CN"/>
        </w:rPr>
        <w:fldChar w:fldCharType="separate"/>
      </w:r>
      <w:r>
        <w:rPr>
          <w:rFonts w:hint="eastAsia" w:hAnsi="黑体" w:cs="黑体"/>
          <w:szCs w:val="21"/>
          <w:lang w:val="en-US" w:eastAsia="zh-CN"/>
        </w:rPr>
        <w:t>1.4主要工作过程</w:t>
      </w:r>
      <w:r>
        <w:tab/>
      </w:r>
      <w:r>
        <w:fldChar w:fldCharType="begin"/>
      </w:r>
      <w:r>
        <w:instrText xml:space="preserve"> PAGEREF _Toc9744 \h </w:instrText>
      </w:r>
      <w:r>
        <w:fldChar w:fldCharType="separate"/>
      </w:r>
      <w:r>
        <w:t>5</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_Toc26400 </w:instrText>
      </w:r>
      <w:r>
        <w:rPr>
          <w:rFonts w:hint="eastAsia" w:ascii="宋体" w:hAnsi="宋体" w:eastAsia="宋体" w:cs="宋体"/>
          <w:szCs w:val="28"/>
          <w:lang w:val="en-US" w:eastAsia="zh-CN"/>
        </w:rPr>
        <w:fldChar w:fldCharType="separate"/>
      </w:r>
      <w:r>
        <w:rPr>
          <w:rFonts w:hint="eastAsia" w:ascii="黑体" w:hAnsi="宋体" w:eastAsia="黑体" w:cs="Arial"/>
          <w:bCs w:val="0"/>
          <w:szCs w:val="21"/>
        </w:rPr>
        <w:t xml:space="preserve">二、 </w:t>
      </w:r>
      <w:r>
        <w:rPr>
          <w:rFonts w:hint="eastAsia" w:ascii="黑体" w:hAnsi="宋体" w:eastAsia="黑体" w:cs="Arial"/>
          <w:bCs w:val="0"/>
          <w:szCs w:val="21"/>
          <w:lang w:val="en-US" w:eastAsia="zh-CN"/>
        </w:rPr>
        <w:t>标准编制原则</w:t>
      </w:r>
      <w:r>
        <w:tab/>
      </w:r>
      <w:r>
        <w:fldChar w:fldCharType="begin"/>
      </w:r>
      <w:r>
        <w:instrText xml:space="preserve"> PAGEREF _Toc26400 \h </w:instrText>
      </w:r>
      <w:r>
        <w:fldChar w:fldCharType="separate"/>
      </w:r>
      <w:r>
        <w:t>5</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_Toc12843 </w:instrText>
      </w:r>
      <w:r>
        <w:rPr>
          <w:rFonts w:hint="eastAsia" w:ascii="宋体" w:hAnsi="宋体" w:eastAsia="宋体" w:cs="宋体"/>
          <w:szCs w:val="28"/>
          <w:lang w:val="en-US" w:eastAsia="zh-CN"/>
        </w:rPr>
        <w:fldChar w:fldCharType="separate"/>
      </w:r>
      <w:r>
        <w:rPr>
          <w:rFonts w:hint="eastAsia" w:ascii="黑体" w:hAnsi="宋体" w:eastAsia="黑体" w:cs="Arial"/>
          <w:bCs w:val="0"/>
          <w:szCs w:val="21"/>
          <w:lang w:val="en-US" w:eastAsia="zh-CN"/>
        </w:rPr>
        <w:t>三、 标准的主要内容及确定内容的主要依据</w:t>
      </w:r>
      <w:r>
        <w:tab/>
      </w:r>
      <w:r>
        <w:fldChar w:fldCharType="begin"/>
      </w:r>
      <w:r>
        <w:instrText xml:space="preserve"> PAGEREF _Toc12843 \h </w:instrText>
      </w:r>
      <w:r>
        <w:fldChar w:fldCharType="separate"/>
      </w:r>
      <w:r>
        <w:t>5</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_Toc32457 </w:instrText>
      </w:r>
      <w:r>
        <w:rPr>
          <w:rFonts w:hint="eastAsia" w:ascii="宋体" w:hAnsi="宋体" w:eastAsia="宋体" w:cs="宋体"/>
          <w:szCs w:val="28"/>
          <w:lang w:val="en-US" w:eastAsia="zh-CN"/>
        </w:rPr>
        <w:fldChar w:fldCharType="separate"/>
      </w:r>
      <w:r>
        <w:rPr>
          <w:rFonts w:hint="eastAsia" w:hAnsi="黑体" w:cs="黑体"/>
          <w:szCs w:val="21"/>
          <w:lang w:val="en-US" w:eastAsia="zh-CN"/>
        </w:rPr>
        <w:t>3.1标准的主要内容</w:t>
      </w:r>
      <w:r>
        <w:tab/>
      </w:r>
      <w:r>
        <w:fldChar w:fldCharType="begin"/>
      </w:r>
      <w:r>
        <w:instrText xml:space="preserve"> PAGEREF _Toc32457 \h </w:instrText>
      </w:r>
      <w:r>
        <w:fldChar w:fldCharType="separate"/>
      </w:r>
      <w:r>
        <w:t>5</w:t>
      </w:r>
      <w:r>
        <w:fldChar w:fldCharType="end"/>
      </w:r>
      <w:r>
        <w:rPr>
          <w:rFonts w:hint="eastAsia" w:ascii="宋体" w:hAnsi="宋体" w:eastAsia="宋体" w:cs="宋体"/>
          <w:szCs w:val="28"/>
          <w:lang w:val="en-US" w:eastAsia="zh-CN"/>
        </w:rPr>
        <w:fldChar w:fldCharType="end"/>
      </w:r>
    </w:p>
    <w:p>
      <w:pPr>
        <w:pStyle w:val="14"/>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_Toc18021 </w:instrText>
      </w:r>
      <w:r>
        <w:rPr>
          <w:rFonts w:hint="eastAsia" w:ascii="宋体" w:hAnsi="宋体" w:eastAsia="宋体" w:cs="宋体"/>
          <w:szCs w:val="28"/>
          <w:lang w:val="en-US" w:eastAsia="zh-CN"/>
        </w:rPr>
        <w:fldChar w:fldCharType="separate"/>
      </w:r>
      <w:r>
        <w:rPr>
          <w:rFonts w:hint="eastAsia" w:hAnsi="黑体" w:cs="黑体"/>
          <w:szCs w:val="21"/>
          <w:lang w:val="en-US" w:eastAsia="zh-CN"/>
        </w:rPr>
        <w:t>3.2确定内容的主要依据</w:t>
      </w:r>
      <w:r>
        <w:tab/>
      </w:r>
      <w:r>
        <w:fldChar w:fldCharType="begin"/>
      </w:r>
      <w:r>
        <w:instrText xml:space="preserve"> PAGEREF _Toc18021 \h </w:instrText>
      </w:r>
      <w:r>
        <w:fldChar w:fldCharType="separate"/>
      </w:r>
      <w:r>
        <w:t>8</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_Toc798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四、 主要试验验证分析、预期的经济效益、社会效益</w:t>
      </w:r>
      <w:r>
        <w:tab/>
      </w:r>
      <w:r>
        <w:fldChar w:fldCharType="begin"/>
      </w:r>
      <w:r>
        <w:instrText xml:space="preserve"> PAGEREF _Toc798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_Toc32378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五、 本标准如涉及专利，应有明确的知识产权说明</w:t>
      </w:r>
      <w:r>
        <w:tab/>
      </w:r>
      <w:r>
        <w:fldChar w:fldCharType="begin"/>
      </w:r>
      <w:r>
        <w:instrText xml:space="preserve"> PAGEREF _Toc32378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_Toc29500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六、 采用国际标准或国外先进标准的对比情况</w:t>
      </w:r>
      <w:r>
        <w:tab/>
      </w:r>
      <w:r>
        <w:fldChar w:fldCharType="begin"/>
      </w:r>
      <w:r>
        <w:instrText xml:space="preserve"> PAGEREF _Toc29500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_Toc11808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七、 与现行法律、法规、强制性国家标准及相关标准协调配套情况</w:t>
      </w:r>
      <w:r>
        <w:tab/>
      </w:r>
      <w:r>
        <w:fldChar w:fldCharType="begin"/>
      </w:r>
      <w:r>
        <w:instrText xml:space="preserve"> PAGEREF _Toc11808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_Toc2283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八、 重大分歧意见的处理经过和依据</w:t>
      </w:r>
      <w:r>
        <w:tab/>
      </w:r>
      <w:r>
        <w:fldChar w:fldCharType="begin"/>
      </w:r>
      <w:r>
        <w:instrText xml:space="preserve"> PAGEREF _Toc2283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_Toc4443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九、 标准性质的建议说明</w:t>
      </w:r>
      <w:r>
        <w:tab/>
      </w:r>
      <w:r>
        <w:fldChar w:fldCharType="begin"/>
      </w:r>
      <w:r>
        <w:instrText xml:space="preserve"> PAGEREF _Toc4443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_Toc15368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十、 贯彻标准的要求和措施建议</w:t>
      </w:r>
      <w:r>
        <w:tab/>
      </w:r>
      <w:r>
        <w:fldChar w:fldCharType="begin"/>
      </w:r>
      <w:r>
        <w:instrText xml:space="preserve"> PAGEREF _Toc15368 \h </w:instrText>
      </w:r>
      <w:r>
        <w:fldChar w:fldCharType="separate"/>
      </w:r>
      <w:r>
        <w:t>9</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_Toc1209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十一、 废止现行有关标准的建议</w:t>
      </w:r>
      <w:r>
        <w:tab/>
      </w:r>
      <w:r>
        <w:fldChar w:fldCharType="begin"/>
      </w:r>
      <w:r>
        <w:instrText xml:space="preserve"> PAGEREF _Toc1209 \h </w:instrText>
      </w:r>
      <w:r>
        <w:fldChar w:fldCharType="separate"/>
      </w:r>
      <w:r>
        <w:t>10</w:t>
      </w:r>
      <w:r>
        <w:fldChar w:fldCharType="end"/>
      </w:r>
      <w:r>
        <w:rPr>
          <w:rFonts w:hint="eastAsia" w:ascii="宋体" w:hAnsi="宋体" w:eastAsia="宋体" w:cs="宋体"/>
          <w:szCs w:val="28"/>
          <w:lang w:val="en-US" w:eastAsia="zh-CN"/>
        </w:rPr>
        <w:fldChar w:fldCharType="end"/>
      </w:r>
    </w:p>
    <w:p>
      <w:pPr>
        <w:pStyle w:val="13"/>
        <w:tabs>
          <w:tab w:val="right" w:leader="dot" w:pos="8346"/>
        </w:tabs>
      </w:pPr>
      <w:r>
        <w:rPr>
          <w:rFonts w:hint="eastAsia" w:ascii="宋体" w:hAnsi="宋体" w:eastAsia="宋体" w:cs="宋体"/>
          <w:szCs w:val="28"/>
          <w:lang w:val="en-US" w:eastAsia="zh-CN"/>
        </w:rPr>
        <w:fldChar w:fldCharType="begin"/>
      </w:r>
      <w:r>
        <w:rPr>
          <w:rFonts w:hint="eastAsia" w:ascii="宋体" w:hAnsi="宋体" w:eastAsia="宋体" w:cs="宋体"/>
          <w:szCs w:val="28"/>
          <w:lang w:val="en-US" w:eastAsia="zh-CN"/>
        </w:rPr>
        <w:instrText xml:space="preserve"> HYPERLINK \l _Toc21103 </w:instrText>
      </w:r>
      <w:r>
        <w:rPr>
          <w:rFonts w:hint="eastAsia" w:ascii="宋体" w:hAnsi="宋体" w:eastAsia="宋体" w:cs="宋体"/>
          <w:szCs w:val="28"/>
          <w:lang w:val="en-US" w:eastAsia="zh-CN"/>
        </w:rPr>
        <w:fldChar w:fldCharType="separate"/>
      </w:r>
      <w:r>
        <w:rPr>
          <w:rFonts w:hint="eastAsia" w:ascii="黑体" w:hAnsi="宋体" w:eastAsia="黑体" w:cs="Arial"/>
          <w:kern w:val="0"/>
          <w:szCs w:val="21"/>
          <w:lang w:val="en-US" w:eastAsia="zh-CN"/>
        </w:rPr>
        <w:t>十二、 其他应予说明的事项</w:t>
      </w:r>
      <w:r>
        <w:tab/>
      </w:r>
      <w:r>
        <w:fldChar w:fldCharType="begin"/>
      </w:r>
      <w:r>
        <w:instrText xml:space="preserve"> PAGEREF _Toc21103 \h </w:instrText>
      </w:r>
      <w:r>
        <w:fldChar w:fldCharType="separate"/>
      </w:r>
      <w:r>
        <w:t>10</w:t>
      </w:r>
      <w:r>
        <w:fldChar w:fldCharType="end"/>
      </w:r>
      <w:r>
        <w:rPr>
          <w:rFonts w:hint="eastAsia" w:ascii="宋体" w:hAnsi="宋体" w:eastAsia="宋体" w:cs="宋体"/>
          <w:szCs w:val="28"/>
          <w:lang w:val="en-US" w:eastAsia="zh-CN"/>
        </w:rPr>
        <w:fldChar w:fldCharType="end"/>
      </w:r>
    </w:p>
    <w:p>
      <w:pPr>
        <w:pStyle w:val="6"/>
        <w:keepNext w:val="0"/>
        <w:keepLines w:val="0"/>
        <w:pageBreakBefore w:val="0"/>
        <w:widowControl w:val="0"/>
        <w:kinsoku/>
        <w:wordWrap/>
        <w:overflowPunct/>
        <w:topLinePunct w:val="0"/>
        <w:autoSpaceDE/>
        <w:autoSpaceDN/>
        <w:bidi w:val="0"/>
        <w:adjustRightInd/>
        <w:snapToGrid/>
        <w:spacing w:before="0" w:beforeLines="0" w:afterAutospacing="0" w:line="360" w:lineRule="auto"/>
        <w:textAlignment w:val="auto"/>
        <w:rPr>
          <w:rFonts w:hint="eastAsia" w:eastAsia="黑体"/>
          <w:color w:val="auto"/>
          <w:sz w:val="28"/>
          <w:szCs w:val="28"/>
        </w:rPr>
      </w:pPr>
      <w:r>
        <w:rPr>
          <w:rFonts w:hint="eastAsia" w:ascii="宋体" w:hAnsi="宋体" w:eastAsia="宋体" w:cs="宋体"/>
          <w:szCs w:val="28"/>
          <w:lang w:val="en-US" w:eastAsia="zh-CN"/>
        </w:rPr>
        <w:fldChar w:fldCharType="end"/>
      </w:r>
      <w:bookmarkStart w:id="25" w:name="_GoBack"/>
      <w:bookmarkEnd w:id="25"/>
    </w:p>
    <w:p>
      <w:pPr>
        <w:pStyle w:val="6"/>
        <w:rPr>
          <w:rFonts w:hint="eastAsia" w:eastAsia="黑体"/>
          <w:color w:val="auto"/>
          <w:sz w:val="28"/>
          <w:szCs w:val="28"/>
        </w:rPr>
      </w:pPr>
    </w:p>
    <w:p>
      <w:pPr>
        <w:rPr>
          <w:rFonts w:hint="eastAsia"/>
        </w:rPr>
        <w:sectPr>
          <w:footerReference r:id="rId3" w:type="default"/>
          <w:pgSz w:w="11906" w:h="16838"/>
          <w:pgMar w:top="1440" w:right="1780" w:bottom="1440" w:left="178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黑体"/>
          <w:color w:val="auto"/>
          <w:sz w:val="28"/>
          <w:szCs w:val="28"/>
        </w:rPr>
      </w:pPr>
      <w:r>
        <w:rPr>
          <w:rFonts w:hint="eastAsia" w:eastAsia="黑体"/>
          <w:color w:val="auto"/>
          <w:sz w:val="28"/>
          <w:szCs w:val="28"/>
        </w:rPr>
        <w:t>《有色金属行业工业数据分类分级指南》</w:t>
      </w:r>
      <w:r>
        <w:rPr>
          <w:rFonts w:hint="eastAsia" w:eastAsia="黑体"/>
          <w:color w:val="auto"/>
          <w:sz w:val="28"/>
          <w:szCs w:val="28"/>
          <w:lang w:val="en-US" w:eastAsia="zh-CN"/>
        </w:rPr>
        <w:t>行业标准</w:t>
      </w:r>
      <w:r>
        <w:rPr>
          <w:rFonts w:hint="eastAsia" w:eastAsia="黑体"/>
          <w:color w:val="auto"/>
          <w:sz w:val="28"/>
          <w:szCs w:val="28"/>
        </w:rPr>
        <w:t>编制说明</w:t>
      </w:r>
    </w:p>
    <w:p>
      <w:pPr>
        <w:rPr>
          <w:lang w:val="de-DE"/>
        </w:rPr>
      </w:pP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rPr>
      </w:pPr>
      <w:bookmarkStart w:id="0" w:name="_Toc4583"/>
      <w:r>
        <w:rPr>
          <w:rFonts w:hint="eastAsia" w:ascii="黑体" w:hAnsi="宋体" w:eastAsia="黑体" w:cs="Arial"/>
          <w:b w:val="0"/>
          <w:bCs w:val="0"/>
          <w:color w:val="auto"/>
          <w:sz w:val="21"/>
          <w:szCs w:val="21"/>
        </w:rPr>
        <w:t>工作简况</w:t>
      </w:r>
      <w:bookmarkEnd w:id="0"/>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bookmarkStart w:id="1" w:name="_Toc24398"/>
      <w:r>
        <w:rPr>
          <w:rFonts w:hint="eastAsia" w:hAnsi="黑体" w:cs="黑体"/>
          <w:color w:val="auto"/>
          <w:szCs w:val="21"/>
          <w:lang w:val="en-US" w:eastAsia="zh-CN"/>
        </w:rPr>
        <w:t>1.1任务来源</w:t>
      </w:r>
      <w:bookmarkEnd w:id="1"/>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2025年3月26日，全国有色金属标准化技术委员会在广东韶关召开有色金属行业智能制造标准大会，经大会论证，《有色金属行业数据安全管理技术要求》修改为《有色金属行业工业数据分类分级指南》，修订后进行申报。目前已通过立项，待下达计划。</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标准由江西铜业股份有限公司牵头组织编制，国家工业信息安全发展研究中心、矿冶科技集团有限公司、江西铜业股份有限公司贵溪冶炼厂、江西铜锐信息技术有限公司、云南铜业股份有限公司、紫金矿业集团股份有限公司、铜陵有色集团股份有限公司、金川集团股份有限公司等共同组成编制组，开展标准编制工作。</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bookmarkStart w:id="2" w:name="_Toc837"/>
      <w:r>
        <w:rPr>
          <w:rFonts w:hint="eastAsia" w:hAnsi="黑体" w:cs="黑体"/>
          <w:color w:val="auto"/>
          <w:szCs w:val="21"/>
          <w:lang w:val="en-US" w:eastAsia="zh-CN"/>
        </w:rPr>
        <w:t>1.2编制背景、必要性与依据</w:t>
      </w:r>
      <w:bookmarkEnd w:id="2"/>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1.2.1背景</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有色金属行业作为国民经济的重要支柱产业，其数字化转型是实现高质量发展的关键途径。随着大数据、云计算、人工智能等信息技术与有色金属行业的深度融合，数据已成为行业发展的核心生产要素。数据分类分级不仅是企业实现对数据管理的需要，更是推动有色金属行业数字化转型、提升产业竞争力的重要支撑。</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有色金属行业产业链包括矿山、冶炼、加工等多个业务板块，产业链上下游在数据流通共享上缺少数据分类分级规范，行业内部存在数据共享流通难等问题。同时，在行业标准指南体系中缺少该标准，本标准的建立提出有色金属行业数据分类分级及方法论，有效指导企业进行数据分级分类，统一行业数据分级分类</w:t>
      </w:r>
      <w:r>
        <w:rPr>
          <w:rFonts w:hint="eastAsia" w:ascii="宋体" w:hAnsi="宋体" w:eastAsia="宋体" w:cs="宋体"/>
          <w:color w:val="auto"/>
          <w:kern w:val="2"/>
          <w:sz w:val="21"/>
          <w:szCs w:val="21"/>
          <w:lang w:val="en-US" w:eastAsia="zh-CN"/>
        </w:rPr>
        <w:t>规则</w:t>
      </w:r>
      <w:r>
        <w:rPr>
          <w:rFonts w:hint="default" w:ascii="宋体" w:hAnsi="宋体" w:eastAsia="宋体" w:cs="宋体"/>
          <w:color w:val="auto"/>
          <w:kern w:val="2"/>
          <w:sz w:val="21"/>
          <w:szCs w:val="21"/>
          <w:lang w:val="en-US" w:eastAsia="zh-CN"/>
        </w:rPr>
        <w:t>，填补该领域行业标准的空白。</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1.2.2必要性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1、应对有色金属数据安全威胁，保护核心数据和重要数据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eastAsia" w:hAnsi="黑体" w:cs="黑体"/>
          <w:color w:val="auto"/>
          <w:kern w:val="2"/>
          <w:sz w:val="21"/>
          <w:szCs w:val="21"/>
          <w:lang w:val="en-US" w:eastAsia="zh-CN"/>
        </w:rPr>
        <w:t>有色金属行业的数据安全直接关系到国家资源战略、经济运行和社会秩序。例如，稀有金属的收储数据一旦泄露，可能影响国家资源战略安全；冶炼工艺参数的泄露则可能损害企业的核心竞争力。本标准通过识别分级要素（如业务领域、责任主体、流程环节、描述对象、数据用途等），分析数据在泄露、篡改、损毁或非法使用时可能造成的影响对象（如国家安全、经济运行、社会秩序、公共利益、组织权益、个人权益）及影响程度（特别严重危害、严重危害、一般危害），综合确定数据级别（核心数据、重要数据、一般数据）。这种精细化的分级方法能够帮助企业明确数据的重要程度，从而开展重点安全防护。</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2、有色金属行业数据管理规范的基础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目前缺少有色金属行业数据管理规范体系的相关标准，而数据分类分级是实现数据管理的基础，该标准的建立为补充有色金属行业数据管理规范标准奠定坚实的基础。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3、促进行业内部数据共享流通</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标准通过统一数据分类分级规则，明确安全责任与共享边界，推动地质勘探、生产调度、供应链等关键数据在采矿、冶炼、加工等环节的高效互通，实现矿产储量与下游产能精准匹配，为行业构建可信数据生态、释放数据价值奠定基础。</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4、贯彻落实国家战略部署和法规要求的重要举措</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标准的制定是贯彻落实国家“制造强国”“网络强国”“双碳”等战略部署的关键抓手。通过将《数据安全法》《网络安全法》等法规要求转化为行业可操作的分类分级细则，推动数据要素安全流通与价值释放，支撑“双碳”目标下行业绿色低碳转型；同时，通过规范战略资源（如稀土、锂、钴）数据的全流程管控，保障国家资源安全底线，助力“一带一路”倡议中中国技术标准与数据治理模式的海外输出，为构建新发展格局提供行业实践范例，实现国家战略与产业升级的同频共振。</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1.2.3依据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hAnsi="黑体" w:cs="黑体"/>
          <w:color w:val="auto"/>
          <w:kern w:val="2"/>
          <w:sz w:val="21"/>
          <w:szCs w:val="21"/>
          <w:lang w:val="en-US" w:eastAsia="zh-CN"/>
        </w:rPr>
        <w:t>标准依据《“十四五”智能制造发展规划》《原材料工业数字化转型工作方案（2024-2026年）》《工业数据分类分级指南（试行）》相关政策文件要求，结合《有色金属行业智能制造标准体系建设指南（2023版）》行业标准建设规划，同时以解决有色金属行业发展的实际需求，推动行业数字化转型为目的进行编制。</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bookmarkStart w:id="3" w:name="_Toc6223"/>
      <w:r>
        <w:rPr>
          <w:rFonts w:hint="eastAsia" w:hAnsi="黑体" w:cs="黑体"/>
          <w:color w:val="auto"/>
          <w:szCs w:val="21"/>
          <w:lang w:val="en-US" w:eastAsia="zh-CN"/>
        </w:rPr>
        <w:t>1.3主要参加单位和工作人员及其所作工作</w:t>
      </w:r>
      <w:bookmarkEnd w:id="3"/>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1.3.1主要参加单位情况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（1）江西铜业股份有限公司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江西铜业股份有限公司成立于1997年，并于同年在香港、伦敦同时上市，成为国内首支境外上市矿业股，2002年在上海证券交易所上市。2019年，公司成功控股深圳证券交易所上市公司——山东恒邦冶炼股份有限公司。</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目前，公司在铜以及相关有色金属领域，拥有勘探、采矿、选矿、冶炼、加工为一体的全产业链，形成了江西（鄱阳湖生态区）、环渤海地区、长三角地区、粤港澳大湾区、西南地区五大产业基地，实现了沿江、沿海T字型产业布局，并建立了覆盖全国、辐射海外的投资、金融和贸易等多元产业。旗下拥有100余个成员单位。</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公司产品质量优良，拥有多个“世界名牌”产品。主要产品涵盖阴极铜、黄金、白银、硫酸等产品，钼、硒、碲、铼、铂、钯、铋等稀贵稀散金属产品，高端铜箔、铜板带、铜管、高压电缆、铜银合金细线、铜杆等铜加工产品，单壁碳纳米管、石墨-铜（铝）复合材料等新型材料产品，阳极炉圆盘浇铸机、球磨机衬板、高分子PE管材等制造产品，共100余品种，其中，“江铜牌”和“贵冶牌”阴极铜为伦敦金属交易所注册产品，“江铜牌”黄金、白银为伦敦金银市场协会注册产品。</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auto"/>
          <w:kern w:val="2"/>
          <w:sz w:val="21"/>
          <w:szCs w:val="21"/>
          <w:lang w:val="en-US" w:eastAsia="zh-CN"/>
        </w:rPr>
      </w:pPr>
      <w:r>
        <w:rPr>
          <w:rFonts w:hint="eastAsia" w:hAnsi="黑体" w:cs="黑体" w:asciiTheme="minorHAnsi" w:eastAsiaTheme="minorEastAsia"/>
          <w:color w:val="auto"/>
          <w:kern w:val="2"/>
          <w:sz w:val="21"/>
          <w:szCs w:val="21"/>
          <w:lang w:val="en-US" w:eastAsia="zh-CN"/>
        </w:rPr>
        <w:t>公司始终秉承“用未来思考今天”的理念，致力于持续发掘资源价值，恪守可持续发展承诺，满怀感恩和敬畏之心，坚定不移地以最小化的环境代价，发掘出矿产资源的最大价值，追求人与自然的和谐共生。展望未来，公司将继续秉持“以铜为本、做强有色、多元发展、全球布局”发展方针，围绕加快推进产业基础高级化、产业链现代化，不断加强党的建设，强化人才、创新“双轮”驱动，大力推进质量、效率、动力三大变革，全力打造铜、黄金、硫化工、新材料、装备制造等产业体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（2）国家工业信息安全发展研究中心</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国家工业信息安全发展研究中心（工业和信息化部电子第一研究所）成立于1959年，是工业和信息化部直属事业单位，是我国工业信息安全领域重要的服务保障机构。经过60多年的发展与积淀，国家工信安全中心始终坚持以“支撑政府、服务行业”为宗旨，聚焦工业信息安全、关键软件自主可控、制造业数字化转型三个重点领域，持续提升决策支撑、安全保障、转型服务、生态促进四种核心能力，业务范围涵盖工业领域网络与数据安全、两化融合、工业互联网、软件、知识产权、大数据、人工智能、数字经济、工业经济等领域，服务对象包括国家部委、国家级行业协会、地方政府、央企集团、头部企业、产业园区、高校院所等各类主体。</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hAnsi="黑体" w:cs="黑体"/>
          <w:color w:val="auto"/>
          <w:kern w:val="2"/>
          <w:sz w:val="21"/>
          <w:szCs w:val="21"/>
          <w:lang w:val="en-US" w:eastAsia="zh-CN"/>
        </w:rPr>
      </w:pPr>
      <w:r>
        <w:rPr>
          <w:rFonts w:hint="default" w:hAnsi="黑体" w:cs="黑体"/>
          <w:color w:val="auto"/>
          <w:kern w:val="2"/>
          <w:sz w:val="21"/>
          <w:szCs w:val="21"/>
          <w:lang w:val="en-US" w:eastAsia="zh-CN"/>
        </w:rPr>
        <w:t>标准工作方面，国家工业信息安全发展研究中心牵头编写10余项国家政策文件，参与6项国家标准编制，参与编制《数据安全技术 数据分类分级规则》《数据基础设施 标识管理规范》等国家标准，牵头编制《工业领域重要数据识别指南》《工业企业数据安全防护要求》《工业领域数据安全风险评估规范》等行业标准，在15个省市305家企业组织开展工业领域数据安全管理试点工作推进《工业领域重要数据识别指南》等标准的应用验证，涉及6大类行业，推进工业领域数据安全全流程管理工作机制进一步完善。支持指导北京、山东、江苏、辽宁等29个省（区、市）和5家央企集团开展数据安全政策标准宣贯培训。</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（3）</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default" w:ascii="黑体" w:hAnsi="黑体" w:eastAsia="黑体" w:cs="黑体"/>
          <w:color w:val="auto"/>
          <w:kern w:val="0"/>
          <w:sz w:val="21"/>
          <w:szCs w:val="21"/>
          <w:lang w:val="en-US" w:eastAsia="zh-CN"/>
        </w:rPr>
      </w:pPr>
      <w:r>
        <w:rPr>
          <w:rFonts w:hint="eastAsia" w:ascii="黑体" w:hAnsi="黑体" w:eastAsia="黑体" w:cs="黑体"/>
          <w:color w:val="auto"/>
          <w:kern w:val="0"/>
          <w:sz w:val="21"/>
          <w:szCs w:val="21"/>
          <w:lang w:val="en-US" w:eastAsia="zh-CN"/>
        </w:rPr>
        <w:t>1.3.2主要工作人员所负责的工作情况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bookmarkStart w:id="4" w:name="_Toc9744"/>
      <w:r>
        <w:rPr>
          <w:rFonts w:hint="eastAsia" w:hAnsi="黑体" w:cs="黑体"/>
          <w:color w:val="auto"/>
          <w:szCs w:val="21"/>
          <w:lang w:val="en-US" w:eastAsia="zh-CN"/>
        </w:rPr>
        <w:t>1.4主要工作过程</w:t>
      </w:r>
      <w:bookmarkEnd w:id="4"/>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.1预研阶段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default" w:ascii="宋体" w:hAnsi="宋体" w:eastAsia="宋体" w:cs="宋体"/>
          <w:color w:val="auto"/>
          <w:kern w:val="2"/>
          <w:sz w:val="21"/>
          <w:szCs w:val="21"/>
          <w:lang w:val="en-US" w:eastAsia="zh-CN"/>
        </w:rPr>
      </w:pPr>
      <w:r>
        <w:rPr>
          <w:rFonts w:hint="default" w:ascii="宋体" w:hAnsi="宋体" w:eastAsia="宋体" w:cs="宋体"/>
          <w:color w:val="auto"/>
          <w:kern w:val="2"/>
          <w:sz w:val="21"/>
          <w:szCs w:val="21"/>
          <w:lang w:val="en-US" w:eastAsia="zh-CN"/>
        </w:rPr>
        <w:t>202</w:t>
      </w:r>
      <w:r>
        <w:rPr>
          <w:rFonts w:hint="eastAsia" w:ascii="宋体" w:hAnsi="宋体" w:eastAsia="宋体" w:cs="宋体"/>
          <w:color w:val="auto"/>
          <w:kern w:val="2"/>
          <w:sz w:val="21"/>
          <w:szCs w:val="21"/>
          <w:lang w:val="en-US" w:eastAsia="zh-CN"/>
        </w:rPr>
        <w:t>5</w:t>
      </w:r>
      <w:r>
        <w:rPr>
          <w:rFonts w:hint="default" w:ascii="宋体" w:hAnsi="宋体" w:eastAsia="宋体" w:cs="宋体"/>
          <w:color w:val="auto"/>
          <w:kern w:val="2"/>
          <w:sz w:val="21"/>
          <w:szCs w:val="21"/>
          <w:lang w:val="en-US" w:eastAsia="zh-CN"/>
        </w:rPr>
        <w:t>年</w:t>
      </w:r>
      <w:r>
        <w:rPr>
          <w:rFonts w:hint="eastAsia" w:ascii="宋体" w:hAnsi="宋体" w:eastAsia="宋体" w:cs="宋体"/>
          <w:color w:val="auto"/>
          <w:kern w:val="2"/>
          <w:sz w:val="21"/>
          <w:szCs w:val="21"/>
          <w:lang w:val="en-US" w:eastAsia="zh-CN"/>
        </w:rPr>
        <w:t>2</w:t>
      </w:r>
      <w:r>
        <w:rPr>
          <w:rFonts w:hint="default" w:ascii="宋体" w:hAnsi="宋体" w:eastAsia="宋体" w:cs="宋体"/>
          <w:color w:val="auto"/>
          <w:kern w:val="2"/>
          <w:sz w:val="21"/>
          <w:szCs w:val="21"/>
          <w:lang w:val="en-US" w:eastAsia="zh-CN"/>
        </w:rPr>
        <w:t>月</w:t>
      </w:r>
      <w:r>
        <w:rPr>
          <w:rFonts w:hint="eastAsia" w:ascii="宋体" w:hAnsi="宋体" w:eastAsia="宋体" w:cs="宋体"/>
          <w:color w:val="auto"/>
          <w:kern w:val="2"/>
          <w:sz w:val="21"/>
          <w:szCs w:val="21"/>
          <w:lang w:val="en-US" w:eastAsia="zh-CN"/>
        </w:rPr>
        <w:t>，落实《原材料工业数字化转型工作方案（2024-2026年）》</w:t>
      </w:r>
      <w:r>
        <w:rPr>
          <w:rFonts w:hint="default" w:ascii="宋体" w:hAnsi="宋体" w:eastAsia="宋体" w:cs="宋体"/>
          <w:color w:val="auto"/>
          <w:kern w:val="2"/>
          <w:sz w:val="21"/>
          <w:szCs w:val="21"/>
          <w:lang w:val="en-US" w:eastAsia="zh-CN"/>
        </w:rPr>
        <w:t>《有色金属行业智能制造标准体系建设指南（2023版）》</w:t>
      </w:r>
      <w:r>
        <w:rPr>
          <w:rFonts w:hint="eastAsia" w:ascii="宋体" w:hAnsi="宋体" w:eastAsia="宋体" w:cs="宋体"/>
          <w:color w:val="auto"/>
          <w:kern w:val="2"/>
          <w:sz w:val="21"/>
          <w:szCs w:val="21"/>
          <w:lang w:val="en-US" w:eastAsia="zh-CN"/>
        </w:rPr>
        <w:t>和《标准提升引领原材料工业优化升级行动方案（2025-2027年）》</w:t>
      </w:r>
      <w:r>
        <w:rPr>
          <w:rFonts w:hint="eastAsia" w:ascii="宋体" w:hAnsi="宋体" w:eastAsia="宋体" w:cs="宋体"/>
          <w:color w:val="000000" w:themeColor="text1"/>
          <w:kern w:val="2"/>
          <w:sz w:val="21"/>
          <w:szCs w:val="21"/>
          <w:lang w:val="en-US" w:eastAsia="zh-CN"/>
          <w14:textFill>
            <w14:solidFill>
              <w14:schemeClr w14:val="tx1"/>
            </w14:solidFill>
          </w14:textFill>
        </w:rPr>
        <w:t>等政策文件</w:t>
      </w:r>
      <w:r>
        <w:rPr>
          <w:rFonts w:hint="eastAsia" w:ascii="宋体" w:hAnsi="宋体" w:eastAsia="宋体" w:cs="宋体"/>
          <w:color w:val="auto"/>
          <w:kern w:val="2"/>
          <w:sz w:val="21"/>
          <w:szCs w:val="21"/>
          <w:lang w:val="en-US" w:eastAsia="zh-CN"/>
        </w:rPr>
        <w:t>，根据国家标准化管理委员会、工业和信息化部及中国有色金属工业协会的工作部署，</w:t>
      </w:r>
      <w:r>
        <w:rPr>
          <w:rFonts w:hint="default" w:ascii="宋体" w:hAnsi="宋体" w:eastAsia="宋体" w:cs="宋体"/>
          <w:color w:val="auto"/>
          <w:kern w:val="2"/>
          <w:sz w:val="21"/>
          <w:szCs w:val="21"/>
          <w:lang w:val="en-US" w:eastAsia="zh-CN"/>
        </w:rPr>
        <w:t>江西铜业股份有限公司</w:t>
      </w:r>
      <w:r>
        <w:rPr>
          <w:rFonts w:hint="eastAsia" w:ascii="宋体" w:hAnsi="宋体" w:eastAsia="宋体" w:cs="宋体"/>
          <w:color w:val="auto"/>
          <w:kern w:val="2"/>
          <w:sz w:val="21"/>
          <w:szCs w:val="21"/>
          <w:lang w:val="en-US" w:eastAsia="zh-CN"/>
        </w:rPr>
        <w:t>依托行业优势，结合贵溪冶炼厂“工业数据安全防护建设”项目的成功实施，牵头</w:t>
      </w:r>
      <w:r>
        <w:rPr>
          <w:rFonts w:hint="default" w:ascii="宋体" w:hAnsi="宋体" w:eastAsia="宋体" w:cs="宋体"/>
          <w:color w:val="auto"/>
          <w:kern w:val="2"/>
          <w:sz w:val="21"/>
          <w:szCs w:val="21"/>
          <w:lang w:val="en-US" w:eastAsia="zh-CN"/>
        </w:rPr>
        <w:t>启动</w:t>
      </w:r>
      <w:r>
        <w:rPr>
          <w:rFonts w:hint="eastAsia" w:ascii="宋体" w:hAnsi="宋体" w:eastAsia="宋体" w:cs="宋体"/>
          <w:color w:val="auto"/>
          <w:kern w:val="2"/>
          <w:sz w:val="21"/>
          <w:szCs w:val="21"/>
          <w:lang w:val="en-US" w:eastAsia="zh-CN"/>
        </w:rPr>
        <w:t>《有色金属行业数据安全管理技术要求》</w:t>
      </w:r>
      <w:r>
        <w:rPr>
          <w:rFonts w:hint="default" w:ascii="宋体" w:hAnsi="宋体" w:eastAsia="宋体" w:cs="宋体"/>
          <w:color w:val="auto"/>
          <w:kern w:val="2"/>
          <w:sz w:val="21"/>
          <w:szCs w:val="21"/>
          <w:lang w:val="en-US" w:eastAsia="zh-CN"/>
        </w:rPr>
        <w:t>标准立项申报、草案编制工作。同时与</w:t>
      </w:r>
      <w:r>
        <w:rPr>
          <w:rFonts w:hint="eastAsia" w:ascii="宋体" w:hAnsi="宋体" w:eastAsia="宋体" w:cs="宋体"/>
          <w:color w:val="auto"/>
          <w:kern w:val="2"/>
          <w:sz w:val="21"/>
          <w:szCs w:val="21"/>
          <w:lang w:val="en-US" w:eastAsia="zh-CN"/>
        </w:rPr>
        <w:t>实施“工业数据安全防护建设”项目的</w:t>
      </w:r>
      <w:r>
        <w:rPr>
          <w:rFonts w:hint="default" w:ascii="宋体" w:hAnsi="宋体" w:eastAsia="宋体" w:cs="宋体"/>
          <w:color w:val="auto"/>
          <w:kern w:val="2"/>
          <w:sz w:val="21"/>
          <w:szCs w:val="21"/>
          <w:lang w:val="en-US" w:eastAsia="zh-CN"/>
        </w:rPr>
        <w:t>国家工业信息安全发展研究中心深入讨论了标准的技术路线与方案，并根据讨论情况，形成标准编制思路和方向。</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.2标准立项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ascii="宋体" w:hAnsi="宋体" w:eastAsia="宋体" w:cs="宋体"/>
          <w:color w:val="auto"/>
          <w:kern w:val="2"/>
          <w:sz w:val="21"/>
          <w:szCs w:val="21"/>
          <w:lang w:val="en-US" w:eastAsia="zh-CN"/>
        </w:rPr>
        <w:t>2025年3月，全国有色金属标准化技术委员会在广东韶关召开有色金属行业智能制造标准大会，</w:t>
      </w:r>
      <w:r>
        <w:rPr>
          <w:rFonts w:hint="default" w:ascii="宋体" w:hAnsi="宋体" w:eastAsia="宋体" w:cs="宋体"/>
          <w:color w:val="auto"/>
          <w:kern w:val="2"/>
          <w:sz w:val="21"/>
          <w:szCs w:val="21"/>
          <w:lang w:val="en-US" w:eastAsia="zh-CN"/>
        </w:rPr>
        <w:t>江西铜业股份有限公司</w:t>
      </w:r>
      <w:r>
        <w:rPr>
          <w:rFonts w:hint="eastAsia" w:hAnsi="黑体" w:cs="黑体"/>
          <w:color w:val="auto"/>
          <w:kern w:val="2"/>
          <w:sz w:val="21"/>
          <w:szCs w:val="21"/>
          <w:lang w:val="en-US" w:eastAsia="zh-CN"/>
        </w:rPr>
        <w:t>作为主起草单位在会上发布了《</w:t>
      </w:r>
      <w:r>
        <w:rPr>
          <w:rFonts w:hint="eastAsia" w:ascii="宋体" w:hAnsi="宋体" w:eastAsia="宋体" w:cs="宋体"/>
          <w:color w:val="auto"/>
          <w:kern w:val="2"/>
          <w:sz w:val="21"/>
          <w:szCs w:val="21"/>
          <w:lang w:val="en-US" w:eastAsia="zh-CN"/>
        </w:rPr>
        <w:t>有色金属行业数据安全管理技术要求</w:t>
      </w:r>
      <w:r>
        <w:rPr>
          <w:rFonts w:hint="eastAsia" w:hAnsi="黑体" w:cs="黑体"/>
          <w:color w:val="auto"/>
          <w:kern w:val="2"/>
          <w:sz w:val="21"/>
          <w:szCs w:val="21"/>
          <w:lang w:val="en-US" w:eastAsia="zh-CN"/>
        </w:rPr>
        <w:t>》。</w:t>
      </w:r>
      <w:r>
        <w:rPr>
          <w:rFonts w:hint="eastAsia" w:ascii="宋体" w:hAnsi="宋体" w:eastAsia="宋体" w:cs="宋体"/>
          <w:color w:val="auto"/>
          <w:kern w:val="2"/>
          <w:sz w:val="21"/>
          <w:szCs w:val="21"/>
          <w:lang w:val="en-US" w:eastAsia="zh-CN"/>
        </w:rPr>
        <w:t>经大会论证，标准改为《有色金属行业工业数据分类分级指南》，修订后正式申报。目前已通过立项，待下达计划。</w:t>
      </w:r>
    </w:p>
    <w:p>
      <w:pPr>
        <w:pStyle w:val="2"/>
        <w:keepNext w:val="0"/>
        <w:keepLines w:val="0"/>
        <w:pageBreakBefore w:val="0"/>
        <w:widowControl w:val="0"/>
        <w:kinsoku/>
        <w:wordWrap/>
        <w:overflowPunct/>
        <w:topLinePunct w:val="0"/>
        <w:autoSpaceDE/>
        <w:autoSpaceDN/>
        <w:bidi w:val="0"/>
        <w:adjustRightInd/>
        <w:snapToGrid/>
        <w:spacing w:after="0" w:line="360" w:lineRule="auto"/>
        <w:ind w:right="0" w:firstLine="0" w:firstLineChars="0"/>
        <w:jc w:val="both"/>
        <w:textAlignment w:val="auto"/>
        <w:outlineLvl w:val="2"/>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1.</w:t>
      </w:r>
      <w:r>
        <w:rPr>
          <w:rFonts w:hint="eastAsia" w:ascii="黑体" w:hAnsi="黑体" w:eastAsia="黑体" w:cs="黑体"/>
          <w:color w:val="auto"/>
          <w:kern w:val="0"/>
          <w:sz w:val="21"/>
          <w:szCs w:val="21"/>
          <w:lang w:val="en-US" w:eastAsia="zh-CN"/>
        </w:rPr>
        <w:t>4</w:t>
      </w:r>
      <w:r>
        <w:rPr>
          <w:rFonts w:hint="eastAsia" w:ascii="黑体" w:hAnsi="黑体" w:eastAsia="黑体" w:cs="黑体"/>
          <w:color w:val="auto"/>
          <w:kern w:val="0"/>
          <w:sz w:val="21"/>
          <w:szCs w:val="21"/>
        </w:rPr>
        <w:t>.3起草阶段</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2025年5月，成立了《有色金属行业工业数据分类分级指南》编制组，制定了相关工作计划。根据工作计划进度安排，标准编制组查阅了相关标准和资料，启动标准文本草案修订工作。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color w:val="auto"/>
          <w:kern w:val="2"/>
          <w:sz w:val="21"/>
          <w:szCs w:val="21"/>
          <w:lang w:val="en-US" w:eastAsia="zh-CN"/>
        </w:rPr>
      </w:pPr>
      <w:r>
        <w:rPr>
          <w:rFonts w:hint="eastAsia" w:ascii="宋体" w:hAnsi="宋体" w:eastAsia="宋体" w:cs="宋体"/>
          <w:color w:val="auto"/>
          <w:kern w:val="2"/>
          <w:sz w:val="21"/>
          <w:szCs w:val="21"/>
          <w:lang w:val="en-US" w:eastAsia="zh-CN"/>
        </w:rPr>
        <w:t>2025年7月，</w:t>
      </w:r>
      <w:r>
        <w:rPr>
          <w:rFonts w:hint="eastAsia" w:hAnsi="黑体" w:cs="黑体"/>
          <w:color w:val="auto"/>
          <w:kern w:val="2"/>
          <w:sz w:val="21"/>
          <w:szCs w:val="21"/>
          <w:lang w:val="en-US" w:eastAsia="zh-CN"/>
        </w:rPr>
        <w:t>编制完成标准文本草案，参加贵阳有色金属行业智能制造标准工作会议进行汇报讨论。</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rPr>
      </w:pPr>
      <w:bookmarkStart w:id="5" w:name="_Toc26400"/>
      <w:r>
        <w:rPr>
          <w:rFonts w:hint="eastAsia" w:ascii="黑体" w:hAnsi="宋体" w:eastAsia="黑体" w:cs="Arial"/>
          <w:b w:val="0"/>
          <w:bCs w:val="0"/>
          <w:color w:val="auto"/>
          <w:sz w:val="21"/>
          <w:szCs w:val="21"/>
          <w:lang w:val="en-US" w:eastAsia="zh-CN"/>
        </w:rPr>
        <w:t>标准编制原则</w:t>
      </w:r>
      <w:bookmarkEnd w:id="5"/>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1、本标准按照GB/T 1.1-2020《标准化工作导则 第1部分：标准化文件的结构和起草规则》给出的规则起草。</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2、本标准立足有色金属行业实际和智能制造标准体系的要求，与智能制造标准体系中的其他标准丰富智能制造标准体系，在编制的过程中，始终遵循符合行业特色、满足市场需求、技术内容合理的原则。</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outlineLvl w:val="0"/>
        <w:rPr>
          <w:rFonts w:hint="eastAsia" w:ascii="黑体" w:hAnsi="宋体" w:eastAsia="黑体" w:cs="Arial"/>
          <w:b w:val="0"/>
          <w:bCs w:val="0"/>
          <w:color w:val="auto"/>
          <w:sz w:val="21"/>
          <w:szCs w:val="21"/>
          <w:lang w:val="en-US" w:eastAsia="zh-CN"/>
        </w:rPr>
      </w:pPr>
      <w:bookmarkStart w:id="6" w:name="_Toc12843"/>
      <w:r>
        <w:rPr>
          <w:rFonts w:hint="eastAsia" w:ascii="黑体" w:hAnsi="宋体" w:eastAsia="黑体" w:cs="Arial"/>
          <w:b w:val="0"/>
          <w:bCs w:val="0"/>
          <w:color w:val="auto"/>
          <w:sz w:val="21"/>
          <w:szCs w:val="21"/>
          <w:lang w:val="en-US" w:eastAsia="zh-CN"/>
        </w:rPr>
        <w:t>标准的主要内容及确定内容的主要依据</w:t>
      </w:r>
      <w:bookmarkEnd w:id="6"/>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bookmarkStart w:id="7" w:name="_Toc32457"/>
      <w:r>
        <w:rPr>
          <w:rFonts w:hint="eastAsia" w:hAnsi="黑体" w:cs="黑体"/>
          <w:color w:val="auto"/>
          <w:szCs w:val="21"/>
          <w:lang w:val="en-US" w:eastAsia="zh-CN"/>
        </w:rPr>
        <w:t>3.1标准的主要内容</w:t>
      </w:r>
      <w:bookmarkEnd w:id="7"/>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1、范围</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本</w:t>
      </w:r>
      <w:r>
        <w:rPr>
          <w:rFonts w:hint="eastAsia" w:hAnsi="黑体" w:cs="黑体"/>
          <w:color w:val="000000" w:themeColor="text1"/>
          <w:kern w:val="2"/>
          <w:sz w:val="21"/>
          <w:szCs w:val="21"/>
          <w:lang w:val="en-US" w:eastAsia="zh-CN"/>
          <w14:textFill>
            <w14:solidFill>
              <w14:schemeClr w14:val="tx1"/>
            </w14:solidFill>
          </w14:textFill>
        </w:rPr>
        <w:t>标准</w:t>
      </w:r>
      <w:r>
        <w:rPr>
          <w:rFonts w:hint="eastAsia" w:hAnsi="黑体" w:cs="黑体" w:asciiTheme="minorHAnsi" w:eastAsiaTheme="minorEastAsia"/>
          <w:color w:val="000000" w:themeColor="text1"/>
          <w:kern w:val="2"/>
          <w:sz w:val="21"/>
          <w:szCs w:val="21"/>
          <w:lang w:val="en-US" w:eastAsia="zh-CN"/>
          <w14:textFill>
            <w14:solidFill>
              <w14:schemeClr w14:val="tx1"/>
            </w14:solidFill>
          </w14:textFill>
        </w:rPr>
        <w:t>规定了有色金属行业工业数据分类分级的基本原则、数据分类规则和数据分级规则。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本标准适用于有色金属行业采选、冶炼、加工企业参考本标准开展数据分类分级工作,同时为数据处理者进行数据分类分级提供参考。</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2、基本原则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有色金属行业工业数据分类分级除遵循GB/T 43697基本原则外，在重要数据识别上还应当遵循以下原则。</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战略资源评估原则：从有色金属资源战略属性进行评估，识别对国家资源安全、产业链自主可控及国际市场话语权具有直接影响的数据，一旦泄露或滥用可能削弱国家在全球资源竞争中的优势，影响产业链关键环节的稳定性；</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安全风险影响原则：从国家安全、社会秩序、经济运行和行业发展等角度识别工业数据的影响力，数据一旦被泄露、篡改、损毁、非法获取或非法使用，对国家、社会、经济和行业造成的安全事故风险和经济损失程度；</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（3）定性定量结合原则：以定性与定量相结合的方式识别重要数据，并根据具体数据类型、数据用途、数据来源采取不同的定性或定量方法。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8" w:name="_Toc22579"/>
      <w:r>
        <w:rPr>
          <w:rFonts w:hint="eastAsia" w:ascii="宋体" w:hAnsi="宋体" w:eastAsia="宋体" w:cs="宋体"/>
          <w:color w:val="000000" w:themeColor="text1"/>
          <w:kern w:val="2"/>
          <w:sz w:val="21"/>
          <w:szCs w:val="21"/>
          <w:lang w:val="en-US" w:eastAsia="zh-CN"/>
          <w14:textFill>
            <w14:solidFill>
              <w14:schemeClr w14:val="tx1"/>
            </w14:solidFill>
          </w14:textFill>
        </w:rPr>
        <w:t>3、数据分类规则</w:t>
      </w:r>
      <w:bookmarkEnd w:id="8"/>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9" w:name="_Toc7478"/>
      <w:r>
        <w:rPr>
          <w:rFonts w:hint="eastAsia" w:ascii="宋体" w:hAnsi="宋体" w:eastAsia="宋体" w:cs="宋体"/>
          <w:color w:val="000000" w:themeColor="text1"/>
          <w:kern w:val="2"/>
          <w:sz w:val="21"/>
          <w:szCs w:val="21"/>
          <w:lang w:val="en-US" w:eastAsia="zh-CN"/>
          <w14:textFill>
            <w14:solidFill>
              <w14:schemeClr w14:val="tx1"/>
            </w14:solidFill>
          </w14:textFill>
        </w:rPr>
        <w:t>（1）数据分类框架</w:t>
      </w:r>
      <w:bookmarkEnd w:id="9"/>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的数据分类框架应结合行业特点，按照业务属性进行细化分类。常见业务属性包括但不限于业务领域、责任主体、流程环节、描述对象等属性进行细化分类；如涉及法律法规有专门管理要求的数据类别，应按照有关规定和标准进行识别和分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10" w:name="_Toc12871"/>
      <w:r>
        <w:rPr>
          <w:rFonts w:hint="eastAsia" w:ascii="宋体" w:hAnsi="宋体" w:eastAsia="宋体" w:cs="宋体"/>
          <w:color w:val="000000" w:themeColor="text1"/>
          <w:kern w:val="2"/>
          <w:sz w:val="21"/>
          <w:szCs w:val="21"/>
          <w:lang w:val="en-US" w:eastAsia="zh-CN"/>
          <w14:textFill>
            <w14:solidFill>
              <w14:schemeClr w14:val="tx1"/>
            </w14:solidFill>
          </w14:textFill>
        </w:rPr>
        <w:t>（2）数据分类方法</w:t>
      </w:r>
      <w:bookmarkEnd w:id="10"/>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数据分类应根据数据管理和使用需求，结合已有数据分类基础，灵活选择业务属性将数据细化分类。有色金属行业企业可参考以下步骤开展工业数据分类：明确数据范围、细化业务分类、业务属性分类、确定分类规则，可采取“业务条线—关键业务—业务属性分类”的方式给出数据分类规则，或对关键业务的数据分类结果进行归类分析，将具有相似主题的数据子类进行归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11" w:name="_Toc32696"/>
      <w:r>
        <w:rPr>
          <w:rFonts w:hint="eastAsia" w:ascii="宋体" w:hAnsi="宋体" w:eastAsia="宋体" w:cs="宋体"/>
          <w:color w:val="000000" w:themeColor="text1"/>
          <w:kern w:val="2"/>
          <w:sz w:val="21"/>
          <w:szCs w:val="21"/>
          <w:lang w:val="en-US" w:eastAsia="zh-CN"/>
          <w14:textFill>
            <w14:solidFill>
              <w14:schemeClr w14:val="tx1"/>
            </w14:solidFill>
          </w14:textFill>
        </w:rPr>
        <w:t>4、数据分级规则</w:t>
      </w:r>
      <w:bookmarkEnd w:id="11"/>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12" w:name="_Toc1706"/>
      <w:r>
        <w:rPr>
          <w:rFonts w:hint="eastAsia" w:ascii="宋体" w:hAnsi="宋体" w:eastAsia="宋体" w:cs="宋体"/>
          <w:color w:val="000000" w:themeColor="text1"/>
          <w:kern w:val="2"/>
          <w:sz w:val="21"/>
          <w:szCs w:val="21"/>
          <w:lang w:val="en-US" w:eastAsia="zh-CN"/>
          <w14:textFill>
            <w14:solidFill>
              <w14:schemeClr w14:val="tx1"/>
            </w14:solidFill>
          </w14:textFill>
        </w:rPr>
        <w:t>（1）数据分级框架</w:t>
      </w:r>
      <w:bookmarkEnd w:id="12"/>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根据数据在国家安全、社会秩序、经济运行和行业发展的重要程度，以及一旦遭到泄露、篡改、损毁、或者非法获取、非法使用、非法共享,对国家安全、社会秩序、经济运行和行业发展造成的危害程度，将数据从高到低分为核心数据、重要数据、一般数据三个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13" w:name="_Toc9331"/>
      <w:r>
        <w:rPr>
          <w:rFonts w:hint="eastAsia" w:ascii="宋体" w:hAnsi="宋体" w:eastAsia="宋体" w:cs="宋体"/>
          <w:color w:val="000000" w:themeColor="text1"/>
          <w:kern w:val="2"/>
          <w:sz w:val="21"/>
          <w:szCs w:val="21"/>
          <w:lang w:val="en-US" w:eastAsia="zh-CN"/>
          <w14:textFill>
            <w14:solidFill>
              <w14:schemeClr w14:val="tx1"/>
            </w14:solidFill>
          </w14:textFill>
        </w:rPr>
        <w:t>（2）数据分级方法</w:t>
      </w:r>
      <w:bookmarkEnd w:id="13"/>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数据分级是为了确保数据在全生命周期内的安全性和合规性，有色金属行业采选、冶炼、加工企业可参考以下步骤进行数据分级：确定分级对象、重要数据识别、综合确定级别。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bookmarkStart w:id="14" w:name="_Toc29161"/>
      <w:r>
        <w:rPr>
          <w:rFonts w:hint="eastAsia" w:ascii="宋体" w:hAnsi="宋体" w:eastAsia="宋体" w:cs="宋体"/>
          <w:color w:val="000000" w:themeColor="text1"/>
          <w:kern w:val="2"/>
          <w:sz w:val="21"/>
          <w:szCs w:val="21"/>
          <w:lang w:val="en-US" w:eastAsia="zh-CN"/>
          <w14:textFill>
            <w14:solidFill>
              <w14:schemeClr w14:val="tx1"/>
            </w14:solidFill>
          </w14:textFill>
        </w:rPr>
        <w:t>5、重要数据识别</w:t>
      </w:r>
      <w:bookmarkEnd w:id="14"/>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工业数据识别维度包括与国家秘密生成相关、与国家安全相关、与行业发展相关、与工业领域出口管制物项相关、与行业特色相关、其他，按照数据与分级维度的相符性确定数据为核心数据、重要数据或一般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6、综合确定级别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有色金属行业企业确定工业数据分级对象后，完成重要数据识别，进一步分析数据影响和危害程度，按照以下规则综合确定数据级别：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（1）重要数据：符合重要数据识别中任意一个识别维度的数据均属于重要数据；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核心数据：在重要数据范围内，对国家安全、社会秩序、经济运行和行业发展具有重大影响，一旦遭到泄露、篡改、损毁、或者非法获取、非法使用、非法共享，对国家安全、社会秩序、经济运行和行业发展造成重大风险，或危害国家安全、公共利益的重要数据，识别为核心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（3）一般数据：未识别为核心数据、重要数据的其他数据,确定为一般数据；</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（4）如待分级数据涉及多个要素、多个影响对象或影响程度,应按照就高从严原则确定数据级别；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（5）根据数据重要程度和可能造成的危害程度的变化,应对数据级别进行动态更新。</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7、数据分类分级流程</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有色金属行业企业作为工业数据处理者在进行数据分类分级工作时，可按照数据资产梳理、重要数据识别、内部审批、重要数据目录备案四个阶段开展工作。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（1）数据资产梳理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有色金属行业企业应组织相关数据所属部门（如研发、生产、运维部门等），全面梳理盘点数据资产，形成数据资产清单。对数据进行分类，并对公共数据、外部数据等特殊类别数据进行识别和分类。</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（2）重要数据识别</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参照重要数据识别维度开展重要数据识别工作，并进一步根据影响和危害程度识别核心数据，确定核心数据、重要数据和一般数据的范围，形成重要数据（含核心数据）清单。有色金属行业采选、冶炼、加工企业工业数据分类分级清单示例见附录A。</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（3）内部审批</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有色金属行业企业应对形成的重要数据清单进行内部审批，如审批通过，生成重要数据目录，如审批未通过，应重新开展重要数据识别工作。</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（4）重要数据目录备案</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有色金属行业企业应向行业监管部门报送重要数据目录，如重要数据目录审核通过，按要求开展重要数据保护；如重要数据目录审核未通过，应重新开展重要数据识别和报送工作。企业重要数据目录发生重大变化时，及时更新重要数据目录并进行上报。</w:t>
      </w:r>
    </w:p>
    <w:p>
      <w:pPr>
        <w:pStyle w:val="26"/>
        <w:keepNext w:val="0"/>
        <w:keepLines w:val="0"/>
        <w:pageBreakBefore w:val="0"/>
        <w:widowControl/>
        <w:kinsoku/>
        <w:wordWrap/>
        <w:overflowPunct/>
        <w:topLinePunct w:val="0"/>
        <w:autoSpaceDE/>
        <w:autoSpaceDN/>
        <w:bidi w:val="0"/>
        <w:adjustRightInd/>
        <w:snapToGrid/>
        <w:spacing w:beforeLines="0" w:afterLines="0" w:line="360" w:lineRule="auto"/>
        <w:textAlignment w:val="auto"/>
        <w:outlineLvl w:val="1"/>
        <w:rPr>
          <w:rFonts w:hint="eastAsia" w:hAnsi="黑体" w:cs="黑体"/>
          <w:color w:val="auto"/>
          <w:szCs w:val="21"/>
          <w:lang w:val="en-US" w:eastAsia="zh-CN"/>
        </w:rPr>
      </w:pPr>
      <w:bookmarkStart w:id="15" w:name="_Toc18021"/>
      <w:r>
        <w:rPr>
          <w:rFonts w:hint="eastAsia" w:hAnsi="黑体" w:cs="黑体"/>
          <w:color w:val="auto"/>
          <w:szCs w:val="21"/>
          <w:lang w:val="en-US" w:eastAsia="zh-CN"/>
        </w:rPr>
        <w:t>3.2确定内容的主要依据</w:t>
      </w:r>
      <w:bookmarkEnd w:id="15"/>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确定标准内容的主要依据是相关国家政策与标准、行业特点与企业业务流程，同时考虑数据安全影响等因素。</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1、国家政策与标准：依据《原材料工业数字化转型工作方案（2024-2026年）》《有色金属行业智能制造标准体系建设指南（2023版）》和《标准提升引领原材料工业优化升级行动方案（2025-2027年）》等政策文件，落实《数据管理能力成熟度评估模型》（GB/T 36073-2018）和《工业和信息化领域数据安全管理办法》相关要求，以指导企业规范数据分类分级，提升工业数据管理能力，促进工业数据的使用、流动与共享，赋能制造业高质量发展。</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2、行业生产经营特点：有色金属行业具有高温高压生产环境、多环节复杂工艺等特点，且涉及矿产资源开采、环保排放等特殊业务。指南考虑了这些行业特性，对数据进行分类分级，以适应有色金属行业的特定需求。</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3、企业业务流程：根据有色金属行业研发、生产、运维、管理、业务服务等环节所产生的数据，以及与外部主体共享的数据，确定数据分类维度。如围绕工艺研发、生产控制、设备运维、产品质量检测等业务流程，梳理出相应的数据类型，形成研发数据域、生产数据域等多个数据域。</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both"/>
        <w:textAlignment w:val="auto"/>
        <w:rPr>
          <w:rFonts w:hint="eastAsia"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eastAsia="宋体" w:cs="宋体"/>
          <w:color w:val="000000" w:themeColor="text1"/>
          <w:kern w:val="2"/>
          <w:sz w:val="21"/>
          <w:szCs w:val="21"/>
          <w:lang w:val="en-US" w:eastAsia="zh-CN"/>
          <w14:textFill>
            <w14:solidFill>
              <w14:schemeClr w14:val="tx1"/>
            </w14:solidFill>
          </w14:textFill>
        </w:rPr>
        <w:t>4、数据安全影响：根据不同类别工业数据遭篡改、破坏、泄露或非法利用后，对国家安全、社会秩序、经济运行和行业发展等方面带来的潜在影响进行数据分级。例如，对国家安全、社会秩序、经济运行和行业发展造成重大风险，或危害国家安全、公共利益的重要数据定为核心数据；只对企业自身而言重要的数据（如企业的内部管理相关数据等）定为一般数据。</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bookmarkStart w:id="16" w:name="_Toc798"/>
      <w:r>
        <w:rPr>
          <w:rFonts w:hint="eastAsia" w:ascii="黑体" w:hAnsi="宋体" w:eastAsia="黑体" w:cs="Arial"/>
          <w:color w:val="auto"/>
          <w:kern w:val="0"/>
          <w:sz w:val="21"/>
          <w:szCs w:val="21"/>
          <w:lang w:val="en-US" w:eastAsia="zh-CN"/>
        </w:rPr>
        <w:t>主要试验验证分析、预期的经济效益、社会效益</w:t>
      </w:r>
      <w:bookmarkEnd w:id="16"/>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本标准从有色金属行业工业数据分类分级的基本原则、数据分类规则和数据分级规则</w:t>
      </w:r>
      <w:r>
        <w:rPr>
          <w:rFonts w:hint="eastAsia" w:hAnsi="黑体" w:cs="黑体"/>
          <w:color w:val="000000" w:themeColor="text1"/>
          <w:kern w:val="2"/>
          <w:sz w:val="21"/>
          <w:szCs w:val="21"/>
          <w:lang w:val="en-US" w:eastAsia="zh-CN" w:bidi="ar-SA"/>
          <w14:textFill>
            <w14:solidFill>
              <w14:schemeClr w14:val="tx1"/>
            </w14:solidFill>
          </w14:textFill>
        </w:rPr>
        <w:t>提供参考指南，</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面向采选、冶炼、加工等细分业务领域，在责任主体、流程环节、描述对象等方面进行分类</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lang w:val="en-US" w:eastAsia="zh-CN"/>
          <w14:textFill>
            <w14:solidFill>
              <w14:schemeClr w14:val="tx1"/>
            </w14:solidFill>
          </w14:textFill>
        </w:rPr>
        <w:t>对国家安全、社会秩序、经济运行和行业发展等方面带来的潜在影响进行数据分级</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，对于科学引导有色金属行业企业开展数据分类分级工作</w:t>
      </w:r>
      <w:r>
        <w:rPr>
          <w:rFonts w:hint="eastAsia" w:hAnsi="黑体" w:cs="黑体"/>
          <w:color w:val="000000" w:themeColor="text1"/>
          <w:kern w:val="2"/>
          <w:sz w:val="21"/>
          <w:szCs w:val="21"/>
          <w:lang w:val="en-US" w:eastAsia="zh-CN" w:bidi="ar-SA"/>
          <w14:textFill>
            <w14:solidFill>
              <w14:schemeClr w14:val="tx1"/>
            </w14:solidFill>
          </w14:textFill>
        </w:rPr>
        <w:t>，</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明确数字化转型路径具有指导性意义。</w:t>
      </w:r>
    </w:p>
    <w:p>
      <w:pPr>
        <w:spacing w:after="0" w:line="360" w:lineRule="auto"/>
        <w:ind w:firstLine="420" w:firstLineChars="200"/>
        <w:jc w:val="both"/>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在经济效益方面，本标准的制定和实施为有色金属行业提供了统一的、</w:t>
      </w:r>
      <w:r>
        <w:rPr>
          <w:rFonts w:hint="eastAsia" w:hAnsi="黑体" w:cs="黑体"/>
          <w:color w:val="000000" w:themeColor="text1"/>
          <w:kern w:val="2"/>
          <w:sz w:val="21"/>
          <w:szCs w:val="21"/>
          <w:lang w:val="en-US" w:eastAsia="zh-CN" w:bidi="ar-SA"/>
          <w14:textFill>
            <w14:solidFill>
              <w14:schemeClr w14:val="tx1"/>
            </w14:solidFill>
          </w14:textFill>
        </w:rPr>
        <w:t>标准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化的</w:t>
      </w:r>
      <w:r>
        <w:rPr>
          <w:rFonts w:hint="eastAsia" w:hAnsi="黑体" w:cs="黑体"/>
          <w:color w:val="000000" w:themeColor="text1"/>
          <w:kern w:val="2"/>
          <w:sz w:val="21"/>
          <w:szCs w:val="21"/>
          <w:lang w:val="en-US" w:eastAsia="zh-CN" w:bidi="ar-SA"/>
          <w14:textFill>
            <w14:solidFill>
              <w14:schemeClr w14:val="tx1"/>
            </w14:solidFill>
          </w14:textFill>
        </w:rPr>
        <w:t>数据分类分级规则</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，为有色金属行业各细分领域数字化转型成熟度评估诊断提供依据，能够推动行业企业对标找差距，推动行业提质升级、降本增效、绿色安全发展。</w:t>
      </w:r>
    </w:p>
    <w:p>
      <w:pPr>
        <w:spacing w:after="0" w:line="360" w:lineRule="auto"/>
        <w:ind w:firstLine="420" w:firstLineChars="200"/>
        <w:jc w:val="both"/>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在社会效益方面，本标准的制定和实施能够发挥好标准在有色金属行业数字化转型的规范和引导作用，提升企业数字化转型的认识，在促进行业高质量发展等方面发挥重要社会效益。</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bookmarkStart w:id="17" w:name="_Toc32378"/>
      <w:r>
        <w:rPr>
          <w:rFonts w:hint="eastAsia" w:ascii="黑体" w:hAnsi="宋体" w:eastAsia="黑体" w:cs="Arial"/>
          <w:color w:val="auto"/>
          <w:kern w:val="0"/>
          <w:sz w:val="21"/>
          <w:szCs w:val="21"/>
          <w:lang w:val="en-US" w:eastAsia="zh-CN"/>
        </w:rPr>
        <w:t>本标准如涉及专利，应有明确的知识产权说明</w:t>
      </w:r>
      <w:bookmarkEnd w:id="17"/>
    </w:p>
    <w:p>
      <w:pPr>
        <w:spacing w:after="0" w:line="360" w:lineRule="auto"/>
        <w:ind w:firstLine="420" w:firstLineChars="200"/>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本标准</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暂不</w:t>
      </w:r>
      <w:r>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t>涉及专利。</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bookmarkStart w:id="18" w:name="_Toc29500"/>
      <w:r>
        <w:rPr>
          <w:rFonts w:hint="eastAsia" w:ascii="黑体" w:hAnsi="宋体" w:eastAsia="黑体" w:cs="Arial"/>
          <w:color w:val="auto"/>
          <w:kern w:val="0"/>
          <w:sz w:val="21"/>
          <w:szCs w:val="21"/>
          <w:lang w:val="en-US" w:eastAsia="zh-CN"/>
        </w:rPr>
        <w:t>采用国际标准或国外先进标准的对比情况</w:t>
      </w:r>
      <w:bookmarkEnd w:id="18"/>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未标准没有国际标准可以采用。</w:t>
      </w:r>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本标准制订过程中未查到同类国际、国外标准。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bookmarkStart w:id="19" w:name="_Toc11808"/>
      <w:r>
        <w:rPr>
          <w:rFonts w:hint="eastAsia" w:ascii="黑体" w:hAnsi="宋体" w:eastAsia="黑体" w:cs="Arial"/>
          <w:color w:val="auto"/>
          <w:kern w:val="0"/>
          <w:sz w:val="21"/>
          <w:szCs w:val="21"/>
          <w:lang w:val="en-US" w:eastAsia="zh-CN"/>
        </w:rPr>
        <w:t>与现行法律、法规、强制性国家标准及相关标准协调配套情况</w:t>
      </w:r>
      <w:bookmarkEnd w:id="19"/>
    </w:p>
    <w:p>
      <w:pPr>
        <w:spacing w:after="0" w:line="360" w:lineRule="auto"/>
        <w:ind w:firstLine="420" w:firstLineChars="200"/>
        <w:rPr>
          <w:rFonts w:hint="eastAsia" w:ascii="宋体" w:hAnsi="宋体" w:cs="宋体"/>
          <w:sz w:val="24"/>
          <w:szCs w:val="24"/>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本标准与现行法律、法规、规章和相关标准协调一致，标准的格式和表达方式等方面完全执行了现行的国家标准和有关法规，符合</w:t>
      </w:r>
      <w:r>
        <w:rPr>
          <w:rFonts w:hint="eastAsia" w:ascii="宋体" w:hAnsi="宋体" w:eastAsia="宋体" w:cs="宋体"/>
          <w:color w:val="000000" w:themeColor="text1"/>
          <w:kern w:val="2"/>
          <w:sz w:val="21"/>
          <w:szCs w:val="21"/>
          <w:lang w:val="en-US" w:eastAsia="zh-CN" w:bidi="ar-SA"/>
          <w14:textFill>
            <w14:solidFill>
              <w14:schemeClr w14:val="tx1"/>
            </w14:solidFill>
          </w14:textFill>
        </w:rPr>
        <w:t>GB/T 1.1</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的有关要求。</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bookmarkStart w:id="20" w:name="_Toc2283"/>
      <w:r>
        <w:rPr>
          <w:rFonts w:hint="eastAsia" w:ascii="黑体" w:hAnsi="宋体" w:eastAsia="黑体" w:cs="Arial"/>
          <w:color w:val="auto"/>
          <w:kern w:val="0"/>
          <w:sz w:val="21"/>
          <w:szCs w:val="21"/>
          <w:lang w:val="en-US" w:eastAsia="zh-CN"/>
        </w:rPr>
        <w:t>重大分歧意见的处理经过和依据</w:t>
      </w:r>
      <w:bookmarkEnd w:id="20"/>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本标准未产生重大分歧意见。</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bookmarkStart w:id="21" w:name="_Toc4443"/>
      <w:r>
        <w:rPr>
          <w:rFonts w:hint="eastAsia" w:ascii="黑体" w:hAnsi="宋体" w:eastAsia="黑体" w:cs="Arial"/>
          <w:color w:val="auto"/>
          <w:kern w:val="0"/>
          <w:sz w:val="21"/>
          <w:szCs w:val="21"/>
          <w:lang w:val="en-US" w:eastAsia="zh-CN"/>
        </w:rPr>
        <w:t>标准性质的建议说明</w:t>
      </w:r>
      <w:bookmarkEnd w:id="21"/>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根据标准化法和有关规定，建议本标准的性质为推荐性行业标准。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bookmarkStart w:id="22" w:name="_Toc15368"/>
      <w:r>
        <w:rPr>
          <w:rFonts w:hint="eastAsia" w:ascii="黑体" w:hAnsi="宋体" w:eastAsia="黑体" w:cs="Arial"/>
          <w:color w:val="auto"/>
          <w:kern w:val="0"/>
          <w:sz w:val="21"/>
          <w:szCs w:val="21"/>
          <w:lang w:val="en-US" w:eastAsia="zh-CN"/>
        </w:rPr>
        <w:t>贯彻标准的要求和措施建议</w:t>
      </w:r>
      <w:bookmarkEnd w:id="22"/>
    </w:p>
    <w:p>
      <w:pPr>
        <w:spacing w:after="0" w:line="360" w:lineRule="auto"/>
        <w:ind w:firstLine="420" w:firstLineChars="200"/>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本标准的内容是推荐性的，建议标准发布后即可实施，建议本标准由</w:t>
      </w:r>
      <w:r>
        <w:rPr>
          <w:rFonts w:hint="eastAsia" w:hAnsi="黑体" w:cs="黑体"/>
          <w:color w:val="000000" w:themeColor="text1"/>
          <w:kern w:val="2"/>
          <w:sz w:val="21"/>
          <w:szCs w:val="21"/>
          <w:lang w:val="en-US" w:eastAsia="zh-CN" w:bidi="ar-SA"/>
          <w14:textFill>
            <w14:solidFill>
              <w14:schemeClr w14:val="tx1"/>
            </w14:solidFill>
          </w14:textFill>
        </w:rPr>
        <w:t>各级人民政府的工业和信息化行政主管部门负责</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监督</w:t>
      </w:r>
      <w:r>
        <w:rPr>
          <w:rFonts w:hint="eastAsia" w:hAnsi="黑体" w:cs="黑体"/>
          <w:color w:val="000000" w:themeColor="text1"/>
          <w:kern w:val="2"/>
          <w:sz w:val="21"/>
          <w:szCs w:val="21"/>
          <w:lang w:val="en-US" w:eastAsia="zh-CN" w:bidi="ar-SA"/>
          <w14:textFill>
            <w14:solidFill>
              <w14:schemeClr w14:val="tx1"/>
            </w14:solidFill>
          </w14:textFill>
        </w:rPr>
        <w:t>实施</w:t>
      </w:r>
      <w:r>
        <w:rPr>
          <w:rFonts w:hint="eastAsia" w:hAnsi="黑体" w:cs="黑体" w:asciiTheme="minorHAnsi" w:eastAsiaTheme="minorEastAsia"/>
          <w:color w:val="000000" w:themeColor="text1"/>
          <w:kern w:val="2"/>
          <w:sz w:val="21"/>
          <w:szCs w:val="21"/>
          <w:lang w:val="en-US" w:eastAsia="zh-CN" w:bidi="ar-SA"/>
          <w14:textFill>
            <w14:solidFill>
              <w14:schemeClr w14:val="tx1"/>
            </w14:solidFill>
          </w14:textFill>
        </w:rPr>
        <w:t>。</w:t>
      </w:r>
    </w:p>
    <w:p>
      <w:pPr>
        <w:spacing w:after="0" w:line="360" w:lineRule="auto"/>
        <w:ind w:firstLine="420" w:firstLineChars="200"/>
        <w:rPr>
          <w:rFonts w:hint="default" w:hAnsi="黑体" w:cs="黑体" w:asciiTheme="minorHAnsi" w:eastAsiaTheme="minorEastAsia"/>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本标准制定的内容不仅与生产企业有关，而且与评估机构、行业监督管理部门等相关，对于标准使用过程中容易出现的问题，起草单位有义务进行必要的解释。</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eastAsia" w:ascii="黑体" w:hAnsi="宋体" w:eastAsia="黑体" w:cs="Arial"/>
          <w:color w:val="auto"/>
          <w:kern w:val="0"/>
          <w:sz w:val="21"/>
          <w:szCs w:val="21"/>
          <w:lang w:val="en-US" w:eastAsia="zh-CN"/>
        </w:rPr>
      </w:pPr>
      <w:bookmarkStart w:id="23" w:name="_Toc1209"/>
      <w:r>
        <w:rPr>
          <w:rFonts w:hint="eastAsia" w:ascii="黑体" w:hAnsi="宋体" w:eastAsia="黑体" w:cs="Arial"/>
          <w:color w:val="auto"/>
          <w:kern w:val="0"/>
          <w:sz w:val="21"/>
          <w:szCs w:val="21"/>
          <w:lang w:val="en-US" w:eastAsia="zh-CN"/>
        </w:rPr>
        <w:t>废止现行有关标准的建议</w:t>
      </w:r>
      <w:bookmarkEnd w:id="23"/>
    </w:p>
    <w:p>
      <w:pPr>
        <w:spacing w:after="0" w:line="360" w:lineRule="auto"/>
        <w:ind w:firstLine="420" w:firstLineChars="200"/>
        <w:rPr>
          <w:rFonts w:hint="eastAsia" w:hAnsi="黑体" w:cs="黑体"/>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本标准为首次制定，无代替标准。</w:t>
      </w:r>
    </w:p>
    <w:p>
      <w:pPr>
        <w:pStyle w:val="1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right="0" w:firstLine="0" w:firstLineChars="0"/>
        <w:jc w:val="both"/>
        <w:textAlignment w:val="auto"/>
        <w:outlineLvl w:val="0"/>
        <w:rPr>
          <w:rFonts w:hint="default" w:ascii="黑体" w:hAnsi="宋体" w:eastAsia="黑体" w:cs="Arial"/>
          <w:color w:val="auto"/>
          <w:kern w:val="0"/>
          <w:sz w:val="21"/>
          <w:szCs w:val="21"/>
          <w:lang w:val="en-US" w:eastAsia="zh-CN"/>
        </w:rPr>
      </w:pPr>
      <w:bookmarkStart w:id="24" w:name="_Toc21103"/>
      <w:r>
        <w:rPr>
          <w:rFonts w:hint="eastAsia" w:ascii="黑体" w:hAnsi="宋体" w:eastAsia="黑体" w:cs="Arial"/>
          <w:color w:val="auto"/>
          <w:kern w:val="0"/>
          <w:sz w:val="21"/>
          <w:szCs w:val="21"/>
          <w:lang w:val="en-US" w:eastAsia="zh-CN"/>
        </w:rPr>
        <w:t>其他应予说明的事项</w:t>
      </w:r>
      <w:bookmarkEnd w:id="24"/>
    </w:p>
    <w:p>
      <w:pPr>
        <w:spacing w:after="0" w:line="360" w:lineRule="auto"/>
        <w:ind w:firstLine="420" w:firstLineChars="200"/>
        <w:rPr>
          <w:rFonts w:hint="eastAsia" w:hAnsi="黑体" w:cs="黑体"/>
          <w:color w:val="000000" w:themeColor="text1"/>
          <w:kern w:val="2"/>
          <w:sz w:val="21"/>
          <w:szCs w:val="21"/>
          <w:lang w:val="en-US" w:eastAsia="zh-CN" w:bidi="ar-SA"/>
          <w14:textFill>
            <w14:solidFill>
              <w14:schemeClr w14:val="tx1"/>
            </w14:solidFill>
          </w14:textFill>
        </w:rPr>
      </w:pPr>
      <w:r>
        <w:rPr>
          <w:rFonts w:hint="eastAsia" w:hAnsi="黑体" w:cs="黑体"/>
          <w:color w:val="000000" w:themeColor="text1"/>
          <w:kern w:val="2"/>
          <w:sz w:val="21"/>
          <w:szCs w:val="21"/>
          <w:lang w:val="en-US" w:eastAsia="zh-CN" w:bidi="ar-SA"/>
          <w14:textFill>
            <w14:solidFill>
              <w14:schemeClr w14:val="tx1"/>
            </w14:solidFill>
          </w14:textFill>
        </w:rPr>
        <w:t>本标准无其他应予说明的事项。</w:t>
      </w:r>
    </w:p>
    <w:p>
      <w:pPr>
        <w:spacing w:line="440" w:lineRule="exact"/>
        <w:jc w:val="right"/>
        <w:rPr>
          <w:rFonts w:hint="eastAsia"/>
          <w:color w:val="auto"/>
          <w:sz w:val="21"/>
          <w:szCs w:val="21"/>
        </w:rPr>
      </w:pPr>
    </w:p>
    <w:p>
      <w:pPr>
        <w:spacing w:line="440" w:lineRule="exact"/>
        <w:jc w:val="right"/>
        <w:rPr>
          <w:rFonts w:hint="eastAsia"/>
          <w:color w:val="auto"/>
          <w:sz w:val="21"/>
          <w:szCs w:val="21"/>
        </w:rPr>
      </w:pPr>
    </w:p>
    <w:p>
      <w:pPr>
        <w:spacing w:line="440" w:lineRule="exact"/>
        <w:jc w:val="right"/>
        <w:rPr>
          <w:rFonts w:ascii="宋体" w:hAnsi="宋体" w:eastAsia="宋体"/>
          <w:color w:val="auto"/>
          <w:sz w:val="21"/>
          <w:szCs w:val="21"/>
        </w:rPr>
      </w:pPr>
      <w:r>
        <w:rPr>
          <w:rFonts w:hint="eastAsia"/>
          <w:color w:val="auto"/>
          <w:sz w:val="21"/>
          <w:szCs w:val="21"/>
        </w:rPr>
        <w:t>《</w:t>
      </w:r>
      <w:r>
        <w:rPr>
          <w:rFonts w:hint="eastAsia"/>
          <w:color w:val="auto"/>
          <w:sz w:val="21"/>
          <w:szCs w:val="21"/>
          <w:lang w:val="en-US" w:eastAsia="zh-CN"/>
        </w:rPr>
        <w:t>有色金属行业工业数据分类分级指南</w:t>
      </w:r>
      <w:r>
        <w:rPr>
          <w:rFonts w:hint="eastAsia"/>
          <w:color w:val="auto"/>
          <w:sz w:val="21"/>
          <w:szCs w:val="21"/>
        </w:rPr>
        <w:t>》</w:t>
      </w:r>
      <w:r>
        <w:rPr>
          <w:rFonts w:hint="eastAsia" w:ascii="宋体" w:hAnsi="宋体" w:eastAsia="宋体"/>
          <w:color w:val="auto"/>
          <w:sz w:val="21"/>
          <w:szCs w:val="21"/>
        </w:rPr>
        <w:t>编制组</w:t>
      </w:r>
    </w:p>
    <w:p>
      <w:pPr>
        <w:spacing w:before="312" w:beforeLines="100" w:line="440" w:lineRule="exact"/>
        <w:jc w:val="right"/>
        <w:rPr>
          <w:rFonts w:ascii="宋体" w:hAnsi="宋体" w:eastAsia="宋体"/>
          <w:color w:val="auto"/>
          <w:szCs w:val="21"/>
        </w:rPr>
      </w:pPr>
      <w:r>
        <w:rPr>
          <w:rFonts w:hint="eastAsia" w:ascii="宋体" w:hAnsi="宋体" w:eastAsia="宋体"/>
          <w:color w:val="auto"/>
          <w:sz w:val="21"/>
          <w:szCs w:val="21"/>
        </w:rPr>
        <w:t>202</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月</w:t>
      </w:r>
    </w:p>
    <w:p>
      <w:pPr>
        <w:spacing w:before="312" w:beforeLines="100" w:line="440" w:lineRule="exact"/>
        <w:jc w:val="right"/>
        <w:rPr>
          <w:rFonts w:ascii="宋体" w:hAnsi="宋体" w:eastAsia="宋体"/>
          <w:color w:val="auto"/>
          <w:szCs w:val="21"/>
        </w:rPr>
      </w:pPr>
    </w:p>
    <w:sectPr>
      <w:pgSz w:w="11906" w:h="16838"/>
      <w:pgMar w:top="1440" w:right="1780" w:bottom="1440" w:left="17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QWRLLA+MicrosoftYaHei-Bold">
    <w:altName w:val="XcGJSymbol"/>
    <w:panose1 w:val="02000500000000000000"/>
    <w:charset w:val="01"/>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7D3FBC"/>
    <w:multiLevelType w:val="multilevel"/>
    <w:tmpl w:val="657D3FBC"/>
    <w:lvl w:ilvl="0" w:tentative="0">
      <w:start w:val="1"/>
      <w:numFmt w:val="upperLetter"/>
      <w:pStyle w:val="4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7F986064"/>
    <w:multiLevelType w:val="singleLevel"/>
    <w:tmpl w:val="7F986064"/>
    <w:lvl w:ilvl="0" w:tentative="0">
      <w:start w:val="1"/>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FiYzEyMGYxNjdhN2I2ODlmY2E1MmZjYThkZWYifQ=="/>
  </w:docVars>
  <w:rsids>
    <w:rsidRoot w:val="0049152D"/>
    <w:rsid w:val="00000899"/>
    <w:rsid w:val="00002C81"/>
    <w:rsid w:val="0000483E"/>
    <w:rsid w:val="000052AC"/>
    <w:rsid w:val="0000533A"/>
    <w:rsid w:val="00006069"/>
    <w:rsid w:val="00007345"/>
    <w:rsid w:val="0000734E"/>
    <w:rsid w:val="000119A5"/>
    <w:rsid w:val="00011F52"/>
    <w:rsid w:val="0001287D"/>
    <w:rsid w:val="00013051"/>
    <w:rsid w:val="00013700"/>
    <w:rsid w:val="00013B39"/>
    <w:rsid w:val="00014230"/>
    <w:rsid w:val="000142A3"/>
    <w:rsid w:val="0001434A"/>
    <w:rsid w:val="000146E1"/>
    <w:rsid w:val="00015683"/>
    <w:rsid w:val="00015B66"/>
    <w:rsid w:val="00016452"/>
    <w:rsid w:val="00016C1B"/>
    <w:rsid w:val="000174E9"/>
    <w:rsid w:val="00017703"/>
    <w:rsid w:val="00020B8D"/>
    <w:rsid w:val="00020E6C"/>
    <w:rsid w:val="000233F9"/>
    <w:rsid w:val="0002350F"/>
    <w:rsid w:val="00025C36"/>
    <w:rsid w:val="00026B44"/>
    <w:rsid w:val="00026C0C"/>
    <w:rsid w:val="000312D7"/>
    <w:rsid w:val="00032958"/>
    <w:rsid w:val="00033C9E"/>
    <w:rsid w:val="00035A30"/>
    <w:rsid w:val="000362EA"/>
    <w:rsid w:val="0003648A"/>
    <w:rsid w:val="0003697D"/>
    <w:rsid w:val="000370C9"/>
    <w:rsid w:val="000376FC"/>
    <w:rsid w:val="00041459"/>
    <w:rsid w:val="000425E5"/>
    <w:rsid w:val="00043943"/>
    <w:rsid w:val="00045C0A"/>
    <w:rsid w:val="00047256"/>
    <w:rsid w:val="00047805"/>
    <w:rsid w:val="00047897"/>
    <w:rsid w:val="00047C97"/>
    <w:rsid w:val="000538E0"/>
    <w:rsid w:val="00053978"/>
    <w:rsid w:val="000543AE"/>
    <w:rsid w:val="00056B2E"/>
    <w:rsid w:val="00057549"/>
    <w:rsid w:val="00060E9C"/>
    <w:rsid w:val="00061A95"/>
    <w:rsid w:val="00061BAC"/>
    <w:rsid w:val="00062BA9"/>
    <w:rsid w:val="000630E4"/>
    <w:rsid w:val="0006311A"/>
    <w:rsid w:val="000632D5"/>
    <w:rsid w:val="000634E4"/>
    <w:rsid w:val="000636D6"/>
    <w:rsid w:val="00063E72"/>
    <w:rsid w:val="000647B0"/>
    <w:rsid w:val="000647D1"/>
    <w:rsid w:val="000648D5"/>
    <w:rsid w:val="00064F0E"/>
    <w:rsid w:val="0006509C"/>
    <w:rsid w:val="00065850"/>
    <w:rsid w:val="000661DC"/>
    <w:rsid w:val="0006634E"/>
    <w:rsid w:val="00067F99"/>
    <w:rsid w:val="0007025D"/>
    <w:rsid w:val="0007113B"/>
    <w:rsid w:val="00072938"/>
    <w:rsid w:val="00072B7E"/>
    <w:rsid w:val="00073823"/>
    <w:rsid w:val="00073860"/>
    <w:rsid w:val="000738A3"/>
    <w:rsid w:val="00073EA4"/>
    <w:rsid w:val="00073F45"/>
    <w:rsid w:val="00074BD0"/>
    <w:rsid w:val="00075228"/>
    <w:rsid w:val="00076905"/>
    <w:rsid w:val="00081042"/>
    <w:rsid w:val="00082E8F"/>
    <w:rsid w:val="00083504"/>
    <w:rsid w:val="00083671"/>
    <w:rsid w:val="0008539E"/>
    <w:rsid w:val="0008748A"/>
    <w:rsid w:val="00087579"/>
    <w:rsid w:val="00090932"/>
    <w:rsid w:val="0009564E"/>
    <w:rsid w:val="000956AA"/>
    <w:rsid w:val="00095716"/>
    <w:rsid w:val="00095B00"/>
    <w:rsid w:val="000968E7"/>
    <w:rsid w:val="00096C0A"/>
    <w:rsid w:val="000A25DA"/>
    <w:rsid w:val="000A2674"/>
    <w:rsid w:val="000A46E3"/>
    <w:rsid w:val="000A68B0"/>
    <w:rsid w:val="000A68DC"/>
    <w:rsid w:val="000B0288"/>
    <w:rsid w:val="000B12AD"/>
    <w:rsid w:val="000B20BA"/>
    <w:rsid w:val="000B4AD4"/>
    <w:rsid w:val="000C2E3D"/>
    <w:rsid w:val="000C4435"/>
    <w:rsid w:val="000C782F"/>
    <w:rsid w:val="000C7BE6"/>
    <w:rsid w:val="000D004B"/>
    <w:rsid w:val="000D146E"/>
    <w:rsid w:val="000D255F"/>
    <w:rsid w:val="000D2968"/>
    <w:rsid w:val="000D3C54"/>
    <w:rsid w:val="000D419A"/>
    <w:rsid w:val="000D6C50"/>
    <w:rsid w:val="000E0E5D"/>
    <w:rsid w:val="000E12A2"/>
    <w:rsid w:val="000E2F2B"/>
    <w:rsid w:val="000E3BE4"/>
    <w:rsid w:val="000E5601"/>
    <w:rsid w:val="000E5B35"/>
    <w:rsid w:val="000E7291"/>
    <w:rsid w:val="000E7346"/>
    <w:rsid w:val="000E7398"/>
    <w:rsid w:val="000E7492"/>
    <w:rsid w:val="000E75F6"/>
    <w:rsid w:val="000F0726"/>
    <w:rsid w:val="000F21CD"/>
    <w:rsid w:val="000F2931"/>
    <w:rsid w:val="000F60BA"/>
    <w:rsid w:val="000F7755"/>
    <w:rsid w:val="000F7CA9"/>
    <w:rsid w:val="000F7EE8"/>
    <w:rsid w:val="0010164F"/>
    <w:rsid w:val="00101FD6"/>
    <w:rsid w:val="00103B79"/>
    <w:rsid w:val="00103F5A"/>
    <w:rsid w:val="001043C6"/>
    <w:rsid w:val="0010446D"/>
    <w:rsid w:val="0011080B"/>
    <w:rsid w:val="00112E27"/>
    <w:rsid w:val="001133B5"/>
    <w:rsid w:val="0011342C"/>
    <w:rsid w:val="00115E89"/>
    <w:rsid w:val="001169BC"/>
    <w:rsid w:val="001172DB"/>
    <w:rsid w:val="0011791C"/>
    <w:rsid w:val="0011799D"/>
    <w:rsid w:val="00117A27"/>
    <w:rsid w:val="00120FE8"/>
    <w:rsid w:val="001215B6"/>
    <w:rsid w:val="00122E35"/>
    <w:rsid w:val="00123CA5"/>
    <w:rsid w:val="001241AB"/>
    <w:rsid w:val="00125817"/>
    <w:rsid w:val="00125CAC"/>
    <w:rsid w:val="00125DB0"/>
    <w:rsid w:val="00126111"/>
    <w:rsid w:val="001268D7"/>
    <w:rsid w:val="00130CC9"/>
    <w:rsid w:val="00133DCA"/>
    <w:rsid w:val="0013566C"/>
    <w:rsid w:val="001360C1"/>
    <w:rsid w:val="001421CF"/>
    <w:rsid w:val="00142C75"/>
    <w:rsid w:val="00143A39"/>
    <w:rsid w:val="00144F28"/>
    <w:rsid w:val="00145147"/>
    <w:rsid w:val="00145188"/>
    <w:rsid w:val="001455A0"/>
    <w:rsid w:val="00147858"/>
    <w:rsid w:val="001502D3"/>
    <w:rsid w:val="0015114D"/>
    <w:rsid w:val="001517E4"/>
    <w:rsid w:val="00151DFA"/>
    <w:rsid w:val="00152A50"/>
    <w:rsid w:val="00152CEE"/>
    <w:rsid w:val="00152F27"/>
    <w:rsid w:val="001531DA"/>
    <w:rsid w:val="0016143F"/>
    <w:rsid w:val="00161FB3"/>
    <w:rsid w:val="00162FCD"/>
    <w:rsid w:val="00163968"/>
    <w:rsid w:val="00164041"/>
    <w:rsid w:val="001641AA"/>
    <w:rsid w:val="00164320"/>
    <w:rsid w:val="0016453D"/>
    <w:rsid w:val="00165B11"/>
    <w:rsid w:val="00167FF7"/>
    <w:rsid w:val="001710BE"/>
    <w:rsid w:val="00171C88"/>
    <w:rsid w:val="001728AD"/>
    <w:rsid w:val="00173330"/>
    <w:rsid w:val="00175F20"/>
    <w:rsid w:val="0017788A"/>
    <w:rsid w:val="00180B07"/>
    <w:rsid w:val="00180F34"/>
    <w:rsid w:val="00181FDF"/>
    <w:rsid w:val="00183DBE"/>
    <w:rsid w:val="00183F8C"/>
    <w:rsid w:val="00184A11"/>
    <w:rsid w:val="00185294"/>
    <w:rsid w:val="00186280"/>
    <w:rsid w:val="00186327"/>
    <w:rsid w:val="001866BE"/>
    <w:rsid w:val="001868B2"/>
    <w:rsid w:val="0019074F"/>
    <w:rsid w:val="001909E7"/>
    <w:rsid w:val="001921B3"/>
    <w:rsid w:val="0019306C"/>
    <w:rsid w:val="001936E4"/>
    <w:rsid w:val="001945B5"/>
    <w:rsid w:val="00194AB3"/>
    <w:rsid w:val="00195204"/>
    <w:rsid w:val="0019675D"/>
    <w:rsid w:val="00196900"/>
    <w:rsid w:val="00196D91"/>
    <w:rsid w:val="0019747E"/>
    <w:rsid w:val="001976D2"/>
    <w:rsid w:val="00197920"/>
    <w:rsid w:val="001A0EA6"/>
    <w:rsid w:val="001A2F17"/>
    <w:rsid w:val="001A2FAE"/>
    <w:rsid w:val="001A577D"/>
    <w:rsid w:val="001B1F37"/>
    <w:rsid w:val="001B2EA2"/>
    <w:rsid w:val="001B4D60"/>
    <w:rsid w:val="001B548E"/>
    <w:rsid w:val="001B6C1B"/>
    <w:rsid w:val="001B7658"/>
    <w:rsid w:val="001B7E54"/>
    <w:rsid w:val="001C010F"/>
    <w:rsid w:val="001C1800"/>
    <w:rsid w:val="001C1A61"/>
    <w:rsid w:val="001C1C7F"/>
    <w:rsid w:val="001C3BD9"/>
    <w:rsid w:val="001C3C44"/>
    <w:rsid w:val="001C5F5B"/>
    <w:rsid w:val="001C63FA"/>
    <w:rsid w:val="001C6400"/>
    <w:rsid w:val="001C64E2"/>
    <w:rsid w:val="001C7F8B"/>
    <w:rsid w:val="001D122A"/>
    <w:rsid w:val="001D1CBF"/>
    <w:rsid w:val="001D29BF"/>
    <w:rsid w:val="001D2E17"/>
    <w:rsid w:val="001D3A88"/>
    <w:rsid w:val="001D4C7B"/>
    <w:rsid w:val="001D50AF"/>
    <w:rsid w:val="001E0750"/>
    <w:rsid w:val="001E1C8D"/>
    <w:rsid w:val="001E2613"/>
    <w:rsid w:val="001E35D2"/>
    <w:rsid w:val="001E5CB5"/>
    <w:rsid w:val="001E7143"/>
    <w:rsid w:val="001E77A0"/>
    <w:rsid w:val="001F0609"/>
    <w:rsid w:val="001F1028"/>
    <w:rsid w:val="001F18F7"/>
    <w:rsid w:val="001F21E5"/>
    <w:rsid w:val="001F3BE7"/>
    <w:rsid w:val="001F4570"/>
    <w:rsid w:val="001F5066"/>
    <w:rsid w:val="001F5E39"/>
    <w:rsid w:val="001F64BD"/>
    <w:rsid w:val="001F7AA9"/>
    <w:rsid w:val="001F7D16"/>
    <w:rsid w:val="001F7D87"/>
    <w:rsid w:val="002007E1"/>
    <w:rsid w:val="00201957"/>
    <w:rsid w:val="002028F6"/>
    <w:rsid w:val="00202F21"/>
    <w:rsid w:val="00203916"/>
    <w:rsid w:val="00204E1B"/>
    <w:rsid w:val="00205696"/>
    <w:rsid w:val="002066A0"/>
    <w:rsid w:val="00210806"/>
    <w:rsid w:val="00210D97"/>
    <w:rsid w:val="00211DAA"/>
    <w:rsid w:val="00212C2F"/>
    <w:rsid w:val="00213C05"/>
    <w:rsid w:val="00213CB8"/>
    <w:rsid w:val="00213CDF"/>
    <w:rsid w:val="002149D3"/>
    <w:rsid w:val="00215CF2"/>
    <w:rsid w:val="00217EB2"/>
    <w:rsid w:val="00221489"/>
    <w:rsid w:val="00221A02"/>
    <w:rsid w:val="00221D88"/>
    <w:rsid w:val="0022398D"/>
    <w:rsid w:val="002252C9"/>
    <w:rsid w:val="00230C35"/>
    <w:rsid w:val="00231422"/>
    <w:rsid w:val="00232045"/>
    <w:rsid w:val="002320C8"/>
    <w:rsid w:val="00233226"/>
    <w:rsid w:val="00233A1C"/>
    <w:rsid w:val="0023455B"/>
    <w:rsid w:val="00234F74"/>
    <w:rsid w:val="00234FE4"/>
    <w:rsid w:val="00235328"/>
    <w:rsid w:val="002356F0"/>
    <w:rsid w:val="00235CB5"/>
    <w:rsid w:val="00240AED"/>
    <w:rsid w:val="00240E23"/>
    <w:rsid w:val="00246A1A"/>
    <w:rsid w:val="00251FCE"/>
    <w:rsid w:val="002531B1"/>
    <w:rsid w:val="0025380C"/>
    <w:rsid w:val="00254BF3"/>
    <w:rsid w:val="002601E8"/>
    <w:rsid w:val="00260A33"/>
    <w:rsid w:val="00260CFE"/>
    <w:rsid w:val="0026166B"/>
    <w:rsid w:val="0026175A"/>
    <w:rsid w:val="00262CCF"/>
    <w:rsid w:val="00262E37"/>
    <w:rsid w:val="0026368F"/>
    <w:rsid w:val="00263946"/>
    <w:rsid w:val="00264DE6"/>
    <w:rsid w:val="00264E80"/>
    <w:rsid w:val="002653CB"/>
    <w:rsid w:val="002662BE"/>
    <w:rsid w:val="00267B20"/>
    <w:rsid w:val="00271A24"/>
    <w:rsid w:val="002727E2"/>
    <w:rsid w:val="002727F2"/>
    <w:rsid w:val="002759A5"/>
    <w:rsid w:val="00276418"/>
    <w:rsid w:val="002766E1"/>
    <w:rsid w:val="00277D55"/>
    <w:rsid w:val="00277DE9"/>
    <w:rsid w:val="00280742"/>
    <w:rsid w:val="00281A43"/>
    <w:rsid w:val="0028345E"/>
    <w:rsid w:val="00283F0D"/>
    <w:rsid w:val="002870F4"/>
    <w:rsid w:val="00291441"/>
    <w:rsid w:val="002931B8"/>
    <w:rsid w:val="00293432"/>
    <w:rsid w:val="00293797"/>
    <w:rsid w:val="002A119B"/>
    <w:rsid w:val="002A1596"/>
    <w:rsid w:val="002A38ED"/>
    <w:rsid w:val="002A39FC"/>
    <w:rsid w:val="002A477A"/>
    <w:rsid w:val="002A52DB"/>
    <w:rsid w:val="002A5373"/>
    <w:rsid w:val="002A61D8"/>
    <w:rsid w:val="002A7451"/>
    <w:rsid w:val="002B0BEE"/>
    <w:rsid w:val="002B1152"/>
    <w:rsid w:val="002B12B9"/>
    <w:rsid w:val="002B1C35"/>
    <w:rsid w:val="002B2BCB"/>
    <w:rsid w:val="002B3266"/>
    <w:rsid w:val="002B33F4"/>
    <w:rsid w:val="002B351D"/>
    <w:rsid w:val="002B45E4"/>
    <w:rsid w:val="002B4A70"/>
    <w:rsid w:val="002B6C88"/>
    <w:rsid w:val="002C11C3"/>
    <w:rsid w:val="002C33FD"/>
    <w:rsid w:val="002C3F54"/>
    <w:rsid w:val="002C42AC"/>
    <w:rsid w:val="002C6308"/>
    <w:rsid w:val="002C6478"/>
    <w:rsid w:val="002C7E20"/>
    <w:rsid w:val="002D16DB"/>
    <w:rsid w:val="002D29B7"/>
    <w:rsid w:val="002D6F42"/>
    <w:rsid w:val="002D75D7"/>
    <w:rsid w:val="002E0513"/>
    <w:rsid w:val="002E22A3"/>
    <w:rsid w:val="002E34A8"/>
    <w:rsid w:val="002E3C9C"/>
    <w:rsid w:val="002E3FAA"/>
    <w:rsid w:val="002E4B56"/>
    <w:rsid w:val="002E7402"/>
    <w:rsid w:val="002E743E"/>
    <w:rsid w:val="002F0868"/>
    <w:rsid w:val="002F0A63"/>
    <w:rsid w:val="002F18EC"/>
    <w:rsid w:val="002F3E1F"/>
    <w:rsid w:val="002F3FA9"/>
    <w:rsid w:val="002F4638"/>
    <w:rsid w:val="002F47B1"/>
    <w:rsid w:val="002F56D7"/>
    <w:rsid w:val="002F6351"/>
    <w:rsid w:val="002F6E9F"/>
    <w:rsid w:val="002F7378"/>
    <w:rsid w:val="00300AFD"/>
    <w:rsid w:val="00301047"/>
    <w:rsid w:val="003013BE"/>
    <w:rsid w:val="00304AE0"/>
    <w:rsid w:val="003058A9"/>
    <w:rsid w:val="00306204"/>
    <w:rsid w:val="003066E1"/>
    <w:rsid w:val="00310C92"/>
    <w:rsid w:val="00311726"/>
    <w:rsid w:val="00311A03"/>
    <w:rsid w:val="00311EF2"/>
    <w:rsid w:val="00311F46"/>
    <w:rsid w:val="00311F5A"/>
    <w:rsid w:val="00321BF3"/>
    <w:rsid w:val="003222DE"/>
    <w:rsid w:val="00323A14"/>
    <w:rsid w:val="00326E25"/>
    <w:rsid w:val="00327C26"/>
    <w:rsid w:val="0033114F"/>
    <w:rsid w:val="00332590"/>
    <w:rsid w:val="0033375D"/>
    <w:rsid w:val="003341F6"/>
    <w:rsid w:val="00334FD6"/>
    <w:rsid w:val="003375AA"/>
    <w:rsid w:val="0033778F"/>
    <w:rsid w:val="00337C4B"/>
    <w:rsid w:val="00340915"/>
    <w:rsid w:val="00340C08"/>
    <w:rsid w:val="00340C89"/>
    <w:rsid w:val="0034101B"/>
    <w:rsid w:val="00341EAD"/>
    <w:rsid w:val="0034335F"/>
    <w:rsid w:val="0034452B"/>
    <w:rsid w:val="00344AA8"/>
    <w:rsid w:val="00345E08"/>
    <w:rsid w:val="0034682F"/>
    <w:rsid w:val="00350386"/>
    <w:rsid w:val="003520BC"/>
    <w:rsid w:val="003530CC"/>
    <w:rsid w:val="00353342"/>
    <w:rsid w:val="00353EE8"/>
    <w:rsid w:val="00354085"/>
    <w:rsid w:val="0035503B"/>
    <w:rsid w:val="00357AB2"/>
    <w:rsid w:val="003600EF"/>
    <w:rsid w:val="0036126F"/>
    <w:rsid w:val="0036236D"/>
    <w:rsid w:val="0036516E"/>
    <w:rsid w:val="00365702"/>
    <w:rsid w:val="0036648C"/>
    <w:rsid w:val="0036699F"/>
    <w:rsid w:val="00366FD6"/>
    <w:rsid w:val="00370D90"/>
    <w:rsid w:val="00371730"/>
    <w:rsid w:val="0037462A"/>
    <w:rsid w:val="00376214"/>
    <w:rsid w:val="003764C4"/>
    <w:rsid w:val="00376D7D"/>
    <w:rsid w:val="0038013C"/>
    <w:rsid w:val="0038064F"/>
    <w:rsid w:val="003807E6"/>
    <w:rsid w:val="003829D3"/>
    <w:rsid w:val="003854A7"/>
    <w:rsid w:val="003859E4"/>
    <w:rsid w:val="00387C73"/>
    <w:rsid w:val="00390678"/>
    <w:rsid w:val="003907CF"/>
    <w:rsid w:val="003946D1"/>
    <w:rsid w:val="00395D8B"/>
    <w:rsid w:val="003966FD"/>
    <w:rsid w:val="003A004A"/>
    <w:rsid w:val="003A0A71"/>
    <w:rsid w:val="003A0D28"/>
    <w:rsid w:val="003A0E43"/>
    <w:rsid w:val="003A0F8D"/>
    <w:rsid w:val="003A226A"/>
    <w:rsid w:val="003A2716"/>
    <w:rsid w:val="003A3735"/>
    <w:rsid w:val="003A3C95"/>
    <w:rsid w:val="003B0813"/>
    <w:rsid w:val="003B159B"/>
    <w:rsid w:val="003B193E"/>
    <w:rsid w:val="003B1D01"/>
    <w:rsid w:val="003B2710"/>
    <w:rsid w:val="003B30B6"/>
    <w:rsid w:val="003B5DA9"/>
    <w:rsid w:val="003B6FED"/>
    <w:rsid w:val="003C0561"/>
    <w:rsid w:val="003C0C3F"/>
    <w:rsid w:val="003C1DF8"/>
    <w:rsid w:val="003C259D"/>
    <w:rsid w:val="003C4551"/>
    <w:rsid w:val="003C45CD"/>
    <w:rsid w:val="003C5329"/>
    <w:rsid w:val="003D00B3"/>
    <w:rsid w:val="003D078B"/>
    <w:rsid w:val="003D23D7"/>
    <w:rsid w:val="003D2D50"/>
    <w:rsid w:val="003D2E34"/>
    <w:rsid w:val="003D3021"/>
    <w:rsid w:val="003D3613"/>
    <w:rsid w:val="003D5F4E"/>
    <w:rsid w:val="003D6715"/>
    <w:rsid w:val="003D697A"/>
    <w:rsid w:val="003D70CD"/>
    <w:rsid w:val="003D763B"/>
    <w:rsid w:val="003D77DA"/>
    <w:rsid w:val="003E0B81"/>
    <w:rsid w:val="003E1850"/>
    <w:rsid w:val="003E28B7"/>
    <w:rsid w:val="003E29D5"/>
    <w:rsid w:val="003E56DB"/>
    <w:rsid w:val="003E57D1"/>
    <w:rsid w:val="003E6ADF"/>
    <w:rsid w:val="003E6EF7"/>
    <w:rsid w:val="003F1FE4"/>
    <w:rsid w:val="003F49C6"/>
    <w:rsid w:val="003F555E"/>
    <w:rsid w:val="003F614E"/>
    <w:rsid w:val="003F7502"/>
    <w:rsid w:val="003F7BA1"/>
    <w:rsid w:val="004022DF"/>
    <w:rsid w:val="00403ADC"/>
    <w:rsid w:val="00404211"/>
    <w:rsid w:val="00406567"/>
    <w:rsid w:val="0040765C"/>
    <w:rsid w:val="004076E2"/>
    <w:rsid w:val="0040773D"/>
    <w:rsid w:val="00407C11"/>
    <w:rsid w:val="00410088"/>
    <w:rsid w:val="004116FB"/>
    <w:rsid w:val="00412931"/>
    <w:rsid w:val="00414A71"/>
    <w:rsid w:val="00414AB7"/>
    <w:rsid w:val="004153B6"/>
    <w:rsid w:val="00416FB1"/>
    <w:rsid w:val="00417CE4"/>
    <w:rsid w:val="00421809"/>
    <w:rsid w:val="00422048"/>
    <w:rsid w:val="00424370"/>
    <w:rsid w:val="00425776"/>
    <w:rsid w:val="00425D82"/>
    <w:rsid w:val="004261BD"/>
    <w:rsid w:val="00427873"/>
    <w:rsid w:val="00430126"/>
    <w:rsid w:val="004301D5"/>
    <w:rsid w:val="004304B8"/>
    <w:rsid w:val="00432144"/>
    <w:rsid w:val="00435E7B"/>
    <w:rsid w:val="0043627F"/>
    <w:rsid w:val="0043704E"/>
    <w:rsid w:val="00440278"/>
    <w:rsid w:val="004405DE"/>
    <w:rsid w:val="0044264F"/>
    <w:rsid w:val="00442AA5"/>
    <w:rsid w:val="0044332E"/>
    <w:rsid w:val="00444E84"/>
    <w:rsid w:val="00445FBC"/>
    <w:rsid w:val="0044667C"/>
    <w:rsid w:val="00446C4C"/>
    <w:rsid w:val="004514C8"/>
    <w:rsid w:val="00451F87"/>
    <w:rsid w:val="00452906"/>
    <w:rsid w:val="004529DD"/>
    <w:rsid w:val="00452DAC"/>
    <w:rsid w:val="004532A0"/>
    <w:rsid w:val="00453850"/>
    <w:rsid w:val="00454EB1"/>
    <w:rsid w:val="004565BC"/>
    <w:rsid w:val="004576A5"/>
    <w:rsid w:val="00460FA1"/>
    <w:rsid w:val="00462143"/>
    <w:rsid w:val="00462622"/>
    <w:rsid w:val="0046322F"/>
    <w:rsid w:val="004666E1"/>
    <w:rsid w:val="0046734F"/>
    <w:rsid w:val="004720CB"/>
    <w:rsid w:val="004728DF"/>
    <w:rsid w:val="00473AA0"/>
    <w:rsid w:val="0047455F"/>
    <w:rsid w:val="00474C54"/>
    <w:rsid w:val="004765D1"/>
    <w:rsid w:val="004767A9"/>
    <w:rsid w:val="00476946"/>
    <w:rsid w:val="00476BD5"/>
    <w:rsid w:val="00480137"/>
    <w:rsid w:val="00480F80"/>
    <w:rsid w:val="00480FD3"/>
    <w:rsid w:val="00481581"/>
    <w:rsid w:val="0048184E"/>
    <w:rsid w:val="00482782"/>
    <w:rsid w:val="00483F90"/>
    <w:rsid w:val="004840FC"/>
    <w:rsid w:val="00486195"/>
    <w:rsid w:val="004863ED"/>
    <w:rsid w:val="00486436"/>
    <w:rsid w:val="004869D0"/>
    <w:rsid w:val="00486D21"/>
    <w:rsid w:val="00487974"/>
    <w:rsid w:val="004900F7"/>
    <w:rsid w:val="0049152D"/>
    <w:rsid w:val="00494307"/>
    <w:rsid w:val="004943AB"/>
    <w:rsid w:val="00495C7F"/>
    <w:rsid w:val="00496CFF"/>
    <w:rsid w:val="00497207"/>
    <w:rsid w:val="004A1953"/>
    <w:rsid w:val="004A28E4"/>
    <w:rsid w:val="004A2B95"/>
    <w:rsid w:val="004A5387"/>
    <w:rsid w:val="004B0F1A"/>
    <w:rsid w:val="004B12D0"/>
    <w:rsid w:val="004B2DFA"/>
    <w:rsid w:val="004C37E3"/>
    <w:rsid w:val="004C5DDC"/>
    <w:rsid w:val="004C639B"/>
    <w:rsid w:val="004C7324"/>
    <w:rsid w:val="004D0ACA"/>
    <w:rsid w:val="004D14B7"/>
    <w:rsid w:val="004D29DA"/>
    <w:rsid w:val="004D3777"/>
    <w:rsid w:val="004E166F"/>
    <w:rsid w:val="004E1E35"/>
    <w:rsid w:val="004E353D"/>
    <w:rsid w:val="004E4B54"/>
    <w:rsid w:val="004E5227"/>
    <w:rsid w:val="004E555F"/>
    <w:rsid w:val="004E6E7F"/>
    <w:rsid w:val="004F3C9C"/>
    <w:rsid w:val="004F40C5"/>
    <w:rsid w:val="004F4C96"/>
    <w:rsid w:val="004F69A5"/>
    <w:rsid w:val="004F76C2"/>
    <w:rsid w:val="00500130"/>
    <w:rsid w:val="005011DC"/>
    <w:rsid w:val="00504978"/>
    <w:rsid w:val="0050730B"/>
    <w:rsid w:val="00511BD6"/>
    <w:rsid w:val="0051428E"/>
    <w:rsid w:val="005147F3"/>
    <w:rsid w:val="00515D70"/>
    <w:rsid w:val="00517579"/>
    <w:rsid w:val="005176CE"/>
    <w:rsid w:val="005200E9"/>
    <w:rsid w:val="00522BD3"/>
    <w:rsid w:val="00523E5C"/>
    <w:rsid w:val="00524C16"/>
    <w:rsid w:val="005254B4"/>
    <w:rsid w:val="00525782"/>
    <w:rsid w:val="005267EB"/>
    <w:rsid w:val="00526A34"/>
    <w:rsid w:val="00526AAF"/>
    <w:rsid w:val="005276A6"/>
    <w:rsid w:val="00531DC8"/>
    <w:rsid w:val="00532265"/>
    <w:rsid w:val="00533A74"/>
    <w:rsid w:val="0053413C"/>
    <w:rsid w:val="00534433"/>
    <w:rsid w:val="00535449"/>
    <w:rsid w:val="00535487"/>
    <w:rsid w:val="00536839"/>
    <w:rsid w:val="00540BF2"/>
    <w:rsid w:val="0054112B"/>
    <w:rsid w:val="0054246B"/>
    <w:rsid w:val="005425CC"/>
    <w:rsid w:val="0054373A"/>
    <w:rsid w:val="005446B5"/>
    <w:rsid w:val="0054479D"/>
    <w:rsid w:val="00544E4C"/>
    <w:rsid w:val="005452B7"/>
    <w:rsid w:val="005464CA"/>
    <w:rsid w:val="00547C6B"/>
    <w:rsid w:val="00550C8A"/>
    <w:rsid w:val="00550D1E"/>
    <w:rsid w:val="00552199"/>
    <w:rsid w:val="0055331E"/>
    <w:rsid w:val="005562D8"/>
    <w:rsid w:val="00557088"/>
    <w:rsid w:val="00557CB4"/>
    <w:rsid w:val="00561267"/>
    <w:rsid w:val="00561B33"/>
    <w:rsid w:val="00563071"/>
    <w:rsid w:val="005652D7"/>
    <w:rsid w:val="0057237B"/>
    <w:rsid w:val="00573390"/>
    <w:rsid w:val="005757B3"/>
    <w:rsid w:val="0057757C"/>
    <w:rsid w:val="00580D96"/>
    <w:rsid w:val="0058145D"/>
    <w:rsid w:val="00582510"/>
    <w:rsid w:val="00582834"/>
    <w:rsid w:val="005829BF"/>
    <w:rsid w:val="00582FD9"/>
    <w:rsid w:val="00583048"/>
    <w:rsid w:val="00583845"/>
    <w:rsid w:val="00583960"/>
    <w:rsid w:val="005849A6"/>
    <w:rsid w:val="005859AF"/>
    <w:rsid w:val="00590E7B"/>
    <w:rsid w:val="00591422"/>
    <w:rsid w:val="005940E3"/>
    <w:rsid w:val="005946AF"/>
    <w:rsid w:val="00594765"/>
    <w:rsid w:val="005947B8"/>
    <w:rsid w:val="0059508E"/>
    <w:rsid w:val="00595137"/>
    <w:rsid w:val="00595729"/>
    <w:rsid w:val="00596591"/>
    <w:rsid w:val="005972B3"/>
    <w:rsid w:val="005A0829"/>
    <w:rsid w:val="005A0EB2"/>
    <w:rsid w:val="005A1119"/>
    <w:rsid w:val="005A264C"/>
    <w:rsid w:val="005A3477"/>
    <w:rsid w:val="005A366C"/>
    <w:rsid w:val="005A3B0F"/>
    <w:rsid w:val="005A3B3F"/>
    <w:rsid w:val="005B1210"/>
    <w:rsid w:val="005B1340"/>
    <w:rsid w:val="005B15F5"/>
    <w:rsid w:val="005B2378"/>
    <w:rsid w:val="005B36D7"/>
    <w:rsid w:val="005B58D2"/>
    <w:rsid w:val="005B6AD4"/>
    <w:rsid w:val="005B6B92"/>
    <w:rsid w:val="005B6D45"/>
    <w:rsid w:val="005B7284"/>
    <w:rsid w:val="005C0088"/>
    <w:rsid w:val="005C0357"/>
    <w:rsid w:val="005C0611"/>
    <w:rsid w:val="005C0980"/>
    <w:rsid w:val="005C0D65"/>
    <w:rsid w:val="005C0EE2"/>
    <w:rsid w:val="005C14A3"/>
    <w:rsid w:val="005C153A"/>
    <w:rsid w:val="005C1E43"/>
    <w:rsid w:val="005C40D0"/>
    <w:rsid w:val="005C566E"/>
    <w:rsid w:val="005D069C"/>
    <w:rsid w:val="005D1463"/>
    <w:rsid w:val="005D179F"/>
    <w:rsid w:val="005D1EDE"/>
    <w:rsid w:val="005D489F"/>
    <w:rsid w:val="005D6DF8"/>
    <w:rsid w:val="005E1C8C"/>
    <w:rsid w:val="005E200B"/>
    <w:rsid w:val="005E2355"/>
    <w:rsid w:val="005E3A3E"/>
    <w:rsid w:val="005E4DA4"/>
    <w:rsid w:val="005E6CA1"/>
    <w:rsid w:val="005E702C"/>
    <w:rsid w:val="005E73C2"/>
    <w:rsid w:val="005E7C44"/>
    <w:rsid w:val="005F197A"/>
    <w:rsid w:val="005F2927"/>
    <w:rsid w:val="005F2DF7"/>
    <w:rsid w:val="005F3007"/>
    <w:rsid w:val="005F304B"/>
    <w:rsid w:val="005F3B3D"/>
    <w:rsid w:val="005F5F6F"/>
    <w:rsid w:val="005F698A"/>
    <w:rsid w:val="00600538"/>
    <w:rsid w:val="006008DD"/>
    <w:rsid w:val="00605CDD"/>
    <w:rsid w:val="00605EA7"/>
    <w:rsid w:val="0060674D"/>
    <w:rsid w:val="00606A00"/>
    <w:rsid w:val="00607A0D"/>
    <w:rsid w:val="006107CF"/>
    <w:rsid w:val="0061083F"/>
    <w:rsid w:val="006110A4"/>
    <w:rsid w:val="0061333F"/>
    <w:rsid w:val="0061335C"/>
    <w:rsid w:val="00613FB1"/>
    <w:rsid w:val="006147B6"/>
    <w:rsid w:val="006155CA"/>
    <w:rsid w:val="0061668E"/>
    <w:rsid w:val="00616F62"/>
    <w:rsid w:val="006170F3"/>
    <w:rsid w:val="0061742C"/>
    <w:rsid w:val="006179B6"/>
    <w:rsid w:val="00621FD6"/>
    <w:rsid w:val="00624E56"/>
    <w:rsid w:val="00625747"/>
    <w:rsid w:val="00625A71"/>
    <w:rsid w:val="00627441"/>
    <w:rsid w:val="006316F9"/>
    <w:rsid w:val="006325B0"/>
    <w:rsid w:val="0063264C"/>
    <w:rsid w:val="006328AF"/>
    <w:rsid w:val="006331CE"/>
    <w:rsid w:val="00633980"/>
    <w:rsid w:val="00633EE8"/>
    <w:rsid w:val="006350C0"/>
    <w:rsid w:val="00636185"/>
    <w:rsid w:val="0063664A"/>
    <w:rsid w:val="0063792B"/>
    <w:rsid w:val="006425BC"/>
    <w:rsid w:val="00644904"/>
    <w:rsid w:val="00644F62"/>
    <w:rsid w:val="006451CB"/>
    <w:rsid w:val="00645383"/>
    <w:rsid w:val="00646E4E"/>
    <w:rsid w:val="0064758B"/>
    <w:rsid w:val="0064769A"/>
    <w:rsid w:val="00650546"/>
    <w:rsid w:val="006518DC"/>
    <w:rsid w:val="006519D0"/>
    <w:rsid w:val="00652836"/>
    <w:rsid w:val="00652FDF"/>
    <w:rsid w:val="0065321E"/>
    <w:rsid w:val="006533FD"/>
    <w:rsid w:val="00653D6B"/>
    <w:rsid w:val="006550B2"/>
    <w:rsid w:val="0065605D"/>
    <w:rsid w:val="0065659B"/>
    <w:rsid w:val="006570C7"/>
    <w:rsid w:val="006577D8"/>
    <w:rsid w:val="00657B29"/>
    <w:rsid w:val="00657B50"/>
    <w:rsid w:val="006602A7"/>
    <w:rsid w:val="00660496"/>
    <w:rsid w:val="00660F14"/>
    <w:rsid w:val="0066162E"/>
    <w:rsid w:val="006617FA"/>
    <w:rsid w:val="00661B7A"/>
    <w:rsid w:val="00663325"/>
    <w:rsid w:val="006636FE"/>
    <w:rsid w:val="00664255"/>
    <w:rsid w:val="00664476"/>
    <w:rsid w:val="00664A10"/>
    <w:rsid w:val="0066541E"/>
    <w:rsid w:val="006654CA"/>
    <w:rsid w:val="00665A35"/>
    <w:rsid w:val="00665C20"/>
    <w:rsid w:val="00672D4A"/>
    <w:rsid w:val="00673DCE"/>
    <w:rsid w:val="006749E5"/>
    <w:rsid w:val="00675C9D"/>
    <w:rsid w:val="00675DA5"/>
    <w:rsid w:val="00676165"/>
    <w:rsid w:val="00676CB1"/>
    <w:rsid w:val="00680ED2"/>
    <w:rsid w:val="00686291"/>
    <w:rsid w:val="00686FA4"/>
    <w:rsid w:val="006903A7"/>
    <w:rsid w:val="00691712"/>
    <w:rsid w:val="00691CEB"/>
    <w:rsid w:val="00691E65"/>
    <w:rsid w:val="00691EA1"/>
    <w:rsid w:val="006921EB"/>
    <w:rsid w:val="00693886"/>
    <w:rsid w:val="00694BE9"/>
    <w:rsid w:val="00696114"/>
    <w:rsid w:val="0069667F"/>
    <w:rsid w:val="00696D4A"/>
    <w:rsid w:val="006974AF"/>
    <w:rsid w:val="00697728"/>
    <w:rsid w:val="006A03C8"/>
    <w:rsid w:val="006A07EB"/>
    <w:rsid w:val="006A1279"/>
    <w:rsid w:val="006A1CD6"/>
    <w:rsid w:val="006A362D"/>
    <w:rsid w:val="006A3E3C"/>
    <w:rsid w:val="006A5E39"/>
    <w:rsid w:val="006A615E"/>
    <w:rsid w:val="006A641C"/>
    <w:rsid w:val="006B048C"/>
    <w:rsid w:val="006B210C"/>
    <w:rsid w:val="006B2C4A"/>
    <w:rsid w:val="006B2D1C"/>
    <w:rsid w:val="006B35DA"/>
    <w:rsid w:val="006B53F6"/>
    <w:rsid w:val="006B655F"/>
    <w:rsid w:val="006B6A28"/>
    <w:rsid w:val="006C11BE"/>
    <w:rsid w:val="006C1F06"/>
    <w:rsid w:val="006C2DB2"/>
    <w:rsid w:val="006C43B5"/>
    <w:rsid w:val="006C5E78"/>
    <w:rsid w:val="006C615F"/>
    <w:rsid w:val="006C6E2E"/>
    <w:rsid w:val="006C773D"/>
    <w:rsid w:val="006D28A5"/>
    <w:rsid w:val="006D2F81"/>
    <w:rsid w:val="006D3518"/>
    <w:rsid w:val="006D3F0C"/>
    <w:rsid w:val="006D4494"/>
    <w:rsid w:val="006D4AFF"/>
    <w:rsid w:val="006D53EB"/>
    <w:rsid w:val="006D67E7"/>
    <w:rsid w:val="006D6A30"/>
    <w:rsid w:val="006D76DB"/>
    <w:rsid w:val="006E1599"/>
    <w:rsid w:val="006E3F66"/>
    <w:rsid w:val="006E58C8"/>
    <w:rsid w:val="006E669A"/>
    <w:rsid w:val="006E7C7B"/>
    <w:rsid w:val="006F1F44"/>
    <w:rsid w:val="006F2ADA"/>
    <w:rsid w:val="006F2AE7"/>
    <w:rsid w:val="006F2D52"/>
    <w:rsid w:val="006F3591"/>
    <w:rsid w:val="006F7B7C"/>
    <w:rsid w:val="0070002A"/>
    <w:rsid w:val="00700DAE"/>
    <w:rsid w:val="007015A1"/>
    <w:rsid w:val="0070297A"/>
    <w:rsid w:val="00704090"/>
    <w:rsid w:val="00706102"/>
    <w:rsid w:val="00711461"/>
    <w:rsid w:val="0071302D"/>
    <w:rsid w:val="0071373D"/>
    <w:rsid w:val="00713758"/>
    <w:rsid w:val="00715907"/>
    <w:rsid w:val="00716B3E"/>
    <w:rsid w:val="00720307"/>
    <w:rsid w:val="00722D85"/>
    <w:rsid w:val="007236C0"/>
    <w:rsid w:val="00724361"/>
    <w:rsid w:val="00724564"/>
    <w:rsid w:val="007255E3"/>
    <w:rsid w:val="007265F0"/>
    <w:rsid w:val="007269E3"/>
    <w:rsid w:val="00726BCA"/>
    <w:rsid w:val="00727582"/>
    <w:rsid w:val="00727873"/>
    <w:rsid w:val="00732460"/>
    <w:rsid w:val="00733D7B"/>
    <w:rsid w:val="00735881"/>
    <w:rsid w:val="00735F13"/>
    <w:rsid w:val="007364A0"/>
    <w:rsid w:val="007408D5"/>
    <w:rsid w:val="0074154C"/>
    <w:rsid w:val="00741EE1"/>
    <w:rsid w:val="00741FDE"/>
    <w:rsid w:val="00742757"/>
    <w:rsid w:val="007430B3"/>
    <w:rsid w:val="007453E5"/>
    <w:rsid w:val="00746363"/>
    <w:rsid w:val="007464AF"/>
    <w:rsid w:val="00746C27"/>
    <w:rsid w:val="00750371"/>
    <w:rsid w:val="00750941"/>
    <w:rsid w:val="00750BF7"/>
    <w:rsid w:val="0075108D"/>
    <w:rsid w:val="007557DC"/>
    <w:rsid w:val="00760148"/>
    <w:rsid w:val="007611F3"/>
    <w:rsid w:val="00762451"/>
    <w:rsid w:val="007656EE"/>
    <w:rsid w:val="00766B87"/>
    <w:rsid w:val="00767F5A"/>
    <w:rsid w:val="00771493"/>
    <w:rsid w:val="00771A62"/>
    <w:rsid w:val="00772A01"/>
    <w:rsid w:val="0077338A"/>
    <w:rsid w:val="00773A59"/>
    <w:rsid w:val="00774701"/>
    <w:rsid w:val="00776218"/>
    <w:rsid w:val="007771DC"/>
    <w:rsid w:val="00777F89"/>
    <w:rsid w:val="00781D10"/>
    <w:rsid w:val="007820E3"/>
    <w:rsid w:val="00782574"/>
    <w:rsid w:val="007831CE"/>
    <w:rsid w:val="0078347B"/>
    <w:rsid w:val="00784F06"/>
    <w:rsid w:val="007852BF"/>
    <w:rsid w:val="007852F1"/>
    <w:rsid w:val="00790B45"/>
    <w:rsid w:val="0079220D"/>
    <w:rsid w:val="00792719"/>
    <w:rsid w:val="00792749"/>
    <w:rsid w:val="007928CE"/>
    <w:rsid w:val="00792ADA"/>
    <w:rsid w:val="00793ECE"/>
    <w:rsid w:val="00796E22"/>
    <w:rsid w:val="0079778C"/>
    <w:rsid w:val="00797E1A"/>
    <w:rsid w:val="00797F54"/>
    <w:rsid w:val="007A301E"/>
    <w:rsid w:val="007A35C4"/>
    <w:rsid w:val="007A3CC4"/>
    <w:rsid w:val="007A4418"/>
    <w:rsid w:val="007A45F1"/>
    <w:rsid w:val="007A56FF"/>
    <w:rsid w:val="007A5B54"/>
    <w:rsid w:val="007A6E2E"/>
    <w:rsid w:val="007A766F"/>
    <w:rsid w:val="007B1720"/>
    <w:rsid w:val="007B1B31"/>
    <w:rsid w:val="007B2921"/>
    <w:rsid w:val="007B392C"/>
    <w:rsid w:val="007B4388"/>
    <w:rsid w:val="007B45BA"/>
    <w:rsid w:val="007B49CE"/>
    <w:rsid w:val="007B4E9A"/>
    <w:rsid w:val="007B5178"/>
    <w:rsid w:val="007B5474"/>
    <w:rsid w:val="007B5E52"/>
    <w:rsid w:val="007B69A9"/>
    <w:rsid w:val="007B79BB"/>
    <w:rsid w:val="007C0298"/>
    <w:rsid w:val="007C08B0"/>
    <w:rsid w:val="007C1163"/>
    <w:rsid w:val="007C1847"/>
    <w:rsid w:val="007C2376"/>
    <w:rsid w:val="007C23F5"/>
    <w:rsid w:val="007C45B1"/>
    <w:rsid w:val="007C482F"/>
    <w:rsid w:val="007C6371"/>
    <w:rsid w:val="007C672B"/>
    <w:rsid w:val="007D2756"/>
    <w:rsid w:val="007D280C"/>
    <w:rsid w:val="007D3C02"/>
    <w:rsid w:val="007D4395"/>
    <w:rsid w:val="007D4964"/>
    <w:rsid w:val="007D49A6"/>
    <w:rsid w:val="007D4B36"/>
    <w:rsid w:val="007D70B2"/>
    <w:rsid w:val="007D7313"/>
    <w:rsid w:val="007E0FC8"/>
    <w:rsid w:val="007E12FA"/>
    <w:rsid w:val="007E1C58"/>
    <w:rsid w:val="007E1D94"/>
    <w:rsid w:val="007E29EB"/>
    <w:rsid w:val="007E2B9F"/>
    <w:rsid w:val="007E4197"/>
    <w:rsid w:val="007E59FE"/>
    <w:rsid w:val="007E5C58"/>
    <w:rsid w:val="007E6320"/>
    <w:rsid w:val="007E640E"/>
    <w:rsid w:val="007E72D7"/>
    <w:rsid w:val="007F11F4"/>
    <w:rsid w:val="007F2366"/>
    <w:rsid w:val="007F2A06"/>
    <w:rsid w:val="007F4F74"/>
    <w:rsid w:val="007F5A11"/>
    <w:rsid w:val="007F62FA"/>
    <w:rsid w:val="007F6887"/>
    <w:rsid w:val="007F688A"/>
    <w:rsid w:val="00801520"/>
    <w:rsid w:val="008020B9"/>
    <w:rsid w:val="0080321B"/>
    <w:rsid w:val="008057DB"/>
    <w:rsid w:val="00807805"/>
    <w:rsid w:val="00810C47"/>
    <w:rsid w:val="00810DC1"/>
    <w:rsid w:val="008122E0"/>
    <w:rsid w:val="0081279E"/>
    <w:rsid w:val="008139A3"/>
    <w:rsid w:val="008139C1"/>
    <w:rsid w:val="00813A79"/>
    <w:rsid w:val="0081473C"/>
    <w:rsid w:val="0081684A"/>
    <w:rsid w:val="00816BB8"/>
    <w:rsid w:val="00817F38"/>
    <w:rsid w:val="00820E4E"/>
    <w:rsid w:val="00820F3F"/>
    <w:rsid w:val="0082207A"/>
    <w:rsid w:val="00823429"/>
    <w:rsid w:val="00823888"/>
    <w:rsid w:val="008309E3"/>
    <w:rsid w:val="008314BA"/>
    <w:rsid w:val="00832337"/>
    <w:rsid w:val="00832B7B"/>
    <w:rsid w:val="00832FFA"/>
    <w:rsid w:val="008347F7"/>
    <w:rsid w:val="008353FC"/>
    <w:rsid w:val="00836C5C"/>
    <w:rsid w:val="00837C2E"/>
    <w:rsid w:val="00837FDA"/>
    <w:rsid w:val="00841543"/>
    <w:rsid w:val="00841833"/>
    <w:rsid w:val="008418E3"/>
    <w:rsid w:val="00841FB9"/>
    <w:rsid w:val="00842E49"/>
    <w:rsid w:val="00843D2B"/>
    <w:rsid w:val="00843FE0"/>
    <w:rsid w:val="00844357"/>
    <w:rsid w:val="008443F9"/>
    <w:rsid w:val="00844C65"/>
    <w:rsid w:val="00845862"/>
    <w:rsid w:val="00846311"/>
    <w:rsid w:val="008470F0"/>
    <w:rsid w:val="008473F7"/>
    <w:rsid w:val="00847750"/>
    <w:rsid w:val="008478D1"/>
    <w:rsid w:val="00850C3C"/>
    <w:rsid w:val="00851A9C"/>
    <w:rsid w:val="0085300C"/>
    <w:rsid w:val="008608E6"/>
    <w:rsid w:val="00860B78"/>
    <w:rsid w:val="00860BCC"/>
    <w:rsid w:val="00861880"/>
    <w:rsid w:val="0086195A"/>
    <w:rsid w:val="00861B47"/>
    <w:rsid w:val="00861C03"/>
    <w:rsid w:val="0086229E"/>
    <w:rsid w:val="00862CED"/>
    <w:rsid w:val="0086480A"/>
    <w:rsid w:val="00864CD8"/>
    <w:rsid w:val="00867F87"/>
    <w:rsid w:val="00870279"/>
    <w:rsid w:val="00870603"/>
    <w:rsid w:val="0087096F"/>
    <w:rsid w:val="00873838"/>
    <w:rsid w:val="008755BA"/>
    <w:rsid w:val="00881208"/>
    <w:rsid w:val="00884FC6"/>
    <w:rsid w:val="0089080C"/>
    <w:rsid w:val="00890C8E"/>
    <w:rsid w:val="00895D8D"/>
    <w:rsid w:val="008A172E"/>
    <w:rsid w:val="008A1F51"/>
    <w:rsid w:val="008A2695"/>
    <w:rsid w:val="008A33D5"/>
    <w:rsid w:val="008A42E1"/>
    <w:rsid w:val="008A45E8"/>
    <w:rsid w:val="008A5278"/>
    <w:rsid w:val="008A5D75"/>
    <w:rsid w:val="008A7719"/>
    <w:rsid w:val="008A7A9A"/>
    <w:rsid w:val="008B0AFD"/>
    <w:rsid w:val="008B3B41"/>
    <w:rsid w:val="008B44DA"/>
    <w:rsid w:val="008B4D42"/>
    <w:rsid w:val="008B5CA8"/>
    <w:rsid w:val="008B6FB0"/>
    <w:rsid w:val="008C1AB9"/>
    <w:rsid w:val="008C288A"/>
    <w:rsid w:val="008C32CD"/>
    <w:rsid w:val="008C4891"/>
    <w:rsid w:val="008C64BD"/>
    <w:rsid w:val="008C7A4C"/>
    <w:rsid w:val="008C7F9B"/>
    <w:rsid w:val="008D1583"/>
    <w:rsid w:val="008D38F1"/>
    <w:rsid w:val="008D509B"/>
    <w:rsid w:val="008D53A8"/>
    <w:rsid w:val="008D60C6"/>
    <w:rsid w:val="008D716B"/>
    <w:rsid w:val="008E047F"/>
    <w:rsid w:val="008E0678"/>
    <w:rsid w:val="008E110C"/>
    <w:rsid w:val="008E11F8"/>
    <w:rsid w:val="008E4D3C"/>
    <w:rsid w:val="008E4E14"/>
    <w:rsid w:val="008E7F39"/>
    <w:rsid w:val="008F0191"/>
    <w:rsid w:val="008F0A69"/>
    <w:rsid w:val="008F102D"/>
    <w:rsid w:val="008F14A2"/>
    <w:rsid w:val="008F3EF3"/>
    <w:rsid w:val="008F4D5D"/>
    <w:rsid w:val="008F7204"/>
    <w:rsid w:val="009047FC"/>
    <w:rsid w:val="0090530E"/>
    <w:rsid w:val="009058EC"/>
    <w:rsid w:val="00905CA5"/>
    <w:rsid w:val="009064C3"/>
    <w:rsid w:val="00906858"/>
    <w:rsid w:val="00906E4E"/>
    <w:rsid w:val="00907177"/>
    <w:rsid w:val="009071AD"/>
    <w:rsid w:val="00907A06"/>
    <w:rsid w:val="00907A43"/>
    <w:rsid w:val="009131C0"/>
    <w:rsid w:val="0091413D"/>
    <w:rsid w:val="009155A6"/>
    <w:rsid w:val="00916FAC"/>
    <w:rsid w:val="009175F1"/>
    <w:rsid w:val="00920DC1"/>
    <w:rsid w:val="00920F09"/>
    <w:rsid w:val="00922FA5"/>
    <w:rsid w:val="00923B5B"/>
    <w:rsid w:val="00923DD8"/>
    <w:rsid w:val="00924FEC"/>
    <w:rsid w:val="009250A2"/>
    <w:rsid w:val="00926375"/>
    <w:rsid w:val="00930551"/>
    <w:rsid w:val="00931EF1"/>
    <w:rsid w:val="00932C17"/>
    <w:rsid w:val="0093307B"/>
    <w:rsid w:val="009331B2"/>
    <w:rsid w:val="009351F3"/>
    <w:rsid w:val="00937229"/>
    <w:rsid w:val="00937E1A"/>
    <w:rsid w:val="00941C1D"/>
    <w:rsid w:val="00941EF0"/>
    <w:rsid w:val="009423AA"/>
    <w:rsid w:val="009423AC"/>
    <w:rsid w:val="00943218"/>
    <w:rsid w:val="009453A2"/>
    <w:rsid w:val="00946AB1"/>
    <w:rsid w:val="00946D33"/>
    <w:rsid w:val="009504B8"/>
    <w:rsid w:val="009517F6"/>
    <w:rsid w:val="00953281"/>
    <w:rsid w:val="00953B8E"/>
    <w:rsid w:val="00956565"/>
    <w:rsid w:val="00957FDC"/>
    <w:rsid w:val="009601AB"/>
    <w:rsid w:val="00960D92"/>
    <w:rsid w:val="00961947"/>
    <w:rsid w:val="00962390"/>
    <w:rsid w:val="00962C7C"/>
    <w:rsid w:val="00962F2C"/>
    <w:rsid w:val="0096331D"/>
    <w:rsid w:val="00963579"/>
    <w:rsid w:val="00963C26"/>
    <w:rsid w:val="00963D08"/>
    <w:rsid w:val="00963E4F"/>
    <w:rsid w:val="00965CA7"/>
    <w:rsid w:val="00966160"/>
    <w:rsid w:val="0096706B"/>
    <w:rsid w:val="009672AC"/>
    <w:rsid w:val="00967EDD"/>
    <w:rsid w:val="00970564"/>
    <w:rsid w:val="00970BC7"/>
    <w:rsid w:val="00971910"/>
    <w:rsid w:val="00972551"/>
    <w:rsid w:val="00972B8E"/>
    <w:rsid w:val="00973A55"/>
    <w:rsid w:val="009744D1"/>
    <w:rsid w:val="00974C45"/>
    <w:rsid w:val="00975A1E"/>
    <w:rsid w:val="00975C75"/>
    <w:rsid w:val="009774AE"/>
    <w:rsid w:val="00980B13"/>
    <w:rsid w:val="00980F6D"/>
    <w:rsid w:val="00981871"/>
    <w:rsid w:val="00982E2D"/>
    <w:rsid w:val="00982F94"/>
    <w:rsid w:val="00983EDA"/>
    <w:rsid w:val="00985422"/>
    <w:rsid w:val="0098571D"/>
    <w:rsid w:val="009867CF"/>
    <w:rsid w:val="00986DCF"/>
    <w:rsid w:val="00991021"/>
    <w:rsid w:val="00991D18"/>
    <w:rsid w:val="00992A6C"/>
    <w:rsid w:val="00992B39"/>
    <w:rsid w:val="00996DF4"/>
    <w:rsid w:val="009A02E4"/>
    <w:rsid w:val="009A0A3D"/>
    <w:rsid w:val="009A1442"/>
    <w:rsid w:val="009A1C7C"/>
    <w:rsid w:val="009A2D3A"/>
    <w:rsid w:val="009A3F87"/>
    <w:rsid w:val="009A4588"/>
    <w:rsid w:val="009A4F82"/>
    <w:rsid w:val="009A5325"/>
    <w:rsid w:val="009A5DC3"/>
    <w:rsid w:val="009A659A"/>
    <w:rsid w:val="009A67B4"/>
    <w:rsid w:val="009A7570"/>
    <w:rsid w:val="009B475F"/>
    <w:rsid w:val="009B4A1E"/>
    <w:rsid w:val="009B56DC"/>
    <w:rsid w:val="009C07B0"/>
    <w:rsid w:val="009C0E14"/>
    <w:rsid w:val="009C1DA6"/>
    <w:rsid w:val="009C32A2"/>
    <w:rsid w:val="009C3472"/>
    <w:rsid w:val="009C6B17"/>
    <w:rsid w:val="009C6BD9"/>
    <w:rsid w:val="009D1983"/>
    <w:rsid w:val="009D2013"/>
    <w:rsid w:val="009D203D"/>
    <w:rsid w:val="009D558F"/>
    <w:rsid w:val="009E0477"/>
    <w:rsid w:val="009E0E03"/>
    <w:rsid w:val="009E12AC"/>
    <w:rsid w:val="009E1533"/>
    <w:rsid w:val="009E196E"/>
    <w:rsid w:val="009E1CB5"/>
    <w:rsid w:val="009E32E0"/>
    <w:rsid w:val="009E40D0"/>
    <w:rsid w:val="009E4365"/>
    <w:rsid w:val="009E4C53"/>
    <w:rsid w:val="009E52D8"/>
    <w:rsid w:val="009E5AB1"/>
    <w:rsid w:val="009E5CBB"/>
    <w:rsid w:val="009F096D"/>
    <w:rsid w:val="009F1DA4"/>
    <w:rsid w:val="009F394D"/>
    <w:rsid w:val="009F3CC4"/>
    <w:rsid w:val="009F43BE"/>
    <w:rsid w:val="009F44E0"/>
    <w:rsid w:val="009F571B"/>
    <w:rsid w:val="009F5B90"/>
    <w:rsid w:val="009F6357"/>
    <w:rsid w:val="009F6C02"/>
    <w:rsid w:val="009F74B2"/>
    <w:rsid w:val="009F7D94"/>
    <w:rsid w:val="00A0147C"/>
    <w:rsid w:val="00A01902"/>
    <w:rsid w:val="00A02DC2"/>
    <w:rsid w:val="00A03480"/>
    <w:rsid w:val="00A04AF7"/>
    <w:rsid w:val="00A070B7"/>
    <w:rsid w:val="00A11CA2"/>
    <w:rsid w:val="00A12756"/>
    <w:rsid w:val="00A13D77"/>
    <w:rsid w:val="00A1573B"/>
    <w:rsid w:val="00A15EFB"/>
    <w:rsid w:val="00A230A8"/>
    <w:rsid w:val="00A231B3"/>
    <w:rsid w:val="00A246A8"/>
    <w:rsid w:val="00A2660D"/>
    <w:rsid w:val="00A2730C"/>
    <w:rsid w:val="00A27CF3"/>
    <w:rsid w:val="00A30BC4"/>
    <w:rsid w:val="00A30C4E"/>
    <w:rsid w:val="00A320EF"/>
    <w:rsid w:val="00A32843"/>
    <w:rsid w:val="00A33131"/>
    <w:rsid w:val="00A40C00"/>
    <w:rsid w:val="00A4126E"/>
    <w:rsid w:val="00A42D32"/>
    <w:rsid w:val="00A43BE4"/>
    <w:rsid w:val="00A46A63"/>
    <w:rsid w:val="00A47F91"/>
    <w:rsid w:val="00A50A3C"/>
    <w:rsid w:val="00A520A0"/>
    <w:rsid w:val="00A54547"/>
    <w:rsid w:val="00A547CF"/>
    <w:rsid w:val="00A54B05"/>
    <w:rsid w:val="00A55E9E"/>
    <w:rsid w:val="00A56B65"/>
    <w:rsid w:val="00A57154"/>
    <w:rsid w:val="00A574FC"/>
    <w:rsid w:val="00A60A2E"/>
    <w:rsid w:val="00A60D3C"/>
    <w:rsid w:val="00A60F66"/>
    <w:rsid w:val="00A628C6"/>
    <w:rsid w:val="00A62AB4"/>
    <w:rsid w:val="00A63BA4"/>
    <w:rsid w:val="00A653EC"/>
    <w:rsid w:val="00A6711F"/>
    <w:rsid w:val="00A67BD6"/>
    <w:rsid w:val="00A70051"/>
    <w:rsid w:val="00A72527"/>
    <w:rsid w:val="00A727F9"/>
    <w:rsid w:val="00A72AD6"/>
    <w:rsid w:val="00A72EDD"/>
    <w:rsid w:val="00A739CC"/>
    <w:rsid w:val="00A75BF2"/>
    <w:rsid w:val="00A824D5"/>
    <w:rsid w:val="00A8270A"/>
    <w:rsid w:val="00A86745"/>
    <w:rsid w:val="00A928A8"/>
    <w:rsid w:val="00A93F20"/>
    <w:rsid w:val="00A94AAE"/>
    <w:rsid w:val="00A94C7E"/>
    <w:rsid w:val="00A952DC"/>
    <w:rsid w:val="00A9692C"/>
    <w:rsid w:val="00A97867"/>
    <w:rsid w:val="00A97F66"/>
    <w:rsid w:val="00AA324F"/>
    <w:rsid w:val="00AA539D"/>
    <w:rsid w:val="00AA56B6"/>
    <w:rsid w:val="00AA763A"/>
    <w:rsid w:val="00AA7A54"/>
    <w:rsid w:val="00AB046D"/>
    <w:rsid w:val="00AB074C"/>
    <w:rsid w:val="00AB1416"/>
    <w:rsid w:val="00AB29C1"/>
    <w:rsid w:val="00AB4BB2"/>
    <w:rsid w:val="00AB50CF"/>
    <w:rsid w:val="00AC0055"/>
    <w:rsid w:val="00AC007F"/>
    <w:rsid w:val="00AC0677"/>
    <w:rsid w:val="00AC2558"/>
    <w:rsid w:val="00AC2F81"/>
    <w:rsid w:val="00AC3B25"/>
    <w:rsid w:val="00AC4DB2"/>
    <w:rsid w:val="00AC5119"/>
    <w:rsid w:val="00AC59E2"/>
    <w:rsid w:val="00AC6BA8"/>
    <w:rsid w:val="00AC711A"/>
    <w:rsid w:val="00AD046A"/>
    <w:rsid w:val="00AD258F"/>
    <w:rsid w:val="00AD28CB"/>
    <w:rsid w:val="00AD3BBA"/>
    <w:rsid w:val="00AD3C09"/>
    <w:rsid w:val="00AD3C7F"/>
    <w:rsid w:val="00AD48C6"/>
    <w:rsid w:val="00AD4B16"/>
    <w:rsid w:val="00AD528D"/>
    <w:rsid w:val="00AD6C53"/>
    <w:rsid w:val="00AD71DC"/>
    <w:rsid w:val="00AE433E"/>
    <w:rsid w:val="00AF1E7D"/>
    <w:rsid w:val="00AF26BD"/>
    <w:rsid w:val="00AF51F2"/>
    <w:rsid w:val="00B000EC"/>
    <w:rsid w:val="00B00D48"/>
    <w:rsid w:val="00B017D4"/>
    <w:rsid w:val="00B01EA1"/>
    <w:rsid w:val="00B03376"/>
    <w:rsid w:val="00B043A6"/>
    <w:rsid w:val="00B0560D"/>
    <w:rsid w:val="00B05895"/>
    <w:rsid w:val="00B05FC1"/>
    <w:rsid w:val="00B101C3"/>
    <w:rsid w:val="00B1049D"/>
    <w:rsid w:val="00B112A3"/>
    <w:rsid w:val="00B11A4B"/>
    <w:rsid w:val="00B120FE"/>
    <w:rsid w:val="00B12BC6"/>
    <w:rsid w:val="00B17AF0"/>
    <w:rsid w:val="00B236C5"/>
    <w:rsid w:val="00B239A7"/>
    <w:rsid w:val="00B245DB"/>
    <w:rsid w:val="00B26620"/>
    <w:rsid w:val="00B27045"/>
    <w:rsid w:val="00B27C98"/>
    <w:rsid w:val="00B27FD1"/>
    <w:rsid w:val="00B300F4"/>
    <w:rsid w:val="00B30765"/>
    <w:rsid w:val="00B31DD6"/>
    <w:rsid w:val="00B32630"/>
    <w:rsid w:val="00B34CAA"/>
    <w:rsid w:val="00B36F48"/>
    <w:rsid w:val="00B412DC"/>
    <w:rsid w:val="00B41CD9"/>
    <w:rsid w:val="00B41DD3"/>
    <w:rsid w:val="00B426B4"/>
    <w:rsid w:val="00B46CCD"/>
    <w:rsid w:val="00B5039F"/>
    <w:rsid w:val="00B51FC9"/>
    <w:rsid w:val="00B5314F"/>
    <w:rsid w:val="00B54DDA"/>
    <w:rsid w:val="00B54F3A"/>
    <w:rsid w:val="00B5537A"/>
    <w:rsid w:val="00B567B2"/>
    <w:rsid w:val="00B56A7D"/>
    <w:rsid w:val="00B571FF"/>
    <w:rsid w:val="00B60946"/>
    <w:rsid w:val="00B60BD3"/>
    <w:rsid w:val="00B6558E"/>
    <w:rsid w:val="00B67193"/>
    <w:rsid w:val="00B67D35"/>
    <w:rsid w:val="00B67E9F"/>
    <w:rsid w:val="00B70F4B"/>
    <w:rsid w:val="00B718C4"/>
    <w:rsid w:val="00B71B75"/>
    <w:rsid w:val="00B74F18"/>
    <w:rsid w:val="00B75762"/>
    <w:rsid w:val="00B77617"/>
    <w:rsid w:val="00B77CBF"/>
    <w:rsid w:val="00B80F2E"/>
    <w:rsid w:val="00B829AB"/>
    <w:rsid w:val="00B82F45"/>
    <w:rsid w:val="00B83405"/>
    <w:rsid w:val="00B83F20"/>
    <w:rsid w:val="00B84E6B"/>
    <w:rsid w:val="00B86A84"/>
    <w:rsid w:val="00B9018E"/>
    <w:rsid w:val="00B903A5"/>
    <w:rsid w:val="00B905C3"/>
    <w:rsid w:val="00B92054"/>
    <w:rsid w:val="00B920B7"/>
    <w:rsid w:val="00B9366B"/>
    <w:rsid w:val="00B9478E"/>
    <w:rsid w:val="00B9488C"/>
    <w:rsid w:val="00B95859"/>
    <w:rsid w:val="00B96A70"/>
    <w:rsid w:val="00B97FB6"/>
    <w:rsid w:val="00BA05ED"/>
    <w:rsid w:val="00BA062A"/>
    <w:rsid w:val="00BA46D7"/>
    <w:rsid w:val="00BA48AB"/>
    <w:rsid w:val="00BA5670"/>
    <w:rsid w:val="00BA66CE"/>
    <w:rsid w:val="00BA7712"/>
    <w:rsid w:val="00BA7B09"/>
    <w:rsid w:val="00BB2044"/>
    <w:rsid w:val="00BB432B"/>
    <w:rsid w:val="00BB4DA6"/>
    <w:rsid w:val="00BC02C5"/>
    <w:rsid w:val="00BC13E9"/>
    <w:rsid w:val="00BC2CDB"/>
    <w:rsid w:val="00BC371D"/>
    <w:rsid w:val="00BC4A6E"/>
    <w:rsid w:val="00BC548D"/>
    <w:rsid w:val="00BC6356"/>
    <w:rsid w:val="00BC6621"/>
    <w:rsid w:val="00BC6D78"/>
    <w:rsid w:val="00BD0BA6"/>
    <w:rsid w:val="00BD1290"/>
    <w:rsid w:val="00BD1A8F"/>
    <w:rsid w:val="00BD24D4"/>
    <w:rsid w:val="00BD4E7A"/>
    <w:rsid w:val="00BD5E18"/>
    <w:rsid w:val="00BD6E7A"/>
    <w:rsid w:val="00BE01B3"/>
    <w:rsid w:val="00BE09B6"/>
    <w:rsid w:val="00BE3B1F"/>
    <w:rsid w:val="00BE4F7B"/>
    <w:rsid w:val="00BE5204"/>
    <w:rsid w:val="00BE5598"/>
    <w:rsid w:val="00BE5A42"/>
    <w:rsid w:val="00BE6C70"/>
    <w:rsid w:val="00BE6DA3"/>
    <w:rsid w:val="00BE6F9F"/>
    <w:rsid w:val="00BE7612"/>
    <w:rsid w:val="00BF109A"/>
    <w:rsid w:val="00BF3586"/>
    <w:rsid w:val="00C03BA0"/>
    <w:rsid w:val="00C078B4"/>
    <w:rsid w:val="00C07D37"/>
    <w:rsid w:val="00C1073D"/>
    <w:rsid w:val="00C123A9"/>
    <w:rsid w:val="00C125CE"/>
    <w:rsid w:val="00C131D6"/>
    <w:rsid w:val="00C13379"/>
    <w:rsid w:val="00C13F24"/>
    <w:rsid w:val="00C15DA6"/>
    <w:rsid w:val="00C165DE"/>
    <w:rsid w:val="00C214C2"/>
    <w:rsid w:val="00C25ED7"/>
    <w:rsid w:val="00C26002"/>
    <w:rsid w:val="00C26983"/>
    <w:rsid w:val="00C274C9"/>
    <w:rsid w:val="00C30622"/>
    <w:rsid w:val="00C31586"/>
    <w:rsid w:val="00C316C2"/>
    <w:rsid w:val="00C31ADD"/>
    <w:rsid w:val="00C3339F"/>
    <w:rsid w:val="00C34EA3"/>
    <w:rsid w:val="00C3551D"/>
    <w:rsid w:val="00C35FC9"/>
    <w:rsid w:val="00C3704C"/>
    <w:rsid w:val="00C377C5"/>
    <w:rsid w:val="00C43BE1"/>
    <w:rsid w:val="00C44DBD"/>
    <w:rsid w:val="00C461DC"/>
    <w:rsid w:val="00C46671"/>
    <w:rsid w:val="00C46E46"/>
    <w:rsid w:val="00C50BA4"/>
    <w:rsid w:val="00C51628"/>
    <w:rsid w:val="00C52F3F"/>
    <w:rsid w:val="00C55615"/>
    <w:rsid w:val="00C57204"/>
    <w:rsid w:val="00C57FA6"/>
    <w:rsid w:val="00C60DFE"/>
    <w:rsid w:val="00C611F1"/>
    <w:rsid w:val="00C616EE"/>
    <w:rsid w:val="00C63123"/>
    <w:rsid w:val="00C63D0D"/>
    <w:rsid w:val="00C640E1"/>
    <w:rsid w:val="00C6449E"/>
    <w:rsid w:val="00C64727"/>
    <w:rsid w:val="00C655DD"/>
    <w:rsid w:val="00C668FA"/>
    <w:rsid w:val="00C72066"/>
    <w:rsid w:val="00C74A04"/>
    <w:rsid w:val="00C81BE8"/>
    <w:rsid w:val="00C825D1"/>
    <w:rsid w:val="00C82BDE"/>
    <w:rsid w:val="00C84386"/>
    <w:rsid w:val="00C84DA9"/>
    <w:rsid w:val="00C8690B"/>
    <w:rsid w:val="00C872CC"/>
    <w:rsid w:val="00C875A8"/>
    <w:rsid w:val="00C8771D"/>
    <w:rsid w:val="00C87997"/>
    <w:rsid w:val="00C9040C"/>
    <w:rsid w:val="00C904F3"/>
    <w:rsid w:val="00C91D12"/>
    <w:rsid w:val="00C9646E"/>
    <w:rsid w:val="00CA164D"/>
    <w:rsid w:val="00CA3BD2"/>
    <w:rsid w:val="00CA429B"/>
    <w:rsid w:val="00CA6B0F"/>
    <w:rsid w:val="00CA7768"/>
    <w:rsid w:val="00CA792E"/>
    <w:rsid w:val="00CA7AEF"/>
    <w:rsid w:val="00CA7EF2"/>
    <w:rsid w:val="00CA7F73"/>
    <w:rsid w:val="00CB162D"/>
    <w:rsid w:val="00CB1736"/>
    <w:rsid w:val="00CB5EF9"/>
    <w:rsid w:val="00CB77E9"/>
    <w:rsid w:val="00CB7FE6"/>
    <w:rsid w:val="00CC0327"/>
    <w:rsid w:val="00CC1E9D"/>
    <w:rsid w:val="00CC269C"/>
    <w:rsid w:val="00CC3C57"/>
    <w:rsid w:val="00CC4EE1"/>
    <w:rsid w:val="00CC6124"/>
    <w:rsid w:val="00CC671A"/>
    <w:rsid w:val="00CC72F2"/>
    <w:rsid w:val="00CC76BC"/>
    <w:rsid w:val="00CD01B1"/>
    <w:rsid w:val="00CD07D4"/>
    <w:rsid w:val="00CD12BB"/>
    <w:rsid w:val="00CD6611"/>
    <w:rsid w:val="00CD6966"/>
    <w:rsid w:val="00CE090F"/>
    <w:rsid w:val="00CE11ED"/>
    <w:rsid w:val="00CE1291"/>
    <w:rsid w:val="00CE2583"/>
    <w:rsid w:val="00CE289E"/>
    <w:rsid w:val="00CE2ED3"/>
    <w:rsid w:val="00CE337E"/>
    <w:rsid w:val="00CE3A9F"/>
    <w:rsid w:val="00CE3C02"/>
    <w:rsid w:val="00CE587F"/>
    <w:rsid w:val="00CE5A82"/>
    <w:rsid w:val="00CE6ED1"/>
    <w:rsid w:val="00CE72FB"/>
    <w:rsid w:val="00CE7DF7"/>
    <w:rsid w:val="00CF16E4"/>
    <w:rsid w:val="00CF31CB"/>
    <w:rsid w:val="00CF44DA"/>
    <w:rsid w:val="00D003B0"/>
    <w:rsid w:val="00D029DE"/>
    <w:rsid w:val="00D03BD1"/>
    <w:rsid w:val="00D06D79"/>
    <w:rsid w:val="00D10277"/>
    <w:rsid w:val="00D107FE"/>
    <w:rsid w:val="00D10961"/>
    <w:rsid w:val="00D14AB0"/>
    <w:rsid w:val="00D1521D"/>
    <w:rsid w:val="00D169BB"/>
    <w:rsid w:val="00D212C5"/>
    <w:rsid w:val="00D2148D"/>
    <w:rsid w:val="00D21A67"/>
    <w:rsid w:val="00D2229E"/>
    <w:rsid w:val="00D22C7B"/>
    <w:rsid w:val="00D23904"/>
    <w:rsid w:val="00D23B55"/>
    <w:rsid w:val="00D24065"/>
    <w:rsid w:val="00D24DCE"/>
    <w:rsid w:val="00D256AC"/>
    <w:rsid w:val="00D26994"/>
    <w:rsid w:val="00D320AC"/>
    <w:rsid w:val="00D3304B"/>
    <w:rsid w:val="00D359BF"/>
    <w:rsid w:val="00D36DB4"/>
    <w:rsid w:val="00D371D3"/>
    <w:rsid w:val="00D37299"/>
    <w:rsid w:val="00D4083C"/>
    <w:rsid w:val="00D42141"/>
    <w:rsid w:val="00D42448"/>
    <w:rsid w:val="00D42D11"/>
    <w:rsid w:val="00D430A0"/>
    <w:rsid w:val="00D44EEB"/>
    <w:rsid w:val="00D45141"/>
    <w:rsid w:val="00D4564B"/>
    <w:rsid w:val="00D47251"/>
    <w:rsid w:val="00D50B05"/>
    <w:rsid w:val="00D513C2"/>
    <w:rsid w:val="00D51EB8"/>
    <w:rsid w:val="00D53469"/>
    <w:rsid w:val="00D53C4A"/>
    <w:rsid w:val="00D55B61"/>
    <w:rsid w:val="00D56420"/>
    <w:rsid w:val="00D578D6"/>
    <w:rsid w:val="00D60251"/>
    <w:rsid w:val="00D61BA1"/>
    <w:rsid w:val="00D61EC4"/>
    <w:rsid w:val="00D63B93"/>
    <w:rsid w:val="00D644F7"/>
    <w:rsid w:val="00D64D43"/>
    <w:rsid w:val="00D6533E"/>
    <w:rsid w:val="00D66304"/>
    <w:rsid w:val="00D66B6B"/>
    <w:rsid w:val="00D675A8"/>
    <w:rsid w:val="00D67794"/>
    <w:rsid w:val="00D7004B"/>
    <w:rsid w:val="00D7190C"/>
    <w:rsid w:val="00D7207F"/>
    <w:rsid w:val="00D72152"/>
    <w:rsid w:val="00D72F0A"/>
    <w:rsid w:val="00D75AFF"/>
    <w:rsid w:val="00D75EC4"/>
    <w:rsid w:val="00D7634D"/>
    <w:rsid w:val="00D76DF4"/>
    <w:rsid w:val="00D816E6"/>
    <w:rsid w:val="00D830F3"/>
    <w:rsid w:val="00D84245"/>
    <w:rsid w:val="00D84264"/>
    <w:rsid w:val="00D85B2B"/>
    <w:rsid w:val="00D86727"/>
    <w:rsid w:val="00D941C7"/>
    <w:rsid w:val="00D94661"/>
    <w:rsid w:val="00D94930"/>
    <w:rsid w:val="00D95A89"/>
    <w:rsid w:val="00D95D4E"/>
    <w:rsid w:val="00D966A4"/>
    <w:rsid w:val="00D966F4"/>
    <w:rsid w:val="00D96904"/>
    <w:rsid w:val="00D97FC7"/>
    <w:rsid w:val="00DA0C6A"/>
    <w:rsid w:val="00DA0EA1"/>
    <w:rsid w:val="00DA1558"/>
    <w:rsid w:val="00DA1891"/>
    <w:rsid w:val="00DA31A6"/>
    <w:rsid w:val="00DA3763"/>
    <w:rsid w:val="00DA6543"/>
    <w:rsid w:val="00DB0A43"/>
    <w:rsid w:val="00DB2A93"/>
    <w:rsid w:val="00DB6435"/>
    <w:rsid w:val="00DB6BA8"/>
    <w:rsid w:val="00DB7F50"/>
    <w:rsid w:val="00DC05C6"/>
    <w:rsid w:val="00DC0AFF"/>
    <w:rsid w:val="00DC0D5D"/>
    <w:rsid w:val="00DC0F59"/>
    <w:rsid w:val="00DC1118"/>
    <w:rsid w:val="00DC1B4D"/>
    <w:rsid w:val="00DC1EE1"/>
    <w:rsid w:val="00DC278C"/>
    <w:rsid w:val="00DC315C"/>
    <w:rsid w:val="00DC35F5"/>
    <w:rsid w:val="00DC3D99"/>
    <w:rsid w:val="00DC3E2F"/>
    <w:rsid w:val="00DC5106"/>
    <w:rsid w:val="00DC63B9"/>
    <w:rsid w:val="00DC7379"/>
    <w:rsid w:val="00DD08E9"/>
    <w:rsid w:val="00DD334E"/>
    <w:rsid w:val="00DD4B17"/>
    <w:rsid w:val="00DD53B0"/>
    <w:rsid w:val="00DD5B2C"/>
    <w:rsid w:val="00DD5CAA"/>
    <w:rsid w:val="00DD7A88"/>
    <w:rsid w:val="00DE06BD"/>
    <w:rsid w:val="00DE1107"/>
    <w:rsid w:val="00DE2848"/>
    <w:rsid w:val="00DE3511"/>
    <w:rsid w:val="00DE3CCF"/>
    <w:rsid w:val="00DE403C"/>
    <w:rsid w:val="00DE459E"/>
    <w:rsid w:val="00DE4C0D"/>
    <w:rsid w:val="00DE5FE8"/>
    <w:rsid w:val="00DE66E7"/>
    <w:rsid w:val="00DE7104"/>
    <w:rsid w:val="00DE7C48"/>
    <w:rsid w:val="00DF2795"/>
    <w:rsid w:val="00DF4176"/>
    <w:rsid w:val="00DF4C0F"/>
    <w:rsid w:val="00DF5045"/>
    <w:rsid w:val="00DF5BB3"/>
    <w:rsid w:val="00DF62F9"/>
    <w:rsid w:val="00DF7057"/>
    <w:rsid w:val="00DF7937"/>
    <w:rsid w:val="00E0023D"/>
    <w:rsid w:val="00E0111A"/>
    <w:rsid w:val="00E01169"/>
    <w:rsid w:val="00E017A6"/>
    <w:rsid w:val="00E02E01"/>
    <w:rsid w:val="00E04563"/>
    <w:rsid w:val="00E07309"/>
    <w:rsid w:val="00E077D4"/>
    <w:rsid w:val="00E07C98"/>
    <w:rsid w:val="00E10B0F"/>
    <w:rsid w:val="00E11ABE"/>
    <w:rsid w:val="00E1281A"/>
    <w:rsid w:val="00E14896"/>
    <w:rsid w:val="00E1628E"/>
    <w:rsid w:val="00E208B5"/>
    <w:rsid w:val="00E20BEE"/>
    <w:rsid w:val="00E2126B"/>
    <w:rsid w:val="00E21947"/>
    <w:rsid w:val="00E21C42"/>
    <w:rsid w:val="00E225FB"/>
    <w:rsid w:val="00E22E25"/>
    <w:rsid w:val="00E22F70"/>
    <w:rsid w:val="00E2655E"/>
    <w:rsid w:val="00E32CEB"/>
    <w:rsid w:val="00E337BC"/>
    <w:rsid w:val="00E34B24"/>
    <w:rsid w:val="00E35CAB"/>
    <w:rsid w:val="00E35CAD"/>
    <w:rsid w:val="00E37145"/>
    <w:rsid w:val="00E40019"/>
    <w:rsid w:val="00E40492"/>
    <w:rsid w:val="00E4058F"/>
    <w:rsid w:val="00E40F2A"/>
    <w:rsid w:val="00E42948"/>
    <w:rsid w:val="00E42DC1"/>
    <w:rsid w:val="00E43441"/>
    <w:rsid w:val="00E44792"/>
    <w:rsid w:val="00E44814"/>
    <w:rsid w:val="00E44FFF"/>
    <w:rsid w:val="00E4610E"/>
    <w:rsid w:val="00E4738F"/>
    <w:rsid w:val="00E51633"/>
    <w:rsid w:val="00E5245D"/>
    <w:rsid w:val="00E5274B"/>
    <w:rsid w:val="00E53EE6"/>
    <w:rsid w:val="00E549AA"/>
    <w:rsid w:val="00E54B99"/>
    <w:rsid w:val="00E55819"/>
    <w:rsid w:val="00E560F1"/>
    <w:rsid w:val="00E6161B"/>
    <w:rsid w:val="00E61FCC"/>
    <w:rsid w:val="00E62057"/>
    <w:rsid w:val="00E6290C"/>
    <w:rsid w:val="00E62ED4"/>
    <w:rsid w:val="00E6334B"/>
    <w:rsid w:val="00E651D0"/>
    <w:rsid w:val="00E653C7"/>
    <w:rsid w:val="00E67634"/>
    <w:rsid w:val="00E67763"/>
    <w:rsid w:val="00E701CD"/>
    <w:rsid w:val="00E728C5"/>
    <w:rsid w:val="00E72A47"/>
    <w:rsid w:val="00E731A1"/>
    <w:rsid w:val="00E777FD"/>
    <w:rsid w:val="00E81BCB"/>
    <w:rsid w:val="00E82AD6"/>
    <w:rsid w:val="00E82E2C"/>
    <w:rsid w:val="00E83CB6"/>
    <w:rsid w:val="00E8477B"/>
    <w:rsid w:val="00E84C73"/>
    <w:rsid w:val="00E852D3"/>
    <w:rsid w:val="00E86C6D"/>
    <w:rsid w:val="00E91F16"/>
    <w:rsid w:val="00E927D1"/>
    <w:rsid w:val="00E9529C"/>
    <w:rsid w:val="00EA0835"/>
    <w:rsid w:val="00EA12F8"/>
    <w:rsid w:val="00EA219D"/>
    <w:rsid w:val="00EA23AB"/>
    <w:rsid w:val="00EA2B7E"/>
    <w:rsid w:val="00EA6CBC"/>
    <w:rsid w:val="00EB0229"/>
    <w:rsid w:val="00EB0BA2"/>
    <w:rsid w:val="00EB113C"/>
    <w:rsid w:val="00EB178D"/>
    <w:rsid w:val="00EB1850"/>
    <w:rsid w:val="00EB2177"/>
    <w:rsid w:val="00EB225D"/>
    <w:rsid w:val="00EB3C97"/>
    <w:rsid w:val="00EB497E"/>
    <w:rsid w:val="00EB658B"/>
    <w:rsid w:val="00EB69C2"/>
    <w:rsid w:val="00EB74C1"/>
    <w:rsid w:val="00EC18F1"/>
    <w:rsid w:val="00EC2B47"/>
    <w:rsid w:val="00EC2C8C"/>
    <w:rsid w:val="00EC3079"/>
    <w:rsid w:val="00EC44CD"/>
    <w:rsid w:val="00EC454B"/>
    <w:rsid w:val="00EC4D79"/>
    <w:rsid w:val="00EC511E"/>
    <w:rsid w:val="00EC5F37"/>
    <w:rsid w:val="00EC7D22"/>
    <w:rsid w:val="00ED1496"/>
    <w:rsid w:val="00ED187D"/>
    <w:rsid w:val="00ED27CB"/>
    <w:rsid w:val="00ED2997"/>
    <w:rsid w:val="00ED3B99"/>
    <w:rsid w:val="00ED5530"/>
    <w:rsid w:val="00ED67F0"/>
    <w:rsid w:val="00ED7BF8"/>
    <w:rsid w:val="00ED7DAF"/>
    <w:rsid w:val="00ED7F88"/>
    <w:rsid w:val="00EE3498"/>
    <w:rsid w:val="00EE3BB1"/>
    <w:rsid w:val="00EE50B9"/>
    <w:rsid w:val="00EE5257"/>
    <w:rsid w:val="00EE7488"/>
    <w:rsid w:val="00EE7EA8"/>
    <w:rsid w:val="00EF04A1"/>
    <w:rsid w:val="00EF05E6"/>
    <w:rsid w:val="00EF1488"/>
    <w:rsid w:val="00EF1E76"/>
    <w:rsid w:val="00EF3FF1"/>
    <w:rsid w:val="00EF4571"/>
    <w:rsid w:val="00EF564A"/>
    <w:rsid w:val="00EF72E5"/>
    <w:rsid w:val="00EF778C"/>
    <w:rsid w:val="00F02D20"/>
    <w:rsid w:val="00F03EAC"/>
    <w:rsid w:val="00F0584C"/>
    <w:rsid w:val="00F05FB0"/>
    <w:rsid w:val="00F10080"/>
    <w:rsid w:val="00F113B0"/>
    <w:rsid w:val="00F11B8A"/>
    <w:rsid w:val="00F1264C"/>
    <w:rsid w:val="00F1534B"/>
    <w:rsid w:val="00F16179"/>
    <w:rsid w:val="00F17F04"/>
    <w:rsid w:val="00F20246"/>
    <w:rsid w:val="00F22756"/>
    <w:rsid w:val="00F233D8"/>
    <w:rsid w:val="00F25618"/>
    <w:rsid w:val="00F2761F"/>
    <w:rsid w:val="00F312FC"/>
    <w:rsid w:val="00F31D7C"/>
    <w:rsid w:val="00F31EB6"/>
    <w:rsid w:val="00F34773"/>
    <w:rsid w:val="00F34DC7"/>
    <w:rsid w:val="00F358A8"/>
    <w:rsid w:val="00F363B9"/>
    <w:rsid w:val="00F40BFC"/>
    <w:rsid w:val="00F41101"/>
    <w:rsid w:val="00F42C31"/>
    <w:rsid w:val="00F432B1"/>
    <w:rsid w:val="00F4350A"/>
    <w:rsid w:val="00F44A8B"/>
    <w:rsid w:val="00F45328"/>
    <w:rsid w:val="00F508A3"/>
    <w:rsid w:val="00F51096"/>
    <w:rsid w:val="00F517C3"/>
    <w:rsid w:val="00F51CD7"/>
    <w:rsid w:val="00F52075"/>
    <w:rsid w:val="00F52EEF"/>
    <w:rsid w:val="00F5330E"/>
    <w:rsid w:val="00F551D5"/>
    <w:rsid w:val="00F57548"/>
    <w:rsid w:val="00F605E4"/>
    <w:rsid w:val="00F606ED"/>
    <w:rsid w:val="00F60856"/>
    <w:rsid w:val="00F63CFD"/>
    <w:rsid w:val="00F63D21"/>
    <w:rsid w:val="00F64434"/>
    <w:rsid w:val="00F64482"/>
    <w:rsid w:val="00F64498"/>
    <w:rsid w:val="00F64579"/>
    <w:rsid w:val="00F65568"/>
    <w:rsid w:val="00F65623"/>
    <w:rsid w:val="00F65B8F"/>
    <w:rsid w:val="00F66B71"/>
    <w:rsid w:val="00F67A22"/>
    <w:rsid w:val="00F67D08"/>
    <w:rsid w:val="00F67EFB"/>
    <w:rsid w:val="00F7083B"/>
    <w:rsid w:val="00F70CBA"/>
    <w:rsid w:val="00F7168B"/>
    <w:rsid w:val="00F742F1"/>
    <w:rsid w:val="00F74832"/>
    <w:rsid w:val="00F759F4"/>
    <w:rsid w:val="00F7660E"/>
    <w:rsid w:val="00F768CE"/>
    <w:rsid w:val="00F77803"/>
    <w:rsid w:val="00F77947"/>
    <w:rsid w:val="00F8057F"/>
    <w:rsid w:val="00F805C2"/>
    <w:rsid w:val="00F80991"/>
    <w:rsid w:val="00F810C0"/>
    <w:rsid w:val="00F81430"/>
    <w:rsid w:val="00F818E2"/>
    <w:rsid w:val="00F86DAF"/>
    <w:rsid w:val="00F90F78"/>
    <w:rsid w:val="00F92C1F"/>
    <w:rsid w:val="00F93877"/>
    <w:rsid w:val="00F93EB8"/>
    <w:rsid w:val="00F93EF3"/>
    <w:rsid w:val="00F945CD"/>
    <w:rsid w:val="00F94E99"/>
    <w:rsid w:val="00F96986"/>
    <w:rsid w:val="00FA27DF"/>
    <w:rsid w:val="00FA33A5"/>
    <w:rsid w:val="00FA4826"/>
    <w:rsid w:val="00FA4EE7"/>
    <w:rsid w:val="00FA5476"/>
    <w:rsid w:val="00FA74C7"/>
    <w:rsid w:val="00FA7CC4"/>
    <w:rsid w:val="00FB1955"/>
    <w:rsid w:val="00FB3C03"/>
    <w:rsid w:val="00FB65AE"/>
    <w:rsid w:val="00FC060E"/>
    <w:rsid w:val="00FC159E"/>
    <w:rsid w:val="00FC1EFA"/>
    <w:rsid w:val="00FC2CB8"/>
    <w:rsid w:val="00FC3698"/>
    <w:rsid w:val="00FC3E35"/>
    <w:rsid w:val="00FC429E"/>
    <w:rsid w:val="00FC42D5"/>
    <w:rsid w:val="00FC661B"/>
    <w:rsid w:val="00FC7C0C"/>
    <w:rsid w:val="00FC7FD0"/>
    <w:rsid w:val="00FD0408"/>
    <w:rsid w:val="00FD1841"/>
    <w:rsid w:val="00FD1844"/>
    <w:rsid w:val="00FD24FF"/>
    <w:rsid w:val="00FD39DE"/>
    <w:rsid w:val="00FD49D7"/>
    <w:rsid w:val="00FD6082"/>
    <w:rsid w:val="00FD69C9"/>
    <w:rsid w:val="00FD7D68"/>
    <w:rsid w:val="00FE0469"/>
    <w:rsid w:val="00FE0A11"/>
    <w:rsid w:val="00FE0D9F"/>
    <w:rsid w:val="00FE1194"/>
    <w:rsid w:val="00FE1381"/>
    <w:rsid w:val="00FE20C4"/>
    <w:rsid w:val="00FE2AF3"/>
    <w:rsid w:val="00FE3D79"/>
    <w:rsid w:val="00FE4718"/>
    <w:rsid w:val="00FE79C3"/>
    <w:rsid w:val="00FE7A1F"/>
    <w:rsid w:val="00FF1726"/>
    <w:rsid w:val="00FF34B2"/>
    <w:rsid w:val="00FF42EE"/>
    <w:rsid w:val="00FF478B"/>
    <w:rsid w:val="00FF5BB4"/>
    <w:rsid w:val="00FF67C0"/>
    <w:rsid w:val="01354276"/>
    <w:rsid w:val="016E044A"/>
    <w:rsid w:val="020A3D46"/>
    <w:rsid w:val="022C0A8A"/>
    <w:rsid w:val="03152DD6"/>
    <w:rsid w:val="034B6875"/>
    <w:rsid w:val="034D3112"/>
    <w:rsid w:val="042F48EA"/>
    <w:rsid w:val="04EB6322"/>
    <w:rsid w:val="0515703E"/>
    <w:rsid w:val="09AC268D"/>
    <w:rsid w:val="09CF0D9D"/>
    <w:rsid w:val="0AEA04F5"/>
    <w:rsid w:val="0C482343"/>
    <w:rsid w:val="0E2D4CFC"/>
    <w:rsid w:val="0E592E65"/>
    <w:rsid w:val="0E6257ED"/>
    <w:rsid w:val="0F9A2F00"/>
    <w:rsid w:val="0FCA5AF5"/>
    <w:rsid w:val="10474EE9"/>
    <w:rsid w:val="105A3058"/>
    <w:rsid w:val="11591036"/>
    <w:rsid w:val="15090F10"/>
    <w:rsid w:val="15381F3D"/>
    <w:rsid w:val="16C10A43"/>
    <w:rsid w:val="16D05547"/>
    <w:rsid w:val="17D271A5"/>
    <w:rsid w:val="18704CB4"/>
    <w:rsid w:val="18A20777"/>
    <w:rsid w:val="192E28F8"/>
    <w:rsid w:val="1AB132A6"/>
    <w:rsid w:val="1B137662"/>
    <w:rsid w:val="1B5231B9"/>
    <w:rsid w:val="1BEF1650"/>
    <w:rsid w:val="1C2E01A0"/>
    <w:rsid w:val="1DE87571"/>
    <w:rsid w:val="1E073DD1"/>
    <w:rsid w:val="1F50496A"/>
    <w:rsid w:val="1FA75645"/>
    <w:rsid w:val="207B44FF"/>
    <w:rsid w:val="22C80A1D"/>
    <w:rsid w:val="234A68AA"/>
    <w:rsid w:val="25201366"/>
    <w:rsid w:val="28E92B74"/>
    <w:rsid w:val="2A405D5A"/>
    <w:rsid w:val="2C523826"/>
    <w:rsid w:val="2CF17ED9"/>
    <w:rsid w:val="2D491F9E"/>
    <w:rsid w:val="2DB37BF4"/>
    <w:rsid w:val="2DD6396D"/>
    <w:rsid w:val="2E1F4936"/>
    <w:rsid w:val="2F0E473E"/>
    <w:rsid w:val="2F20599A"/>
    <w:rsid w:val="2F3D5393"/>
    <w:rsid w:val="2FE50BA9"/>
    <w:rsid w:val="317F0BCA"/>
    <w:rsid w:val="322B443E"/>
    <w:rsid w:val="327E50EF"/>
    <w:rsid w:val="32832A04"/>
    <w:rsid w:val="32A65E1D"/>
    <w:rsid w:val="34164C19"/>
    <w:rsid w:val="350C3578"/>
    <w:rsid w:val="352275ED"/>
    <w:rsid w:val="3601226B"/>
    <w:rsid w:val="36331599"/>
    <w:rsid w:val="3730221B"/>
    <w:rsid w:val="373E53F4"/>
    <w:rsid w:val="37645BAC"/>
    <w:rsid w:val="386F5D34"/>
    <w:rsid w:val="391C28EE"/>
    <w:rsid w:val="392E09A2"/>
    <w:rsid w:val="3A6C3919"/>
    <w:rsid w:val="3B7A0F58"/>
    <w:rsid w:val="3BB24E20"/>
    <w:rsid w:val="3C672EE2"/>
    <w:rsid w:val="3D641F1A"/>
    <w:rsid w:val="410A1179"/>
    <w:rsid w:val="43552086"/>
    <w:rsid w:val="45205E79"/>
    <w:rsid w:val="45D81A43"/>
    <w:rsid w:val="468B58CA"/>
    <w:rsid w:val="4796550F"/>
    <w:rsid w:val="487A4E8B"/>
    <w:rsid w:val="48960B41"/>
    <w:rsid w:val="493733B5"/>
    <w:rsid w:val="4A1543F7"/>
    <w:rsid w:val="4AF61407"/>
    <w:rsid w:val="4B8E3DD1"/>
    <w:rsid w:val="4C4C62F7"/>
    <w:rsid w:val="4C673E0C"/>
    <w:rsid w:val="50750E8F"/>
    <w:rsid w:val="50C664D1"/>
    <w:rsid w:val="50CE10DD"/>
    <w:rsid w:val="524349D3"/>
    <w:rsid w:val="52644545"/>
    <w:rsid w:val="532B327A"/>
    <w:rsid w:val="54451B20"/>
    <w:rsid w:val="55320861"/>
    <w:rsid w:val="55C43B63"/>
    <w:rsid w:val="5706673B"/>
    <w:rsid w:val="5749211B"/>
    <w:rsid w:val="577C0305"/>
    <w:rsid w:val="58832DC3"/>
    <w:rsid w:val="58DD7FD9"/>
    <w:rsid w:val="5B8B239D"/>
    <w:rsid w:val="5E53564E"/>
    <w:rsid w:val="617C17FC"/>
    <w:rsid w:val="621B53A6"/>
    <w:rsid w:val="64D678D3"/>
    <w:rsid w:val="66C1360C"/>
    <w:rsid w:val="66F7531E"/>
    <w:rsid w:val="670C04C4"/>
    <w:rsid w:val="6AC43745"/>
    <w:rsid w:val="6B3E697D"/>
    <w:rsid w:val="6CE520DA"/>
    <w:rsid w:val="6E3C6504"/>
    <w:rsid w:val="6F3335BA"/>
    <w:rsid w:val="727B12D9"/>
    <w:rsid w:val="73075151"/>
    <w:rsid w:val="73B472AE"/>
    <w:rsid w:val="764713C8"/>
    <w:rsid w:val="76A76695"/>
    <w:rsid w:val="76E521D9"/>
    <w:rsid w:val="77990D70"/>
    <w:rsid w:val="7A241826"/>
    <w:rsid w:val="7A67422A"/>
    <w:rsid w:val="7B12308C"/>
    <w:rsid w:val="7B304B57"/>
    <w:rsid w:val="7BD90588"/>
    <w:rsid w:val="7BF86E4A"/>
    <w:rsid w:val="7BFE2CEC"/>
    <w:rsid w:val="7C826230"/>
    <w:rsid w:val="7D10465D"/>
    <w:rsid w:val="7E476EFF"/>
    <w:rsid w:val="7E6A3F92"/>
    <w:rsid w:val="7ED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5"/>
    <w:qFormat/>
    <w:uiPriority w:val="9"/>
    <w:pPr>
      <w:keepNext/>
      <w:keepLines/>
      <w:widowControl/>
      <w:adjustRightInd w:val="0"/>
      <w:snapToGrid w:val="0"/>
      <w:jc w:val="left"/>
      <w:outlineLvl w:val="0"/>
    </w:pPr>
    <w:rPr>
      <w:rFonts w:ascii="Tahoma" w:hAnsi="Tahoma" w:eastAsia="微软雅黑" w:cs="Times New Roman"/>
      <w:b/>
      <w:bCs/>
      <w:kern w:val="44"/>
      <w:sz w:val="30"/>
      <w:szCs w:val="44"/>
    </w:rPr>
  </w:style>
  <w:style w:type="paragraph" w:styleId="4">
    <w:name w:val="heading 2"/>
    <w:basedOn w:val="1"/>
    <w:next w:val="1"/>
    <w:link w:val="36"/>
    <w:qFormat/>
    <w:uiPriority w:val="9"/>
    <w:pPr>
      <w:keepNext/>
      <w:keepLines/>
      <w:spacing w:before="260" w:after="260" w:afterAutospacing="1" w:line="416" w:lineRule="auto"/>
      <w:outlineLvl w:val="1"/>
    </w:pPr>
    <w:rPr>
      <w:rFonts w:ascii="Cambria" w:hAnsi="Cambria" w:eastAsia="宋体" w:cs="Times New Roman"/>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4"/>
    <w:unhideWhenUsed/>
    <w:qFormat/>
    <w:uiPriority w:val="99"/>
    <w:pPr>
      <w:spacing w:after="120"/>
    </w:pPr>
    <w:rPr>
      <w:rFonts w:eastAsia="仿宋_GB2312"/>
    </w:rPr>
  </w:style>
  <w:style w:type="paragraph" w:styleId="5">
    <w:name w:val="caption"/>
    <w:basedOn w:val="1"/>
    <w:next w:val="1"/>
    <w:semiHidden/>
    <w:unhideWhenUsed/>
    <w:qFormat/>
    <w:uiPriority w:val="35"/>
    <w:rPr>
      <w:rFonts w:ascii="Arial" w:hAnsi="Arial" w:eastAsia="黑体"/>
      <w:sz w:val="20"/>
    </w:rPr>
  </w:style>
  <w:style w:type="paragraph" w:styleId="6">
    <w:name w:val="toa heading"/>
    <w:basedOn w:val="1"/>
    <w:next w:val="1"/>
    <w:qFormat/>
    <w:uiPriority w:val="0"/>
    <w:pPr>
      <w:spacing w:before="120" w:beforeLines="0" w:beforeAutospacing="0"/>
    </w:pPr>
    <w:rPr>
      <w:rFonts w:ascii="Arial" w:hAnsi="Arial"/>
      <w:sz w:val="24"/>
    </w:rPr>
  </w:style>
  <w:style w:type="paragraph" w:styleId="7">
    <w:name w:val="annotation text"/>
    <w:basedOn w:val="1"/>
    <w:link w:val="29"/>
    <w:qFormat/>
    <w:uiPriority w:val="99"/>
    <w:pPr>
      <w:spacing w:line="360" w:lineRule="auto"/>
      <w:jc w:val="left"/>
    </w:pPr>
    <w:rPr>
      <w:rFonts w:ascii="宋体" w:hAnsi="宋体" w:eastAsia="宋体" w:cs="Times New Roman"/>
      <w:szCs w:val="24"/>
    </w:rPr>
  </w:style>
  <w:style w:type="paragraph" w:styleId="8">
    <w:name w:val="Body Text Indent"/>
    <w:basedOn w:val="1"/>
    <w:link w:val="28"/>
    <w:qFormat/>
    <w:uiPriority w:val="0"/>
    <w:pPr>
      <w:ind w:firstLine="420"/>
    </w:pPr>
    <w:rPr>
      <w:rFonts w:ascii="Times New Roman" w:hAnsi="Times New Roman" w:eastAsia="宋体" w:cs="Times New Roman"/>
      <w:sz w:val="24"/>
      <w:szCs w:val="24"/>
    </w:rPr>
  </w:style>
  <w:style w:type="paragraph" w:styleId="9">
    <w:name w:val="Date"/>
    <w:basedOn w:val="1"/>
    <w:next w:val="1"/>
    <w:link w:val="33"/>
    <w:unhideWhenUsed/>
    <w:qFormat/>
    <w:uiPriority w:val="99"/>
    <w:pPr>
      <w:ind w:left="100" w:leftChars="2500"/>
    </w:pPr>
  </w:style>
  <w:style w:type="paragraph" w:styleId="10">
    <w:name w:val="Balloon Text"/>
    <w:basedOn w:val="1"/>
    <w:link w:val="23"/>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after="100" w:afterAutospacing="1"/>
    </w:pPr>
    <w:rPr>
      <w:rFonts w:ascii="Times New Roman" w:hAnsi="Times New Roman" w:eastAsia="宋体" w:cs="Times New Roman"/>
    </w:rPr>
  </w:style>
  <w:style w:type="paragraph" w:styleId="14">
    <w:name w:val="toc 2"/>
    <w:basedOn w:val="1"/>
    <w:next w:val="1"/>
    <w:unhideWhenUsed/>
    <w:qFormat/>
    <w:uiPriority w:val="39"/>
    <w:pPr>
      <w:spacing w:after="100" w:afterAutospacing="1"/>
      <w:ind w:left="420" w:leftChars="200"/>
    </w:pPr>
    <w:rPr>
      <w:rFonts w:ascii="Times New Roman" w:hAnsi="Times New Roman" w:eastAsia="宋体" w:cs="Times New Roman"/>
    </w:rPr>
  </w:style>
  <w:style w:type="paragraph" w:styleId="1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0"/>
    <w:rPr>
      <w:b/>
      <w:bCs/>
    </w:rPr>
  </w:style>
  <w:style w:type="character" w:styleId="20">
    <w:name w:val="FollowedHyperlink"/>
    <w:unhideWhenUsed/>
    <w:qFormat/>
    <w:uiPriority w:val="99"/>
    <w:rPr>
      <w:color w:val="800080"/>
      <w:u w:val="single"/>
    </w:rPr>
  </w:style>
  <w:style w:type="character" w:styleId="21">
    <w:name w:val="Hyperlink"/>
    <w:unhideWhenUsed/>
    <w:qFormat/>
    <w:uiPriority w:val="99"/>
    <w:rPr>
      <w:color w:val="0000FF"/>
      <w:u w:val="single"/>
    </w:rPr>
  </w:style>
  <w:style w:type="character" w:styleId="22">
    <w:name w:val="annotation reference"/>
    <w:basedOn w:val="18"/>
    <w:semiHidden/>
    <w:unhideWhenUsed/>
    <w:qFormat/>
    <w:uiPriority w:val="99"/>
    <w:rPr>
      <w:sz w:val="21"/>
      <w:szCs w:val="21"/>
    </w:rPr>
  </w:style>
  <w:style w:type="character" w:customStyle="1" w:styleId="23">
    <w:name w:val="批注框文本 Char"/>
    <w:basedOn w:val="18"/>
    <w:link w:val="10"/>
    <w:qFormat/>
    <w:uiPriority w:val="99"/>
    <w:rPr>
      <w:sz w:val="18"/>
      <w:szCs w:val="18"/>
    </w:rPr>
  </w:style>
  <w:style w:type="character" w:customStyle="1" w:styleId="24">
    <w:name w:val="页眉 Char"/>
    <w:basedOn w:val="18"/>
    <w:link w:val="12"/>
    <w:qFormat/>
    <w:uiPriority w:val="99"/>
    <w:rPr>
      <w:sz w:val="18"/>
      <w:szCs w:val="18"/>
    </w:rPr>
  </w:style>
  <w:style w:type="character" w:customStyle="1" w:styleId="25">
    <w:name w:val="页脚 Char"/>
    <w:basedOn w:val="18"/>
    <w:link w:val="11"/>
    <w:qFormat/>
    <w:uiPriority w:val="99"/>
    <w:rPr>
      <w:sz w:val="18"/>
      <w:szCs w:val="18"/>
    </w:rPr>
  </w:style>
  <w:style w:type="paragraph" w:customStyle="1" w:styleId="26">
    <w:name w:val="章标题"/>
    <w:next w:val="27"/>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7">
    <w:name w:val="段"/>
    <w:link w:val="3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28">
    <w:name w:val="正文文本缩进 Char"/>
    <w:basedOn w:val="18"/>
    <w:link w:val="8"/>
    <w:qFormat/>
    <w:uiPriority w:val="0"/>
    <w:rPr>
      <w:rFonts w:ascii="Times New Roman" w:hAnsi="Times New Roman" w:eastAsia="宋体" w:cs="Times New Roman"/>
      <w:sz w:val="24"/>
      <w:szCs w:val="24"/>
    </w:rPr>
  </w:style>
  <w:style w:type="character" w:customStyle="1" w:styleId="29">
    <w:name w:val="批注文字 Char"/>
    <w:basedOn w:val="18"/>
    <w:link w:val="7"/>
    <w:qFormat/>
    <w:uiPriority w:val="99"/>
    <w:rPr>
      <w:rFonts w:ascii="宋体" w:hAnsi="宋体" w:eastAsia="宋体" w:cs="Times New Roman"/>
      <w:szCs w:val="24"/>
    </w:rPr>
  </w:style>
  <w:style w:type="paragraph" w:styleId="30">
    <w:name w:val="List Paragraph"/>
    <w:basedOn w:val="1"/>
    <w:qFormat/>
    <w:uiPriority w:val="34"/>
    <w:pPr>
      <w:ind w:firstLine="420" w:firstLineChars="200"/>
    </w:pPr>
  </w:style>
  <w:style w:type="character" w:customStyle="1" w:styleId="31">
    <w:name w:val="段 Char"/>
    <w:link w:val="27"/>
    <w:qFormat/>
    <w:uiPriority w:val="0"/>
    <w:rPr>
      <w:rFonts w:ascii="宋体" w:hAnsi="Times New Roman" w:eastAsia="宋体" w:cs="Times New Roman"/>
      <w:kern w:val="0"/>
    </w:rPr>
  </w:style>
  <w:style w:type="paragraph" w:customStyle="1" w:styleId="3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33">
    <w:name w:val="日期 Char"/>
    <w:basedOn w:val="18"/>
    <w:link w:val="9"/>
    <w:qFormat/>
    <w:uiPriority w:val="99"/>
    <w:rPr>
      <w:rFonts w:asciiTheme="minorHAnsi" w:hAnsiTheme="minorHAnsi" w:eastAsiaTheme="minorEastAsia" w:cstheme="minorBidi"/>
      <w:kern w:val="2"/>
      <w:sz w:val="21"/>
      <w:szCs w:val="22"/>
    </w:rPr>
  </w:style>
  <w:style w:type="character" w:customStyle="1" w:styleId="34">
    <w:name w:val="正文文本 Char"/>
    <w:basedOn w:val="18"/>
    <w:link w:val="2"/>
    <w:qFormat/>
    <w:uiPriority w:val="99"/>
    <w:rPr>
      <w:rFonts w:eastAsia="仿宋_GB2312" w:asciiTheme="minorHAnsi" w:hAnsiTheme="minorHAnsi" w:cstheme="minorBidi"/>
      <w:kern w:val="2"/>
      <w:sz w:val="21"/>
      <w:szCs w:val="22"/>
    </w:rPr>
  </w:style>
  <w:style w:type="character" w:customStyle="1" w:styleId="35">
    <w:name w:val="标题 1 Char"/>
    <w:basedOn w:val="18"/>
    <w:link w:val="3"/>
    <w:qFormat/>
    <w:uiPriority w:val="9"/>
    <w:rPr>
      <w:rFonts w:ascii="Tahoma" w:hAnsi="Tahoma" w:eastAsia="微软雅黑"/>
      <w:b/>
      <w:bCs/>
      <w:kern w:val="44"/>
      <w:sz w:val="30"/>
      <w:szCs w:val="44"/>
    </w:rPr>
  </w:style>
  <w:style w:type="character" w:customStyle="1" w:styleId="36">
    <w:name w:val="标题 2 Char"/>
    <w:basedOn w:val="18"/>
    <w:link w:val="4"/>
    <w:qFormat/>
    <w:uiPriority w:val="9"/>
    <w:rPr>
      <w:rFonts w:ascii="Cambria" w:hAnsi="Cambria"/>
      <w:b/>
      <w:bCs/>
      <w:sz w:val="32"/>
      <w:szCs w:val="32"/>
    </w:rPr>
  </w:style>
  <w:style w:type="paragraph" w:customStyle="1" w:styleId="37">
    <w:name w:val="列出段落1"/>
    <w:basedOn w:val="1"/>
    <w:qFormat/>
    <w:uiPriority w:val="0"/>
    <w:pPr>
      <w:spacing w:after="100" w:afterAutospacing="1"/>
      <w:ind w:firstLine="420" w:firstLineChars="200"/>
    </w:pPr>
    <w:rPr>
      <w:rFonts w:ascii="Times New Roman" w:hAnsi="Times New Roman" w:eastAsia="宋体" w:cs="Times New Roman"/>
    </w:rPr>
  </w:style>
  <w:style w:type="paragraph" w:customStyle="1" w:styleId="38">
    <w:name w:val="TOC 标题1"/>
    <w:basedOn w:val="3"/>
    <w:next w:val="1"/>
    <w:qFormat/>
    <w:uiPriority w:val="39"/>
    <w:pPr>
      <w:adjustRightInd/>
      <w:snapToGrid/>
      <w:spacing w:before="480" w:line="276" w:lineRule="auto"/>
      <w:outlineLvl w:val="9"/>
    </w:pPr>
    <w:rPr>
      <w:rFonts w:ascii="Cambria" w:hAnsi="Cambria" w:eastAsia="宋体"/>
      <w:color w:val="365F91"/>
      <w:kern w:val="0"/>
      <w:sz w:val="28"/>
      <w:szCs w:val="28"/>
    </w:rPr>
  </w:style>
  <w:style w:type="paragraph" w:customStyle="1" w:styleId="39">
    <w:name w:val="列出段落11"/>
    <w:basedOn w:val="1"/>
    <w:qFormat/>
    <w:uiPriority w:val="0"/>
    <w:pPr>
      <w:ind w:firstLine="420" w:firstLineChars="200"/>
    </w:pPr>
    <w:rPr>
      <w:rFonts w:ascii="Times New Roman" w:hAnsi="Times New Roman" w:eastAsia="宋体" w:cs="Times New Roman"/>
      <w:szCs w:val="21"/>
    </w:rPr>
  </w:style>
  <w:style w:type="paragraph" w:customStyle="1" w:styleId="40">
    <w:name w:val="_Style 2"/>
    <w:basedOn w:val="3"/>
    <w:next w:val="1"/>
    <w:unhideWhenUsed/>
    <w:qFormat/>
    <w:uiPriority w:val="39"/>
    <w:pPr>
      <w:adjustRightInd/>
      <w:snapToGrid/>
      <w:spacing w:before="480" w:line="276" w:lineRule="auto"/>
      <w:outlineLvl w:val="9"/>
    </w:pPr>
    <w:rPr>
      <w:rFonts w:ascii="Cambria" w:hAnsi="Cambria" w:eastAsia="宋体" w:cs="Times New Roman"/>
      <w:color w:val="365F91"/>
      <w:kern w:val="0"/>
      <w:szCs w:val="28"/>
    </w:rPr>
  </w:style>
  <w:style w:type="paragraph" w:customStyle="1" w:styleId="41">
    <w:name w:val="Normal Indent1"/>
    <w:basedOn w:val="1"/>
    <w:qFormat/>
    <w:uiPriority w:val="0"/>
    <w:pPr>
      <w:spacing w:line="360" w:lineRule="auto"/>
      <w:ind w:firstLine="420"/>
    </w:pPr>
    <w:rPr>
      <w:rFonts w:ascii="宋体" w:hAnsi="Calibri"/>
      <w:sz w:val="20"/>
      <w:szCs w:val="20"/>
    </w:rPr>
  </w:style>
  <w:style w:type="paragraph" w:customStyle="1" w:styleId="4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
    <w:name w:val="附录标识"/>
    <w:basedOn w:val="1"/>
    <w:next w:val="27"/>
    <w:qFormat/>
    <w:uiPriority w:val="0"/>
    <w:pPr>
      <w:keepNext/>
      <w:widowControl/>
      <w:numPr>
        <w:ilvl w:val="0"/>
        <w:numId w:val="1"/>
      </w:numPr>
      <w:shd w:val="clear" w:color="FFFFFF" w:fill="FFFFFF"/>
      <w:spacing w:before="640" w:after="280"/>
      <w:jc w:val="center"/>
      <w:outlineLvl w:val="0"/>
    </w:pPr>
    <w:rPr>
      <w:rFonts w:ascii="黑体" w:eastAsia="黑体"/>
      <w:kern w:val="0"/>
      <w:szCs w:val="20"/>
    </w:rPr>
  </w:style>
  <w:style w:type="paragraph" w:customStyle="1" w:styleId="44">
    <w:name w:val="样式7"/>
    <w:basedOn w:val="45"/>
    <w:qFormat/>
    <w:uiPriority w:val="0"/>
    <w:pPr>
      <w:ind w:left="576" w:hanging="576"/>
    </w:pPr>
    <w:rPr>
      <w:rFonts w:eastAsia="黑体"/>
      <w:sz w:val="21"/>
    </w:rPr>
  </w:style>
  <w:style w:type="paragraph" w:customStyle="1" w:styleId="45">
    <w:name w:val="样式6"/>
    <w:basedOn w:val="4"/>
    <w:qFormat/>
    <w:uiPriority w:val="0"/>
    <w:pPr>
      <w:ind w:left="0" w:hanging="578" w:hangingChars="275"/>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江西铜业股份有限公司贵溪冶炼厂</Company>
  <Pages>11</Pages>
  <Words>7267</Words>
  <Characters>7468</Characters>
  <Lines>169</Lines>
  <Paragraphs>47</Paragraphs>
  <TotalTime>0</TotalTime>
  <ScaleCrop>false</ScaleCrop>
  <LinksUpToDate>false</LinksUpToDate>
  <CharactersWithSpaces>8176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2024-11-07T09:41:00Z</dcterms:created>
  <dc:creator>（数字化部）徐娟华</dc:creator>
  <cp:lastModifiedBy>徐娟华</cp:lastModifiedBy>
  <cp:lastPrinted>2024-09-29T08:10:00Z</cp:lastPrinted>
  <dcterms:modified xsi:type="dcterms:W3CDTF">2025-07-14T01:39:16Z</dcterms:modified>
  <dc:title>行业标准编制说明</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239054E26BD24A17B1221AFE8FA1BB6C</vt:lpwstr>
  </property>
</Properties>
</file>