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142615">
      <w:pPr>
        <w:spacing w:after="156" w:afterLines="50" w:line="400" w:lineRule="exact"/>
        <w:ind w:left="-160" w:leftChars="-76" w:firstLine="140" w:firstLineChars="50"/>
        <w:jc w:val="left"/>
        <w:rPr>
          <w:rFonts w:hint="eastAsia" w:ascii="黑体" w:hAnsi="黑体" w:eastAsia="黑体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Times New Roman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ascii="黑体" w:hAnsi="黑体" w:eastAsia="黑体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黑体" w:hAnsi="黑体" w:eastAsia="黑体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 xml:space="preserve">                      </w:t>
      </w:r>
    </w:p>
    <w:p w14:paraId="40DD26F2">
      <w:pPr>
        <w:spacing w:after="156" w:afterLines="50" w:line="400" w:lineRule="exact"/>
        <w:ind w:left="-160" w:leftChars="-76" w:firstLine="140" w:firstLineChars="50"/>
        <w:jc w:val="center"/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Times New Roman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粉末冶金分标委会审定和预审</w:t>
      </w:r>
      <w:r>
        <w:rPr>
          <w:rFonts w:ascii="黑体" w:hAnsi="黑体" w:eastAsia="黑体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的标准项目</w:t>
      </w:r>
    </w:p>
    <w:tbl>
      <w:tblPr>
        <w:tblStyle w:val="4"/>
        <w:tblW w:w="1419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8"/>
        <w:gridCol w:w="3406"/>
        <w:gridCol w:w="2981"/>
        <w:gridCol w:w="5876"/>
        <w:gridCol w:w="1110"/>
      </w:tblGrid>
      <w:tr w14:paraId="3D3C56C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tblHeader/>
          <w:jc w:val="center"/>
        </w:trPr>
        <w:tc>
          <w:tcPr>
            <w:tcW w:w="818" w:type="dxa"/>
            <w:tcBorders>
              <w:bottom w:val="single" w:color="auto" w:sz="8" w:space="0"/>
            </w:tcBorders>
            <w:vAlign w:val="center"/>
          </w:tcPr>
          <w:p w14:paraId="4F8F6F5C">
            <w:pPr>
              <w:keepNext w:val="0"/>
              <w:keepLines w:val="0"/>
              <w:widowControl/>
              <w:suppressLineNumbers w:val="0"/>
              <w:tabs>
                <w:tab w:val="left" w:pos="6840"/>
                <w:tab w:val="left" w:pos="7020"/>
                <w:tab w:val="left" w:pos="10108"/>
              </w:tabs>
              <w:adjustRightInd w:val="0"/>
              <w:snapToGrid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3406" w:type="dxa"/>
            <w:tcBorders>
              <w:bottom w:val="single" w:color="auto" w:sz="8" w:space="0"/>
            </w:tcBorders>
            <w:vAlign w:val="center"/>
          </w:tcPr>
          <w:p w14:paraId="021F776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标准项目名称</w:t>
            </w:r>
          </w:p>
        </w:tc>
        <w:tc>
          <w:tcPr>
            <w:tcW w:w="2981" w:type="dxa"/>
            <w:tcBorders>
              <w:bottom w:val="single" w:color="auto" w:sz="8" w:space="0"/>
            </w:tcBorders>
            <w:vAlign w:val="center"/>
          </w:tcPr>
          <w:p w14:paraId="7D2E27F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项目计划编号</w:t>
            </w:r>
          </w:p>
        </w:tc>
        <w:tc>
          <w:tcPr>
            <w:tcW w:w="5876" w:type="dxa"/>
            <w:tcBorders>
              <w:bottom w:val="single" w:color="auto" w:sz="8" w:space="0"/>
            </w:tcBorders>
            <w:vAlign w:val="center"/>
          </w:tcPr>
          <w:p w14:paraId="4101029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起草单位及相关单位</w:t>
            </w:r>
          </w:p>
        </w:tc>
        <w:tc>
          <w:tcPr>
            <w:tcW w:w="1110" w:type="dxa"/>
            <w:tcBorders>
              <w:bottom w:val="single" w:color="auto" w:sz="8" w:space="0"/>
            </w:tcBorders>
            <w:vAlign w:val="center"/>
          </w:tcPr>
          <w:p w14:paraId="59D1530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121CE51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18" w:type="dxa"/>
            <w:tcBorders>
              <w:top w:val="single" w:color="auto" w:sz="8" w:space="0"/>
            </w:tcBorders>
            <w:vAlign w:val="center"/>
          </w:tcPr>
          <w:p w14:paraId="0168BA2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tcBorders>
              <w:top w:val="single" w:color="auto" w:sz="8" w:space="0"/>
            </w:tcBorders>
            <w:shd w:val="clear" w:color="auto" w:fill="auto"/>
            <w:vAlign w:val="center"/>
          </w:tcPr>
          <w:p w14:paraId="139D34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冷镦冷冲模具用硬质合金毛坯</w:t>
            </w:r>
          </w:p>
        </w:tc>
        <w:tc>
          <w:tcPr>
            <w:tcW w:w="2981" w:type="dxa"/>
            <w:tcBorders>
              <w:top w:val="single" w:color="auto" w:sz="8" w:space="0"/>
            </w:tcBorders>
            <w:shd w:val="clear" w:color="auto" w:fill="auto"/>
            <w:vAlign w:val="center"/>
          </w:tcPr>
          <w:p w14:paraId="75D4D2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工信厅科函〔2024〕191号2024-0640T-YS</w:t>
            </w:r>
          </w:p>
        </w:tc>
        <w:tc>
          <w:tcPr>
            <w:tcW w:w="5876" w:type="dxa"/>
            <w:tcBorders>
              <w:top w:val="single" w:color="auto" w:sz="8" w:space="0"/>
            </w:tcBorders>
            <w:shd w:val="clear" w:color="auto" w:fill="auto"/>
            <w:vAlign w:val="center"/>
          </w:tcPr>
          <w:p w14:paraId="45D4E6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textAlignment w:val="bottom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株洲硬质合金集团有限公司、自贡硬质合金有限责任公司、崇义章源钨业股份有限公司、浙江恒成硬质合金有限公司</w:t>
            </w:r>
          </w:p>
        </w:tc>
        <w:tc>
          <w:tcPr>
            <w:tcW w:w="1110" w:type="dxa"/>
            <w:tcBorders>
              <w:top w:val="single" w:color="auto" w:sz="8" w:space="0"/>
            </w:tcBorders>
            <w:shd w:val="clear" w:color="auto" w:fill="auto"/>
            <w:vAlign w:val="center"/>
          </w:tcPr>
          <w:p w14:paraId="61DCEC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审定</w:t>
            </w:r>
          </w:p>
        </w:tc>
      </w:tr>
      <w:tr w14:paraId="5335F57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vAlign w:val="center"/>
          </w:tcPr>
          <w:p w14:paraId="4C7173B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2F35B0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硬质合金细棒扭转试验方法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3AAF4F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工信厅科〔2024〕18号2024-0400T-YS</w:t>
            </w:r>
          </w:p>
        </w:tc>
        <w:tc>
          <w:tcPr>
            <w:tcW w:w="5876" w:type="dxa"/>
            <w:shd w:val="clear" w:color="auto" w:fill="auto"/>
            <w:vAlign w:val="center"/>
          </w:tcPr>
          <w:p w14:paraId="695CBA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深圳市金洲精工科技股份有限公司、株洲硬质合金集团有限公司、河南大地合金有限公司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、南昌硬质合金有限责任公司、金洲精工科技（昆山）有限公司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64656F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预审</w:t>
            </w:r>
          </w:p>
        </w:tc>
      </w:tr>
      <w:tr w14:paraId="3AA60B8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18" w:type="dxa"/>
            <w:vAlign w:val="center"/>
          </w:tcPr>
          <w:p w14:paraId="266EACB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35B458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硬质合金 维氏硬度试验方法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6326FC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国标委发〔2024〕44号20243019-T-610</w:t>
            </w:r>
          </w:p>
        </w:tc>
        <w:tc>
          <w:tcPr>
            <w:tcW w:w="5876" w:type="dxa"/>
            <w:shd w:val="clear" w:color="auto" w:fill="auto"/>
            <w:vAlign w:val="center"/>
          </w:tcPr>
          <w:p w14:paraId="1BA395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国家钨材料工程技术研究中心、厦门金鹭特种合金有限公司、成都美奢锐新材料有限公司、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国合通用（青岛）测试评价有限公司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钢铁研究总院有限公司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、南昌硬质合金有限责任公司、中南大学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79F5D0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预审</w:t>
            </w:r>
          </w:p>
        </w:tc>
      </w:tr>
      <w:tr w14:paraId="1E77B5E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vAlign w:val="center"/>
          </w:tcPr>
          <w:p w14:paraId="29BF0A9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4D96D5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粉末粒度分布的测定 声波筛分法和X射线小角散射法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4DA4DD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国标委发〔2024〕44号20242991-T-610</w:t>
            </w:r>
          </w:p>
        </w:tc>
        <w:tc>
          <w:tcPr>
            <w:tcW w:w="5876" w:type="dxa"/>
            <w:shd w:val="clear" w:color="auto" w:fill="auto"/>
            <w:vAlign w:val="center"/>
          </w:tcPr>
          <w:p w14:paraId="5129B7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钢铁研究总院有限公司、北京钢研高纳科技股份有限公司、安泰天龙钨钼科技有限公司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西安欧中科技材料有限公司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5F45C2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预审</w:t>
            </w:r>
          </w:p>
        </w:tc>
      </w:tr>
      <w:tr w14:paraId="2BC7459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vAlign w:val="center"/>
          </w:tcPr>
          <w:p w14:paraId="3FF8766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3E10DE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泡沫镍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14C2EA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国标委发〔2024〕44号20242988-T-610</w:t>
            </w:r>
          </w:p>
        </w:tc>
        <w:tc>
          <w:tcPr>
            <w:tcW w:w="5876" w:type="dxa"/>
            <w:shd w:val="clear" w:color="auto" w:fill="auto"/>
            <w:vAlign w:val="center"/>
          </w:tcPr>
          <w:p w14:paraId="6AF547C5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0"/>
              </w:rPr>
              <w:t>常德力元新材料有限责任公司、先进储能材料国家工程研究中心有限责任公司、梧州三和新材料科技有限公司、湖南科霸汽车动力电池有限责任公司、中南大学、北京钢研高纳科技股份有限公司、北京科技大学、深圳市倍特力电池有限公司、东莞超霸电池有限公司、天津科威恩科技有限公司、中船（邯郸）派瑞氢能科技有限公司、北京中电丰业技术开发有限公司、成都莒纳新材料科技有限公司、江苏诚丰新材料股份有限公司、天津市大陆制氢设备有限公司、河南创力新能源科技股份有限公司、兰州金川科技园有限公司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格林美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股份有限公司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02F22C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预审</w:t>
            </w:r>
          </w:p>
        </w:tc>
      </w:tr>
      <w:tr w14:paraId="461C85D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vAlign w:val="center"/>
          </w:tcPr>
          <w:p w14:paraId="1C9C812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6AC38F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硬质合金化学分析方法 总碳量的测定 重量法和气体容量法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51BE09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国标委发〔2024〕44号20243000-T-610</w:t>
            </w:r>
          </w:p>
        </w:tc>
        <w:tc>
          <w:tcPr>
            <w:tcW w:w="5876" w:type="dxa"/>
            <w:shd w:val="clear" w:color="auto" w:fill="auto"/>
            <w:vAlign w:val="center"/>
          </w:tcPr>
          <w:p w14:paraId="6BB148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株洲硬质合金集团有限公司、自贡硬质合金有限责任公司、南昌硬质合金有限责任公司、湖北绿钨资源循环有限公司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力锋精密工具（浙江）有限公司、赣州海盛钨业股份有限公司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539C1F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预审</w:t>
            </w:r>
          </w:p>
        </w:tc>
      </w:tr>
      <w:tr w14:paraId="3D87E50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vAlign w:val="center"/>
          </w:tcPr>
          <w:p w14:paraId="7AF9417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4D2607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硬质合金化学分析方法 不溶（游离）碳量的测定 重量法和气体容量法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1C8016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国标委发〔2024〕44号20242966-T-610</w:t>
            </w:r>
          </w:p>
        </w:tc>
        <w:tc>
          <w:tcPr>
            <w:tcW w:w="5876" w:type="dxa"/>
            <w:shd w:val="clear" w:color="auto" w:fill="auto"/>
            <w:vAlign w:val="center"/>
          </w:tcPr>
          <w:p w14:paraId="7DD3D9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株洲硬质合金集团有限公司、自贡硬质合金有限责任公司、南昌硬质合金有限责任公司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厦门金鹭特种合金有限公司、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力锋精密工具（浙江）有限公司、赣州海盛钨业股份有限公司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415A90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预审</w:t>
            </w:r>
          </w:p>
        </w:tc>
      </w:tr>
      <w:tr w14:paraId="370F119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tcBorders>
              <w:bottom w:val="single" w:color="auto" w:sz="4" w:space="0"/>
            </w:tcBorders>
            <w:vAlign w:val="center"/>
          </w:tcPr>
          <w:p w14:paraId="6D50857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21387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钨粉</w:t>
            </w:r>
          </w:p>
        </w:tc>
        <w:tc>
          <w:tcPr>
            <w:tcW w:w="2981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1041A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国标委发〔2024〕44号20242992-T-610</w:t>
            </w:r>
          </w:p>
        </w:tc>
        <w:tc>
          <w:tcPr>
            <w:tcW w:w="587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F118A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株洲硬质合金集团有限公司、自贡硬质合金有限责任公司、南昌硬质合金有限责任公司、崇义章源钨业股份有限公司、湖北绿钨资源循环有限公司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厦门金鹭特种合金有限公司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赣州海盛钨业股份有限公司</w:t>
            </w:r>
          </w:p>
        </w:tc>
        <w:tc>
          <w:tcPr>
            <w:tcW w:w="111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12D0E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预审</w:t>
            </w:r>
          </w:p>
        </w:tc>
      </w:tr>
      <w:tr w14:paraId="0551FD0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585EAD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9DA61F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硬质合金直线往复磨损试验方法</w:t>
            </w:r>
          </w:p>
        </w:tc>
        <w:tc>
          <w:tcPr>
            <w:tcW w:w="298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7761CFB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工信厅科函〔2024〕503号2024-2123T-YS</w:t>
            </w:r>
          </w:p>
        </w:tc>
        <w:tc>
          <w:tcPr>
            <w:tcW w:w="587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5EBDF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株洲硬质合金集团有限公司、国合通用测试评价认证股份公司、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成都美奢锐新材料有限公司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浙江德威硬质合金制造有限公司、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中南大学、天津铸金科技开发股份有限公司等</w:t>
            </w:r>
          </w:p>
        </w:tc>
        <w:tc>
          <w:tcPr>
            <w:tcW w:w="111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FD468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预审</w:t>
            </w:r>
          </w:p>
        </w:tc>
      </w:tr>
      <w:tr w14:paraId="5B056F6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tcBorders>
              <w:top w:val="single" w:color="auto" w:sz="4" w:space="0"/>
              <w:bottom w:val="single" w:color="auto" w:sz="8" w:space="0"/>
            </w:tcBorders>
            <w:vAlign w:val="center"/>
          </w:tcPr>
          <w:p w14:paraId="2B1A8A4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tcBorders>
              <w:top w:val="single" w:color="auto" w:sz="4" w:space="0"/>
              <w:bottom w:val="single" w:color="auto" w:sz="8" w:space="0"/>
            </w:tcBorders>
            <w:shd w:val="clear" w:color="auto" w:fill="auto"/>
            <w:vAlign w:val="center"/>
          </w:tcPr>
          <w:p w14:paraId="6FE096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带圆角沉孔固定的硬质合金可转位刀片尺寸</w:t>
            </w:r>
          </w:p>
        </w:tc>
        <w:tc>
          <w:tcPr>
            <w:tcW w:w="2981" w:type="dxa"/>
            <w:tcBorders>
              <w:top w:val="single" w:color="auto" w:sz="4" w:space="0"/>
              <w:bottom w:val="single" w:color="auto" w:sz="8" w:space="0"/>
            </w:tcBorders>
            <w:shd w:val="clear" w:color="auto" w:fill="auto"/>
            <w:vAlign w:val="center"/>
          </w:tcPr>
          <w:p w14:paraId="3F6EEF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国标委发〔2024〕44号20242966-T-610</w:t>
            </w:r>
          </w:p>
        </w:tc>
        <w:tc>
          <w:tcPr>
            <w:tcW w:w="5876" w:type="dxa"/>
            <w:tcBorders>
              <w:top w:val="single" w:color="auto" w:sz="4" w:space="0"/>
              <w:bottom w:val="single" w:color="auto" w:sz="8" w:space="0"/>
            </w:tcBorders>
            <w:shd w:val="clear" w:color="auto" w:fill="auto"/>
            <w:vAlign w:val="center"/>
          </w:tcPr>
          <w:p w14:paraId="3ECDFA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株洲钻石切削刀具股份有限公司、株洲硬质合金集团有限公司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、厦门金鹭特种合金有限公司、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崇义章源钨业股份有限公司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赣州澳克泰工具技术有限公司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、浙江力锋精密工具有限公司</w:t>
            </w:r>
          </w:p>
        </w:tc>
        <w:tc>
          <w:tcPr>
            <w:tcW w:w="1110" w:type="dxa"/>
            <w:tcBorders>
              <w:top w:val="single" w:color="auto" w:sz="4" w:space="0"/>
              <w:bottom w:val="single" w:color="auto" w:sz="8" w:space="0"/>
            </w:tcBorders>
            <w:shd w:val="clear" w:color="auto" w:fill="auto"/>
            <w:vAlign w:val="center"/>
          </w:tcPr>
          <w:p w14:paraId="4A6046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预审</w:t>
            </w:r>
          </w:p>
        </w:tc>
      </w:tr>
    </w:tbl>
    <w:p w14:paraId="7F25B5D0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02"/>
    <w:family w:val="decorative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D8046C6"/>
    <w:multiLevelType w:val="multilevel"/>
    <w:tmpl w:val="9D8046C6"/>
    <w:lvl w:ilvl="0" w:tentative="0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0016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iPriority="99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</w:style>
  <w:style w:type="paragraph" w:styleId="3">
    <w:name w:val="endnote text"/>
    <w:basedOn w:val="1"/>
    <w:unhideWhenUsed/>
    <w:qFormat/>
    <w:uiPriority w:val="99"/>
    <w:pPr>
      <w:adjustRightInd w:val="0"/>
      <w:snapToGrid w:val="0"/>
      <w:jc w:val="left"/>
      <w:textAlignment w:val="baseline"/>
    </w:pPr>
    <w:rPr>
      <w:rFonts w:ascii="Calibri" w:hAnsi="Calibri" w:eastAsia="Times New Roman"/>
    </w:rPr>
  </w:style>
  <w:style w:type="paragraph" w:customStyle="1" w:styleId="6">
    <w:name w:val="段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2025-07-18T07:32:41Z</dcterms:created>
  <dc:creator>10699</dc:creator>
  <cp:lastModifiedBy>ECHO</cp:lastModifiedBy>
  <dcterms:modified xsi:type="dcterms:W3CDTF">2025-07-18T07:33:04Z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eyJoZGlkIjoiZjYzYzc1NDdjNGVmYTY4MmU2MzY0NGNlYjY4NDg4ZDkiLCJ1c2VySWQiOiIzNTc2MjI4MDcifQ==</vt:lpwstr>
  </property>
  <property fmtid="{D5CDD505-2E9C-101B-9397-08002B2CF9AE}" pid="4" name="ICV">
    <vt:lpwstr>BC5D2BA0712647FDA09B53B1A9359DA2_12</vt:lpwstr>
  </property>
</Properties>
</file>