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3BBE">
      <w:pPr>
        <w:pStyle w:val="124"/>
        <w:framePr w:wrap="around"/>
        <w:rPr>
          <w:rFonts w:hint="eastAsia"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ICS 77.040</w:t>
      </w:r>
    </w:p>
    <w:p w14:paraId="4600A3D1">
      <w:pPr>
        <w:pStyle w:val="124"/>
        <w:framePr w:wrap="around"/>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CCS </w:t>
      </w:r>
      <w:bookmarkStart w:id="60" w:name="_GoBack"/>
      <w:bookmarkEnd w:id="60"/>
      <w:r>
        <w:rPr>
          <w:color w:val="000000" w:themeColor="text1"/>
          <w14:textFill>
            <w14:solidFill>
              <w14:schemeClr w14:val="tx1"/>
            </w14:solidFill>
          </w14:textFill>
        </w:rPr>
        <w:t>H</w:t>
      </w:r>
      <w:r>
        <w:rPr>
          <w:rFonts w:hint="eastAsia"/>
          <w:color w:val="000000" w:themeColor="text1"/>
          <w14:textFill>
            <w14:solidFill>
              <w14:schemeClr w14:val="tx1"/>
            </w14:solidFill>
          </w14:textFill>
        </w:rPr>
        <w:t xml:space="preserve"> 21</w:t>
      </w:r>
    </w:p>
    <w:p w14:paraId="219960D2">
      <w:pPr>
        <w:pStyle w:val="67"/>
        <w:framePr w:wrap="around"/>
        <w:rPr>
          <w:color w:val="000000"/>
        </w:rPr>
      </w:pPr>
      <w:r>
        <w:rPr>
          <w:color w:val="000000"/>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6" cstate="print"/>
                    <a:srcRect/>
                    <a:stretch>
                      <a:fillRect/>
                    </a:stretch>
                  </pic:blipFill>
                  <pic:spPr>
                    <a:xfrm>
                      <a:off x="0" y="0"/>
                      <a:ext cx="1438275" cy="723900"/>
                    </a:xfrm>
                    <a:prstGeom prst="rect">
                      <a:avLst/>
                    </a:prstGeom>
                    <a:noFill/>
                    <a:ln w="9525">
                      <a:noFill/>
                      <a:miter lim="800000"/>
                      <a:headEnd/>
                      <a:tailEnd/>
                    </a:ln>
                  </pic:spPr>
                </pic:pic>
              </a:graphicData>
            </a:graphic>
          </wp:inline>
        </w:drawing>
      </w:r>
    </w:p>
    <w:p w14:paraId="14240E3E">
      <w:pPr>
        <w:pStyle w:val="68"/>
        <w:framePr w:wrap="around"/>
        <w:rPr>
          <w:color w:val="000000"/>
        </w:rPr>
      </w:pPr>
      <w:r>
        <w:rPr>
          <w:rFonts w:hint="eastAsia"/>
          <w:color w:val="000000"/>
        </w:rPr>
        <w:t>中华人民共和国国家标准</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1521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46430B9B">
            <w:pPr>
              <w:pStyle w:val="48"/>
              <w:framePr w:wrap="around"/>
              <w:rPr>
                <w:color w:val="FF0000"/>
              </w:rPr>
            </w:pPr>
            <w:r>
              <w:rPr>
                <w:rFonts w:hAnsi="黑体" w:cs="黑体"/>
              </w:rPr>
              <w:t>GB/T XXXX</w:t>
            </w:r>
            <w:r>
              <w:rPr>
                <w:rFonts w:hint="eastAsia" w:hAnsi="黑体" w:cs="黑体"/>
              </w:rPr>
              <w:t>—</w:t>
            </w:r>
            <w:r>
              <w:rPr>
                <w:rFonts w:hAnsi="黑体" w:cs="黑体"/>
              </w:rPr>
              <w:t>XXXX</w:t>
            </w:r>
            <w:r>
              <w:rPr>
                <w:color w:val="FF0000"/>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1046955F">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YPLL1gAAAAgBAAAPAAAAAAAAAAEAIAAA&#10;ACIAAABkcnMvZG93bnJldi54bWxQSwECFAAUAAAACACHTuJAJagRug4CAAArBAAADgAAAAAAAAAB&#10;ACAAAAAlAQAAZHJzL2Uyb0RvYy54bWxQSwUGAAAAAAYABgBZAQAApQUAAAAA&#10;">
                      <v:fill on="t" focussize="0,0"/>
                      <v:stroke on="f"/>
                      <v:imagedata o:title=""/>
                      <o:lock v:ext="edit" aspectratio="f"/>
                      <v:textbox>
                        <w:txbxContent>
                          <w:p w14:paraId="1046955F">
                            <w:pPr>
                              <w:jc w:val="center"/>
                            </w:pPr>
                          </w:p>
                        </w:txbxContent>
                      </v:textbox>
                    </v:rect>
                  </w:pict>
                </mc:Fallback>
              </mc:AlternateContent>
            </w:r>
          </w:p>
        </w:tc>
      </w:tr>
    </w:tbl>
    <w:p w14:paraId="3374ED1F">
      <w:pPr>
        <w:pStyle w:val="48"/>
        <w:framePr w:wrap="around"/>
        <w:rPr>
          <w:color w:val="000000"/>
        </w:rPr>
      </w:pPr>
    </w:p>
    <w:p w14:paraId="27B988E4">
      <w:pPr>
        <w:pStyle w:val="48"/>
        <w:framePr w:wrap="around"/>
        <w:rPr>
          <w:color w:val="000000"/>
        </w:rPr>
      </w:pPr>
    </w:p>
    <w:p w14:paraId="4A5A61AE">
      <w:pPr>
        <w:pStyle w:val="79"/>
        <w:framePr w:wrap="around" w:x="1126" w:y="6391"/>
        <w:rPr>
          <w:color w:val="000000" w:themeColor="text1"/>
          <w14:textFill>
            <w14:solidFill>
              <w14:schemeClr w14:val="tx1"/>
            </w14:solidFill>
          </w14:textFill>
        </w:rPr>
      </w:pPr>
      <w:r>
        <w:rPr>
          <w:rFonts w:hint="eastAsia"/>
          <w:color w:val="000000" w:themeColor="text1"/>
          <w14:textFill>
            <w14:solidFill>
              <w14:schemeClr w14:val="tx1"/>
            </w14:solidFill>
          </w14:textFill>
        </w:rPr>
        <w:t>金刚石单晶抛光片位错密度</w:t>
      </w:r>
    </w:p>
    <w:p w14:paraId="13C56960">
      <w:pPr>
        <w:pStyle w:val="79"/>
        <w:framePr w:wrap="around" w:x="1126" w:y="6391"/>
        <w:rPr>
          <w:color w:val="000000" w:themeColor="text1"/>
          <w14:textFill>
            <w14:solidFill>
              <w14:schemeClr w14:val="tx1"/>
            </w14:solidFill>
          </w14:textFill>
        </w:rPr>
      </w:pPr>
      <w:r>
        <w:rPr>
          <w:rFonts w:hint="eastAsia"/>
          <w:color w:val="000000" w:themeColor="text1"/>
          <w14:textFill>
            <w14:solidFill>
              <w14:schemeClr w14:val="tx1"/>
            </w14:solidFill>
          </w14:textFill>
        </w:rPr>
        <w:t>测试方法</w:t>
      </w:r>
    </w:p>
    <w:p w14:paraId="381F4FF7">
      <w:pPr>
        <w:pStyle w:val="80"/>
        <w:framePr w:wrap="around" w:x="1126" w:y="6391"/>
        <w:rPr>
          <w:color w:val="000000" w:themeColor="text1"/>
          <w14:textFill>
            <w14:solidFill>
              <w14:schemeClr w14:val="tx1"/>
            </w14:solidFill>
          </w14:textFill>
        </w:rPr>
      </w:pPr>
      <w:r>
        <w:rPr>
          <w:rFonts w:hint="eastAsia"/>
          <w:color w:val="000000" w:themeColor="text1"/>
          <w14:textFill>
            <w14:solidFill>
              <w14:schemeClr w14:val="tx1"/>
            </w14:solidFill>
          </w14:textFill>
        </w:rPr>
        <w:t>Test</w:t>
      </w:r>
      <w:r>
        <w:rPr>
          <w:color w:val="000000" w:themeColor="text1"/>
          <w14:textFill>
            <w14:solidFill>
              <w14:schemeClr w14:val="tx1"/>
            </w14:solidFill>
          </w14:textFill>
        </w:rPr>
        <w:t xml:space="preserve"> method </w:t>
      </w:r>
      <w:r>
        <w:rPr>
          <w:rFonts w:hint="eastAsia"/>
          <w:color w:val="000000" w:themeColor="text1"/>
          <w14:textFill>
            <w14:solidFill>
              <w14:schemeClr w14:val="tx1"/>
            </w14:solidFill>
          </w14:textFill>
        </w:rPr>
        <w:t>for</w:t>
      </w:r>
      <w:r>
        <w:rPr>
          <w:color w:val="000000" w:themeColor="text1"/>
          <w14:textFill>
            <w14:solidFill>
              <w14:schemeClr w14:val="tx1"/>
            </w14:solidFill>
          </w14:textFill>
        </w:rPr>
        <w:t xml:space="preserve"> dislocation density</w:t>
      </w:r>
      <w:r>
        <w:rPr>
          <w:rFonts w:hint="eastAsia"/>
          <w:color w:val="000000" w:themeColor="text1"/>
          <w14:textFill>
            <w14:solidFill>
              <w14:schemeClr w14:val="tx1"/>
            </w14:solidFill>
          </w14:textFill>
        </w:rPr>
        <w:t xml:space="preserve"> of</w:t>
      </w:r>
      <w:r>
        <w:rPr>
          <w:color w:val="000000" w:themeColor="text1"/>
          <w14:textFill>
            <w14:solidFill>
              <w14:schemeClr w14:val="tx1"/>
            </w14:solidFill>
          </w14:textFill>
        </w:rPr>
        <w:t xml:space="preserve"> diamond single</w:t>
      </w:r>
    </w:p>
    <w:p w14:paraId="1768337C">
      <w:pPr>
        <w:pStyle w:val="80"/>
        <w:framePr w:wrap="around" w:x="1126" w:y="6391"/>
        <w:rPr>
          <w:color w:val="000000" w:themeColor="text1"/>
          <w14:textFill>
            <w14:solidFill>
              <w14:schemeClr w14:val="tx1"/>
            </w14:solidFill>
          </w14:textFill>
        </w:rPr>
      </w:pPr>
      <w:r>
        <w:rPr>
          <w:color w:val="000000" w:themeColor="text1"/>
          <w14:textFill>
            <w14:solidFill>
              <w14:schemeClr w14:val="tx1"/>
            </w14:solidFill>
          </w14:textFill>
        </w:rPr>
        <w:t xml:space="preserve"> crystal polished wafer</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9C12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38BEAF3">
            <w:pPr>
              <w:pStyle w:val="82"/>
              <w:framePr w:wrap="around" w:x="1126" w:y="6391"/>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635" t="0" r="0" b="444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053A250C">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JrpLVAAAACgEAAA8AAAAAAAAAAQAgAAAA&#10;IgAAAGRycy9kb3ducmV2LnhtbFBLAQIUABQAAAAIAIdO4kDxrCcFDgIAACsEAAAOAAAAAAAAAAEA&#10;IAAAACQBAABkcnMvZTJvRG9jLnhtbFBLBQYAAAAABgAGAFkBAACkBQAAAAA=&#10;">
                      <v:fill on="t" focussize="0,0"/>
                      <v:stroke on="f"/>
                      <v:imagedata o:title=""/>
                      <o:lock v:ext="edit" aspectratio="f"/>
                      <v:textbox>
                        <w:txbxContent>
                          <w:p w14:paraId="053A250C">
                            <w:pPr>
                              <w:jc w:val="center"/>
                            </w:pPr>
                          </w:p>
                        </w:txbxContent>
                      </v:textbox>
                      <w10:anchorlock/>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0" b="444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392094F7">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hi+XWAAAACQEAAA8AAAAAAAAAAQAgAAAA&#10;IgAAAGRycy9kb3ducmV2LnhtbFBLAQIUABQAAAAIAIdO4kBXXBOzDQIAACsEAAAOAAAAAAAAAAEA&#10;IAAAACUBAABkcnMvZTJvRG9jLnhtbFBLBQYAAAAABgAGAFkBAACkBQAAAAA=&#10;">
                      <v:fill on="t" focussize="0,0"/>
                      <v:stroke on="f"/>
                      <v:imagedata o:title=""/>
                      <o:lock v:ext="edit" aspectratio="f"/>
                      <v:textbox>
                        <w:txbxContent>
                          <w:p w14:paraId="392094F7">
                            <w:pPr>
                              <w:jc w:val="center"/>
                            </w:pPr>
                          </w:p>
                        </w:txbxContent>
                      </v:textbox>
                    </v:rect>
                  </w:pict>
                </mc:Fallback>
              </mc:AlternateContent>
            </w:r>
            <w:r>
              <w:rPr>
                <w:rFonts w:hint="eastAsia"/>
                <w:color w:val="000000" w:themeColor="text1"/>
                <w14:textFill>
                  <w14:solidFill>
                    <w14:schemeClr w14:val="tx1"/>
                  </w14:solidFill>
                </w14:textFill>
              </w:rPr>
              <w:t>（审定稿）</w:t>
            </w:r>
          </w:p>
        </w:tc>
      </w:tr>
      <w:tr w14:paraId="7C95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275CF12">
            <w:pPr>
              <w:pStyle w:val="83"/>
              <w:framePr w:wrap="around" w:x="1126" w:y="6391"/>
              <w:jc w:val="both"/>
              <w:rPr>
                <w:color w:val="000000"/>
              </w:rPr>
            </w:pPr>
          </w:p>
        </w:tc>
      </w:tr>
    </w:tbl>
    <w:p w14:paraId="13AE6E06">
      <w:pPr>
        <w:pStyle w:val="131"/>
        <w:framePr w:wrap="around" w:hAnchor="page" w:x="1246" w:y="13996"/>
        <w:rPr>
          <w:color w:val="000000"/>
        </w:rPr>
      </w:pPr>
      <w:r>
        <w:rPr>
          <w:rFonts w:ascii="黑体"/>
          <w:color w:val="000000"/>
        </w:rPr>
        <w:fldChar w:fldCharType="begin">
          <w:ffData>
            <w:name w:val="FY"/>
            <w:enabled/>
            <w:calcOnExit w:val="0"/>
            <w:textInput>
              <w:default w:val="XXXX"/>
              <w:maxLength w:val="4"/>
            </w:textInput>
          </w:ffData>
        </w:fldChar>
      </w:r>
      <w:bookmarkStart w:id="0" w:name="F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0"/>
      <w:r>
        <w:rPr>
          <w:color w:val="000000"/>
        </w:rPr>
        <w:t xml:space="preserve"> </w:t>
      </w:r>
      <w:r>
        <w:rPr>
          <w:rFonts w:ascii="黑体"/>
          <w:color w:val="000000"/>
        </w:rPr>
        <w:t>-</w:t>
      </w:r>
      <w:r>
        <w:rPr>
          <w:color w:val="000000"/>
        </w:rPr>
        <w:t xml:space="preserve"> </w:t>
      </w:r>
      <w:r>
        <w:rPr>
          <w:rFonts w:ascii="黑体"/>
          <w:color w:val="000000"/>
        </w:rPr>
        <w:fldChar w:fldCharType="begin">
          <w:ffData>
            <w:name w:val="FM"/>
            <w:enabled/>
            <w:calcOnExit w:val="0"/>
            <w:textInput>
              <w:default w:val="XX"/>
              <w:maxLength w:val="2"/>
            </w:textInput>
          </w:ffData>
        </w:fldChar>
      </w:r>
      <w:bookmarkStart w:id="1" w:name="F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1"/>
      <w:r>
        <w:rPr>
          <w:color w:val="000000"/>
        </w:rPr>
        <w:t xml:space="preserve"> </w:t>
      </w:r>
      <w:r>
        <w:rPr>
          <w:rFonts w:ascii="黑体"/>
          <w:color w:val="000000"/>
        </w:rPr>
        <w:t>-</w:t>
      </w:r>
      <w:r>
        <w:rPr>
          <w:color w:val="000000"/>
        </w:rPr>
        <w:t xml:space="preserve"> </w:t>
      </w:r>
      <w:r>
        <w:rPr>
          <w:rFonts w:ascii="黑体"/>
          <w:color w:val="000000"/>
        </w:rPr>
        <w:fldChar w:fldCharType="begin">
          <w:ffData>
            <w:name w:val="FD"/>
            <w:enabled/>
            <w:calcOnExit w:val="0"/>
            <w:textInput>
              <w:default w:val="XX"/>
              <w:maxLength w:val="2"/>
            </w:textInput>
          </w:ffData>
        </w:fldChar>
      </w:r>
      <w:bookmarkStart w:id="2" w:name="F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2"/>
      <w:r>
        <w:rPr>
          <w:rFonts w:hint="eastAsia"/>
          <w:color w:val="000000"/>
        </w:rPr>
        <w:t>发布</w:t>
      </w:r>
      <w:r>
        <w:rPr>
          <w:color w:val="000000"/>
        </w:rPr>
        <mc:AlternateContent>
          <mc:Choice Requires="wps">
            <w:drawing>
              <wp:anchor distT="0" distB="0" distL="114300" distR="114300" simplePos="0" relativeHeight="251659264"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59264;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25BFA4CA">
      <w:pPr>
        <w:pStyle w:val="132"/>
        <w:framePr w:wrap="around" w:hAnchor="page" w:x="7006" w:y="13906"/>
        <w:rPr>
          <w:color w:val="000000"/>
        </w:rPr>
      </w:pPr>
      <w:r>
        <w:rPr>
          <w:rFonts w:ascii="黑体"/>
          <w:color w:val="000000"/>
        </w:rPr>
        <w:fldChar w:fldCharType="begin">
          <w:ffData>
            <w:name w:val="SY"/>
            <w:enabled/>
            <w:calcOnExit w:val="0"/>
            <w:textInput>
              <w:default w:val="XXXX"/>
              <w:maxLength w:val="4"/>
            </w:textInput>
          </w:ffData>
        </w:fldChar>
      </w:r>
      <w:bookmarkStart w:id="3" w:name="S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3"/>
      <w:r>
        <w:rPr>
          <w:color w:val="000000"/>
        </w:rPr>
        <w:t xml:space="preserve"> </w:t>
      </w:r>
      <w:r>
        <w:rPr>
          <w:rFonts w:ascii="黑体"/>
          <w:color w:val="000000"/>
        </w:rPr>
        <w:t>-</w:t>
      </w:r>
      <w:r>
        <w:rPr>
          <w:color w:val="000000"/>
        </w:rPr>
        <w:t xml:space="preserve"> </w:t>
      </w:r>
      <w:r>
        <w:rPr>
          <w:rFonts w:ascii="黑体"/>
          <w:color w:val="000000"/>
        </w:rPr>
        <w:fldChar w:fldCharType="begin">
          <w:ffData>
            <w:name w:val="SM"/>
            <w:enabled/>
            <w:calcOnExit w:val="0"/>
            <w:textInput>
              <w:default w:val="XX"/>
              <w:maxLength w:val="2"/>
            </w:textInput>
          </w:ffData>
        </w:fldChar>
      </w:r>
      <w:bookmarkStart w:id="4" w:name="S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4"/>
      <w:r>
        <w:rPr>
          <w:color w:val="000000"/>
        </w:rPr>
        <w:t xml:space="preserve"> </w:t>
      </w:r>
      <w:r>
        <w:rPr>
          <w:rFonts w:ascii="黑体"/>
          <w:color w:val="000000"/>
        </w:rPr>
        <w:t>-</w:t>
      </w:r>
      <w:r>
        <w:rPr>
          <w:color w:val="000000"/>
        </w:rPr>
        <w:t xml:space="preserve"> </w:t>
      </w:r>
      <w:r>
        <w:rPr>
          <w:rFonts w:ascii="黑体"/>
          <w:color w:val="000000"/>
        </w:rPr>
        <w:fldChar w:fldCharType="begin">
          <w:ffData>
            <w:name w:val="SD"/>
            <w:enabled/>
            <w:calcOnExit w:val="0"/>
            <w:textInput>
              <w:default w:val="XX"/>
              <w:maxLength w:val="2"/>
            </w:textInput>
          </w:ffData>
        </w:fldChar>
      </w:r>
      <w:bookmarkStart w:id="5" w:name="S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5"/>
      <w:r>
        <w:rPr>
          <w:rFonts w:hint="eastAsia"/>
          <w:color w:val="000000"/>
        </w:rPr>
        <w:t>实施</w:t>
      </w:r>
    </w:p>
    <w:p w14:paraId="44218D3C">
      <w:pPr>
        <w:pStyle w:val="75"/>
        <w:framePr w:wrap="around"/>
        <w:rPr>
          <w:color w:val="000000"/>
        </w:rPr>
      </w:pPr>
      <w:r>
        <w:drawing>
          <wp:inline distT="0" distB="0" distL="0" distR="0">
            <wp:extent cx="3473450" cy="720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473450" cy="720090"/>
                    </a:xfrm>
                    <a:prstGeom prst="rect">
                      <a:avLst/>
                    </a:prstGeom>
                  </pic:spPr>
                </pic:pic>
              </a:graphicData>
            </a:graphic>
          </wp:inline>
        </w:drawing>
      </w:r>
    </w:p>
    <w:p w14:paraId="563404F2">
      <w:pPr>
        <w:pStyle w:val="24"/>
        <w:rPr>
          <w:color w:val="000000"/>
        </w:rPr>
        <w:sectPr>
          <w:pgSz w:w="11906" w:h="16838"/>
          <w:pgMar w:top="567" w:right="850" w:bottom="1134" w:left="1418" w:header="0" w:footer="0" w:gutter="0"/>
          <w:pgNumType w:fmt="upperRoman" w:start="1"/>
          <w:cols w:space="425" w:num="1"/>
          <w:docGrid w:type="lines" w:linePitch="312" w:charSpace="0"/>
        </w:sectPr>
      </w:pPr>
      <w:r>
        <w:rPr>
          <w:color w:val="000000"/>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sREIWsgBAACgAwAADgAAAAAAAAABACAAAAAmAQAAZHJz&#10;L2Uyb0RvYy54bWxQSwUGAAAAAAYABgBZAQAAYAUAAAAA&#10;">
                <v:fill on="f" focussize="0,0"/>
                <v:stroke color="#000000" joinstyle="round"/>
                <v:imagedata o:title=""/>
                <o:lock v:ext="edit" aspectratio="f"/>
              </v:line>
            </w:pict>
          </mc:Fallback>
        </mc:AlternateContent>
      </w:r>
    </w:p>
    <w:p w14:paraId="24AEA310">
      <w:pPr>
        <w:pStyle w:val="113"/>
        <w:rPr>
          <w:color w:val="000000"/>
        </w:rPr>
      </w:pPr>
      <w:r>
        <w:rPr>
          <w:rFonts w:hint="eastAsia"/>
          <w:color w:val="000000"/>
        </w:rPr>
        <w:t>前</w:t>
      </w:r>
      <w:bookmarkStart w:id="6" w:name="BKQY"/>
      <w:r>
        <w:rPr>
          <w:color w:val="000000"/>
        </w:rPr>
        <w:t>  </w:t>
      </w:r>
      <w:r>
        <w:rPr>
          <w:rFonts w:hint="eastAsia"/>
          <w:color w:val="000000"/>
        </w:rPr>
        <w:t>言</w:t>
      </w:r>
      <w:bookmarkEnd w:id="6"/>
    </w:p>
    <w:p w14:paraId="5AB26CE9">
      <w:pPr>
        <w:pStyle w:val="24"/>
        <w:rPr>
          <w:rFonts w:hint="eastAsia"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0A090728">
      <w:pPr>
        <w:pStyle w:val="24"/>
        <w:rPr>
          <w:color w:val="000000"/>
        </w:rPr>
      </w:pPr>
      <w:r>
        <w:rPr>
          <w:rFonts w:hint="eastAsia"/>
          <w:color w:val="000000"/>
        </w:rPr>
        <w:t>本文件由全国半导体设备和材料标准化技术委员会（SAC/TC203）与全国半导体设备和材料标准化技术委员会材料分技术委员会（SAC/TC203/SC2）共同提出并归口。</w:t>
      </w:r>
    </w:p>
    <w:p w14:paraId="17643B36">
      <w:pPr>
        <w:pStyle w:val="24"/>
        <w:rPr>
          <w:color w:val="000000"/>
        </w:rPr>
      </w:pPr>
      <w:r>
        <w:rPr>
          <w:rFonts w:hint="eastAsia"/>
          <w:color w:val="000000"/>
        </w:rPr>
        <w:t>本文件起草单位：中国科学院半导体研究所，德州学院，成都中科米格检测技术有限公司，中关村天合宽禁带半导体技术创新联盟，江苏卓远半导体有限责任公司，北京聚睿众邦科技有限公司，吉林大学，安徽光智科技有限公司，山东大学，</w:t>
      </w:r>
      <w:bookmarkStart w:id="7" w:name="OLE_LINK1"/>
      <w:r>
        <w:rPr>
          <w:rFonts w:hint="eastAsia"/>
          <w:color w:val="000000"/>
        </w:rPr>
        <w:t>西安德盟特半导体科技有限公司</w:t>
      </w:r>
      <w:bookmarkEnd w:id="7"/>
      <w:r>
        <w:rPr>
          <w:rFonts w:hint="eastAsia"/>
          <w:color w:val="000000"/>
        </w:rPr>
        <w:t>，合肥聚仪检测技术有限公司，北京聚仪共享科技有限公司，北京大学东莞光电研究院，浙江先导微电子科技有限公司。</w:t>
      </w:r>
    </w:p>
    <w:p w14:paraId="7B404A80">
      <w:pPr>
        <w:pStyle w:val="24"/>
        <w:rPr>
          <w:color w:val="000000"/>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r>
        <w:rPr>
          <w:rFonts w:hint="eastAsia"/>
          <w:color w:val="000000"/>
        </w:rPr>
        <w:t>本文件主要起草人：霍晓迪、曹繁秋、郑红军、王希玮、李国平、金鹏、闫方亮、冯梦阳、许敦洲、王镇、屈鹏霏、李红东、欧琳芳、王宏兴，丁晓民，于金凤。</w:t>
      </w:r>
    </w:p>
    <w:p w14:paraId="6C770011">
      <w:pPr>
        <w:pStyle w:val="51"/>
        <w:rPr>
          <w:color w:val="FF0000"/>
        </w:rPr>
      </w:pPr>
      <w:bookmarkStart w:id="8" w:name="StandardName"/>
      <w:r>
        <w:rPr>
          <w:rFonts w:hint="eastAsia"/>
        </w:rPr>
        <w:t>金刚石单晶抛光片位错密度的测试方法</w:t>
      </w:r>
      <w:bookmarkEnd w:id="8"/>
    </w:p>
    <w:p w14:paraId="2C4A77D9">
      <w:pPr>
        <w:pStyle w:val="46"/>
        <w:spacing w:before="312" w:after="312"/>
        <w:rPr>
          <w:color w:val="000000"/>
        </w:rPr>
      </w:pPr>
      <w:r>
        <w:rPr>
          <w:rFonts w:hint="eastAsia"/>
          <w:color w:val="000000"/>
        </w:rPr>
        <w:t>范围</w:t>
      </w:r>
    </w:p>
    <w:p w14:paraId="3FE49A6C">
      <w:pPr>
        <w:pStyle w:val="24"/>
      </w:pPr>
      <w:r>
        <w:rPr>
          <w:rFonts w:hint="eastAsia"/>
        </w:rPr>
        <w:t>本文件描述了金刚石单晶抛光片位错密度的干法刻蚀测试方法。</w:t>
      </w:r>
    </w:p>
    <w:p w14:paraId="7027F3DB">
      <w:pPr>
        <w:pStyle w:val="24"/>
        <w:rPr>
          <w:color w:val="000000"/>
        </w:rPr>
      </w:pPr>
      <w:r>
        <w:rPr>
          <w:rFonts w:hint="eastAsia"/>
          <w:color w:val="000000"/>
        </w:rPr>
        <w:t>本文件适用于金刚石单晶抛光片位错密度的测试。</w:t>
      </w:r>
    </w:p>
    <w:p w14:paraId="4004EBDD">
      <w:pPr>
        <w:pStyle w:val="46"/>
        <w:spacing w:before="312" w:after="312"/>
        <w:rPr>
          <w:color w:val="000000"/>
        </w:rPr>
      </w:pPr>
      <w:r>
        <w:rPr>
          <w:rFonts w:hint="eastAsia"/>
          <w:color w:val="000000"/>
        </w:rPr>
        <w:t>规范性引用文件</w:t>
      </w:r>
    </w:p>
    <w:p w14:paraId="17D953D5">
      <w:pPr>
        <w:pStyle w:val="24"/>
        <w:rPr>
          <w:color w:val="FF0000"/>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0271F7">
      <w:pPr>
        <w:widowControl/>
        <w:tabs>
          <w:tab w:val="center" w:pos="4201"/>
          <w:tab w:val="right" w:leader="dot" w:pos="9298"/>
        </w:tabs>
        <w:autoSpaceDE w:val="0"/>
        <w:autoSpaceDN w:val="0"/>
        <w:ind w:firstLine="420" w:firstLineChars="200"/>
        <w:rPr>
          <w:rFonts w:ascii="宋体"/>
          <w:kern w:val="0"/>
          <w:szCs w:val="20"/>
        </w:rPr>
      </w:pPr>
      <w:bookmarkStart w:id="9" w:name="OLE_LINK3"/>
      <w:r>
        <w:rPr>
          <w:rFonts w:hint="eastAsia" w:ascii="宋体"/>
          <w:kern w:val="0"/>
          <w:szCs w:val="20"/>
        </w:rPr>
        <w:t xml:space="preserve">GB/T 6379.2  </w:t>
      </w:r>
      <w:bookmarkEnd w:id="9"/>
      <w:r>
        <w:rPr>
          <w:rFonts w:hint="eastAsia" w:ascii="宋体"/>
          <w:kern w:val="0"/>
          <w:szCs w:val="20"/>
        </w:rPr>
        <w:t>测量方法与结果的准确度（正确度与精密度） 第2部分：确定标准测量方法重复性与再现性的基本方法</w:t>
      </w:r>
    </w:p>
    <w:p w14:paraId="0E9AAA76">
      <w:pPr>
        <w:widowControl/>
        <w:tabs>
          <w:tab w:val="center" w:pos="4201"/>
          <w:tab w:val="right" w:leader="dot" w:pos="9298"/>
        </w:tabs>
        <w:autoSpaceDE w:val="0"/>
        <w:autoSpaceDN w:val="0"/>
        <w:ind w:firstLine="420" w:firstLineChars="200"/>
        <w:rPr>
          <w:rFonts w:ascii="宋体"/>
          <w:kern w:val="0"/>
          <w:szCs w:val="21"/>
        </w:rPr>
      </w:pPr>
      <w:r>
        <w:rPr>
          <w:rFonts w:hint="eastAsia" w:ascii="宋体"/>
          <w:kern w:val="0"/>
          <w:szCs w:val="20"/>
        </w:rPr>
        <w:t>GB/T 6682  分析实验室用水规格和试验方法</w:t>
      </w:r>
    </w:p>
    <w:p w14:paraId="0771BDFE">
      <w:pPr>
        <w:autoSpaceDE w:val="0"/>
        <w:autoSpaceDN w:val="0"/>
        <w:adjustRightInd w:val="0"/>
        <w:ind w:firstLine="420" w:firstLineChars="200"/>
        <w:jc w:val="left"/>
      </w:pPr>
      <w:r>
        <w:rPr>
          <w:rFonts w:ascii="宋体" w:hAnsi="宋体" w:cs="AdobeHeitiStd-Regular"/>
          <w:kern w:val="0"/>
          <w:szCs w:val="21"/>
        </w:rPr>
        <w:t xml:space="preserve">GB/T 14264 </w:t>
      </w:r>
      <w:r>
        <w:rPr>
          <w:rFonts w:hint="eastAsia" w:ascii="宋体" w:hAnsi="宋体" w:cs="AdobeHeitiStd-Regular"/>
          <w:kern w:val="0"/>
          <w:szCs w:val="21"/>
        </w:rPr>
        <w:t xml:space="preserve"> 半导体材料术语</w:t>
      </w:r>
    </w:p>
    <w:p w14:paraId="57BF264D">
      <w:pPr>
        <w:pStyle w:val="46"/>
        <w:spacing w:before="312" w:after="312"/>
        <w:rPr>
          <w:color w:val="00B050"/>
        </w:rPr>
      </w:pPr>
      <w:r>
        <w:rPr>
          <w:rFonts w:hint="eastAsia"/>
          <w:color w:val="000000"/>
        </w:rPr>
        <w:t>术语和定义</w:t>
      </w:r>
    </w:p>
    <w:p w14:paraId="5B2D4B96">
      <w:pPr>
        <w:pStyle w:val="24"/>
        <w:rPr>
          <w:color w:val="000000"/>
        </w:rPr>
      </w:pPr>
      <w:r>
        <w:rPr>
          <w:rFonts w:hint="eastAsia"/>
          <w:color w:val="000000"/>
        </w:rPr>
        <w:t>GB/T 14264界定的术语和定义适用于本文件。</w:t>
      </w:r>
    </w:p>
    <w:p w14:paraId="64047042">
      <w:pPr>
        <w:pStyle w:val="46"/>
        <w:spacing w:before="312" w:after="312"/>
      </w:pPr>
      <w:r>
        <w:rPr>
          <w:rFonts w:hint="eastAsia"/>
        </w:rPr>
        <w:t>方法原理</w:t>
      </w:r>
    </w:p>
    <w:p w14:paraId="1953813A">
      <w:pPr>
        <w:pStyle w:val="24"/>
        <w:rPr>
          <w:rFonts w:ascii="Times New Roman"/>
          <w:szCs w:val="21"/>
        </w:rPr>
      </w:pPr>
      <w:r>
        <w:rPr>
          <w:rFonts w:hint="eastAsia" w:ascii="Times New Roman"/>
          <w:szCs w:val="21"/>
        </w:rPr>
        <w:t>对金刚石单晶抛光片采用</w:t>
      </w:r>
      <w:bookmarkStart w:id="10" w:name="_Hlk83193995"/>
      <w:r>
        <w:rPr>
          <w:rFonts w:hint="eastAsia" w:ascii="Times New Roman"/>
          <w:szCs w:val="21"/>
        </w:rPr>
        <w:t>氢气（</w:t>
      </w:r>
      <m:oMath>
        <m:sSub>
          <m:sSubPr>
            <m:ctrlPr>
              <w:rPr>
                <w:rFonts w:ascii="Cambria Math" w:hAnsi="Cambria Math"/>
                <w:iCs/>
              </w:rPr>
            </m:ctrlPr>
          </m:sSubPr>
          <m:e>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ascii="Times New Roman"/>
          <w:szCs w:val="21"/>
        </w:rPr>
        <w:t>）+氧气（</w:t>
      </w:r>
      <m:oMath>
        <m:sSub>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ascii="Times New Roman"/>
          <w:szCs w:val="21"/>
        </w:rPr>
        <w:t>）</w:t>
      </w:r>
      <w:bookmarkEnd w:id="10"/>
      <w:r>
        <w:rPr>
          <w:rFonts w:hint="eastAsia" w:ascii="Times New Roman"/>
          <w:szCs w:val="21"/>
        </w:rPr>
        <w:t>在等离子体环境下干法刻蚀处理。在此过程中，氧原子倾向于与金刚石晶格中位错周围的化学键较弱区域发生反应，导致这些区域的刻蚀速率显著高于其他区域。这种选择性刻蚀使得位错区域形成明显的刻蚀坑。在显微镜下观察并按一定规则统计这些具有特定形状的刻蚀坑，单位视场面积内的刻蚀坑个数即为位错密度。</w:t>
      </w:r>
    </w:p>
    <w:p w14:paraId="06D37B41">
      <w:pPr>
        <w:pStyle w:val="24"/>
        <w:ind w:firstLine="0" w:firstLineChars="0"/>
        <w:jc w:val="center"/>
        <w:rPr>
          <w:rFonts w:ascii="Times New Roman"/>
          <w:szCs w:val="21"/>
        </w:rPr>
      </w:pPr>
      <w:r>
        <w:drawing>
          <wp:inline distT="0" distB="0" distL="0" distR="0">
            <wp:extent cx="5290185" cy="1956435"/>
            <wp:effectExtent l="0" t="0" r="571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322424" cy="1968444"/>
                    </a:xfrm>
                    <a:prstGeom prst="rect">
                      <a:avLst/>
                    </a:prstGeom>
                    <a:noFill/>
                  </pic:spPr>
                </pic:pic>
              </a:graphicData>
            </a:graphic>
          </wp:inline>
        </w:drawing>
      </w:r>
    </w:p>
    <w:p w14:paraId="7A2C1F90">
      <w:pPr>
        <w:pStyle w:val="24"/>
        <w:jc w:val="center"/>
        <w:rPr>
          <w:rFonts w:ascii="Times New Roman"/>
          <w:szCs w:val="21"/>
        </w:rPr>
      </w:pPr>
    </w:p>
    <w:p w14:paraId="09C3C4F0">
      <w:pPr>
        <w:pStyle w:val="129"/>
        <w:spacing w:before="156" w:after="156"/>
        <w:rPr>
          <w:rFonts w:eastAsia="宋体"/>
        </w:rPr>
      </w:pPr>
      <w:r>
        <w:rPr>
          <w:rFonts w:hint="eastAsia"/>
        </w:rPr>
        <w:t>金刚石单晶抛光片位错密度测试方法原理图</w:t>
      </w:r>
    </w:p>
    <w:p w14:paraId="6907ACF3">
      <w:pPr>
        <w:pStyle w:val="46"/>
        <w:spacing w:before="312" w:after="312"/>
      </w:pPr>
      <w:r>
        <w:rPr>
          <w:rFonts w:hint="eastAsia"/>
        </w:rPr>
        <w:t>不确定因素</w:t>
      </w:r>
    </w:p>
    <w:p w14:paraId="7BFD512D">
      <w:pPr>
        <w:pStyle w:val="24"/>
        <w:numPr>
          <w:ilvl w:val="0"/>
          <w:numId w:val="18"/>
        </w:numPr>
        <w:ind w:firstLineChars="0"/>
      </w:pPr>
      <w:r>
        <w:rPr>
          <w:rFonts w:hint="eastAsia"/>
        </w:rPr>
        <w:t>样品制备</w:t>
      </w:r>
      <w:bookmarkStart w:id="11" w:name="_Toc3118"/>
      <w:bookmarkStart w:id="12" w:name="_Toc13547"/>
      <w:bookmarkStart w:id="13" w:name="_Hlk90582387"/>
      <w:r>
        <w:rPr>
          <w:rFonts w:hint="eastAsia"/>
        </w:rPr>
        <w:t>、测试仪器操作、测试机台维护后的调试，均对测试结果的准确性与稳定性有很大影响，相关的测试人员应经过严格的培训；</w:t>
      </w:r>
    </w:p>
    <w:p w14:paraId="40202315">
      <w:pPr>
        <w:pStyle w:val="24"/>
        <w:numPr>
          <w:ilvl w:val="0"/>
          <w:numId w:val="18"/>
        </w:numPr>
        <w:ind w:firstLineChars="0"/>
      </w:pPr>
      <w:r>
        <w:rPr>
          <w:rFonts w:hint="eastAsia"/>
        </w:rPr>
        <w:t>取点的位错个数在统计过程中会产生误差</w:t>
      </w:r>
      <w:bookmarkEnd w:id="11"/>
      <w:bookmarkEnd w:id="12"/>
      <w:r>
        <w:rPr>
          <w:rFonts w:hint="eastAsia"/>
        </w:rPr>
        <w:t>；</w:t>
      </w:r>
    </w:p>
    <w:p w14:paraId="0C51AFB9">
      <w:pPr>
        <w:pStyle w:val="24"/>
        <w:numPr>
          <w:ilvl w:val="0"/>
          <w:numId w:val="18"/>
        </w:numPr>
        <w:ind w:firstLineChars="0"/>
      </w:pPr>
      <w:r>
        <w:rPr>
          <w:rFonts w:hint="eastAsia"/>
        </w:rPr>
        <w:t>样品表面刻蚀坑会随着刻蚀时间的增加而逐渐增加直至趋于稳定。然而，若刻蚀时间过长，刻蚀作用将穿透样品表面，侵入其内部结构，导致无法准确表征样品表面的位错密度。故刻蚀时间是影响位错密度的重要因素，应选取刚趋于稳定时的刻蚀时间为佳。但因仪器、人员、测试过程等影响，刻蚀时间的选取必然会有所差异，产生误差；</w:t>
      </w:r>
    </w:p>
    <w:bookmarkEnd w:id="13"/>
    <w:p w14:paraId="2BEEC0A9">
      <w:pPr>
        <w:pStyle w:val="24"/>
        <w:numPr>
          <w:ilvl w:val="0"/>
          <w:numId w:val="18"/>
        </w:numPr>
        <w:ind w:firstLineChars="0"/>
      </w:pPr>
      <w:r>
        <w:rPr>
          <w:rFonts w:hint="eastAsia"/>
        </w:rPr>
        <w:t>样品测试面的晶向和表面粗糙度对测试结果有影响，建议确定晶向并抛光后测试</w:t>
      </w:r>
      <w:r>
        <w:t>。</w:t>
      </w:r>
    </w:p>
    <w:p w14:paraId="0161D9AE">
      <w:pPr>
        <w:pStyle w:val="24"/>
        <w:ind w:left="420" w:firstLine="0" w:firstLineChars="0"/>
      </w:pPr>
      <w:r>
        <w:rPr>
          <w:rFonts w:hint="eastAsia"/>
        </w:rPr>
        <w:t>应尽量排除这些干扰因素的影响。</w:t>
      </w:r>
    </w:p>
    <w:p w14:paraId="18EA1121">
      <w:pPr>
        <w:pStyle w:val="46"/>
        <w:spacing w:before="312" w:after="312"/>
        <w:rPr>
          <w:szCs w:val="21"/>
        </w:rPr>
      </w:pPr>
      <w:r>
        <w:rPr>
          <w:rFonts w:hint="eastAsia"/>
          <w:szCs w:val="21"/>
        </w:rPr>
        <w:t>试剂</w:t>
      </w:r>
    </w:p>
    <w:p w14:paraId="01711A00">
      <w:pPr>
        <w:pStyle w:val="24"/>
        <w:numPr>
          <w:ilvl w:val="0"/>
          <w:numId w:val="19"/>
        </w:numPr>
        <w:ind w:firstLineChars="0"/>
        <w:rPr>
          <w:rFonts w:ascii="Times New Roman"/>
        </w:rPr>
      </w:pPr>
      <w:bookmarkStart w:id="14" w:name="_Toc1730"/>
      <w:r>
        <w:rPr>
          <w:rFonts w:hint="eastAsia" w:hAnsi="黑体" w:cs="黑体"/>
        </w:rPr>
        <w:t>乙醇，分析纯</w:t>
      </w:r>
      <w:bookmarkEnd w:id="14"/>
      <w:r>
        <w:rPr>
          <w:rFonts w:hint="eastAsia" w:hAnsi="黑体" w:cs="黑体"/>
        </w:rPr>
        <w:t>，其浓度不少于99.8%</w:t>
      </w:r>
      <w:r>
        <w:rPr>
          <w:rFonts w:hint="eastAsia" w:ascii="Times New Roman"/>
        </w:rPr>
        <w:t>；</w:t>
      </w:r>
    </w:p>
    <w:p w14:paraId="6AFF1B3F">
      <w:pPr>
        <w:pStyle w:val="24"/>
        <w:numPr>
          <w:ilvl w:val="0"/>
          <w:numId w:val="19"/>
        </w:numPr>
        <w:ind w:firstLineChars="0"/>
        <w:rPr>
          <w:rFonts w:hint="eastAsia" w:hAnsi="黑体" w:cs="黑体"/>
        </w:rPr>
      </w:pPr>
      <w:bookmarkStart w:id="15" w:name="_Toc25619"/>
      <w:r>
        <w:rPr>
          <w:rFonts w:hint="eastAsia" w:hAnsi="黑体" w:cs="黑体"/>
        </w:rPr>
        <w:t>丙酮，分析纯</w:t>
      </w:r>
      <w:bookmarkEnd w:id="15"/>
      <w:r>
        <w:rPr>
          <w:rFonts w:hint="eastAsia" w:hAnsi="黑体" w:cs="黑体"/>
        </w:rPr>
        <w:t>，其浓度不少于99.5%；</w:t>
      </w:r>
    </w:p>
    <w:p w14:paraId="57C52CA5">
      <w:pPr>
        <w:pStyle w:val="24"/>
        <w:numPr>
          <w:ilvl w:val="0"/>
          <w:numId w:val="19"/>
        </w:numPr>
        <w:ind w:firstLineChars="0"/>
        <w:rPr>
          <w:rFonts w:hint="eastAsia" w:hAnsi="黑体" w:cs="黑体"/>
        </w:rPr>
      </w:pPr>
      <w:r>
        <w:rPr>
          <w:rFonts w:hint="eastAsia" w:hAnsi="黑体" w:cs="黑体"/>
        </w:rPr>
        <w:t>氮气，体积分数不少于</w:t>
      </w:r>
      <m:oMath>
        <m:r>
          <m:rPr/>
          <w:rPr>
            <w:rFonts w:ascii="Cambria Math" w:hAnsi="Cambria Math"/>
          </w:rPr>
          <m:t>99.999</m:t>
        </m:r>
        <m:r>
          <m:rPr/>
          <w:rPr>
            <w:rFonts w:hint="eastAsia" w:ascii="Cambria Math" w:hAnsi="Cambria Math"/>
          </w:rPr>
          <m:t>%</m:t>
        </m:r>
      </m:oMath>
      <w:r>
        <w:rPr>
          <w:rFonts w:hint="eastAsia" w:hAnsi="黑体" w:cs="黑体"/>
        </w:rPr>
        <w:t>。</w:t>
      </w:r>
    </w:p>
    <w:p w14:paraId="5D899F53">
      <w:pPr>
        <w:pStyle w:val="24"/>
      </w:pPr>
      <w:r>
        <w:rPr>
          <w:rFonts w:hint="eastAsia"/>
        </w:rPr>
        <w:t>除非另有说明，本文件所用试剂均为符合国家标准或行业标准的分析纯及以上试剂，所用水为</w:t>
      </w:r>
      <w:r>
        <w:t xml:space="preserve">GB/T 6682 </w:t>
      </w:r>
      <w:r>
        <w:rPr>
          <w:rFonts w:hint="eastAsia"/>
        </w:rPr>
        <w:t>规定的三级或以上蒸馏水或去离子水。</w:t>
      </w:r>
    </w:p>
    <w:p w14:paraId="118D1D34">
      <w:pPr>
        <w:pStyle w:val="46"/>
        <w:spacing w:before="312" w:after="312"/>
        <w:rPr>
          <w:color w:val="000000"/>
        </w:rPr>
      </w:pPr>
      <w:r>
        <w:rPr>
          <w:rFonts w:hint="eastAsia"/>
          <w:color w:val="000000"/>
        </w:rPr>
        <w:t>仪器设备</w:t>
      </w:r>
    </w:p>
    <w:p w14:paraId="6DA5FE26">
      <w:pPr>
        <w:pStyle w:val="43"/>
        <w:spacing w:before="156" w:after="156"/>
        <w:rPr>
          <w:color w:val="000000"/>
        </w:rPr>
      </w:pPr>
      <w:r>
        <w:rPr>
          <w:rFonts w:hint="eastAsia"/>
          <w:color w:val="000000"/>
        </w:rPr>
        <w:t>光学显微镜</w:t>
      </w:r>
    </w:p>
    <w:p w14:paraId="1B9613F2">
      <w:pPr>
        <w:pStyle w:val="24"/>
      </w:pPr>
      <w:r>
        <w:rPr>
          <w:rFonts w:hint="eastAsia"/>
        </w:rPr>
        <w:t>放大倍数为100</w:t>
      </w:r>
      <w:r>
        <w:t>~</w:t>
      </w:r>
      <w:r>
        <w:rPr>
          <w:rFonts w:hint="eastAsia"/>
        </w:rPr>
        <w:t>5000倍，能满足10.2规定的视场面积要求。测试前需对显微镜的各个放大倍数进行校准。即先使用一个已知长度的标准样品在显微镜下测量，然后通过调节显微镜的刻度尺，使其与标准长度相符。</w:t>
      </w:r>
    </w:p>
    <w:p w14:paraId="6787F9BD">
      <w:pPr>
        <w:pStyle w:val="43"/>
        <w:spacing w:before="156" w:after="156"/>
        <w:rPr>
          <w:color w:val="000000"/>
        </w:rPr>
      </w:pPr>
      <w:r>
        <w:rPr>
          <w:rFonts w:hint="eastAsia"/>
          <w:color w:val="000000"/>
        </w:rPr>
        <w:t>干法刻蚀设备</w:t>
      </w:r>
    </w:p>
    <w:p w14:paraId="621C239F">
      <w:pPr>
        <w:pStyle w:val="24"/>
        <w:numPr>
          <w:ilvl w:val="0"/>
          <w:numId w:val="20"/>
        </w:numPr>
        <w:ind w:firstLineChars="0"/>
        <w:rPr>
          <w:rFonts w:ascii="Times New Roman"/>
          <w:i/>
          <w:szCs w:val="21"/>
        </w:rPr>
      </w:pPr>
      <w:bookmarkStart w:id="16" w:name="_Toc41299125"/>
      <w:r>
        <w:rPr>
          <w:rFonts w:hint="eastAsia"/>
        </w:rPr>
        <w:t>反应气体应包括</w:t>
      </w:r>
      <m:oMath>
        <m:sSub>
          <m:sSubPr>
            <m:ctrlPr>
              <w:rPr>
                <w:rFonts w:ascii="Cambria Math" w:hAnsi="Cambria Math"/>
                <w:iCs/>
              </w:rPr>
            </m:ctrlPr>
          </m:sSubPr>
          <m:e>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ascii="Times New Roman"/>
          <w:szCs w:val="21"/>
        </w:rPr>
        <w:t>+</w:t>
      </w:r>
      <m:oMath>
        <m:sSub>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ascii="Times New Roman"/>
          <w:szCs w:val="21"/>
        </w:rPr>
        <w:t>，且流量比</w:t>
      </w:r>
      <m:oMath>
        <m:sSub>
          <m:sSubPr>
            <m:ctrlPr>
              <w:rPr>
                <w:rFonts w:ascii="Cambria Math" w:hAnsi="Cambria Math"/>
                <w:iCs/>
              </w:rPr>
            </m:ctrlPr>
          </m:sSubPr>
          <m:e>
            <m:sSub>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r>
              <m:rPr>
                <m:sty m:val="p"/>
              </m:rPr>
              <w:rPr>
                <w:rFonts w:ascii="Cambria Math" w:hAnsi="Cambria Math"/>
              </w:rPr>
              <m:t>:</m:t>
            </m:r>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ascii="Times New Roman"/>
        </w:rPr>
        <w:t>的范围需满足1~</w:t>
      </w:r>
      <w:r>
        <w:rPr>
          <w:rFonts w:ascii="Times New Roman"/>
        </w:rPr>
        <w:t>5</w:t>
      </w:r>
      <w:r>
        <w:rPr>
          <w:rFonts w:hint="eastAsia" w:ascii="Times New Roman"/>
        </w:rPr>
        <w:t>%的要求；</w:t>
      </w:r>
    </w:p>
    <w:p w14:paraId="6C8F69B2">
      <w:pPr>
        <w:pStyle w:val="24"/>
        <w:numPr>
          <w:ilvl w:val="0"/>
          <w:numId w:val="20"/>
        </w:numPr>
        <w:ind w:firstLineChars="0"/>
      </w:pPr>
      <w:r>
        <w:rPr>
          <w:rFonts w:hint="eastAsia"/>
        </w:rPr>
        <w:t>干法刻蚀系统需能够激励产生等离子体，且在等离子体或者其他加热装置下使得衬底表面的温度</w:t>
      </w:r>
      <m:oMath>
        <m:r>
          <m:rPr>
            <m:sty m:val="p"/>
          </m:rPr>
          <w:rPr>
            <w:rFonts w:ascii="Cambria Math" w:hAnsi="Cambria Math"/>
          </w:rPr>
          <m:t>≥</m:t>
        </m:r>
        <m:r>
          <m:rPr>
            <m:sty m:val="p"/>
          </m:rPr>
          <w:rPr>
            <w:rFonts w:hint="eastAsia" w:ascii="Cambria Math" w:hAnsi="Cambria Math"/>
          </w:rPr>
          <m:t>1000</m:t>
        </m:r>
        <m:r>
          <m:rPr>
            <m:sty m:val="p"/>
          </m:rPr>
          <w:rPr>
            <w:rFonts w:ascii="Cambria Math" w:hAnsi="Cambria Math"/>
          </w:rPr>
          <m:t>℃</m:t>
        </m:r>
      </m:oMath>
      <w:r>
        <w:rPr>
          <w:rFonts w:hint="eastAsia"/>
        </w:rPr>
        <w:t>；</w:t>
      </w:r>
    </w:p>
    <w:p w14:paraId="36694ED1">
      <w:pPr>
        <w:pStyle w:val="24"/>
        <w:ind w:left="420" w:firstLine="0" w:firstLineChars="0"/>
      </w:pPr>
      <w:r>
        <w:rPr>
          <w:rFonts w:hint="eastAsia"/>
        </w:rPr>
        <w:t>满足以上要求的干法刻蚀系统均可。</w:t>
      </w:r>
    </w:p>
    <w:p w14:paraId="71DAF4D7">
      <w:pPr>
        <w:pStyle w:val="46"/>
        <w:spacing w:before="312" w:after="312"/>
      </w:pPr>
      <w:r>
        <w:rPr>
          <w:rFonts w:hint="eastAsia"/>
        </w:rPr>
        <w:t>环境条件</w:t>
      </w:r>
    </w:p>
    <w:p w14:paraId="54D6B0D2">
      <w:pPr>
        <w:pStyle w:val="24"/>
        <w:ind w:firstLineChars="0"/>
      </w:pPr>
      <w:r>
        <w:rPr>
          <w:rFonts w:hint="eastAsia"/>
        </w:rPr>
        <w:t>环境温度15~30℃；环境湿度20%~80%。</w:t>
      </w:r>
    </w:p>
    <w:p w14:paraId="09B2F77C">
      <w:pPr>
        <w:pStyle w:val="46"/>
        <w:spacing w:before="312" w:after="312"/>
      </w:pPr>
      <w:bookmarkStart w:id="17" w:name="_Hlk202602741"/>
      <w:r>
        <w:rPr>
          <w:rFonts w:hint="eastAsia"/>
        </w:rPr>
        <w:t>测试样品</w:t>
      </w:r>
    </w:p>
    <w:bookmarkEnd w:id="17"/>
    <w:p w14:paraId="3D5C3796">
      <w:pPr>
        <w:pStyle w:val="24"/>
      </w:pPr>
      <w:r>
        <w:rPr>
          <w:rFonts w:hint="eastAsia"/>
        </w:rPr>
        <w:t>测试的金刚石单晶抛光片应明确其晶面指数及其对应的衍射角度，具有一定厚度的样品其待测面的定向精度应优于1</w:t>
      </w:r>
      <w:r>
        <w:t>°</w:t>
      </w:r>
      <w:r>
        <w:rPr>
          <w:rFonts w:hint="eastAsia"/>
        </w:rPr>
        <w:t>，表面粗糙度</w:t>
      </w:r>
      <m:oMath>
        <m:sSub>
          <m:sSubPr>
            <m:ctrlPr>
              <w:rPr>
                <w:rFonts w:ascii="Cambria Math" w:hAnsi="Cambria Math"/>
                <w:i/>
              </w:rPr>
            </m:ctrlPr>
          </m:sSubPr>
          <m:e>
            <m:r>
              <m:rPr/>
              <w:rPr>
                <w:rFonts w:hint="eastAsia" w:ascii="Cambria Math" w:hAnsi="Cambria Math"/>
              </w:rPr>
              <m:t>R</m:t>
            </m:r>
            <m:ctrlPr>
              <w:rPr>
                <w:rFonts w:ascii="Cambria Math" w:hAnsi="Cambria Math"/>
                <w:i/>
              </w:rPr>
            </m:ctrlPr>
          </m:e>
          <m:sub>
            <m:r>
              <m:rPr/>
              <w:rPr>
                <w:rFonts w:hint="eastAsia" w:ascii="Cambria Math" w:hAnsi="Cambria Math"/>
              </w:rPr>
              <m:t>a</m:t>
            </m:r>
            <m:ctrlPr>
              <w:rPr>
                <w:rFonts w:ascii="Cambria Math" w:hAnsi="Cambria Math"/>
                <w:i/>
              </w:rPr>
            </m:ctrlPr>
          </m:sub>
        </m:sSub>
      </m:oMath>
      <w:r>
        <w:rPr>
          <w:rFonts w:hint="eastAsia"/>
        </w:rPr>
        <w:t>一般应不大于于</w:t>
      </w:r>
      <w:r>
        <w:t xml:space="preserve">1 </w:t>
      </w:r>
      <m:oMath>
        <m:r>
          <m:rPr/>
          <w:rPr>
            <w:rFonts w:ascii="Cambria Math" w:hAnsi="Cambria Math"/>
          </w:rPr>
          <m:t>nm</m:t>
        </m:r>
      </m:oMath>
      <w:r>
        <w:rPr>
          <w:rFonts w:hint="eastAsia"/>
        </w:rPr>
        <w:t>。</w:t>
      </w:r>
    </w:p>
    <w:p w14:paraId="213010A7">
      <w:pPr>
        <w:pStyle w:val="46"/>
        <w:spacing w:before="312" w:after="312"/>
      </w:pPr>
      <w:r>
        <w:rPr>
          <w:rFonts w:hint="eastAsia"/>
        </w:rPr>
        <w:t>样品制备</w:t>
      </w:r>
    </w:p>
    <w:p w14:paraId="225FC1CE">
      <w:pPr>
        <w:pStyle w:val="43"/>
        <w:spacing w:before="156" w:after="156"/>
      </w:pPr>
      <w:r>
        <w:rPr>
          <w:rFonts w:hint="eastAsia"/>
        </w:rPr>
        <w:t>样品清洗</w:t>
      </w:r>
    </w:p>
    <w:p w14:paraId="4B31D4C7">
      <w:pPr>
        <w:pStyle w:val="24"/>
        <w:ind w:firstLine="440"/>
      </w:pPr>
      <w:r>
        <w:rPr>
          <w:rFonts w:hint="eastAsia" w:ascii="Calibri" w:hAnsi="Calibri" w:eastAsia="Calibri"/>
          <w:sz w:val="22"/>
          <w:szCs w:val="22"/>
        </w:rPr>
        <w:t>金刚石单晶抛光片在乙醇</w:t>
      </w:r>
      <w:r>
        <w:rPr>
          <w:rFonts w:ascii="Calibri" w:hAnsi="Calibri" w:eastAsia="Calibri"/>
          <w:sz w:val="22"/>
          <w:szCs w:val="22"/>
        </w:rPr>
        <w:t>/</w:t>
      </w:r>
      <w:r>
        <w:rPr>
          <w:rFonts w:hint="eastAsia" w:ascii="Calibri" w:hAnsi="Calibri" w:eastAsia="Calibri"/>
          <w:sz w:val="22"/>
          <w:szCs w:val="22"/>
        </w:rPr>
        <w:t>丙酮混合溶液（乙醇和丙酮比例体积比为</w:t>
      </w:r>
      <w:r>
        <w:rPr>
          <w:rFonts w:ascii="Calibri" w:hAnsi="Calibri" w:eastAsia="Calibri"/>
          <w:sz w:val="22"/>
          <w:szCs w:val="22"/>
        </w:rPr>
        <w:t>1:1</w:t>
      </w:r>
      <w:r>
        <w:rPr>
          <w:rFonts w:hint="eastAsia" w:ascii="Calibri" w:hAnsi="Calibri" w:eastAsia="Calibri"/>
          <w:sz w:val="22"/>
          <w:szCs w:val="22"/>
        </w:rPr>
        <w:t>）中超声</w:t>
      </w:r>
      <w:r>
        <w:rPr>
          <w:rFonts w:ascii="Calibri" w:hAnsi="Calibri" w:eastAsia="Calibri"/>
          <w:sz w:val="22"/>
          <w:szCs w:val="22"/>
        </w:rPr>
        <w:t>30</w:t>
      </w:r>
      <w:r>
        <w:rPr>
          <w:rFonts w:hint="eastAsia" w:ascii="Calibri" w:hAnsi="Calibri" w:eastAsia="Calibri"/>
          <w:sz w:val="22"/>
          <w:szCs w:val="22"/>
        </w:rPr>
        <w:t>分钟后，在</w:t>
      </w:r>
      <w:r>
        <w:rPr>
          <w:rFonts w:hint="eastAsia" w:hAnsi="宋体" w:cs="宋体"/>
          <w:sz w:val="22"/>
          <w:szCs w:val="22"/>
        </w:rPr>
        <w:t>蒸馏水或去离子水</w:t>
      </w:r>
      <w:r>
        <w:rPr>
          <w:rFonts w:hint="eastAsia" w:ascii="Calibri" w:hAnsi="Calibri" w:eastAsia="Calibri"/>
          <w:sz w:val="22"/>
          <w:szCs w:val="22"/>
        </w:rPr>
        <w:t>中超声</w:t>
      </w:r>
      <w:r>
        <w:rPr>
          <w:rFonts w:ascii="Calibri" w:hAnsi="Calibri" w:eastAsia="Calibri"/>
          <w:sz w:val="22"/>
          <w:szCs w:val="22"/>
        </w:rPr>
        <w:t>30</w:t>
      </w:r>
      <w:r>
        <w:rPr>
          <w:rFonts w:hint="eastAsia" w:ascii="Calibri" w:hAnsi="Calibri" w:eastAsia="Calibri"/>
          <w:sz w:val="22"/>
          <w:szCs w:val="22"/>
        </w:rPr>
        <w:t>分钟，再用高纯氮气吹扫表面至水分挥发完全后备用。</w:t>
      </w:r>
    </w:p>
    <w:p w14:paraId="3FF27D5D">
      <w:pPr>
        <w:pStyle w:val="43"/>
        <w:spacing w:before="156" w:after="156"/>
      </w:pPr>
      <w:r>
        <w:rPr>
          <w:rFonts w:hint="eastAsia"/>
        </w:rPr>
        <w:t>干法刻蚀</w:t>
      </w:r>
    </w:p>
    <w:p w14:paraId="3010695F">
      <w:pPr>
        <w:pStyle w:val="24"/>
      </w:pPr>
      <w:r>
        <w:rPr>
          <w:rFonts w:hint="eastAsia"/>
        </w:rPr>
        <w:t>将金刚石样品放置在可以进行干法刻蚀的设备中，该干法刻蚀的设备需能通入</w:t>
      </w:r>
      <m:oMath>
        <m:sSub>
          <m:sSubPr>
            <m:ctrlPr>
              <w:rPr>
                <w:rFonts w:ascii="Cambria Math" w:hAnsi="Cambria Math"/>
                <w:iCs/>
              </w:rPr>
            </m:ctrlPr>
          </m:sSubPr>
          <m:e>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iCs/>
        </w:rPr>
        <w:t>（</w:t>
      </w:r>
      <w:r>
        <w:rPr>
          <w:rFonts w:hint="eastAsia"/>
        </w:rPr>
        <w:t>体积分数不少于</w:t>
      </w:r>
      <m:oMath>
        <m:r>
          <m:rPr>
            <m:sty m:val="p"/>
          </m:rPr>
          <w:rPr>
            <w:rFonts w:ascii="Cambria Math" w:hAnsi="Cambria Math"/>
          </w:rPr>
          <m:t>99.999</m:t>
        </m:r>
        <m:r>
          <m:rPr>
            <m:sty m:val="p"/>
          </m:rPr>
          <w:rPr>
            <w:rFonts w:hint="eastAsia" w:ascii="Cambria Math" w:hAnsi="Cambria Math"/>
          </w:rPr>
          <m:t>%</m:t>
        </m:r>
      </m:oMath>
      <w:r>
        <w:rPr>
          <w:rFonts w:hint="eastAsia"/>
          <w:iCs/>
        </w:rPr>
        <w:t>）</w:t>
      </w:r>
      <w:r>
        <w:rPr>
          <w:rFonts w:hint="eastAsia"/>
        </w:rPr>
        <w:t>和</w:t>
      </w:r>
      <m:oMath>
        <m:sSub>
          <w:bookmarkStart w:id="18" w:name="_Hlk83194492"/>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oMath>
      <w:bookmarkEnd w:id="18"/>
      <w:r>
        <w:rPr>
          <w:rFonts w:hint="eastAsia"/>
          <w:iCs/>
        </w:rPr>
        <w:t>（</w:t>
      </w:r>
      <w:r>
        <w:rPr>
          <w:rFonts w:hint="eastAsia"/>
        </w:rPr>
        <w:t>体积分数不少于</w:t>
      </w:r>
      <m:oMath>
        <m:r>
          <m:rPr>
            <m:sty m:val="p"/>
          </m:rPr>
          <w:rPr>
            <w:rFonts w:ascii="Cambria Math" w:hAnsi="Cambria Math"/>
          </w:rPr>
          <m:t>99.999</m:t>
        </m:r>
        <m:r>
          <m:rPr>
            <m:sty m:val="p"/>
          </m:rPr>
          <w:rPr>
            <w:rFonts w:hint="eastAsia" w:ascii="Cambria Math" w:hAnsi="Cambria Math"/>
          </w:rPr>
          <m:t>%</m:t>
        </m:r>
      </m:oMath>
      <w:r>
        <w:rPr>
          <w:rFonts w:hint="eastAsia"/>
          <w:iCs/>
        </w:rPr>
        <w:t>）</w:t>
      </w:r>
      <w:r>
        <w:rPr>
          <w:rFonts w:hint="eastAsia"/>
        </w:rPr>
        <w:t>。</w:t>
      </w:r>
      <m:oMath>
        <m:sSub>
          <w:bookmarkStart w:id="19" w:name="_Hlk191209097"/>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rPr>
        <w:t>和</w:t>
      </w:r>
      <m:oMath>
        <m:sSub>
          <m:sSubPr>
            <m:ctrlPr>
              <w:rPr>
                <w:rFonts w:ascii="Cambria Math" w:hAnsi="Cambria Math"/>
                <w:iCs/>
              </w:rPr>
            </m:ctrlPr>
          </m:sSubPr>
          <m:e>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rPr>
        <w:t>的体积比</w:t>
      </w:r>
      <w:bookmarkEnd w:id="19"/>
      <w:r>
        <w:rPr>
          <w:rFonts w:hint="eastAsia"/>
        </w:rPr>
        <w:t>为</w:t>
      </w:r>
      <w:r>
        <w:t>1</w:t>
      </w:r>
      <w:r>
        <w:rPr>
          <w:rFonts w:hint="eastAsia"/>
        </w:rPr>
        <w:t>~</w:t>
      </w:r>
      <w:r>
        <w:t>5</w:t>
      </w:r>
      <w:r>
        <w:rPr>
          <w:rFonts w:hint="eastAsia"/>
        </w:rPr>
        <w:t>%之间，可根据设备和样品选择，功率可根据设备和样品进行选择，但需保证在刻蚀后均能观察到外貌相似的刻蚀坑。刻蚀时间可根据设备和样品进行选择，刻蚀时间应适中保证刻蚀坑不再随时间增加而显著增加且不能使得大的刻蚀坑覆盖小的刻蚀坑。</w:t>
      </w:r>
    </w:p>
    <w:p w14:paraId="719F3E1D">
      <w:pPr>
        <w:pStyle w:val="46"/>
        <w:spacing w:before="312" w:after="312"/>
      </w:pPr>
      <w:r>
        <w:rPr>
          <w:rFonts w:hint="eastAsia"/>
        </w:rPr>
        <w:t>测试程序</w:t>
      </w:r>
    </w:p>
    <w:p w14:paraId="3ED27EEE">
      <w:pPr>
        <w:pStyle w:val="43"/>
        <w:spacing w:before="156" w:after="156"/>
      </w:pPr>
      <w:r>
        <w:rPr>
          <w:rFonts w:hint="eastAsia"/>
        </w:rPr>
        <w:t>观察样品</w:t>
      </w:r>
    </w:p>
    <w:p w14:paraId="0FB05935">
      <w:pPr>
        <w:pStyle w:val="24"/>
      </w:pPr>
      <w:r>
        <w:rPr>
          <w:rFonts w:hint="eastAsia"/>
        </w:rPr>
        <w:t>肉眼观察样品是否有宏观缺陷及其分布情况，并做好记录。</w:t>
      </w:r>
    </w:p>
    <w:p w14:paraId="2D46C899">
      <w:pPr>
        <w:pStyle w:val="43"/>
        <w:spacing w:before="156" w:after="156"/>
      </w:pPr>
      <w:r>
        <w:rPr>
          <w:rFonts w:hint="eastAsia"/>
        </w:rPr>
        <w:t>选择视场面积</w:t>
      </w:r>
    </w:p>
    <w:p w14:paraId="7A4FB035">
      <w:pPr>
        <w:pStyle w:val="24"/>
      </w:pPr>
      <w:r>
        <w:rPr>
          <w:rFonts w:hint="eastAsia"/>
        </w:rPr>
        <w:t>将样品置于光学显微镜载物台上，放大倍数选择1</w:t>
      </w:r>
      <w:r>
        <w:t>0</w:t>
      </w:r>
      <w:r>
        <w:rPr>
          <w:rFonts w:hint="eastAsia"/>
        </w:rPr>
        <w:t>0~</w:t>
      </w:r>
      <w:r>
        <w:t>50</w:t>
      </w:r>
      <w:r>
        <w:rPr>
          <w:rFonts w:hint="eastAsia"/>
        </w:rPr>
        <w:t>00倍，扫视样品表面，</w:t>
      </w:r>
      <w:bookmarkStart w:id="20" w:name="_Hlk87197685"/>
      <w:r>
        <w:rPr>
          <w:rFonts w:hint="eastAsia"/>
        </w:rPr>
        <w:t>估算位错密度</w:t>
      </w:r>
      <w:bookmarkEnd w:id="20"/>
      <m:oMath>
        <m:sSub>
          <w:bookmarkStart w:id="21" w:name="_Hlk83216303"/>
          <m:sSubPr>
            <m:ctrlPr>
              <w:rPr>
                <w:rFonts w:ascii="Cambria Math" w:hAnsi="Cambria Math"/>
              </w:rPr>
            </m:ctrlPr>
          </m:sSubPr>
          <m:e>
            <m:r>
              <m:rPr/>
              <w:rPr>
                <w:rFonts w:hint="eastAsia" w:ascii="Cambria Math" w:hAnsi="Cambria Math"/>
              </w:rPr>
              <m:t>N</m:t>
            </m:r>
            <m:ctrlPr>
              <w:rPr>
                <w:rFonts w:ascii="Cambria Math" w:hAnsi="Cambria Math"/>
              </w:rPr>
            </m:ctrlPr>
          </m:e>
          <m:sub>
            <m:r>
              <m:rPr/>
              <w:rPr>
                <w:rFonts w:hint="eastAsia" w:ascii="Cambria Math" w:hAnsi="Cambria Math"/>
              </w:rPr>
              <m:t>d</m:t>
            </m:r>
            <m:ctrlPr>
              <w:rPr>
                <w:rFonts w:ascii="Cambria Math" w:hAnsi="Cambria Math"/>
              </w:rPr>
            </m:ctrlPr>
            <w:bookmarkEnd w:id="21"/>
          </m:sub>
        </m:sSub>
      </m:oMath>
      <w:r>
        <w:rPr>
          <w:rFonts w:hint="eastAsia"/>
        </w:rPr>
        <w:t>。根据位错密度</w:t>
      </w:r>
      <m:oMath>
        <m:sSub>
          <m:sSubPr>
            <m:ctrlPr>
              <w:rPr>
                <w:rFonts w:ascii="Cambria Math" w:hAnsi="Cambria Math"/>
              </w:rPr>
            </m:ctrlPr>
          </m:sSubPr>
          <m:e>
            <m:r>
              <m:rPr/>
              <w:rPr>
                <w:rFonts w:hint="eastAsia" w:ascii="Cambria Math" w:hAnsi="Cambria Math"/>
              </w:rPr>
              <m:t>N</m:t>
            </m:r>
            <m:ctrlPr>
              <w:rPr>
                <w:rFonts w:ascii="Cambria Math" w:hAnsi="Cambria Math"/>
              </w:rPr>
            </m:ctrlPr>
          </m:e>
          <m:sub>
            <m:r>
              <m:rPr/>
              <w:rPr>
                <w:rFonts w:hint="eastAsia" w:ascii="Cambria Math" w:hAnsi="Cambria Math"/>
              </w:rPr>
              <m:t>d</m:t>
            </m:r>
            <m:ctrlPr>
              <w:rPr>
                <w:rFonts w:ascii="Cambria Math" w:hAnsi="Cambria Math"/>
              </w:rPr>
            </m:ctrlPr>
          </m:sub>
        </m:sSub>
      </m:oMath>
      <w:r>
        <w:rPr>
          <w:rFonts w:hint="eastAsia"/>
        </w:rPr>
        <w:t>选取视场面积。选用的视场面积</w:t>
      </w:r>
      <m:oMath>
        <m:r>
          <m:rPr/>
          <w:rPr>
            <w:rFonts w:hint="eastAsia" w:ascii="Cambria Math" w:hAnsi="Cambria Math"/>
          </w:rPr>
          <m:t>S</m:t>
        </m:r>
      </m:oMath>
      <w:r>
        <w:rPr>
          <w:rFonts w:hint="eastAsia"/>
        </w:rPr>
        <w:t>应满足在该面积内位错个数为50~200之间为宜，可多但不能少于50个。位错密度和适宜的视场面积的对应关系如表1所示。本方法位错密度精确的测试范围为</w:t>
      </w:r>
      <m:oMath>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3</m:t>
            </m:r>
            <m:ctrlPr>
              <w:rPr>
                <w:rFonts w:ascii="Cambria Math" w:hAnsi="Cambria Math"/>
                <w:i/>
                <w:szCs w:val="21"/>
              </w:rPr>
            </m:ctrlPr>
          </m:sup>
        </m:sSup>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8</m:t>
            </m:r>
            <m:ctrlPr>
              <w:rPr>
                <w:rFonts w:ascii="Cambria Math" w:hAnsi="Cambria Math"/>
                <w:i/>
                <w:szCs w:val="21"/>
              </w:rPr>
            </m:ctrlPr>
          </m:sup>
        </m:sSup>
      </m:oMath>
      <w:r>
        <w:rPr>
          <w:rFonts w:hint="eastAsia"/>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r>
        <w:rPr>
          <w:rFonts w:hint="eastAsia"/>
          <w:szCs w:val="21"/>
        </w:rPr>
        <w:t>，位错密度处于其它范围准确度可能会降低</w:t>
      </w:r>
      <w:r>
        <w:rPr>
          <w:rFonts w:hint="eastAsia"/>
        </w:rPr>
        <w:t>。</w:t>
      </w:r>
    </w:p>
    <w:p w14:paraId="42E51486">
      <w:pPr>
        <w:spacing w:before="156" w:beforeLines="50" w:after="156" w:afterLines="50" w:line="360" w:lineRule="auto"/>
        <w:jc w:val="center"/>
        <w:rPr>
          <w:rFonts w:hint="eastAsia" w:ascii="黑体" w:hAnsi="黑体" w:eastAsia="黑体" w:cs="黑体"/>
          <w:bCs/>
          <w:sz w:val="20"/>
          <w:szCs w:val="20"/>
        </w:rPr>
      </w:pPr>
      <w:r>
        <w:rPr>
          <w:rFonts w:hint="eastAsia" w:ascii="黑体" w:hAnsi="黑体" w:eastAsia="黑体" w:cs="黑体"/>
          <w:bCs/>
          <w:sz w:val="20"/>
          <w:szCs w:val="20"/>
        </w:rPr>
        <w:t>表1  不同位错密度下适宜的视场面积</w:t>
      </w:r>
    </w:p>
    <w:tbl>
      <w:tblPr>
        <w:tblStyle w:val="1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tblGrid>
      <w:tr w14:paraId="714E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1BEF8BFA">
            <w:pPr>
              <w:widowControl/>
              <w:tabs>
                <w:tab w:val="center" w:pos="4201"/>
                <w:tab w:val="right" w:leader="dot" w:pos="9298"/>
              </w:tabs>
              <w:autoSpaceDE w:val="0"/>
              <w:autoSpaceDN w:val="0"/>
              <w:jc w:val="center"/>
              <w:rPr>
                <w:rFonts w:ascii="Times New Roman" w:hAnsi="Times New Roman"/>
                <w:szCs w:val="21"/>
              </w:rPr>
            </w:pPr>
            <w:r>
              <w:rPr>
                <w:rFonts w:hint="eastAsia" w:ascii="Times New Roman" w:hAnsi="Times New Roman"/>
                <w:szCs w:val="21"/>
              </w:rPr>
              <w:t xml:space="preserve">位错密度 </w:t>
            </w:r>
            <m:oMath>
              <m:sSub>
                <m:sSubPr>
                  <m:ctrlPr>
                    <w:rPr>
                      <w:rFonts w:ascii="Cambria Math" w:hAnsi="Cambria Math"/>
                    </w:rPr>
                  </m:ctrlPr>
                </m:sSubPr>
                <m:e>
                  <m:r>
                    <m:rPr/>
                    <w:rPr>
                      <w:rFonts w:hint="eastAsia" w:ascii="Cambria Math" w:hAnsi="Cambria Math"/>
                    </w:rPr>
                    <m:t>N</m:t>
                  </m:r>
                  <m:ctrlPr>
                    <w:rPr>
                      <w:rFonts w:ascii="Cambria Math" w:hAnsi="Cambria Math"/>
                    </w:rPr>
                  </m:ctrlPr>
                </m:e>
                <m:sub>
                  <m:r>
                    <m:rPr/>
                    <w:rPr>
                      <w:rFonts w:hint="eastAsia" w:ascii="Cambria Math" w:hAnsi="Cambria Math"/>
                    </w:rPr>
                    <m:t>d</m:t>
                  </m:r>
                  <m:ctrlPr>
                    <w:rPr>
                      <w:rFonts w:ascii="Cambria Math" w:hAnsi="Cambria Math"/>
                    </w:rPr>
                  </m:ctrlPr>
                </m:sub>
              </m:sSub>
            </m:oMath>
          </w:p>
        </w:tc>
        <w:tc>
          <w:tcPr>
            <w:tcW w:w="3115" w:type="dxa"/>
          </w:tcPr>
          <w:p w14:paraId="4FD9BA27">
            <w:pPr>
              <w:widowControl/>
              <w:tabs>
                <w:tab w:val="center" w:pos="4201"/>
                <w:tab w:val="right" w:leader="dot" w:pos="9298"/>
              </w:tabs>
              <w:autoSpaceDE w:val="0"/>
              <w:autoSpaceDN w:val="0"/>
              <w:jc w:val="center"/>
              <w:rPr>
                <w:rFonts w:ascii="Times New Roman" w:hAnsi="Times New Roman"/>
                <w:szCs w:val="21"/>
              </w:rPr>
            </w:pPr>
            <w:r>
              <w:rPr>
                <w:rFonts w:hint="eastAsia" w:ascii="Times New Roman" w:hAnsi="Times New Roman"/>
                <w:szCs w:val="21"/>
              </w:rPr>
              <w:t xml:space="preserve">适宜的视场面积 </w:t>
            </w:r>
            <m:oMath>
              <m:r>
                <m:rPr/>
                <w:rPr>
                  <w:rFonts w:hint="eastAsia" w:ascii="Cambria Math" w:hAnsi="Cambria Math"/>
                </w:rPr>
                <m:t>S</m:t>
              </m:r>
            </m:oMath>
          </w:p>
        </w:tc>
      </w:tr>
      <w:tr w14:paraId="783D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16767DB">
            <w:pPr>
              <w:widowControl/>
              <w:tabs>
                <w:tab w:val="center" w:pos="4201"/>
                <w:tab w:val="right" w:leader="dot" w:pos="9298"/>
              </w:tabs>
              <w:autoSpaceDE w:val="0"/>
              <w:autoSpaceDN w:val="0"/>
              <w:jc w:val="center"/>
              <w:rPr>
                <w:rFonts w:ascii="Times New Roman" w:hAnsi="Times New Roman"/>
                <w:szCs w:val="21"/>
              </w:rPr>
            </w:pPr>
            <m:oMath>
              <m:r>
                <m:rPr/>
                <w:rPr>
                  <w:rFonts w:ascii="Cambria Math" w:hAnsi="Cambria Math"/>
                  <w:szCs w:val="21"/>
                </w:rPr>
                <m:t>&lt;5×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4</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c>
          <w:tcPr>
            <w:tcW w:w="3115" w:type="dxa"/>
          </w:tcPr>
          <w:p w14:paraId="27082396">
            <w:pPr>
              <w:widowControl/>
              <w:tabs>
                <w:tab w:val="center" w:pos="4201"/>
                <w:tab w:val="right" w:leader="dot" w:pos="9298"/>
              </w:tabs>
              <w:autoSpaceDE w:val="0"/>
              <w:autoSpaceDN w:val="0"/>
              <w:jc w:val="center"/>
              <w:rPr>
                <w:rFonts w:ascii="Times New Roman" w:hAnsi="Times New Roman"/>
                <w:szCs w:val="21"/>
              </w:rPr>
            </w:pPr>
            <m:oMath>
              <m:r>
                <m:rPr/>
                <w:rPr>
                  <w:rFonts w:ascii="Cambria Math" w:hAnsi="Cambria Math"/>
                  <w:szCs w:val="21"/>
                </w:rPr>
                <m:t>1×</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r>
              <w:rPr>
                <w:rFonts w:hint="eastAsia" w:ascii="Times New Roman" w:hAnsi="Times New Roman"/>
                <w:szCs w:val="21"/>
              </w:rPr>
              <w:t xml:space="preserve"> </w:t>
            </w:r>
            <w:bookmarkStart w:id="22" w:name="_Hlk202621359"/>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bookmarkEnd w:id="22"/>
          </w:p>
        </w:tc>
      </w:tr>
      <w:tr w14:paraId="5457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BA4E952">
            <w:pPr>
              <w:widowControl/>
              <w:tabs>
                <w:tab w:val="center" w:pos="4201"/>
                <w:tab w:val="right" w:leader="dot" w:pos="9298"/>
              </w:tabs>
              <w:autoSpaceDE w:val="0"/>
              <w:autoSpaceDN w:val="0"/>
              <w:jc w:val="center"/>
              <w:rPr>
                <w:rFonts w:ascii="Times New Roman" w:hAnsi="Times New Roman"/>
                <w:szCs w:val="21"/>
              </w:rPr>
            </w:pPr>
            <m:oMath>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4</m:t>
                  </m:r>
                  <m:ctrlPr>
                    <w:rPr>
                      <w:rFonts w:ascii="Cambria Math" w:hAnsi="Cambria Math"/>
                      <w:i/>
                      <w:szCs w:val="21"/>
                    </w:rPr>
                  </m:ctrlPr>
                </m:sup>
              </m:sSup>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5</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c>
          <w:tcPr>
            <w:tcW w:w="3115" w:type="dxa"/>
          </w:tcPr>
          <w:p w14:paraId="6097C2EF">
            <w:pPr>
              <w:widowControl/>
              <w:tabs>
                <w:tab w:val="center" w:pos="4201"/>
                <w:tab w:val="right" w:leader="dot" w:pos="9298"/>
              </w:tabs>
              <w:autoSpaceDE w:val="0"/>
              <w:autoSpaceDN w:val="0"/>
              <w:jc w:val="center"/>
              <w:rPr>
                <w:rFonts w:ascii="Times New Roman" w:hAnsi="Times New Roman"/>
                <w:szCs w:val="21"/>
              </w:rPr>
            </w:pPr>
            <m:oMath>
              <m:r>
                <m:rPr/>
                <w:rPr>
                  <w:rFonts w:ascii="Cambria Math" w:hAnsi="Cambria Math"/>
                  <w:szCs w:val="21"/>
                </w:rPr>
                <m:t>1×</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−3</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r>
      <w:tr w14:paraId="372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5CB412A">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5</m:t>
                  </m:r>
                  <m:ctrlPr>
                    <w:rPr>
                      <w:rFonts w:ascii="Cambria Math" w:hAnsi="Cambria Math"/>
                      <w:i/>
                      <w:szCs w:val="21"/>
                    </w:rPr>
                  </m:ctrlPr>
                </m:sup>
              </m:sSup>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6</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c>
          <w:tcPr>
            <w:tcW w:w="3115" w:type="dxa"/>
          </w:tcPr>
          <w:p w14:paraId="718FDD11">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1×</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−4</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r>
      <w:tr w14:paraId="4784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C3772D3">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6</m:t>
                  </m:r>
                  <m:ctrlPr>
                    <w:rPr>
                      <w:rFonts w:ascii="Cambria Math" w:hAnsi="Cambria Math"/>
                      <w:i/>
                      <w:szCs w:val="21"/>
                    </w:rPr>
                  </m:ctrlPr>
                </m:sup>
              </m:sSup>
              <m:r>
                <m:rPr/>
                <w:rPr>
                  <w:rFonts w:ascii="Cambria Math" w:hAnsi="Cambria Math"/>
                  <w:szCs w:val="21"/>
                </w:rPr>
                <m: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7</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c>
          <w:tcPr>
            <w:tcW w:w="3115" w:type="dxa"/>
          </w:tcPr>
          <w:p w14:paraId="663CDA06">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1×</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−5</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r>
      <w:tr w14:paraId="7970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042584BC">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&gt;5×</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7</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c>
          <w:tcPr>
            <w:tcW w:w="3115" w:type="dxa"/>
          </w:tcPr>
          <w:p w14:paraId="2E61CFE1">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1×</m:t>
              </m:r>
              <m:sSup>
                <m:sSupPr>
                  <m:ctrlPr>
                    <w:rPr>
                      <w:rFonts w:ascii="Cambria Math" w:hAnsi="Cambria Math"/>
                      <w:i/>
                      <w:szCs w:val="21"/>
                    </w:rPr>
                  </m:ctrlPr>
                </m:sSupPr>
                <m:e>
                  <m:r>
                    <m:rPr/>
                    <w:rPr>
                      <w:rFonts w:ascii="Cambria Math" w:hAnsi="Cambria Math"/>
                      <w:szCs w:val="21"/>
                    </w:rPr>
                    <m:t>10</m:t>
                  </m:r>
                  <m:ctrlPr>
                    <w:rPr>
                      <w:rFonts w:ascii="Cambria Math" w:hAnsi="Cambria Math"/>
                      <w:i/>
                      <w:szCs w:val="21"/>
                    </w:rPr>
                  </m:ctrlPr>
                </m:e>
                <m:sup>
                  <m:r>
                    <m:rPr/>
                    <w:rPr>
                      <w:rFonts w:ascii="Cambria Math" w:hAnsi="Cambria Math"/>
                      <w:szCs w:val="21"/>
                    </w:rPr>
                    <m:t>−6</m:t>
                  </m:r>
                  <m:ctrlPr>
                    <w:rPr>
                      <w:rFonts w:ascii="Cambria Math" w:hAnsi="Cambria Math"/>
                      <w:i/>
                      <w:szCs w:val="21"/>
                    </w:rPr>
                  </m:ctrlPr>
                </m:sup>
              </m:sSup>
            </m:oMath>
            <w:r>
              <w:rPr>
                <w:rFonts w:hint="eastAsia" w:ascii="Times New Roman" w:hAnsi="Times New Roman"/>
                <w:szCs w:val="21"/>
              </w:rPr>
              <w:t xml:space="preserve"> </w:t>
            </w:r>
            <m:oMath>
              <m:sSup>
                <m:sSupPr>
                  <m:ctrlPr>
                    <w:rPr>
                      <w:rFonts w:ascii="Cambria Math" w:hAnsi="Cambria Math"/>
                      <w:i/>
                      <w:szCs w:val="21"/>
                    </w:rPr>
                  </m:ctrlPr>
                </m:sSupPr>
                <m:e>
                  <m:r>
                    <m:rPr/>
                    <w:rPr>
                      <w:rFonts w:hint="eastAsia" w:ascii="Cambria Math" w:hAnsi="Cambria Math"/>
                      <w:szCs w:val="21"/>
                    </w:rPr>
                    <m:t>cm</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oMath>
          </w:p>
        </w:tc>
      </w:tr>
    </w:tbl>
    <w:p w14:paraId="5DC1F74D">
      <w:pPr>
        <w:pStyle w:val="24"/>
        <w:ind w:firstLine="0" w:firstLineChars="0"/>
      </w:pPr>
    </w:p>
    <w:p w14:paraId="4B8B2F29">
      <w:pPr>
        <w:pStyle w:val="43"/>
        <w:spacing w:before="156" w:after="156"/>
      </w:pPr>
      <w:r>
        <w:rPr>
          <w:rFonts w:hint="eastAsia"/>
        </w:rPr>
        <w:t>选取测试点</w:t>
      </w:r>
    </w:p>
    <w:p w14:paraId="1E3EF68C">
      <w:pPr>
        <w:pStyle w:val="24"/>
        <w:rPr>
          <w:rFonts w:ascii="Times New Roman"/>
        </w:rPr>
      </w:pPr>
      <w:bookmarkStart w:id="23" w:name="_Hlk178501789"/>
      <w:r>
        <w:rPr>
          <w:rFonts w:ascii="Times New Roman"/>
        </w:rPr>
        <w:t>选点时，按照矩形阵列的方式进行选点。</w:t>
      </w:r>
    </w:p>
    <w:p w14:paraId="70850A16">
      <w:pPr>
        <w:pStyle w:val="47"/>
        <w:spacing w:before="156" w:after="156"/>
      </w:pPr>
      <w:r>
        <w:t>选择测试区域</w:t>
      </w:r>
    </w:p>
    <w:p w14:paraId="5E5051AD">
      <w:pPr>
        <w:pStyle w:val="24"/>
        <w:numPr>
          <w:ilvl w:val="0"/>
          <w:numId w:val="21"/>
        </w:numPr>
        <w:ind w:firstLineChars="0"/>
        <w:rPr>
          <w:rFonts w:ascii="Cambria Math" w:hAnsi="Cambria Math"/>
        </w:rPr>
      </w:pPr>
      <w:bookmarkStart w:id="24" w:name="_Hlk191218863"/>
      <w:r>
        <w:rPr>
          <w:rFonts w:ascii="Times New Roman"/>
        </w:rPr>
        <w:t>若样品为标准的矩形，则其测试区域即为该矩形</w:t>
      </w:r>
      <w:bookmarkStart w:id="25" w:name="_Hlk182169507"/>
      <w:r>
        <w:rPr>
          <w:rFonts w:hint="eastAsia" w:ascii="Times New Roman"/>
        </w:rPr>
        <w:t>去除</w:t>
      </w:r>
      <w:bookmarkEnd w:id="25"/>
      <w:r>
        <w:rPr>
          <w:rFonts w:ascii="Times New Roman"/>
        </w:rPr>
        <w:t>边缘不规则的部分</w:t>
      </w:r>
      <w:r>
        <w:rPr>
          <w:rFonts w:hint="eastAsia" w:ascii="Times New Roman"/>
        </w:rPr>
        <w:t>；</w:t>
      </w:r>
      <w:r>
        <w:rPr>
          <w:rFonts w:ascii="Times New Roman"/>
        </w:rPr>
        <w:t>若样品为类矩形，则其测试区域为样品上的最大内接矩形</w:t>
      </w:r>
      <w:r>
        <w:rPr>
          <w:rFonts w:hint="eastAsia" w:ascii="Times New Roman"/>
        </w:rPr>
        <w:t>去除</w:t>
      </w:r>
      <w:r>
        <w:rPr>
          <w:rFonts w:ascii="Times New Roman"/>
        </w:rPr>
        <w:t>边缘不规则的部分。</w:t>
      </w:r>
      <w:bookmarkStart w:id="26" w:name="_Hlk182169450"/>
      <w:r>
        <w:rPr>
          <w:rFonts w:hint="eastAsia" w:ascii="Times New Roman"/>
        </w:rPr>
        <w:t>此两类样品统称为测试区域为矩形的样品。</w:t>
      </w:r>
    </w:p>
    <w:bookmarkEnd w:id="26"/>
    <w:p w14:paraId="03D0BDD8">
      <w:pPr>
        <w:pStyle w:val="160"/>
        <w:numPr>
          <w:ilvl w:val="0"/>
          <w:numId w:val="21"/>
        </w:numPr>
        <w:ind w:firstLineChars="0"/>
        <w:rPr>
          <w:kern w:val="0"/>
          <w:szCs w:val="20"/>
        </w:rPr>
      </w:pPr>
      <w:r>
        <w:t>若样品为标准的圆形，则其测试区域即为该圆形</w:t>
      </w:r>
      <w:r>
        <w:rPr>
          <w:rFonts w:hint="eastAsia"/>
        </w:rPr>
        <w:t>去除</w:t>
      </w:r>
      <w:r>
        <w:t>边缘不规则的部分</w:t>
      </w:r>
      <w:r>
        <w:rPr>
          <w:rFonts w:hint="eastAsia"/>
        </w:rPr>
        <w:t>；</w:t>
      </w:r>
      <w:r>
        <w:t>若样品为类圆形，则其测试区域为最大内接圆形</w:t>
      </w:r>
      <w:r>
        <w:rPr>
          <w:rFonts w:hint="eastAsia"/>
        </w:rPr>
        <w:t>去除</w:t>
      </w:r>
      <w:r>
        <w:t>边缘不规则的部分。</w:t>
      </w:r>
      <w:r>
        <w:rPr>
          <w:rFonts w:hint="eastAsia"/>
          <w:kern w:val="0"/>
          <w:szCs w:val="20"/>
        </w:rPr>
        <w:t>此两类样品统称为测试区域为圆形的样品。</w:t>
      </w:r>
    </w:p>
    <w:bookmarkEnd w:id="24"/>
    <w:p w14:paraId="7A0FB16D">
      <w:pPr>
        <w:pStyle w:val="47"/>
        <w:spacing w:before="156" w:after="156"/>
      </w:pPr>
      <w:r>
        <w:t>生成测试点位阵列</w:t>
      </w:r>
      <w:r>
        <w:rPr>
          <w:rFonts w:hint="eastAsia"/>
        </w:rPr>
        <w:t>：</w:t>
      </w:r>
    </w:p>
    <w:p w14:paraId="47169803">
      <w:pPr>
        <w:pStyle w:val="24"/>
        <w:numPr>
          <w:ilvl w:val="0"/>
          <w:numId w:val="22"/>
        </w:numPr>
        <w:ind w:firstLineChars="0"/>
        <w:rPr>
          <w:rFonts w:ascii="Times New Roman"/>
        </w:rPr>
      </w:pPr>
      <w:r>
        <w:rPr>
          <w:rFonts w:ascii="Times New Roman"/>
        </w:rPr>
        <w:t>对于</w:t>
      </w:r>
      <w:bookmarkStart w:id="27" w:name="_Hlk140741188"/>
      <w:bookmarkStart w:id="28" w:name="_Hlk140742934"/>
      <w:r>
        <w:rPr>
          <w:rFonts w:ascii="Times New Roman"/>
        </w:rPr>
        <w:t>测试区域为矩形的</w:t>
      </w:r>
      <w:bookmarkEnd w:id="27"/>
      <w:r>
        <w:rPr>
          <w:rFonts w:ascii="Times New Roman"/>
        </w:rPr>
        <w:t>样品</w:t>
      </w:r>
      <w:bookmarkEnd w:id="28"/>
    </w:p>
    <w:p w14:paraId="3D5E94AA">
      <w:pPr>
        <w:pStyle w:val="24"/>
        <w:rPr>
          <w:rFonts w:ascii="Times New Roman"/>
        </w:rPr>
      </w:pPr>
      <w:bookmarkStart w:id="29" w:name="_Hlk202622622"/>
      <w:r>
        <w:rPr>
          <w:rFonts w:hint="eastAsia" w:ascii="Times New Roman"/>
        </w:rPr>
        <w:t>测试区域的长边长度为2a</w:t>
      </w:r>
      <w:bookmarkEnd w:id="29"/>
      <w:r>
        <w:rPr>
          <w:rFonts w:hint="eastAsia" w:ascii="Times New Roman"/>
        </w:rPr>
        <w:t>，短边长度为2b。然后以矩形的左上顶点为原点，长边方向为x轴，短边方向为y轴，建立坐标系。矩形阵列，点位间隔距离如表2所示。</w:t>
      </w:r>
    </w:p>
    <w:p w14:paraId="5F08CA34">
      <w:pPr>
        <w:pStyle w:val="24"/>
        <w:rPr>
          <w:rFonts w:ascii="Times New Roman"/>
        </w:rPr>
      </w:pPr>
    </w:p>
    <w:p w14:paraId="4D260872">
      <w:pPr>
        <w:spacing w:before="156" w:beforeLines="50" w:after="156" w:afterLines="50" w:line="360" w:lineRule="auto"/>
        <w:jc w:val="center"/>
        <w:rPr>
          <w:rFonts w:hint="eastAsia" w:ascii="黑体" w:hAnsi="黑体" w:eastAsia="黑体" w:cs="黑体"/>
          <w:bCs/>
          <w:sz w:val="20"/>
          <w:szCs w:val="20"/>
        </w:rPr>
      </w:pPr>
      <w:bookmarkStart w:id="30" w:name="_Hlk191071062"/>
      <w:bookmarkStart w:id="31" w:name="_Hlk142245476"/>
      <w:r>
        <w:rPr>
          <w:rFonts w:hint="eastAsia" w:ascii="黑体" w:hAnsi="黑体" w:eastAsia="黑体" w:cs="黑体"/>
          <w:bCs/>
          <w:sz w:val="20"/>
          <w:szCs w:val="20"/>
        </w:rPr>
        <w:t>表2  不同条件下的点位间隔距离</w:t>
      </w:r>
    </w:p>
    <w:bookmarkEnd w:id="30"/>
    <w:tbl>
      <w:tblPr>
        <w:tblStyle w:val="1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gridCol w:w="3115"/>
      </w:tblGrid>
      <w:tr w14:paraId="7E8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71EDE4C">
            <w:pPr>
              <w:widowControl/>
              <w:tabs>
                <w:tab w:val="center" w:pos="4201"/>
                <w:tab w:val="right" w:leader="dot" w:pos="9298"/>
              </w:tabs>
              <w:autoSpaceDE w:val="0"/>
              <w:autoSpaceDN w:val="0"/>
              <w:jc w:val="center"/>
              <w:rPr>
                <w:rFonts w:ascii="Times New Roman" w:hAnsi="Times New Roman"/>
                <w:szCs w:val="21"/>
              </w:rPr>
            </w:pPr>
            <w:bookmarkStart w:id="32" w:name="_Hlk191071085"/>
            <w:r>
              <w:rPr>
                <w:rFonts w:ascii="Times New Roman" w:hAnsi="Times New Roman"/>
                <w:szCs w:val="21"/>
              </w:rPr>
              <w:t>长度条件（</w:t>
            </w:r>
            <w:r>
              <w:rPr>
                <w:rFonts w:hint="eastAsia" w:ascii="Times New Roman" w:hAnsi="Times New Roman"/>
                <w:szCs w:val="21"/>
              </w:rPr>
              <w:t>2</w:t>
            </w:r>
            <w:r>
              <w:rPr>
                <w:rFonts w:ascii="Times New Roman" w:hAnsi="Times New Roman"/>
                <w:szCs w:val="21"/>
              </w:rPr>
              <w:t>a或</w:t>
            </w:r>
            <w:r>
              <w:rPr>
                <w:rFonts w:hint="eastAsia" w:ascii="Times New Roman" w:hAnsi="Times New Roman"/>
                <w:szCs w:val="21"/>
              </w:rPr>
              <w:t>2</w:t>
            </w:r>
            <w:r>
              <w:rPr>
                <w:rFonts w:ascii="Times New Roman" w:hAnsi="Times New Roman"/>
                <w:szCs w:val="21"/>
              </w:rPr>
              <w:t>b</w:t>
            </w:r>
            <w:r>
              <w:rPr>
                <w:rFonts w:hint="eastAsia" w:ascii="Times New Roman" w:hAnsi="Times New Roman"/>
                <w:szCs w:val="21"/>
              </w:rPr>
              <w:t>或2r</w:t>
            </w:r>
            <w:r>
              <w:rPr>
                <w:rFonts w:ascii="Times New Roman" w:hAnsi="Times New Roman"/>
                <w:szCs w:val="21"/>
              </w:rPr>
              <w:t>）</w:t>
            </w:r>
          </w:p>
        </w:tc>
        <w:tc>
          <w:tcPr>
            <w:tcW w:w="3115" w:type="dxa"/>
          </w:tcPr>
          <w:p w14:paraId="0642DE22">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x轴</w:t>
            </w:r>
          </w:p>
        </w:tc>
        <w:tc>
          <w:tcPr>
            <w:tcW w:w="3115" w:type="dxa"/>
          </w:tcPr>
          <w:p w14:paraId="4E506DA1">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y轴</w:t>
            </w:r>
          </w:p>
        </w:tc>
      </w:tr>
      <w:tr w14:paraId="3B6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8CC4674">
            <w:pPr>
              <w:widowControl/>
              <w:tabs>
                <w:tab w:val="center" w:pos="4201"/>
                <w:tab w:val="right" w:leader="dot" w:pos="9298"/>
              </w:tabs>
              <w:autoSpaceDE w:val="0"/>
              <w:autoSpaceDN w:val="0"/>
              <w:jc w:val="center"/>
              <w:rPr>
                <w:rFonts w:ascii="Times New Roman" w:hAnsi="Times New Roman"/>
                <w:szCs w:val="21"/>
              </w:rPr>
            </w:pPr>
            <w:bookmarkStart w:id="33" w:name="_Hlk179576668"/>
            <w:r>
              <w:rPr>
                <w:rFonts w:hint="eastAsia" w:ascii="Times New Roman" w:hAnsi="Times New Roman"/>
                <w:szCs w:val="21"/>
              </w:rPr>
              <w:t>&lt;</w:t>
            </w:r>
            <w:r>
              <w:rPr>
                <w:rFonts w:ascii="Times New Roman" w:hAnsi="Times New Roman"/>
                <w:szCs w:val="21"/>
              </w:rPr>
              <w:t xml:space="preserve">10 </w:t>
            </w:r>
            <w:r>
              <w:rPr>
                <w:rFonts w:hint="eastAsia" w:ascii="Times New Roman" w:hAnsi="Times New Roman"/>
                <w:szCs w:val="21"/>
              </w:rPr>
              <w:t>mm</w:t>
            </w:r>
          </w:p>
        </w:tc>
        <w:tc>
          <w:tcPr>
            <w:tcW w:w="3115" w:type="dxa"/>
          </w:tcPr>
          <w:p w14:paraId="3FB78976">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a</w:t>
            </w:r>
            <w:r>
              <w:rPr>
                <w:rFonts w:hint="eastAsia" w:ascii="Times New Roman" w:hAnsi="Times New Roman"/>
                <w:szCs w:val="21"/>
              </w:rPr>
              <w:t>（矩形） 或 r（圆形）</w:t>
            </w:r>
          </w:p>
        </w:tc>
        <w:tc>
          <w:tcPr>
            <w:tcW w:w="3115" w:type="dxa"/>
          </w:tcPr>
          <w:p w14:paraId="7F214BFB">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b</w:t>
            </w:r>
            <w:r>
              <w:rPr>
                <w:rFonts w:hint="eastAsia" w:ascii="Times New Roman" w:hAnsi="Times New Roman"/>
                <w:szCs w:val="21"/>
              </w:rPr>
              <w:t>（矩形） 或 r（圆形）</w:t>
            </w:r>
          </w:p>
        </w:tc>
      </w:tr>
      <w:tr w14:paraId="4C64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810AD93">
            <w:pPr>
              <w:widowControl/>
              <w:tabs>
                <w:tab w:val="center" w:pos="4201"/>
                <w:tab w:val="right" w:leader="dot" w:pos="9298"/>
              </w:tabs>
              <w:autoSpaceDE w:val="0"/>
              <w:autoSpaceDN w:val="0"/>
              <w:jc w:val="center"/>
              <w:rPr>
                <w:rFonts w:ascii="Times New Roman" w:hAnsi="Times New Roman"/>
                <w:szCs w:val="21"/>
              </w:rPr>
            </w:pPr>
            <w:bookmarkStart w:id="34" w:name="_Hlk142244954"/>
            <w:r>
              <w:rPr>
                <w:rFonts w:ascii="Times New Roman" w:hAnsi="Times New Roman"/>
                <w:szCs w:val="21"/>
              </w:rPr>
              <w:t xml:space="preserve">10 </w:t>
            </w:r>
            <w:r>
              <w:rPr>
                <w:rFonts w:hint="eastAsia" w:ascii="Times New Roman" w:hAnsi="Times New Roman"/>
                <w:szCs w:val="21"/>
              </w:rPr>
              <w:t>mm</w:t>
            </w:r>
            <m:oMath>
              <w:bookmarkStart w:id="35" w:name="OLE_LINK4"/>
              <m:r>
                <m:rPr/>
                <w:rPr>
                  <w:rFonts w:ascii="Cambria Math" w:hAnsi="Cambria Math"/>
                  <w:szCs w:val="21"/>
                </w:rPr>
                <m:t>≤</m:t>
              </m:r>
            </m:oMath>
            <w:bookmarkEnd w:id="35"/>
            <w:r>
              <w:rPr>
                <w:rFonts w:hint="eastAsia" w:ascii="Times New Roman" w:hAnsi="Times New Roman"/>
                <w:szCs w:val="21"/>
              </w:rPr>
              <w:t xml:space="preserve"> &amp; &lt;2</w:t>
            </w:r>
            <w:r>
              <w:rPr>
                <w:rFonts w:ascii="Times New Roman" w:hAnsi="Times New Roman"/>
                <w:szCs w:val="21"/>
              </w:rPr>
              <w:t xml:space="preserve">0 </w:t>
            </w:r>
            <w:r>
              <w:rPr>
                <w:rFonts w:hint="eastAsia" w:ascii="Times New Roman" w:hAnsi="Times New Roman"/>
                <w:szCs w:val="21"/>
              </w:rPr>
              <w:t>mm</w:t>
            </w:r>
          </w:p>
        </w:tc>
        <w:tc>
          <w:tcPr>
            <w:tcW w:w="3115" w:type="dxa"/>
          </w:tcPr>
          <w:p w14:paraId="12DFD358">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mm</w:t>
            </w:r>
          </w:p>
        </w:tc>
        <w:tc>
          <w:tcPr>
            <w:tcW w:w="3115" w:type="dxa"/>
          </w:tcPr>
          <w:p w14:paraId="2FBBA2DF">
            <w:pPr>
              <w:widowControl/>
              <w:tabs>
                <w:tab w:val="center" w:pos="4201"/>
                <w:tab w:val="right" w:leader="dot" w:pos="9298"/>
              </w:tabs>
              <w:autoSpaceDE w:val="0"/>
              <w:autoSpaceDN w:val="0"/>
              <w:jc w:val="center"/>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mm</w:t>
            </w:r>
          </w:p>
        </w:tc>
      </w:tr>
      <w:tr w14:paraId="12E0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3EEB011">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2</m:t>
              </m:r>
            </m:oMath>
            <w:r>
              <w:rPr>
                <w:rFonts w:ascii="Times New Roman" w:hAnsi="Times New Roman"/>
                <w:szCs w:val="21"/>
              </w:rPr>
              <w:t xml:space="preserve">0 </w:t>
            </w:r>
            <w:r>
              <w:rPr>
                <w:rFonts w:hint="eastAsia" w:ascii="Times New Roman" w:hAnsi="Times New Roman"/>
                <w:szCs w:val="21"/>
              </w:rPr>
              <w:t>mm</w:t>
            </w:r>
            <m:oMath>
              <m:r>
                <m:rPr/>
                <w:rPr>
                  <w:rFonts w:ascii="Cambria Math" w:hAnsi="Cambria Math"/>
                  <w:szCs w:val="21"/>
                </w:rPr>
                <m:t>≤</m:t>
              </m:r>
            </m:oMath>
            <w:r>
              <w:rPr>
                <w:rFonts w:hint="eastAsia" w:ascii="Times New Roman" w:hAnsi="Times New Roman"/>
                <w:szCs w:val="21"/>
              </w:rPr>
              <w:t xml:space="preserve"> &amp; &lt;4</w:t>
            </w:r>
            <w:r>
              <w:rPr>
                <w:rFonts w:ascii="Times New Roman" w:hAnsi="Times New Roman"/>
                <w:szCs w:val="21"/>
              </w:rPr>
              <w:t xml:space="preserve">0 </w:t>
            </w:r>
            <w:r>
              <w:rPr>
                <w:rFonts w:hint="eastAsia" w:ascii="Times New Roman" w:hAnsi="Times New Roman"/>
                <w:szCs w:val="21"/>
              </w:rPr>
              <w:t>mm</w:t>
            </w:r>
          </w:p>
        </w:tc>
        <w:tc>
          <w:tcPr>
            <w:tcW w:w="3115" w:type="dxa"/>
          </w:tcPr>
          <w:p w14:paraId="16E54B87">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10</w:t>
            </w:r>
            <w:r>
              <w:rPr>
                <w:rFonts w:ascii="Times New Roman" w:hAnsi="Times New Roman"/>
                <w:szCs w:val="21"/>
              </w:rPr>
              <w:t xml:space="preserve"> </w:t>
            </w:r>
            <w:r>
              <w:rPr>
                <w:rFonts w:hint="eastAsia" w:ascii="Times New Roman" w:hAnsi="Times New Roman"/>
                <w:szCs w:val="21"/>
              </w:rPr>
              <w:t>mm</w:t>
            </w:r>
          </w:p>
        </w:tc>
        <w:tc>
          <w:tcPr>
            <w:tcW w:w="3115" w:type="dxa"/>
          </w:tcPr>
          <w:p w14:paraId="758F3B3A">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10</w:t>
            </w:r>
            <w:r>
              <w:rPr>
                <w:rFonts w:ascii="Times New Roman" w:hAnsi="Times New Roman"/>
                <w:szCs w:val="21"/>
              </w:rPr>
              <w:t xml:space="preserve"> </w:t>
            </w:r>
            <w:r>
              <w:rPr>
                <w:rFonts w:hint="eastAsia" w:ascii="Times New Roman" w:hAnsi="Times New Roman"/>
                <w:szCs w:val="21"/>
              </w:rPr>
              <w:t>mm</w:t>
            </w:r>
          </w:p>
        </w:tc>
      </w:tr>
      <w:tr w14:paraId="039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C470B2B">
            <w:pPr>
              <w:widowControl/>
              <w:tabs>
                <w:tab w:val="center" w:pos="4201"/>
                <w:tab w:val="right" w:leader="dot" w:pos="9298"/>
              </w:tabs>
              <w:autoSpaceDE w:val="0"/>
              <w:autoSpaceDN w:val="0"/>
              <w:jc w:val="center"/>
              <w:rPr>
                <w:rFonts w:ascii="Calibri" w:hAnsi="Calibri"/>
                <w:szCs w:val="21"/>
              </w:rPr>
            </w:pPr>
            <m:oMath>
              <m:r>
                <m:rPr/>
                <w:rPr>
                  <w:rFonts w:ascii="Cambria Math" w:hAnsi="Cambria Math"/>
                  <w:szCs w:val="21"/>
                </w:rPr>
                <m:t>4</m:t>
              </m:r>
            </m:oMath>
            <w:r>
              <w:rPr>
                <w:rFonts w:ascii="Times New Roman" w:hAnsi="Times New Roman"/>
                <w:szCs w:val="21"/>
              </w:rPr>
              <w:t xml:space="preserve">0 </w:t>
            </w:r>
            <w:r>
              <w:rPr>
                <w:rFonts w:hint="eastAsia" w:ascii="Times New Roman" w:hAnsi="Times New Roman"/>
                <w:szCs w:val="21"/>
              </w:rPr>
              <w:t>mm</w:t>
            </w:r>
            <m:oMath>
              <m:r>
                <m:rPr/>
                <w:rPr>
                  <w:rFonts w:ascii="Cambria Math" w:hAnsi="Cambria Math"/>
                  <w:szCs w:val="21"/>
                </w:rPr>
                <m:t>≤</m:t>
              </m:r>
            </m:oMath>
            <w:r>
              <w:rPr>
                <w:rFonts w:hint="eastAsia" w:ascii="Times New Roman" w:hAnsi="Times New Roman"/>
                <w:szCs w:val="21"/>
              </w:rPr>
              <w:t xml:space="preserve"> &amp; &lt;8</w:t>
            </w:r>
            <w:r>
              <w:rPr>
                <w:rFonts w:ascii="Times New Roman" w:hAnsi="Times New Roman"/>
                <w:szCs w:val="21"/>
              </w:rPr>
              <w:t xml:space="preserve">0 </w:t>
            </w:r>
            <w:r>
              <w:rPr>
                <w:rFonts w:hint="eastAsia" w:ascii="Times New Roman" w:hAnsi="Times New Roman"/>
                <w:szCs w:val="21"/>
              </w:rPr>
              <w:t>mm</w:t>
            </w:r>
          </w:p>
        </w:tc>
        <w:tc>
          <w:tcPr>
            <w:tcW w:w="3115" w:type="dxa"/>
          </w:tcPr>
          <w:p w14:paraId="4C846A4E">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20</w:t>
            </w:r>
            <w:r>
              <w:rPr>
                <w:rFonts w:ascii="Times New Roman" w:hAnsi="Times New Roman"/>
                <w:szCs w:val="21"/>
              </w:rPr>
              <w:t xml:space="preserve"> </w:t>
            </w:r>
            <w:r>
              <w:rPr>
                <w:rFonts w:hint="eastAsia" w:ascii="Times New Roman" w:hAnsi="Times New Roman"/>
                <w:szCs w:val="21"/>
              </w:rPr>
              <w:t>mm</w:t>
            </w:r>
          </w:p>
        </w:tc>
        <w:tc>
          <w:tcPr>
            <w:tcW w:w="3115" w:type="dxa"/>
          </w:tcPr>
          <w:p w14:paraId="0EEF0B94">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20</w:t>
            </w:r>
            <w:r>
              <w:rPr>
                <w:rFonts w:ascii="Times New Roman" w:hAnsi="Times New Roman"/>
                <w:szCs w:val="21"/>
              </w:rPr>
              <w:t xml:space="preserve"> </w:t>
            </w:r>
            <w:r>
              <w:rPr>
                <w:rFonts w:hint="eastAsia" w:ascii="Times New Roman" w:hAnsi="Times New Roman"/>
                <w:szCs w:val="21"/>
              </w:rPr>
              <w:t>mm</w:t>
            </w:r>
          </w:p>
        </w:tc>
      </w:tr>
      <w:tr w14:paraId="2B55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546655F">
            <w:pPr>
              <w:widowControl/>
              <w:tabs>
                <w:tab w:val="center" w:pos="4201"/>
                <w:tab w:val="right" w:leader="dot" w:pos="9298"/>
              </w:tabs>
              <w:autoSpaceDE w:val="0"/>
              <w:autoSpaceDN w:val="0"/>
              <w:jc w:val="center"/>
              <w:rPr>
                <w:rFonts w:ascii="Calibri" w:hAnsi="Calibri"/>
                <w:szCs w:val="21"/>
              </w:rPr>
            </w:pPr>
            <m:oMath>
              <m:r>
                <m:rPr/>
                <w:rPr>
                  <w:rFonts w:hint="eastAsia" w:ascii="Cambria Math" w:hAnsi="Cambria Math"/>
                  <w:szCs w:val="21"/>
                </w:rPr>
                <m:t>≥</m:t>
              </m:r>
              <m:r>
                <m:rPr/>
                <w:rPr>
                  <w:rFonts w:ascii="Cambria Math" w:hAnsi="Cambria Math"/>
                  <w:szCs w:val="21"/>
                </w:rPr>
                <m:t>8</m:t>
              </m:r>
            </m:oMath>
            <w:r>
              <w:rPr>
                <w:rFonts w:ascii="Times New Roman" w:hAnsi="Times New Roman"/>
                <w:szCs w:val="21"/>
              </w:rPr>
              <w:t xml:space="preserve">0 </w:t>
            </w:r>
            <w:r>
              <w:rPr>
                <w:rFonts w:hint="eastAsia" w:ascii="Times New Roman" w:hAnsi="Times New Roman"/>
                <w:szCs w:val="21"/>
              </w:rPr>
              <w:t>mm</w:t>
            </w:r>
          </w:p>
        </w:tc>
        <w:tc>
          <w:tcPr>
            <w:tcW w:w="3115" w:type="dxa"/>
          </w:tcPr>
          <w:p w14:paraId="58ABCB3F">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40</w:t>
            </w:r>
            <w:r>
              <w:rPr>
                <w:rFonts w:ascii="Times New Roman" w:hAnsi="Times New Roman"/>
                <w:szCs w:val="21"/>
              </w:rPr>
              <w:t xml:space="preserve"> </w:t>
            </w:r>
            <w:r>
              <w:rPr>
                <w:rFonts w:hint="eastAsia" w:ascii="Times New Roman" w:hAnsi="Times New Roman"/>
                <w:szCs w:val="21"/>
              </w:rPr>
              <w:t>mm</w:t>
            </w:r>
          </w:p>
        </w:tc>
        <w:tc>
          <w:tcPr>
            <w:tcW w:w="3115" w:type="dxa"/>
          </w:tcPr>
          <w:p w14:paraId="51A112A4">
            <w:pPr>
              <w:widowControl/>
              <w:tabs>
                <w:tab w:val="center" w:pos="4201"/>
                <w:tab w:val="right" w:leader="dot" w:pos="9298"/>
              </w:tabs>
              <w:autoSpaceDE w:val="0"/>
              <w:autoSpaceDN w:val="0"/>
              <w:jc w:val="center"/>
              <w:rPr>
                <w:rFonts w:ascii="Calibri" w:hAnsi="Calibri"/>
                <w:szCs w:val="21"/>
              </w:rPr>
            </w:pPr>
            <w:r>
              <w:rPr>
                <w:rFonts w:hint="eastAsia" w:ascii="Times New Roman" w:hAnsi="Times New Roman"/>
                <w:szCs w:val="21"/>
              </w:rPr>
              <w:t>40</w:t>
            </w:r>
            <w:r>
              <w:rPr>
                <w:rFonts w:ascii="Times New Roman" w:hAnsi="Times New Roman"/>
                <w:szCs w:val="21"/>
              </w:rPr>
              <w:t xml:space="preserve"> </w:t>
            </w:r>
            <w:r>
              <w:rPr>
                <w:rFonts w:hint="eastAsia" w:ascii="Times New Roman" w:hAnsi="Times New Roman"/>
                <w:szCs w:val="21"/>
              </w:rPr>
              <w:t>mm</w:t>
            </w:r>
          </w:p>
        </w:tc>
      </w:tr>
      <w:bookmarkEnd w:id="31"/>
      <w:bookmarkEnd w:id="32"/>
      <w:bookmarkEnd w:id="33"/>
      <w:bookmarkEnd w:id="34"/>
    </w:tbl>
    <w:p w14:paraId="25F98070">
      <w:pPr>
        <w:widowControl/>
        <w:tabs>
          <w:tab w:val="center" w:pos="4201"/>
          <w:tab w:val="right" w:leader="dot" w:pos="9298"/>
        </w:tabs>
        <w:autoSpaceDE w:val="0"/>
        <w:autoSpaceDN w:val="0"/>
        <w:ind w:firstLine="420" w:firstLineChars="200"/>
        <w:rPr>
          <w:szCs w:val="18"/>
        </w:rPr>
      </w:pPr>
      <w:bookmarkStart w:id="36" w:name="_Hlk140743256"/>
    </w:p>
    <w:p w14:paraId="04A12802">
      <w:pPr>
        <w:widowControl/>
        <w:tabs>
          <w:tab w:val="center" w:pos="4201"/>
          <w:tab w:val="right" w:leader="dot" w:pos="9298"/>
        </w:tabs>
        <w:autoSpaceDE w:val="0"/>
        <w:autoSpaceDN w:val="0"/>
        <w:ind w:firstLine="420" w:firstLineChars="200"/>
        <w:rPr>
          <w:szCs w:val="18"/>
        </w:rPr>
      </w:pPr>
      <w:r>
        <w:rPr>
          <w:szCs w:val="18"/>
        </w:rPr>
        <w:t>确定好x轴和y轴的选点，然后交叉形成测试点位阵列。</w:t>
      </w:r>
    </w:p>
    <w:p w14:paraId="35889338">
      <w:pPr>
        <w:widowControl/>
        <w:tabs>
          <w:tab w:val="center" w:pos="4201"/>
          <w:tab w:val="right" w:leader="dot" w:pos="9298"/>
        </w:tabs>
        <w:autoSpaceDE w:val="0"/>
        <w:autoSpaceDN w:val="0"/>
        <w:ind w:firstLine="420" w:firstLineChars="200"/>
        <w:rPr>
          <w:szCs w:val="18"/>
        </w:rPr>
      </w:pPr>
      <w:r>
        <w:rPr>
          <w:rFonts w:hint="eastAsia"/>
          <w:szCs w:val="18"/>
        </w:rPr>
        <w:t>下面为一个示例，</w:t>
      </w:r>
      <w:bookmarkStart w:id="37" w:name="_Hlk202622665"/>
      <w:r>
        <w:rPr>
          <w:rFonts w:hint="eastAsia"/>
          <w:szCs w:val="18"/>
        </w:rPr>
        <w:t>矩形虚线方框</w:t>
      </w:r>
      <w:bookmarkEnd w:id="37"/>
      <w:r>
        <w:rPr>
          <w:rFonts w:hint="eastAsia"/>
          <w:szCs w:val="18"/>
        </w:rPr>
        <w:t>为测试区域，其中的红点为具体的测试点位。</w:t>
      </w:r>
    </w:p>
    <w:p w14:paraId="63E6C5AA">
      <w:pPr>
        <w:widowControl/>
        <w:tabs>
          <w:tab w:val="center" w:pos="4201"/>
          <w:tab w:val="right" w:leader="dot" w:pos="9298"/>
        </w:tabs>
        <w:autoSpaceDE w:val="0"/>
        <w:autoSpaceDN w:val="0"/>
        <w:ind w:firstLine="420" w:firstLineChars="200"/>
        <w:rPr>
          <w:szCs w:val="18"/>
        </w:rPr>
      </w:pPr>
      <w:bookmarkStart w:id="38" w:name="_Hlk179576803"/>
      <w:bookmarkStart w:id="39" w:name="_Hlk191219115"/>
      <w:r>
        <w:rPr>
          <w:rFonts w:hint="eastAsia"/>
          <w:szCs w:val="18"/>
        </w:rPr>
        <w:t>示例：其中10&lt;2a&lt;20 mm，10&lt;2b&lt;20 mm，</w:t>
      </w:r>
      <w:bookmarkEnd w:id="38"/>
      <w:r>
        <w:rPr>
          <w:rFonts w:hint="eastAsia"/>
          <w:szCs w:val="18"/>
        </w:rPr>
        <w:t>生成的测试点位阵列如图2所示</w:t>
      </w:r>
      <w:bookmarkEnd w:id="36"/>
      <w:r>
        <w:rPr>
          <w:rFonts w:hint="eastAsia"/>
          <w:szCs w:val="18"/>
        </w:rPr>
        <w:t>。图中n为正整数，取值为2或3</w:t>
      </w:r>
      <w:bookmarkStart w:id="40" w:name="_Hlk202628216"/>
      <w:r>
        <w:rPr>
          <w:rFonts w:hint="eastAsia"/>
          <w:szCs w:val="18"/>
        </w:rPr>
        <w:t>；2a为矩形虚线方框的长边长度；2b为矩形虚线方框的短边长度</w:t>
      </w:r>
      <w:bookmarkEnd w:id="40"/>
      <w:r>
        <w:rPr>
          <w:rFonts w:hint="eastAsia"/>
          <w:szCs w:val="18"/>
        </w:rPr>
        <w:t>。</w:t>
      </w:r>
    </w:p>
    <w:p w14:paraId="552ED7BD">
      <w:pPr>
        <w:pStyle w:val="24"/>
        <w:ind w:firstLine="0" w:firstLineChars="0"/>
        <w:jc w:val="center"/>
        <w:rPr>
          <w:rFonts w:ascii="Times New Roman"/>
          <w:kern w:val="2"/>
          <w:szCs w:val="18"/>
        </w:rPr>
      </w:pPr>
      <w:r>
        <w:rPr>
          <w:rFonts w:ascii="Times New Roman"/>
          <w:kern w:val="2"/>
          <w:szCs w:val="18"/>
        </w:rPr>
        <w:drawing>
          <wp:inline distT="0" distB="0" distL="0" distR="0">
            <wp:extent cx="3352800" cy="2720340"/>
            <wp:effectExtent l="0" t="0" r="0" b="3810"/>
            <wp:docPr id="14232249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4982"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l="1932" t="2082" r="1484" b="2886"/>
                    <a:stretch>
                      <a:fillRect/>
                    </a:stretch>
                  </pic:blipFill>
                  <pic:spPr>
                    <a:xfrm>
                      <a:off x="0" y="0"/>
                      <a:ext cx="3384941" cy="2746069"/>
                    </a:xfrm>
                    <a:prstGeom prst="rect">
                      <a:avLst/>
                    </a:prstGeom>
                    <a:noFill/>
                    <a:ln>
                      <a:noFill/>
                    </a:ln>
                  </pic:spPr>
                </pic:pic>
              </a:graphicData>
            </a:graphic>
          </wp:inline>
        </w:drawing>
      </w:r>
    </w:p>
    <w:bookmarkEnd w:id="39"/>
    <w:p w14:paraId="192E4FCF">
      <w:pPr>
        <w:pStyle w:val="129"/>
        <w:spacing w:before="156" w:after="156"/>
        <w:rPr>
          <w:sz w:val="20"/>
          <w:szCs w:val="21"/>
        </w:rPr>
      </w:pPr>
      <w:r>
        <w:rPr>
          <w:sz w:val="20"/>
          <w:szCs w:val="21"/>
        </w:rPr>
        <w:t xml:space="preserve"> </w:t>
      </w:r>
      <w:r>
        <w:rPr>
          <w:rFonts w:hint="eastAsia"/>
          <w:sz w:val="20"/>
          <w:szCs w:val="21"/>
        </w:rPr>
        <w:t>测试区域为矩形的测试点位阵列示意图</w:t>
      </w:r>
    </w:p>
    <w:p w14:paraId="20B87DF6">
      <w:pPr>
        <w:pStyle w:val="24"/>
        <w:numPr>
          <w:ilvl w:val="0"/>
          <w:numId w:val="22"/>
        </w:numPr>
        <w:ind w:firstLineChars="0"/>
        <w:rPr>
          <w:rFonts w:ascii="Times New Roman"/>
        </w:rPr>
      </w:pPr>
      <w:r>
        <w:rPr>
          <w:rFonts w:ascii="Times New Roman"/>
        </w:rPr>
        <w:t>对于测试区域为圆形的样品</w:t>
      </w:r>
    </w:p>
    <w:p w14:paraId="4D8CFF60">
      <w:pPr>
        <w:pStyle w:val="24"/>
        <w:rPr>
          <w:rFonts w:ascii="Times New Roman" w:eastAsiaTheme="minorEastAsia"/>
          <w:szCs w:val="21"/>
        </w:rPr>
      </w:pPr>
      <w:bookmarkStart w:id="41" w:name="_Hlk179576863"/>
      <w:r>
        <w:rPr>
          <w:rFonts w:ascii="Times New Roman" w:eastAsiaTheme="minorEastAsia"/>
          <w:szCs w:val="21"/>
        </w:rPr>
        <w:t>测试区域的</w:t>
      </w:r>
      <w:r>
        <w:rPr>
          <w:rFonts w:hint="eastAsia" w:ascii="Times New Roman" w:eastAsiaTheme="minorEastAsia"/>
          <w:szCs w:val="21"/>
        </w:rPr>
        <w:t>直</w:t>
      </w:r>
      <w:r>
        <w:rPr>
          <w:rFonts w:ascii="Times New Roman" w:eastAsiaTheme="minorEastAsia"/>
          <w:szCs w:val="21"/>
        </w:rPr>
        <w:t>径为2r。然后以圆形的圆心为原点，横向为x轴，纵向为y轴，建立坐标系。</w:t>
      </w:r>
      <w:bookmarkStart w:id="42" w:name="_Hlk191219164"/>
      <w:r>
        <w:rPr>
          <w:rFonts w:hint="eastAsia" w:ascii="Times New Roman"/>
        </w:rPr>
        <w:t>矩形阵列，点位间隔距离如表2所示。</w:t>
      </w:r>
    </w:p>
    <w:bookmarkEnd w:id="42"/>
    <w:p w14:paraId="39EC982C">
      <w:pPr>
        <w:widowControl/>
        <w:tabs>
          <w:tab w:val="center" w:pos="4201"/>
          <w:tab w:val="right" w:leader="dot" w:pos="9298"/>
        </w:tabs>
        <w:autoSpaceDE w:val="0"/>
        <w:autoSpaceDN w:val="0"/>
        <w:ind w:firstLine="420" w:firstLineChars="200"/>
        <w:rPr>
          <w:rFonts w:eastAsiaTheme="minorEastAsia"/>
          <w:szCs w:val="21"/>
        </w:rPr>
      </w:pPr>
      <w:r>
        <w:rPr>
          <w:rFonts w:eastAsiaTheme="minorEastAsia"/>
          <w:szCs w:val="21"/>
        </w:rPr>
        <w:t>确定好x轴和y轴的选点，然后交叉形成测试点位阵列。</w:t>
      </w:r>
    </w:p>
    <w:p w14:paraId="4496AE05">
      <w:pPr>
        <w:widowControl/>
        <w:tabs>
          <w:tab w:val="center" w:pos="4201"/>
          <w:tab w:val="right" w:leader="dot" w:pos="9298"/>
        </w:tabs>
        <w:autoSpaceDE w:val="0"/>
        <w:autoSpaceDN w:val="0"/>
        <w:ind w:firstLine="420" w:firstLineChars="200"/>
        <w:rPr>
          <w:rFonts w:eastAsiaTheme="minorEastAsia"/>
          <w:szCs w:val="21"/>
        </w:rPr>
      </w:pPr>
      <w:bookmarkStart w:id="43" w:name="_Hlk191219239"/>
      <w:r>
        <w:rPr>
          <w:rFonts w:eastAsiaTheme="minorEastAsia"/>
          <w:szCs w:val="21"/>
        </w:rPr>
        <w:t>下面为</w:t>
      </w:r>
      <w:r>
        <w:rPr>
          <w:rFonts w:hint="eastAsia" w:eastAsiaTheme="minorEastAsia"/>
          <w:szCs w:val="21"/>
        </w:rPr>
        <w:t>一</w:t>
      </w:r>
      <w:r>
        <w:rPr>
          <w:rFonts w:eastAsiaTheme="minorEastAsia"/>
          <w:szCs w:val="21"/>
        </w:rPr>
        <w:t>个示例，</w:t>
      </w:r>
      <w:r>
        <w:rPr>
          <w:rFonts w:hint="eastAsia" w:eastAsiaTheme="minorEastAsia"/>
          <w:szCs w:val="21"/>
        </w:rPr>
        <w:t>圆</w:t>
      </w:r>
      <w:r>
        <w:rPr>
          <w:rFonts w:eastAsiaTheme="minorEastAsia"/>
          <w:szCs w:val="21"/>
        </w:rPr>
        <w:t>形虚线为测试区域，其中的红点为具体的测试点位。</w:t>
      </w:r>
    </w:p>
    <w:p w14:paraId="639ECE15">
      <w:pPr>
        <w:ind w:firstLine="420"/>
        <w:rPr>
          <w:rFonts w:eastAsiaTheme="minorEastAsia"/>
          <w:szCs w:val="21"/>
        </w:rPr>
      </w:pPr>
      <w:r>
        <w:rPr>
          <w:rFonts w:eastAsiaTheme="minorEastAsia"/>
          <w:szCs w:val="21"/>
        </w:rPr>
        <w:t>示例</w:t>
      </w:r>
      <w:r>
        <w:rPr>
          <w:rFonts w:hint="eastAsia" w:eastAsiaTheme="minorEastAsia"/>
          <w:szCs w:val="21"/>
        </w:rPr>
        <w:t>：</w:t>
      </w:r>
      <w:r>
        <w:rPr>
          <w:rFonts w:eastAsiaTheme="minorEastAsia"/>
          <w:szCs w:val="21"/>
        </w:rPr>
        <w:t>其中</w:t>
      </w:r>
      <w:r>
        <w:rPr>
          <w:rFonts w:hint="eastAsia" w:eastAsiaTheme="minorEastAsia"/>
          <w:szCs w:val="21"/>
        </w:rPr>
        <w:t>15&lt;</w:t>
      </w:r>
      <w:r>
        <w:rPr>
          <w:rFonts w:eastAsiaTheme="minorEastAsia"/>
          <w:szCs w:val="21"/>
        </w:rPr>
        <w:t>2r</w:t>
      </w:r>
      <w:r>
        <w:rPr>
          <w:rFonts w:hint="eastAsia" w:eastAsiaTheme="minorEastAsia"/>
          <w:szCs w:val="21"/>
        </w:rPr>
        <w:t>&lt;2</w:t>
      </w:r>
      <w:r>
        <w:rPr>
          <w:rFonts w:eastAsiaTheme="minorEastAsia"/>
          <w:szCs w:val="21"/>
        </w:rPr>
        <w:t xml:space="preserve">0 </w:t>
      </w:r>
      <w:r>
        <w:rPr>
          <w:rFonts w:hint="eastAsia" w:eastAsiaTheme="minorEastAsia"/>
          <w:szCs w:val="21"/>
        </w:rPr>
        <w:t>mm</w:t>
      </w:r>
      <w:r>
        <w:rPr>
          <w:rFonts w:eastAsiaTheme="minorEastAsia"/>
          <w:szCs w:val="21"/>
        </w:rPr>
        <w:t>，</w:t>
      </w:r>
      <w:bookmarkEnd w:id="41"/>
      <w:r>
        <w:rPr>
          <w:rFonts w:eastAsiaTheme="minorEastAsia"/>
          <w:szCs w:val="21"/>
        </w:rPr>
        <w:t>生成的测试点位阵列如图</w:t>
      </w:r>
      <w:r>
        <w:rPr>
          <w:rFonts w:hint="eastAsia" w:eastAsiaTheme="minorEastAsia"/>
          <w:szCs w:val="21"/>
        </w:rPr>
        <w:t>3</w:t>
      </w:r>
      <w:r>
        <w:rPr>
          <w:rFonts w:eastAsiaTheme="minorEastAsia"/>
          <w:szCs w:val="21"/>
        </w:rPr>
        <w:t>所示。</w:t>
      </w:r>
      <w:bookmarkStart w:id="44" w:name="_Hlk202628257"/>
      <w:r>
        <w:rPr>
          <w:rFonts w:hint="eastAsia" w:eastAsiaTheme="minorEastAsia"/>
          <w:szCs w:val="21"/>
        </w:rPr>
        <w:t>图中2r为圆形虚线的直径。</w:t>
      </w:r>
      <w:bookmarkEnd w:id="44"/>
    </w:p>
    <w:bookmarkEnd w:id="43"/>
    <w:p w14:paraId="5DD99080">
      <w:pPr>
        <w:widowControl/>
        <w:tabs>
          <w:tab w:val="center" w:pos="4201"/>
          <w:tab w:val="right" w:leader="dot" w:pos="9298"/>
        </w:tabs>
        <w:autoSpaceDE w:val="0"/>
        <w:autoSpaceDN w:val="0"/>
        <w:jc w:val="center"/>
      </w:pPr>
      <w:r>
        <w:drawing>
          <wp:inline distT="0" distB="0" distL="0" distR="0">
            <wp:extent cx="3293745" cy="3322320"/>
            <wp:effectExtent l="0" t="0" r="1905" b="0"/>
            <wp:docPr id="20949778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7788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25491" cy="3354217"/>
                    </a:xfrm>
                    <a:prstGeom prst="rect">
                      <a:avLst/>
                    </a:prstGeom>
                    <a:noFill/>
                  </pic:spPr>
                </pic:pic>
              </a:graphicData>
            </a:graphic>
          </wp:inline>
        </w:drawing>
      </w:r>
    </w:p>
    <w:p w14:paraId="7E896AB1">
      <w:pPr>
        <w:pStyle w:val="129"/>
        <w:spacing w:before="156" w:after="156"/>
        <w:rPr>
          <w:sz w:val="20"/>
          <w:szCs w:val="21"/>
        </w:rPr>
      </w:pPr>
      <w:r>
        <w:rPr>
          <w:rFonts w:hint="eastAsia"/>
          <w:sz w:val="20"/>
          <w:szCs w:val="21"/>
        </w:rPr>
        <w:t>测试区域为圆形的测试点位阵列示意图</w:t>
      </w:r>
    </w:p>
    <w:bookmarkEnd w:id="23"/>
    <w:p w14:paraId="5D2ABD49">
      <w:pPr>
        <w:pStyle w:val="24"/>
      </w:pPr>
      <w:bookmarkStart w:id="45" w:name="_Hlk191219357"/>
      <w:r>
        <w:rPr>
          <w:rFonts w:hint="eastAsia"/>
        </w:rPr>
        <w:t>记录每个观察点的位错个数。视场边界上的位错刻蚀坑，其面积必须有三分之二以上位于视场内才予以计数，不符合特征的坑或其他形状的图形不记数。刻蚀坑的判定以能清晰分辨出其特征为准。以图4为例，其</w:t>
      </w:r>
      <w:bookmarkStart w:id="46" w:name="_Hlk191204790"/>
      <w:r>
        <w:rPr>
          <w:rFonts w:hint="eastAsia"/>
        </w:rPr>
        <w:t>&lt;100&gt;晶向的刻蚀坑形貌图的刻蚀坑数量是38个</w:t>
      </w:r>
      <w:bookmarkEnd w:id="46"/>
      <w:r>
        <w:rPr>
          <w:rFonts w:hint="eastAsia"/>
        </w:rPr>
        <w:t>；以图5为例，其&lt;111&gt;晶向的刻蚀坑形貌图的刻蚀坑数量是56个。如发现视场内污染点或其他不确定形状的图形影响到对刻蚀坑的判定，应重新制样。</w:t>
      </w:r>
    </w:p>
    <w:bookmarkEnd w:id="45"/>
    <w:p w14:paraId="10770FF6">
      <w:pPr>
        <w:pStyle w:val="24"/>
        <w:ind w:firstLine="0" w:firstLineChars="0"/>
        <w:jc w:val="center"/>
      </w:pPr>
      <w:r>
        <w:drawing>
          <wp:inline distT="0" distB="0" distL="0" distR="0">
            <wp:extent cx="4679950" cy="3475990"/>
            <wp:effectExtent l="0" t="0" r="6350" b="0"/>
            <wp:docPr id="9143281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28117"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80000" cy="3476227"/>
                    </a:xfrm>
                    <a:prstGeom prst="rect">
                      <a:avLst/>
                    </a:prstGeom>
                    <a:noFill/>
                    <a:ln>
                      <a:noFill/>
                    </a:ln>
                  </pic:spPr>
                </pic:pic>
              </a:graphicData>
            </a:graphic>
          </wp:inline>
        </w:drawing>
      </w:r>
    </w:p>
    <w:p w14:paraId="49031F94">
      <w:pPr>
        <w:pStyle w:val="129"/>
        <w:spacing w:before="156" w:after="156"/>
      </w:pPr>
      <w:bookmarkStart w:id="47" w:name="_Hlk191204884"/>
      <w:bookmarkStart w:id="48" w:name="_Toc117588150"/>
      <w:r>
        <w:rPr>
          <w:rFonts w:hint="eastAsia"/>
        </w:rPr>
        <w:t>&lt;</w:t>
      </w:r>
      <w:r>
        <w:t>100</w:t>
      </w:r>
      <w:r>
        <w:rPr>
          <w:rFonts w:hint="eastAsia"/>
        </w:rPr>
        <w:t>&gt;晶向金刚石单晶抛光片位错刻蚀坑形貌图及其计数</w:t>
      </w:r>
    </w:p>
    <w:bookmarkEnd w:id="47"/>
    <w:p w14:paraId="6C666487">
      <w:pPr>
        <w:pStyle w:val="24"/>
        <w:ind w:firstLine="0" w:firstLineChars="0"/>
        <w:jc w:val="center"/>
      </w:pPr>
      <w:r>
        <w:drawing>
          <wp:inline distT="0" distB="0" distL="0" distR="0">
            <wp:extent cx="4679950" cy="3033395"/>
            <wp:effectExtent l="0" t="0" r="6350" b="0"/>
            <wp:docPr id="138081580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15802"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80000" cy="3033445"/>
                    </a:xfrm>
                    <a:prstGeom prst="rect">
                      <a:avLst/>
                    </a:prstGeom>
                    <a:noFill/>
                    <a:ln>
                      <a:noFill/>
                    </a:ln>
                  </pic:spPr>
                </pic:pic>
              </a:graphicData>
            </a:graphic>
          </wp:inline>
        </w:drawing>
      </w:r>
    </w:p>
    <w:p w14:paraId="6A6F571F">
      <w:pPr>
        <w:pStyle w:val="129"/>
        <w:spacing w:before="156" w:after="156"/>
      </w:pPr>
      <w:r>
        <w:rPr>
          <w:rFonts w:hint="eastAsia"/>
        </w:rPr>
        <w:t>&lt;</w:t>
      </w:r>
      <w:r>
        <w:t>1</w:t>
      </w:r>
      <w:r>
        <w:rPr>
          <w:rFonts w:hint="eastAsia"/>
        </w:rPr>
        <w:t>11&gt;晶向金刚石单晶抛光片位错刻蚀坑形貌图及其计数</w:t>
      </w:r>
    </w:p>
    <w:p w14:paraId="4BAC8B56">
      <w:pPr>
        <w:pStyle w:val="43"/>
        <w:spacing w:before="156" w:after="156"/>
        <w:ind w:left="420" w:hanging="420"/>
        <w:jc w:val="both"/>
        <w:rPr>
          <w:rFonts w:ascii="Times New Roman"/>
        </w:rPr>
      </w:pPr>
      <w:r>
        <w:rPr>
          <w:rFonts w:hint="eastAsia" w:ascii="Times New Roman"/>
        </w:rPr>
        <w:t>位错刻蚀坑特征</w:t>
      </w:r>
      <w:bookmarkEnd w:id="48"/>
    </w:p>
    <w:p w14:paraId="356A38B6">
      <w:pPr>
        <w:pStyle w:val="24"/>
        <w:ind w:firstLine="0" w:firstLineChars="0"/>
        <w:jc w:val="center"/>
      </w:pPr>
      <w:r>
        <w:drawing>
          <wp:inline distT="0" distB="0" distL="0" distR="0">
            <wp:extent cx="3779520" cy="284734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80000" cy="2847600"/>
                    </a:xfrm>
                    <a:prstGeom prst="rect">
                      <a:avLst/>
                    </a:prstGeom>
                    <a:noFill/>
                    <a:ln>
                      <a:noFill/>
                    </a:ln>
                  </pic:spPr>
                </pic:pic>
              </a:graphicData>
            </a:graphic>
          </wp:inline>
        </w:drawing>
      </w:r>
    </w:p>
    <w:p w14:paraId="470E691F">
      <w:pPr>
        <w:pStyle w:val="129"/>
        <w:spacing w:before="156" w:after="156"/>
      </w:pPr>
      <w:r>
        <w:rPr>
          <w:rFonts w:hint="eastAsia"/>
        </w:rPr>
        <w:t>&lt;</w:t>
      </w:r>
      <w:r>
        <w:t>100</w:t>
      </w:r>
      <w:r>
        <w:rPr>
          <w:rFonts w:hint="eastAsia"/>
        </w:rPr>
        <w:t>&gt;晶向金刚石单晶抛光片位错刻蚀坑形貌图（物镜20倍）</w:t>
      </w:r>
    </w:p>
    <w:p w14:paraId="0EE39D49">
      <w:pPr>
        <w:pStyle w:val="24"/>
      </w:pPr>
      <w:bookmarkStart w:id="49" w:name="_Hlk178502246"/>
      <w:r>
        <w:rPr>
          <w:rFonts w:hint="eastAsia"/>
        </w:rPr>
        <w:t>金刚石单晶抛光片的位错刻蚀坑图形如图6所示。自图中可以明显看到有规则形状的位错刻蚀坑。在利用光学显微镜进行拍照时，</w:t>
      </w:r>
      <w:bookmarkStart w:id="50" w:name="_Hlk191219473"/>
      <w:r>
        <w:rPr>
          <w:rFonts w:hint="eastAsia"/>
        </w:rPr>
        <w:t>焦点宜聚焦到大部分位错刻蚀坑的底部。</w:t>
      </w:r>
      <w:bookmarkEnd w:id="50"/>
    </w:p>
    <w:bookmarkEnd w:id="49"/>
    <w:p w14:paraId="4D15B6E3">
      <w:pPr>
        <w:pStyle w:val="46"/>
        <w:spacing w:before="312" w:after="312"/>
      </w:pPr>
      <w:bookmarkStart w:id="51" w:name="_Toc117588151"/>
      <w:r>
        <w:rPr>
          <w:rFonts w:hint="eastAsia"/>
        </w:rPr>
        <w:t>结果计算</w:t>
      </w:r>
      <w:bookmarkEnd w:id="51"/>
    </w:p>
    <w:p w14:paraId="449BC079">
      <w:pPr>
        <w:pStyle w:val="24"/>
      </w:pPr>
      <w:bookmarkStart w:id="52" w:name="_Hlk191219687"/>
      <w:r>
        <w:rPr>
          <w:rFonts w:hint="eastAsia"/>
        </w:rPr>
        <w:t>金刚石晶片每个测试点的位错密度按式（1）计算：</w:t>
      </w:r>
    </w:p>
    <w:p w14:paraId="6A95DDB3">
      <w:pPr>
        <w:pStyle w:val="24"/>
        <w:jc w:val="right"/>
        <w:rPr>
          <w:rFonts w:ascii="Times New Roman"/>
          <w:color w:val="000000"/>
        </w:rPr>
      </w:pPr>
      <m:oMath>
        <m:sSub>
          <m:sSubPr>
            <m:ctrlPr>
              <w:rPr>
                <w:rFonts w:ascii="Cambria Math" w:hAnsi="Cambria Math"/>
                <w:i/>
              </w:rPr>
            </m:ctrlPr>
          </m:sSubPr>
          <m:e>
            <m:r>
              <m:rPr/>
              <w:rPr>
                <w:rFonts w:hint="eastAsia" w:ascii="Cambria Math" w:hAnsi="Cambria Math"/>
              </w:rPr>
              <m:t>N</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S</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den>
        </m:f>
      </m:oMath>
      <w:r>
        <w:rPr>
          <w:rFonts w:hint="eastAsia"/>
        </w:rPr>
        <w:t xml:space="preserve">                                     </w:t>
      </w:r>
      <w:r>
        <w:rPr>
          <w:rFonts w:ascii="Times New Roman"/>
          <w:color w:val="000000"/>
        </w:rPr>
        <w:t>(1)</w:t>
      </w:r>
    </w:p>
    <w:p w14:paraId="08864527">
      <w:pPr>
        <w:pStyle w:val="24"/>
      </w:pPr>
      <w:r>
        <w:rPr>
          <w:rFonts w:hint="eastAsia"/>
        </w:rPr>
        <w:t>式中：</w:t>
      </w:r>
    </w:p>
    <w:p w14:paraId="128D08C5">
      <w:pPr>
        <w:widowControl/>
        <w:tabs>
          <w:tab w:val="center" w:pos="4201"/>
          <w:tab w:val="right" w:leader="dot" w:pos="9298"/>
        </w:tabs>
        <w:autoSpaceDE w:val="0"/>
        <w:autoSpaceDN w:val="0"/>
        <w:ind w:firstLine="1050" w:firstLineChars="500"/>
        <w:rPr>
          <w:rFonts w:hint="eastAsia" w:asciiTheme="majorEastAsia" w:hAnsiTheme="majorEastAsia" w:eastAsiaTheme="majorEastAsia"/>
          <w:iCs/>
          <w:kern w:val="0"/>
        </w:rPr>
      </w:pPr>
      <m:oMath>
        <m:sSub>
          <m:sSubPr>
            <m:ctrlPr>
              <w:rPr>
                <w:rFonts w:ascii="Cambria Math" w:hAnsi="Cambria Math" w:eastAsiaTheme="majorEastAsia"/>
                <w:i/>
                <w:kern w:val="0"/>
              </w:rPr>
            </m:ctrlPr>
          </m:sSubPr>
          <m:e>
            <m:r>
              <m:rPr/>
              <w:rPr>
                <w:rFonts w:ascii="Cambria Math" w:hAnsi="Cambria Math" w:eastAsiaTheme="majorEastAsia"/>
                <w:kern w:val="0"/>
              </w:rPr>
              <m:t>N</m:t>
            </m:r>
            <m:ctrlPr>
              <w:rPr>
                <w:rFonts w:ascii="Cambria Math" w:hAnsi="Cambria Math" w:eastAsiaTheme="majorEastAsia"/>
                <w:i/>
                <w:kern w:val="0"/>
              </w:rPr>
            </m:ctrlPr>
          </m:e>
          <m:sub>
            <m:r>
              <m:rPr/>
              <w:rPr>
                <w:rFonts w:hint="eastAsia" w:ascii="Cambria Math" w:hAnsi="Cambria Math" w:eastAsiaTheme="majorEastAsia"/>
                <w:kern w:val="0"/>
              </w:rPr>
              <m:t>i</m:t>
            </m:r>
            <m:ctrlPr>
              <w:rPr>
                <w:rFonts w:ascii="Cambria Math" w:hAnsi="Cambria Math" w:eastAsiaTheme="majorEastAsia"/>
                <w:i/>
                <w:kern w:val="0"/>
              </w:rPr>
            </m:ctrlPr>
          </m:sub>
        </m:sSub>
      </m:oMath>
      <w:r>
        <w:rPr>
          <w:rFonts w:hint="eastAsia" w:asciiTheme="majorEastAsia" w:hAnsiTheme="majorEastAsia" w:eastAsiaTheme="majorEastAsia"/>
          <w:i/>
          <w:kern w:val="0"/>
        </w:rPr>
        <w:t>—</w:t>
      </w:r>
      <w:r>
        <w:rPr>
          <w:rFonts w:hint="eastAsia" w:asciiTheme="majorEastAsia" w:hAnsiTheme="majorEastAsia" w:eastAsiaTheme="majorEastAsia"/>
          <w:iCs/>
          <w:kern w:val="0"/>
        </w:rPr>
        <w:t>第</w:t>
      </w:r>
      <m:oMath>
        <m:r>
          <m:rPr/>
          <w:rPr>
            <w:rFonts w:ascii="Cambria Math" w:hAnsi="Cambria Math" w:eastAsiaTheme="majorEastAsia"/>
            <w:kern w:val="0"/>
          </w:rPr>
          <m:t>i</m:t>
        </m:r>
      </m:oMath>
      <w:r>
        <w:rPr>
          <w:rFonts w:hint="eastAsia" w:asciiTheme="majorEastAsia" w:hAnsiTheme="majorEastAsia" w:eastAsiaTheme="majorEastAsia"/>
          <w:iCs/>
          <w:kern w:val="0"/>
        </w:rPr>
        <w:t>个测量点的位错密度，单位为</w:t>
      </w:r>
      <w:bookmarkStart w:id="53" w:name="_Hlk202628608"/>
      <w:r>
        <w:rPr>
          <w:rFonts w:hint="eastAsia" w:asciiTheme="majorEastAsia" w:hAnsiTheme="majorEastAsia" w:eastAsiaTheme="majorEastAsia"/>
          <w:iCs/>
          <w:kern w:val="0"/>
        </w:rPr>
        <w:t>每平方厘米</w:t>
      </w:r>
      <w:bookmarkEnd w:id="53"/>
      <w:r>
        <w:rPr>
          <w:rFonts w:hint="eastAsia" w:asciiTheme="majorEastAsia" w:hAnsiTheme="majorEastAsia" w:eastAsiaTheme="majorEastAsia"/>
          <w:iCs/>
          <w:kern w:val="0"/>
        </w:rPr>
        <w:t>（</w:t>
      </w:r>
      <m:oMath>
        <m:sSup>
          <m:sSupPr>
            <m:ctrlPr>
              <w:rPr>
                <w:rFonts w:ascii="Cambria Math" w:hAnsi="Cambria Math" w:eastAsiaTheme="majorEastAsia"/>
                <w:i/>
              </w:rPr>
            </m:ctrlPr>
          </m:sSupPr>
          <m:e>
            <m:r>
              <m:rPr/>
              <w:rPr>
                <w:rFonts w:hint="eastAsia" w:ascii="Cambria Math" w:hAnsi="Cambria Math" w:eastAsiaTheme="majorEastAsia"/>
              </w:rPr>
              <m:t>cm</m:t>
            </m:r>
            <m:ctrlPr>
              <w:rPr>
                <w:rFonts w:ascii="Cambria Math" w:hAnsi="Cambria Math" w:eastAsiaTheme="majorEastAsia"/>
                <w:i/>
              </w:rPr>
            </m:ctrlPr>
          </m:e>
          <m:sup>
            <m:r>
              <m:rPr/>
              <w:rPr>
                <w:rFonts w:ascii="Cambria Math" w:hAnsi="Cambria Math" w:eastAsiaTheme="majorEastAsia"/>
              </w:rPr>
              <m:t>−2</m:t>
            </m:r>
            <m:ctrlPr>
              <w:rPr>
                <w:rFonts w:ascii="Cambria Math" w:hAnsi="Cambria Math" w:eastAsiaTheme="majorEastAsia"/>
                <w:i/>
              </w:rPr>
            </m:ctrlPr>
          </m:sup>
        </m:sSup>
      </m:oMath>
      <w:r>
        <w:rPr>
          <w:rFonts w:hint="eastAsia" w:asciiTheme="majorEastAsia" w:hAnsiTheme="majorEastAsia" w:eastAsiaTheme="majorEastAsia"/>
          <w:iCs/>
          <w:kern w:val="0"/>
        </w:rPr>
        <w:t>）；</w:t>
      </w:r>
    </w:p>
    <w:p w14:paraId="113F59F1">
      <w:pPr>
        <w:widowControl/>
        <w:tabs>
          <w:tab w:val="center" w:pos="4201"/>
          <w:tab w:val="right" w:leader="dot" w:pos="9298"/>
        </w:tabs>
        <w:autoSpaceDE w:val="0"/>
        <w:autoSpaceDN w:val="0"/>
        <w:ind w:firstLine="1050" w:firstLineChars="500"/>
        <w:rPr>
          <w:rFonts w:hint="eastAsia" w:asciiTheme="majorEastAsia" w:hAnsiTheme="majorEastAsia" w:eastAsiaTheme="majorEastAsia"/>
          <w:iCs/>
          <w:kern w:val="0"/>
        </w:rPr>
      </w:pPr>
      <m:oMath>
        <m:sSub>
          <m:sSubPr>
            <m:ctrlPr>
              <w:rPr>
                <w:rFonts w:ascii="Cambria Math" w:hAnsi="Cambria Math" w:eastAsiaTheme="majorEastAsia"/>
                <w:i/>
                <w:kern w:val="0"/>
              </w:rPr>
            </m:ctrlPr>
          </m:sSubPr>
          <m:e>
            <m:r>
              <m:rPr/>
              <w:rPr>
                <w:rFonts w:hint="eastAsia" w:ascii="Cambria Math" w:hAnsi="Cambria Math" w:eastAsiaTheme="majorEastAsia"/>
                <w:kern w:val="0"/>
              </w:rPr>
              <m:t>D</m:t>
            </m:r>
            <m:ctrlPr>
              <w:rPr>
                <w:rFonts w:ascii="Cambria Math" w:hAnsi="Cambria Math" w:eastAsiaTheme="majorEastAsia"/>
                <w:i/>
                <w:kern w:val="0"/>
              </w:rPr>
            </m:ctrlPr>
          </m:e>
          <m:sub>
            <m:r>
              <m:rPr/>
              <w:rPr>
                <w:rFonts w:hint="eastAsia" w:ascii="Cambria Math" w:hAnsi="Cambria Math" w:eastAsiaTheme="majorEastAsia"/>
                <w:kern w:val="0"/>
              </w:rPr>
              <m:t>i</m:t>
            </m:r>
            <m:ctrlPr>
              <w:rPr>
                <w:rFonts w:ascii="Cambria Math" w:hAnsi="Cambria Math" w:eastAsiaTheme="majorEastAsia"/>
                <w:i/>
                <w:kern w:val="0"/>
              </w:rPr>
            </m:ctrlPr>
          </m:sub>
        </m:sSub>
      </m:oMath>
      <w:r>
        <w:rPr>
          <w:rFonts w:hint="eastAsia" w:asciiTheme="majorEastAsia" w:hAnsiTheme="majorEastAsia" w:eastAsiaTheme="majorEastAsia"/>
          <w:i/>
          <w:kern w:val="0"/>
        </w:rPr>
        <w:t>—</w:t>
      </w:r>
      <w:r>
        <w:rPr>
          <w:rFonts w:hint="eastAsia" w:asciiTheme="majorEastAsia" w:hAnsiTheme="majorEastAsia" w:eastAsiaTheme="majorEastAsia"/>
          <w:iCs/>
          <w:kern w:val="0"/>
        </w:rPr>
        <w:t>第</w:t>
      </w:r>
      <m:oMath>
        <m:r>
          <m:rPr/>
          <w:rPr>
            <w:rFonts w:ascii="Cambria Math" w:hAnsi="Cambria Math" w:eastAsiaTheme="majorEastAsia"/>
            <w:kern w:val="0"/>
          </w:rPr>
          <m:t>i</m:t>
        </m:r>
      </m:oMath>
      <w:r>
        <w:rPr>
          <w:rFonts w:hint="eastAsia" w:asciiTheme="majorEastAsia" w:hAnsiTheme="majorEastAsia" w:eastAsiaTheme="majorEastAsia"/>
          <w:iCs/>
          <w:kern w:val="0"/>
        </w:rPr>
        <w:t>个测量点的位错个数；</w:t>
      </w:r>
    </w:p>
    <w:p w14:paraId="115C4402">
      <w:pPr>
        <w:widowControl/>
        <w:tabs>
          <w:tab w:val="center" w:pos="4201"/>
          <w:tab w:val="right" w:leader="dot" w:pos="9298"/>
        </w:tabs>
        <w:autoSpaceDE w:val="0"/>
        <w:autoSpaceDN w:val="0"/>
        <w:ind w:firstLine="1050" w:firstLineChars="500"/>
        <w:rPr>
          <w:rFonts w:hint="eastAsia" w:asciiTheme="majorEastAsia" w:hAnsiTheme="majorEastAsia" w:eastAsiaTheme="majorEastAsia"/>
          <w:iCs/>
          <w:kern w:val="0"/>
        </w:rPr>
      </w:pPr>
      <m:oMath>
        <m:sSub>
          <m:sSubPr>
            <m:ctrlPr>
              <w:rPr>
                <w:rFonts w:ascii="Cambria Math" w:hAnsi="Cambria Math" w:eastAsiaTheme="majorEastAsia"/>
                <w:i/>
                <w:kern w:val="0"/>
              </w:rPr>
            </m:ctrlPr>
          </m:sSubPr>
          <m:e>
            <m:r>
              <m:rPr/>
              <w:rPr>
                <w:rFonts w:hint="eastAsia" w:ascii="Cambria Math" w:hAnsi="Cambria Math" w:eastAsiaTheme="majorEastAsia"/>
                <w:kern w:val="0"/>
              </w:rPr>
              <m:t>S</m:t>
            </m:r>
            <m:ctrlPr>
              <w:rPr>
                <w:rFonts w:ascii="Cambria Math" w:hAnsi="Cambria Math" w:eastAsiaTheme="majorEastAsia"/>
                <w:i/>
                <w:kern w:val="0"/>
              </w:rPr>
            </m:ctrlPr>
          </m:e>
          <m:sub>
            <m:r>
              <m:rPr/>
              <w:rPr>
                <w:rFonts w:hint="eastAsia" w:ascii="Cambria Math" w:hAnsi="Cambria Math" w:eastAsiaTheme="majorEastAsia"/>
                <w:kern w:val="0"/>
              </w:rPr>
              <m:t>i</m:t>
            </m:r>
            <m:ctrlPr>
              <w:rPr>
                <w:rFonts w:ascii="Cambria Math" w:hAnsi="Cambria Math" w:eastAsiaTheme="majorEastAsia"/>
                <w:i/>
                <w:kern w:val="0"/>
              </w:rPr>
            </m:ctrlPr>
          </m:sub>
        </m:sSub>
      </m:oMath>
      <w:r>
        <w:rPr>
          <w:rFonts w:hint="eastAsia" w:asciiTheme="majorEastAsia" w:hAnsiTheme="majorEastAsia" w:eastAsiaTheme="majorEastAsia"/>
          <w:i/>
          <w:kern w:val="0"/>
        </w:rPr>
        <w:t>—</w:t>
      </w:r>
      <w:r>
        <w:rPr>
          <w:rFonts w:hint="eastAsia" w:asciiTheme="majorEastAsia" w:hAnsiTheme="majorEastAsia" w:eastAsiaTheme="majorEastAsia"/>
          <w:iCs/>
          <w:kern w:val="0"/>
        </w:rPr>
        <w:t>第</w:t>
      </w:r>
      <m:oMath>
        <m:r>
          <m:rPr/>
          <w:rPr>
            <w:rFonts w:ascii="Cambria Math" w:hAnsi="Cambria Math" w:eastAsiaTheme="majorEastAsia"/>
            <w:kern w:val="0"/>
          </w:rPr>
          <m:t>i</m:t>
        </m:r>
      </m:oMath>
      <w:r>
        <w:rPr>
          <w:rFonts w:hint="eastAsia" w:asciiTheme="majorEastAsia" w:hAnsiTheme="majorEastAsia" w:eastAsiaTheme="majorEastAsia"/>
          <w:iCs/>
          <w:kern w:val="0"/>
        </w:rPr>
        <w:t>个测量点的</w:t>
      </w:r>
      <w:r>
        <w:rPr>
          <w:rFonts w:hint="eastAsia" w:asciiTheme="majorEastAsia" w:hAnsiTheme="majorEastAsia" w:eastAsiaTheme="majorEastAsia"/>
          <w:iCs/>
        </w:rPr>
        <w:t>视场面积，单位为平方厘米（</w:t>
      </w:r>
      <m:oMath>
        <m:sSup>
          <m:sSupPr>
            <m:ctrlPr>
              <w:rPr>
                <w:rFonts w:ascii="Cambria Math" w:hAnsi="Cambria Math" w:eastAsiaTheme="majorEastAsia"/>
                <w:i/>
              </w:rPr>
            </m:ctrlPr>
          </m:sSupPr>
          <m:e>
            <m:r>
              <m:rPr/>
              <w:rPr>
                <w:rFonts w:hint="eastAsia" w:ascii="Cambria Math" w:hAnsi="Cambria Math" w:eastAsiaTheme="majorEastAsia"/>
              </w:rPr>
              <m:t>cm</m:t>
            </m:r>
            <m:ctrlPr>
              <w:rPr>
                <w:rFonts w:ascii="Cambria Math" w:hAnsi="Cambria Math" w:eastAsiaTheme="majorEastAsia"/>
                <w:i/>
              </w:rPr>
            </m:ctrlPr>
          </m:e>
          <m:sup>
            <m:r>
              <m:rPr/>
              <w:rPr>
                <w:rFonts w:ascii="Cambria Math" w:hAnsi="Cambria Math" w:eastAsiaTheme="majorEastAsia"/>
              </w:rPr>
              <m:t>2</m:t>
            </m:r>
            <m:ctrlPr>
              <w:rPr>
                <w:rFonts w:ascii="Cambria Math" w:hAnsi="Cambria Math" w:eastAsiaTheme="majorEastAsia"/>
                <w:i/>
              </w:rPr>
            </m:ctrlPr>
          </m:sup>
        </m:sSup>
      </m:oMath>
      <w:r>
        <w:rPr>
          <w:rFonts w:hint="eastAsia" w:asciiTheme="majorEastAsia" w:hAnsiTheme="majorEastAsia" w:eastAsiaTheme="majorEastAsia"/>
          <w:iCs/>
        </w:rPr>
        <w:t>）</w:t>
      </w:r>
      <w:r>
        <w:rPr>
          <w:rFonts w:hint="eastAsia" w:asciiTheme="majorEastAsia" w:hAnsiTheme="majorEastAsia" w:eastAsiaTheme="majorEastAsia"/>
          <w:iCs/>
          <w:kern w:val="0"/>
        </w:rPr>
        <w:t>。</w:t>
      </w:r>
    </w:p>
    <w:p w14:paraId="5515F33D">
      <w:pPr>
        <w:pStyle w:val="24"/>
      </w:pPr>
      <w:r>
        <w:rPr>
          <w:rFonts w:hint="eastAsia"/>
        </w:rPr>
        <w:t>平均位错密度按</w:t>
      </w:r>
      <w:r>
        <w:t>式（</w:t>
      </w:r>
      <w:r>
        <w:rPr>
          <w:rFonts w:hint="eastAsia"/>
        </w:rPr>
        <w:t>2</w:t>
      </w:r>
      <w:r>
        <w:t>）计</w:t>
      </w:r>
      <w:r>
        <w:rPr>
          <w:rFonts w:hint="eastAsia"/>
        </w:rPr>
        <w:t>算：</w:t>
      </w:r>
    </w:p>
    <w:p w14:paraId="46213DA8">
      <w:pPr>
        <w:pStyle w:val="64"/>
        <w:numPr>
          <w:ilvl w:val="0"/>
          <w:numId w:val="0"/>
        </w:numPr>
        <w:spacing w:before="0" w:after="0"/>
        <w:ind w:firstLine="420" w:firstLineChars="200"/>
        <w:jc w:val="right"/>
        <w:rPr>
          <w:color w:val="000000"/>
        </w:rPr>
      </w:pPr>
      <w:bookmarkStart w:id="54" w:name="_Hlk83224166"/>
      <m:oMath>
        <m:bar>
          <m:barPr>
            <m:pos m:val="top"/>
            <m:ctrlPr>
              <w:rPr>
                <w:rFonts w:ascii="Cambria Math" w:hAnsi="Cambria Math"/>
                <w:i/>
                <w:szCs w:val="24"/>
              </w:rPr>
            </m:ctrlPr>
          </m:barPr>
          <m:e>
            <m:sSub>
              <m:sSubPr>
                <m:ctrlPr>
                  <w:rPr>
                    <w:rFonts w:ascii="Cambria Math" w:hAnsi="Cambria Math"/>
                    <w:i/>
                    <w:szCs w:val="24"/>
                  </w:rPr>
                </m:ctrlPr>
              </m:sSubPr>
              <m:e>
                <m:r>
                  <m:rPr/>
                  <w:rPr>
                    <w:rFonts w:ascii="Cambria Math"/>
                    <w:szCs w:val="24"/>
                  </w:rPr>
                  <m:t>N</m:t>
                </m:r>
                <m:ctrlPr>
                  <w:rPr>
                    <w:rFonts w:ascii="Cambria Math" w:hAnsi="Cambria Math"/>
                    <w:i/>
                    <w:szCs w:val="24"/>
                  </w:rPr>
                </m:ctrlPr>
              </m:e>
              <m:sub>
                <m:r>
                  <m:rPr/>
                  <w:rPr>
                    <w:rFonts w:ascii="Cambria Math"/>
                    <w:szCs w:val="24"/>
                  </w:rPr>
                  <m:t>d</m:t>
                </m:r>
                <m:ctrlPr>
                  <w:rPr>
                    <w:rFonts w:ascii="Cambria Math" w:hAnsi="Cambria Math"/>
                    <w:i/>
                    <w:szCs w:val="24"/>
                  </w:rPr>
                </m:ctrlPr>
              </m:sub>
            </m:sSub>
            <m:ctrlPr>
              <w:rPr>
                <w:rFonts w:ascii="Cambria Math" w:hAnsi="Cambria Math"/>
                <w:i/>
                <w:szCs w:val="24"/>
              </w:rPr>
            </m:ctrlPr>
          </m:e>
        </m:bar>
        <w:bookmarkEnd w:id="54"/>
        <m:r>
          <m:rPr/>
          <w:rPr>
            <w:rFonts w:ascii="Cambria Math"/>
            <w:szCs w:val="24"/>
          </w:rPr>
          <m:t>=</m:t>
        </m:r>
        <m:f>
          <m:fPr>
            <m:ctrlPr>
              <w:rPr>
                <w:rFonts w:ascii="Cambria Math" w:hAnsi="Cambria Math"/>
                <w:i/>
                <w:szCs w:val="24"/>
              </w:rPr>
            </m:ctrlPr>
          </m:fPr>
          <m:num>
            <m:r>
              <m:rPr/>
              <w:rPr>
                <w:rFonts w:ascii="Cambria Math"/>
                <w:szCs w:val="24"/>
              </w:rPr>
              <m:t>1</m:t>
            </m:r>
            <m:ctrlPr>
              <w:rPr>
                <w:rFonts w:ascii="Cambria Math" w:hAnsi="Cambria Math"/>
                <w:i/>
                <w:szCs w:val="24"/>
              </w:rPr>
            </m:ctrlPr>
          </m:num>
          <m:den>
            <m:r>
              <m:rPr/>
              <w:rPr>
                <w:rFonts w:ascii="Cambria Math"/>
                <w:szCs w:val="24"/>
              </w:rPr>
              <m:t>n</m:t>
            </m:r>
            <m:ctrlPr>
              <w:rPr>
                <w:rFonts w:ascii="Cambria Math" w:hAnsi="Cambria Math"/>
                <w:i/>
                <w:szCs w:val="24"/>
              </w:rPr>
            </m:ctrlPr>
          </m:den>
        </m:f>
        <m:nary>
          <m:naryPr>
            <m:chr m:val="∑"/>
            <m:ctrlPr>
              <w:rPr>
                <w:rFonts w:ascii="Cambria Math" w:hAnsi="Cambria Math"/>
                <w:i/>
                <w:szCs w:val="24"/>
              </w:rPr>
            </m:ctrlPr>
          </m:naryPr>
          <m:sub>
            <m:r>
              <m:rPr/>
              <w:rPr>
                <w:rFonts w:ascii="Cambria Math"/>
                <w:szCs w:val="24"/>
              </w:rPr>
              <m:t>i=1</m:t>
            </m:r>
            <m:ctrlPr>
              <w:rPr>
                <w:rFonts w:ascii="Cambria Math" w:hAnsi="Cambria Math"/>
                <w:i/>
                <w:szCs w:val="24"/>
              </w:rPr>
            </m:ctrlPr>
          </m:sub>
          <m:sup>
            <m:r>
              <m:rPr/>
              <w:rPr>
                <w:rFonts w:ascii="Cambria Math"/>
                <w:szCs w:val="24"/>
              </w:rPr>
              <m:t>n</m:t>
            </m:r>
            <m:ctrlPr>
              <w:rPr>
                <w:rFonts w:ascii="Cambria Math" w:hAnsi="Cambria Math"/>
                <w:i/>
                <w:szCs w:val="24"/>
              </w:rPr>
            </m:ctrlPr>
          </m:sup>
          <m:e>
            <m:sSub>
              <m:sSubPr>
                <m:ctrlPr>
                  <w:rPr>
                    <w:rFonts w:ascii="Cambria Math" w:hAnsi="Cambria Math"/>
                    <w:i/>
                    <w:szCs w:val="24"/>
                  </w:rPr>
                </m:ctrlPr>
              </m:sSubPr>
              <m:e>
                <m:r>
                  <m:rPr/>
                  <w:rPr>
                    <w:rFonts w:ascii="Cambria Math"/>
                    <w:szCs w:val="24"/>
                  </w:rPr>
                  <m:t>N</m:t>
                </m:r>
                <m:ctrlPr>
                  <w:rPr>
                    <w:rFonts w:ascii="Cambria Math" w:hAnsi="Cambria Math"/>
                    <w:i/>
                    <w:szCs w:val="24"/>
                  </w:rPr>
                </m:ctrlPr>
              </m:e>
              <m:sub>
                <m:r>
                  <m:rPr/>
                  <w:rPr>
                    <w:rFonts w:ascii="Cambria Math"/>
                    <w:szCs w:val="24"/>
                  </w:rPr>
                  <m:t>i</m:t>
                </m:r>
                <m:ctrlPr>
                  <w:rPr>
                    <w:rFonts w:ascii="Cambria Math" w:hAnsi="Cambria Math"/>
                    <w:i/>
                    <w:szCs w:val="24"/>
                  </w:rPr>
                </m:ctrlPr>
              </m:sub>
            </m:sSub>
            <m:ctrlPr>
              <w:rPr>
                <w:rFonts w:ascii="Cambria Math" w:hAnsi="Cambria Math"/>
                <w:i/>
                <w:szCs w:val="24"/>
              </w:rPr>
            </m:ctrlPr>
          </m:e>
        </m:nary>
      </m:oMath>
      <w:r>
        <w:rPr>
          <w:rFonts w:hint="eastAsia" w:ascii="Times New Roman"/>
          <w:color w:val="000000"/>
        </w:rPr>
        <w:t xml:space="preserve">                                </w:t>
      </w:r>
      <w:r>
        <w:rPr>
          <w:rFonts w:ascii="Times New Roman"/>
          <w:color w:val="000000"/>
        </w:rPr>
        <w:t>(</w:t>
      </w:r>
      <w:r>
        <w:rPr>
          <w:rFonts w:hint="eastAsia" w:ascii="Times New Roman"/>
          <w:color w:val="000000"/>
        </w:rPr>
        <w:t>2</w:t>
      </w:r>
      <w:r>
        <w:rPr>
          <w:rFonts w:ascii="Times New Roman"/>
          <w:color w:val="000000"/>
        </w:rPr>
        <w:t>)</w:t>
      </w:r>
    </w:p>
    <w:p w14:paraId="04472F5A">
      <w:pPr>
        <w:pStyle w:val="24"/>
      </w:pPr>
      <w:r>
        <w:rPr>
          <w:rFonts w:hint="eastAsia"/>
        </w:rPr>
        <w:t>式中：</w:t>
      </w:r>
    </w:p>
    <w:p w14:paraId="39F03097">
      <w:pPr>
        <w:pStyle w:val="24"/>
        <w:ind w:firstLine="1050" w:firstLineChars="500"/>
        <w:rPr>
          <w:rFonts w:hint="eastAsia" w:asciiTheme="majorEastAsia" w:hAnsiTheme="majorEastAsia" w:eastAsiaTheme="majorEastAsia"/>
          <w:szCs w:val="21"/>
        </w:rPr>
      </w:pPr>
      <m:oMath>
        <m:bar>
          <m:barPr>
            <m:pos m:val="top"/>
            <m:ctrlPr>
              <w:rPr>
                <w:rFonts w:ascii="Cambria Math" w:hAnsi="Cambria Math" w:eastAsiaTheme="majorEastAsia"/>
                <w:i/>
                <w:szCs w:val="24"/>
              </w:rPr>
            </m:ctrlPr>
          </m:barPr>
          <m:e>
            <m:sSub>
              <m:sSubPr>
                <m:ctrlPr>
                  <w:rPr>
                    <w:rFonts w:ascii="Cambria Math" w:hAnsi="Cambria Math" w:eastAsiaTheme="majorEastAsia"/>
                    <w:i/>
                    <w:szCs w:val="24"/>
                  </w:rPr>
                </m:ctrlPr>
              </m:sSubPr>
              <m:e>
                <m:r>
                  <m:rPr/>
                  <w:rPr>
                    <w:rFonts w:ascii="Cambria Math" w:hAnsi="Cambria Math" w:eastAsiaTheme="majorEastAsia"/>
                    <w:szCs w:val="24"/>
                  </w:rPr>
                  <m:t>N</m:t>
                </m:r>
                <m:ctrlPr>
                  <w:rPr>
                    <w:rFonts w:ascii="Cambria Math" w:hAnsi="Cambria Math" w:eastAsiaTheme="majorEastAsia"/>
                    <w:i/>
                    <w:szCs w:val="24"/>
                  </w:rPr>
                </m:ctrlPr>
              </m:e>
              <m:sub>
                <m:r>
                  <m:rPr/>
                  <w:rPr>
                    <w:rFonts w:ascii="Cambria Math" w:hAnsi="Cambria Math" w:eastAsiaTheme="majorEastAsia"/>
                    <w:szCs w:val="24"/>
                  </w:rPr>
                  <m:t>d</m:t>
                </m:r>
                <m:ctrlPr>
                  <w:rPr>
                    <w:rFonts w:ascii="Cambria Math" w:hAnsi="Cambria Math" w:eastAsiaTheme="majorEastAsia"/>
                    <w:i/>
                    <w:szCs w:val="24"/>
                  </w:rPr>
                </m:ctrlPr>
              </m:sub>
            </m:sSub>
            <m:ctrlPr>
              <w:rPr>
                <w:rFonts w:ascii="Cambria Math" w:hAnsi="Cambria Math" w:eastAsiaTheme="majorEastAsia"/>
                <w:i/>
                <w:szCs w:val="24"/>
              </w:rPr>
            </m:ctrlPr>
          </m:e>
        </m:bar>
      </m:oMath>
      <w:r>
        <w:rPr>
          <w:rFonts w:asciiTheme="majorEastAsia" w:hAnsiTheme="majorEastAsia" w:eastAsiaTheme="majorEastAsia"/>
          <w:szCs w:val="21"/>
        </w:rPr>
        <w:t>—</w:t>
      </w:r>
      <w:r>
        <w:rPr>
          <w:rFonts w:hint="eastAsia" w:asciiTheme="majorEastAsia" w:hAnsiTheme="majorEastAsia" w:eastAsiaTheme="majorEastAsia"/>
          <w:szCs w:val="21"/>
        </w:rPr>
        <w:t>平均位错密度，单位为每平方厘米（</w:t>
      </w:r>
      <m:oMath>
        <m:sSup>
          <m:sSupPr>
            <m:ctrlPr>
              <w:rPr>
                <w:rFonts w:ascii="Cambria Math" w:hAnsi="Cambria Math" w:eastAsiaTheme="majorEastAsia"/>
                <w:i/>
              </w:rPr>
            </m:ctrlPr>
          </m:sSupPr>
          <m:e>
            <m:r>
              <m:rPr/>
              <w:rPr>
                <w:rFonts w:hint="eastAsia" w:ascii="Cambria Math" w:hAnsi="Cambria Math" w:eastAsiaTheme="majorEastAsia"/>
              </w:rPr>
              <m:t>cm</m:t>
            </m:r>
            <m:ctrlPr>
              <w:rPr>
                <w:rFonts w:ascii="Cambria Math" w:hAnsi="Cambria Math" w:eastAsiaTheme="majorEastAsia"/>
                <w:i/>
              </w:rPr>
            </m:ctrlPr>
          </m:e>
          <m:sup>
            <m:r>
              <m:rPr/>
              <w:rPr>
                <w:rFonts w:ascii="Cambria Math" w:hAnsi="Cambria Math" w:eastAsiaTheme="majorEastAsia"/>
              </w:rPr>
              <m:t>−2</m:t>
            </m:r>
            <m:ctrlPr>
              <w:rPr>
                <w:rFonts w:ascii="Cambria Math" w:hAnsi="Cambria Math" w:eastAsiaTheme="majorEastAsia"/>
                <w:i/>
              </w:rPr>
            </m:ctrlPr>
          </m:sup>
        </m:sSup>
      </m:oMath>
      <w:r>
        <w:rPr>
          <w:rFonts w:hint="eastAsia" w:asciiTheme="majorEastAsia" w:hAnsiTheme="majorEastAsia" w:eastAsiaTheme="majorEastAsia"/>
          <w:szCs w:val="21"/>
        </w:rPr>
        <w:t>）</w:t>
      </w:r>
      <w:r>
        <w:rPr>
          <w:rFonts w:asciiTheme="majorEastAsia" w:hAnsiTheme="majorEastAsia" w:eastAsiaTheme="majorEastAsia"/>
          <w:szCs w:val="21"/>
        </w:rPr>
        <w:t>；</w:t>
      </w:r>
    </w:p>
    <w:p w14:paraId="5AAE3189">
      <w:pPr>
        <w:pStyle w:val="24"/>
        <w:ind w:firstLine="1050" w:firstLineChars="500"/>
        <w:rPr>
          <w:rFonts w:hint="eastAsia" w:asciiTheme="majorEastAsia" w:hAnsiTheme="majorEastAsia" w:eastAsiaTheme="majorEastAsia"/>
          <w:i/>
          <w:szCs w:val="24"/>
        </w:rPr>
      </w:pPr>
      <m:oMath>
        <m:r>
          <m:rPr/>
          <w:rPr>
            <w:rFonts w:hint="eastAsia" w:ascii="Cambria Math" w:hAnsi="Cambria Math" w:eastAsiaTheme="majorEastAsia"/>
            <w:szCs w:val="24"/>
          </w:rPr>
          <m:t>n</m:t>
        </m:r>
      </m:oMath>
      <w:r>
        <w:rPr>
          <w:rFonts w:hint="eastAsia" w:asciiTheme="majorEastAsia" w:hAnsiTheme="majorEastAsia" w:eastAsiaTheme="majorEastAsia"/>
          <w:i/>
          <w:szCs w:val="24"/>
        </w:rPr>
        <w:t>—</w:t>
      </w:r>
      <w:r>
        <w:rPr>
          <w:rFonts w:hint="eastAsia" w:asciiTheme="majorEastAsia" w:hAnsiTheme="majorEastAsia" w:eastAsiaTheme="majorEastAsia"/>
          <w:iCs/>
          <w:szCs w:val="24"/>
        </w:rPr>
        <w:t>测量点的数目；</w:t>
      </w:r>
    </w:p>
    <w:p w14:paraId="67AF392C">
      <w:pPr>
        <w:pStyle w:val="24"/>
        <w:ind w:firstLine="1050" w:firstLineChars="500"/>
        <w:rPr>
          <w:rFonts w:hint="eastAsia" w:asciiTheme="majorEastAsia" w:hAnsiTheme="majorEastAsia" w:eastAsiaTheme="majorEastAsia"/>
          <w:iCs/>
          <w:szCs w:val="24"/>
        </w:rPr>
      </w:pPr>
      <m:oMath>
        <m:sSub>
          <m:sSubPr>
            <m:ctrlPr>
              <w:rPr>
                <w:rFonts w:ascii="Cambria Math" w:hAnsi="Cambria Math" w:eastAsiaTheme="majorEastAsia"/>
                <w:i/>
                <w:szCs w:val="24"/>
              </w:rPr>
            </m:ctrlPr>
          </m:sSubPr>
          <m:e>
            <m:r>
              <m:rPr/>
              <w:rPr>
                <w:rFonts w:ascii="Cambria Math" w:hAnsi="Cambria Math" w:eastAsiaTheme="majorEastAsia"/>
                <w:szCs w:val="24"/>
              </w:rPr>
              <m:t>N</m:t>
            </m:r>
            <m:ctrlPr>
              <w:rPr>
                <w:rFonts w:ascii="Cambria Math" w:hAnsi="Cambria Math" w:eastAsiaTheme="majorEastAsia"/>
                <w:i/>
                <w:szCs w:val="24"/>
              </w:rPr>
            </m:ctrlPr>
          </m:e>
          <m:sub>
            <m:r>
              <m:rPr/>
              <w:rPr>
                <w:rFonts w:hint="eastAsia" w:ascii="Cambria Math" w:hAnsi="Cambria Math" w:eastAsiaTheme="majorEastAsia"/>
                <w:szCs w:val="24"/>
              </w:rPr>
              <m:t>i</m:t>
            </m:r>
            <m:ctrlPr>
              <w:rPr>
                <w:rFonts w:ascii="Cambria Math" w:hAnsi="Cambria Math" w:eastAsiaTheme="majorEastAsia"/>
                <w:i/>
                <w:szCs w:val="24"/>
              </w:rPr>
            </m:ctrlPr>
          </m:sub>
        </m:sSub>
      </m:oMath>
      <w:bookmarkStart w:id="55" w:name="_Hlk83224372"/>
      <w:r>
        <w:rPr>
          <w:rFonts w:hint="eastAsia" w:asciiTheme="majorEastAsia" w:hAnsiTheme="majorEastAsia" w:eastAsiaTheme="majorEastAsia"/>
          <w:i/>
          <w:szCs w:val="24"/>
        </w:rPr>
        <w:t>—</w:t>
      </w:r>
      <w:bookmarkEnd w:id="55"/>
      <w:r>
        <w:rPr>
          <w:rFonts w:hint="eastAsia" w:asciiTheme="majorEastAsia" w:hAnsiTheme="majorEastAsia" w:eastAsiaTheme="majorEastAsia"/>
          <w:iCs/>
          <w:szCs w:val="24"/>
        </w:rPr>
        <w:t>第</w:t>
      </w:r>
      <m:oMath>
        <m:r>
          <m:rPr/>
          <w:rPr>
            <w:rFonts w:ascii="Cambria Math" w:hAnsi="Cambria Math" w:eastAsiaTheme="majorEastAsia"/>
            <w:szCs w:val="24"/>
          </w:rPr>
          <m:t>i</m:t>
        </m:r>
      </m:oMath>
      <w:r>
        <w:rPr>
          <w:rFonts w:hint="eastAsia" w:asciiTheme="majorEastAsia" w:hAnsiTheme="majorEastAsia" w:eastAsiaTheme="majorEastAsia"/>
          <w:iCs/>
          <w:szCs w:val="24"/>
        </w:rPr>
        <w:t>个测量点的位错密度</w:t>
      </w:r>
      <w:r>
        <w:rPr>
          <w:rFonts w:hint="eastAsia" w:asciiTheme="majorEastAsia" w:hAnsiTheme="majorEastAsia" w:eastAsiaTheme="majorEastAsia"/>
          <w:szCs w:val="21"/>
        </w:rPr>
        <w:t>，单位为每平方厘米（</w:t>
      </w:r>
      <m:oMath>
        <m:sSup>
          <m:sSupPr>
            <m:ctrlPr>
              <w:rPr>
                <w:rFonts w:ascii="Cambria Math" w:hAnsi="Cambria Math" w:eastAsiaTheme="majorEastAsia"/>
                <w:i/>
              </w:rPr>
            </m:ctrlPr>
          </m:sSupPr>
          <m:e>
            <m:r>
              <m:rPr/>
              <w:rPr>
                <w:rFonts w:hint="eastAsia" w:ascii="Cambria Math" w:hAnsi="Cambria Math" w:eastAsiaTheme="majorEastAsia"/>
              </w:rPr>
              <m:t>cm</m:t>
            </m:r>
            <m:ctrlPr>
              <w:rPr>
                <w:rFonts w:ascii="Cambria Math" w:hAnsi="Cambria Math" w:eastAsiaTheme="majorEastAsia"/>
                <w:i/>
              </w:rPr>
            </m:ctrlPr>
          </m:e>
          <m:sup>
            <m:r>
              <m:rPr/>
              <w:rPr>
                <w:rFonts w:ascii="Cambria Math" w:hAnsi="Cambria Math" w:eastAsiaTheme="majorEastAsia"/>
              </w:rPr>
              <m:t>−2</m:t>
            </m:r>
            <m:ctrlPr>
              <w:rPr>
                <w:rFonts w:ascii="Cambria Math" w:hAnsi="Cambria Math" w:eastAsiaTheme="majorEastAsia"/>
                <w:i/>
              </w:rPr>
            </m:ctrlPr>
          </m:sup>
        </m:sSup>
      </m:oMath>
      <w:r>
        <w:rPr>
          <w:rFonts w:hint="eastAsia" w:asciiTheme="majorEastAsia" w:hAnsiTheme="majorEastAsia" w:eastAsiaTheme="majorEastAsia"/>
          <w:szCs w:val="21"/>
        </w:rPr>
        <w:t>）</w:t>
      </w:r>
      <w:r>
        <w:rPr>
          <w:rFonts w:hint="eastAsia" w:asciiTheme="majorEastAsia" w:hAnsiTheme="majorEastAsia" w:eastAsiaTheme="majorEastAsia"/>
          <w:iCs/>
          <w:szCs w:val="24"/>
        </w:rPr>
        <w:t>；</w:t>
      </w:r>
    </w:p>
    <w:p w14:paraId="232FC177">
      <w:pPr>
        <w:widowControl/>
        <w:tabs>
          <w:tab w:val="center" w:pos="4201"/>
          <w:tab w:val="right" w:leader="dot" w:pos="9298"/>
        </w:tabs>
        <w:autoSpaceDE w:val="0"/>
        <w:autoSpaceDN w:val="0"/>
        <w:ind w:firstLine="1050" w:firstLineChars="500"/>
        <w:rPr>
          <w:rFonts w:hint="eastAsia" w:asciiTheme="majorEastAsia" w:hAnsiTheme="majorEastAsia" w:eastAsiaTheme="majorEastAsia"/>
          <w:i/>
          <w:kern w:val="0"/>
        </w:rPr>
      </w:pPr>
      <m:oMath>
        <m:r>
          <m:rPr/>
          <w:rPr>
            <w:rFonts w:hint="eastAsia" w:ascii="Cambria Math" w:hAnsi="Cambria Math" w:eastAsiaTheme="majorEastAsia"/>
            <w:kern w:val="0"/>
          </w:rPr>
          <m:t>i</m:t>
        </m:r>
      </m:oMath>
      <w:bookmarkStart w:id="56" w:name="_Hlk83224345"/>
      <w:r>
        <w:rPr>
          <w:rFonts w:hint="eastAsia" w:asciiTheme="majorEastAsia" w:hAnsiTheme="majorEastAsia" w:eastAsiaTheme="majorEastAsia"/>
          <w:i/>
          <w:kern w:val="0"/>
        </w:rPr>
        <w:t>—</w:t>
      </w:r>
      <w:bookmarkEnd w:id="56"/>
      <w:r>
        <w:rPr>
          <w:rFonts w:hint="eastAsia" w:asciiTheme="majorEastAsia" w:hAnsiTheme="majorEastAsia" w:eastAsiaTheme="majorEastAsia"/>
          <w:iCs/>
          <w:kern w:val="0"/>
        </w:rPr>
        <w:t>测量点</w:t>
      </w:r>
      <w:r>
        <w:rPr>
          <w:rFonts w:hint="eastAsia" w:asciiTheme="majorEastAsia" w:hAnsiTheme="majorEastAsia" w:eastAsiaTheme="majorEastAsia"/>
          <w:i/>
          <w:kern w:val="0"/>
        </w:rPr>
        <w:t>，</w:t>
      </w:r>
      <m:oMath>
        <m:r>
          <m:rPr/>
          <w:rPr>
            <w:rFonts w:hint="eastAsia" w:ascii="Cambria Math" w:hAnsi="Cambria Math" w:eastAsiaTheme="majorEastAsia"/>
            <w:kern w:val="0"/>
          </w:rPr>
          <m:t>i=1,2,3……n</m:t>
        </m:r>
      </m:oMath>
      <w:r>
        <w:rPr>
          <w:rFonts w:hint="eastAsia" w:asciiTheme="majorEastAsia" w:hAnsiTheme="majorEastAsia" w:eastAsiaTheme="majorEastAsia"/>
          <w:iCs/>
          <w:kern w:val="0"/>
        </w:rPr>
        <w:t>。</w:t>
      </w:r>
    </w:p>
    <w:bookmarkEnd w:id="52"/>
    <w:p w14:paraId="5474692A">
      <w:pPr>
        <w:pStyle w:val="46"/>
        <w:spacing w:before="312" w:after="312"/>
      </w:pPr>
      <w:r>
        <w:rPr>
          <w:rFonts w:hint="eastAsia"/>
        </w:rPr>
        <w:t>精密度</w:t>
      </w:r>
    </w:p>
    <w:p w14:paraId="633752AE">
      <w:pPr>
        <w:pStyle w:val="24"/>
        <w:rPr>
          <w:rFonts w:hint="eastAsia" w:hAnsi="宋体"/>
        </w:rPr>
      </w:pPr>
      <w:r>
        <w:rPr>
          <w:rFonts w:hint="eastAsia"/>
        </w:rPr>
        <w:t>本方法的精密度由</w:t>
      </w:r>
      <w:bookmarkStart w:id="57" w:name="_Hlk191219765"/>
      <w:r>
        <w:rPr>
          <w:rFonts w:hint="eastAsia"/>
        </w:rPr>
        <w:t>多个实验室</w:t>
      </w:r>
      <w:bookmarkEnd w:id="57"/>
      <w:r>
        <w:rPr>
          <w:rFonts w:hint="eastAsia"/>
        </w:rPr>
        <w:t>在同样条件下，使用光学显微镜对同一金刚石样片进行重复性和再现性验证</w:t>
      </w:r>
      <w:r>
        <w:rPr>
          <w:rFonts w:hint="eastAsia" w:ascii="Times New Roman"/>
        </w:rPr>
        <w:t>。</w:t>
      </w:r>
      <w:r>
        <w:rPr>
          <w:rFonts w:hint="eastAsia"/>
        </w:rPr>
        <w:t>本检测方法</w:t>
      </w:r>
      <w:bookmarkStart w:id="58" w:name="_Hlk193148418"/>
      <w:r>
        <w:rPr>
          <w:rFonts w:hint="eastAsia"/>
        </w:rPr>
        <w:t>位错密度平均值的</w:t>
      </w:r>
      <w:r>
        <w:rPr>
          <w:rFonts w:hint="eastAsia" w:hAnsi="宋体"/>
        </w:rPr>
        <w:t>重复性相对标准偏差应不大于10%，</w:t>
      </w:r>
      <w:r>
        <w:rPr>
          <w:rFonts w:hint="eastAsia"/>
        </w:rPr>
        <w:t>再现性</w:t>
      </w:r>
      <w:r>
        <w:rPr>
          <w:rFonts w:hint="eastAsia" w:hAnsi="宋体"/>
        </w:rPr>
        <w:t>相对标准偏差应不大于</w:t>
      </w:r>
      <w:r>
        <w:rPr>
          <w:rFonts w:hAnsi="宋体"/>
        </w:rPr>
        <w:t>15%</w:t>
      </w:r>
      <w:r>
        <w:rPr>
          <w:rFonts w:hint="eastAsia" w:hAnsi="宋体"/>
        </w:rPr>
        <w:t>。</w:t>
      </w:r>
      <w:bookmarkEnd w:id="58"/>
    </w:p>
    <w:bookmarkEnd w:id="16"/>
    <w:p w14:paraId="5C6BC463">
      <w:pPr>
        <w:pStyle w:val="46"/>
        <w:spacing w:before="312" w:after="312"/>
      </w:pPr>
      <w:r>
        <w:rPr>
          <w:rFonts w:hint="eastAsia"/>
        </w:rPr>
        <w:t>测试报告</w:t>
      </w:r>
    </w:p>
    <w:p w14:paraId="556D9F3F">
      <w:pPr>
        <w:pStyle w:val="24"/>
      </w:pPr>
      <w:r>
        <w:rPr>
          <w:rFonts w:hint="eastAsia"/>
        </w:rPr>
        <w:t>测试报告应包括但不限于以下内容：</w:t>
      </w:r>
    </w:p>
    <w:p w14:paraId="69831AFC">
      <w:pPr>
        <w:pStyle w:val="24"/>
      </w:pPr>
      <w:r>
        <w:t>a</w:t>
      </w:r>
      <w:r>
        <w:rPr>
          <w:rFonts w:hint="eastAsia"/>
        </w:rPr>
        <w:t>）测试日期；</w:t>
      </w:r>
    </w:p>
    <w:p w14:paraId="65AF3359">
      <w:pPr>
        <w:pStyle w:val="24"/>
      </w:pPr>
      <w:r>
        <w:rPr>
          <w:rFonts w:hint="eastAsia"/>
        </w:rPr>
        <w:t>b）样品信息，包括送样单位、样品编号、样品尺寸、生长方法、被测晶面等</w:t>
      </w:r>
      <w:bookmarkStart w:id="59" w:name="_Hlk193136779"/>
      <w:r>
        <w:rPr>
          <w:rFonts w:hint="eastAsia"/>
        </w:rPr>
        <w:t>；</w:t>
      </w:r>
      <w:bookmarkEnd w:id="59"/>
    </w:p>
    <w:p w14:paraId="0D51DC90">
      <w:pPr>
        <w:pStyle w:val="24"/>
      </w:pPr>
      <w:r>
        <w:rPr>
          <w:rFonts w:hint="eastAsia"/>
        </w:rPr>
        <w:t>c）金刚石晶片平均位错密度、位错密度均匀度。其中均匀度计算公式采用：均匀度=相对标准偏差=[样本标准偏差/样本均值]*100%；</w:t>
      </w:r>
    </w:p>
    <w:p w14:paraId="18874420">
      <w:pPr>
        <w:pStyle w:val="24"/>
      </w:pPr>
      <w:r>
        <w:rPr>
          <w:rFonts w:hint="eastAsia"/>
        </w:rPr>
        <w:t>d）干法刻蚀设备的型号和选用参数（功率、刻蚀时间、</w:t>
      </w:r>
      <m:oMath>
        <m:sSub>
          <m:sSubPr>
            <m:ctrlPr>
              <w:rPr>
                <w:rFonts w:ascii="Cambria Math" w:hAnsi="Cambria Math"/>
                <w:iCs/>
              </w:rPr>
            </m:ctrlPr>
          </m:sSubPr>
          <m:e>
            <m:r>
              <m:rPr>
                <m:sty m:val="p"/>
              </m:rPr>
              <w:rPr>
                <w:rFonts w:hint="eastAsia" w:ascii="Cambria Math" w:hAnsi="Cambria Math"/>
              </w:rPr>
              <m:t>O</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rPr>
        <w:t>和</w:t>
      </w:r>
      <m:oMath>
        <m:sSub>
          <m:sSubPr>
            <m:ctrlPr>
              <w:rPr>
                <w:rFonts w:ascii="Cambria Math" w:hAnsi="Cambria Math"/>
                <w:iCs/>
              </w:rPr>
            </m:ctrlPr>
          </m:sSubPr>
          <m:e>
            <m:r>
              <m:rPr>
                <m:sty m:val="p"/>
              </m:rPr>
              <w:rPr>
                <w:rFonts w:hint="eastAsia" w:ascii="Cambria Math" w:hAnsi="Cambria Math"/>
              </w:rPr>
              <m:t>H</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rFonts w:hint="eastAsia"/>
        </w:rPr>
        <w:t>的体积比、腔体压力、气体流量、样品温度等）；</w:t>
      </w:r>
    </w:p>
    <w:p w14:paraId="184D41DD">
      <w:pPr>
        <w:pStyle w:val="24"/>
      </w:pPr>
      <w:r>
        <w:rPr>
          <w:rFonts w:hint="eastAsia"/>
        </w:rPr>
        <w:t>e）显微镜的型号和选用参数（放大倍数、所拍照片视场面积等）；</w:t>
      </w:r>
    </w:p>
    <w:p w14:paraId="66E484A3">
      <w:pPr>
        <w:pStyle w:val="24"/>
      </w:pPr>
      <w:r>
        <w:rPr>
          <w:rFonts w:hint="eastAsia"/>
        </w:rPr>
        <w:t>f）测试单位和测试人员名称；</w:t>
      </w:r>
    </w:p>
    <w:p w14:paraId="67C15ABF">
      <w:pPr>
        <w:pStyle w:val="24"/>
      </w:pPr>
      <w:r>
        <w:rPr>
          <w:rFonts w:hint="eastAsia"/>
        </w:rPr>
        <w:t>g）本文件编号。</w:t>
      </w:r>
    </w:p>
    <w:p w14:paraId="29B03D71">
      <w:pPr>
        <w:pStyle w:val="130"/>
        <w:framePr w:wrap="around"/>
        <w:rPr>
          <w:color w:val="000000"/>
        </w:rPr>
      </w:pPr>
      <w:r>
        <w:rPr>
          <w:color w:val="000000"/>
        </w:rPr>
        <w:t>_________________________________</w:t>
      </w:r>
    </w:p>
    <w:sectPr>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AdobeHeitiStd-Regular">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5FC3">
    <w:pPr>
      <w:pStyle w:val="44"/>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518D">
    <w:pPr>
      <w:pStyle w:val="45"/>
    </w:pPr>
    <w:r>
      <w:t xml:space="preserve">GB/T </w:t>
    </w:r>
    <w:r>
      <w:rPr>
        <w:rFonts w:hint="eastAsia"/>
      </w:rPr>
      <w:t>XXXXX</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color w:val="000000" w:themeColor="text1"/>
        <w:sz w:val="21"/>
        <w:szCs w:val="21"/>
        <w14:textFill>
          <w14:solidFill>
            <w14:schemeClr w14:val="tx1"/>
          </w14:solidFill>
        </w14:textFill>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2666A82"/>
    <w:multiLevelType w:val="multilevel"/>
    <w:tmpl w:val="22666A8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31D4C04"/>
    <w:multiLevelType w:val="multilevel"/>
    <w:tmpl w:val="231D4C04"/>
    <w:lvl w:ilvl="0" w:tentative="0">
      <w:start w:val="1"/>
      <w:numFmt w:val="lowerLetter"/>
      <w:lvlText w:val="%1)"/>
      <w:lvlJc w:val="left"/>
      <w:pPr>
        <w:ind w:left="840" w:hanging="420"/>
      </w:pPr>
      <w:rPr>
        <w:i w:val="0"/>
        <w:i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9"/>
      <w:suff w:val="nothing"/>
      <w:lvlText w:val="%1——"/>
      <w:lvlJc w:val="left"/>
      <w:pPr>
        <w:ind w:left="976" w:hanging="408"/>
      </w:pPr>
      <w:rPr>
        <w:rFonts w:hint="eastAsia"/>
        <w:lang w:val="en-US"/>
      </w:rPr>
    </w:lvl>
    <w:lvl w:ilvl="1" w:tentative="0">
      <w:start w:val="1"/>
      <w:numFmt w:val="bullet"/>
      <w:pStyle w:val="50"/>
      <w:lvlText w:val=""/>
      <w:lvlJc w:val="left"/>
      <w:pPr>
        <w:tabs>
          <w:tab w:val="left" w:pos="903"/>
        </w:tabs>
        <w:ind w:left="1407" w:hanging="413"/>
      </w:pPr>
      <w:rPr>
        <w:rFonts w:hint="default" w:ascii="Symbol" w:hAnsi="Symbol"/>
        <w:color w:val="auto"/>
      </w:rPr>
    </w:lvl>
    <w:lvl w:ilvl="2" w:tentative="0">
      <w:start w:val="1"/>
      <w:numFmt w:val="bullet"/>
      <w:pStyle w:val="61"/>
      <w:lvlText w:val=""/>
      <w:lvlJc w:val="left"/>
      <w:pPr>
        <w:tabs>
          <w:tab w:val="left" w:pos="1821"/>
        </w:tabs>
        <w:ind w:left="1821" w:hanging="414"/>
      </w:pPr>
      <w:rPr>
        <w:rFonts w:hint="default" w:ascii="Symbol" w:hAnsi="Symbol"/>
        <w:color w:val="auto"/>
      </w:rPr>
    </w:lvl>
    <w:lvl w:ilvl="3" w:tentative="0">
      <w:start w:val="1"/>
      <w:numFmt w:val="decimal"/>
      <w:lvlText w:val="%4."/>
      <w:lvlJc w:val="left"/>
      <w:pPr>
        <w:tabs>
          <w:tab w:val="left" w:pos="2214"/>
        </w:tabs>
        <w:ind w:left="2027" w:hanging="528"/>
      </w:pPr>
      <w:rPr>
        <w:rFonts w:hint="eastAsia"/>
      </w:rPr>
    </w:lvl>
    <w:lvl w:ilvl="4" w:tentative="0">
      <w:start w:val="1"/>
      <w:numFmt w:val="lowerLetter"/>
      <w:lvlText w:val="%5)"/>
      <w:lvlJc w:val="left"/>
      <w:pPr>
        <w:tabs>
          <w:tab w:val="left" w:pos="2526"/>
        </w:tabs>
        <w:ind w:left="2339" w:hanging="528"/>
      </w:pPr>
      <w:rPr>
        <w:rFonts w:hint="eastAsia"/>
      </w:rPr>
    </w:lvl>
    <w:lvl w:ilvl="5" w:tentative="0">
      <w:start w:val="1"/>
      <w:numFmt w:val="lowerRoman"/>
      <w:lvlText w:val="%6."/>
      <w:lvlJc w:val="right"/>
      <w:pPr>
        <w:tabs>
          <w:tab w:val="left" w:pos="2838"/>
        </w:tabs>
        <w:ind w:left="2651" w:hanging="528"/>
      </w:pPr>
      <w:rPr>
        <w:rFonts w:hint="eastAsia"/>
      </w:rPr>
    </w:lvl>
    <w:lvl w:ilvl="6" w:tentative="0">
      <w:start w:val="1"/>
      <w:numFmt w:val="decimal"/>
      <w:lvlText w:val="%7."/>
      <w:lvlJc w:val="left"/>
      <w:pPr>
        <w:tabs>
          <w:tab w:val="left" w:pos="3150"/>
        </w:tabs>
        <w:ind w:left="2963" w:hanging="528"/>
      </w:pPr>
      <w:rPr>
        <w:rFonts w:hint="eastAsia"/>
      </w:rPr>
    </w:lvl>
    <w:lvl w:ilvl="7" w:tentative="0">
      <w:start w:val="1"/>
      <w:numFmt w:val="lowerLetter"/>
      <w:lvlText w:val="%8)"/>
      <w:lvlJc w:val="left"/>
      <w:pPr>
        <w:tabs>
          <w:tab w:val="left" w:pos="3462"/>
        </w:tabs>
        <w:ind w:left="3275" w:hanging="528"/>
      </w:pPr>
      <w:rPr>
        <w:rFonts w:hint="eastAsia"/>
      </w:rPr>
    </w:lvl>
    <w:lvl w:ilvl="8" w:tentative="0">
      <w:start w:val="1"/>
      <w:numFmt w:val="lowerRoman"/>
      <w:lvlText w:val="%9."/>
      <w:lvlJc w:val="right"/>
      <w:pPr>
        <w:tabs>
          <w:tab w:val="left" w:pos="3774"/>
        </w:tabs>
        <w:ind w:left="3587" w:hanging="528"/>
      </w:pPr>
      <w:rPr>
        <w:rFonts w:hint="eastAsia"/>
      </w:rPr>
    </w:lvl>
  </w:abstractNum>
  <w:abstractNum w:abstractNumId="10">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18F1A84"/>
    <w:multiLevelType w:val="multilevel"/>
    <w:tmpl w:val="518F1A8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969057B"/>
    <w:multiLevelType w:val="multilevel"/>
    <w:tmpl w:val="7969057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FEF4F35"/>
    <w:multiLevelType w:val="multilevel"/>
    <w:tmpl w:val="7FEF4F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5"/>
  </w:num>
  <w:num w:numId="3">
    <w:abstractNumId w:val="9"/>
  </w:num>
  <w:num w:numId="4">
    <w:abstractNumId w:val="2"/>
  </w:num>
  <w:num w:numId="5">
    <w:abstractNumId w:val="11"/>
  </w:num>
  <w:num w:numId="6">
    <w:abstractNumId w:val="19"/>
  </w:num>
  <w:num w:numId="7">
    <w:abstractNumId w:val="0"/>
  </w:num>
  <w:num w:numId="8">
    <w:abstractNumId w:val="12"/>
  </w:num>
  <w:num w:numId="9">
    <w:abstractNumId w:val="4"/>
  </w:num>
  <w:num w:numId="10">
    <w:abstractNumId w:val="17"/>
  </w:num>
  <w:num w:numId="11">
    <w:abstractNumId w:val="15"/>
  </w:num>
  <w:num w:numId="12">
    <w:abstractNumId w:val="18"/>
  </w:num>
  <w:num w:numId="13">
    <w:abstractNumId w:val="8"/>
  </w:num>
  <w:num w:numId="14">
    <w:abstractNumId w:val="1"/>
  </w:num>
  <w:num w:numId="15">
    <w:abstractNumId w:val="3"/>
  </w:num>
  <w:num w:numId="16">
    <w:abstractNumId w:val="16"/>
  </w:num>
  <w:num w:numId="17">
    <w:abstractNumId w:val="14"/>
  </w:num>
  <w:num w:numId="18">
    <w:abstractNumId w:val="13"/>
  </w:num>
  <w:num w:numId="19">
    <w:abstractNumId w:val="21"/>
  </w:num>
  <w:num w:numId="20">
    <w:abstractNumId w:val="7"/>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S0MDMzNjI2NDOwNDBW0lEKTi0uzszPAykwNKsFABqIdQotAAAA"/>
  </w:docVars>
  <w:rsids>
    <w:rsidRoot w:val="008E3BB5"/>
    <w:rsid w:val="00000244"/>
    <w:rsid w:val="0000185F"/>
    <w:rsid w:val="0000586F"/>
    <w:rsid w:val="00011107"/>
    <w:rsid w:val="00011E19"/>
    <w:rsid w:val="00013D86"/>
    <w:rsid w:val="00013E02"/>
    <w:rsid w:val="00017008"/>
    <w:rsid w:val="0002143C"/>
    <w:rsid w:val="00021FF0"/>
    <w:rsid w:val="00024F7B"/>
    <w:rsid w:val="00025A65"/>
    <w:rsid w:val="00026C31"/>
    <w:rsid w:val="00027280"/>
    <w:rsid w:val="00027646"/>
    <w:rsid w:val="00030D8F"/>
    <w:rsid w:val="000312E1"/>
    <w:rsid w:val="00031BDE"/>
    <w:rsid w:val="000320A7"/>
    <w:rsid w:val="00033EAC"/>
    <w:rsid w:val="00035925"/>
    <w:rsid w:val="00035EA5"/>
    <w:rsid w:val="000406F0"/>
    <w:rsid w:val="00045AEA"/>
    <w:rsid w:val="00057C16"/>
    <w:rsid w:val="000620E1"/>
    <w:rsid w:val="00067047"/>
    <w:rsid w:val="00067B30"/>
    <w:rsid w:val="00067CDF"/>
    <w:rsid w:val="00072A37"/>
    <w:rsid w:val="000735D3"/>
    <w:rsid w:val="00074FBE"/>
    <w:rsid w:val="00075469"/>
    <w:rsid w:val="00082335"/>
    <w:rsid w:val="00083A09"/>
    <w:rsid w:val="00085392"/>
    <w:rsid w:val="000857AA"/>
    <w:rsid w:val="0009005E"/>
    <w:rsid w:val="00090297"/>
    <w:rsid w:val="000911B0"/>
    <w:rsid w:val="00092857"/>
    <w:rsid w:val="000973C3"/>
    <w:rsid w:val="000973DA"/>
    <w:rsid w:val="000976FF"/>
    <w:rsid w:val="000A0483"/>
    <w:rsid w:val="000A1B6D"/>
    <w:rsid w:val="000A20A9"/>
    <w:rsid w:val="000A48B1"/>
    <w:rsid w:val="000A7005"/>
    <w:rsid w:val="000B2103"/>
    <w:rsid w:val="000B3143"/>
    <w:rsid w:val="000B5D17"/>
    <w:rsid w:val="000B61EA"/>
    <w:rsid w:val="000C028E"/>
    <w:rsid w:val="000C3512"/>
    <w:rsid w:val="000C6B05"/>
    <w:rsid w:val="000C6DD6"/>
    <w:rsid w:val="000C73D4"/>
    <w:rsid w:val="000D3D4C"/>
    <w:rsid w:val="000D446C"/>
    <w:rsid w:val="000D4F51"/>
    <w:rsid w:val="000D703C"/>
    <w:rsid w:val="000D718B"/>
    <w:rsid w:val="000E0C46"/>
    <w:rsid w:val="000E108A"/>
    <w:rsid w:val="000E3CFA"/>
    <w:rsid w:val="000E6F73"/>
    <w:rsid w:val="000F030C"/>
    <w:rsid w:val="000F129C"/>
    <w:rsid w:val="000F5E7C"/>
    <w:rsid w:val="000F6B60"/>
    <w:rsid w:val="00102B74"/>
    <w:rsid w:val="001056DE"/>
    <w:rsid w:val="001077EA"/>
    <w:rsid w:val="00107C50"/>
    <w:rsid w:val="001115F9"/>
    <w:rsid w:val="001122C5"/>
    <w:rsid w:val="001124C0"/>
    <w:rsid w:val="00113192"/>
    <w:rsid w:val="00116A91"/>
    <w:rsid w:val="001176B7"/>
    <w:rsid w:val="0013175F"/>
    <w:rsid w:val="001428D6"/>
    <w:rsid w:val="00143089"/>
    <w:rsid w:val="0014449E"/>
    <w:rsid w:val="00144E42"/>
    <w:rsid w:val="001511E1"/>
    <w:rsid w:val="001512B4"/>
    <w:rsid w:val="001549A4"/>
    <w:rsid w:val="001620A5"/>
    <w:rsid w:val="0016370D"/>
    <w:rsid w:val="00164B49"/>
    <w:rsid w:val="00164E53"/>
    <w:rsid w:val="001651F1"/>
    <w:rsid w:val="0016699D"/>
    <w:rsid w:val="001723B3"/>
    <w:rsid w:val="00175159"/>
    <w:rsid w:val="001755F8"/>
    <w:rsid w:val="00176208"/>
    <w:rsid w:val="00177569"/>
    <w:rsid w:val="001812F2"/>
    <w:rsid w:val="0018211B"/>
    <w:rsid w:val="0018274A"/>
    <w:rsid w:val="001840D3"/>
    <w:rsid w:val="001855C6"/>
    <w:rsid w:val="001900F8"/>
    <w:rsid w:val="001902AE"/>
    <w:rsid w:val="00191258"/>
    <w:rsid w:val="001922DF"/>
    <w:rsid w:val="00192680"/>
    <w:rsid w:val="00193037"/>
    <w:rsid w:val="00193A2C"/>
    <w:rsid w:val="00193CC7"/>
    <w:rsid w:val="00194696"/>
    <w:rsid w:val="001A288E"/>
    <w:rsid w:val="001A33B8"/>
    <w:rsid w:val="001B11C3"/>
    <w:rsid w:val="001B6DC2"/>
    <w:rsid w:val="001B79DA"/>
    <w:rsid w:val="001C0D55"/>
    <w:rsid w:val="001C149C"/>
    <w:rsid w:val="001C21AC"/>
    <w:rsid w:val="001C2B54"/>
    <w:rsid w:val="001C47BA"/>
    <w:rsid w:val="001C59EA"/>
    <w:rsid w:val="001D1EDB"/>
    <w:rsid w:val="001D406C"/>
    <w:rsid w:val="001D41EE"/>
    <w:rsid w:val="001D4BFC"/>
    <w:rsid w:val="001E0380"/>
    <w:rsid w:val="001E13B1"/>
    <w:rsid w:val="001E2F7E"/>
    <w:rsid w:val="001E4BE3"/>
    <w:rsid w:val="001F04C8"/>
    <w:rsid w:val="001F2E61"/>
    <w:rsid w:val="001F3A19"/>
    <w:rsid w:val="001F4178"/>
    <w:rsid w:val="001F45BB"/>
    <w:rsid w:val="00207DDB"/>
    <w:rsid w:val="002126F1"/>
    <w:rsid w:val="00213EFD"/>
    <w:rsid w:val="00216646"/>
    <w:rsid w:val="00216D2A"/>
    <w:rsid w:val="00221113"/>
    <w:rsid w:val="00225B4C"/>
    <w:rsid w:val="00232E2D"/>
    <w:rsid w:val="00234467"/>
    <w:rsid w:val="00237D8D"/>
    <w:rsid w:val="0024135D"/>
    <w:rsid w:val="00241DA2"/>
    <w:rsid w:val="002465F6"/>
    <w:rsid w:val="00247FEE"/>
    <w:rsid w:val="002503A7"/>
    <w:rsid w:val="00250E7D"/>
    <w:rsid w:val="002565D5"/>
    <w:rsid w:val="00260BCB"/>
    <w:rsid w:val="002622C0"/>
    <w:rsid w:val="00263ECE"/>
    <w:rsid w:val="0026461F"/>
    <w:rsid w:val="002659D1"/>
    <w:rsid w:val="002674DC"/>
    <w:rsid w:val="00267DBC"/>
    <w:rsid w:val="00270637"/>
    <w:rsid w:val="00270C3C"/>
    <w:rsid w:val="00271286"/>
    <w:rsid w:val="00273653"/>
    <w:rsid w:val="002778AE"/>
    <w:rsid w:val="00280A52"/>
    <w:rsid w:val="0028269A"/>
    <w:rsid w:val="00283590"/>
    <w:rsid w:val="002838FB"/>
    <w:rsid w:val="002847B5"/>
    <w:rsid w:val="00284D2E"/>
    <w:rsid w:val="00286973"/>
    <w:rsid w:val="002902C2"/>
    <w:rsid w:val="00294E70"/>
    <w:rsid w:val="002A07FA"/>
    <w:rsid w:val="002A1528"/>
    <w:rsid w:val="002A1924"/>
    <w:rsid w:val="002A3BEC"/>
    <w:rsid w:val="002A7420"/>
    <w:rsid w:val="002B003B"/>
    <w:rsid w:val="002B023D"/>
    <w:rsid w:val="002B0F12"/>
    <w:rsid w:val="002B1308"/>
    <w:rsid w:val="002B4554"/>
    <w:rsid w:val="002B4980"/>
    <w:rsid w:val="002B4A55"/>
    <w:rsid w:val="002B5A91"/>
    <w:rsid w:val="002C0743"/>
    <w:rsid w:val="002C3891"/>
    <w:rsid w:val="002C5773"/>
    <w:rsid w:val="002C7146"/>
    <w:rsid w:val="002C72D8"/>
    <w:rsid w:val="002C7CF2"/>
    <w:rsid w:val="002D11FA"/>
    <w:rsid w:val="002D4067"/>
    <w:rsid w:val="002D67C9"/>
    <w:rsid w:val="002D6A44"/>
    <w:rsid w:val="002D7CCB"/>
    <w:rsid w:val="002E0DDF"/>
    <w:rsid w:val="002E2906"/>
    <w:rsid w:val="002E48BD"/>
    <w:rsid w:val="002E5635"/>
    <w:rsid w:val="002E64C3"/>
    <w:rsid w:val="002E6A2C"/>
    <w:rsid w:val="002F0489"/>
    <w:rsid w:val="002F1C92"/>
    <w:rsid w:val="002F1D8C"/>
    <w:rsid w:val="002F21DA"/>
    <w:rsid w:val="002F3DF0"/>
    <w:rsid w:val="002F45A5"/>
    <w:rsid w:val="002F4B8A"/>
    <w:rsid w:val="00301F39"/>
    <w:rsid w:val="00305983"/>
    <w:rsid w:val="00313C8E"/>
    <w:rsid w:val="00313FD1"/>
    <w:rsid w:val="00316218"/>
    <w:rsid w:val="00325926"/>
    <w:rsid w:val="00327A8A"/>
    <w:rsid w:val="003321DC"/>
    <w:rsid w:val="00333B21"/>
    <w:rsid w:val="00336610"/>
    <w:rsid w:val="00343F73"/>
    <w:rsid w:val="00344571"/>
    <w:rsid w:val="00345060"/>
    <w:rsid w:val="00345846"/>
    <w:rsid w:val="0034589C"/>
    <w:rsid w:val="0035323B"/>
    <w:rsid w:val="00360722"/>
    <w:rsid w:val="003609D2"/>
    <w:rsid w:val="003632BA"/>
    <w:rsid w:val="00363F22"/>
    <w:rsid w:val="00375564"/>
    <w:rsid w:val="0037627A"/>
    <w:rsid w:val="00381344"/>
    <w:rsid w:val="0038171E"/>
    <w:rsid w:val="00382E2D"/>
    <w:rsid w:val="00383191"/>
    <w:rsid w:val="00384A68"/>
    <w:rsid w:val="00386DED"/>
    <w:rsid w:val="0038798C"/>
    <w:rsid w:val="003912E7"/>
    <w:rsid w:val="00393947"/>
    <w:rsid w:val="00393C58"/>
    <w:rsid w:val="003A2275"/>
    <w:rsid w:val="003A4758"/>
    <w:rsid w:val="003A6A4F"/>
    <w:rsid w:val="003A7088"/>
    <w:rsid w:val="003A770D"/>
    <w:rsid w:val="003B00DF"/>
    <w:rsid w:val="003B1275"/>
    <w:rsid w:val="003B1778"/>
    <w:rsid w:val="003B5746"/>
    <w:rsid w:val="003C11CB"/>
    <w:rsid w:val="003C519A"/>
    <w:rsid w:val="003C75F3"/>
    <w:rsid w:val="003C78A3"/>
    <w:rsid w:val="003D0C53"/>
    <w:rsid w:val="003E1867"/>
    <w:rsid w:val="003E2D2A"/>
    <w:rsid w:val="003E361A"/>
    <w:rsid w:val="003E5729"/>
    <w:rsid w:val="003F4EA1"/>
    <w:rsid w:val="003F4EE0"/>
    <w:rsid w:val="00402153"/>
    <w:rsid w:val="00402FC1"/>
    <w:rsid w:val="004058EB"/>
    <w:rsid w:val="00407859"/>
    <w:rsid w:val="004101AE"/>
    <w:rsid w:val="004123FB"/>
    <w:rsid w:val="004131F0"/>
    <w:rsid w:val="004151A1"/>
    <w:rsid w:val="00425082"/>
    <w:rsid w:val="00431DEB"/>
    <w:rsid w:val="00434213"/>
    <w:rsid w:val="004356AF"/>
    <w:rsid w:val="00436C5D"/>
    <w:rsid w:val="00441961"/>
    <w:rsid w:val="00443AE6"/>
    <w:rsid w:val="0044584E"/>
    <w:rsid w:val="00446B29"/>
    <w:rsid w:val="00450B0B"/>
    <w:rsid w:val="00451865"/>
    <w:rsid w:val="00453F9A"/>
    <w:rsid w:val="00455125"/>
    <w:rsid w:val="00460C2B"/>
    <w:rsid w:val="00462CAA"/>
    <w:rsid w:val="004638C4"/>
    <w:rsid w:val="00465F86"/>
    <w:rsid w:val="00467D09"/>
    <w:rsid w:val="00470549"/>
    <w:rsid w:val="00471E91"/>
    <w:rsid w:val="00471F35"/>
    <w:rsid w:val="00474675"/>
    <w:rsid w:val="0047470C"/>
    <w:rsid w:val="00474D32"/>
    <w:rsid w:val="00483E82"/>
    <w:rsid w:val="00485C11"/>
    <w:rsid w:val="0048638E"/>
    <w:rsid w:val="00491A32"/>
    <w:rsid w:val="00492F2B"/>
    <w:rsid w:val="00495C02"/>
    <w:rsid w:val="004A35F9"/>
    <w:rsid w:val="004A4D08"/>
    <w:rsid w:val="004A5953"/>
    <w:rsid w:val="004A705F"/>
    <w:rsid w:val="004B24C1"/>
    <w:rsid w:val="004B6191"/>
    <w:rsid w:val="004B7C77"/>
    <w:rsid w:val="004C0154"/>
    <w:rsid w:val="004C1B03"/>
    <w:rsid w:val="004C1F96"/>
    <w:rsid w:val="004C23DB"/>
    <w:rsid w:val="004C292F"/>
    <w:rsid w:val="004C3D9A"/>
    <w:rsid w:val="004C5980"/>
    <w:rsid w:val="004D3ACC"/>
    <w:rsid w:val="004D645E"/>
    <w:rsid w:val="004D79BF"/>
    <w:rsid w:val="004E045B"/>
    <w:rsid w:val="004E26AC"/>
    <w:rsid w:val="004E3F0E"/>
    <w:rsid w:val="004E490D"/>
    <w:rsid w:val="004E568C"/>
    <w:rsid w:val="004E7AE3"/>
    <w:rsid w:val="004F400E"/>
    <w:rsid w:val="004F5C92"/>
    <w:rsid w:val="00504479"/>
    <w:rsid w:val="00504F35"/>
    <w:rsid w:val="0050613A"/>
    <w:rsid w:val="00510280"/>
    <w:rsid w:val="00511118"/>
    <w:rsid w:val="00511BA9"/>
    <w:rsid w:val="00513D73"/>
    <w:rsid w:val="00514A43"/>
    <w:rsid w:val="0051543B"/>
    <w:rsid w:val="005174E5"/>
    <w:rsid w:val="00521E4F"/>
    <w:rsid w:val="00522393"/>
    <w:rsid w:val="00522620"/>
    <w:rsid w:val="00525656"/>
    <w:rsid w:val="00525901"/>
    <w:rsid w:val="00525F88"/>
    <w:rsid w:val="00527A35"/>
    <w:rsid w:val="00534A1B"/>
    <w:rsid w:val="00534C02"/>
    <w:rsid w:val="005408A7"/>
    <w:rsid w:val="0054264B"/>
    <w:rsid w:val="00542B40"/>
    <w:rsid w:val="00543786"/>
    <w:rsid w:val="005474BB"/>
    <w:rsid w:val="00547603"/>
    <w:rsid w:val="00551DBD"/>
    <w:rsid w:val="005533D7"/>
    <w:rsid w:val="00560240"/>
    <w:rsid w:val="00561495"/>
    <w:rsid w:val="00563BFD"/>
    <w:rsid w:val="0056491B"/>
    <w:rsid w:val="00564C11"/>
    <w:rsid w:val="00565200"/>
    <w:rsid w:val="0056738D"/>
    <w:rsid w:val="005703DE"/>
    <w:rsid w:val="005704EC"/>
    <w:rsid w:val="005745C9"/>
    <w:rsid w:val="00576508"/>
    <w:rsid w:val="0057762F"/>
    <w:rsid w:val="00582165"/>
    <w:rsid w:val="005823BA"/>
    <w:rsid w:val="0058464E"/>
    <w:rsid w:val="005862BE"/>
    <w:rsid w:val="00591117"/>
    <w:rsid w:val="00593C35"/>
    <w:rsid w:val="0059411C"/>
    <w:rsid w:val="005A01CB"/>
    <w:rsid w:val="005A28F3"/>
    <w:rsid w:val="005A3B3F"/>
    <w:rsid w:val="005A5426"/>
    <w:rsid w:val="005A58FF"/>
    <w:rsid w:val="005A5EAF"/>
    <w:rsid w:val="005A604B"/>
    <w:rsid w:val="005A64C0"/>
    <w:rsid w:val="005A73B2"/>
    <w:rsid w:val="005A7D86"/>
    <w:rsid w:val="005A7F2C"/>
    <w:rsid w:val="005B3A29"/>
    <w:rsid w:val="005B3A76"/>
    <w:rsid w:val="005B3C11"/>
    <w:rsid w:val="005B65AC"/>
    <w:rsid w:val="005C177F"/>
    <w:rsid w:val="005C18EE"/>
    <w:rsid w:val="005C1C28"/>
    <w:rsid w:val="005C25F5"/>
    <w:rsid w:val="005C27B9"/>
    <w:rsid w:val="005C2DD3"/>
    <w:rsid w:val="005C6DB5"/>
    <w:rsid w:val="005D0F7E"/>
    <w:rsid w:val="005D434C"/>
    <w:rsid w:val="005D677A"/>
    <w:rsid w:val="005E0B6C"/>
    <w:rsid w:val="005E19E7"/>
    <w:rsid w:val="005E1DA2"/>
    <w:rsid w:val="005E3FFF"/>
    <w:rsid w:val="005F068F"/>
    <w:rsid w:val="005F281E"/>
    <w:rsid w:val="005F3BA3"/>
    <w:rsid w:val="005F7580"/>
    <w:rsid w:val="006107FC"/>
    <w:rsid w:val="00614BDB"/>
    <w:rsid w:val="0061571C"/>
    <w:rsid w:val="0061716C"/>
    <w:rsid w:val="006230EA"/>
    <w:rsid w:val="006239DF"/>
    <w:rsid w:val="00623C93"/>
    <w:rsid w:val="006243A1"/>
    <w:rsid w:val="00632E56"/>
    <w:rsid w:val="0063315E"/>
    <w:rsid w:val="00633869"/>
    <w:rsid w:val="00634993"/>
    <w:rsid w:val="00635CBA"/>
    <w:rsid w:val="00637A59"/>
    <w:rsid w:val="00640E2F"/>
    <w:rsid w:val="0064338B"/>
    <w:rsid w:val="0064486E"/>
    <w:rsid w:val="00645740"/>
    <w:rsid w:val="00645C38"/>
    <w:rsid w:val="00646542"/>
    <w:rsid w:val="006504F4"/>
    <w:rsid w:val="0065079B"/>
    <w:rsid w:val="006534EC"/>
    <w:rsid w:val="006536B0"/>
    <w:rsid w:val="00654BC9"/>
    <w:rsid w:val="006552FD"/>
    <w:rsid w:val="00656651"/>
    <w:rsid w:val="006601B3"/>
    <w:rsid w:val="00660BCE"/>
    <w:rsid w:val="00661749"/>
    <w:rsid w:val="00663AF3"/>
    <w:rsid w:val="00666B6C"/>
    <w:rsid w:val="006704D9"/>
    <w:rsid w:val="00671F31"/>
    <w:rsid w:val="00672CFB"/>
    <w:rsid w:val="00673BDD"/>
    <w:rsid w:val="00674527"/>
    <w:rsid w:val="0068237B"/>
    <w:rsid w:val="00682682"/>
    <w:rsid w:val="00682702"/>
    <w:rsid w:val="00692368"/>
    <w:rsid w:val="0069257D"/>
    <w:rsid w:val="00692A50"/>
    <w:rsid w:val="006945FB"/>
    <w:rsid w:val="00695C73"/>
    <w:rsid w:val="006A0F30"/>
    <w:rsid w:val="006A2EBC"/>
    <w:rsid w:val="006A5EA0"/>
    <w:rsid w:val="006A61DD"/>
    <w:rsid w:val="006A6F64"/>
    <w:rsid w:val="006A7690"/>
    <w:rsid w:val="006A783B"/>
    <w:rsid w:val="006A78C1"/>
    <w:rsid w:val="006A7B33"/>
    <w:rsid w:val="006B4BE6"/>
    <w:rsid w:val="006B4E13"/>
    <w:rsid w:val="006B75DD"/>
    <w:rsid w:val="006C149F"/>
    <w:rsid w:val="006C2785"/>
    <w:rsid w:val="006C67E0"/>
    <w:rsid w:val="006C7ABA"/>
    <w:rsid w:val="006C7D7F"/>
    <w:rsid w:val="006D0578"/>
    <w:rsid w:val="006D0D60"/>
    <w:rsid w:val="006D1122"/>
    <w:rsid w:val="006D1933"/>
    <w:rsid w:val="006D1AE8"/>
    <w:rsid w:val="006D3C00"/>
    <w:rsid w:val="006D66C6"/>
    <w:rsid w:val="006D719D"/>
    <w:rsid w:val="006E3627"/>
    <w:rsid w:val="006E3675"/>
    <w:rsid w:val="006E4A7F"/>
    <w:rsid w:val="006F2A4C"/>
    <w:rsid w:val="006F3B58"/>
    <w:rsid w:val="006F44D6"/>
    <w:rsid w:val="0070045B"/>
    <w:rsid w:val="00700E9C"/>
    <w:rsid w:val="007028BF"/>
    <w:rsid w:val="00704DF6"/>
    <w:rsid w:val="00705356"/>
    <w:rsid w:val="0070651C"/>
    <w:rsid w:val="007123FA"/>
    <w:rsid w:val="007132A3"/>
    <w:rsid w:val="0071546E"/>
    <w:rsid w:val="00716421"/>
    <w:rsid w:val="00722A7F"/>
    <w:rsid w:val="007238BF"/>
    <w:rsid w:val="00724EFB"/>
    <w:rsid w:val="0072604B"/>
    <w:rsid w:val="007268BE"/>
    <w:rsid w:val="00731DA3"/>
    <w:rsid w:val="0073774F"/>
    <w:rsid w:val="00740531"/>
    <w:rsid w:val="007419C3"/>
    <w:rsid w:val="007464FA"/>
    <w:rsid w:val="007467A7"/>
    <w:rsid w:val="007469DD"/>
    <w:rsid w:val="0074741B"/>
    <w:rsid w:val="0074759E"/>
    <w:rsid w:val="007478EA"/>
    <w:rsid w:val="0075415C"/>
    <w:rsid w:val="00754351"/>
    <w:rsid w:val="007572B2"/>
    <w:rsid w:val="00760549"/>
    <w:rsid w:val="00761F71"/>
    <w:rsid w:val="007625E4"/>
    <w:rsid w:val="007626BC"/>
    <w:rsid w:val="00762AAA"/>
    <w:rsid w:val="007632FF"/>
    <w:rsid w:val="00763502"/>
    <w:rsid w:val="00765095"/>
    <w:rsid w:val="00770C0D"/>
    <w:rsid w:val="00772FA7"/>
    <w:rsid w:val="00774EE3"/>
    <w:rsid w:val="00774FB3"/>
    <w:rsid w:val="00780AC6"/>
    <w:rsid w:val="00781056"/>
    <w:rsid w:val="007826C9"/>
    <w:rsid w:val="0078639F"/>
    <w:rsid w:val="0078675F"/>
    <w:rsid w:val="007913AB"/>
    <w:rsid w:val="007914F7"/>
    <w:rsid w:val="0079189E"/>
    <w:rsid w:val="00792BE8"/>
    <w:rsid w:val="007964D0"/>
    <w:rsid w:val="007965B0"/>
    <w:rsid w:val="00797840"/>
    <w:rsid w:val="007A1EFF"/>
    <w:rsid w:val="007A3233"/>
    <w:rsid w:val="007A477D"/>
    <w:rsid w:val="007A5A87"/>
    <w:rsid w:val="007A6016"/>
    <w:rsid w:val="007A670E"/>
    <w:rsid w:val="007A73E4"/>
    <w:rsid w:val="007B1625"/>
    <w:rsid w:val="007B4884"/>
    <w:rsid w:val="007B6129"/>
    <w:rsid w:val="007B706E"/>
    <w:rsid w:val="007B71EB"/>
    <w:rsid w:val="007C059F"/>
    <w:rsid w:val="007C506B"/>
    <w:rsid w:val="007C6205"/>
    <w:rsid w:val="007C686A"/>
    <w:rsid w:val="007C728E"/>
    <w:rsid w:val="007C78DB"/>
    <w:rsid w:val="007D0325"/>
    <w:rsid w:val="007D2C53"/>
    <w:rsid w:val="007D3D60"/>
    <w:rsid w:val="007D4A44"/>
    <w:rsid w:val="007D5176"/>
    <w:rsid w:val="007E010B"/>
    <w:rsid w:val="007E1980"/>
    <w:rsid w:val="007E43E9"/>
    <w:rsid w:val="007E4B76"/>
    <w:rsid w:val="007E5EA8"/>
    <w:rsid w:val="007E68D6"/>
    <w:rsid w:val="007F0514"/>
    <w:rsid w:val="007F0CF1"/>
    <w:rsid w:val="007F12A5"/>
    <w:rsid w:val="007F25D7"/>
    <w:rsid w:val="007F2EEB"/>
    <w:rsid w:val="007F4CF1"/>
    <w:rsid w:val="007F5AF3"/>
    <w:rsid w:val="007F758D"/>
    <w:rsid w:val="007F7D52"/>
    <w:rsid w:val="00800530"/>
    <w:rsid w:val="0080399C"/>
    <w:rsid w:val="00805B31"/>
    <w:rsid w:val="0080654C"/>
    <w:rsid w:val="0080673F"/>
    <w:rsid w:val="008071C6"/>
    <w:rsid w:val="008146F2"/>
    <w:rsid w:val="00817A00"/>
    <w:rsid w:val="008205A9"/>
    <w:rsid w:val="0082323D"/>
    <w:rsid w:val="008236EF"/>
    <w:rsid w:val="00824CBB"/>
    <w:rsid w:val="00830F44"/>
    <w:rsid w:val="00835809"/>
    <w:rsid w:val="00835DB3"/>
    <w:rsid w:val="00835DE7"/>
    <w:rsid w:val="0083617B"/>
    <w:rsid w:val="008371BD"/>
    <w:rsid w:val="008504A8"/>
    <w:rsid w:val="0085282E"/>
    <w:rsid w:val="00854470"/>
    <w:rsid w:val="00855A19"/>
    <w:rsid w:val="00864F47"/>
    <w:rsid w:val="0087198C"/>
    <w:rsid w:val="00872185"/>
    <w:rsid w:val="008724BA"/>
    <w:rsid w:val="00872C1F"/>
    <w:rsid w:val="00873B42"/>
    <w:rsid w:val="008749E4"/>
    <w:rsid w:val="0087557C"/>
    <w:rsid w:val="00877D2E"/>
    <w:rsid w:val="008856D8"/>
    <w:rsid w:val="00887660"/>
    <w:rsid w:val="00892E82"/>
    <w:rsid w:val="008960B8"/>
    <w:rsid w:val="008A62C1"/>
    <w:rsid w:val="008A70E1"/>
    <w:rsid w:val="008B2127"/>
    <w:rsid w:val="008B4F93"/>
    <w:rsid w:val="008B5DC2"/>
    <w:rsid w:val="008B7AE0"/>
    <w:rsid w:val="008C0FFC"/>
    <w:rsid w:val="008C1B58"/>
    <w:rsid w:val="008C1D10"/>
    <w:rsid w:val="008C29CC"/>
    <w:rsid w:val="008C35F6"/>
    <w:rsid w:val="008C39AE"/>
    <w:rsid w:val="008C590D"/>
    <w:rsid w:val="008C7F1C"/>
    <w:rsid w:val="008E031B"/>
    <w:rsid w:val="008E3BB5"/>
    <w:rsid w:val="008E7029"/>
    <w:rsid w:val="008E7EF6"/>
    <w:rsid w:val="008F0E16"/>
    <w:rsid w:val="008F12CE"/>
    <w:rsid w:val="008F1F98"/>
    <w:rsid w:val="008F2B70"/>
    <w:rsid w:val="008F2BD1"/>
    <w:rsid w:val="008F4849"/>
    <w:rsid w:val="008F586A"/>
    <w:rsid w:val="008F6758"/>
    <w:rsid w:val="008F6AB3"/>
    <w:rsid w:val="008F7587"/>
    <w:rsid w:val="009040DD"/>
    <w:rsid w:val="00905B47"/>
    <w:rsid w:val="00906109"/>
    <w:rsid w:val="0091331C"/>
    <w:rsid w:val="0091631F"/>
    <w:rsid w:val="009279DE"/>
    <w:rsid w:val="00930116"/>
    <w:rsid w:val="0093240A"/>
    <w:rsid w:val="009335B9"/>
    <w:rsid w:val="0093436D"/>
    <w:rsid w:val="00936969"/>
    <w:rsid w:val="00941E47"/>
    <w:rsid w:val="0094212C"/>
    <w:rsid w:val="009437F7"/>
    <w:rsid w:val="00950EA7"/>
    <w:rsid w:val="0095244D"/>
    <w:rsid w:val="00954689"/>
    <w:rsid w:val="00955B6F"/>
    <w:rsid w:val="009569CB"/>
    <w:rsid w:val="00960E2A"/>
    <w:rsid w:val="009617C9"/>
    <w:rsid w:val="00961C93"/>
    <w:rsid w:val="00963380"/>
    <w:rsid w:val="0096483B"/>
    <w:rsid w:val="00965324"/>
    <w:rsid w:val="009669FB"/>
    <w:rsid w:val="00966ECF"/>
    <w:rsid w:val="0097091E"/>
    <w:rsid w:val="00971D0F"/>
    <w:rsid w:val="00973787"/>
    <w:rsid w:val="00974AF6"/>
    <w:rsid w:val="00975A47"/>
    <w:rsid w:val="009760D3"/>
    <w:rsid w:val="00977132"/>
    <w:rsid w:val="00981A4B"/>
    <w:rsid w:val="00982501"/>
    <w:rsid w:val="009877D3"/>
    <w:rsid w:val="00987B50"/>
    <w:rsid w:val="00990A46"/>
    <w:rsid w:val="00994E8F"/>
    <w:rsid w:val="009951DC"/>
    <w:rsid w:val="009959BB"/>
    <w:rsid w:val="00996E47"/>
    <w:rsid w:val="00997158"/>
    <w:rsid w:val="009A0785"/>
    <w:rsid w:val="009A3A7C"/>
    <w:rsid w:val="009A5E2C"/>
    <w:rsid w:val="009B2ADB"/>
    <w:rsid w:val="009B3A05"/>
    <w:rsid w:val="009B603A"/>
    <w:rsid w:val="009C0A29"/>
    <w:rsid w:val="009C116A"/>
    <w:rsid w:val="009C2AE0"/>
    <w:rsid w:val="009C2D0E"/>
    <w:rsid w:val="009C3DAC"/>
    <w:rsid w:val="009C4138"/>
    <w:rsid w:val="009C42E0"/>
    <w:rsid w:val="009C669B"/>
    <w:rsid w:val="009C7192"/>
    <w:rsid w:val="009D31DC"/>
    <w:rsid w:val="009D5362"/>
    <w:rsid w:val="009D66FB"/>
    <w:rsid w:val="009E1415"/>
    <w:rsid w:val="009E35A9"/>
    <w:rsid w:val="009E6116"/>
    <w:rsid w:val="009F1CB0"/>
    <w:rsid w:val="009F1D28"/>
    <w:rsid w:val="009F3840"/>
    <w:rsid w:val="009F7AF9"/>
    <w:rsid w:val="00A02E43"/>
    <w:rsid w:val="00A03701"/>
    <w:rsid w:val="00A0431C"/>
    <w:rsid w:val="00A065F9"/>
    <w:rsid w:val="00A069CB"/>
    <w:rsid w:val="00A07F34"/>
    <w:rsid w:val="00A156E5"/>
    <w:rsid w:val="00A174EC"/>
    <w:rsid w:val="00A22154"/>
    <w:rsid w:val="00A23012"/>
    <w:rsid w:val="00A23BF2"/>
    <w:rsid w:val="00A25C38"/>
    <w:rsid w:val="00A27FC4"/>
    <w:rsid w:val="00A31629"/>
    <w:rsid w:val="00A35532"/>
    <w:rsid w:val="00A35F55"/>
    <w:rsid w:val="00A36BBE"/>
    <w:rsid w:val="00A376E9"/>
    <w:rsid w:val="00A37DAF"/>
    <w:rsid w:val="00A4307A"/>
    <w:rsid w:val="00A43806"/>
    <w:rsid w:val="00A4470A"/>
    <w:rsid w:val="00A44A50"/>
    <w:rsid w:val="00A47EBB"/>
    <w:rsid w:val="00A51CDD"/>
    <w:rsid w:val="00A525C7"/>
    <w:rsid w:val="00A53329"/>
    <w:rsid w:val="00A66D7B"/>
    <w:rsid w:val="00A6730D"/>
    <w:rsid w:val="00A71625"/>
    <w:rsid w:val="00A71659"/>
    <w:rsid w:val="00A71B9B"/>
    <w:rsid w:val="00A73CDE"/>
    <w:rsid w:val="00A751C7"/>
    <w:rsid w:val="00A7543C"/>
    <w:rsid w:val="00A819FD"/>
    <w:rsid w:val="00A83143"/>
    <w:rsid w:val="00A87844"/>
    <w:rsid w:val="00A92259"/>
    <w:rsid w:val="00A94423"/>
    <w:rsid w:val="00A9443E"/>
    <w:rsid w:val="00AA038C"/>
    <w:rsid w:val="00AA3849"/>
    <w:rsid w:val="00AA4310"/>
    <w:rsid w:val="00AA5127"/>
    <w:rsid w:val="00AA7A09"/>
    <w:rsid w:val="00AB0858"/>
    <w:rsid w:val="00AB3B50"/>
    <w:rsid w:val="00AB4277"/>
    <w:rsid w:val="00AB5386"/>
    <w:rsid w:val="00AC05B1"/>
    <w:rsid w:val="00AC4EE6"/>
    <w:rsid w:val="00AD356C"/>
    <w:rsid w:val="00AE09E2"/>
    <w:rsid w:val="00AE2914"/>
    <w:rsid w:val="00AE6D15"/>
    <w:rsid w:val="00AF2115"/>
    <w:rsid w:val="00AF70C4"/>
    <w:rsid w:val="00B01302"/>
    <w:rsid w:val="00B02920"/>
    <w:rsid w:val="00B0322A"/>
    <w:rsid w:val="00B04182"/>
    <w:rsid w:val="00B06E48"/>
    <w:rsid w:val="00B07AE3"/>
    <w:rsid w:val="00B11430"/>
    <w:rsid w:val="00B1342A"/>
    <w:rsid w:val="00B2474C"/>
    <w:rsid w:val="00B253D3"/>
    <w:rsid w:val="00B2765D"/>
    <w:rsid w:val="00B3515F"/>
    <w:rsid w:val="00B352BC"/>
    <w:rsid w:val="00B353EB"/>
    <w:rsid w:val="00B3780B"/>
    <w:rsid w:val="00B4324D"/>
    <w:rsid w:val="00B439C4"/>
    <w:rsid w:val="00B43EB6"/>
    <w:rsid w:val="00B4420A"/>
    <w:rsid w:val="00B442D3"/>
    <w:rsid w:val="00B44869"/>
    <w:rsid w:val="00B449F1"/>
    <w:rsid w:val="00B4535E"/>
    <w:rsid w:val="00B47BF0"/>
    <w:rsid w:val="00B52A8C"/>
    <w:rsid w:val="00B636A8"/>
    <w:rsid w:val="00B665C6"/>
    <w:rsid w:val="00B73889"/>
    <w:rsid w:val="00B76494"/>
    <w:rsid w:val="00B77FE7"/>
    <w:rsid w:val="00B805AF"/>
    <w:rsid w:val="00B80F3B"/>
    <w:rsid w:val="00B81093"/>
    <w:rsid w:val="00B859CD"/>
    <w:rsid w:val="00B86729"/>
    <w:rsid w:val="00B869EC"/>
    <w:rsid w:val="00B8740D"/>
    <w:rsid w:val="00B9397A"/>
    <w:rsid w:val="00B93EF9"/>
    <w:rsid w:val="00B9633D"/>
    <w:rsid w:val="00BA1CA0"/>
    <w:rsid w:val="00BA2E03"/>
    <w:rsid w:val="00BA2EBE"/>
    <w:rsid w:val="00BA5AEB"/>
    <w:rsid w:val="00BB0F28"/>
    <w:rsid w:val="00BB291D"/>
    <w:rsid w:val="00BB3048"/>
    <w:rsid w:val="00BB458A"/>
    <w:rsid w:val="00BB4591"/>
    <w:rsid w:val="00BB49D5"/>
    <w:rsid w:val="00BB4C8D"/>
    <w:rsid w:val="00BC094F"/>
    <w:rsid w:val="00BC09EE"/>
    <w:rsid w:val="00BC3490"/>
    <w:rsid w:val="00BC5BAC"/>
    <w:rsid w:val="00BC64F8"/>
    <w:rsid w:val="00BD00D3"/>
    <w:rsid w:val="00BD0F6E"/>
    <w:rsid w:val="00BD12F2"/>
    <w:rsid w:val="00BD1659"/>
    <w:rsid w:val="00BD3AA9"/>
    <w:rsid w:val="00BD3D67"/>
    <w:rsid w:val="00BD4A18"/>
    <w:rsid w:val="00BD6DB2"/>
    <w:rsid w:val="00BE11CF"/>
    <w:rsid w:val="00BE21AB"/>
    <w:rsid w:val="00BE446F"/>
    <w:rsid w:val="00BE55CB"/>
    <w:rsid w:val="00BE7105"/>
    <w:rsid w:val="00BF617A"/>
    <w:rsid w:val="00C02136"/>
    <w:rsid w:val="00C02915"/>
    <w:rsid w:val="00C0379D"/>
    <w:rsid w:val="00C03931"/>
    <w:rsid w:val="00C05FE3"/>
    <w:rsid w:val="00C066C2"/>
    <w:rsid w:val="00C1014A"/>
    <w:rsid w:val="00C17BC8"/>
    <w:rsid w:val="00C2136D"/>
    <w:rsid w:val="00C214EE"/>
    <w:rsid w:val="00C2314B"/>
    <w:rsid w:val="00C24971"/>
    <w:rsid w:val="00C26BE5"/>
    <w:rsid w:val="00C26E4D"/>
    <w:rsid w:val="00C272B8"/>
    <w:rsid w:val="00C27909"/>
    <w:rsid w:val="00C27B03"/>
    <w:rsid w:val="00C30F22"/>
    <w:rsid w:val="00C314E1"/>
    <w:rsid w:val="00C332D6"/>
    <w:rsid w:val="00C33625"/>
    <w:rsid w:val="00C34011"/>
    <w:rsid w:val="00C34397"/>
    <w:rsid w:val="00C34578"/>
    <w:rsid w:val="00C35341"/>
    <w:rsid w:val="00C36506"/>
    <w:rsid w:val="00C4095D"/>
    <w:rsid w:val="00C51358"/>
    <w:rsid w:val="00C52689"/>
    <w:rsid w:val="00C54C8A"/>
    <w:rsid w:val="00C554F3"/>
    <w:rsid w:val="00C56035"/>
    <w:rsid w:val="00C601D2"/>
    <w:rsid w:val="00C64792"/>
    <w:rsid w:val="00C654FC"/>
    <w:rsid w:val="00C657AB"/>
    <w:rsid w:val="00C65BCC"/>
    <w:rsid w:val="00C66970"/>
    <w:rsid w:val="00C66CBC"/>
    <w:rsid w:val="00C80D32"/>
    <w:rsid w:val="00C8691C"/>
    <w:rsid w:val="00C9297E"/>
    <w:rsid w:val="00C94300"/>
    <w:rsid w:val="00C9514B"/>
    <w:rsid w:val="00C9754B"/>
    <w:rsid w:val="00CA112C"/>
    <w:rsid w:val="00CA168A"/>
    <w:rsid w:val="00CA357E"/>
    <w:rsid w:val="00CA3C44"/>
    <w:rsid w:val="00CA41A0"/>
    <w:rsid w:val="00CA44F9"/>
    <w:rsid w:val="00CA4A69"/>
    <w:rsid w:val="00CB0AFE"/>
    <w:rsid w:val="00CB0BB2"/>
    <w:rsid w:val="00CB3617"/>
    <w:rsid w:val="00CB6135"/>
    <w:rsid w:val="00CC3E0C"/>
    <w:rsid w:val="00CC58D3"/>
    <w:rsid w:val="00CC784D"/>
    <w:rsid w:val="00CD2167"/>
    <w:rsid w:val="00CD6300"/>
    <w:rsid w:val="00CD7B6C"/>
    <w:rsid w:val="00CD7D62"/>
    <w:rsid w:val="00CE2137"/>
    <w:rsid w:val="00CE5ED9"/>
    <w:rsid w:val="00CE6B9D"/>
    <w:rsid w:val="00CF1615"/>
    <w:rsid w:val="00CF1D1D"/>
    <w:rsid w:val="00CF6306"/>
    <w:rsid w:val="00D0337B"/>
    <w:rsid w:val="00D079B2"/>
    <w:rsid w:val="00D11478"/>
    <w:rsid w:val="00D114E9"/>
    <w:rsid w:val="00D14FE3"/>
    <w:rsid w:val="00D160ED"/>
    <w:rsid w:val="00D20699"/>
    <w:rsid w:val="00D22141"/>
    <w:rsid w:val="00D22845"/>
    <w:rsid w:val="00D24F68"/>
    <w:rsid w:val="00D30779"/>
    <w:rsid w:val="00D32E77"/>
    <w:rsid w:val="00D33F83"/>
    <w:rsid w:val="00D429C6"/>
    <w:rsid w:val="00D45B96"/>
    <w:rsid w:val="00D464E0"/>
    <w:rsid w:val="00D470A6"/>
    <w:rsid w:val="00D47748"/>
    <w:rsid w:val="00D47F36"/>
    <w:rsid w:val="00D51A31"/>
    <w:rsid w:val="00D51AF0"/>
    <w:rsid w:val="00D5311A"/>
    <w:rsid w:val="00D54CC3"/>
    <w:rsid w:val="00D57B49"/>
    <w:rsid w:val="00D6041A"/>
    <w:rsid w:val="00D62005"/>
    <w:rsid w:val="00D633EB"/>
    <w:rsid w:val="00D65778"/>
    <w:rsid w:val="00D676D7"/>
    <w:rsid w:val="00D67DA6"/>
    <w:rsid w:val="00D725BA"/>
    <w:rsid w:val="00D72BB1"/>
    <w:rsid w:val="00D72BF8"/>
    <w:rsid w:val="00D77A87"/>
    <w:rsid w:val="00D81288"/>
    <w:rsid w:val="00D82834"/>
    <w:rsid w:val="00D82FF7"/>
    <w:rsid w:val="00D847FE"/>
    <w:rsid w:val="00D84C11"/>
    <w:rsid w:val="00D920A7"/>
    <w:rsid w:val="00D964EA"/>
    <w:rsid w:val="00D966D0"/>
    <w:rsid w:val="00D973CC"/>
    <w:rsid w:val="00DA0C59"/>
    <w:rsid w:val="00DA3991"/>
    <w:rsid w:val="00DA79F9"/>
    <w:rsid w:val="00DB0713"/>
    <w:rsid w:val="00DB7E6C"/>
    <w:rsid w:val="00DC224E"/>
    <w:rsid w:val="00DC5AAD"/>
    <w:rsid w:val="00DD2F2C"/>
    <w:rsid w:val="00DD5A29"/>
    <w:rsid w:val="00DD5D9D"/>
    <w:rsid w:val="00DE2C79"/>
    <w:rsid w:val="00DE35CB"/>
    <w:rsid w:val="00DE48B4"/>
    <w:rsid w:val="00DE7779"/>
    <w:rsid w:val="00DF05B4"/>
    <w:rsid w:val="00DF13E9"/>
    <w:rsid w:val="00DF1B8B"/>
    <w:rsid w:val="00DF1E24"/>
    <w:rsid w:val="00DF21E9"/>
    <w:rsid w:val="00DF4669"/>
    <w:rsid w:val="00DF6822"/>
    <w:rsid w:val="00E00F14"/>
    <w:rsid w:val="00E01985"/>
    <w:rsid w:val="00E01F68"/>
    <w:rsid w:val="00E06386"/>
    <w:rsid w:val="00E14258"/>
    <w:rsid w:val="00E167C8"/>
    <w:rsid w:val="00E2398E"/>
    <w:rsid w:val="00E24EB4"/>
    <w:rsid w:val="00E254D6"/>
    <w:rsid w:val="00E320ED"/>
    <w:rsid w:val="00E33650"/>
    <w:rsid w:val="00E33AFB"/>
    <w:rsid w:val="00E34218"/>
    <w:rsid w:val="00E34797"/>
    <w:rsid w:val="00E35F8A"/>
    <w:rsid w:val="00E361EC"/>
    <w:rsid w:val="00E45228"/>
    <w:rsid w:val="00E452DF"/>
    <w:rsid w:val="00E46282"/>
    <w:rsid w:val="00E46A03"/>
    <w:rsid w:val="00E51F23"/>
    <w:rsid w:val="00E5216E"/>
    <w:rsid w:val="00E522C8"/>
    <w:rsid w:val="00E55E5B"/>
    <w:rsid w:val="00E6480F"/>
    <w:rsid w:val="00E7041C"/>
    <w:rsid w:val="00E71B47"/>
    <w:rsid w:val="00E72897"/>
    <w:rsid w:val="00E74428"/>
    <w:rsid w:val="00E82344"/>
    <w:rsid w:val="00E84C82"/>
    <w:rsid w:val="00E84D64"/>
    <w:rsid w:val="00E87408"/>
    <w:rsid w:val="00E914C4"/>
    <w:rsid w:val="00E91CD2"/>
    <w:rsid w:val="00E934F5"/>
    <w:rsid w:val="00E95CAC"/>
    <w:rsid w:val="00E96961"/>
    <w:rsid w:val="00EA092A"/>
    <w:rsid w:val="00EA146C"/>
    <w:rsid w:val="00EA5285"/>
    <w:rsid w:val="00EA72EC"/>
    <w:rsid w:val="00EB0696"/>
    <w:rsid w:val="00EB11CB"/>
    <w:rsid w:val="00EB1A29"/>
    <w:rsid w:val="00EB275A"/>
    <w:rsid w:val="00EB6E41"/>
    <w:rsid w:val="00EB786A"/>
    <w:rsid w:val="00EC1578"/>
    <w:rsid w:val="00EC15A4"/>
    <w:rsid w:val="00EC1C72"/>
    <w:rsid w:val="00EC22D9"/>
    <w:rsid w:val="00EC3CC9"/>
    <w:rsid w:val="00EC680A"/>
    <w:rsid w:val="00ED2242"/>
    <w:rsid w:val="00ED3F14"/>
    <w:rsid w:val="00ED794E"/>
    <w:rsid w:val="00EE097B"/>
    <w:rsid w:val="00EE0A6A"/>
    <w:rsid w:val="00EE2819"/>
    <w:rsid w:val="00EE2BED"/>
    <w:rsid w:val="00EE374B"/>
    <w:rsid w:val="00EE5A7F"/>
    <w:rsid w:val="00EE7133"/>
    <w:rsid w:val="00EE7636"/>
    <w:rsid w:val="00EF2D5F"/>
    <w:rsid w:val="00EF2DD3"/>
    <w:rsid w:val="00EF2FAD"/>
    <w:rsid w:val="00EF768F"/>
    <w:rsid w:val="00F0124A"/>
    <w:rsid w:val="00F06FC1"/>
    <w:rsid w:val="00F1075A"/>
    <w:rsid w:val="00F10C4D"/>
    <w:rsid w:val="00F11BB5"/>
    <w:rsid w:val="00F11F9F"/>
    <w:rsid w:val="00F1417B"/>
    <w:rsid w:val="00F20323"/>
    <w:rsid w:val="00F24119"/>
    <w:rsid w:val="00F3116B"/>
    <w:rsid w:val="00F3154E"/>
    <w:rsid w:val="00F31B08"/>
    <w:rsid w:val="00F33816"/>
    <w:rsid w:val="00F34B99"/>
    <w:rsid w:val="00F36533"/>
    <w:rsid w:val="00F4096E"/>
    <w:rsid w:val="00F43BA1"/>
    <w:rsid w:val="00F52DAB"/>
    <w:rsid w:val="00F543F0"/>
    <w:rsid w:val="00F61129"/>
    <w:rsid w:val="00F62431"/>
    <w:rsid w:val="00F64441"/>
    <w:rsid w:val="00F660E6"/>
    <w:rsid w:val="00F709E1"/>
    <w:rsid w:val="00F72D4A"/>
    <w:rsid w:val="00F737BC"/>
    <w:rsid w:val="00F73BBC"/>
    <w:rsid w:val="00F74608"/>
    <w:rsid w:val="00F81D29"/>
    <w:rsid w:val="00F871AD"/>
    <w:rsid w:val="00F9097F"/>
    <w:rsid w:val="00F91C4D"/>
    <w:rsid w:val="00F92FD9"/>
    <w:rsid w:val="00F934B5"/>
    <w:rsid w:val="00F936EC"/>
    <w:rsid w:val="00F95FF4"/>
    <w:rsid w:val="00F96D6A"/>
    <w:rsid w:val="00FA3021"/>
    <w:rsid w:val="00FA6684"/>
    <w:rsid w:val="00FA731E"/>
    <w:rsid w:val="00FA7591"/>
    <w:rsid w:val="00FB2B38"/>
    <w:rsid w:val="00FB2C8B"/>
    <w:rsid w:val="00FB2F7C"/>
    <w:rsid w:val="00FB4CFF"/>
    <w:rsid w:val="00FC1921"/>
    <w:rsid w:val="00FC6358"/>
    <w:rsid w:val="00FC7E22"/>
    <w:rsid w:val="00FD2E56"/>
    <w:rsid w:val="00FD2F23"/>
    <w:rsid w:val="00FD320D"/>
    <w:rsid w:val="00FE0E8E"/>
    <w:rsid w:val="00FE10CE"/>
    <w:rsid w:val="00FE23DE"/>
    <w:rsid w:val="00FE531F"/>
    <w:rsid w:val="00FF01AE"/>
    <w:rsid w:val="070203D9"/>
    <w:rsid w:val="09661DB3"/>
    <w:rsid w:val="0A60043B"/>
    <w:rsid w:val="0EDC3E10"/>
    <w:rsid w:val="10410D6B"/>
    <w:rsid w:val="109746DE"/>
    <w:rsid w:val="11F22478"/>
    <w:rsid w:val="149B3CCA"/>
    <w:rsid w:val="152F13F3"/>
    <w:rsid w:val="167A658A"/>
    <w:rsid w:val="1956674D"/>
    <w:rsid w:val="19A477C2"/>
    <w:rsid w:val="1D4716B8"/>
    <w:rsid w:val="2007456A"/>
    <w:rsid w:val="2290249E"/>
    <w:rsid w:val="24A778CF"/>
    <w:rsid w:val="25C8002D"/>
    <w:rsid w:val="26C640F4"/>
    <w:rsid w:val="26D3374E"/>
    <w:rsid w:val="292F35C8"/>
    <w:rsid w:val="326F035C"/>
    <w:rsid w:val="32DC7E71"/>
    <w:rsid w:val="35230E5B"/>
    <w:rsid w:val="364C7853"/>
    <w:rsid w:val="3AD802D9"/>
    <w:rsid w:val="3CB542FA"/>
    <w:rsid w:val="3E9D18DB"/>
    <w:rsid w:val="43E15A16"/>
    <w:rsid w:val="456826EB"/>
    <w:rsid w:val="4A2573EE"/>
    <w:rsid w:val="4DBC7135"/>
    <w:rsid w:val="4FBD301D"/>
    <w:rsid w:val="52B72401"/>
    <w:rsid w:val="57286C0D"/>
    <w:rsid w:val="573640C7"/>
    <w:rsid w:val="5D707E96"/>
    <w:rsid w:val="601F19B4"/>
    <w:rsid w:val="626118AC"/>
    <w:rsid w:val="63510489"/>
    <w:rsid w:val="635F310A"/>
    <w:rsid w:val="636C5706"/>
    <w:rsid w:val="64F46569"/>
    <w:rsid w:val="66010B8A"/>
    <w:rsid w:val="66B80334"/>
    <w:rsid w:val="6A8D6960"/>
    <w:rsid w:val="6CDC53F2"/>
    <w:rsid w:val="6DA4153C"/>
    <w:rsid w:val="7195265A"/>
    <w:rsid w:val="739423CD"/>
    <w:rsid w:val="73C671FE"/>
    <w:rsid w:val="79CB6264"/>
    <w:rsid w:val="7D853810"/>
    <w:rsid w:val="7DEB12B0"/>
    <w:rsid w:val="7FDA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38"/>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qFormat/>
    <w:uiPriority w:val="1"/>
    <w:rPr>
      <w:rFonts w:ascii="宋体" w:hAnsi="宋体" w:cs="宋体"/>
      <w:sz w:val="24"/>
    </w:rPr>
  </w:style>
  <w:style w:type="paragraph" w:styleId="10">
    <w:name w:val="Body Text Indent"/>
    <w:basedOn w:val="1"/>
    <w:qFormat/>
    <w:uiPriority w:val="0"/>
    <w:pPr>
      <w:spacing w:line="300" w:lineRule="exact"/>
      <w:ind w:firstLine="418" w:firstLineChars="203"/>
    </w:pPr>
    <w:rPr>
      <w:rFonts w:ascii="宋体"/>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0"/>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139"/>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0"/>
    <w:rPr>
      <w:color w:val="0000FF"/>
      <w:spacing w:val="0"/>
      <w:w w:val="100"/>
      <w:szCs w:val="21"/>
      <w:u w:val="single"/>
    </w:rPr>
  </w:style>
  <w:style w:type="character" w:styleId="40">
    <w:name w:val="annotation reference"/>
    <w:qFormat/>
    <w:uiPriority w:val="0"/>
    <w:rPr>
      <w:sz w:val="21"/>
      <w:szCs w:val="21"/>
    </w:rPr>
  </w:style>
  <w:style w:type="character" w:styleId="41">
    <w:name w:val="footnote reference"/>
    <w:semiHidden/>
    <w:qFormat/>
    <w:uiPriority w:val="0"/>
    <w:rPr>
      <w:vertAlign w:val="superscript"/>
    </w:rPr>
  </w:style>
  <w:style w:type="character" w:customStyle="1" w:styleId="42">
    <w:name w:val="段 Char"/>
    <w:link w:val="24"/>
    <w:qFormat/>
    <w:uiPriority w:val="0"/>
    <w:rPr>
      <w:rFonts w:ascii="宋体"/>
      <w:sz w:val="21"/>
      <w:lang w:val="en-US" w:eastAsia="zh-CN" w:bidi="ar-SA"/>
    </w:rPr>
  </w:style>
  <w:style w:type="paragraph" w:customStyle="1" w:styleId="43">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4"/>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4"/>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4"/>
    <w:qFormat/>
    <w:uiPriority w:val="0"/>
    <w:pPr>
      <w:numPr>
        <w:ilvl w:val="4"/>
      </w:numPr>
      <w:outlineLvl w:val="5"/>
    </w:pPr>
  </w:style>
  <w:style w:type="paragraph" w:customStyle="1" w:styleId="57">
    <w:name w:val="五级条标题"/>
    <w:basedOn w:val="56"/>
    <w:next w:val="24"/>
    <w:qFormat/>
    <w:uiPriority w:val="0"/>
    <w:pPr>
      <w:numPr>
        <w:ilvl w:val="5"/>
      </w:numPr>
      <w:outlineLvl w:val="6"/>
    </w:pPr>
  </w:style>
  <w:style w:type="paragraph" w:customStyle="1" w:styleId="58">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qFormat/>
    <w:uiPriority w:val="0"/>
    <w:pPr>
      <w:spacing w:beforeLines="0" w:afterLines="0"/>
    </w:pPr>
    <w:rPr>
      <w:rFonts w:ascii="宋体" w:eastAsia="宋体"/>
    </w:rPr>
  </w:style>
  <w:style w:type="paragraph" w:customStyle="1" w:styleId="65">
    <w:name w:val="注：（正文）"/>
    <w:basedOn w:val="58"/>
    <w:next w:val="24"/>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4"/>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4"/>
    <w:next w:val="24"/>
    <w:qFormat/>
    <w:uiPriority w:val="0"/>
    <w:pPr>
      <w:ind w:firstLine="0" w:firstLineChars="0"/>
      <w:jc w:val="center"/>
    </w:pPr>
    <w:rPr>
      <w:rFonts w:ascii="黑体" w:eastAsia="黑体"/>
    </w:rPr>
  </w:style>
  <w:style w:type="paragraph" w:customStyle="1" w:styleId="87">
    <w:name w:val="附录表标号"/>
    <w:basedOn w:val="1"/>
    <w:next w:val="24"/>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4"/>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4"/>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4"/>
    <w:next w:val="24"/>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4"/>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4"/>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4"/>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4"/>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4"/>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4"/>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uiPriority w:val="0"/>
    <w:pPr>
      <w:framePr w:w="6101" w:wrap="around" w:vAnchor="page" w:hAnchor="page" w:x="4673" w:y="942"/>
    </w:pPr>
    <w:rPr>
      <w:w w:val="130"/>
    </w:rPr>
  </w:style>
  <w:style w:type="paragraph" w:customStyle="1" w:styleId="111">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uiPriority w:val="0"/>
    <w:pPr>
      <w:framePr w:wrap="around" w:y="15310"/>
      <w:spacing w:line="0" w:lineRule="atLeast"/>
    </w:pPr>
    <w:rPr>
      <w:rFonts w:ascii="黑体" w:eastAsia="黑体"/>
      <w:b w:val="0"/>
    </w:rPr>
  </w:style>
  <w:style w:type="paragraph" w:customStyle="1" w:styleId="11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Lines="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4"/>
    <w:next w:val="24"/>
    <w:qFormat/>
    <w:uiPriority w:val="0"/>
    <w:pPr>
      <w:ind w:firstLine="360"/>
    </w:pPr>
    <w:rPr>
      <w:sz w:val="18"/>
    </w:rPr>
  </w:style>
  <w:style w:type="paragraph" w:customStyle="1" w:styleId="117">
    <w:name w:val="首示例"/>
    <w:next w:val="24"/>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rPr>
  </w:style>
  <w:style w:type="paragraph" w:customStyle="1" w:styleId="119">
    <w:name w:val="四级无"/>
    <w:basedOn w:val="56"/>
    <w:uiPriority w:val="0"/>
    <w:pPr>
      <w:spacing w:beforeLines="0" w:afterLines="0"/>
    </w:pPr>
    <w:rPr>
      <w:rFonts w:ascii="宋体" w:eastAsia="宋体"/>
    </w:rPr>
  </w:style>
  <w:style w:type="paragraph" w:customStyle="1" w:styleId="120">
    <w:name w:val="条文脚注"/>
    <w:basedOn w:val="25"/>
    <w:qFormat/>
    <w:uiPriority w:val="0"/>
    <w:pPr>
      <w:numPr>
        <w:numId w:val="0"/>
      </w:numPr>
      <w:jc w:val="both"/>
    </w:pPr>
  </w:style>
  <w:style w:type="paragraph" w:customStyle="1" w:styleId="121">
    <w:name w:val="图标脚注说明"/>
    <w:basedOn w:val="24"/>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Lines="0" w:afterLines="0"/>
    </w:pPr>
    <w:rPr>
      <w:rFonts w:ascii="宋体" w:eastAsia="宋体"/>
    </w:rPr>
  </w:style>
  <w:style w:type="paragraph" w:customStyle="1" w:styleId="126">
    <w:name w:val="一级无"/>
    <w:basedOn w:val="43"/>
    <w:qFormat/>
    <w:uiPriority w:val="0"/>
    <w:pPr>
      <w:spacing w:beforeLines="0" w:afterLines="0"/>
    </w:pPr>
    <w:rPr>
      <w:rFonts w:ascii="宋体" w:eastAsia="宋体"/>
    </w:rPr>
  </w:style>
  <w:style w:type="paragraph" w:customStyle="1" w:styleId="127">
    <w:name w:val="正文表标题"/>
    <w:next w:val="24"/>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4"/>
    <w:next w:val="24"/>
    <w:qFormat/>
    <w:uiPriority w:val="0"/>
    <w:pPr>
      <w:ind w:firstLine="0" w:firstLineChars="0"/>
    </w:pPr>
  </w:style>
  <w:style w:type="paragraph" w:customStyle="1" w:styleId="129">
    <w:name w:val="正文图标题"/>
    <w:next w:val="2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character" w:customStyle="1" w:styleId="138">
    <w:name w:val="批注文字 字符"/>
    <w:link w:val="7"/>
    <w:qFormat/>
    <w:uiPriority w:val="0"/>
    <w:rPr>
      <w:kern w:val="2"/>
      <w:sz w:val="21"/>
      <w:szCs w:val="24"/>
    </w:rPr>
  </w:style>
  <w:style w:type="character" w:customStyle="1" w:styleId="139">
    <w:name w:val="批注主题 字符"/>
    <w:link w:val="32"/>
    <w:qFormat/>
    <w:uiPriority w:val="0"/>
    <w:rPr>
      <w:b/>
      <w:bCs/>
      <w:kern w:val="2"/>
      <w:sz w:val="21"/>
      <w:szCs w:val="24"/>
    </w:rPr>
  </w:style>
  <w:style w:type="character" w:customStyle="1" w:styleId="140">
    <w:name w:val="批注框文本 字符"/>
    <w:link w:val="17"/>
    <w:qFormat/>
    <w:uiPriority w:val="0"/>
    <w:rPr>
      <w:kern w:val="2"/>
      <w:sz w:val="18"/>
      <w:szCs w:val="18"/>
    </w:rPr>
  </w:style>
  <w:style w:type="paragraph" w:customStyle="1" w:styleId="141">
    <w:name w:val="StdsHead3"/>
    <w:qFormat/>
    <w:uiPriority w:val="0"/>
    <w:pPr>
      <w:spacing w:before="120" w:after="120"/>
      <w:jc w:val="both"/>
    </w:pPr>
    <w:rPr>
      <w:rFonts w:ascii="Times New Roman" w:hAnsi="Times New Roman" w:eastAsia="MS Mincho" w:cs="Times New Roman"/>
      <w:lang w:val="en-US" w:eastAsia="ja-JP" w:bidi="ar-SA"/>
    </w:rPr>
  </w:style>
  <w:style w:type="paragraph" w:customStyle="1" w:styleId="142">
    <w:name w:val="StdsHead1"/>
    <w:qFormat/>
    <w:uiPriority w:val="0"/>
    <w:pPr>
      <w:keepNext/>
      <w:spacing w:before="180" w:after="60"/>
    </w:pPr>
    <w:rPr>
      <w:rFonts w:ascii="Arial" w:hAnsi="Arial" w:eastAsia="Arial Unicode MS" w:cs="Times New Roman"/>
      <w:b/>
      <w:lang w:val="en-US" w:eastAsia="ja-JP" w:bidi="ar-SA"/>
    </w:rPr>
  </w:style>
  <w:style w:type="paragraph" w:customStyle="1" w:styleId="143">
    <w:name w:val="StdsHead2"/>
    <w:link w:val="159"/>
    <w:qFormat/>
    <w:uiPriority w:val="0"/>
    <w:pPr>
      <w:spacing w:before="120" w:after="120"/>
      <w:jc w:val="both"/>
    </w:pPr>
    <w:rPr>
      <w:rFonts w:ascii="Times New Roman" w:hAnsi="Times New Roman" w:eastAsia="MS Mincho" w:cs="Times New Roman"/>
      <w:lang w:val="en-US" w:eastAsia="ja-JP" w:bidi="ar-SA"/>
    </w:rPr>
  </w:style>
  <w:style w:type="paragraph" w:customStyle="1" w:styleId="144">
    <w:name w:val="StdsHead4"/>
    <w:qFormat/>
    <w:uiPriority w:val="0"/>
    <w:pPr>
      <w:spacing w:before="120" w:after="120"/>
      <w:jc w:val="both"/>
    </w:pPr>
    <w:rPr>
      <w:rFonts w:ascii="Times New Roman" w:hAnsi="Times New Roman" w:eastAsia="MS Mincho" w:cs="Times New Roman"/>
      <w:lang w:val="en-US" w:eastAsia="ja-JP" w:bidi="ar-SA"/>
    </w:rPr>
  </w:style>
  <w:style w:type="paragraph" w:customStyle="1" w:styleId="145">
    <w:name w:val="StdsHead5"/>
    <w:qFormat/>
    <w:uiPriority w:val="0"/>
    <w:pPr>
      <w:spacing w:before="120" w:after="120"/>
      <w:jc w:val="both"/>
    </w:pPr>
    <w:rPr>
      <w:rFonts w:ascii="Times New Roman" w:hAnsi="Times New Roman" w:eastAsia="MS Mincho" w:cs="Times New Roman"/>
      <w:lang w:val="en-US" w:eastAsia="ja-JP" w:bidi="ar-SA"/>
    </w:rPr>
  </w:style>
  <w:style w:type="paragraph" w:customStyle="1" w:styleId="146">
    <w:name w:val="StdsHead6"/>
    <w:qFormat/>
    <w:uiPriority w:val="0"/>
    <w:pPr>
      <w:spacing w:before="120" w:after="120"/>
      <w:jc w:val="both"/>
    </w:pPr>
    <w:rPr>
      <w:rFonts w:ascii="Times New Roman" w:hAnsi="Times New Roman" w:eastAsia="MS Mincho" w:cs="Times New Roman"/>
      <w:lang w:val="en-US" w:eastAsia="ja-JP" w:bidi="ar-SA"/>
    </w:rPr>
  </w:style>
  <w:style w:type="paragraph" w:customStyle="1" w:styleId="147">
    <w:name w:val="StdsHead7"/>
    <w:qFormat/>
    <w:uiPriority w:val="0"/>
    <w:pPr>
      <w:spacing w:before="120" w:after="120"/>
      <w:jc w:val="both"/>
    </w:pPr>
    <w:rPr>
      <w:rFonts w:ascii="Times New Roman" w:hAnsi="Times New Roman" w:eastAsia="MS Mincho" w:cs="Times New Roman"/>
      <w:lang w:val="en-US" w:eastAsia="ja-JP" w:bidi="ar-SA"/>
    </w:rPr>
  </w:style>
  <w:style w:type="paragraph" w:customStyle="1" w:styleId="148">
    <w:name w:val="StdsHead8"/>
    <w:qFormat/>
    <w:uiPriority w:val="0"/>
    <w:pPr>
      <w:spacing w:before="120" w:after="120"/>
      <w:jc w:val="both"/>
    </w:pPr>
    <w:rPr>
      <w:rFonts w:ascii="Times New Roman" w:hAnsi="Times New Roman" w:eastAsia="MS Mincho" w:cs="Times New Roman"/>
      <w:lang w:val="en-US" w:eastAsia="ja-JP" w:bidi="ar-SA"/>
    </w:rPr>
  </w:style>
  <w:style w:type="paragraph" w:customStyle="1" w:styleId="149">
    <w:name w:val="Stds H1"/>
    <w:qFormat/>
    <w:uiPriority w:val="0"/>
    <w:pPr>
      <w:keepNext/>
      <w:spacing w:before="180" w:after="60"/>
    </w:pPr>
    <w:rPr>
      <w:rFonts w:ascii="Arial" w:hAnsi="Arial" w:eastAsia="Arial Unicode MS" w:cs="Times New Roman"/>
      <w:b/>
      <w:lang w:val="en-US" w:eastAsia="ja-JP" w:bidi="ar-SA"/>
    </w:rPr>
  </w:style>
  <w:style w:type="paragraph" w:customStyle="1" w:styleId="150">
    <w:name w:val="Stds H2"/>
    <w:qFormat/>
    <w:uiPriority w:val="0"/>
    <w:pPr>
      <w:spacing w:before="120" w:after="120"/>
      <w:jc w:val="both"/>
    </w:pPr>
    <w:rPr>
      <w:rFonts w:ascii="Times New Roman" w:hAnsi="Times New Roman" w:eastAsia="MS Mincho" w:cs="Times New Roman"/>
      <w:lang w:val="en-US" w:eastAsia="ja-JP" w:bidi="ar-SA"/>
    </w:rPr>
  </w:style>
  <w:style w:type="paragraph" w:customStyle="1" w:styleId="151">
    <w:name w:val="Stds H3"/>
    <w:qFormat/>
    <w:uiPriority w:val="0"/>
    <w:pPr>
      <w:spacing w:before="120" w:after="120"/>
      <w:jc w:val="both"/>
    </w:pPr>
    <w:rPr>
      <w:rFonts w:ascii="Times New Roman" w:hAnsi="Times New Roman" w:eastAsia="MS Mincho" w:cs="Times New Roman"/>
      <w:lang w:val="en-US" w:eastAsia="ja-JP" w:bidi="ar-SA"/>
    </w:rPr>
  </w:style>
  <w:style w:type="paragraph" w:customStyle="1" w:styleId="152">
    <w:name w:val="Stds H4"/>
    <w:qFormat/>
    <w:uiPriority w:val="0"/>
    <w:pPr>
      <w:spacing w:before="120" w:after="120"/>
      <w:jc w:val="both"/>
    </w:pPr>
    <w:rPr>
      <w:rFonts w:ascii="Times New Roman" w:hAnsi="Times New Roman" w:eastAsia="MS Mincho" w:cs="Times New Roman"/>
      <w:lang w:val="en-US" w:eastAsia="ja-JP" w:bidi="ar-SA"/>
    </w:rPr>
  </w:style>
  <w:style w:type="paragraph" w:customStyle="1" w:styleId="153">
    <w:name w:val="Stds H5"/>
    <w:qFormat/>
    <w:uiPriority w:val="0"/>
    <w:pPr>
      <w:spacing w:before="120" w:after="120"/>
      <w:jc w:val="both"/>
    </w:pPr>
    <w:rPr>
      <w:rFonts w:ascii="Times New Roman" w:hAnsi="Times New Roman" w:eastAsia="MS Mincho" w:cs="Times New Roman"/>
      <w:lang w:val="en-US" w:eastAsia="ja-JP" w:bidi="ar-SA"/>
    </w:rPr>
  </w:style>
  <w:style w:type="paragraph" w:customStyle="1" w:styleId="154">
    <w:name w:val="Stds H6"/>
    <w:qFormat/>
    <w:uiPriority w:val="0"/>
    <w:pPr>
      <w:spacing w:before="120" w:after="120"/>
      <w:jc w:val="both"/>
    </w:pPr>
    <w:rPr>
      <w:rFonts w:ascii="Times New Roman" w:hAnsi="Times New Roman" w:eastAsia="MS Mincho" w:cs="Times New Roman"/>
      <w:lang w:val="en-US" w:eastAsia="ja-JP" w:bidi="ar-SA"/>
    </w:rPr>
  </w:style>
  <w:style w:type="paragraph" w:customStyle="1" w:styleId="155">
    <w:name w:val="Stds H7"/>
    <w:qFormat/>
    <w:uiPriority w:val="0"/>
    <w:pPr>
      <w:spacing w:before="120" w:after="120"/>
      <w:jc w:val="both"/>
    </w:pPr>
    <w:rPr>
      <w:rFonts w:ascii="Times New Roman" w:hAnsi="Times New Roman" w:eastAsia="MS Mincho" w:cs="Times New Roman"/>
      <w:lang w:val="en-US" w:eastAsia="ja-JP" w:bidi="ar-SA"/>
    </w:rPr>
  </w:style>
  <w:style w:type="paragraph" w:customStyle="1" w:styleId="156">
    <w:name w:val="Stds H8"/>
    <w:qFormat/>
    <w:uiPriority w:val="0"/>
    <w:pPr>
      <w:spacing w:before="120" w:after="120"/>
      <w:jc w:val="both"/>
    </w:pPr>
    <w:rPr>
      <w:rFonts w:ascii="Times New Roman" w:hAnsi="Times New Roman" w:eastAsia="MS Mincho" w:cs="Times New Roman"/>
      <w:lang w:val="en-US" w:eastAsia="ja-JP" w:bidi="ar-SA"/>
    </w:rPr>
  </w:style>
  <w:style w:type="character" w:customStyle="1" w:styleId="157">
    <w:name w:val="StdsText Char"/>
    <w:link w:val="158"/>
    <w:qFormat/>
    <w:locked/>
    <w:uiPriority w:val="0"/>
    <w:rPr>
      <w:lang w:eastAsia="ja-JP"/>
    </w:rPr>
  </w:style>
  <w:style w:type="paragraph" w:customStyle="1" w:styleId="158">
    <w:name w:val="StdsText"/>
    <w:link w:val="157"/>
    <w:qFormat/>
    <w:uiPriority w:val="0"/>
    <w:pPr>
      <w:spacing w:before="120" w:after="120"/>
      <w:jc w:val="both"/>
    </w:pPr>
    <w:rPr>
      <w:rFonts w:ascii="Times New Roman" w:hAnsi="Times New Roman" w:eastAsia="宋体" w:cs="Times New Roman"/>
      <w:lang w:val="en-US" w:eastAsia="ja-JP" w:bidi="ar-SA"/>
    </w:rPr>
  </w:style>
  <w:style w:type="character" w:customStyle="1" w:styleId="159">
    <w:name w:val="StdsHead2 Char"/>
    <w:link w:val="143"/>
    <w:qFormat/>
    <w:locked/>
    <w:uiPriority w:val="0"/>
    <w:rPr>
      <w:rFonts w:eastAsia="MS Mincho"/>
      <w:lang w:eastAsia="ja-JP"/>
    </w:rPr>
  </w:style>
  <w:style w:type="paragraph" w:styleId="160">
    <w:name w:val="List Paragraph"/>
    <w:basedOn w:val="1"/>
    <w:qFormat/>
    <w:uiPriority w:val="34"/>
    <w:pPr>
      <w:ind w:firstLine="420" w:firstLineChars="200"/>
    </w:pPr>
  </w:style>
  <w:style w:type="paragraph" w:customStyle="1" w:styleId="161">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162">
    <w:name w:val="网格型1"/>
    <w:basedOn w:val="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3">
    <w:name w:val="Placeholder Text"/>
    <w:basedOn w:val="35"/>
    <w:semiHidden/>
    <w:qFormat/>
    <w:uiPriority w:val="99"/>
    <w:rPr>
      <w:color w:val="66666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2826;&#38451;&#33021;&#30005;&#27744;&#29992;&#22810;&#26230;&#30789;&#29255;&#33609;&#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2AE5A-547B-4AD5-ABCA-4BB7C280A5B8}">
  <ds:schemaRefs/>
</ds:datastoreItem>
</file>

<file path=docProps/app.xml><?xml version="1.0" encoding="utf-8"?>
<Properties xmlns="http://schemas.openxmlformats.org/officeDocument/2006/extended-properties" xmlns:vt="http://schemas.openxmlformats.org/officeDocument/2006/docPropsVTypes">
  <Template>太阳能电池用多晶硅片草案</Template>
  <Pages>9</Pages>
  <Words>843</Words>
  <Characters>988</Characters>
  <Lines>33</Lines>
  <Paragraphs>9</Paragraphs>
  <TotalTime>3579</TotalTime>
  <ScaleCrop>false</ScaleCrop>
  <LinksUpToDate>false</LinksUpToDate>
  <CharactersWithSpaces>1022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2019-01-26T08:01:00Z</dcterms:created>
  <dc:creator>admin</dc:creator>
  <cp:lastModifiedBy>素素</cp:lastModifiedBy>
  <dcterms:modified xsi:type="dcterms:W3CDTF">2025-07-10T02:33:28Z</dcterms:modified>
  <dc:title>标准名称</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2A6A043B625A47D5B407B7ABFFA73D0C</vt:lpwstr>
  </property>
  <property fmtid="{D5CDD505-2E9C-101B-9397-08002B2CF9AE}" pid="4" name="KSOTemplateDocerSaveRecord">
    <vt:lpwstr>eyJoZGlkIjoiNWYxNDk3ZWFkNmRhNWE5ODMzNzE5OTQxMTA3M2NjZDkiLCJ1c2VySWQiOiIxMDM2MTA2MTA3In0=</vt:lpwstr>
  </property>
</Properties>
</file>