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89AC2">
      <w:pPr>
        <w:pStyle w:val="69"/>
        <w:spacing w:line="360" w:lineRule="exact"/>
        <w:rPr>
          <w:color w:val="auto"/>
        </w:rPr>
      </w:pPr>
      <w:bookmarkStart w:id="0" w:name="SectionMark0"/>
      <w:r>
        <w:rPr>
          <w:color w:val="auto"/>
        </w:rPr>
        <w:drawing>
          <wp:anchor distT="0" distB="0" distL="114300" distR="114300" simplePos="0" relativeHeight="251665408" behindDoc="0" locked="1" layoutInCell="1" allowOverlap="1">
            <wp:simplePos x="0" y="0"/>
            <wp:positionH relativeFrom="margin">
              <wp:posOffset>4284345</wp:posOffset>
            </wp:positionH>
            <wp:positionV relativeFrom="margin">
              <wp:posOffset>107315</wp:posOffset>
            </wp:positionV>
            <wp:extent cx="1403350" cy="720090"/>
            <wp:effectExtent l="0" t="0" r="0" b="0"/>
            <wp:wrapNone/>
            <wp:docPr id="7"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BPicture" descr="GB"/>
                    <pic:cNvPicPr>
                      <a:picLocks noChangeAspect="1"/>
                    </pic:cNvPicPr>
                  </pic:nvPicPr>
                  <pic:blipFill>
                    <a:blip r:embed="rId14"/>
                    <a:stretch>
                      <a:fillRect/>
                    </a:stretch>
                  </pic:blipFill>
                  <pic:spPr>
                    <a:xfrm>
                      <a:off x="0" y="0"/>
                      <a:ext cx="1403350" cy="720090"/>
                    </a:xfrm>
                    <a:prstGeom prst="rect">
                      <a:avLst/>
                    </a:prstGeom>
                    <a:noFill/>
                    <a:ln>
                      <a:noFill/>
                    </a:ln>
                  </pic:spPr>
                </pic:pic>
              </a:graphicData>
            </a:graphic>
          </wp:anchor>
        </w:drawing>
      </w:r>
      <w:r>
        <w:rPr>
          <w:color w:val="auto"/>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6" name="直线 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8" o:spid="_x0000_s1026" o:spt="20" style="position:absolute;left:0pt;margin-left:0pt;margin-top:700pt;height:0pt;width:482pt;z-index:251664384;mso-width-relative:page;mso-height-relative:page;" filled="f" stroked="t" coordsize="21600,21600"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asDvUAAAACgEAAA8AAAAA&#10;AAAAAQAgAAAAIgAAAGRycy9kb3ducmV2LnhtbFBLAQIUABQAAAAIAIdO4kAkcY1a3wEAANADAAAO&#10;AAAAAAAAAAEAIAAAACMBAABkcnMvZTJvRG9jLnhtbFBLBQYAAAAABgAGAFkBAAB0BQAAAAA=&#10;">
                <v:fill on="f" focussize="0,0"/>
                <v:stroke weight="1pt" color="#FFFFFF" joinstyle="round"/>
                <v:imagedata o:title=""/>
                <o:lock v:ext="edit" aspectratio="f"/>
              </v:line>
            </w:pict>
          </mc:Fallback>
        </mc:AlternateContent>
      </w:r>
      <w:r>
        <w:rPr>
          <w:color w:val="auto"/>
        </w:rP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8563610</wp:posOffset>
                </wp:positionV>
                <wp:extent cx="2019300" cy="312420"/>
                <wp:effectExtent l="0" t="0" r="0" b="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DDA09EC">
                            <w:pPr>
                              <w:pStyle w:val="70"/>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CmSkPGyQEAAKYDAAAOAAAAZHJzL2Uyb0RvYy54bWyt&#10;U01v2zAMvQ/YfxB0X+ykW7EZcQp0QYYBwzag3Q+QZdkWoK+RSuz8+1FynG7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2q19oAAAANAQAADwAAAAAAAAABACAAAAAiAAAAZHJz&#10;L2Rvd25yZXYueG1sUEsBAhQAFAAAAAgAh07iQKZKQ8bJAQAApgMAAA4AAAAAAAAAAQAgAAAAKQEA&#10;AGRycy9lMm9Eb2MueG1sUEsFBgAAAAAGAAYAWQEAAGQFAAAAAA==&#10;">
                <v:fill on="t" focussize="0,0"/>
                <v:stroke on="f"/>
                <v:imagedata o:title=""/>
                <o:lock v:ext="edit" aspectratio="f"/>
                <v:textbox inset="0mm,0mm,0mm,0mm">
                  <w:txbxContent>
                    <w:p w14:paraId="0DDA09EC">
                      <w:pPr>
                        <w:pStyle w:val="70"/>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v:textbox>
                <w10:anchorlock/>
              </v:shape>
            </w:pict>
          </mc:Fallback>
        </mc:AlternateContent>
      </w:r>
      <w:r>
        <w:rPr>
          <w:color w:val="auto"/>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8563610</wp:posOffset>
                </wp:positionV>
                <wp:extent cx="2019300" cy="312420"/>
                <wp:effectExtent l="0" t="0" r="0" b="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1172BD5">
                            <w:pPr>
                              <w:pStyle w:val="48"/>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wps:txbx>
                      <wps:bodyPr wrap="square"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KxW4TMkBAACmAwAADgAAAGRycy9lMm9Eb2MueG1srVNN&#10;b9swDL0P2H8QdF/spN2wGXEKdEGGAcM2oN0PkGXZFqCvkUrs/PtRcpxu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S8T9qMAStK&#10;eQiUFKd7P9HGLH4kZ6I8dWDTl8gwipOy56uyaopMkpPIfbopKSQpdrPe3G6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82yojYAAAACgEAAA8AAAAAAAAAAQAgAAAAIgAAAGRycy9k&#10;b3ducmV2LnhtbFBLAQIUABQAAAAIAIdO4kArFbhMyQEAAKYDAAAOAAAAAAAAAAEAIAAAACcBAABk&#10;cnMvZTJvRG9jLnhtbFBLBQYAAAAABgAGAFkBAABiBQAAAAA=&#10;">
                <v:fill on="t" focussize="0,0"/>
                <v:stroke on="f"/>
                <v:imagedata o:title=""/>
                <o:lock v:ext="edit" aspectratio="f"/>
                <v:textbox inset="0mm,0mm,0mm,0mm">
                  <w:txbxContent>
                    <w:p w14:paraId="11172BD5">
                      <w:pPr>
                        <w:pStyle w:val="48"/>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v:textbox>
                <w10:anchorlock/>
              </v:shape>
            </w:pict>
          </mc:Fallback>
        </mc:AlternateContent>
      </w:r>
      <w:r>
        <w:rPr>
          <w:color w:val="auto"/>
        </w:rPr>
        <mc:AlternateContent>
          <mc:Choice Requires="wps">
            <w:drawing>
              <wp:anchor distT="0" distB="0" distL="114300" distR="114300" simplePos="0" relativeHeight="251661312" behindDoc="0" locked="1" layoutInCell="1" allowOverlap="1">
                <wp:simplePos x="0" y="0"/>
                <wp:positionH relativeFrom="margin">
                  <wp:posOffset>104775</wp:posOffset>
                </wp:positionH>
                <wp:positionV relativeFrom="margin">
                  <wp:posOffset>2952750</wp:posOffset>
                </wp:positionV>
                <wp:extent cx="6057900" cy="5286375"/>
                <wp:effectExtent l="0" t="0" r="0" b="0"/>
                <wp:wrapNone/>
                <wp:docPr id="3" name="fmFrame4"/>
                <wp:cNvGraphicFramePr/>
                <a:graphic xmlns:a="http://schemas.openxmlformats.org/drawingml/2006/main">
                  <a:graphicData uri="http://schemas.microsoft.com/office/word/2010/wordprocessingShape">
                    <wps:wsp>
                      <wps:cNvSpPr txBox="1"/>
                      <wps:spPr>
                        <a:xfrm>
                          <a:off x="0" y="0"/>
                          <a:ext cx="6057900" cy="5286375"/>
                        </a:xfrm>
                        <a:prstGeom prst="rect">
                          <a:avLst/>
                        </a:prstGeom>
                        <a:solidFill>
                          <a:srgbClr val="FFFFFF"/>
                        </a:solidFill>
                        <a:ln>
                          <a:noFill/>
                        </a:ln>
                      </wps:spPr>
                      <wps:txbx>
                        <w:txbxContent>
                          <w:p w14:paraId="0E7847E4">
                            <w:pPr>
                              <w:ind w:left="23" w:leftChars="-6" w:hanging="36" w:hangingChars="7"/>
                              <w:jc w:val="center"/>
                              <w:rPr>
                                <w:rFonts w:ascii="黑体" w:eastAsia="黑体"/>
                                <w:sz w:val="52"/>
                                <w:szCs w:val="52"/>
                              </w:rPr>
                            </w:pPr>
                          </w:p>
                          <w:p w14:paraId="0DD6220F">
                            <w:pPr>
                              <w:ind w:left="23" w:leftChars="-6" w:hanging="36" w:hangingChars="7"/>
                              <w:jc w:val="center"/>
                              <w:rPr>
                                <w:rFonts w:ascii="黑体" w:eastAsia="黑体"/>
                                <w:sz w:val="52"/>
                                <w:szCs w:val="52"/>
                              </w:rPr>
                            </w:pPr>
                            <w:r>
                              <w:rPr>
                                <w:rFonts w:hint="eastAsia" w:ascii="黑体" w:eastAsia="黑体"/>
                                <w:sz w:val="52"/>
                                <w:szCs w:val="52"/>
                              </w:rPr>
                              <w:t>稀土金属及其氧化物中非稀土杂质</w:t>
                            </w:r>
                          </w:p>
                          <w:p w14:paraId="37D84593">
                            <w:pPr>
                              <w:ind w:left="23" w:leftChars="-6" w:hanging="36" w:hangingChars="7"/>
                              <w:jc w:val="center"/>
                              <w:rPr>
                                <w:rFonts w:hint="eastAsia" w:ascii="黑体" w:eastAsia="黑体"/>
                                <w:sz w:val="52"/>
                                <w:szCs w:val="52"/>
                              </w:rPr>
                            </w:pPr>
                            <w:r>
                              <w:rPr>
                                <w:rFonts w:hint="eastAsia" w:ascii="黑体" w:eastAsia="黑体"/>
                                <w:sz w:val="52"/>
                                <w:szCs w:val="52"/>
                              </w:rPr>
                              <w:t xml:space="preserve">化学分析方法 </w:t>
                            </w:r>
                          </w:p>
                          <w:p w14:paraId="3672151E">
                            <w:pPr>
                              <w:ind w:left="23" w:leftChars="-6" w:hanging="36" w:hangingChars="7"/>
                              <w:jc w:val="center"/>
                              <w:rPr>
                                <w:rFonts w:ascii="黑体" w:eastAsia="黑体"/>
                                <w:sz w:val="52"/>
                                <w:szCs w:val="52"/>
                              </w:rPr>
                            </w:pPr>
                            <w:r>
                              <w:rPr>
                                <w:rFonts w:hint="eastAsia" w:ascii="黑体" w:eastAsia="黑体"/>
                                <w:sz w:val="52"/>
                                <w:szCs w:val="52"/>
                              </w:rPr>
                              <w:t>第13部分：钼、钨量的测定</w:t>
                            </w:r>
                          </w:p>
                          <w:p w14:paraId="64E64106">
                            <w:pPr>
                              <w:pStyle w:val="46"/>
                              <w:tabs>
                                <w:tab w:val="left" w:pos="7155"/>
                              </w:tabs>
                              <w:adjustRightInd w:val="0"/>
                              <w:snapToGrid w:val="0"/>
                              <w:spacing w:line="360" w:lineRule="auto"/>
                              <w:rPr>
                                <w:color w:val="0000FF"/>
                              </w:rPr>
                            </w:pPr>
                            <w:r>
                              <w:rPr>
                                <w:rFonts w:hint="eastAsia"/>
                              </w:rPr>
                              <w:t>Chemical analysis methods of non-rare earth impurities in rare earth metals and their oxides-Part 13: Determination of molybdenum</w:t>
                            </w:r>
                            <w:r>
                              <w:rPr>
                                <w:rFonts w:hint="eastAsia"/>
                                <w:lang w:val="en-US" w:eastAsia="zh-CN"/>
                              </w:rPr>
                              <w:t xml:space="preserve"> and </w:t>
                            </w:r>
                            <w:r>
                              <w:rPr>
                                <w:rFonts w:hint="eastAsia"/>
                              </w:rPr>
                              <w:t>tungsten content</w:t>
                            </w:r>
                          </w:p>
                          <w:p w14:paraId="6257EB4D">
                            <w:pPr>
                              <w:pStyle w:val="46"/>
                              <w:tabs>
                                <w:tab w:val="left" w:pos="7155"/>
                              </w:tabs>
                              <w:spacing w:line="240" w:lineRule="auto"/>
                              <w:rPr>
                                <w:sz w:val="24"/>
                                <w:szCs w:val="24"/>
                              </w:rPr>
                            </w:pPr>
                            <w:r>
                              <w:rPr>
                                <w:rFonts w:hint="eastAsia" w:ascii="宋体" w:hAnsi="宋体"/>
                                <w:szCs w:val="28"/>
                              </w:rPr>
                              <w:t>（征求意见稿）</w:t>
                            </w:r>
                          </w:p>
                        </w:txbxContent>
                      </wps:txbx>
                      <wps:bodyPr wrap="square" lIns="0" tIns="0" rIns="0" bIns="0" upright="1"/>
                    </wps:wsp>
                  </a:graphicData>
                </a:graphic>
              </wp:anchor>
            </w:drawing>
          </mc:Choice>
          <mc:Fallback>
            <w:pict>
              <v:shape id="fmFrame4" o:spid="_x0000_s1026" o:spt="202" type="#_x0000_t202" style="position:absolute;left:0pt;margin-left:8.25pt;margin-top:232.5pt;height:416.25pt;width:477pt;mso-position-horizontal-relative:margin;mso-position-vertical-relative:margin;z-index:251661312;mso-width-relative:page;mso-height-relative:page;" fillcolor="#FFFFFF" filled="t" stroked="f" coordsize="21600,21600" o:gfxdata="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FpgL+2QAAAAsBAAAPAAAAAAAAAAEAIAAAACIAAABkcnMv&#10;ZG93bnJldi54bWxQSwECFAAUAAAACACHTuJAI0fWP8kBAACnAwAADgAAAAAAAAABACAAAAAoAQAA&#10;ZHJzL2Uyb0RvYy54bWxQSwUGAAAAAAYABgBZAQAAYwUAAAAA&#10;">
                <v:fill on="t" focussize="0,0"/>
                <v:stroke on="f"/>
                <v:imagedata o:title=""/>
                <o:lock v:ext="edit" aspectratio="f"/>
                <v:textbox inset="0mm,0mm,0mm,0mm">
                  <w:txbxContent>
                    <w:p w14:paraId="0E7847E4">
                      <w:pPr>
                        <w:ind w:left="23" w:leftChars="-6" w:hanging="36" w:hangingChars="7"/>
                        <w:jc w:val="center"/>
                        <w:rPr>
                          <w:rFonts w:ascii="黑体" w:eastAsia="黑体"/>
                          <w:sz w:val="52"/>
                          <w:szCs w:val="52"/>
                        </w:rPr>
                      </w:pPr>
                    </w:p>
                    <w:p w14:paraId="0DD6220F">
                      <w:pPr>
                        <w:ind w:left="23" w:leftChars="-6" w:hanging="36" w:hangingChars="7"/>
                        <w:jc w:val="center"/>
                        <w:rPr>
                          <w:rFonts w:ascii="黑体" w:eastAsia="黑体"/>
                          <w:sz w:val="52"/>
                          <w:szCs w:val="52"/>
                        </w:rPr>
                      </w:pPr>
                      <w:r>
                        <w:rPr>
                          <w:rFonts w:hint="eastAsia" w:ascii="黑体" w:eastAsia="黑体"/>
                          <w:sz w:val="52"/>
                          <w:szCs w:val="52"/>
                        </w:rPr>
                        <w:t>稀土金属及其氧化物中非稀土杂质</w:t>
                      </w:r>
                    </w:p>
                    <w:p w14:paraId="37D84593">
                      <w:pPr>
                        <w:ind w:left="23" w:leftChars="-6" w:hanging="36" w:hangingChars="7"/>
                        <w:jc w:val="center"/>
                        <w:rPr>
                          <w:rFonts w:hint="eastAsia" w:ascii="黑体" w:eastAsia="黑体"/>
                          <w:sz w:val="52"/>
                          <w:szCs w:val="52"/>
                        </w:rPr>
                      </w:pPr>
                      <w:r>
                        <w:rPr>
                          <w:rFonts w:hint="eastAsia" w:ascii="黑体" w:eastAsia="黑体"/>
                          <w:sz w:val="52"/>
                          <w:szCs w:val="52"/>
                        </w:rPr>
                        <w:t xml:space="preserve">化学分析方法 </w:t>
                      </w:r>
                    </w:p>
                    <w:p w14:paraId="3672151E">
                      <w:pPr>
                        <w:ind w:left="23" w:leftChars="-6" w:hanging="36" w:hangingChars="7"/>
                        <w:jc w:val="center"/>
                        <w:rPr>
                          <w:rFonts w:ascii="黑体" w:eastAsia="黑体"/>
                          <w:sz w:val="52"/>
                          <w:szCs w:val="52"/>
                        </w:rPr>
                      </w:pPr>
                      <w:r>
                        <w:rPr>
                          <w:rFonts w:hint="eastAsia" w:ascii="黑体" w:eastAsia="黑体"/>
                          <w:sz w:val="52"/>
                          <w:szCs w:val="52"/>
                        </w:rPr>
                        <w:t>第13部分：钼、钨量的测定</w:t>
                      </w:r>
                    </w:p>
                    <w:p w14:paraId="64E64106">
                      <w:pPr>
                        <w:pStyle w:val="46"/>
                        <w:tabs>
                          <w:tab w:val="left" w:pos="7155"/>
                        </w:tabs>
                        <w:adjustRightInd w:val="0"/>
                        <w:snapToGrid w:val="0"/>
                        <w:spacing w:line="360" w:lineRule="auto"/>
                        <w:rPr>
                          <w:color w:val="0000FF"/>
                        </w:rPr>
                      </w:pPr>
                      <w:r>
                        <w:rPr>
                          <w:rFonts w:hint="eastAsia"/>
                        </w:rPr>
                        <w:t>Chemical analysis methods of non-rare earth impurities in rare earth metals and their oxides-Part 13: Determination of molybdenum</w:t>
                      </w:r>
                      <w:r>
                        <w:rPr>
                          <w:rFonts w:hint="eastAsia"/>
                          <w:lang w:val="en-US" w:eastAsia="zh-CN"/>
                        </w:rPr>
                        <w:t xml:space="preserve"> and </w:t>
                      </w:r>
                      <w:r>
                        <w:rPr>
                          <w:rFonts w:hint="eastAsia"/>
                        </w:rPr>
                        <w:t>tungsten content</w:t>
                      </w:r>
                    </w:p>
                    <w:p w14:paraId="6257EB4D">
                      <w:pPr>
                        <w:pStyle w:val="46"/>
                        <w:tabs>
                          <w:tab w:val="left" w:pos="7155"/>
                        </w:tabs>
                        <w:spacing w:line="240" w:lineRule="auto"/>
                        <w:rPr>
                          <w:sz w:val="24"/>
                          <w:szCs w:val="24"/>
                        </w:rPr>
                      </w:pPr>
                      <w:r>
                        <w:rPr>
                          <w:rFonts w:hint="eastAsia" w:ascii="宋体" w:hAnsi="宋体"/>
                          <w:szCs w:val="28"/>
                        </w:rPr>
                        <w:t>（征求意见稿）</w:t>
                      </w:r>
                    </w:p>
                  </w:txbxContent>
                </v:textbox>
                <w10:anchorlock/>
              </v:shape>
            </w:pict>
          </mc:Fallback>
        </mc:AlternateContent>
      </w:r>
      <w:r>
        <w:rPr>
          <w:color w:val="auto"/>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2FEE4B40">
                            <w:pPr>
                              <w:pStyle w:val="60"/>
                            </w:pPr>
                            <w:r>
                              <w:rPr>
                                <w:rFonts w:hint="eastAsia"/>
                              </w:rPr>
                              <w:t>中华人民共和国国家标准</w:t>
                            </w:r>
                          </w:p>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DkcF1wAAAAgBAAAPAAAAAAAAAAEAIAAAACIAAABkcnMvZG93&#10;bnJldi54bWxQSwECFAAUAAAACACHTuJA7DsoP8gBAACmAwAADgAAAAAAAAABACAAAAAmAQAAZHJz&#10;L2Uyb0RvYy54bWxQSwUGAAAAAAYABgBZAQAAYAUAAAAA&#10;">
                <v:fill on="t" focussize="0,0"/>
                <v:stroke on="f"/>
                <v:imagedata o:title=""/>
                <o:lock v:ext="edit" aspectratio="f"/>
                <v:textbox inset="0mm,0mm,0mm,0mm">
                  <w:txbxContent>
                    <w:p w14:paraId="2FEE4B40">
                      <w:pPr>
                        <w:pStyle w:val="60"/>
                      </w:pPr>
                      <w:r>
                        <w:rPr>
                          <w:rFonts w:hint="eastAsia"/>
                        </w:rPr>
                        <w:t>中华人民共和国国家标准</w:t>
                      </w:r>
                    </w:p>
                  </w:txbxContent>
                </v:textbox>
                <w10:anchorlock/>
              </v:shape>
            </w:pict>
          </mc:Fallback>
        </mc:AlternateContent>
      </w:r>
      <w:r>
        <w:rPr>
          <w:color w:val="auto"/>
        </w:rP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360045</wp:posOffset>
                </wp:positionV>
                <wp:extent cx="2540000" cy="657860"/>
                <wp:effectExtent l="0" t="0" r="0" b="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4ECF415A">
                            <w:pPr>
                              <w:pStyle w:val="51"/>
                              <w:spacing w:line="0" w:lineRule="atLeast"/>
                              <w:rPr>
                                <w:rFonts w:ascii="黑体"/>
                                <w:color w:val="FF0000"/>
                              </w:rPr>
                            </w:pPr>
                            <w:r>
                              <w:rPr>
                                <w:rFonts w:hint="eastAsia" w:ascii="黑体"/>
                                <w:color w:val="FF0000"/>
                              </w:rPr>
                              <w:t xml:space="preserve">ICS </w:t>
                            </w:r>
                            <w:r>
                              <w:rPr>
                                <w:rFonts w:ascii="黑体"/>
                                <w:color w:val="FF0000"/>
                              </w:rPr>
                              <w:t>77.120.99</w:t>
                            </w:r>
                          </w:p>
                          <w:p w14:paraId="6108BECA">
                            <w:pPr>
                              <w:pStyle w:val="51"/>
                              <w:spacing w:line="0" w:lineRule="atLeast"/>
                              <w:rPr>
                                <w:color w:val="FF0000"/>
                              </w:rPr>
                            </w:pPr>
                            <w:r>
                              <w:rPr>
                                <w:rFonts w:hint="eastAsia" w:ascii="黑体"/>
                                <w:color w:val="FF0000"/>
                              </w:rPr>
                              <w:t>CCS H 14</w:t>
                            </w:r>
                          </w:p>
                        </w:txbxContent>
                      </wps:txbx>
                      <wps:bodyPr wrap="square" lIns="0" tIns="0" rIns="0" bIns="0" upright="1"/>
                    </wps:wsp>
                  </a:graphicData>
                </a:graphic>
              </wp:anchor>
            </w:drawing>
          </mc:Choice>
          <mc:Fallback>
            <w:pict>
              <v:shape id="fmFrame1" o:spid="_x0000_s1026" o:spt="202" type="#_x0000_t202" style="position:absolute;left:0pt;margin-left:70.9pt;margin-top:28.35pt;height:51.8pt;width:200pt;mso-position-horizontal-relative:page;mso-position-vertical-relative:page;z-index:251659264;mso-width-relative:page;mso-height-relative:page;" fillcolor="#FFFFFF" filled="t" stroked="f" coordsize="21600,21600" o:gfxdata="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7C59m1wAAAAoBAAAPAAAAAAAAAAEAIAAAACIAAABkcnMvZG93&#10;bnJldi54bWxQSwECFAAUAAAACACHTuJA2cDgCcgBAACmAwAADgAAAAAAAAABACAAAAAmAQAAZHJz&#10;L2Uyb0RvYy54bWxQSwUGAAAAAAYABgBZAQAAYAUAAAAA&#10;">
                <v:fill on="t" focussize="0,0"/>
                <v:stroke on="f"/>
                <v:imagedata o:title=""/>
                <o:lock v:ext="edit" aspectratio="f"/>
                <v:textbox inset="0mm,0mm,0mm,0mm">
                  <w:txbxContent>
                    <w:p w14:paraId="4ECF415A">
                      <w:pPr>
                        <w:pStyle w:val="51"/>
                        <w:spacing w:line="0" w:lineRule="atLeast"/>
                        <w:rPr>
                          <w:rFonts w:ascii="黑体"/>
                          <w:color w:val="FF0000"/>
                        </w:rPr>
                      </w:pPr>
                      <w:r>
                        <w:rPr>
                          <w:rFonts w:hint="eastAsia" w:ascii="黑体"/>
                          <w:color w:val="FF0000"/>
                        </w:rPr>
                        <w:t xml:space="preserve">ICS </w:t>
                      </w:r>
                      <w:r>
                        <w:rPr>
                          <w:rFonts w:ascii="黑体"/>
                          <w:color w:val="FF0000"/>
                        </w:rPr>
                        <w:t>77.120.99</w:t>
                      </w:r>
                    </w:p>
                    <w:p w14:paraId="6108BECA">
                      <w:pPr>
                        <w:pStyle w:val="51"/>
                        <w:spacing w:line="0" w:lineRule="atLeast"/>
                        <w:rPr>
                          <w:color w:val="FF0000"/>
                        </w:rPr>
                      </w:pPr>
                      <w:r>
                        <w:rPr>
                          <w:rFonts w:hint="eastAsia" w:ascii="黑体"/>
                          <w:color w:val="FF0000"/>
                        </w:rPr>
                        <w:t>CCS H 14</w:t>
                      </w:r>
                    </w:p>
                  </w:txbxContent>
                </v:textbox>
                <w10:anchorlock/>
              </v:shape>
            </w:pict>
          </mc:Fallback>
        </mc:AlternateContent>
      </w:r>
      <w:r>
        <w:rPr>
          <w:color w:val="auto"/>
        </w:rPr>
        <w:t xml:space="preserve"> </w:t>
      </w:r>
    </w:p>
    <w:p w14:paraId="22F965B4">
      <w:pPr>
        <w:spacing w:line="360" w:lineRule="exact"/>
        <w:rPr>
          <w:color w:val="auto"/>
        </w:rPr>
      </w:pPr>
    </w:p>
    <w:p w14:paraId="4158BE71">
      <w:pPr>
        <w:spacing w:line="360" w:lineRule="exact"/>
        <w:rPr>
          <w:color w:val="auto"/>
        </w:rPr>
      </w:pPr>
    </w:p>
    <w:p w14:paraId="3C432BF9">
      <w:pPr>
        <w:spacing w:line="360" w:lineRule="exact"/>
        <w:rPr>
          <w:color w:val="auto"/>
        </w:rPr>
      </w:pPr>
    </w:p>
    <w:p w14:paraId="26EBB850">
      <w:pPr>
        <w:spacing w:line="360" w:lineRule="exact"/>
        <w:rPr>
          <w:color w:val="auto"/>
        </w:rPr>
      </w:pPr>
    </w:p>
    <w:p w14:paraId="6BA1B60D">
      <w:pPr>
        <w:spacing w:before="510" w:line="360" w:lineRule="exact"/>
        <w:ind w:left="2814" w:leftChars="1340"/>
        <w:jc w:val="right"/>
        <w:rPr>
          <w:b/>
          <w:bCs/>
          <w:color w:val="auto"/>
          <w:sz w:val="28"/>
        </w:rPr>
      </w:pPr>
      <w:r>
        <w:rPr>
          <w:rFonts w:hint="eastAsia" w:ascii="黑体" w:hAnsi="黑体" w:eastAsia="黑体" w:cs="黑体"/>
          <w:bCs/>
          <w:color w:val="auto"/>
          <w:sz w:val="28"/>
        </w:rPr>
        <w:t>GB/T12690.13—202X</w:t>
      </w:r>
      <w:r>
        <w:rPr>
          <w:b/>
          <w:bCs/>
          <w:color w:val="auto"/>
          <w:sz w:val="28"/>
        </w:rPr>
        <w:t xml:space="preserve"> </w:t>
      </w:r>
    </w:p>
    <w:p w14:paraId="2B170BB2">
      <w:pPr>
        <w:spacing w:line="360" w:lineRule="exact"/>
        <w:ind w:left="2814" w:leftChars="1340"/>
        <w:jc w:val="right"/>
        <w:rPr>
          <w:rFonts w:ascii="宋体" w:hAnsi="宋体" w:cs="宋体"/>
          <w:bCs/>
          <w:color w:val="auto"/>
          <w:szCs w:val="21"/>
        </w:rPr>
      </w:pPr>
      <w:r>
        <w:rPr>
          <w:rFonts w:hint="eastAsia" w:ascii="宋体" w:hAnsi="宋体" w:cs="宋体"/>
          <w:bCs/>
          <w:color w:val="auto"/>
          <w:szCs w:val="21"/>
        </w:rPr>
        <w:t>代替GB/T 12690.13-2003</w:t>
      </w:r>
    </w:p>
    <w:p w14:paraId="18F76CF2">
      <w:pPr>
        <w:spacing w:line="360" w:lineRule="exact"/>
        <w:ind w:firstLine="540"/>
        <w:jc w:val="center"/>
        <w:rPr>
          <w:color w:val="auto"/>
        </w:rPr>
        <w:sectPr>
          <w:headerReference r:id="rId5" w:type="first"/>
          <w:headerReference r:id="rId3" w:type="default"/>
          <w:footerReference r:id="rId6" w:type="default"/>
          <w:headerReference r:id="rId4" w:type="even"/>
          <w:footerReference r:id="rId7" w:type="even"/>
          <w:pgSz w:w="11907" w:h="16839"/>
          <w:pgMar w:top="567" w:right="851" w:bottom="851" w:left="1418" w:header="0" w:footer="0" w:gutter="0"/>
          <w:pgNumType w:start="1"/>
          <w:cols w:space="720" w:num="1"/>
          <w:titlePg/>
          <w:docGrid w:type="lines" w:linePitch="312" w:charSpace="0"/>
        </w:sectPr>
      </w:pPr>
      <w:r>
        <w:rPr>
          <w:color w:val="auto"/>
          <w:sz w:val="20"/>
        </w:rPr>
        <mc:AlternateContent>
          <mc:Choice Requires="wpg">
            <w:drawing>
              <wp:anchor distT="0" distB="0" distL="114300" distR="114300" simplePos="0" relativeHeight="251668480" behindDoc="0" locked="0" layoutInCell="1" allowOverlap="1">
                <wp:simplePos x="0" y="0"/>
                <wp:positionH relativeFrom="column">
                  <wp:posOffset>1232535</wp:posOffset>
                </wp:positionH>
                <wp:positionV relativeFrom="paragraph">
                  <wp:posOffset>7127240</wp:posOffset>
                </wp:positionV>
                <wp:extent cx="3656965" cy="599440"/>
                <wp:effectExtent l="0" t="0" r="0" b="0"/>
                <wp:wrapNone/>
                <wp:docPr id="12" name="组合 15"/>
                <wp:cNvGraphicFramePr/>
                <a:graphic xmlns:a="http://schemas.openxmlformats.org/drawingml/2006/main">
                  <a:graphicData uri="http://schemas.microsoft.com/office/word/2010/wordprocessingGroup">
                    <wpg:wgp>
                      <wpg:cNvGrpSpPr/>
                      <wpg:grpSpPr>
                        <a:xfrm>
                          <a:off x="0" y="0"/>
                          <a:ext cx="3656965" cy="599440"/>
                          <a:chOff x="3359" y="15181"/>
                          <a:chExt cx="5759" cy="944"/>
                        </a:xfrm>
                      </wpg:grpSpPr>
                      <wps:wsp>
                        <wps:cNvPr id="10" name="fmFrame7"/>
                        <wps:cNvSpPr txBox="1"/>
                        <wps:spPr>
                          <a:xfrm>
                            <a:off x="3359" y="15181"/>
                            <a:ext cx="5759" cy="944"/>
                          </a:xfrm>
                          <a:prstGeom prst="rect">
                            <a:avLst/>
                          </a:prstGeom>
                          <a:solidFill>
                            <a:srgbClr val="FFFFFF"/>
                          </a:solidFill>
                          <a:ln>
                            <a:noFill/>
                          </a:ln>
                        </wps:spPr>
                        <wps:txbx>
                          <w:txbxContent>
                            <w:p w14:paraId="623A8431">
                              <w:pPr>
                                <w:pStyle w:val="67"/>
                                <w:spacing w:line="400" w:lineRule="exact"/>
                                <w:rPr>
                                  <w:rStyle w:val="41"/>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310ACF14">
                              <w:pPr>
                                <w:pStyle w:val="67"/>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14:paraId="3271E88E">
                              <w:pPr>
                                <w:pStyle w:val="67"/>
                              </w:pPr>
                            </w:p>
                          </w:txbxContent>
                        </wps:txbx>
                        <wps:bodyPr wrap="square" lIns="0" tIns="0" rIns="0" bIns="0" upright="1"/>
                      </wps:wsp>
                      <wps:wsp>
                        <wps:cNvPr id="11" name="文本框 14"/>
                        <wps:cNvSpPr txBox="1"/>
                        <wps:spPr>
                          <a:xfrm>
                            <a:off x="7884" y="15203"/>
                            <a:ext cx="1020" cy="843"/>
                          </a:xfrm>
                          <a:prstGeom prst="rect">
                            <a:avLst/>
                          </a:prstGeom>
                          <a:noFill/>
                          <a:ln>
                            <a:noFill/>
                          </a:ln>
                        </wps:spPr>
                        <wps:txbx>
                          <w:txbxContent>
                            <w:p w14:paraId="5ED97C52">
                              <w:pPr>
                                <w:rPr>
                                  <w:spacing w:val="10"/>
                                </w:rPr>
                              </w:pPr>
                              <w:r>
                                <w:rPr>
                                  <w:rFonts w:hint="eastAsia" w:ascii="黑体" w:eastAsia="黑体"/>
                                  <w:spacing w:val="10"/>
                                  <w:sz w:val="28"/>
                                </w:rPr>
                                <w:t>发布</w:t>
                              </w:r>
                            </w:p>
                          </w:txbxContent>
                        </wps:txbx>
                        <wps:bodyPr wrap="square" upright="1"/>
                      </wps:wsp>
                    </wpg:wgp>
                  </a:graphicData>
                </a:graphic>
              </wp:anchor>
            </w:drawing>
          </mc:Choice>
          <mc:Fallback>
            <w:pict>
              <v:group id="组合 15" o:spid="_x0000_s1026" o:spt="203" style="position:absolute;left:0pt;margin-left:97.05pt;margin-top:561.2pt;height:47.2pt;width:287.95pt;z-index:251668480;mso-width-relative:page;mso-height-relative:page;" coordorigin="3359,15181" coordsize="5759,944" o:gfxdata="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oBVxtwAAAANAQAADwAA&#10;AAAAAAABACAAAAAiAAAAZHJzL2Rvd25yZXYueG1sUEsBAhQAFAAAAAgAh07iQMSaqdyEAgAAWwYA&#10;AA4AAAAAAAAAAQAgAAAAKwEAAGRycy9lMm9Eb2MueG1sUEsFBgAAAAAGAAYAWQEAACEGAAAAAA==&#10;">
                <o:lock v:ext="edit" aspectratio="f"/>
                <v:shape id="fmFrame7" o:spid="_x0000_s1026" o:spt="202" type="#_x0000_t202" style="position:absolute;left:3359;top:15181;height:944;width:5759;"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623A8431">
                        <w:pPr>
                          <w:pStyle w:val="67"/>
                          <w:spacing w:line="400" w:lineRule="exact"/>
                          <w:rPr>
                            <w:rStyle w:val="41"/>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310ACF14">
                        <w:pPr>
                          <w:pStyle w:val="67"/>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14:paraId="3271E88E">
                        <w:pPr>
                          <w:pStyle w:val="67"/>
                        </w:pPr>
                      </w:p>
                    </w:txbxContent>
                  </v:textbox>
                </v:shape>
                <v:shape id="文本框 14" o:spid="_x0000_s1026" o:spt="202" type="#_x0000_t202" style="position:absolute;left:7884;top:15203;height:843;width:102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ED97C52">
                        <w:pPr>
                          <w:rPr>
                            <w:spacing w:val="10"/>
                          </w:rPr>
                        </w:pPr>
                        <w:r>
                          <w:rPr>
                            <w:rFonts w:hint="eastAsia" w:ascii="黑体" w:eastAsia="黑体"/>
                            <w:spacing w:val="10"/>
                            <w:sz w:val="28"/>
                          </w:rPr>
                          <w:t>发布</w:t>
                        </w:r>
                      </w:p>
                    </w:txbxContent>
                  </v:textbox>
                </v:shape>
              </v:group>
            </w:pict>
          </mc:Fallback>
        </mc:AlternateContent>
      </w:r>
      <w:r>
        <w:rPr>
          <w:color w:val="auto"/>
          <w:sz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ge">
                  <wp:posOffset>9274810</wp:posOffset>
                </wp:positionV>
                <wp:extent cx="6172200" cy="0"/>
                <wp:effectExtent l="0" t="0" r="0" b="0"/>
                <wp:wrapNone/>
                <wp:docPr id="9" name="直线 12"/>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2" o:spid="_x0000_s1026" o:spt="20" style="position:absolute;left:0pt;margin-left:0pt;margin-top:730.3pt;height:0pt;width:486pt;mso-position-vertical-relative:page;z-index:251667456;mso-width-relative:page;mso-height-relative:page;" filled="f" stroked="t" coordsize="21600,21600" o:gfxdata="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2IfH/UAAAACgEAAA8AAAAA&#10;AAAAAQAgAAAAIgAAAGRycy9kb3ducmV2LnhtbFBLAQIUABQAAAAIAIdO4kAMTmKc3wEAANADAAAO&#10;AAAAAAAAAAEAIAAAACMBAABkcnMvZTJvRG9jLnhtbFBLBQYAAAAABgAGAFkBAAB0BQAAAAA=&#10;">
                <v:fill on="f" focussize="0,0"/>
                <v:stroke color="#000000" joinstyle="round"/>
                <v:imagedata o:title=""/>
                <o:lock v:ext="edit" aspectratio="f"/>
              </v:line>
            </w:pict>
          </mc:Fallback>
        </mc:AlternateContent>
      </w:r>
      <w:r>
        <w:rPr>
          <w:color w:val="auto"/>
          <w:sz w:val="20"/>
        </w:rPr>
        <mc:AlternateContent>
          <mc:Choice Requires="wps">
            <w:drawing>
              <wp:anchor distT="0" distB="0" distL="114300" distR="114300" simplePos="0" relativeHeight="251666432" behindDoc="0" locked="0" layoutInCell="1" allowOverlap="1">
                <wp:simplePos x="0" y="0"/>
                <wp:positionH relativeFrom="column">
                  <wp:posOffset>160020</wp:posOffset>
                </wp:positionH>
                <wp:positionV relativeFrom="paragraph">
                  <wp:posOffset>100965</wp:posOffset>
                </wp:positionV>
                <wp:extent cx="6120130" cy="0"/>
                <wp:effectExtent l="0" t="0" r="0" b="0"/>
                <wp:wrapNone/>
                <wp:docPr id="8" name="直线 10"/>
                <wp:cNvGraphicFramePr/>
                <a:graphic xmlns:a="http://schemas.openxmlformats.org/drawingml/2006/main">
                  <a:graphicData uri="http://schemas.microsoft.com/office/word/2010/wordprocessingShape">
                    <wps:wsp>
                      <wps:cNvCnPr/>
                      <wps:spPr>
                        <a:xfrm flipH="1">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flip:x;margin-left:12.6pt;margin-top:7.95pt;height:0pt;width:481.9pt;z-index:251666432;mso-width-relative:page;mso-height-relative:page;" filled="f" stroked="t" coordsize="21600,21600" o:gfxdata="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SmX91QAAAAgB&#10;AAAPAAAAAAAAAAEAIAAAACIAAABkcnMvZG93bnJldi54bWxQSwECFAAUAAAACACHTuJAEruZ8uUB&#10;AADaAwAADgAAAAAAAAABACAAAAAkAQAAZHJzL2Uyb0RvYy54bWxQSwUGAAAAAAYABgBZAQAAewUA&#10;AAAA&#10;">
                <v:fill on="f" focussize="0,0"/>
                <v:stroke color="#000000" joinstyle="round"/>
                <v:imagedata o:title=""/>
                <o:lock v:ext="edit" aspectratio="f"/>
              </v:line>
            </w:pict>
          </mc:Fallback>
        </mc:AlternateContent>
      </w:r>
      <w:r>
        <w:rPr>
          <w:color w:val="auto"/>
        </w:rPr>
        <w:t xml:space="preserve">        </w:t>
      </w:r>
    </w:p>
    <w:bookmarkEnd w:id="0"/>
    <w:p w14:paraId="4936A4C9">
      <w:pPr>
        <w:pStyle w:val="58"/>
        <w:snapToGrid w:val="0"/>
        <w:spacing w:before="312" w:beforeLines="100" w:after="312" w:afterLines="100" w:line="240" w:lineRule="auto"/>
        <w:ind w:left="1060" w:hanging="641"/>
        <w:rPr>
          <w:color w:val="auto"/>
        </w:rPr>
      </w:pPr>
      <w:r>
        <w:rPr>
          <w:rFonts w:hint="eastAsia"/>
          <w:color w:val="auto"/>
        </w:rPr>
        <w:t>前  言</w:t>
      </w:r>
    </w:p>
    <w:p w14:paraId="2E10DE72">
      <w:pPr>
        <w:pStyle w:val="43"/>
        <w:tabs>
          <w:tab w:val="center" w:pos="4201"/>
          <w:tab w:val="right" w:leader="dot" w:pos="9298"/>
        </w:tabs>
        <w:adjustRightInd w:val="0"/>
        <w:snapToGrid w:val="0"/>
        <w:ind w:firstLine="420"/>
        <w:rPr>
          <w:rFonts w:ascii="Times New Roman"/>
          <w:color w:val="auto"/>
          <w:szCs w:val="21"/>
        </w:rPr>
      </w:pPr>
      <w:r>
        <w:rPr>
          <w:rFonts w:ascii="Times New Roman"/>
          <w:color w:val="auto"/>
          <w:szCs w:val="21"/>
        </w:rPr>
        <w:t>本</w:t>
      </w:r>
      <w:r>
        <w:rPr>
          <w:rFonts w:hint="eastAsia" w:ascii="Times New Roman"/>
          <w:color w:val="auto"/>
          <w:szCs w:val="21"/>
        </w:rPr>
        <w:t>文件</w:t>
      </w:r>
      <w:r>
        <w:rPr>
          <w:rFonts w:ascii="Times New Roman"/>
          <w:color w:val="auto"/>
          <w:szCs w:val="21"/>
        </w:rPr>
        <w:t>按照GB/T 1.1-2020《标准化工作导则 第1部分：标准化文件的结构和起草规则》的规</w:t>
      </w:r>
      <w:r>
        <w:rPr>
          <w:rFonts w:hint="eastAsia" w:ascii="Times New Roman"/>
          <w:color w:val="auto"/>
          <w:szCs w:val="21"/>
        </w:rPr>
        <w:t>定</w:t>
      </w:r>
      <w:r>
        <w:rPr>
          <w:rFonts w:ascii="Times New Roman"/>
          <w:color w:val="auto"/>
          <w:szCs w:val="21"/>
        </w:rPr>
        <w:t>起草。</w:t>
      </w:r>
    </w:p>
    <w:p w14:paraId="23F0D2DA">
      <w:pPr>
        <w:adjustRightInd w:val="0"/>
        <w:snapToGrid w:val="0"/>
        <w:ind w:firstLine="420" w:firstLineChars="200"/>
        <w:rPr>
          <w:rFonts w:cs="宋体"/>
          <w:color w:val="auto"/>
        </w:rPr>
      </w:pPr>
      <w:r>
        <w:rPr>
          <w:rFonts w:hint="eastAsia" w:cs="宋体"/>
          <w:color w:val="auto"/>
        </w:rPr>
        <w:t>本文件是</w:t>
      </w:r>
      <w:r>
        <w:rPr>
          <w:rFonts w:hint="eastAsia"/>
          <w:color w:val="auto"/>
          <w:kern w:val="0"/>
          <w:szCs w:val="21"/>
        </w:rPr>
        <w:t>GB/T 12690</w:t>
      </w:r>
      <w:r>
        <w:rPr>
          <w:color w:val="auto"/>
          <w:szCs w:val="21"/>
        </w:rPr>
        <w:t>《</w:t>
      </w:r>
      <w:r>
        <w:rPr>
          <w:rFonts w:hint="eastAsia" w:cs="宋体"/>
          <w:color w:val="auto"/>
        </w:rPr>
        <w:t>稀土金属及其氧化物中非稀土杂质化学分析方法》的第13部分，</w:t>
      </w:r>
      <w:r>
        <w:rPr>
          <w:rFonts w:hint="eastAsia"/>
          <w:color w:val="auto"/>
          <w:kern w:val="0"/>
          <w:szCs w:val="21"/>
        </w:rPr>
        <w:t>GB/T 12690</w:t>
      </w:r>
      <w:r>
        <w:rPr>
          <w:rFonts w:hint="eastAsia" w:cs="宋体"/>
          <w:color w:val="auto"/>
        </w:rPr>
        <w:t>已经发布了以下部分：</w:t>
      </w:r>
    </w:p>
    <w:p w14:paraId="3E40944D">
      <w:pPr>
        <w:pStyle w:val="43"/>
        <w:adjustRightInd w:val="0"/>
        <w:snapToGrid w:val="0"/>
        <w:ind w:firstLine="420"/>
        <w:rPr>
          <w:rFonts w:ascii="Times New Roman"/>
          <w:color w:val="auto"/>
          <w:szCs w:val="21"/>
        </w:rPr>
      </w:pPr>
      <w:r>
        <w:rPr>
          <w:rFonts w:ascii="Times New Roman"/>
          <w:color w:val="auto"/>
          <w:szCs w:val="21"/>
        </w:rPr>
        <w:t>——第</w:t>
      </w:r>
      <w:r>
        <w:rPr>
          <w:rFonts w:hint="eastAsia" w:ascii="Times New Roman" w:cs="宋体"/>
          <w:color w:val="auto"/>
          <w:szCs w:val="21"/>
        </w:rPr>
        <w:t>1</w:t>
      </w:r>
      <w:r>
        <w:rPr>
          <w:rFonts w:ascii="Times New Roman"/>
          <w:color w:val="auto"/>
          <w:szCs w:val="21"/>
        </w:rPr>
        <w:t>部分：</w:t>
      </w:r>
      <w:r>
        <w:rPr>
          <w:rFonts w:hint="eastAsia" w:ascii="Times New Roman"/>
          <w:color w:val="auto"/>
          <w:szCs w:val="21"/>
        </w:rPr>
        <w:t>碳、硫量的测定 高频-红外吸收法；</w:t>
      </w:r>
    </w:p>
    <w:p w14:paraId="17CC5517">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2</w:t>
      </w:r>
      <w:r>
        <w:rPr>
          <w:color w:val="auto"/>
          <w:kern w:val="0"/>
          <w:szCs w:val="21"/>
        </w:rPr>
        <w:t>部分：</w:t>
      </w:r>
      <w:r>
        <w:rPr>
          <w:rFonts w:hint="eastAsia"/>
          <w:color w:val="auto"/>
          <w:kern w:val="0"/>
          <w:szCs w:val="21"/>
        </w:rPr>
        <w:t>稀土氧化物中灼减量的测定 重量法；</w:t>
      </w:r>
      <w:r>
        <w:rPr>
          <w:color w:val="auto"/>
          <w:kern w:val="0"/>
          <w:szCs w:val="21"/>
        </w:rPr>
        <w:t xml:space="preserve"> </w:t>
      </w:r>
    </w:p>
    <w:p w14:paraId="4366F8B9">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3</w:t>
      </w:r>
      <w:r>
        <w:rPr>
          <w:color w:val="auto"/>
          <w:kern w:val="0"/>
          <w:szCs w:val="21"/>
        </w:rPr>
        <w:t>部分：</w:t>
      </w:r>
      <w:r>
        <w:rPr>
          <w:rFonts w:hint="eastAsia"/>
          <w:color w:val="auto"/>
          <w:kern w:val="0"/>
          <w:szCs w:val="21"/>
        </w:rPr>
        <w:t>稀土氧化物中水分量的测定 重量法</w:t>
      </w:r>
      <w:r>
        <w:rPr>
          <w:rFonts w:hint="eastAsia"/>
          <w:color w:val="auto"/>
          <w:szCs w:val="21"/>
        </w:rPr>
        <w:t>；</w:t>
      </w:r>
      <w:r>
        <w:rPr>
          <w:color w:val="auto"/>
          <w:kern w:val="0"/>
          <w:szCs w:val="21"/>
        </w:rPr>
        <w:t xml:space="preserve"> </w:t>
      </w:r>
    </w:p>
    <w:p w14:paraId="756D3A0C">
      <w:pPr>
        <w:widowControl/>
        <w:autoSpaceDE w:val="0"/>
        <w:autoSpaceDN w:val="0"/>
        <w:adjustRightInd w:val="0"/>
        <w:snapToGrid w:val="0"/>
        <w:ind w:firstLine="420" w:firstLineChars="200"/>
        <w:rPr>
          <w:color w:val="auto"/>
          <w:szCs w:val="21"/>
        </w:rPr>
      </w:pPr>
      <w:r>
        <w:rPr>
          <w:color w:val="auto"/>
          <w:kern w:val="0"/>
          <w:szCs w:val="21"/>
        </w:rPr>
        <w:t>——第</w:t>
      </w:r>
      <w:r>
        <w:rPr>
          <w:rFonts w:hint="eastAsia" w:cs="宋体"/>
          <w:color w:val="auto"/>
          <w:kern w:val="0"/>
          <w:szCs w:val="21"/>
        </w:rPr>
        <w:t>4</w:t>
      </w:r>
      <w:r>
        <w:rPr>
          <w:color w:val="auto"/>
          <w:kern w:val="0"/>
          <w:szCs w:val="21"/>
        </w:rPr>
        <w:t>部分：</w:t>
      </w:r>
      <w:r>
        <w:rPr>
          <w:rFonts w:hint="eastAsia"/>
          <w:color w:val="auto"/>
          <w:kern w:val="0"/>
          <w:szCs w:val="21"/>
        </w:rPr>
        <w:t>氧、氮量的测定 脉冲-红外吸收法和脉冲-热导法</w:t>
      </w:r>
      <w:r>
        <w:rPr>
          <w:rFonts w:hint="eastAsia"/>
          <w:color w:val="auto"/>
          <w:szCs w:val="21"/>
        </w:rPr>
        <w:t>；</w:t>
      </w:r>
    </w:p>
    <w:p w14:paraId="4BF414D2">
      <w:pPr>
        <w:widowControl/>
        <w:autoSpaceDE w:val="0"/>
        <w:autoSpaceDN w:val="0"/>
        <w:adjustRightInd w:val="0"/>
        <w:snapToGrid w:val="0"/>
        <w:ind w:firstLine="420" w:firstLineChars="200"/>
        <w:rPr>
          <w:color w:val="auto"/>
          <w:szCs w:val="21"/>
        </w:rPr>
      </w:pPr>
      <w:r>
        <w:rPr>
          <w:color w:val="auto"/>
          <w:kern w:val="0"/>
          <w:szCs w:val="21"/>
        </w:rPr>
        <w:t>——第</w:t>
      </w:r>
      <w:r>
        <w:rPr>
          <w:rFonts w:cs="宋体"/>
          <w:color w:val="auto"/>
          <w:kern w:val="0"/>
          <w:szCs w:val="21"/>
        </w:rPr>
        <w:t>5</w:t>
      </w:r>
      <w:r>
        <w:rPr>
          <w:color w:val="auto"/>
          <w:kern w:val="0"/>
          <w:szCs w:val="21"/>
        </w:rPr>
        <w:t>部分：</w:t>
      </w:r>
      <w:r>
        <w:rPr>
          <w:rFonts w:hint="eastAsia"/>
          <w:color w:val="auto"/>
          <w:kern w:val="0"/>
          <w:szCs w:val="21"/>
        </w:rPr>
        <w:t>钴、锰、铅、镍、铜、锌、铝、铬、镁、镉、钒、铁量的测定；</w:t>
      </w:r>
    </w:p>
    <w:p w14:paraId="5DD40D25">
      <w:pPr>
        <w:widowControl/>
        <w:autoSpaceDE w:val="0"/>
        <w:autoSpaceDN w:val="0"/>
        <w:adjustRightInd w:val="0"/>
        <w:snapToGrid w:val="0"/>
        <w:ind w:firstLine="420" w:firstLineChars="200"/>
        <w:rPr>
          <w:color w:val="auto"/>
          <w:szCs w:val="21"/>
        </w:rPr>
      </w:pPr>
      <w:r>
        <w:rPr>
          <w:color w:val="auto"/>
          <w:kern w:val="0"/>
          <w:szCs w:val="21"/>
        </w:rPr>
        <w:t>——第</w:t>
      </w:r>
      <w:r>
        <w:rPr>
          <w:rFonts w:hint="eastAsia" w:cs="宋体"/>
          <w:color w:val="auto"/>
          <w:kern w:val="0"/>
          <w:szCs w:val="21"/>
        </w:rPr>
        <w:t>6</w:t>
      </w:r>
      <w:r>
        <w:rPr>
          <w:color w:val="auto"/>
          <w:kern w:val="0"/>
          <w:szCs w:val="21"/>
        </w:rPr>
        <w:t>部分：</w:t>
      </w:r>
      <w:r>
        <w:rPr>
          <w:rFonts w:hint="eastAsia"/>
          <w:color w:val="auto"/>
          <w:kern w:val="0"/>
          <w:szCs w:val="21"/>
        </w:rPr>
        <w:t>铁量的测定 硫氰酸钾、1,10-二氮杂菲分光光度法；</w:t>
      </w:r>
    </w:p>
    <w:p w14:paraId="37451BD2">
      <w:pPr>
        <w:widowControl/>
        <w:autoSpaceDE w:val="0"/>
        <w:autoSpaceDN w:val="0"/>
        <w:adjustRightInd w:val="0"/>
        <w:snapToGrid w:val="0"/>
        <w:ind w:firstLine="420" w:firstLineChars="200"/>
        <w:rPr>
          <w:color w:val="auto"/>
          <w:szCs w:val="21"/>
        </w:rPr>
      </w:pPr>
      <w:r>
        <w:rPr>
          <w:color w:val="auto"/>
          <w:kern w:val="0"/>
          <w:szCs w:val="21"/>
        </w:rPr>
        <w:t>——第</w:t>
      </w:r>
      <w:r>
        <w:rPr>
          <w:rFonts w:hint="eastAsia" w:cs="宋体"/>
          <w:color w:val="auto"/>
          <w:kern w:val="0"/>
          <w:szCs w:val="21"/>
        </w:rPr>
        <w:t>7</w:t>
      </w:r>
      <w:r>
        <w:rPr>
          <w:color w:val="auto"/>
          <w:kern w:val="0"/>
          <w:szCs w:val="21"/>
        </w:rPr>
        <w:t>部分：</w:t>
      </w:r>
      <w:r>
        <w:rPr>
          <w:rFonts w:hint="eastAsia"/>
          <w:color w:val="auto"/>
          <w:kern w:val="0"/>
          <w:szCs w:val="21"/>
        </w:rPr>
        <w:t>硅量的测定；</w:t>
      </w:r>
    </w:p>
    <w:p w14:paraId="17F3374B">
      <w:pPr>
        <w:widowControl/>
        <w:autoSpaceDE w:val="0"/>
        <w:autoSpaceDN w:val="0"/>
        <w:adjustRightInd w:val="0"/>
        <w:snapToGrid w:val="0"/>
        <w:ind w:firstLine="420" w:firstLineChars="200"/>
        <w:rPr>
          <w:color w:val="auto"/>
          <w:szCs w:val="21"/>
        </w:rPr>
      </w:pPr>
      <w:r>
        <w:rPr>
          <w:color w:val="auto"/>
          <w:kern w:val="0"/>
          <w:szCs w:val="21"/>
        </w:rPr>
        <w:t>——第</w:t>
      </w:r>
      <w:r>
        <w:rPr>
          <w:rFonts w:hint="eastAsia" w:cs="宋体"/>
          <w:color w:val="auto"/>
          <w:kern w:val="0"/>
          <w:szCs w:val="21"/>
        </w:rPr>
        <w:t>8</w:t>
      </w:r>
      <w:r>
        <w:rPr>
          <w:color w:val="auto"/>
          <w:kern w:val="0"/>
          <w:szCs w:val="21"/>
        </w:rPr>
        <w:t>部分：</w:t>
      </w:r>
      <w:r>
        <w:rPr>
          <w:rFonts w:hint="eastAsia"/>
          <w:color w:val="auto"/>
          <w:kern w:val="0"/>
          <w:szCs w:val="21"/>
        </w:rPr>
        <w:t>钠量的测定；</w:t>
      </w:r>
    </w:p>
    <w:p w14:paraId="12A61C99">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9</w:t>
      </w:r>
      <w:r>
        <w:rPr>
          <w:color w:val="auto"/>
          <w:kern w:val="0"/>
          <w:szCs w:val="21"/>
        </w:rPr>
        <w:t>部分：</w:t>
      </w:r>
      <w:r>
        <w:rPr>
          <w:rFonts w:hint="eastAsia"/>
          <w:color w:val="auto"/>
          <w:kern w:val="0"/>
          <w:szCs w:val="21"/>
        </w:rPr>
        <w:t>氯量的测定 硝酸银比浊法；</w:t>
      </w:r>
    </w:p>
    <w:p w14:paraId="7B0B239C">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10</w:t>
      </w:r>
      <w:r>
        <w:rPr>
          <w:color w:val="auto"/>
          <w:kern w:val="0"/>
          <w:szCs w:val="21"/>
        </w:rPr>
        <w:t>部分：</w:t>
      </w:r>
      <w:r>
        <w:rPr>
          <w:rFonts w:hint="eastAsia"/>
          <w:color w:val="auto"/>
          <w:kern w:val="0"/>
          <w:szCs w:val="21"/>
        </w:rPr>
        <w:t>磷量的测定 钼蓝分光光度法；</w:t>
      </w:r>
    </w:p>
    <w:p w14:paraId="4D658AC0">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11</w:t>
      </w:r>
      <w:r>
        <w:rPr>
          <w:color w:val="auto"/>
          <w:kern w:val="0"/>
          <w:szCs w:val="21"/>
        </w:rPr>
        <w:t>部分：</w:t>
      </w:r>
      <w:r>
        <w:rPr>
          <w:rFonts w:hint="eastAsia"/>
          <w:color w:val="auto"/>
          <w:kern w:val="0"/>
          <w:szCs w:val="21"/>
        </w:rPr>
        <w:t>镁量的测定 火焰原子吸收光谱法；</w:t>
      </w:r>
    </w:p>
    <w:p w14:paraId="1550D3DC">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第12部分</w:t>
      </w:r>
      <w:r>
        <w:rPr>
          <w:color w:val="auto"/>
          <w:kern w:val="0"/>
          <w:szCs w:val="21"/>
        </w:rPr>
        <w:t>：</w:t>
      </w:r>
      <w:r>
        <w:rPr>
          <w:rFonts w:hint="eastAsia"/>
          <w:color w:val="auto"/>
          <w:kern w:val="0"/>
          <w:szCs w:val="21"/>
        </w:rPr>
        <w:t>钍、铀量的测定 电感耦合等离子体质谱法；</w:t>
      </w:r>
    </w:p>
    <w:p w14:paraId="278D2CAA">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第13部分</w:t>
      </w:r>
      <w:r>
        <w:rPr>
          <w:color w:val="auto"/>
          <w:kern w:val="0"/>
          <w:szCs w:val="21"/>
        </w:rPr>
        <w:t>：</w:t>
      </w:r>
      <w:r>
        <w:rPr>
          <w:rFonts w:hint="eastAsia"/>
          <w:color w:val="auto"/>
          <w:kern w:val="0"/>
          <w:szCs w:val="21"/>
        </w:rPr>
        <w:t>钼、钨量的测定 电感耦合等离子体发射光谱法和电感耦合等离子体质谱法；</w:t>
      </w:r>
    </w:p>
    <w:p w14:paraId="3B2C9FEC">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第14部分</w:t>
      </w:r>
      <w:r>
        <w:rPr>
          <w:color w:val="auto"/>
          <w:kern w:val="0"/>
          <w:szCs w:val="21"/>
        </w:rPr>
        <w:t>：</w:t>
      </w:r>
      <w:r>
        <w:rPr>
          <w:rFonts w:hint="eastAsia"/>
          <w:color w:val="auto"/>
          <w:kern w:val="0"/>
          <w:szCs w:val="21"/>
        </w:rPr>
        <w:t>钛量的测定；</w:t>
      </w:r>
    </w:p>
    <w:p w14:paraId="1BC95E53">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第15部分</w:t>
      </w:r>
      <w:r>
        <w:rPr>
          <w:color w:val="auto"/>
          <w:kern w:val="0"/>
          <w:szCs w:val="21"/>
        </w:rPr>
        <w:t>：</w:t>
      </w:r>
      <w:r>
        <w:rPr>
          <w:rFonts w:hint="eastAsia"/>
          <w:color w:val="auto"/>
          <w:kern w:val="0"/>
          <w:szCs w:val="21"/>
        </w:rPr>
        <w:t>钙量的测定；</w:t>
      </w:r>
    </w:p>
    <w:p w14:paraId="4BFE3739">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第16部分</w:t>
      </w:r>
      <w:r>
        <w:rPr>
          <w:color w:val="auto"/>
          <w:kern w:val="0"/>
          <w:szCs w:val="21"/>
        </w:rPr>
        <w:t>：</w:t>
      </w:r>
      <w:r>
        <w:rPr>
          <w:rFonts w:hint="eastAsia"/>
          <w:color w:val="auto"/>
          <w:kern w:val="0"/>
          <w:szCs w:val="21"/>
        </w:rPr>
        <w:t>氟量的测定 离子选择性电极法；</w:t>
      </w:r>
    </w:p>
    <w:p w14:paraId="3CB67485">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第17部分</w:t>
      </w:r>
      <w:r>
        <w:rPr>
          <w:color w:val="auto"/>
          <w:kern w:val="0"/>
          <w:szCs w:val="21"/>
        </w:rPr>
        <w:t>：</w:t>
      </w:r>
      <w:r>
        <w:rPr>
          <w:rFonts w:hint="eastAsia"/>
          <w:color w:val="auto"/>
          <w:kern w:val="0"/>
          <w:szCs w:val="21"/>
        </w:rPr>
        <w:t>稀土金属中铌、钽量的测定；</w:t>
      </w:r>
    </w:p>
    <w:p w14:paraId="3A20959D">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第18部分</w:t>
      </w:r>
      <w:r>
        <w:rPr>
          <w:color w:val="auto"/>
          <w:kern w:val="0"/>
          <w:szCs w:val="21"/>
        </w:rPr>
        <w:t>：</w:t>
      </w:r>
      <w:r>
        <w:rPr>
          <w:rFonts w:hint="eastAsia"/>
          <w:color w:val="auto"/>
          <w:kern w:val="0"/>
          <w:szCs w:val="21"/>
        </w:rPr>
        <w:t>锆量的测定；</w:t>
      </w:r>
    </w:p>
    <w:p w14:paraId="0B89D283">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第19部分</w:t>
      </w:r>
      <w:r>
        <w:rPr>
          <w:color w:val="auto"/>
          <w:kern w:val="0"/>
          <w:szCs w:val="21"/>
        </w:rPr>
        <w:t>：</w:t>
      </w:r>
      <w:r>
        <w:rPr>
          <w:rFonts w:hint="eastAsia"/>
          <w:color w:val="auto"/>
          <w:kern w:val="0"/>
          <w:szCs w:val="21"/>
        </w:rPr>
        <w:t>砷、汞量的测定；</w:t>
      </w:r>
    </w:p>
    <w:p w14:paraId="6811DA3E">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第20部分</w:t>
      </w:r>
      <w:r>
        <w:rPr>
          <w:color w:val="auto"/>
          <w:kern w:val="0"/>
          <w:szCs w:val="21"/>
        </w:rPr>
        <w:t>：</w:t>
      </w:r>
      <w:r>
        <w:rPr>
          <w:rFonts w:hint="eastAsia"/>
          <w:color w:val="auto"/>
          <w:kern w:val="0"/>
          <w:szCs w:val="21"/>
        </w:rPr>
        <w:t>稀土氧化物中微量氟、氯的测定 离子色谱法；</w:t>
      </w:r>
    </w:p>
    <w:p w14:paraId="767DA29F">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第21部分</w:t>
      </w:r>
      <w:r>
        <w:rPr>
          <w:color w:val="auto"/>
          <w:kern w:val="0"/>
          <w:szCs w:val="21"/>
        </w:rPr>
        <w:t>：</w:t>
      </w:r>
      <w:r>
        <w:rPr>
          <w:rFonts w:hint="eastAsia"/>
          <w:color w:val="auto"/>
          <w:kern w:val="0"/>
          <w:szCs w:val="21"/>
        </w:rPr>
        <w:t>稀土氧化物中硫酸根含量的测定 硫酸钡比浊法。</w:t>
      </w:r>
    </w:p>
    <w:p w14:paraId="2E425D93">
      <w:pPr>
        <w:pStyle w:val="43"/>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ind w:left="0" w:leftChars="0" w:firstLine="420" w:firstLineChars="200"/>
        <w:jc w:val="left"/>
        <w:textAlignment w:val="auto"/>
        <w:rPr>
          <w:rFonts w:ascii="Times New Roman" w:cs="宋体"/>
          <w:color w:val="auto"/>
        </w:rPr>
      </w:pPr>
      <w:r>
        <w:rPr>
          <w:rFonts w:ascii="Times New Roman"/>
          <w:color w:val="auto"/>
          <w:szCs w:val="21"/>
        </w:rPr>
        <w:t>本</w:t>
      </w:r>
      <w:r>
        <w:rPr>
          <w:rFonts w:hint="eastAsia" w:ascii="Times New Roman"/>
          <w:color w:val="auto"/>
          <w:szCs w:val="21"/>
        </w:rPr>
        <w:t>文件</w:t>
      </w:r>
      <w:r>
        <w:rPr>
          <w:rFonts w:ascii="Times New Roman"/>
          <w:color w:val="auto"/>
          <w:szCs w:val="21"/>
        </w:rPr>
        <w:t xml:space="preserve">代替GB/T </w:t>
      </w:r>
      <w:r>
        <w:rPr>
          <w:rFonts w:hint="eastAsia" w:ascii="Times New Roman"/>
          <w:color w:val="auto"/>
          <w:szCs w:val="21"/>
        </w:rPr>
        <w:t>12690.13</w:t>
      </w:r>
      <w:r>
        <w:rPr>
          <w:rFonts w:ascii="Times New Roman"/>
          <w:color w:val="auto"/>
          <w:szCs w:val="21"/>
        </w:rPr>
        <w:t>-200</w:t>
      </w:r>
      <w:r>
        <w:rPr>
          <w:rFonts w:hint="eastAsia" w:ascii="Times New Roman"/>
          <w:color w:val="auto"/>
          <w:szCs w:val="21"/>
        </w:rPr>
        <w:t>3</w:t>
      </w:r>
      <w:r>
        <w:rPr>
          <w:rFonts w:ascii="Times New Roman"/>
          <w:color w:val="auto"/>
          <w:szCs w:val="21"/>
        </w:rPr>
        <w:t>《</w:t>
      </w:r>
      <w:r>
        <w:rPr>
          <w:rFonts w:hint="eastAsia" w:ascii="Times New Roman" w:cs="宋体"/>
          <w:color w:val="auto"/>
        </w:rPr>
        <w:t>稀土金属及其氧化物中非稀土杂质化学分析方法 第13部分：钼、钨量的测定</w:t>
      </w:r>
      <w:r>
        <w:rPr>
          <w:rFonts w:ascii="Times New Roman"/>
          <w:color w:val="auto"/>
          <w:szCs w:val="21"/>
        </w:rPr>
        <w:t xml:space="preserve">》，与GB/T </w:t>
      </w:r>
      <w:r>
        <w:rPr>
          <w:rFonts w:hint="eastAsia" w:ascii="Times New Roman"/>
          <w:color w:val="auto"/>
          <w:szCs w:val="21"/>
        </w:rPr>
        <w:t>12690.13</w:t>
      </w:r>
      <w:r>
        <w:rPr>
          <w:rFonts w:ascii="Times New Roman"/>
          <w:color w:val="auto"/>
          <w:szCs w:val="21"/>
        </w:rPr>
        <w:t>-200</w:t>
      </w:r>
      <w:r>
        <w:rPr>
          <w:rFonts w:hint="eastAsia" w:ascii="Times New Roman"/>
          <w:color w:val="auto"/>
          <w:szCs w:val="21"/>
        </w:rPr>
        <w:t>3</w:t>
      </w:r>
      <w:r>
        <w:rPr>
          <w:rFonts w:ascii="Times New Roman"/>
          <w:color w:val="auto"/>
          <w:szCs w:val="21"/>
        </w:rPr>
        <w:t>相比，除</w:t>
      </w:r>
      <w:r>
        <w:rPr>
          <w:rFonts w:hint="eastAsia" w:ascii="Times New Roman"/>
          <w:color w:val="auto"/>
          <w:szCs w:val="21"/>
        </w:rPr>
        <w:t>结构调整和</w:t>
      </w:r>
      <w:r>
        <w:rPr>
          <w:rFonts w:ascii="Times New Roman"/>
          <w:color w:val="auto"/>
          <w:szCs w:val="21"/>
        </w:rPr>
        <w:t>编辑性改</w:t>
      </w:r>
      <w:r>
        <w:rPr>
          <w:rFonts w:hint="eastAsia" w:ascii="Times New Roman"/>
          <w:color w:val="auto"/>
          <w:szCs w:val="21"/>
        </w:rPr>
        <w:t>动</w:t>
      </w:r>
      <w:r>
        <w:rPr>
          <w:rFonts w:ascii="Times New Roman"/>
          <w:color w:val="auto"/>
          <w:szCs w:val="21"/>
        </w:rPr>
        <w:t>外</w:t>
      </w:r>
      <w:r>
        <w:rPr>
          <w:rFonts w:hint="eastAsia" w:ascii="Times New Roman"/>
          <w:color w:val="auto"/>
          <w:szCs w:val="21"/>
        </w:rPr>
        <w:t>，</w:t>
      </w:r>
      <w:r>
        <w:rPr>
          <w:rFonts w:ascii="Times New Roman"/>
          <w:color w:val="auto"/>
          <w:szCs w:val="21"/>
        </w:rPr>
        <w:t>主要技术变化如下：</w:t>
      </w:r>
    </w:p>
    <w:p w14:paraId="47E23D1E">
      <w:pPr>
        <w:widowControl/>
        <w:autoSpaceDE w:val="0"/>
        <w:autoSpaceDN w:val="0"/>
        <w:adjustRightInd w:val="0"/>
        <w:snapToGrid w:val="0"/>
        <w:ind w:firstLine="420" w:firstLineChars="200"/>
        <w:rPr>
          <w:rFonts w:hint="default" w:eastAsia="宋体"/>
          <w:color w:val="auto"/>
          <w:kern w:val="0"/>
          <w:szCs w:val="21"/>
          <w:lang w:val="en-US" w:eastAsia="zh-CN"/>
        </w:rPr>
      </w:pPr>
      <w:r>
        <w:rPr>
          <w:rFonts w:hint="eastAsia"/>
          <w:color w:val="auto"/>
          <w:kern w:val="0"/>
          <w:szCs w:val="21"/>
        </w:rPr>
        <w:t>a</w:t>
      </w:r>
      <w:r>
        <w:rPr>
          <w:rFonts w:hint="eastAsia"/>
          <w:color w:val="auto"/>
          <w:kern w:val="0"/>
          <w:szCs w:val="21"/>
          <w:lang w:val="de-DE"/>
        </w:rPr>
        <w:t>) 更改了方法的适用范围及测定范围，增加了仲裁方法的规定（见第1章，2003年版的第1章）</w:t>
      </w:r>
      <w:r>
        <w:rPr>
          <w:rFonts w:hint="eastAsia"/>
          <w:color w:val="auto"/>
          <w:kern w:val="0"/>
          <w:szCs w:val="21"/>
          <w:lang w:val="en-US" w:eastAsia="zh-CN"/>
        </w:rPr>
        <w:t>；</w:t>
      </w:r>
    </w:p>
    <w:p w14:paraId="1D853409">
      <w:pPr>
        <w:widowControl/>
        <w:autoSpaceDE w:val="0"/>
        <w:autoSpaceDN w:val="0"/>
        <w:adjustRightInd w:val="0"/>
        <w:snapToGrid w:val="0"/>
        <w:ind w:firstLine="420" w:firstLineChars="200"/>
        <w:rPr>
          <w:rFonts w:hint="eastAsia"/>
          <w:color w:val="auto"/>
          <w:kern w:val="0"/>
          <w:szCs w:val="21"/>
        </w:rPr>
      </w:pPr>
      <w:r>
        <w:rPr>
          <w:rFonts w:hint="eastAsia"/>
          <w:color w:val="auto"/>
          <w:kern w:val="0"/>
          <w:szCs w:val="21"/>
        </w:rPr>
        <w:t>b</w:t>
      </w:r>
      <w:r>
        <w:rPr>
          <w:color w:val="auto"/>
          <w:kern w:val="0"/>
          <w:szCs w:val="21"/>
        </w:rPr>
        <w:t>)</w:t>
      </w:r>
      <w:r>
        <w:rPr>
          <w:rFonts w:hint="eastAsia"/>
          <w:color w:val="auto"/>
          <w:kern w:val="0"/>
          <w:szCs w:val="21"/>
        </w:rPr>
        <w:t xml:space="preserve"> 增加了“规范性引用文件”、“术语和定义”章节（见第2章、第3章）；</w:t>
      </w:r>
    </w:p>
    <w:p w14:paraId="3B5E6B56">
      <w:pPr>
        <w:widowControl/>
        <w:autoSpaceDE w:val="0"/>
        <w:autoSpaceDN w:val="0"/>
        <w:adjustRightInd w:val="0"/>
        <w:snapToGrid w:val="0"/>
        <w:ind w:firstLine="420" w:firstLineChars="200"/>
        <w:rPr>
          <w:rFonts w:hint="eastAsia"/>
          <w:color w:val="auto"/>
          <w:kern w:val="0"/>
          <w:szCs w:val="21"/>
          <w:lang w:val="en-US" w:eastAsia="zh-CN"/>
        </w:rPr>
      </w:pPr>
      <w:r>
        <w:rPr>
          <w:rFonts w:hint="eastAsia"/>
          <w:color w:val="auto"/>
          <w:kern w:val="0"/>
          <w:szCs w:val="21"/>
        </w:rPr>
        <w:t>c</w:t>
      </w:r>
      <w:r>
        <w:rPr>
          <w:color w:val="auto"/>
          <w:kern w:val="0"/>
          <w:szCs w:val="21"/>
        </w:rPr>
        <w:t>)</w:t>
      </w:r>
      <w:r>
        <w:rPr>
          <w:rFonts w:hint="eastAsia"/>
          <w:color w:val="auto"/>
          <w:kern w:val="0"/>
          <w:szCs w:val="21"/>
        </w:rPr>
        <w:t xml:space="preserve"> </w:t>
      </w:r>
      <w:r>
        <w:rPr>
          <w:rFonts w:hint="eastAsia"/>
          <w:color w:val="auto"/>
          <w:kern w:val="0"/>
          <w:szCs w:val="21"/>
          <w:lang w:val="en-US" w:eastAsia="zh-CN"/>
        </w:rPr>
        <w:t>增加了对分析中试剂和用水的说明（见4.2、5.2）；</w:t>
      </w:r>
    </w:p>
    <w:p w14:paraId="3220896E">
      <w:pPr>
        <w:widowControl/>
        <w:autoSpaceDE w:val="0"/>
        <w:autoSpaceDN w:val="0"/>
        <w:adjustRightInd w:val="0"/>
        <w:snapToGrid w:val="0"/>
        <w:ind w:firstLine="420" w:firstLineChars="200"/>
        <w:rPr>
          <w:rFonts w:hint="eastAsia"/>
          <w:color w:val="auto"/>
          <w:kern w:val="0"/>
          <w:szCs w:val="21"/>
        </w:rPr>
      </w:pPr>
      <w:r>
        <w:rPr>
          <w:rFonts w:hint="eastAsia"/>
          <w:color w:val="auto"/>
          <w:kern w:val="0"/>
          <w:szCs w:val="21"/>
        </w:rPr>
        <w:t>d</w:t>
      </w:r>
      <w:r>
        <w:rPr>
          <w:color w:val="auto"/>
          <w:kern w:val="0"/>
          <w:szCs w:val="21"/>
        </w:rPr>
        <w:t>)</w:t>
      </w:r>
      <w:r>
        <w:rPr>
          <w:rFonts w:hint="eastAsia"/>
          <w:color w:val="auto"/>
          <w:kern w:val="0"/>
          <w:szCs w:val="21"/>
          <w:lang w:val="en-US" w:eastAsia="zh-CN"/>
        </w:rPr>
        <w:t xml:space="preserve"> </w:t>
      </w:r>
      <w:r>
        <w:rPr>
          <w:rFonts w:hint="eastAsia"/>
          <w:color w:val="auto"/>
          <w:kern w:val="0"/>
          <w:szCs w:val="21"/>
        </w:rPr>
        <w:t>增加了方法1的试剂氢氧化钠（见4.2.1）；</w:t>
      </w:r>
    </w:p>
    <w:p w14:paraId="10F8E724">
      <w:pPr>
        <w:widowControl/>
        <w:autoSpaceDE w:val="0"/>
        <w:autoSpaceDN w:val="0"/>
        <w:adjustRightInd w:val="0"/>
        <w:snapToGrid w:val="0"/>
        <w:ind w:firstLine="420" w:firstLineChars="200"/>
        <w:rPr>
          <w:rFonts w:hint="default" w:eastAsia="宋体"/>
          <w:color w:val="auto"/>
          <w:kern w:val="0"/>
          <w:szCs w:val="21"/>
          <w:lang w:val="en-US" w:eastAsia="zh-CN"/>
        </w:rPr>
      </w:pPr>
      <w:r>
        <w:rPr>
          <w:rFonts w:hint="eastAsia"/>
          <w:color w:val="auto"/>
          <w:kern w:val="0"/>
          <w:szCs w:val="21"/>
        </w:rPr>
        <w:t>e</w:t>
      </w:r>
      <w:r>
        <w:rPr>
          <w:color w:val="auto"/>
          <w:kern w:val="0"/>
          <w:szCs w:val="21"/>
        </w:rPr>
        <w:t>)</w:t>
      </w:r>
      <w:r>
        <w:rPr>
          <w:rFonts w:hint="eastAsia"/>
          <w:color w:val="auto"/>
          <w:kern w:val="0"/>
          <w:szCs w:val="21"/>
          <w:lang w:val="en-US" w:eastAsia="zh-CN"/>
        </w:rPr>
        <w:t xml:space="preserve"> 更改了钨标准贮存溶液、钼标准贮存溶液以及钼、钨混合标准溶液的配制（见4.2.7、4.2.8、4.2.9，2003年版的3.4、3.3、3.5）；</w:t>
      </w:r>
    </w:p>
    <w:p w14:paraId="48DDCDD5">
      <w:pPr>
        <w:widowControl/>
        <w:autoSpaceDE w:val="0"/>
        <w:autoSpaceDN w:val="0"/>
        <w:adjustRightInd w:val="0"/>
        <w:snapToGrid w:val="0"/>
        <w:ind w:firstLine="420" w:firstLineChars="200"/>
        <w:rPr>
          <w:rFonts w:hint="eastAsia"/>
          <w:color w:val="auto"/>
          <w:kern w:val="0"/>
          <w:szCs w:val="21"/>
          <w:lang w:val="en-US" w:eastAsia="zh-CN"/>
        </w:rPr>
      </w:pPr>
      <w:r>
        <w:rPr>
          <w:rFonts w:hint="eastAsia"/>
          <w:color w:val="auto"/>
          <w:kern w:val="0"/>
          <w:szCs w:val="21"/>
        </w:rPr>
        <w:t>f</w:t>
      </w:r>
      <w:r>
        <w:rPr>
          <w:color w:val="auto"/>
          <w:kern w:val="0"/>
          <w:szCs w:val="21"/>
        </w:rPr>
        <w:t>)</w:t>
      </w:r>
      <w:r>
        <w:rPr>
          <w:rFonts w:hint="eastAsia"/>
          <w:color w:val="auto"/>
          <w:kern w:val="0"/>
          <w:szCs w:val="21"/>
        </w:rPr>
        <w:t xml:space="preserve"> </w:t>
      </w:r>
      <w:r>
        <w:rPr>
          <w:rFonts w:hint="eastAsia"/>
          <w:color w:val="auto"/>
          <w:kern w:val="0"/>
          <w:szCs w:val="21"/>
          <w:lang w:val="en-US" w:eastAsia="zh-CN"/>
        </w:rPr>
        <w:t>更改了方法1、方法2仪器设备的具体要求（见4.3、5.3，2003年版的第4章、第13章）；</w:t>
      </w:r>
    </w:p>
    <w:p w14:paraId="57EAFFE6">
      <w:pPr>
        <w:widowControl/>
        <w:autoSpaceDE w:val="0"/>
        <w:autoSpaceDN w:val="0"/>
        <w:adjustRightInd w:val="0"/>
        <w:snapToGrid w:val="0"/>
        <w:ind w:firstLine="420" w:firstLineChars="200"/>
        <w:rPr>
          <w:rFonts w:hint="eastAsia"/>
          <w:color w:val="auto"/>
          <w:kern w:val="0"/>
          <w:szCs w:val="21"/>
          <w:lang w:eastAsia="zh-CN"/>
        </w:rPr>
      </w:pPr>
      <w:r>
        <w:rPr>
          <w:rFonts w:hint="eastAsia"/>
          <w:color w:val="auto"/>
          <w:kern w:val="0"/>
          <w:szCs w:val="21"/>
        </w:rPr>
        <w:t>g</w:t>
      </w:r>
      <w:r>
        <w:rPr>
          <w:color w:val="auto"/>
          <w:kern w:val="0"/>
          <w:szCs w:val="21"/>
        </w:rPr>
        <w:t>)</w:t>
      </w:r>
      <w:r>
        <w:rPr>
          <w:rFonts w:hint="eastAsia"/>
          <w:color w:val="auto"/>
          <w:kern w:val="0"/>
          <w:szCs w:val="21"/>
        </w:rPr>
        <w:t xml:space="preserve"> 更</w:t>
      </w:r>
      <w:r>
        <w:rPr>
          <w:rFonts w:hint="eastAsia"/>
          <w:color w:val="auto"/>
          <w:kern w:val="0"/>
          <w:szCs w:val="21"/>
          <w:lang w:val="en-US" w:eastAsia="zh-CN"/>
        </w:rPr>
        <w:t>改了方</w:t>
      </w:r>
      <w:r>
        <w:rPr>
          <w:rFonts w:hint="eastAsia"/>
          <w:color w:val="auto"/>
          <w:kern w:val="0"/>
          <w:szCs w:val="21"/>
        </w:rPr>
        <w:t>法1</w:t>
      </w:r>
      <w:r>
        <w:rPr>
          <w:rFonts w:hint="eastAsia"/>
          <w:color w:val="auto"/>
          <w:kern w:val="0"/>
          <w:szCs w:val="21"/>
          <w:lang w:eastAsia="zh-CN"/>
        </w:rPr>
        <w:t>、</w:t>
      </w:r>
      <w:r>
        <w:rPr>
          <w:rFonts w:hint="eastAsia"/>
          <w:color w:val="auto"/>
          <w:kern w:val="0"/>
          <w:szCs w:val="21"/>
          <w:lang w:val="en-US" w:eastAsia="zh-CN"/>
        </w:rPr>
        <w:t>方法2</w:t>
      </w:r>
      <w:r>
        <w:rPr>
          <w:rFonts w:hint="eastAsia"/>
          <w:color w:val="auto"/>
          <w:kern w:val="0"/>
          <w:szCs w:val="21"/>
        </w:rPr>
        <w:t>分析试液的制备（见4.5.4</w:t>
      </w:r>
      <w:r>
        <w:rPr>
          <w:rFonts w:hint="eastAsia"/>
          <w:color w:val="auto"/>
          <w:kern w:val="0"/>
          <w:szCs w:val="21"/>
          <w:lang w:eastAsia="zh-CN"/>
        </w:rPr>
        <w:t>、</w:t>
      </w:r>
      <w:r>
        <w:rPr>
          <w:rFonts w:hint="eastAsia"/>
          <w:color w:val="auto"/>
          <w:kern w:val="0"/>
          <w:szCs w:val="21"/>
          <w:lang w:val="en-US" w:eastAsia="zh-CN"/>
        </w:rPr>
        <w:t>5.5.4</w:t>
      </w:r>
      <w:r>
        <w:rPr>
          <w:rFonts w:hint="eastAsia"/>
          <w:color w:val="auto"/>
          <w:kern w:val="0"/>
          <w:szCs w:val="21"/>
        </w:rPr>
        <w:t>，2003年版的6.1</w:t>
      </w:r>
      <w:r>
        <w:rPr>
          <w:rFonts w:hint="eastAsia"/>
          <w:color w:val="auto"/>
          <w:kern w:val="0"/>
          <w:szCs w:val="21"/>
          <w:lang w:eastAsia="zh-CN"/>
        </w:rPr>
        <w:t>、</w:t>
      </w:r>
      <w:r>
        <w:rPr>
          <w:rFonts w:hint="eastAsia"/>
          <w:color w:val="auto"/>
          <w:kern w:val="0"/>
          <w:szCs w:val="21"/>
          <w:lang w:val="en-US" w:eastAsia="zh-CN"/>
        </w:rPr>
        <w:t>15.1</w:t>
      </w:r>
      <w:r>
        <w:rPr>
          <w:rFonts w:hint="eastAsia"/>
          <w:color w:val="auto"/>
          <w:kern w:val="0"/>
          <w:szCs w:val="21"/>
        </w:rPr>
        <w:t>）</w:t>
      </w:r>
      <w:r>
        <w:rPr>
          <w:rFonts w:hint="eastAsia"/>
          <w:color w:val="auto"/>
          <w:kern w:val="0"/>
          <w:szCs w:val="21"/>
          <w:lang w:eastAsia="zh-CN"/>
        </w:rPr>
        <w:t>；</w:t>
      </w:r>
    </w:p>
    <w:p w14:paraId="34FF0646">
      <w:pPr>
        <w:widowControl/>
        <w:autoSpaceDE w:val="0"/>
        <w:autoSpaceDN w:val="0"/>
        <w:adjustRightInd w:val="0"/>
        <w:snapToGrid w:val="0"/>
        <w:ind w:firstLine="420" w:firstLineChars="200"/>
        <w:rPr>
          <w:rFonts w:hint="eastAsia"/>
          <w:color w:val="auto"/>
          <w:kern w:val="0"/>
          <w:szCs w:val="21"/>
          <w:lang w:val="en-US" w:eastAsia="zh-CN"/>
        </w:rPr>
      </w:pPr>
      <w:r>
        <w:rPr>
          <w:rFonts w:hint="eastAsia"/>
          <w:color w:val="auto"/>
          <w:kern w:val="0"/>
          <w:szCs w:val="21"/>
        </w:rPr>
        <w:t>h)</w:t>
      </w:r>
      <w:r>
        <w:rPr>
          <w:rFonts w:hint="eastAsia"/>
          <w:color w:val="auto"/>
          <w:kern w:val="0"/>
          <w:szCs w:val="21"/>
          <w:lang w:val="en-US" w:eastAsia="zh-CN"/>
        </w:rPr>
        <w:t xml:space="preserve"> </w:t>
      </w:r>
      <w:r>
        <w:rPr>
          <w:rFonts w:hint="eastAsia"/>
          <w:color w:val="auto"/>
          <w:kern w:val="0"/>
          <w:szCs w:val="21"/>
        </w:rPr>
        <w:t>删除了方法1</w:t>
      </w:r>
      <w:r>
        <w:rPr>
          <w:rFonts w:hint="eastAsia"/>
          <w:color w:val="auto"/>
          <w:kern w:val="0"/>
          <w:szCs w:val="21"/>
          <w:lang w:eastAsia="zh-CN"/>
        </w:rPr>
        <w:t>、</w:t>
      </w:r>
      <w:r>
        <w:rPr>
          <w:rFonts w:hint="eastAsia"/>
          <w:color w:val="auto"/>
          <w:kern w:val="0"/>
          <w:szCs w:val="21"/>
          <w:lang w:val="en-US" w:eastAsia="zh-CN"/>
        </w:rPr>
        <w:t>方法2</w:t>
      </w:r>
      <w:r>
        <w:rPr>
          <w:rFonts w:hint="eastAsia"/>
          <w:color w:val="auto"/>
          <w:kern w:val="0"/>
          <w:szCs w:val="21"/>
        </w:rPr>
        <w:t>测定条件章节（见2003年版的6.3.1</w:t>
      </w:r>
      <w:r>
        <w:rPr>
          <w:rFonts w:hint="eastAsia"/>
          <w:color w:val="auto"/>
          <w:kern w:val="0"/>
          <w:szCs w:val="21"/>
          <w:lang w:eastAsia="zh-CN"/>
        </w:rPr>
        <w:t>、</w:t>
      </w:r>
      <w:r>
        <w:rPr>
          <w:rFonts w:hint="eastAsia"/>
          <w:color w:val="auto"/>
          <w:kern w:val="0"/>
          <w:szCs w:val="21"/>
          <w:lang w:val="en-US" w:eastAsia="zh-CN"/>
        </w:rPr>
        <w:t>15.3.1</w:t>
      </w:r>
      <w:r>
        <w:rPr>
          <w:rFonts w:hint="eastAsia"/>
          <w:color w:val="auto"/>
          <w:kern w:val="0"/>
          <w:szCs w:val="21"/>
        </w:rPr>
        <w:t>）；</w:t>
      </w:r>
    </w:p>
    <w:p w14:paraId="27BA8963">
      <w:pPr>
        <w:widowControl/>
        <w:autoSpaceDE w:val="0"/>
        <w:autoSpaceDN w:val="0"/>
        <w:adjustRightInd w:val="0"/>
        <w:snapToGrid w:val="0"/>
        <w:ind w:firstLine="420" w:firstLineChars="200"/>
        <w:rPr>
          <w:rFonts w:hint="default" w:eastAsia="宋体"/>
          <w:color w:val="auto"/>
          <w:kern w:val="0"/>
          <w:szCs w:val="21"/>
          <w:lang w:val="en-US" w:eastAsia="zh-CN"/>
        </w:rPr>
      </w:pPr>
      <w:r>
        <w:rPr>
          <w:rFonts w:hint="eastAsia"/>
          <w:color w:val="auto"/>
          <w:kern w:val="0"/>
          <w:szCs w:val="21"/>
          <w:lang w:val="en-US" w:eastAsia="zh-CN"/>
        </w:rPr>
        <w:t>i</w:t>
      </w:r>
      <w:r>
        <w:rPr>
          <w:color w:val="auto"/>
          <w:kern w:val="0"/>
          <w:szCs w:val="21"/>
        </w:rPr>
        <w:t>)</w:t>
      </w:r>
      <w:r>
        <w:rPr>
          <w:rFonts w:hint="eastAsia"/>
          <w:color w:val="auto"/>
          <w:kern w:val="0"/>
          <w:szCs w:val="21"/>
          <w:lang w:val="en-US" w:eastAsia="zh-CN"/>
        </w:rPr>
        <w:t xml:space="preserve"> 更改了方法1、方法2系列标准溶液的配制（见4.5.5、5.5.5，2003年版的6.2）；</w:t>
      </w:r>
    </w:p>
    <w:p w14:paraId="2224C1C4">
      <w:pPr>
        <w:widowControl/>
        <w:autoSpaceDE w:val="0"/>
        <w:autoSpaceDN w:val="0"/>
        <w:adjustRightInd w:val="0"/>
        <w:snapToGrid w:val="0"/>
        <w:ind w:firstLine="420" w:firstLineChars="200"/>
        <w:rPr>
          <w:rFonts w:hint="default" w:eastAsia="宋体"/>
          <w:color w:val="auto"/>
          <w:kern w:val="0"/>
          <w:szCs w:val="21"/>
          <w:lang w:val="en-US" w:eastAsia="zh-CN"/>
        </w:rPr>
      </w:pPr>
      <w:r>
        <w:rPr>
          <w:rFonts w:hint="eastAsia"/>
          <w:color w:val="auto"/>
          <w:kern w:val="0"/>
          <w:szCs w:val="21"/>
          <w:lang w:val="en-US" w:eastAsia="zh-CN"/>
        </w:rPr>
        <w:t>j</w:t>
      </w:r>
      <w:r>
        <w:rPr>
          <w:color w:val="auto"/>
          <w:kern w:val="0"/>
          <w:szCs w:val="21"/>
        </w:rPr>
        <w:t>)</w:t>
      </w:r>
      <w:r>
        <w:rPr>
          <w:rFonts w:hint="eastAsia"/>
          <w:color w:val="auto"/>
          <w:kern w:val="0"/>
          <w:szCs w:val="21"/>
          <w:lang w:val="en-US" w:eastAsia="zh-CN"/>
        </w:rPr>
        <w:t xml:space="preserve"> 更改了方法1的分析谱线（见4.5.6.1，2003年版的6.3.2）；</w:t>
      </w:r>
    </w:p>
    <w:p w14:paraId="37532F61">
      <w:pPr>
        <w:widowControl/>
        <w:autoSpaceDE w:val="0"/>
        <w:autoSpaceDN w:val="0"/>
        <w:adjustRightInd w:val="0"/>
        <w:snapToGrid w:val="0"/>
        <w:ind w:firstLine="420" w:firstLineChars="200"/>
        <w:rPr>
          <w:rFonts w:hint="eastAsia"/>
          <w:color w:val="auto"/>
          <w:kern w:val="0"/>
          <w:szCs w:val="21"/>
          <w:lang w:val="en-US" w:eastAsia="zh-CN"/>
        </w:rPr>
      </w:pPr>
      <w:r>
        <w:rPr>
          <w:rFonts w:hint="eastAsia"/>
          <w:color w:val="auto"/>
          <w:kern w:val="0"/>
          <w:szCs w:val="21"/>
          <w:lang w:val="en-US" w:eastAsia="zh-CN"/>
        </w:rPr>
        <w:t>k</w:t>
      </w:r>
      <w:r>
        <w:rPr>
          <w:color w:val="auto"/>
          <w:kern w:val="0"/>
          <w:szCs w:val="21"/>
        </w:rPr>
        <w:t>)</w:t>
      </w:r>
      <w:r>
        <w:rPr>
          <w:rFonts w:hint="eastAsia"/>
          <w:color w:val="auto"/>
          <w:kern w:val="0"/>
          <w:szCs w:val="21"/>
          <w:lang w:val="en-US" w:eastAsia="zh-CN"/>
        </w:rPr>
        <w:t xml:space="preserve"> </w:t>
      </w:r>
      <w:r>
        <w:rPr>
          <w:rFonts w:hint="eastAsia"/>
          <w:color w:val="auto"/>
          <w:kern w:val="0"/>
          <w:szCs w:val="21"/>
        </w:rPr>
        <w:t>增加了方法1</w:t>
      </w:r>
      <w:r>
        <w:rPr>
          <w:rFonts w:hint="eastAsia"/>
          <w:color w:val="auto"/>
          <w:kern w:val="0"/>
          <w:szCs w:val="21"/>
          <w:lang w:eastAsia="zh-CN"/>
        </w:rPr>
        <w:t>、</w:t>
      </w:r>
      <w:r>
        <w:rPr>
          <w:rFonts w:hint="eastAsia"/>
          <w:color w:val="auto"/>
          <w:kern w:val="0"/>
          <w:szCs w:val="21"/>
          <w:lang w:val="en-US" w:eastAsia="zh-CN"/>
        </w:rPr>
        <w:t>方法2</w:t>
      </w:r>
      <w:r>
        <w:rPr>
          <w:rFonts w:hint="eastAsia"/>
          <w:color w:val="auto"/>
          <w:kern w:val="0"/>
          <w:szCs w:val="21"/>
        </w:rPr>
        <w:t>工作曲线的绘制和空白试液的测定（见4.5.6.2、4.5.6.3</w:t>
      </w:r>
      <w:r>
        <w:rPr>
          <w:rFonts w:hint="eastAsia"/>
          <w:color w:val="auto"/>
          <w:kern w:val="0"/>
          <w:szCs w:val="21"/>
          <w:lang w:eastAsia="zh-CN"/>
        </w:rPr>
        <w:t>、</w:t>
      </w:r>
      <w:r>
        <w:rPr>
          <w:rFonts w:hint="eastAsia"/>
          <w:color w:val="auto"/>
          <w:kern w:val="0"/>
          <w:szCs w:val="21"/>
          <w:lang w:val="en-US" w:eastAsia="zh-CN"/>
        </w:rPr>
        <w:t>5.5.6.1、5.5.6.2</w:t>
      </w:r>
      <w:r>
        <w:rPr>
          <w:rFonts w:hint="eastAsia"/>
          <w:color w:val="auto"/>
          <w:kern w:val="0"/>
          <w:szCs w:val="21"/>
        </w:rPr>
        <w:t>）；</w:t>
      </w:r>
    </w:p>
    <w:p w14:paraId="2DE22FA4">
      <w:pPr>
        <w:widowControl/>
        <w:autoSpaceDE w:val="0"/>
        <w:autoSpaceDN w:val="0"/>
        <w:adjustRightInd w:val="0"/>
        <w:snapToGrid w:val="0"/>
        <w:ind w:firstLine="420" w:firstLineChars="200"/>
        <w:rPr>
          <w:rFonts w:hint="eastAsia"/>
          <w:color w:val="auto"/>
          <w:kern w:val="0"/>
          <w:szCs w:val="21"/>
        </w:rPr>
      </w:pPr>
      <w:r>
        <w:rPr>
          <w:rFonts w:hint="eastAsia"/>
          <w:color w:val="auto"/>
          <w:kern w:val="0"/>
          <w:szCs w:val="21"/>
          <w:lang w:val="en-US" w:eastAsia="zh-CN"/>
        </w:rPr>
        <w:t>l</w:t>
      </w:r>
      <w:r>
        <w:rPr>
          <w:color w:val="auto"/>
          <w:kern w:val="0"/>
          <w:szCs w:val="21"/>
        </w:rPr>
        <w:t>)</w:t>
      </w:r>
      <w:r>
        <w:rPr>
          <w:rFonts w:hint="eastAsia"/>
          <w:color w:val="auto"/>
          <w:kern w:val="0"/>
          <w:szCs w:val="21"/>
          <w:lang w:val="en-US" w:eastAsia="zh-CN"/>
        </w:rPr>
        <w:t xml:space="preserve"> </w:t>
      </w:r>
      <w:r>
        <w:rPr>
          <w:rFonts w:hint="eastAsia"/>
          <w:color w:val="auto"/>
          <w:kern w:val="0"/>
          <w:szCs w:val="21"/>
        </w:rPr>
        <w:t>更改了方法1</w:t>
      </w:r>
      <w:r>
        <w:rPr>
          <w:rFonts w:hint="eastAsia"/>
          <w:color w:val="auto"/>
          <w:kern w:val="0"/>
          <w:szCs w:val="21"/>
          <w:lang w:eastAsia="zh-CN"/>
        </w:rPr>
        <w:t>、</w:t>
      </w:r>
      <w:r>
        <w:rPr>
          <w:rFonts w:hint="eastAsia"/>
          <w:color w:val="auto"/>
          <w:kern w:val="0"/>
          <w:szCs w:val="21"/>
          <w:lang w:val="en-US" w:eastAsia="zh-CN"/>
        </w:rPr>
        <w:t>方法2</w:t>
      </w:r>
      <w:r>
        <w:rPr>
          <w:rFonts w:hint="eastAsia"/>
          <w:color w:val="auto"/>
          <w:kern w:val="0"/>
          <w:szCs w:val="21"/>
        </w:rPr>
        <w:t>试验数据处理的计算公式（见4.6</w:t>
      </w:r>
      <w:r>
        <w:rPr>
          <w:rFonts w:hint="eastAsia"/>
          <w:color w:val="auto"/>
          <w:kern w:val="0"/>
          <w:szCs w:val="21"/>
          <w:lang w:eastAsia="zh-CN"/>
        </w:rPr>
        <w:t>、</w:t>
      </w:r>
      <w:r>
        <w:rPr>
          <w:rFonts w:hint="eastAsia"/>
          <w:color w:val="auto"/>
          <w:kern w:val="0"/>
          <w:szCs w:val="21"/>
          <w:lang w:val="en-US" w:eastAsia="zh-CN"/>
        </w:rPr>
        <w:t>5.6</w:t>
      </w:r>
      <w:r>
        <w:rPr>
          <w:rFonts w:hint="eastAsia"/>
          <w:color w:val="auto"/>
          <w:kern w:val="0"/>
          <w:szCs w:val="21"/>
        </w:rPr>
        <w:t>，2003年版的第7章</w:t>
      </w:r>
      <w:r>
        <w:rPr>
          <w:rFonts w:hint="eastAsia"/>
          <w:color w:val="auto"/>
          <w:kern w:val="0"/>
          <w:szCs w:val="21"/>
          <w:lang w:eastAsia="zh-CN"/>
        </w:rPr>
        <w:t>、</w:t>
      </w:r>
      <w:r>
        <w:rPr>
          <w:rFonts w:hint="eastAsia"/>
          <w:color w:val="auto"/>
          <w:kern w:val="0"/>
          <w:szCs w:val="21"/>
          <w:lang w:val="en-US" w:eastAsia="zh-CN"/>
        </w:rPr>
        <w:t>第16章</w:t>
      </w:r>
      <w:r>
        <w:rPr>
          <w:rFonts w:hint="eastAsia"/>
          <w:color w:val="auto"/>
          <w:kern w:val="0"/>
          <w:szCs w:val="21"/>
        </w:rPr>
        <w:t>）；</w:t>
      </w:r>
    </w:p>
    <w:p w14:paraId="0DFDA5E8">
      <w:pPr>
        <w:widowControl/>
        <w:autoSpaceDE w:val="0"/>
        <w:autoSpaceDN w:val="0"/>
        <w:adjustRightInd w:val="0"/>
        <w:snapToGrid w:val="0"/>
        <w:ind w:firstLine="420" w:firstLineChars="200"/>
        <w:rPr>
          <w:rFonts w:hint="eastAsia"/>
          <w:color w:val="auto"/>
          <w:kern w:val="0"/>
          <w:szCs w:val="21"/>
        </w:rPr>
      </w:pPr>
      <w:r>
        <w:rPr>
          <w:rFonts w:hint="eastAsia"/>
          <w:color w:val="auto"/>
          <w:kern w:val="0"/>
          <w:szCs w:val="21"/>
          <w:lang w:val="en-US" w:eastAsia="zh-CN"/>
        </w:rPr>
        <w:t>m</w:t>
      </w:r>
      <w:r>
        <w:rPr>
          <w:color w:val="auto"/>
          <w:kern w:val="0"/>
          <w:szCs w:val="21"/>
        </w:rPr>
        <w:t>)</w:t>
      </w:r>
      <w:r>
        <w:rPr>
          <w:rFonts w:hint="eastAsia"/>
          <w:color w:val="auto"/>
          <w:kern w:val="0"/>
          <w:szCs w:val="21"/>
          <w:lang w:val="en-US" w:eastAsia="zh-CN"/>
        </w:rPr>
        <w:t xml:space="preserve"> 更改了方法2的测量同位素及测定内标（见5.3.1，2003年版的15.3.2）；</w:t>
      </w:r>
    </w:p>
    <w:p w14:paraId="61812D2D">
      <w:pPr>
        <w:widowControl/>
        <w:autoSpaceDE w:val="0"/>
        <w:autoSpaceDN w:val="0"/>
        <w:adjustRightInd w:val="0"/>
        <w:snapToGrid w:val="0"/>
        <w:ind w:firstLine="420" w:firstLineChars="200"/>
        <w:rPr>
          <w:rFonts w:hint="eastAsia"/>
          <w:color w:val="auto"/>
          <w:kern w:val="0"/>
          <w:szCs w:val="21"/>
        </w:rPr>
      </w:pPr>
      <w:r>
        <w:rPr>
          <w:rFonts w:hint="eastAsia"/>
          <w:color w:val="auto"/>
          <w:kern w:val="0"/>
          <w:szCs w:val="21"/>
          <w:lang w:val="en-US" w:eastAsia="zh-CN"/>
        </w:rPr>
        <w:t>n</w:t>
      </w:r>
      <w:r>
        <w:rPr>
          <w:color w:val="auto"/>
          <w:kern w:val="0"/>
          <w:szCs w:val="21"/>
        </w:rPr>
        <w:t>)</w:t>
      </w:r>
      <w:r>
        <w:rPr>
          <w:rFonts w:hint="eastAsia"/>
          <w:color w:val="auto"/>
          <w:kern w:val="0"/>
          <w:szCs w:val="21"/>
          <w:lang w:val="en-US" w:eastAsia="zh-CN"/>
        </w:rPr>
        <w:t xml:space="preserve"> </w:t>
      </w:r>
      <w:r>
        <w:rPr>
          <w:rFonts w:hint="eastAsia"/>
          <w:color w:val="auto"/>
          <w:kern w:val="0"/>
          <w:szCs w:val="21"/>
        </w:rPr>
        <w:t>更改了方法1</w:t>
      </w:r>
      <w:r>
        <w:rPr>
          <w:rFonts w:hint="eastAsia"/>
          <w:color w:val="auto"/>
          <w:kern w:val="0"/>
          <w:szCs w:val="21"/>
          <w:lang w:eastAsia="zh-CN"/>
        </w:rPr>
        <w:t>、</w:t>
      </w:r>
      <w:r>
        <w:rPr>
          <w:rFonts w:hint="eastAsia"/>
          <w:color w:val="auto"/>
          <w:kern w:val="0"/>
          <w:szCs w:val="21"/>
          <w:lang w:val="en-US" w:eastAsia="zh-CN"/>
        </w:rPr>
        <w:t>方法2</w:t>
      </w:r>
      <w:r>
        <w:rPr>
          <w:rFonts w:hint="eastAsia"/>
          <w:color w:val="auto"/>
          <w:kern w:val="0"/>
          <w:szCs w:val="21"/>
        </w:rPr>
        <w:t>允许差，将“允许差”更改为“再现性”（见4.7.3</w:t>
      </w:r>
      <w:r>
        <w:rPr>
          <w:rFonts w:hint="eastAsia"/>
          <w:color w:val="auto"/>
          <w:kern w:val="0"/>
          <w:szCs w:val="21"/>
          <w:lang w:eastAsia="zh-CN"/>
        </w:rPr>
        <w:t>、</w:t>
      </w:r>
      <w:r>
        <w:rPr>
          <w:rFonts w:hint="eastAsia"/>
          <w:color w:val="auto"/>
          <w:kern w:val="0"/>
          <w:szCs w:val="21"/>
          <w:lang w:val="en-US" w:eastAsia="zh-CN"/>
        </w:rPr>
        <w:t>5.7.3</w:t>
      </w:r>
      <w:r>
        <w:rPr>
          <w:rFonts w:hint="eastAsia"/>
          <w:color w:val="auto"/>
          <w:kern w:val="0"/>
          <w:szCs w:val="21"/>
        </w:rPr>
        <w:t>，2003年版的8.2</w:t>
      </w:r>
      <w:r>
        <w:rPr>
          <w:rFonts w:hint="eastAsia"/>
          <w:color w:val="auto"/>
          <w:kern w:val="0"/>
          <w:szCs w:val="21"/>
          <w:lang w:eastAsia="zh-CN"/>
        </w:rPr>
        <w:t>、</w:t>
      </w:r>
      <w:r>
        <w:rPr>
          <w:rFonts w:hint="eastAsia"/>
          <w:color w:val="auto"/>
          <w:kern w:val="0"/>
          <w:szCs w:val="21"/>
          <w:lang w:val="en-US" w:eastAsia="zh-CN"/>
        </w:rPr>
        <w:t>17.2</w:t>
      </w:r>
      <w:r>
        <w:rPr>
          <w:rFonts w:hint="eastAsia"/>
          <w:color w:val="auto"/>
          <w:kern w:val="0"/>
          <w:szCs w:val="21"/>
        </w:rPr>
        <w:t>）。</w:t>
      </w:r>
    </w:p>
    <w:p w14:paraId="37E7D973">
      <w:pPr>
        <w:widowControl/>
        <w:autoSpaceDE w:val="0"/>
        <w:autoSpaceDN w:val="0"/>
        <w:adjustRightInd w:val="0"/>
        <w:snapToGrid w:val="0"/>
        <w:ind w:firstLine="420" w:firstLineChars="200"/>
        <w:rPr>
          <w:color w:val="auto"/>
          <w:szCs w:val="21"/>
        </w:rPr>
      </w:pPr>
      <w:r>
        <w:rPr>
          <w:rFonts w:hint="eastAsia"/>
          <w:color w:val="auto"/>
        </w:rPr>
        <w:t>请注意本文件的某些内容可能涉及专利</w:t>
      </w:r>
      <w:r>
        <w:rPr>
          <w:color w:val="auto"/>
        </w:rPr>
        <w:t>。</w:t>
      </w:r>
      <w:r>
        <w:rPr>
          <w:rFonts w:hint="eastAsia"/>
          <w:color w:val="auto"/>
        </w:rPr>
        <w:t>本文件的发布机构不承担识别专利的责任。</w:t>
      </w:r>
    </w:p>
    <w:p w14:paraId="36E759BE">
      <w:pPr>
        <w:pStyle w:val="43"/>
        <w:tabs>
          <w:tab w:val="center" w:pos="4201"/>
          <w:tab w:val="right" w:leader="dot" w:pos="9298"/>
        </w:tabs>
        <w:adjustRightInd w:val="0"/>
        <w:snapToGrid w:val="0"/>
        <w:ind w:firstLine="420"/>
        <w:rPr>
          <w:rFonts w:ascii="Times New Roman"/>
          <w:color w:val="auto"/>
          <w:szCs w:val="21"/>
        </w:rPr>
      </w:pPr>
      <w:r>
        <w:rPr>
          <w:rFonts w:ascii="Times New Roman"/>
          <w:color w:val="auto"/>
          <w:szCs w:val="21"/>
        </w:rPr>
        <w:t>本</w:t>
      </w:r>
      <w:r>
        <w:rPr>
          <w:rFonts w:hint="eastAsia" w:ascii="Times New Roman"/>
          <w:color w:val="auto"/>
          <w:szCs w:val="21"/>
        </w:rPr>
        <w:t>文件</w:t>
      </w:r>
      <w:r>
        <w:rPr>
          <w:rFonts w:ascii="Times New Roman"/>
          <w:color w:val="auto"/>
          <w:szCs w:val="21"/>
        </w:rPr>
        <w:t>由全国稀土标准化技术委员会（SAC/TC 229）提出并归口。</w:t>
      </w:r>
    </w:p>
    <w:p w14:paraId="14EF8700">
      <w:pPr>
        <w:adjustRightInd w:val="0"/>
        <w:snapToGrid w:val="0"/>
        <w:ind w:firstLine="420" w:firstLineChars="200"/>
        <w:rPr>
          <w:color w:val="auto"/>
          <w:szCs w:val="21"/>
        </w:rPr>
      </w:pPr>
      <w:r>
        <w:rPr>
          <w:color w:val="auto"/>
          <w:szCs w:val="21"/>
        </w:rPr>
        <w:t>本</w:t>
      </w:r>
      <w:r>
        <w:rPr>
          <w:rFonts w:hint="eastAsia"/>
          <w:color w:val="auto"/>
          <w:szCs w:val="21"/>
        </w:rPr>
        <w:t>文件</w:t>
      </w:r>
      <w:r>
        <w:rPr>
          <w:color w:val="auto"/>
          <w:szCs w:val="21"/>
        </w:rPr>
        <w:t>起草单位：</w:t>
      </w:r>
      <w:r>
        <w:rPr>
          <w:rFonts w:ascii="Times New Roman" w:hAnsi="Times New Roman" w:eastAsia="宋体" w:cs="Times New Roman"/>
          <w:color w:val="auto"/>
          <w:szCs w:val="21"/>
        </w:rPr>
        <w:t>包头稀土研究院</w:t>
      </w:r>
      <w:r>
        <w:rPr>
          <w:rFonts w:hint="eastAsia" w:ascii="Times New Roman" w:hAnsi="Times New Roman" w:eastAsia="宋体" w:cs="Times New Roman"/>
          <w:color w:val="auto"/>
          <w:szCs w:val="21"/>
          <w:lang w:eastAsia="zh-CN"/>
        </w:rPr>
        <w:t>、国标（北京）检验认证有限公司、江西省钨与稀土产品质量监督检验中心、定南大华新材料资源有限公司、中稀（凉山）稀土有限公司、厦门稀土材料研究所、中国科学院宁波材料技术与工程研究所</w:t>
      </w:r>
      <w:r>
        <w:rPr>
          <w:rFonts w:hint="eastAsia"/>
          <w:color w:val="auto"/>
          <w:szCs w:val="21"/>
        </w:rPr>
        <w:t>。</w:t>
      </w:r>
    </w:p>
    <w:p w14:paraId="5789DFF9">
      <w:pPr>
        <w:pStyle w:val="43"/>
        <w:tabs>
          <w:tab w:val="center" w:pos="4201"/>
          <w:tab w:val="right" w:leader="dot" w:pos="9298"/>
        </w:tabs>
        <w:adjustRightInd w:val="0"/>
        <w:snapToGrid w:val="0"/>
        <w:ind w:right="210" w:rightChars="100" w:firstLine="420"/>
        <w:rPr>
          <w:rFonts w:ascii="Times New Roman"/>
          <w:color w:val="auto"/>
          <w:szCs w:val="21"/>
        </w:rPr>
      </w:pPr>
      <w:r>
        <w:rPr>
          <w:rFonts w:ascii="Times New Roman"/>
          <w:color w:val="auto"/>
          <w:szCs w:val="21"/>
        </w:rPr>
        <w:t>本部分主要起草人：</w:t>
      </w:r>
      <w:r>
        <w:rPr>
          <w:rFonts w:hint="eastAsia" w:ascii="Times New Roman"/>
          <w:color w:val="auto"/>
          <w:szCs w:val="21"/>
          <w:lang w:val="en-US" w:eastAsia="zh-CN"/>
        </w:rPr>
        <w:t>常诚、杜梅、张昊、范小龙、包香春、王丽娟、、、、、、、、、</w:t>
      </w:r>
      <w:r>
        <w:rPr>
          <w:rFonts w:hint="eastAsia" w:ascii="Times New Roman"/>
          <w:color w:val="auto"/>
          <w:szCs w:val="21"/>
        </w:rPr>
        <w:t>。</w:t>
      </w:r>
    </w:p>
    <w:p w14:paraId="5E13F5D7">
      <w:pPr>
        <w:pStyle w:val="43"/>
        <w:tabs>
          <w:tab w:val="center" w:pos="4201"/>
          <w:tab w:val="right" w:leader="dot" w:pos="9298"/>
        </w:tabs>
        <w:adjustRightInd w:val="0"/>
        <w:snapToGrid w:val="0"/>
        <w:ind w:firstLine="409" w:firstLineChars="195"/>
        <w:rPr>
          <w:rFonts w:ascii="Times New Roman"/>
          <w:color w:val="auto"/>
          <w:szCs w:val="21"/>
        </w:rPr>
      </w:pPr>
      <w:r>
        <w:rPr>
          <w:rFonts w:ascii="Times New Roman"/>
          <w:color w:val="auto"/>
          <w:szCs w:val="21"/>
        </w:rPr>
        <w:t>本</w:t>
      </w:r>
      <w:r>
        <w:rPr>
          <w:rFonts w:hint="eastAsia" w:ascii="Times New Roman"/>
          <w:color w:val="auto"/>
          <w:szCs w:val="21"/>
        </w:rPr>
        <w:t>文件</w:t>
      </w:r>
      <w:r>
        <w:rPr>
          <w:rFonts w:ascii="Times New Roman"/>
          <w:color w:val="auto"/>
          <w:szCs w:val="21"/>
        </w:rPr>
        <w:t>所代替标准的历次版本发布情况为：</w:t>
      </w:r>
    </w:p>
    <w:p w14:paraId="46AA8FF8">
      <w:pPr>
        <w:pStyle w:val="43"/>
        <w:tabs>
          <w:tab w:val="center" w:pos="4201"/>
          <w:tab w:val="right" w:leader="dot" w:pos="9298"/>
        </w:tabs>
        <w:adjustRightInd w:val="0"/>
        <w:snapToGrid w:val="0"/>
        <w:spacing w:after="680"/>
        <w:ind w:firstLine="428"/>
        <w:rPr>
          <w:rFonts w:ascii="Times New Roman"/>
          <w:color w:val="auto"/>
        </w:rPr>
      </w:pPr>
      <w:r>
        <w:rPr>
          <w:rFonts w:hint="eastAsia"/>
          <w:color w:val="auto"/>
          <w:spacing w:val="2"/>
        </w:rPr>
        <w:t>本文件于2003年首次发布，本次为第一次修订。</w:t>
      </w:r>
    </w:p>
    <w:p w14:paraId="2EE75E92">
      <w:pPr>
        <w:pStyle w:val="56"/>
        <w:adjustRightInd w:val="0"/>
        <w:snapToGrid w:val="0"/>
        <w:spacing w:before="312" w:beforeLines="100" w:after="312" w:afterLines="100"/>
        <w:ind w:firstLine="4320" w:firstLineChars="1350"/>
        <w:jc w:val="both"/>
        <w:rPr>
          <w:rFonts w:ascii="Times New Roman"/>
          <w:color w:val="auto"/>
        </w:rPr>
      </w:pPr>
      <w:r>
        <w:rPr>
          <w:rFonts w:hint="eastAsia" w:ascii="Times New Roman"/>
          <w:color w:val="auto"/>
        </w:rPr>
        <w:br w:type="page"/>
      </w:r>
      <w:r>
        <w:rPr>
          <w:rFonts w:hint="eastAsia" w:ascii="Times New Roman"/>
          <w:color w:val="auto"/>
        </w:rPr>
        <w:t>引  言</w:t>
      </w:r>
    </w:p>
    <w:p w14:paraId="7B881888">
      <w:pPr>
        <w:pStyle w:val="43"/>
        <w:tabs>
          <w:tab w:val="center" w:pos="4201"/>
          <w:tab w:val="right" w:leader="dot" w:pos="9298"/>
        </w:tabs>
        <w:adjustRightInd w:val="0"/>
        <w:snapToGrid w:val="0"/>
        <w:ind w:firstLine="420"/>
        <w:rPr>
          <w:rFonts w:ascii="Times New Roman"/>
          <w:color w:val="auto"/>
          <w:szCs w:val="21"/>
        </w:rPr>
      </w:pPr>
      <w:r>
        <w:rPr>
          <w:rFonts w:hint="eastAsia" w:ascii="Times New Roman"/>
          <w:color w:val="auto"/>
          <w:szCs w:val="21"/>
        </w:rPr>
        <w:t>在稀土产品化学成分分析领域，我国已经建立了针对稀土总量、非稀土杂质、稀土杂质等检测方法的较为全面的标准体系。GB/T 12690《稀土金属及其氧化物中非稀土杂质化学分析方法》以GB/T 12690.12～26—1990《稀土金属及其氧化物化学分析方法》为基础，合并了 GB/T 8762.3—1988《荧光级氧化钇中酸溶性二氧化硅量测定 发射光谱法》、GB/T 8762.4—1988《荧光级氧化钇中氧化铁、氧化铅、氧化镍和氧化铜量测定 发射光谱法》、GB/T 8762.6—1988《荧光级氧化铕中氧化铅、氧化镍、氧化铁和氧化铜量测定 发射光谱法》、GB/T 11074.3~7—1989《氧化钐化学分析方法》等，最后形成对所有稀土金属及其氧化物中非稀土杂质的综合分析标准。经整合后的系列方法标准引用了先进的检测方法，并基本覆盖了全部稀土金属及其稀土氧化物基体，为稀土金属及其氧化物中非稀土杂质含量的测定提供了快捷、准确的方法，具有良好的操作性。</w:t>
      </w:r>
    </w:p>
    <w:p w14:paraId="6EBCA6AD">
      <w:pPr>
        <w:pStyle w:val="43"/>
        <w:tabs>
          <w:tab w:val="center" w:pos="4201"/>
          <w:tab w:val="right" w:leader="dot" w:pos="9298"/>
        </w:tabs>
        <w:adjustRightInd w:val="0"/>
        <w:snapToGrid w:val="0"/>
        <w:ind w:firstLine="420"/>
        <w:rPr>
          <w:rFonts w:ascii="Times New Roman"/>
          <w:color w:val="auto"/>
          <w:szCs w:val="21"/>
        </w:rPr>
      </w:pPr>
      <w:r>
        <w:rPr>
          <w:rFonts w:hint="eastAsia" w:ascii="Times New Roman"/>
          <w:color w:val="auto"/>
          <w:szCs w:val="21"/>
        </w:rPr>
        <w:t>根据检测对象、检测方法的不同以及各稀土金属与稀土氧化物基体的差异等，GB/T 12690 拟由21 个部分构成：</w:t>
      </w:r>
    </w:p>
    <w:p w14:paraId="6A28C87E">
      <w:pPr>
        <w:pStyle w:val="43"/>
        <w:adjustRightInd w:val="0"/>
        <w:snapToGrid w:val="0"/>
        <w:ind w:firstLine="420"/>
        <w:rPr>
          <w:rFonts w:ascii="Times New Roman"/>
          <w:color w:val="auto"/>
          <w:szCs w:val="21"/>
        </w:rPr>
      </w:pPr>
      <w:r>
        <w:rPr>
          <w:rFonts w:ascii="Times New Roman"/>
          <w:color w:val="auto"/>
          <w:szCs w:val="21"/>
        </w:rPr>
        <w:t>——第</w:t>
      </w:r>
      <w:r>
        <w:rPr>
          <w:rFonts w:hint="eastAsia" w:ascii="Times New Roman" w:cs="宋体"/>
          <w:color w:val="auto"/>
          <w:szCs w:val="21"/>
        </w:rPr>
        <w:t>1</w:t>
      </w:r>
      <w:r>
        <w:rPr>
          <w:rFonts w:ascii="Times New Roman"/>
          <w:color w:val="auto"/>
          <w:szCs w:val="21"/>
        </w:rPr>
        <w:t>部分：</w:t>
      </w:r>
      <w:r>
        <w:rPr>
          <w:rFonts w:hint="eastAsia" w:ascii="Times New Roman"/>
          <w:color w:val="auto"/>
          <w:szCs w:val="21"/>
        </w:rPr>
        <w:t>碳、硫量的测定 高频-红外吸收法；</w:t>
      </w:r>
    </w:p>
    <w:p w14:paraId="1C9781B9">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2</w:t>
      </w:r>
      <w:r>
        <w:rPr>
          <w:color w:val="auto"/>
          <w:kern w:val="0"/>
          <w:szCs w:val="21"/>
        </w:rPr>
        <w:t>部分：</w:t>
      </w:r>
      <w:r>
        <w:rPr>
          <w:rFonts w:hint="eastAsia"/>
          <w:color w:val="auto"/>
          <w:kern w:val="0"/>
          <w:szCs w:val="21"/>
        </w:rPr>
        <w:t>稀土氧化物中灼减量的测定 重量法；</w:t>
      </w:r>
      <w:r>
        <w:rPr>
          <w:color w:val="auto"/>
          <w:kern w:val="0"/>
          <w:szCs w:val="21"/>
        </w:rPr>
        <w:t xml:space="preserve"> </w:t>
      </w:r>
    </w:p>
    <w:p w14:paraId="7B03D400">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3</w:t>
      </w:r>
      <w:r>
        <w:rPr>
          <w:color w:val="auto"/>
          <w:kern w:val="0"/>
          <w:szCs w:val="21"/>
        </w:rPr>
        <w:t>部分：</w:t>
      </w:r>
      <w:r>
        <w:rPr>
          <w:rFonts w:hint="eastAsia"/>
          <w:color w:val="auto"/>
          <w:kern w:val="0"/>
          <w:szCs w:val="21"/>
        </w:rPr>
        <w:t>稀土氧化物中水分量的测定 重量法</w:t>
      </w:r>
      <w:r>
        <w:rPr>
          <w:rFonts w:hint="eastAsia"/>
          <w:color w:val="auto"/>
          <w:szCs w:val="21"/>
        </w:rPr>
        <w:t>；</w:t>
      </w:r>
      <w:r>
        <w:rPr>
          <w:color w:val="auto"/>
          <w:kern w:val="0"/>
          <w:szCs w:val="21"/>
        </w:rPr>
        <w:t xml:space="preserve"> </w:t>
      </w:r>
    </w:p>
    <w:p w14:paraId="648F07BC">
      <w:pPr>
        <w:widowControl/>
        <w:autoSpaceDE w:val="0"/>
        <w:autoSpaceDN w:val="0"/>
        <w:adjustRightInd w:val="0"/>
        <w:snapToGrid w:val="0"/>
        <w:ind w:firstLine="420" w:firstLineChars="200"/>
        <w:rPr>
          <w:color w:val="auto"/>
          <w:szCs w:val="21"/>
        </w:rPr>
      </w:pPr>
      <w:r>
        <w:rPr>
          <w:color w:val="auto"/>
          <w:kern w:val="0"/>
          <w:szCs w:val="21"/>
        </w:rPr>
        <w:t>——第</w:t>
      </w:r>
      <w:r>
        <w:rPr>
          <w:rFonts w:hint="eastAsia" w:cs="宋体"/>
          <w:color w:val="auto"/>
          <w:kern w:val="0"/>
          <w:szCs w:val="21"/>
        </w:rPr>
        <w:t>4</w:t>
      </w:r>
      <w:r>
        <w:rPr>
          <w:color w:val="auto"/>
          <w:kern w:val="0"/>
          <w:szCs w:val="21"/>
        </w:rPr>
        <w:t>部分：</w:t>
      </w:r>
      <w:r>
        <w:rPr>
          <w:rFonts w:hint="eastAsia"/>
          <w:color w:val="auto"/>
          <w:kern w:val="0"/>
          <w:szCs w:val="21"/>
        </w:rPr>
        <w:t>氧、氮量的测定 脉冲-红外吸收法和脉冲-热导法</w:t>
      </w:r>
      <w:r>
        <w:rPr>
          <w:rFonts w:hint="eastAsia"/>
          <w:color w:val="auto"/>
          <w:szCs w:val="21"/>
        </w:rPr>
        <w:t>；</w:t>
      </w:r>
    </w:p>
    <w:p w14:paraId="2890F8FA">
      <w:pPr>
        <w:widowControl/>
        <w:autoSpaceDE w:val="0"/>
        <w:autoSpaceDN w:val="0"/>
        <w:adjustRightInd w:val="0"/>
        <w:snapToGrid w:val="0"/>
        <w:ind w:firstLine="420" w:firstLineChars="200"/>
        <w:rPr>
          <w:color w:val="auto"/>
          <w:szCs w:val="21"/>
        </w:rPr>
      </w:pPr>
      <w:r>
        <w:rPr>
          <w:color w:val="auto"/>
          <w:kern w:val="0"/>
          <w:szCs w:val="21"/>
        </w:rPr>
        <w:t>——第</w:t>
      </w:r>
      <w:r>
        <w:rPr>
          <w:rFonts w:cs="宋体"/>
          <w:color w:val="auto"/>
          <w:kern w:val="0"/>
          <w:szCs w:val="21"/>
        </w:rPr>
        <w:t>5</w:t>
      </w:r>
      <w:r>
        <w:rPr>
          <w:color w:val="auto"/>
          <w:kern w:val="0"/>
          <w:szCs w:val="21"/>
        </w:rPr>
        <w:t>部分：</w:t>
      </w:r>
      <w:r>
        <w:rPr>
          <w:rFonts w:hint="eastAsia"/>
          <w:color w:val="auto"/>
          <w:kern w:val="0"/>
          <w:szCs w:val="21"/>
        </w:rPr>
        <w:t>钴、锰、铅、镍、铜、锌、铝、铬、镁、镉、钒、铁量的测定；</w:t>
      </w:r>
    </w:p>
    <w:p w14:paraId="5E92C4DD">
      <w:pPr>
        <w:widowControl/>
        <w:autoSpaceDE w:val="0"/>
        <w:autoSpaceDN w:val="0"/>
        <w:adjustRightInd w:val="0"/>
        <w:snapToGrid w:val="0"/>
        <w:ind w:firstLine="420" w:firstLineChars="200"/>
        <w:rPr>
          <w:color w:val="auto"/>
          <w:szCs w:val="21"/>
        </w:rPr>
      </w:pPr>
      <w:r>
        <w:rPr>
          <w:color w:val="auto"/>
          <w:kern w:val="0"/>
          <w:szCs w:val="21"/>
        </w:rPr>
        <w:t>——第</w:t>
      </w:r>
      <w:r>
        <w:rPr>
          <w:rFonts w:hint="eastAsia" w:cs="宋体"/>
          <w:color w:val="auto"/>
          <w:kern w:val="0"/>
          <w:szCs w:val="21"/>
        </w:rPr>
        <w:t>6</w:t>
      </w:r>
      <w:r>
        <w:rPr>
          <w:color w:val="auto"/>
          <w:kern w:val="0"/>
          <w:szCs w:val="21"/>
        </w:rPr>
        <w:t>部分：</w:t>
      </w:r>
      <w:r>
        <w:rPr>
          <w:rFonts w:hint="eastAsia"/>
          <w:color w:val="auto"/>
          <w:kern w:val="0"/>
          <w:szCs w:val="21"/>
        </w:rPr>
        <w:t>铁量的测定 硫氰酸钾、1,10-二氮杂菲分光光度法；</w:t>
      </w:r>
    </w:p>
    <w:p w14:paraId="74C075B6">
      <w:pPr>
        <w:widowControl/>
        <w:autoSpaceDE w:val="0"/>
        <w:autoSpaceDN w:val="0"/>
        <w:adjustRightInd w:val="0"/>
        <w:snapToGrid w:val="0"/>
        <w:ind w:firstLine="420" w:firstLineChars="200"/>
        <w:rPr>
          <w:color w:val="auto"/>
          <w:szCs w:val="21"/>
        </w:rPr>
      </w:pPr>
      <w:r>
        <w:rPr>
          <w:color w:val="auto"/>
          <w:kern w:val="0"/>
          <w:szCs w:val="21"/>
        </w:rPr>
        <w:t>——第</w:t>
      </w:r>
      <w:r>
        <w:rPr>
          <w:rFonts w:hint="eastAsia" w:cs="宋体"/>
          <w:color w:val="auto"/>
          <w:kern w:val="0"/>
          <w:szCs w:val="21"/>
        </w:rPr>
        <w:t>7</w:t>
      </w:r>
      <w:r>
        <w:rPr>
          <w:color w:val="auto"/>
          <w:kern w:val="0"/>
          <w:szCs w:val="21"/>
        </w:rPr>
        <w:t>部分：</w:t>
      </w:r>
      <w:r>
        <w:rPr>
          <w:rFonts w:hint="eastAsia"/>
          <w:color w:val="auto"/>
          <w:kern w:val="0"/>
          <w:szCs w:val="21"/>
        </w:rPr>
        <w:t>硅量的测定；</w:t>
      </w:r>
    </w:p>
    <w:p w14:paraId="6E0738AC">
      <w:pPr>
        <w:widowControl/>
        <w:autoSpaceDE w:val="0"/>
        <w:autoSpaceDN w:val="0"/>
        <w:adjustRightInd w:val="0"/>
        <w:snapToGrid w:val="0"/>
        <w:ind w:firstLine="420" w:firstLineChars="200"/>
        <w:rPr>
          <w:color w:val="auto"/>
          <w:szCs w:val="21"/>
        </w:rPr>
      </w:pPr>
      <w:r>
        <w:rPr>
          <w:color w:val="auto"/>
          <w:kern w:val="0"/>
          <w:szCs w:val="21"/>
        </w:rPr>
        <w:t>——第</w:t>
      </w:r>
      <w:r>
        <w:rPr>
          <w:rFonts w:hint="eastAsia" w:cs="宋体"/>
          <w:color w:val="auto"/>
          <w:kern w:val="0"/>
          <w:szCs w:val="21"/>
        </w:rPr>
        <w:t>8</w:t>
      </w:r>
      <w:r>
        <w:rPr>
          <w:color w:val="auto"/>
          <w:kern w:val="0"/>
          <w:szCs w:val="21"/>
        </w:rPr>
        <w:t>部分：</w:t>
      </w:r>
      <w:r>
        <w:rPr>
          <w:rFonts w:hint="eastAsia"/>
          <w:color w:val="auto"/>
          <w:kern w:val="0"/>
          <w:szCs w:val="21"/>
        </w:rPr>
        <w:t>钠量的测定；</w:t>
      </w:r>
    </w:p>
    <w:p w14:paraId="5E773F15">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9</w:t>
      </w:r>
      <w:r>
        <w:rPr>
          <w:color w:val="auto"/>
          <w:kern w:val="0"/>
          <w:szCs w:val="21"/>
        </w:rPr>
        <w:t>部分：</w:t>
      </w:r>
      <w:r>
        <w:rPr>
          <w:rFonts w:hint="eastAsia"/>
          <w:color w:val="auto"/>
          <w:kern w:val="0"/>
          <w:szCs w:val="21"/>
        </w:rPr>
        <w:t>氯量的测定 硝酸银比浊法；</w:t>
      </w:r>
    </w:p>
    <w:p w14:paraId="21EC96F5">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10</w:t>
      </w:r>
      <w:r>
        <w:rPr>
          <w:color w:val="auto"/>
          <w:kern w:val="0"/>
          <w:szCs w:val="21"/>
        </w:rPr>
        <w:t>部分：</w:t>
      </w:r>
      <w:r>
        <w:rPr>
          <w:rFonts w:hint="eastAsia"/>
          <w:color w:val="auto"/>
          <w:kern w:val="0"/>
          <w:szCs w:val="21"/>
        </w:rPr>
        <w:t>磷量的测定 钼蓝分光光度法；</w:t>
      </w:r>
    </w:p>
    <w:p w14:paraId="032881D3">
      <w:pPr>
        <w:widowControl/>
        <w:autoSpaceDE w:val="0"/>
        <w:autoSpaceDN w:val="0"/>
        <w:adjustRightInd w:val="0"/>
        <w:snapToGrid w:val="0"/>
        <w:ind w:firstLine="420" w:firstLineChars="200"/>
        <w:rPr>
          <w:color w:val="auto"/>
          <w:kern w:val="0"/>
          <w:szCs w:val="21"/>
        </w:rPr>
      </w:pPr>
      <w:r>
        <w:rPr>
          <w:color w:val="auto"/>
          <w:kern w:val="0"/>
          <w:szCs w:val="21"/>
        </w:rPr>
        <w:t>——第</w:t>
      </w:r>
      <w:r>
        <w:rPr>
          <w:rFonts w:hint="eastAsia" w:cs="宋体"/>
          <w:color w:val="auto"/>
          <w:kern w:val="0"/>
          <w:szCs w:val="21"/>
        </w:rPr>
        <w:t>11</w:t>
      </w:r>
      <w:r>
        <w:rPr>
          <w:color w:val="auto"/>
          <w:kern w:val="0"/>
          <w:szCs w:val="21"/>
        </w:rPr>
        <w:t>部分：</w:t>
      </w:r>
      <w:r>
        <w:rPr>
          <w:rFonts w:hint="eastAsia"/>
          <w:color w:val="auto"/>
          <w:kern w:val="0"/>
          <w:szCs w:val="21"/>
        </w:rPr>
        <w:t>镁量的测定 火焰原子吸收光谱法；</w:t>
      </w:r>
    </w:p>
    <w:p w14:paraId="15787DC4">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第12部分</w:t>
      </w:r>
      <w:r>
        <w:rPr>
          <w:color w:val="auto"/>
          <w:kern w:val="0"/>
          <w:szCs w:val="21"/>
        </w:rPr>
        <w:t>：</w:t>
      </w:r>
      <w:r>
        <w:rPr>
          <w:rFonts w:hint="eastAsia"/>
          <w:color w:val="auto"/>
          <w:kern w:val="0"/>
          <w:szCs w:val="21"/>
        </w:rPr>
        <w:t>钍、铀量的测定 电感耦合等离子体质谱法；</w:t>
      </w:r>
    </w:p>
    <w:p w14:paraId="3160A1B1">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第13部分</w:t>
      </w:r>
      <w:r>
        <w:rPr>
          <w:color w:val="auto"/>
          <w:kern w:val="0"/>
          <w:szCs w:val="21"/>
        </w:rPr>
        <w:t>：</w:t>
      </w:r>
      <w:r>
        <w:rPr>
          <w:rFonts w:hint="eastAsia"/>
          <w:color w:val="auto"/>
          <w:kern w:val="0"/>
          <w:szCs w:val="21"/>
        </w:rPr>
        <w:t>钼、钨量的测定 电感耦合等离子体发射光谱法和电感耦合等离子体质谱法；</w:t>
      </w:r>
    </w:p>
    <w:p w14:paraId="5391589F">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第14部分</w:t>
      </w:r>
      <w:r>
        <w:rPr>
          <w:color w:val="auto"/>
          <w:kern w:val="0"/>
          <w:szCs w:val="21"/>
        </w:rPr>
        <w:t>：</w:t>
      </w:r>
      <w:r>
        <w:rPr>
          <w:rFonts w:hint="eastAsia"/>
          <w:color w:val="auto"/>
          <w:kern w:val="0"/>
          <w:szCs w:val="21"/>
        </w:rPr>
        <w:t>钛量的测定；</w:t>
      </w:r>
    </w:p>
    <w:p w14:paraId="1415A24C">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第15部分</w:t>
      </w:r>
      <w:r>
        <w:rPr>
          <w:color w:val="auto"/>
          <w:kern w:val="0"/>
          <w:szCs w:val="21"/>
        </w:rPr>
        <w:t>：</w:t>
      </w:r>
      <w:r>
        <w:rPr>
          <w:rFonts w:hint="eastAsia"/>
          <w:color w:val="auto"/>
          <w:kern w:val="0"/>
          <w:szCs w:val="21"/>
        </w:rPr>
        <w:t>钙量的测定；</w:t>
      </w:r>
    </w:p>
    <w:p w14:paraId="3533CD20">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第16部分</w:t>
      </w:r>
      <w:r>
        <w:rPr>
          <w:color w:val="auto"/>
          <w:kern w:val="0"/>
          <w:szCs w:val="21"/>
        </w:rPr>
        <w:t>：</w:t>
      </w:r>
      <w:r>
        <w:rPr>
          <w:rFonts w:hint="eastAsia"/>
          <w:color w:val="auto"/>
          <w:kern w:val="0"/>
          <w:szCs w:val="21"/>
        </w:rPr>
        <w:t>氟量的测定 离子选择性电极法；</w:t>
      </w:r>
    </w:p>
    <w:p w14:paraId="5822AE7D">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第17部分</w:t>
      </w:r>
      <w:r>
        <w:rPr>
          <w:color w:val="auto"/>
          <w:kern w:val="0"/>
          <w:szCs w:val="21"/>
        </w:rPr>
        <w:t>：</w:t>
      </w:r>
      <w:r>
        <w:rPr>
          <w:rFonts w:hint="eastAsia"/>
          <w:color w:val="auto"/>
          <w:kern w:val="0"/>
          <w:szCs w:val="21"/>
        </w:rPr>
        <w:t>稀土金属中铌、钽量的测定；</w:t>
      </w:r>
    </w:p>
    <w:p w14:paraId="14578544">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第18部分</w:t>
      </w:r>
      <w:r>
        <w:rPr>
          <w:color w:val="auto"/>
          <w:kern w:val="0"/>
          <w:szCs w:val="21"/>
        </w:rPr>
        <w:t>：</w:t>
      </w:r>
      <w:r>
        <w:rPr>
          <w:rFonts w:hint="eastAsia"/>
          <w:color w:val="auto"/>
          <w:kern w:val="0"/>
          <w:szCs w:val="21"/>
        </w:rPr>
        <w:t>锆量的测定；</w:t>
      </w:r>
    </w:p>
    <w:p w14:paraId="6289ABB9">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第19部分</w:t>
      </w:r>
      <w:r>
        <w:rPr>
          <w:color w:val="auto"/>
          <w:kern w:val="0"/>
          <w:szCs w:val="21"/>
        </w:rPr>
        <w:t>：</w:t>
      </w:r>
      <w:r>
        <w:rPr>
          <w:rFonts w:hint="eastAsia"/>
          <w:color w:val="auto"/>
          <w:kern w:val="0"/>
          <w:szCs w:val="21"/>
        </w:rPr>
        <w:t>砷、汞量的测定；</w:t>
      </w:r>
    </w:p>
    <w:p w14:paraId="42251FF8">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第20部分</w:t>
      </w:r>
      <w:r>
        <w:rPr>
          <w:color w:val="auto"/>
          <w:kern w:val="0"/>
          <w:szCs w:val="21"/>
        </w:rPr>
        <w:t>：</w:t>
      </w:r>
      <w:r>
        <w:rPr>
          <w:rFonts w:hint="eastAsia"/>
          <w:color w:val="auto"/>
          <w:kern w:val="0"/>
          <w:szCs w:val="21"/>
        </w:rPr>
        <w:t>稀土氧化物中微量氟、氯的测定 离子色谱法；</w:t>
      </w:r>
    </w:p>
    <w:p w14:paraId="73D5BDE3">
      <w:pPr>
        <w:widowControl/>
        <w:autoSpaceDE w:val="0"/>
        <w:autoSpaceDN w:val="0"/>
        <w:adjustRightInd w:val="0"/>
        <w:snapToGrid w:val="0"/>
        <w:ind w:firstLine="420" w:firstLineChars="200"/>
        <w:rPr>
          <w:color w:val="auto"/>
          <w:kern w:val="0"/>
          <w:szCs w:val="21"/>
        </w:rPr>
      </w:pPr>
      <w:r>
        <w:rPr>
          <w:color w:val="auto"/>
          <w:kern w:val="0"/>
          <w:szCs w:val="21"/>
        </w:rPr>
        <w:t>——</w:t>
      </w:r>
      <w:r>
        <w:rPr>
          <w:rFonts w:hint="eastAsia"/>
          <w:color w:val="auto"/>
          <w:kern w:val="0"/>
          <w:szCs w:val="21"/>
        </w:rPr>
        <w:t>第21部分</w:t>
      </w:r>
      <w:r>
        <w:rPr>
          <w:color w:val="auto"/>
          <w:kern w:val="0"/>
          <w:szCs w:val="21"/>
        </w:rPr>
        <w:t>：</w:t>
      </w:r>
      <w:r>
        <w:rPr>
          <w:rFonts w:hint="eastAsia"/>
          <w:color w:val="auto"/>
          <w:kern w:val="0"/>
          <w:szCs w:val="21"/>
        </w:rPr>
        <w:t>稀土氧化物中硫酸根含量的测定 硫酸钡比浊法。</w:t>
      </w:r>
    </w:p>
    <w:p w14:paraId="457AF3E8">
      <w:pPr>
        <w:pStyle w:val="43"/>
        <w:tabs>
          <w:tab w:val="center" w:pos="4201"/>
          <w:tab w:val="right" w:leader="dot" w:pos="9298"/>
        </w:tabs>
        <w:adjustRightInd w:val="0"/>
        <w:snapToGrid w:val="0"/>
        <w:ind w:left="0" w:leftChars="0" w:firstLine="420" w:firstLineChars="200"/>
        <w:jc w:val="left"/>
        <w:rPr>
          <w:rFonts w:ascii="Times New Roman"/>
          <w:color w:val="auto"/>
          <w:szCs w:val="21"/>
        </w:rPr>
      </w:pPr>
      <w:r>
        <w:rPr>
          <w:rFonts w:hint="eastAsia" w:ascii="Times New Roman"/>
          <w:color w:val="auto"/>
          <w:szCs w:val="21"/>
        </w:rPr>
        <w:t>上述各个部分标准按稀土金属及其氧化物生产与贸易中常规的检测元素依次设立，各部分包括一种或多种检测方法，分别明确适用范围、试剂材料与试验设备的选择，规范试验步骤，并经过多家实验室</w:t>
      </w:r>
    </w:p>
    <w:p w14:paraId="7FCB9FC9">
      <w:pPr>
        <w:pStyle w:val="43"/>
        <w:tabs>
          <w:tab w:val="center" w:pos="4201"/>
          <w:tab w:val="right" w:leader="dot" w:pos="9298"/>
        </w:tabs>
        <w:adjustRightInd w:val="0"/>
        <w:snapToGrid w:val="0"/>
        <w:ind w:firstLine="0" w:firstLineChars="0"/>
        <w:jc w:val="left"/>
        <w:rPr>
          <w:rFonts w:ascii="Times New Roman"/>
          <w:color w:val="auto"/>
          <w:szCs w:val="21"/>
        </w:rPr>
      </w:pPr>
      <w:r>
        <w:rPr>
          <w:rFonts w:hint="eastAsia" w:ascii="Times New Roman"/>
          <w:color w:val="auto"/>
          <w:szCs w:val="21"/>
        </w:rPr>
        <w:t>多次试验和验证给出精密度数据，为稀土金属及其氧化物品质核查建立严谨、规范的标准化工作基础。</w:t>
      </w:r>
    </w:p>
    <w:p w14:paraId="658C8DD1">
      <w:pPr>
        <w:pStyle w:val="43"/>
        <w:tabs>
          <w:tab w:val="center" w:pos="4201"/>
          <w:tab w:val="right" w:leader="dot" w:pos="9298"/>
        </w:tabs>
        <w:adjustRightInd w:val="0"/>
        <w:snapToGrid w:val="0"/>
        <w:ind w:left="0" w:leftChars="0" w:firstLine="420" w:firstLineChars="200"/>
        <w:jc w:val="left"/>
        <w:rPr>
          <w:rFonts w:ascii="Times New Roman"/>
          <w:color w:val="auto"/>
          <w:szCs w:val="21"/>
        </w:rPr>
      </w:pPr>
      <w:r>
        <w:rPr>
          <w:rFonts w:hint="eastAsia" w:ascii="Times New Roman"/>
          <w:color w:val="auto"/>
          <w:szCs w:val="21"/>
          <w:lang w:val="en-US" w:eastAsia="zh-CN"/>
        </w:rPr>
        <w:t>目前，稀土金属中的钨、钼主要来源于生产冶炼过程中使用的器皿。在众多稀土金属的生产和交易过程中，均存在对钨、钼含量的限制要求。因此，建立统一、快速、准确的稀土金属中钼、钨含量的测定标准显得尤为重要。在实际检测分析中，电感耦合等离子体光谱法与电感耦合等离子体质谱法可相互补充，全面覆盖现有产品标准中钼、钨含量要求的范围。本文件通过大量条件实验，利用电感耦合等离子体光谱仪与电感耦合等离子体质谱仪，规范了检测过程中的各个环节，最终建立了一套规范、易操作且准确度高的检测标准。</w:t>
      </w:r>
      <w:r>
        <w:rPr>
          <w:rFonts w:ascii="Times New Roman"/>
          <w:color w:val="auto"/>
          <w:szCs w:val="21"/>
        </w:rPr>
        <w:br w:type="page"/>
      </w:r>
    </w:p>
    <w:p w14:paraId="18D2B234">
      <w:pPr>
        <w:pStyle w:val="43"/>
        <w:tabs>
          <w:tab w:val="center" w:pos="4201"/>
          <w:tab w:val="right" w:leader="dot" w:pos="9298"/>
        </w:tabs>
        <w:adjustRightInd w:val="0"/>
        <w:snapToGrid w:val="0"/>
        <w:ind w:left="0" w:leftChars="0" w:firstLine="0" w:firstLineChars="0"/>
        <w:jc w:val="center"/>
        <w:rPr>
          <w:rFonts w:ascii="Times New Roman" w:eastAsia="黑体"/>
          <w:color w:val="auto"/>
          <w:sz w:val="32"/>
        </w:rPr>
      </w:pPr>
      <w:r>
        <w:rPr>
          <w:rFonts w:hint="eastAsia" w:ascii="Times New Roman" w:eastAsia="黑体"/>
          <w:color w:val="auto"/>
          <w:sz w:val="32"/>
        </w:rPr>
        <w:t>稀土金属及其氧化物中非稀土杂质</w:t>
      </w:r>
      <w:r>
        <w:rPr>
          <w:rFonts w:ascii="Times New Roman" w:eastAsia="黑体"/>
          <w:color w:val="auto"/>
          <w:sz w:val="32"/>
        </w:rPr>
        <w:t>化学分析方法</w:t>
      </w:r>
    </w:p>
    <w:p w14:paraId="1474AE42">
      <w:pPr>
        <w:pStyle w:val="58"/>
        <w:tabs>
          <w:tab w:val="left" w:pos="360"/>
        </w:tabs>
        <w:adjustRightInd w:val="0"/>
        <w:snapToGrid w:val="0"/>
        <w:spacing w:before="0" w:after="312" w:afterLines="100" w:line="240" w:lineRule="auto"/>
        <w:jc w:val="center"/>
        <w:rPr>
          <w:rFonts w:ascii="Times New Roman"/>
          <w:color w:val="auto"/>
        </w:rPr>
      </w:pPr>
      <w:r>
        <w:rPr>
          <w:rFonts w:ascii="Times New Roman"/>
          <w:color w:val="auto"/>
        </w:rPr>
        <w:t>第</w:t>
      </w:r>
      <w:r>
        <w:rPr>
          <w:rFonts w:hint="eastAsia" w:ascii="Times New Roman"/>
          <w:color w:val="auto"/>
        </w:rPr>
        <w:t>13</w:t>
      </w:r>
      <w:r>
        <w:rPr>
          <w:rFonts w:ascii="Times New Roman"/>
          <w:color w:val="auto"/>
        </w:rPr>
        <w:t>部分：</w:t>
      </w:r>
      <w:r>
        <w:rPr>
          <w:rFonts w:hint="eastAsia" w:ascii="Times New Roman"/>
          <w:color w:val="auto"/>
        </w:rPr>
        <w:t>钼、钨</w:t>
      </w:r>
      <w:r>
        <w:rPr>
          <w:rFonts w:ascii="Times New Roman"/>
          <w:color w:val="auto"/>
        </w:rPr>
        <w:t>量的测定</w:t>
      </w:r>
    </w:p>
    <w:p w14:paraId="4E9E9BE4">
      <w:pPr>
        <w:pStyle w:val="54"/>
        <w:numPr>
          <w:ilvl w:val="0"/>
          <w:numId w:val="3"/>
        </w:numPr>
        <w:snapToGrid w:val="0"/>
        <w:spacing w:before="312" w:beforeLines="100" w:after="312" w:afterLines="100"/>
        <w:ind w:firstLineChars="0"/>
        <w:outlineLvl w:val="1"/>
        <w:rPr>
          <w:rFonts w:eastAsia="黑体"/>
          <w:color w:val="auto"/>
          <w:szCs w:val="21"/>
        </w:rPr>
      </w:pPr>
      <w:r>
        <w:rPr>
          <w:rFonts w:eastAsia="黑体"/>
          <w:color w:val="auto"/>
          <w:szCs w:val="21"/>
        </w:rPr>
        <w:t xml:space="preserve"> 范围</w:t>
      </w:r>
    </w:p>
    <w:p w14:paraId="56BF893F">
      <w:pPr>
        <w:autoSpaceDE w:val="0"/>
        <w:autoSpaceDN w:val="0"/>
        <w:adjustRightInd w:val="0"/>
        <w:snapToGrid w:val="0"/>
        <w:ind w:firstLine="420"/>
        <w:rPr>
          <w:color w:val="auto"/>
          <w:szCs w:val="20"/>
        </w:rPr>
      </w:pPr>
      <w:r>
        <w:rPr>
          <w:color w:val="auto"/>
          <w:szCs w:val="20"/>
        </w:rPr>
        <w:t>本</w:t>
      </w:r>
      <w:r>
        <w:rPr>
          <w:rFonts w:hint="eastAsia"/>
          <w:color w:val="auto"/>
          <w:szCs w:val="20"/>
        </w:rPr>
        <w:t>文件描述</w:t>
      </w:r>
      <w:r>
        <w:rPr>
          <w:color w:val="auto"/>
          <w:szCs w:val="20"/>
        </w:rPr>
        <w:t>了稀土</w:t>
      </w:r>
      <w:r>
        <w:rPr>
          <w:rFonts w:hint="eastAsia"/>
          <w:color w:val="auto"/>
          <w:szCs w:val="20"/>
        </w:rPr>
        <w:t>金属</w:t>
      </w:r>
      <w:r>
        <w:rPr>
          <w:color w:val="auto"/>
          <w:szCs w:val="20"/>
        </w:rPr>
        <w:t>中</w:t>
      </w:r>
      <w:r>
        <w:rPr>
          <w:rFonts w:hint="eastAsia"/>
          <w:color w:val="auto"/>
          <w:szCs w:val="20"/>
        </w:rPr>
        <w:t>钼、钨</w:t>
      </w:r>
      <w:r>
        <w:rPr>
          <w:color w:val="auto"/>
          <w:szCs w:val="20"/>
        </w:rPr>
        <w:t>量的测定方法。</w:t>
      </w:r>
    </w:p>
    <w:p w14:paraId="382CA0E4">
      <w:pPr>
        <w:autoSpaceDE w:val="0"/>
        <w:autoSpaceDN w:val="0"/>
        <w:adjustRightInd w:val="0"/>
        <w:snapToGrid w:val="0"/>
        <w:ind w:firstLine="420"/>
        <w:rPr>
          <w:color w:val="auto"/>
          <w:szCs w:val="20"/>
        </w:rPr>
      </w:pPr>
      <w:r>
        <w:rPr>
          <w:color w:val="auto"/>
          <w:szCs w:val="20"/>
        </w:rPr>
        <w:t>本</w:t>
      </w:r>
      <w:r>
        <w:rPr>
          <w:rFonts w:hint="eastAsia"/>
          <w:color w:val="auto"/>
          <w:szCs w:val="20"/>
        </w:rPr>
        <w:t>文件</w:t>
      </w:r>
      <w:r>
        <w:rPr>
          <w:color w:val="auto"/>
          <w:szCs w:val="20"/>
        </w:rPr>
        <w:t>适用于</w:t>
      </w:r>
      <w:r>
        <w:rPr>
          <w:rFonts w:hint="eastAsia"/>
          <w:color w:val="auto"/>
          <w:szCs w:val="20"/>
        </w:rPr>
        <w:t>稀土金属</w:t>
      </w:r>
      <w:r>
        <w:rPr>
          <w:color w:val="auto"/>
          <w:szCs w:val="20"/>
        </w:rPr>
        <w:t>中</w:t>
      </w:r>
      <w:r>
        <w:rPr>
          <w:rFonts w:hint="eastAsia"/>
          <w:color w:val="auto"/>
          <w:szCs w:val="20"/>
        </w:rPr>
        <w:t>钼、钨</w:t>
      </w:r>
      <w:r>
        <w:rPr>
          <w:color w:val="auto"/>
          <w:szCs w:val="20"/>
        </w:rPr>
        <w:t>量的测定</w:t>
      </w:r>
      <w:r>
        <w:rPr>
          <w:rFonts w:hint="eastAsia"/>
          <w:color w:val="auto"/>
          <w:szCs w:val="20"/>
        </w:rPr>
        <w:t>。</w:t>
      </w:r>
    </w:p>
    <w:p w14:paraId="092806DB">
      <w:pPr>
        <w:autoSpaceDE w:val="0"/>
        <w:autoSpaceDN w:val="0"/>
        <w:adjustRightInd w:val="0"/>
        <w:snapToGrid w:val="0"/>
        <w:ind w:firstLine="420"/>
        <w:rPr>
          <w:color w:val="auto"/>
          <w:szCs w:val="20"/>
        </w:rPr>
      </w:pPr>
      <w:r>
        <w:rPr>
          <w:rFonts w:hint="eastAsia"/>
          <w:color w:val="auto"/>
          <w:szCs w:val="20"/>
        </w:rPr>
        <w:t>本文件共包含2个方法：电感耦合等离子体发射光谱法（方法1）和电感耦合等离子体质谱法（方法</w:t>
      </w:r>
      <w:r>
        <w:rPr>
          <w:rFonts w:hint="eastAsia"/>
          <w:color w:val="auto"/>
          <w:szCs w:val="20"/>
          <w:lang w:val="en-US" w:eastAsia="zh-CN"/>
        </w:rPr>
        <w:t>2</w:t>
      </w:r>
      <w:r>
        <w:rPr>
          <w:rFonts w:hint="eastAsia"/>
          <w:color w:val="auto"/>
          <w:szCs w:val="20"/>
        </w:rPr>
        <w:t>）。方法1测定范围（质量分数）：</w:t>
      </w:r>
      <w:r>
        <w:rPr>
          <w:color w:val="auto"/>
          <w:szCs w:val="20"/>
        </w:rPr>
        <w:t>0.</w:t>
      </w:r>
      <w:r>
        <w:rPr>
          <w:rFonts w:hint="eastAsia"/>
          <w:color w:val="auto"/>
          <w:szCs w:val="20"/>
        </w:rPr>
        <w:t>00</w:t>
      </w:r>
      <w:r>
        <w:rPr>
          <w:color w:val="auto"/>
          <w:szCs w:val="20"/>
        </w:rPr>
        <w:t>50</w:t>
      </w:r>
      <w:r>
        <w:rPr>
          <w:rFonts w:hint="eastAsia"/>
          <w:color w:val="auto"/>
          <w:szCs w:val="20"/>
        </w:rPr>
        <w:t xml:space="preserve"> </w:t>
      </w:r>
      <w:r>
        <w:rPr>
          <w:color w:val="auto"/>
          <w:szCs w:val="20"/>
        </w:rPr>
        <w:t>%～</w:t>
      </w:r>
      <w:r>
        <w:rPr>
          <w:rFonts w:hint="eastAsia"/>
          <w:color w:val="auto"/>
          <w:szCs w:val="20"/>
        </w:rPr>
        <w:t xml:space="preserve">0.50 </w:t>
      </w:r>
      <w:r>
        <w:rPr>
          <w:color w:val="auto"/>
          <w:szCs w:val="20"/>
        </w:rPr>
        <w:t>%</w:t>
      </w:r>
      <w:r>
        <w:rPr>
          <w:rFonts w:hint="eastAsia"/>
          <w:color w:val="auto"/>
          <w:szCs w:val="20"/>
        </w:rPr>
        <w:t>，方法2测定范围（质量分数）：0.0001</w:t>
      </w:r>
      <w:r>
        <w:rPr>
          <w:color w:val="auto"/>
          <w:szCs w:val="20"/>
        </w:rPr>
        <w:t>%~</w:t>
      </w:r>
      <w:r>
        <w:rPr>
          <w:rFonts w:hint="eastAsia"/>
          <w:color w:val="auto"/>
          <w:szCs w:val="20"/>
        </w:rPr>
        <w:t>0.10%。</w:t>
      </w:r>
    </w:p>
    <w:p w14:paraId="5049E4CD">
      <w:pPr>
        <w:adjustRightInd w:val="0"/>
        <w:snapToGrid w:val="0"/>
        <w:ind w:firstLine="420" w:firstLineChars="200"/>
        <w:rPr>
          <w:color w:val="auto"/>
          <w:szCs w:val="21"/>
        </w:rPr>
      </w:pPr>
      <w:r>
        <w:rPr>
          <w:color w:val="auto"/>
          <w:szCs w:val="21"/>
        </w:rPr>
        <w:t>当本文件</w:t>
      </w:r>
      <w:r>
        <w:rPr>
          <w:rFonts w:hint="eastAsia"/>
          <w:color w:val="auto"/>
          <w:szCs w:val="21"/>
        </w:rPr>
        <w:t>中</w:t>
      </w:r>
      <w:r>
        <w:rPr>
          <w:color w:val="auto"/>
          <w:szCs w:val="21"/>
        </w:rPr>
        <w:t>测定范围出现重叠时</w:t>
      </w:r>
      <w:r>
        <w:rPr>
          <w:rFonts w:hint="eastAsia"/>
          <w:color w:val="auto"/>
          <w:szCs w:val="21"/>
        </w:rPr>
        <w:t>，</w:t>
      </w:r>
      <w:r>
        <w:rPr>
          <w:color w:val="auto"/>
          <w:szCs w:val="21"/>
        </w:rPr>
        <w:t>以方法</w:t>
      </w:r>
      <w:r>
        <w:rPr>
          <w:rFonts w:hint="eastAsia"/>
          <w:color w:val="auto"/>
          <w:szCs w:val="21"/>
          <w:lang w:val="en-US" w:eastAsia="zh-CN"/>
        </w:rPr>
        <w:t>1</w:t>
      </w:r>
      <w:r>
        <w:rPr>
          <w:color w:val="auto"/>
          <w:szCs w:val="21"/>
        </w:rPr>
        <w:t>作为仲裁方法</w:t>
      </w:r>
      <w:r>
        <w:rPr>
          <w:rFonts w:hint="eastAsia"/>
          <w:color w:val="auto"/>
          <w:szCs w:val="21"/>
        </w:rPr>
        <w:t>。</w:t>
      </w:r>
    </w:p>
    <w:p w14:paraId="32B77203">
      <w:pPr>
        <w:pStyle w:val="54"/>
        <w:numPr>
          <w:ilvl w:val="0"/>
          <w:numId w:val="3"/>
        </w:numPr>
        <w:tabs>
          <w:tab w:val="left" w:pos="6256"/>
        </w:tabs>
        <w:snapToGrid w:val="0"/>
        <w:spacing w:before="312" w:beforeLines="100" w:after="312" w:afterLines="100"/>
        <w:ind w:firstLineChars="0"/>
        <w:outlineLvl w:val="1"/>
        <w:rPr>
          <w:rFonts w:eastAsia="黑体"/>
          <w:color w:val="auto"/>
          <w:szCs w:val="21"/>
        </w:rPr>
      </w:pPr>
      <w:r>
        <w:rPr>
          <w:rFonts w:eastAsia="黑体"/>
          <w:color w:val="auto"/>
          <w:szCs w:val="21"/>
        </w:rPr>
        <w:t xml:space="preserve"> 规范性引用文件</w:t>
      </w:r>
      <w:r>
        <w:rPr>
          <w:rFonts w:hint="eastAsia" w:eastAsia="黑体"/>
          <w:color w:val="auto"/>
          <w:szCs w:val="21"/>
        </w:rPr>
        <w:tab/>
      </w:r>
    </w:p>
    <w:p w14:paraId="5805AA45">
      <w:pPr>
        <w:snapToGrid w:val="0"/>
        <w:ind w:firstLine="420"/>
        <w:rPr>
          <w:bCs/>
          <w:color w:val="auto"/>
          <w:szCs w:val="21"/>
        </w:rPr>
      </w:pPr>
      <w:r>
        <w:rPr>
          <w:bCs/>
          <w:color w:val="auto"/>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841BD6F">
      <w:pPr>
        <w:snapToGrid w:val="0"/>
        <w:ind w:firstLine="420"/>
        <w:rPr>
          <w:bCs/>
          <w:color w:val="auto"/>
          <w:szCs w:val="21"/>
        </w:rPr>
      </w:pPr>
      <w:r>
        <w:rPr>
          <w:rFonts w:hint="eastAsia"/>
          <w:bCs/>
          <w:color w:val="auto"/>
          <w:szCs w:val="21"/>
        </w:rPr>
        <w:t>GB/T 6379.2 测量方法与结果的准确度(正确度与精密度)　第2部分：确定标准测量方法重复性与再现性的基本方法</w:t>
      </w:r>
    </w:p>
    <w:p w14:paraId="2EDF8DF0">
      <w:pPr>
        <w:snapToGrid w:val="0"/>
        <w:ind w:firstLine="420"/>
        <w:rPr>
          <w:bCs/>
          <w:color w:val="auto"/>
          <w:szCs w:val="21"/>
        </w:rPr>
      </w:pPr>
      <w:r>
        <w:rPr>
          <w:rFonts w:hint="eastAsia"/>
          <w:bCs/>
          <w:color w:val="auto"/>
          <w:szCs w:val="21"/>
        </w:rPr>
        <w:t>GB/T 6682 分析实验室用水规格和试验方法</w:t>
      </w:r>
    </w:p>
    <w:p w14:paraId="7F6F5476">
      <w:pPr>
        <w:snapToGrid w:val="0"/>
        <w:ind w:firstLine="420"/>
        <w:rPr>
          <w:bCs/>
          <w:color w:val="auto"/>
          <w:szCs w:val="21"/>
        </w:rPr>
      </w:pPr>
      <w:r>
        <w:rPr>
          <w:rFonts w:hint="eastAsia"/>
          <w:bCs/>
          <w:color w:val="auto"/>
          <w:szCs w:val="21"/>
        </w:rPr>
        <w:t>GB/T 8170 数值修约规则与极限数值的表示和判定</w:t>
      </w:r>
    </w:p>
    <w:p w14:paraId="4B60304D">
      <w:pPr>
        <w:snapToGrid w:val="0"/>
        <w:ind w:firstLine="420"/>
        <w:rPr>
          <w:bCs/>
          <w:color w:val="auto"/>
          <w:szCs w:val="21"/>
        </w:rPr>
      </w:pPr>
      <w:r>
        <w:rPr>
          <w:rFonts w:hint="eastAsia"/>
          <w:bCs/>
          <w:color w:val="auto"/>
          <w:szCs w:val="21"/>
        </w:rPr>
        <w:t>JJG 768 发射光谱仪检定规程</w:t>
      </w:r>
    </w:p>
    <w:p w14:paraId="75C4EF4B">
      <w:pPr>
        <w:snapToGrid w:val="0"/>
        <w:ind w:firstLine="420"/>
        <w:rPr>
          <w:bCs/>
          <w:color w:val="auto"/>
          <w:szCs w:val="21"/>
        </w:rPr>
      </w:pPr>
      <w:r>
        <w:rPr>
          <w:rFonts w:hint="eastAsia"/>
          <w:color w:val="auto"/>
          <w:szCs w:val="21"/>
        </w:rPr>
        <w:t>JJF 1159 四极杆电感耦合等离子体质谱仪校准规范</w:t>
      </w:r>
      <w:r>
        <w:rPr>
          <w:rFonts w:hint="eastAsia"/>
          <w:bCs/>
          <w:color w:val="auto"/>
          <w:szCs w:val="21"/>
        </w:rPr>
        <w:t xml:space="preserve">   </w:t>
      </w:r>
    </w:p>
    <w:p w14:paraId="10308B36">
      <w:pPr>
        <w:pStyle w:val="54"/>
        <w:numPr>
          <w:ilvl w:val="0"/>
          <w:numId w:val="3"/>
        </w:numPr>
        <w:tabs>
          <w:tab w:val="left" w:pos="6256"/>
        </w:tabs>
        <w:snapToGrid w:val="0"/>
        <w:spacing w:before="312" w:beforeLines="100" w:after="312" w:afterLines="100"/>
        <w:ind w:firstLineChars="0"/>
        <w:outlineLvl w:val="1"/>
        <w:rPr>
          <w:rFonts w:eastAsia="黑体"/>
          <w:color w:val="auto"/>
          <w:szCs w:val="21"/>
        </w:rPr>
      </w:pPr>
      <w:r>
        <w:rPr>
          <w:rFonts w:eastAsia="黑体"/>
          <w:color w:val="auto"/>
          <w:szCs w:val="21"/>
        </w:rPr>
        <w:t xml:space="preserve"> 术语和定义</w:t>
      </w:r>
    </w:p>
    <w:p w14:paraId="7AA98663">
      <w:pPr>
        <w:pStyle w:val="54"/>
        <w:snapToGrid w:val="0"/>
        <w:outlineLvl w:val="1"/>
        <w:rPr>
          <w:color w:val="auto"/>
          <w:kern w:val="0"/>
          <w:szCs w:val="20"/>
        </w:rPr>
      </w:pPr>
      <w:r>
        <w:rPr>
          <w:rFonts w:hint="eastAsia"/>
          <w:bCs/>
          <w:color w:val="auto"/>
          <w:szCs w:val="21"/>
        </w:rPr>
        <w:t>本文件没有需要界定的术语和定义。</w:t>
      </w:r>
    </w:p>
    <w:p w14:paraId="20151EC2">
      <w:pPr>
        <w:pStyle w:val="54"/>
        <w:snapToGrid w:val="0"/>
        <w:spacing w:before="312" w:beforeLines="100" w:after="312" w:afterLines="100"/>
        <w:ind w:firstLine="0" w:firstLineChars="0"/>
        <w:outlineLvl w:val="1"/>
        <w:rPr>
          <w:rFonts w:ascii="黑体" w:hAnsi="黑体" w:eastAsia="黑体" w:cs="黑体"/>
          <w:color w:val="auto"/>
          <w:szCs w:val="21"/>
        </w:rPr>
      </w:pPr>
      <w:bookmarkStart w:id="1" w:name="_Hlk58576192"/>
      <w:r>
        <w:rPr>
          <w:rFonts w:hint="eastAsia" w:ascii="黑体" w:hAnsi="黑体" w:eastAsia="黑体" w:cs="黑体"/>
          <w:color w:val="auto"/>
          <w:szCs w:val="21"/>
        </w:rPr>
        <w:t>4 电感耦合等离子体发射光谱法（方法1）</w:t>
      </w:r>
    </w:p>
    <w:p w14:paraId="065FDB6D">
      <w:pPr>
        <w:pStyle w:val="53"/>
        <w:snapToGrid w:val="0"/>
        <w:spacing w:before="156" w:after="156"/>
        <w:rPr>
          <w:rFonts w:ascii="Times New Roman"/>
          <w:color w:val="auto"/>
        </w:rPr>
      </w:pPr>
      <w:r>
        <w:rPr>
          <w:rFonts w:hint="eastAsia" w:hAnsi="黑体" w:cs="黑体"/>
          <w:color w:val="auto"/>
          <w:kern w:val="2"/>
          <w:szCs w:val="21"/>
        </w:rPr>
        <w:t xml:space="preserve">4.1 </w:t>
      </w:r>
      <w:r>
        <w:rPr>
          <w:rFonts w:hint="eastAsia" w:ascii="Times New Roman"/>
          <w:color w:val="auto"/>
        </w:rPr>
        <w:t>方法提要</w:t>
      </w:r>
    </w:p>
    <w:p w14:paraId="77F8B8D6">
      <w:pPr>
        <w:ind w:firstLine="420" w:firstLineChars="200"/>
        <w:rPr>
          <w:rFonts w:eastAsia="黑体"/>
          <w:color w:val="auto"/>
          <w:szCs w:val="21"/>
        </w:rPr>
      </w:pPr>
      <w:r>
        <w:rPr>
          <w:rFonts w:hint="eastAsia"/>
          <w:color w:val="auto"/>
          <w:szCs w:val="21"/>
        </w:rPr>
        <w:t>试料使用硝酸、</w:t>
      </w:r>
      <w:r>
        <w:rPr>
          <w:rFonts w:hint="eastAsia"/>
          <w:color w:val="auto"/>
          <w:szCs w:val="21"/>
          <w:lang w:val="en-US" w:eastAsia="zh-CN"/>
        </w:rPr>
        <w:t>氢氟酸</w:t>
      </w:r>
      <w:r>
        <w:rPr>
          <w:rFonts w:hint="eastAsia"/>
          <w:color w:val="auto"/>
          <w:szCs w:val="21"/>
        </w:rPr>
        <w:t>溶解，氟化分离稀土基体，于电感耦合等离子体发射光谱仪选定波长处测定钼、钨量。</w:t>
      </w:r>
    </w:p>
    <w:p w14:paraId="50822F6D">
      <w:pPr>
        <w:pStyle w:val="53"/>
        <w:snapToGrid w:val="0"/>
        <w:spacing w:before="156" w:after="156"/>
        <w:rPr>
          <w:rFonts w:ascii="Times New Roman"/>
          <w:color w:val="auto"/>
        </w:rPr>
      </w:pPr>
      <w:r>
        <w:rPr>
          <w:rFonts w:hint="eastAsia" w:hAnsi="黑体" w:cs="黑体"/>
          <w:color w:val="auto"/>
          <w:kern w:val="2"/>
          <w:szCs w:val="21"/>
        </w:rPr>
        <w:t>4.2</w:t>
      </w:r>
      <w:r>
        <w:rPr>
          <w:rFonts w:hint="eastAsia" w:ascii="Times New Roman"/>
          <w:color w:val="auto"/>
        </w:rPr>
        <w:t xml:space="preserve"> 试剂</w:t>
      </w:r>
      <w:r>
        <w:rPr>
          <w:rFonts w:hint="eastAsia" w:ascii="Times New Roman"/>
          <w:color w:val="auto"/>
          <w:lang w:val="en-US" w:eastAsia="zh-CN"/>
        </w:rPr>
        <w:t>和</w:t>
      </w:r>
      <w:r>
        <w:rPr>
          <w:rFonts w:hint="eastAsia" w:ascii="Times New Roman"/>
          <w:color w:val="auto"/>
        </w:rPr>
        <w:t>材料</w:t>
      </w:r>
    </w:p>
    <w:p w14:paraId="1CDDDB48">
      <w:pPr>
        <w:pStyle w:val="43"/>
        <w:snapToGrid w:val="0"/>
        <w:ind w:firstLine="420"/>
        <w:jc w:val="left"/>
        <w:rPr>
          <w:rFonts w:ascii="Times New Roman"/>
          <w:bCs/>
          <w:color w:val="auto"/>
          <w:kern w:val="2"/>
          <w:szCs w:val="24"/>
        </w:rPr>
      </w:pPr>
      <w:r>
        <w:rPr>
          <w:rFonts w:hint="eastAsia" w:ascii="Times New Roman"/>
          <w:bCs/>
          <w:color w:val="auto"/>
          <w:kern w:val="2"/>
          <w:szCs w:val="24"/>
        </w:rPr>
        <w:t>除非另有说明，在分析中仅使用确认为分析纯及以上试剂和符合GB/T 6682规定的二级水。液体试剂均保存于塑料瓶中，优先使用有证标准溶液。</w:t>
      </w:r>
    </w:p>
    <w:p w14:paraId="72D04970">
      <w:pPr>
        <w:snapToGrid w:val="0"/>
        <w:rPr>
          <w:rFonts w:ascii="黑体" w:hAnsi="黑体" w:eastAsia="黑体" w:cs="黑体"/>
          <w:color w:val="auto"/>
          <w:szCs w:val="21"/>
        </w:rPr>
      </w:pPr>
      <w:r>
        <w:rPr>
          <w:rFonts w:hint="eastAsia" w:ascii="黑体" w:hAnsi="黑体" w:eastAsia="黑体" w:cs="黑体"/>
          <w:color w:val="auto"/>
          <w:szCs w:val="21"/>
        </w:rPr>
        <w:t>4.2.1</w:t>
      </w:r>
      <w:r>
        <w:rPr>
          <w:rFonts w:hint="eastAsia" w:ascii="黑体" w:hAnsi="黑体" w:eastAsia="黑体" w:cs="黑体"/>
          <w:color w:val="auto"/>
          <w:szCs w:val="21"/>
          <w:lang w:val="en-US" w:eastAsia="zh-CN"/>
        </w:rPr>
        <w:t xml:space="preserve"> </w:t>
      </w:r>
      <w:r>
        <w:rPr>
          <w:rFonts w:hint="eastAsia"/>
          <w:color w:val="auto"/>
          <w:szCs w:val="21"/>
        </w:rPr>
        <w:t>氢氧化钠。</w:t>
      </w:r>
    </w:p>
    <w:p w14:paraId="3EFC5E13">
      <w:pPr>
        <w:snapToGrid w:val="0"/>
        <w:rPr>
          <w:rFonts w:ascii="黑体" w:hAnsi="黑体" w:eastAsia="黑体" w:cs="黑体"/>
          <w:color w:val="auto"/>
          <w:szCs w:val="21"/>
        </w:rPr>
      </w:pPr>
      <w:r>
        <w:rPr>
          <w:rFonts w:hint="eastAsia" w:ascii="黑体" w:hAnsi="黑体" w:eastAsia="黑体" w:cs="黑体"/>
          <w:color w:val="auto"/>
          <w:szCs w:val="21"/>
        </w:rPr>
        <w:t xml:space="preserve">4.2.2 </w:t>
      </w:r>
      <w:r>
        <w:rPr>
          <w:rFonts w:hint="eastAsia"/>
          <w:color w:val="auto"/>
          <w:szCs w:val="21"/>
        </w:rPr>
        <w:t>硝酸（</w:t>
      </w:r>
      <w:r>
        <w:rPr>
          <w:rFonts w:hint="default" w:ascii="Times New Roman" w:hAnsi="Times New Roman" w:cs="Times New Roman"/>
          <w:i/>
          <w:iCs/>
          <w:color w:val="auto"/>
          <w:szCs w:val="21"/>
        </w:rPr>
        <w:t>ρ</w:t>
      </w:r>
      <w:r>
        <w:rPr>
          <w:rFonts w:hint="eastAsia"/>
          <w:color w:val="auto"/>
          <w:szCs w:val="21"/>
        </w:rPr>
        <w:t>=1.42 g/mL）。</w:t>
      </w:r>
    </w:p>
    <w:p w14:paraId="4B869D42">
      <w:pPr>
        <w:snapToGrid w:val="0"/>
        <w:rPr>
          <w:rFonts w:ascii="黑体" w:hAnsi="黑体" w:eastAsia="黑体" w:cs="黑体"/>
          <w:color w:val="auto"/>
          <w:szCs w:val="21"/>
        </w:rPr>
      </w:pPr>
      <w:r>
        <w:rPr>
          <w:rFonts w:hint="eastAsia" w:ascii="黑体" w:hAnsi="黑体" w:eastAsia="黑体" w:cs="黑体"/>
          <w:color w:val="auto"/>
          <w:szCs w:val="21"/>
        </w:rPr>
        <w:t xml:space="preserve">4.2.3 </w:t>
      </w:r>
      <w:r>
        <w:rPr>
          <w:rFonts w:hint="eastAsia"/>
          <w:color w:val="auto"/>
          <w:szCs w:val="21"/>
        </w:rPr>
        <w:t>氢氟酸（</w:t>
      </w:r>
      <w:r>
        <w:rPr>
          <w:rFonts w:hint="default" w:ascii="Times New Roman" w:hAnsi="Times New Roman" w:cs="Times New Roman"/>
          <w:i/>
          <w:iCs/>
          <w:color w:val="auto"/>
          <w:szCs w:val="21"/>
        </w:rPr>
        <w:t>ρ</w:t>
      </w:r>
      <w:r>
        <w:rPr>
          <w:rFonts w:hint="eastAsia"/>
          <w:color w:val="auto"/>
          <w:szCs w:val="21"/>
        </w:rPr>
        <w:t>=1.14 g/mL）。</w:t>
      </w:r>
    </w:p>
    <w:p w14:paraId="623A6C97">
      <w:pPr>
        <w:snapToGrid w:val="0"/>
        <w:rPr>
          <w:rFonts w:ascii="黑体" w:hAnsi="黑体" w:eastAsia="黑体" w:cs="黑体"/>
          <w:color w:val="auto"/>
          <w:szCs w:val="21"/>
        </w:rPr>
      </w:pPr>
      <w:r>
        <w:rPr>
          <w:rFonts w:hint="eastAsia" w:ascii="黑体" w:hAnsi="黑体" w:eastAsia="黑体" w:cs="黑体"/>
          <w:color w:val="auto"/>
          <w:szCs w:val="21"/>
        </w:rPr>
        <w:t xml:space="preserve">4.2.4 </w:t>
      </w:r>
      <w:r>
        <w:rPr>
          <w:rFonts w:hint="eastAsia"/>
          <w:color w:val="auto"/>
          <w:szCs w:val="21"/>
        </w:rPr>
        <w:t>硝酸（1+1）。</w:t>
      </w:r>
    </w:p>
    <w:p w14:paraId="5897266A">
      <w:pPr>
        <w:snapToGrid w:val="0"/>
        <w:rPr>
          <w:rFonts w:hint="eastAsia" w:eastAsia="宋体"/>
          <w:color w:val="auto"/>
          <w:szCs w:val="21"/>
          <w:lang w:eastAsia="zh-CN"/>
        </w:rPr>
      </w:pPr>
      <w:r>
        <w:rPr>
          <w:rFonts w:hint="eastAsia" w:ascii="黑体" w:hAnsi="黑体" w:eastAsia="黑体" w:cs="黑体"/>
          <w:color w:val="auto"/>
          <w:szCs w:val="21"/>
        </w:rPr>
        <w:t xml:space="preserve">4.2.5 </w:t>
      </w:r>
      <w:r>
        <w:rPr>
          <w:rFonts w:hint="eastAsia"/>
          <w:color w:val="auto"/>
          <w:szCs w:val="21"/>
        </w:rPr>
        <w:t>氨水（1+3）。</w:t>
      </w:r>
    </w:p>
    <w:p w14:paraId="2823409E">
      <w:pPr>
        <w:snapToGrid w:val="0"/>
        <w:rPr>
          <w:color w:val="auto"/>
          <w:szCs w:val="21"/>
        </w:rPr>
      </w:pPr>
      <w:r>
        <w:rPr>
          <w:rFonts w:hint="eastAsia" w:ascii="黑体" w:hAnsi="黑体" w:eastAsia="黑体" w:cs="黑体"/>
          <w:color w:val="auto"/>
          <w:szCs w:val="21"/>
          <w:lang w:eastAsia="zh-CN"/>
        </w:rPr>
        <w:t>4.2.6</w:t>
      </w:r>
      <w:r>
        <w:rPr>
          <w:rFonts w:hint="eastAsia" w:ascii="黑体" w:hAnsi="黑体" w:eastAsia="黑体" w:cs="黑体"/>
          <w:color w:val="auto"/>
          <w:szCs w:val="21"/>
        </w:rPr>
        <w:t xml:space="preserve"> </w:t>
      </w:r>
      <w:r>
        <w:rPr>
          <w:rFonts w:hint="eastAsia"/>
          <w:color w:val="auto"/>
          <w:szCs w:val="21"/>
        </w:rPr>
        <w:t>硼酸溶液（50 g/L）。</w:t>
      </w:r>
    </w:p>
    <w:p w14:paraId="1CA04194">
      <w:pPr>
        <w:snapToGrid w:val="0"/>
        <w:rPr>
          <w:color w:val="auto"/>
          <w:szCs w:val="21"/>
        </w:rPr>
      </w:pPr>
      <w:r>
        <w:rPr>
          <w:rFonts w:hint="eastAsia" w:ascii="黑体" w:hAnsi="黑体" w:eastAsia="黑体" w:cs="黑体"/>
          <w:color w:val="auto"/>
          <w:szCs w:val="21"/>
          <w:lang w:eastAsia="zh-CN"/>
        </w:rPr>
        <w:t>4.2.7</w:t>
      </w:r>
      <w:r>
        <w:rPr>
          <w:rFonts w:hint="eastAsia" w:ascii="黑体" w:hAnsi="黑体" w:eastAsia="黑体" w:cs="黑体"/>
          <w:color w:val="auto"/>
          <w:szCs w:val="21"/>
        </w:rPr>
        <w:t xml:space="preserve"> </w:t>
      </w:r>
      <w:r>
        <w:rPr>
          <w:rFonts w:hint="eastAsia"/>
          <w:color w:val="auto"/>
          <w:szCs w:val="21"/>
        </w:rPr>
        <w:t>钨标准贮存溶液：称取0.1261 g经110℃烘干1 h并在干燥器中冷却至室温后的</w:t>
      </w:r>
      <w:r>
        <w:rPr>
          <w:rFonts w:hint="eastAsia"/>
          <w:color w:val="auto"/>
          <w:szCs w:val="21"/>
          <w:lang w:val="en-US" w:eastAsia="zh-CN"/>
        </w:rPr>
        <w:t>三</w:t>
      </w:r>
      <w:r>
        <w:rPr>
          <w:rFonts w:hint="eastAsia"/>
          <w:color w:val="auto"/>
          <w:szCs w:val="21"/>
        </w:rPr>
        <w:t>氧化钨（</w:t>
      </w:r>
      <w:r>
        <w:rPr>
          <w:rFonts w:hint="eastAsia" w:eastAsia="微软雅黑"/>
          <w:i/>
          <w:iCs/>
          <w:color w:val="auto"/>
          <w:szCs w:val="21"/>
          <w:lang w:eastAsia="zh-CN"/>
        </w:rPr>
        <w:t>w</w:t>
      </w:r>
      <w:r>
        <w:rPr>
          <w:rFonts w:eastAsia="微软雅黑"/>
          <w:color w:val="auto"/>
          <w:szCs w:val="21"/>
        </w:rPr>
        <w:t>≥</w:t>
      </w:r>
      <w:r>
        <w:rPr>
          <w:rFonts w:hint="eastAsia" w:eastAsia="微软雅黑"/>
          <w:color w:val="auto"/>
          <w:szCs w:val="21"/>
        </w:rPr>
        <w:t>99.99%</w:t>
      </w:r>
      <w:r>
        <w:rPr>
          <w:rFonts w:hint="eastAsia"/>
          <w:color w:val="auto"/>
          <w:szCs w:val="21"/>
        </w:rPr>
        <w:t>），置于50 mL塑料烧杯中，加入20 mL水及2.0 g氢氧化钠（4.2.1）溶解完全，移入100 mL塑料容量瓶中，用水稀释至刻度，混匀。此溶液1 mL含1 mg钨。</w:t>
      </w:r>
    </w:p>
    <w:p w14:paraId="526027C4">
      <w:pPr>
        <w:snapToGrid w:val="0"/>
        <w:rPr>
          <w:color w:val="auto"/>
          <w:szCs w:val="21"/>
        </w:rPr>
      </w:pPr>
      <w:r>
        <w:rPr>
          <w:rFonts w:hint="eastAsia" w:ascii="黑体" w:hAnsi="黑体" w:eastAsia="黑体" w:cs="黑体"/>
          <w:color w:val="auto"/>
          <w:szCs w:val="21"/>
          <w:lang w:eastAsia="zh-CN"/>
        </w:rPr>
        <w:t>4.2.8</w:t>
      </w:r>
      <w:r>
        <w:rPr>
          <w:rFonts w:hint="eastAsia" w:ascii="黑体" w:hAnsi="黑体" w:eastAsia="黑体" w:cs="黑体"/>
          <w:color w:val="auto"/>
          <w:szCs w:val="21"/>
        </w:rPr>
        <w:t xml:space="preserve"> </w:t>
      </w:r>
      <w:r>
        <w:rPr>
          <w:rFonts w:hint="eastAsia"/>
          <w:color w:val="auto"/>
          <w:szCs w:val="21"/>
        </w:rPr>
        <w:t>钼标准贮存溶液：称取0.1500 g经110℃烘干1 h并在干燥器中冷却至室温后的氧化钼（</w:t>
      </w:r>
      <w:r>
        <w:rPr>
          <w:rFonts w:hint="eastAsia" w:eastAsia="微软雅黑"/>
          <w:i/>
          <w:iCs/>
          <w:color w:val="auto"/>
          <w:szCs w:val="21"/>
          <w:lang w:eastAsia="zh-CN"/>
        </w:rPr>
        <w:t>w</w:t>
      </w:r>
      <w:r>
        <w:rPr>
          <w:rFonts w:eastAsia="微软雅黑"/>
          <w:color w:val="auto"/>
          <w:szCs w:val="21"/>
        </w:rPr>
        <w:t>≥</w:t>
      </w:r>
      <w:r>
        <w:rPr>
          <w:rFonts w:hint="eastAsia" w:eastAsia="微软雅黑"/>
          <w:color w:val="auto"/>
          <w:szCs w:val="21"/>
        </w:rPr>
        <w:t>99.99%</w:t>
      </w:r>
      <w:r>
        <w:rPr>
          <w:rFonts w:hint="eastAsia"/>
          <w:color w:val="auto"/>
          <w:szCs w:val="21"/>
        </w:rPr>
        <w:t>），置于50 mL塑料烧杯中，加入20 mL氨水（4.2.5）溶解完全，移入100 mL塑料容量瓶中，用水稀释至刻度，混匀。此溶液1 mL含1 mg钼。</w:t>
      </w:r>
    </w:p>
    <w:p w14:paraId="3534AAAB">
      <w:pPr>
        <w:snapToGrid w:val="0"/>
        <w:rPr>
          <w:color w:val="auto"/>
          <w:szCs w:val="21"/>
        </w:rPr>
      </w:pPr>
      <w:r>
        <w:rPr>
          <w:rFonts w:hint="eastAsia" w:ascii="黑体" w:hAnsi="黑体" w:eastAsia="黑体" w:cs="黑体"/>
          <w:color w:val="auto"/>
          <w:szCs w:val="21"/>
          <w:lang w:eastAsia="zh-CN"/>
        </w:rPr>
        <w:t>4.2.9</w:t>
      </w:r>
      <w:r>
        <w:rPr>
          <w:rFonts w:hint="eastAsia" w:ascii="黑体" w:hAnsi="黑体" w:eastAsia="黑体" w:cs="黑体"/>
          <w:color w:val="auto"/>
          <w:szCs w:val="21"/>
        </w:rPr>
        <w:t xml:space="preserve"> </w:t>
      </w:r>
      <w:r>
        <w:rPr>
          <w:rFonts w:hint="eastAsia"/>
          <w:color w:val="auto"/>
          <w:szCs w:val="21"/>
          <w:lang w:val="en-US" w:eastAsia="zh-CN"/>
        </w:rPr>
        <w:t>钼、钨</w:t>
      </w:r>
      <w:r>
        <w:rPr>
          <w:rFonts w:hint="eastAsia"/>
          <w:color w:val="auto"/>
          <w:szCs w:val="21"/>
        </w:rPr>
        <w:t xml:space="preserve">混合标准溶液：分别移取5 </w:t>
      </w:r>
      <w:r>
        <w:rPr>
          <w:rFonts w:hint="eastAsia"/>
          <w:color w:val="auto"/>
          <w:szCs w:val="21"/>
          <w:lang w:val="en-US" w:eastAsia="zh-CN"/>
        </w:rPr>
        <w:t>.00</w:t>
      </w:r>
      <w:r>
        <w:rPr>
          <w:rFonts w:hint="eastAsia"/>
          <w:color w:val="auto"/>
          <w:szCs w:val="21"/>
        </w:rPr>
        <w:t>mL钨标准贮存溶液（</w:t>
      </w:r>
      <w:r>
        <w:rPr>
          <w:rFonts w:hint="eastAsia"/>
          <w:color w:val="auto"/>
          <w:szCs w:val="21"/>
          <w:lang w:eastAsia="zh-CN"/>
        </w:rPr>
        <w:t>4.2.7</w:t>
      </w:r>
      <w:r>
        <w:rPr>
          <w:rFonts w:hint="eastAsia"/>
          <w:color w:val="auto"/>
          <w:szCs w:val="21"/>
        </w:rPr>
        <w:t>）和钼标准贮存溶液（</w:t>
      </w:r>
      <w:r>
        <w:rPr>
          <w:rFonts w:hint="eastAsia"/>
          <w:color w:val="auto"/>
          <w:szCs w:val="21"/>
          <w:lang w:eastAsia="zh-CN"/>
        </w:rPr>
        <w:t>4.2.8</w:t>
      </w:r>
      <w:r>
        <w:rPr>
          <w:rFonts w:hint="eastAsia"/>
          <w:color w:val="auto"/>
          <w:szCs w:val="21"/>
        </w:rPr>
        <w:t xml:space="preserve">）于100 mL塑料容量瓶中，加入5 mL氢氟酸（4.2.3），用水稀释至刻度，混匀。此溶液1 mL含50 </w:t>
      </w:r>
      <w:r>
        <w:rPr>
          <w:rFonts w:hint="eastAsia"/>
          <w:b w:val="0"/>
          <w:i w:val="0"/>
          <w:iCs w:val="0"/>
          <w:color w:val="auto"/>
          <w:szCs w:val="21"/>
          <w:lang w:eastAsia="zh-CN"/>
        </w:rPr>
        <w:t>µ</w:t>
      </w:r>
      <w:r>
        <w:rPr>
          <w:rFonts w:hint="eastAsia"/>
          <w:color w:val="auto"/>
          <w:szCs w:val="21"/>
        </w:rPr>
        <w:t xml:space="preserve">g钨和50 </w:t>
      </w:r>
      <w:r>
        <w:rPr>
          <w:rFonts w:hint="eastAsia"/>
          <w:b w:val="0"/>
          <w:i w:val="0"/>
          <w:iCs w:val="0"/>
          <w:color w:val="auto"/>
          <w:szCs w:val="21"/>
          <w:lang w:eastAsia="zh-CN"/>
        </w:rPr>
        <w:t>µ</w:t>
      </w:r>
      <w:r>
        <w:rPr>
          <w:rFonts w:hint="eastAsia"/>
          <w:color w:val="auto"/>
          <w:szCs w:val="21"/>
        </w:rPr>
        <w:t>g钼。</w:t>
      </w:r>
    </w:p>
    <w:p w14:paraId="1BE830F6">
      <w:pPr>
        <w:snapToGrid w:val="0"/>
        <w:rPr>
          <w:color w:val="auto"/>
          <w:szCs w:val="21"/>
        </w:rPr>
      </w:pPr>
      <w:r>
        <w:rPr>
          <w:rFonts w:hint="eastAsia" w:ascii="黑体" w:hAnsi="黑体" w:eastAsia="黑体" w:cs="黑体"/>
          <w:color w:val="auto"/>
          <w:szCs w:val="21"/>
          <w:lang w:eastAsia="zh-CN"/>
        </w:rPr>
        <w:t>4.2.10</w:t>
      </w:r>
      <w:r>
        <w:rPr>
          <w:rFonts w:hint="eastAsia" w:ascii="黑体" w:hAnsi="黑体" w:eastAsia="黑体" w:cs="黑体"/>
          <w:color w:val="auto"/>
          <w:szCs w:val="21"/>
        </w:rPr>
        <w:t xml:space="preserve"> </w:t>
      </w:r>
      <w:r>
        <w:rPr>
          <w:color w:val="auto"/>
          <w:szCs w:val="21"/>
        </w:rPr>
        <w:t>氩气</w:t>
      </w:r>
      <w:r>
        <w:rPr>
          <w:rFonts w:hint="eastAsia"/>
          <w:color w:val="auto"/>
          <w:szCs w:val="21"/>
        </w:rPr>
        <w:t>：体积分数≥</w:t>
      </w:r>
      <w:r>
        <w:rPr>
          <w:color w:val="auto"/>
          <w:szCs w:val="21"/>
        </w:rPr>
        <w:t>99.99%。</w:t>
      </w:r>
    </w:p>
    <w:p w14:paraId="2B167BE0">
      <w:pPr>
        <w:pStyle w:val="53"/>
        <w:snapToGrid w:val="0"/>
        <w:spacing w:before="156" w:after="156"/>
        <w:rPr>
          <w:rFonts w:ascii="Times New Roman"/>
          <w:color w:val="auto"/>
        </w:rPr>
      </w:pPr>
      <w:r>
        <w:rPr>
          <w:rFonts w:hint="eastAsia" w:hAnsi="黑体" w:cs="黑体"/>
          <w:color w:val="auto"/>
          <w:kern w:val="2"/>
          <w:szCs w:val="21"/>
        </w:rPr>
        <w:t xml:space="preserve">4.3 </w:t>
      </w:r>
      <w:r>
        <w:rPr>
          <w:rFonts w:hint="eastAsia" w:ascii="Times New Roman"/>
          <w:color w:val="auto"/>
        </w:rPr>
        <w:t>仪器设备</w:t>
      </w:r>
    </w:p>
    <w:p w14:paraId="3AC32E56">
      <w:pPr>
        <w:pStyle w:val="57"/>
        <w:spacing w:line="240" w:lineRule="auto"/>
        <w:ind w:left="-105" w:leftChars="-50" w:firstLine="105" w:firstLineChars="50"/>
        <w:jc w:val="both"/>
        <w:rPr>
          <w:color w:val="auto"/>
          <w:szCs w:val="21"/>
        </w:rPr>
      </w:pPr>
      <w:r>
        <w:rPr>
          <w:rFonts w:hint="eastAsia" w:ascii="黑体" w:hAnsi="黑体" w:eastAsia="黑体" w:cs="黑体"/>
          <w:color w:val="auto"/>
          <w:kern w:val="2"/>
          <w:szCs w:val="21"/>
        </w:rPr>
        <w:t xml:space="preserve">4.3.1 </w:t>
      </w:r>
      <w:r>
        <w:rPr>
          <w:rFonts w:hint="eastAsia"/>
          <w:color w:val="auto"/>
          <w:szCs w:val="21"/>
        </w:rPr>
        <w:t>电感耦合</w:t>
      </w:r>
      <w:r>
        <w:rPr>
          <w:color w:val="auto"/>
          <w:szCs w:val="21"/>
        </w:rPr>
        <w:t>等离子体发射光谱仪</w:t>
      </w:r>
    </w:p>
    <w:p w14:paraId="764B0518">
      <w:pPr>
        <w:pStyle w:val="57"/>
        <w:spacing w:line="240" w:lineRule="auto"/>
        <w:ind w:left="-105" w:leftChars="-50" w:firstLine="525" w:firstLineChars="250"/>
        <w:jc w:val="both"/>
        <w:rPr>
          <w:rFonts w:hint="eastAsia" w:eastAsia="宋体"/>
          <w:color w:val="auto"/>
          <w:szCs w:val="21"/>
          <w:lang w:eastAsia="zh-CN"/>
        </w:rPr>
      </w:pPr>
      <w:r>
        <w:rPr>
          <w:rFonts w:hint="eastAsia"/>
          <w:color w:val="auto"/>
          <w:szCs w:val="21"/>
        </w:rPr>
        <w:t>在仪器最佳工作条件下，凡能达到下列指标者均可使用</w:t>
      </w:r>
      <w:r>
        <w:rPr>
          <w:rFonts w:hint="eastAsia"/>
          <w:color w:val="auto"/>
          <w:szCs w:val="21"/>
          <w:lang w:eastAsia="zh-CN"/>
        </w:rPr>
        <w:t>：</w:t>
      </w:r>
    </w:p>
    <w:p w14:paraId="69F1DBDA">
      <w:pPr>
        <w:pStyle w:val="57"/>
        <w:spacing w:line="240" w:lineRule="auto"/>
        <w:ind w:left="-105" w:leftChars="-50" w:firstLine="525" w:firstLineChars="250"/>
        <w:jc w:val="both"/>
        <w:rPr>
          <w:color w:val="auto"/>
          <w:szCs w:val="21"/>
        </w:rPr>
      </w:pPr>
      <w:r>
        <w:rPr>
          <w:rFonts w:hint="eastAsia"/>
          <w:color w:val="auto"/>
          <w:szCs w:val="21"/>
        </w:rPr>
        <w:t>——分辨率≤0.007 nm（200 nm处）；</w:t>
      </w:r>
    </w:p>
    <w:p w14:paraId="336F2DF0">
      <w:pPr>
        <w:pStyle w:val="57"/>
        <w:spacing w:line="240" w:lineRule="auto"/>
        <w:ind w:left="-105" w:leftChars="-50" w:firstLine="525" w:firstLineChars="250"/>
        <w:jc w:val="both"/>
        <w:rPr>
          <w:color w:val="auto"/>
          <w:szCs w:val="21"/>
        </w:rPr>
      </w:pPr>
      <w:r>
        <w:rPr>
          <w:rFonts w:hint="eastAsia"/>
          <w:color w:val="auto"/>
          <w:szCs w:val="21"/>
        </w:rPr>
        <w:t>——符合JJG 768中检定规程和技术指标。</w:t>
      </w:r>
    </w:p>
    <w:p w14:paraId="79A3FE06">
      <w:pPr>
        <w:pStyle w:val="57"/>
        <w:spacing w:line="240" w:lineRule="auto"/>
        <w:ind w:left="-105" w:leftChars="-50" w:firstLine="105" w:firstLineChars="50"/>
        <w:jc w:val="both"/>
        <w:rPr>
          <w:color w:val="auto"/>
          <w:szCs w:val="21"/>
        </w:rPr>
      </w:pPr>
      <w:r>
        <w:rPr>
          <w:rFonts w:hint="eastAsia" w:ascii="黑体" w:hAnsi="黑体" w:eastAsia="黑体" w:cs="黑体"/>
          <w:color w:val="auto"/>
          <w:kern w:val="2"/>
          <w:szCs w:val="21"/>
        </w:rPr>
        <w:t xml:space="preserve">4.3.2 </w:t>
      </w:r>
      <w:r>
        <w:rPr>
          <w:rFonts w:hint="eastAsia"/>
          <w:color w:val="auto"/>
          <w:szCs w:val="21"/>
        </w:rPr>
        <w:t>电子天平：分度值为0.1 mg。</w:t>
      </w:r>
    </w:p>
    <w:p w14:paraId="303B5A10">
      <w:pPr>
        <w:pStyle w:val="53"/>
        <w:snapToGrid w:val="0"/>
        <w:spacing w:before="156" w:after="156"/>
        <w:rPr>
          <w:rFonts w:ascii="Times New Roman"/>
          <w:color w:val="auto"/>
        </w:rPr>
      </w:pPr>
      <w:r>
        <w:rPr>
          <w:rFonts w:hint="eastAsia" w:hAnsi="黑体" w:cs="黑体"/>
          <w:color w:val="auto"/>
          <w:kern w:val="2"/>
          <w:szCs w:val="21"/>
        </w:rPr>
        <w:t>4.4</w:t>
      </w:r>
      <w:r>
        <w:rPr>
          <w:rFonts w:hint="eastAsia" w:ascii="Times New Roman"/>
          <w:color w:val="auto"/>
        </w:rPr>
        <w:t xml:space="preserve"> 样品</w:t>
      </w:r>
    </w:p>
    <w:p w14:paraId="7261B8B6">
      <w:pPr>
        <w:spacing w:line="400" w:lineRule="exact"/>
        <w:ind w:firstLine="420" w:firstLineChars="200"/>
        <w:rPr>
          <w:color w:val="auto"/>
          <w:szCs w:val="21"/>
        </w:rPr>
      </w:pPr>
      <w:r>
        <w:rPr>
          <w:rFonts w:hint="eastAsia"/>
          <w:color w:val="auto"/>
          <w:szCs w:val="21"/>
        </w:rPr>
        <w:t>金属样品应去掉表面氧化层，取样后立即称量。</w:t>
      </w:r>
    </w:p>
    <w:p w14:paraId="21B450A2">
      <w:pPr>
        <w:pStyle w:val="53"/>
        <w:snapToGrid w:val="0"/>
        <w:spacing w:before="156" w:after="156"/>
        <w:rPr>
          <w:rFonts w:ascii="Times New Roman"/>
          <w:color w:val="auto"/>
        </w:rPr>
      </w:pPr>
      <w:r>
        <w:rPr>
          <w:rFonts w:hint="eastAsia" w:hAnsi="黑体" w:cs="黑体"/>
          <w:color w:val="auto"/>
          <w:kern w:val="2"/>
          <w:szCs w:val="21"/>
        </w:rPr>
        <w:t xml:space="preserve">4.5 </w:t>
      </w:r>
      <w:r>
        <w:rPr>
          <w:rFonts w:hint="eastAsia" w:ascii="Times New Roman"/>
          <w:color w:val="auto"/>
        </w:rPr>
        <w:t>试验步骤</w:t>
      </w:r>
    </w:p>
    <w:p w14:paraId="0066AC23">
      <w:pPr>
        <w:pStyle w:val="53"/>
        <w:snapToGrid w:val="0"/>
        <w:spacing w:before="156" w:after="156"/>
        <w:rPr>
          <w:rFonts w:ascii="Times New Roman"/>
          <w:color w:val="auto"/>
        </w:rPr>
      </w:pPr>
      <w:r>
        <w:rPr>
          <w:rFonts w:hint="eastAsia" w:hAnsi="黑体" w:cs="黑体"/>
          <w:color w:val="auto"/>
          <w:kern w:val="2"/>
          <w:szCs w:val="21"/>
        </w:rPr>
        <w:t>4.5.1</w:t>
      </w:r>
      <w:r>
        <w:rPr>
          <w:rFonts w:hint="eastAsia" w:ascii="Times New Roman"/>
          <w:color w:val="auto"/>
        </w:rPr>
        <w:t xml:space="preserve"> 试料</w:t>
      </w:r>
    </w:p>
    <w:p w14:paraId="5D6339F3">
      <w:pPr>
        <w:snapToGrid w:val="0"/>
        <w:ind w:firstLine="420" w:firstLineChars="200"/>
        <w:rPr>
          <w:color w:val="auto"/>
          <w:kern w:val="0"/>
          <w:szCs w:val="20"/>
        </w:rPr>
      </w:pPr>
      <w:r>
        <w:rPr>
          <w:color w:val="auto"/>
        </w:rPr>
        <w:t>称取</w:t>
      </w:r>
      <w:r>
        <w:rPr>
          <w:rFonts w:hint="eastAsia"/>
          <w:color w:val="auto"/>
        </w:rPr>
        <w:t>1.0</w:t>
      </w:r>
      <w:r>
        <w:rPr>
          <w:rFonts w:hint="eastAsia"/>
          <w:color w:val="auto"/>
          <w:lang w:val="en-US" w:eastAsia="zh-CN"/>
        </w:rPr>
        <w:t>0</w:t>
      </w:r>
      <w:r>
        <w:rPr>
          <w:rFonts w:hint="eastAsia"/>
          <w:color w:val="auto"/>
        </w:rPr>
        <w:t xml:space="preserve"> </w:t>
      </w:r>
      <w:r>
        <w:rPr>
          <w:color w:val="auto"/>
        </w:rPr>
        <w:t>g</w:t>
      </w:r>
      <w:r>
        <w:rPr>
          <w:rFonts w:hint="eastAsia"/>
          <w:color w:val="auto"/>
        </w:rPr>
        <w:t>样品</w:t>
      </w:r>
      <w:r>
        <w:rPr>
          <w:color w:val="auto"/>
        </w:rPr>
        <w:t>（</w:t>
      </w:r>
      <w:r>
        <w:rPr>
          <w:rFonts w:hint="eastAsia"/>
          <w:color w:val="auto"/>
        </w:rPr>
        <w:t>4</w:t>
      </w:r>
      <w:r>
        <w:rPr>
          <w:color w:val="auto"/>
        </w:rPr>
        <w:t>.</w:t>
      </w:r>
      <w:r>
        <w:rPr>
          <w:rFonts w:hint="eastAsia"/>
          <w:color w:val="auto"/>
        </w:rPr>
        <w:t>4</w:t>
      </w:r>
      <w:r>
        <w:rPr>
          <w:color w:val="auto"/>
        </w:rPr>
        <w:t>），精确至0.0001</w:t>
      </w:r>
      <w:r>
        <w:rPr>
          <w:rFonts w:hint="eastAsia"/>
          <w:color w:val="auto"/>
        </w:rPr>
        <w:t xml:space="preserve"> </w:t>
      </w:r>
      <w:r>
        <w:rPr>
          <w:color w:val="auto"/>
        </w:rPr>
        <w:t>g。</w:t>
      </w:r>
    </w:p>
    <w:p w14:paraId="5BBE5A66">
      <w:pPr>
        <w:pStyle w:val="53"/>
        <w:snapToGrid w:val="0"/>
        <w:spacing w:before="156" w:after="156"/>
        <w:rPr>
          <w:rFonts w:ascii="Times New Roman"/>
          <w:color w:val="auto"/>
        </w:rPr>
      </w:pPr>
      <w:r>
        <w:rPr>
          <w:rFonts w:hint="eastAsia" w:hAnsi="黑体" w:cs="黑体"/>
          <w:color w:val="auto"/>
          <w:kern w:val="2"/>
          <w:szCs w:val="21"/>
        </w:rPr>
        <w:t xml:space="preserve">4.5.2 </w:t>
      </w:r>
      <w:r>
        <w:rPr>
          <w:rFonts w:hint="eastAsia" w:ascii="Times New Roman"/>
          <w:color w:val="auto"/>
        </w:rPr>
        <w:t>平行试验</w:t>
      </w:r>
    </w:p>
    <w:p w14:paraId="729FC4BA">
      <w:pPr>
        <w:snapToGrid w:val="0"/>
        <w:ind w:firstLine="420" w:firstLineChars="200"/>
        <w:rPr>
          <w:color w:val="auto"/>
          <w:kern w:val="0"/>
          <w:szCs w:val="20"/>
        </w:rPr>
      </w:pPr>
      <w:r>
        <w:rPr>
          <w:rFonts w:hint="eastAsia"/>
          <w:color w:val="auto"/>
          <w:kern w:val="0"/>
          <w:szCs w:val="20"/>
        </w:rPr>
        <w:t>平行做两份试验。</w:t>
      </w:r>
    </w:p>
    <w:p w14:paraId="1ED20EFF">
      <w:pPr>
        <w:pStyle w:val="53"/>
        <w:snapToGrid w:val="0"/>
        <w:spacing w:before="156" w:after="156"/>
        <w:rPr>
          <w:rFonts w:ascii="Times New Roman"/>
          <w:color w:val="auto"/>
        </w:rPr>
      </w:pPr>
      <w:r>
        <w:rPr>
          <w:rFonts w:hint="eastAsia" w:hAnsi="黑体" w:cs="黑体"/>
          <w:color w:val="auto"/>
          <w:kern w:val="2"/>
          <w:szCs w:val="21"/>
        </w:rPr>
        <w:t>4.5.3</w:t>
      </w:r>
      <w:r>
        <w:rPr>
          <w:rFonts w:hint="eastAsia" w:ascii="Times New Roman"/>
          <w:color w:val="auto"/>
        </w:rPr>
        <w:t xml:space="preserve"> 空白试验</w:t>
      </w:r>
    </w:p>
    <w:p w14:paraId="21667ADC">
      <w:pPr>
        <w:pStyle w:val="43"/>
        <w:snapToGrid w:val="0"/>
        <w:ind w:firstLine="405" w:firstLineChars="193"/>
        <w:rPr>
          <w:color w:val="auto"/>
          <w:szCs w:val="21"/>
        </w:rPr>
      </w:pPr>
      <w:r>
        <w:rPr>
          <w:color w:val="auto"/>
          <w:szCs w:val="21"/>
        </w:rPr>
        <w:t>随同试料</w:t>
      </w:r>
      <w:r>
        <w:rPr>
          <w:rFonts w:hint="eastAsia"/>
          <w:color w:val="auto"/>
          <w:szCs w:val="21"/>
        </w:rPr>
        <w:t>做</w:t>
      </w:r>
      <w:r>
        <w:rPr>
          <w:color w:val="auto"/>
          <w:szCs w:val="21"/>
        </w:rPr>
        <w:t>空白</w:t>
      </w:r>
      <w:r>
        <w:rPr>
          <w:rFonts w:hint="eastAsia"/>
          <w:color w:val="auto"/>
          <w:szCs w:val="21"/>
        </w:rPr>
        <w:t>试验。</w:t>
      </w:r>
    </w:p>
    <w:p w14:paraId="3E300622">
      <w:pPr>
        <w:pStyle w:val="53"/>
        <w:snapToGrid w:val="0"/>
        <w:spacing w:before="156" w:after="156"/>
        <w:rPr>
          <w:rFonts w:ascii="Times New Roman"/>
          <w:color w:val="auto"/>
        </w:rPr>
      </w:pPr>
      <w:r>
        <w:rPr>
          <w:rFonts w:hint="eastAsia" w:hAnsi="黑体" w:cs="黑体"/>
          <w:color w:val="auto"/>
          <w:kern w:val="2"/>
          <w:szCs w:val="21"/>
        </w:rPr>
        <w:t>4.5.4</w:t>
      </w:r>
      <w:r>
        <w:rPr>
          <w:rFonts w:hint="eastAsia" w:hAnsi="黑体" w:cs="黑体"/>
          <w:color w:val="auto"/>
          <w:kern w:val="2"/>
          <w:szCs w:val="21"/>
          <w:lang w:val="en-US" w:eastAsia="zh-CN"/>
        </w:rPr>
        <w:t xml:space="preserve"> </w:t>
      </w:r>
      <w:r>
        <w:rPr>
          <w:rFonts w:hint="eastAsia" w:ascii="Times New Roman"/>
          <w:color w:val="auto"/>
        </w:rPr>
        <w:t>分析试液的制备</w:t>
      </w:r>
    </w:p>
    <w:p w14:paraId="23DC9DD3">
      <w:pPr>
        <w:pStyle w:val="57"/>
        <w:snapToGrid w:val="0"/>
        <w:spacing w:line="240" w:lineRule="auto"/>
        <w:jc w:val="both"/>
        <w:rPr>
          <w:color w:val="auto"/>
          <w:szCs w:val="21"/>
        </w:rPr>
      </w:pPr>
      <w:r>
        <w:rPr>
          <w:rFonts w:hint="eastAsia" w:ascii="黑体" w:hAnsi="黑体" w:eastAsia="黑体" w:cs="黑体"/>
          <w:color w:val="auto"/>
          <w:kern w:val="2"/>
          <w:szCs w:val="21"/>
        </w:rPr>
        <w:t>4.5.4.1</w:t>
      </w:r>
      <w:r>
        <w:rPr>
          <w:rFonts w:hint="eastAsia"/>
          <w:color w:val="auto"/>
          <w:szCs w:val="21"/>
        </w:rPr>
        <w:t xml:space="preserve"> 试液的制备：将试料（4.5.1）置于200 mL聚四氟乙烯烧杯中，用水润湿。加入10 mL硝酸（4.2.4），低温加热溶解至清亮，加入约50 mL水。待加热至近沸腾，加入5 mL氢氟酸（4.2.3），</w:t>
      </w:r>
      <w:r>
        <w:rPr>
          <w:rFonts w:hint="eastAsia"/>
          <w:color w:val="auto"/>
          <w:szCs w:val="21"/>
          <w:lang w:val="en-US" w:eastAsia="zh-CN"/>
        </w:rPr>
        <w:t>于8</w:t>
      </w:r>
      <w:bookmarkStart w:id="2" w:name="_GoBack"/>
      <w:bookmarkEnd w:id="2"/>
      <w:r>
        <w:rPr>
          <w:rFonts w:hint="eastAsia"/>
          <w:color w:val="auto"/>
          <w:szCs w:val="21"/>
          <w:lang w:val="en-US" w:eastAsia="zh-CN"/>
        </w:rPr>
        <w:t>0℃电热板</w:t>
      </w:r>
      <w:r>
        <w:rPr>
          <w:rFonts w:hint="eastAsia"/>
          <w:color w:val="auto"/>
          <w:szCs w:val="21"/>
        </w:rPr>
        <w:t>保温10 min。放置冷却至室温，移入100 mL 塑料容量瓶中，用水稀释至刻度，混匀。待沉淀下沉后，用</w:t>
      </w:r>
      <w:r>
        <w:rPr>
          <w:rFonts w:hint="eastAsia"/>
          <w:color w:val="auto"/>
          <w:szCs w:val="21"/>
          <w:lang w:val="en-US" w:eastAsia="zh-CN"/>
        </w:rPr>
        <w:t>双层</w:t>
      </w:r>
      <w:r>
        <w:rPr>
          <w:rFonts w:hint="eastAsia"/>
          <w:color w:val="auto"/>
          <w:szCs w:val="21"/>
        </w:rPr>
        <w:t>慢速滤纸干过滤。</w:t>
      </w:r>
    </w:p>
    <w:p w14:paraId="312470CB">
      <w:pPr>
        <w:rPr>
          <w:color w:val="auto"/>
          <w:szCs w:val="21"/>
        </w:rPr>
      </w:pPr>
      <w:r>
        <w:rPr>
          <w:rFonts w:hint="eastAsia" w:ascii="黑体" w:hAnsi="黑体" w:eastAsia="黑体" w:cs="黑体"/>
          <w:color w:val="auto"/>
          <w:szCs w:val="21"/>
        </w:rPr>
        <w:t xml:space="preserve">4.5.4.2 </w:t>
      </w:r>
      <w:r>
        <w:rPr>
          <w:rFonts w:hint="eastAsia"/>
          <w:color w:val="auto"/>
          <w:szCs w:val="21"/>
        </w:rPr>
        <w:t>分析试液的制备：移取10.00 mL 试液</w:t>
      </w:r>
      <w:r>
        <w:rPr>
          <w:color w:val="auto"/>
          <w:szCs w:val="21"/>
        </w:rPr>
        <w:t>（4.5.4.1）</w:t>
      </w:r>
      <w:r>
        <w:rPr>
          <w:rFonts w:hint="eastAsia"/>
          <w:color w:val="auto"/>
          <w:szCs w:val="21"/>
        </w:rPr>
        <w:t>于50 mL 塑料容量瓶中，加入5 mL 硼酸溶液（</w:t>
      </w:r>
      <w:r>
        <w:rPr>
          <w:rFonts w:hint="eastAsia"/>
          <w:color w:val="auto"/>
          <w:szCs w:val="21"/>
          <w:lang w:eastAsia="zh-CN"/>
        </w:rPr>
        <w:t>4.2.6</w:t>
      </w:r>
      <w:r>
        <w:rPr>
          <w:rFonts w:hint="eastAsia"/>
          <w:color w:val="auto"/>
          <w:szCs w:val="21"/>
        </w:rPr>
        <w:t>）、1 mL硝酸（4.2.2），用水稀释至刻度，混匀，待</w:t>
      </w:r>
      <w:r>
        <w:rPr>
          <w:rFonts w:hint="eastAsia"/>
          <w:color w:val="auto"/>
          <w:szCs w:val="21"/>
          <w:lang w:val="en-US" w:eastAsia="zh-CN"/>
        </w:rPr>
        <w:t>测</w:t>
      </w:r>
      <w:r>
        <w:rPr>
          <w:rFonts w:hint="eastAsia"/>
          <w:color w:val="auto"/>
          <w:szCs w:val="21"/>
        </w:rPr>
        <w:t>。</w:t>
      </w:r>
    </w:p>
    <w:p w14:paraId="0AA3D845">
      <w:pPr>
        <w:ind w:firstLine="360" w:firstLineChars="200"/>
        <w:rPr>
          <w:rFonts w:ascii="黑体" w:hAnsi="黑体" w:eastAsia="黑体" w:cs="黑体"/>
          <w:color w:val="auto"/>
          <w:sz w:val="18"/>
          <w:szCs w:val="18"/>
        </w:rPr>
      </w:pPr>
      <w:r>
        <w:rPr>
          <w:rFonts w:hint="eastAsia" w:ascii="黑体" w:hAnsi="黑体" w:eastAsia="黑体" w:cs="黑体"/>
          <w:color w:val="auto"/>
          <w:sz w:val="18"/>
          <w:szCs w:val="18"/>
        </w:rPr>
        <w:t>注：</w:t>
      </w:r>
      <w:r>
        <w:rPr>
          <w:rFonts w:hint="eastAsia" w:ascii="宋体" w:hAnsi="宋体" w:cs="宋体"/>
          <w:color w:val="auto"/>
          <w:sz w:val="18"/>
          <w:szCs w:val="18"/>
        </w:rPr>
        <w:t>若仪器配备耐氢氟酸进样系统，可不加硼酸溶液（</w:t>
      </w:r>
      <w:r>
        <w:rPr>
          <w:rFonts w:hint="default" w:ascii="Times New Roman" w:hAnsi="Times New Roman" w:cs="Times New Roman"/>
          <w:color w:val="auto"/>
          <w:sz w:val="18"/>
          <w:szCs w:val="18"/>
          <w:lang w:eastAsia="zh-CN"/>
        </w:rPr>
        <w:t>4.2.6</w:t>
      </w:r>
      <w:r>
        <w:rPr>
          <w:rFonts w:hint="eastAsia" w:ascii="宋体" w:hAnsi="宋体" w:cs="宋体"/>
          <w:color w:val="auto"/>
          <w:sz w:val="18"/>
          <w:szCs w:val="18"/>
        </w:rPr>
        <w:t>）。</w:t>
      </w:r>
    </w:p>
    <w:p w14:paraId="3629A824">
      <w:pPr>
        <w:pStyle w:val="53"/>
        <w:spacing w:before="156" w:after="156"/>
        <w:rPr>
          <w:rFonts w:ascii="Times New Roman"/>
          <w:color w:val="auto"/>
        </w:rPr>
      </w:pPr>
      <w:r>
        <w:rPr>
          <w:rFonts w:hint="eastAsia" w:hAnsi="黑体" w:cs="黑体"/>
          <w:color w:val="auto"/>
          <w:kern w:val="2"/>
          <w:szCs w:val="21"/>
        </w:rPr>
        <w:t>4.5.5</w:t>
      </w:r>
      <w:r>
        <w:rPr>
          <w:rFonts w:hint="eastAsia" w:ascii="Times New Roman"/>
          <w:color w:val="auto"/>
        </w:rPr>
        <w:t xml:space="preserve"> 系列标准溶液配制</w:t>
      </w:r>
    </w:p>
    <w:p w14:paraId="416F3136">
      <w:pPr>
        <w:ind w:firstLine="420" w:firstLineChars="200"/>
        <w:rPr>
          <w:color w:val="auto"/>
          <w:szCs w:val="21"/>
        </w:rPr>
      </w:pPr>
      <w:r>
        <w:rPr>
          <w:rFonts w:hint="eastAsia"/>
          <w:color w:val="auto"/>
          <w:szCs w:val="21"/>
        </w:rPr>
        <w:t>分别移取0 mL、0.10 mL、0.50 mL、1.00 mL、2.50 mL、5.00 mL、10.00 mL</w:t>
      </w:r>
      <w:r>
        <w:rPr>
          <w:rFonts w:hint="eastAsia"/>
          <w:color w:val="auto"/>
          <w:szCs w:val="21"/>
          <w:lang w:val="en-US" w:eastAsia="zh-CN"/>
        </w:rPr>
        <w:t>钼、钨</w:t>
      </w:r>
      <w:r>
        <w:rPr>
          <w:rFonts w:hint="eastAsia"/>
          <w:color w:val="auto"/>
          <w:szCs w:val="21"/>
        </w:rPr>
        <w:t>混合标准溶液</w:t>
      </w:r>
      <w:r>
        <w:rPr>
          <w:rFonts w:hint="eastAsia"/>
          <w:color w:val="auto"/>
          <w:szCs w:val="21"/>
          <w:lang w:eastAsia="zh-CN"/>
        </w:rPr>
        <w:t>（4.2.9）</w:t>
      </w:r>
      <w:r>
        <w:rPr>
          <w:rFonts w:hint="eastAsia"/>
          <w:color w:val="auto"/>
          <w:szCs w:val="21"/>
        </w:rPr>
        <w:t>于7个50 mL 塑料容量瓶中，补加4滴（约0.2 mL）氢氟酸（4.2.3）、5 mL 硼酸溶液</w:t>
      </w:r>
      <w:r>
        <w:rPr>
          <w:rFonts w:hint="eastAsia"/>
          <w:color w:val="auto"/>
          <w:szCs w:val="21"/>
          <w:lang w:eastAsia="zh-CN"/>
        </w:rPr>
        <w:t>（4.2.6）</w:t>
      </w:r>
      <w:r>
        <w:rPr>
          <w:rFonts w:hint="eastAsia"/>
          <w:color w:val="auto"/>
          <w:szCs w:val="21"/>
        </w:rPr>
        <w:t xml:space="preserve">、1 mL硝酸（4.2.2），用水稀释至刻度，混匀。此系列标准溶液的钨、钼浓度分别为0 </w:t>
      </w:r>
      <w:r>
        <w:rPr>
          <w:rFonts w:hint="eastAsia"/>
          <w:b w:val="0"/>
          <w:i w:val="0"/>
          <w:iCs w:val="0"/>
          <w:color w:val="auto"/>
          <w:szCs w:val="21"/>
          <w:lang w:eastAsia="zh-CN"/>
        </w:rPr>
        <w:t>µ</w:t>
      </w:r>
      <w:r>
        <w:rPr>
          <w:rFonts w:hint="eastAsia"/>
          <w:color w:val="auto"/>
          <w:szCs w:val="21"/>
        </w:rPr>
        <w:t xml:space="preserve">g/mL、0.10 </w:t>
      </w:r>
      <w:r>
        <w:rPr>
          <w:rFonts w:hint="eastAsia"/>
          <w:b w:val="0"/>
          <w:i w:val="0"/>
          <w:iCs w:val="0"/>
          <w:color w:val="auto"/>
          <w:szCs w:val="21"/>
          <w:lang w:eastAsia="zh-CN"/>
        </w:rPr>
        <w:t>µ</w:t>
      </w:r>
      <w:r>
        <w:rPr>
          <w:rFonts w:hint="eastAsia"/>
          <w:color w:val="auto"/>
          <w:szCs w:val="21"/>
        </w:rPr>
        <w:t xml:space="preserve">g/mL、0.50 </w:t>
      </w:r>
      <w:r>
        <w:rPr>
          <w:rFonts w:hint="eastAsia"/>
          <w:b w:val="0"/>
          <w:i w:val="0"/>
          <w:iCs w:val="0"/>
          <w:color w:val="auto"/>
          <w:szCs w:val="21"/>
          <w:lang w:eastAsia="zh-CN"/>
        </w:rPr>
        <w:t>µ</w:t>
      </w:r>
      <w:r>
        <w:rPr>
          <w:rFonts w:hint="eastAsia"/>
          <w:color w:val="auto"/>
          <w:szCs w:val="21"/>
        </w:rPr>
        <w:t xml:space="preserve">g/mL、1.00 </w:t>
      </w:r>
      <w:r>
        <w:rPr>
          <w:rFonts w:hint="eastAsia"/>
          <w:b w:val="0"/>
          <w:i w:val="0"/>
          <w:iCs w:val="0"/>
          <w:color w:val="auto"/>
          <w:szCs w:val="21"/>
          <w:lang w:eastAsia="zh-CN"/>
        </w:rPr>
        <w:t>µ</w:t>
      </w:r>
      <w:r>
        <w:rPr>
          <w:rFonts w:hint="eastAsia"/>
          <w:color w:val="auto"/>
          <w:szCs w:val="21"/>
        </w:rPr>
        <w:t xml:space="preserve">g/mL、2.50 </w:t>
      </w:r>
      <w:r>
        <w:rPr>
          <w:rFonts w:hint="eastAsia"/>
          <w:b w:val="0"/>
          <w:i w:val="0"/>
          <w:iCs w:val="0"/>
          <w:color w:val="auto"/>
          <w:szCs w:val="21"/>
          <w:lang w:eastAsia="zh-CN"/>
        </w:rPr>
        <w:t>µ</w:t>
      </w:r>
      <w:r>
        <w:rPr>
          <w:rFonts w:hint="eastAsia"/>
          <w:color w:val="auto"/>
          <w:szCs w:val="21"/>
        </w:rPr>
        <w:t xml:space="preserve">g/mL、5.00 </w:t>
      </w:r>
      <w:r>
        <w:rPr>
          <w:rFonts w:hint="eastAsia"/>
          <w:b w:val="0"/>
          <w:i w:val="0"/>
          <w:iCs w:val="0"/>
          <w:color w:val="auto"/>
          <w:szCs w:val="21"/>
          <w:lang w:eastAsia="zh-CN"/>
        </w:rPr>
        <w:t>µ</w:t>
      </w:r>
      <w:r>
        <w:rPr>
          <w:rFonts w:hint="eastAsia"/>
          <w:color w:val="auto"/>
          <w:szCs w:val="21"/>
        </w:rPr>
        <w:t xml:space="preserve">g/mL、10.00 </w:t>
      </w:r>
      <w:r>
        <w:rPr>
          <w:rFonts w:hint="eastAsia"/>
          <w:b w:val="0"/>
          <w:i w:val="0"/>
          <w:iCs w:val="0"/>
          <w:color w:val="auto"/>
          <w:szCs w:val="21"/>
          <w:lang w:eastAsia="zh-CN"/>
        </w:rPr>
        <w:t>µ</w:t>
      </w:r>
      <w:r>
        <w:rPr>
          <w:rFonts w:hint="eastAsia"/>
          <w:color w:val="auto"/>
          <w:szCs w:val="21"/>
        </w:rPr>
        <w:t>g/mL。</w:t>
      </w:r>
    </w:p>
    <w:p w14:paraId="7C8D1774">
      <w:pPr>
        <w:ind w:firstLine="360" w:firstLineChars="200"/>
        <w:rPr>
          <w:color w:val="auto"/>
          <w:szCs w:val="21"/>
        </w:rPr>
      </w:pPr>
      <w:r>
        <w:rPr>
          <w:rFonts w:hint="eastAsia" w:ascii="黑体" w:hAnsi="黑体" w:eastAsia="黑体" w:cs="黑体"/>
          <w:color w:val="auto"/>
          <w:sz w:val="18"/>
          <w:szCs w:val="18"/>
        </w:rPr>
        <w:t>注：</w:t>
      </w:r>
      <w:r>
        <w:rPr>
          <w:rFonts w:hint="eastAsia" w:ascii="宋体" w:hAnsi="宋体" w:cs="宋体"/>
          <w:color w:val="auto"/>
          <w:sz w:val="18"/>
          <w:szCs w:val="18"/>
        </w:rPr>
        <w:t>若仪器配备耐氢氟酸进样系统，可不加硼酸溶液（</w:t>
      </w:r>
      <w:r>
        <w:rPr>
          <w:rFonts w:hint="default" w:ascii="Times New Roman" w:hAnsi="Times New Roman" w:cs="Times New Roman"/>
          <w:color w:val="auto"/>
          <w:sz w:val="18"/>
          <w:szCs w:val="18"/>
          <w:lang w:eastAsia="zh-CN"/>
        </w:rPr>
        <w:t>4.2.6</w:t>
      </w:r>
      <w:r>
        <w:rPr>
          <w:rFonts w:hint="eastAsia" w:ascii="宋体" w:hAnsi="宋体" w:cs="宋体"/>
          <w:color w:val="auto"/>
          <w:sz w:val="18"/>
          <w:szCs w:val="18"/>
        </w:rPr>
        <w:t>）。</w:t>
      </w:r>
    </w:p>
    <w:p w14:paraId="6505D9FC">
      <w:pPr>
        <w:pStyle w:val="57"/>
        <w:snapToGrid w:val="0"/>
        <w:spacing w:before="156" w:beforeLines="50" w:after="156" w:afterLines="50" w:line="240" w:lineRule="auto"/>
        <w:jc w:val="both"/>
        <w:rPr>
          <w:rFonts w:eastAsia="黑体"/>
          <w:color w:val="auto"/>
        </w:rPr>
      </w:pPr>
      <w:r>
        <w:rPr>
          <w:rFonts w:hint="eastAsia" w:ascii="黑体" w:hAnsi="黑体" w:eastAsia="黑体" w:cs="黑体"/>
          <w:color w:val="auto"/>
          <w:kern w:val="2"/>
          <w:szCs w:val="21"/>
        </w:rPr>
        <w:t xml:space="preserve">4.5.6 </w:t>
      </w:r>
      <w:r>
        <w:rPr>
          <w:rFonts w:hint="eastAsia" w:eastAsia="黑体"/>
          <w:color w:val="auto"/>
        </w:rPr>
        <w:t>测定</w:t>
      </w:r>
    </w:p>
    <w:p w14:paraId="7E7E4B4D">
      <w:pPr>
        <w:pStyle w:val="57"/>
        <w:snapToGrid w:val="0"/>
        <w:spacing w:before="156" w:beforeLines="50" w:after="156" w:afterLines="50" w:line="240" w:lineRule="auto"/>
        <w:jc w:val="both"/>
        <w:rPr>
          <w:rFonts w:ascii="黑体" w:hAnsi="黑体" w:eastAsia="黑体" w:cs="黑体"/>
          <w:color w:val="auto"/>
          <w:kern w:val="2"/>
          <w:szCs w:val="21"/>
        </w:rPr>
      </w:pPr>
      <w:r>
        <w:rPr>
          <w:rFonts w:hint="eastAsia" w:ascii="黑体" w:hAnsi="黑体" w:eastAsia="黑体" w:cs="黑体"/>
          <w:color w:val="auto"/>
          <w:kern w:val="2"/>
          <w:szCs w:val="21"/>
        </w:rPr>
        <w:t>4.5.6.1 推荐分析谱线</w:t>
      </w:r>
    </w:p>
    <w:p w14:paraId="0A3C8174">
      <w:pPr>
        <w:pStyle w:val="57"/>
        <w:snapToGrid w:val="0"/>
        <w:spacing w:line="240" w:lineRule="auto"/>
        <w:ind w:firstLine="420" w:firstLineChars="200"/>
        <w:jc w:val="both"/>
        <w:rPr>
          <w:rFonts w:hint="eastAsia"/>
          <w:color w:val="auto"/>
          <w:szCs w:val="21"/>
        </w:rPr>
      </w:pPr>
      <w:r>
        <w:rPr>
          <w:rFonts w:hint="eastAsia"/>
          <w:color w:val="auto"/>
          <w:szCs w:val="21"/>
        </w:rPr>
        <w:t>推荐分析谱线波长见表1。</w:t>
      </w:r>
    </w:p>
    <w:p w14:paraId="125893D7">
      <w:pPr>
        <w:spacing w:before="156" w:beforeLines="50" w:after="156" w:afterLines="50" w:line="300" w:lineRule="exact"/>
        <w:jc w:val="center"/>
        <w:rPr>
          <w:rFonts w:hint="default"/>
          <w:color w:val="auto"/>
          <w:szCs w:val="21"/>
          <w:lang w:val="en-US" w:eastAsia="zh-CN"/>
        </w:rPr>
      </w:pPr>
      <w:r>
        <w:rPr>
          <w:rFonts w:hint="eastAsia" w:eastAsia="黑体"/>
          <w:color w:val="auto"/>
        </w:rPr>
        <w:t>表1 推荐分析谱线波长</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7"/>
        <w:gridCol w:w="5083"/>
      </w:tblGrid>
      <w:tr w14:paraId="5A68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4" w:type="pct"/>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14:paraId="28C13FB1">
            <w:pPr>
              <w:jc w:val="center"/>
              <w:rPr>
                <w:color w:val="auto"/>
                <w:sz w:val="18"/>
                <w:szCs w:val="18"/>
              </w:rPr>
            </w:pPr>
            <w:r>
              <w:rPr>
                <w:rFonts w:hint="eastAsia"/>
                <w:color w:val="auto"/>
                <w:sz w:val="18"/>
                <w:szCs w:val="18"/>
              </w:rPr>
              <w:t>测定元素</w:t>
            </w:r>
          </w:p>
        </w:tc>
        <w:tc>
          <w:tcPr>
            <w:tcW w:w="2655" w:type="pct"/>
            <w:tcBorders>
              <w:top w:val="single" w:color="000000" w:sz="12" w:space="0"/>
              <w:left w:val="single" w:color="000000" w:sz="4" w:space="0"/>
              <w:bottom w:val="single" w:color="auto" w:sz="12" w:space="0"/>
              <w:right w:val="single" w:color="000000" w:sz="12" w:space="0"/>
            </w:tcBorders>
            <w:shd w:val="clear" w:color="auto" w:fill="FFFFFF"/>
            <w:noWrap/>
          </w:tcPr>
          <w:p w14:paraId="03D821BE">
            <w:pPr>
              <w:jc w:val="center"/>
              <w:rPr>
                <w:rFonts w:hint="eastAsia"/>
                <w:color w:val="auto"/>
                <w:sz w:val="18"/>
                <w:szCs w:val="18"/>
              </w:rPr>
            </w:pPr>
            <w:r>
              <w:rPr>
                <w:rFonts w:hint="eastAsia"/>
                <w:color w:val="auto"/>
                <w:sz w:val="18"/>
                <w:szCs w:val="18"/>
              </w:rPr>
              <w:t>波长</w:t>
            </w:r>
          </w:p>
          <w:p w14:paraId="328B55B3">
            <w:pPr>
              <w:jc w:val="center"/>
              <w:rPr>
                <w:rFonts w:hint="default" w:eastAsia="宋体"/>
                <w:color w:val="auto"/>
                <w:sz w:val="18"/>
                <w:szCs w:val="18"/>
                <w:lang w:val="en-US" w:eastAsia="zh-CN"/>
              </w:rPr>
            </w:pPr>
            <w:r>
              <w:rPr>
                <w:rFonts w:hint="eastAsia"/>
                <w:color w:val="auto"/>
                <w:sz w:val="18"/>
                <w:szCs w:val="18"/>
                <w:lang w:val="en-US" w:eastAsia="zh-CN"/>
              </w:rPr>
              <w:t>nm</w:t>
            </w:r>
          </w:p>
        </w:tc>
      </w:tr>
      <w:tr w14:paraId="4576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44" w:type="pct"/>
            <w:tcBorders>
              <w:top w:val="single" w:color="auto" w:sz="12" w:space="0"/>
              <w:left w:val="single" w:color="000000" w:sz="12" w:space="0"/>
              <w:bottom w:val="single" w:color="000000" w:sz="4" w:space="0"/>
              <w:right w:val="single" w:color="000000" w:sz="4" w:space="0"/>
            </w:tcBorders>
            <w:shd w:val="clear" w:color="auto" w:fill="FFFFFF"/>
            <w:noWrap/>
            <w:vAlign w:val="center"/>
          </w:tcPr>
          <w:p w14:paraId="6914AABE">
            <w:pPr>
              <w:jc w:val="center"/>
              <w:rPr>
                <w:color w:val="auto"/>
                <w:sz w:val="18"/>
                <w:szCs w:val="18"/>
              </w:rPr>
            </w:pPr>
            <w:r>
              <w:rPr>
                <w:rFonts w:hint="eastAsia"/>
                <w:color w:val="auto"/>
                <w:sz w:val="18"/>
                <w:szCs w:val="18"/>
              </w:rPr>
              <w:t>钨</w:t>
            </w:r>
          </w:p>
        </w:tc>
        <w:tc>
          <w:tcPr>
            <w:tcW w:w="2655" w:type="pct"/>
            <w:tcBorders>
              <w:top w:val="single" w:color="auto" w:sz="12" w:space="0"/>
              <w:left w:val="single" w:color="000000" w:sz="4" w:space="0"/>
              <w:bottom w:val="single" w:color="000000" w:sz="4" w:space="0"/>
              <w:right w:val="single" w:color="000000" w:sz="12" w:space="0"/>
            </w:tcBorders>
            <w:shd w:val="clear" w:color="auto" w:fill="FFFFFF"/>
            <w:noWrap/>
            <w:vAlign w:val="center"/>
          </w:tcPr>
          <w:p w14:paraId="3E68A61A">
            <w:pPr>
              <w:jc w:val="center"/>
              <w:rPr>
                <w:color w:val="auto"/>
                <w:sz w:val="18"/>
                <w:szCs w:val="18"/>
              </w:rPr>
            </w:pPr>
            <w:r>
              <w:rPr>
                <w:rFonts w:hint="eastAsia"/>
                <w:color w:val="auto"/>
                <w:sz w:val="18"/>
                <w:szCs w:val="18"/>
              </w:rPr>
              <w:t>207.911、216.632、248.923</w:t>
            </w:r>
          </w:p>
        </w:tc>
      </w:tr>
      <w:tr w14:paraId="322C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44" w:type="pct"/>
            <w:tcBorders>
              <w:top w:val="single" w:color="000000" w:sz="4" w:space="0"/>
              <w:left w:val="single" w:color="000000" w:sz="12" w:space="0"/>
              <w:bottom w:val="single" w:color="000000" w:sz="12" w:space="0"/>
              <w:right w:val="single" w:color="000000" w:sz="4" w:space="0"/>
            </w:tcBorders>
            <w:shd w:val="clear" w:color="auto" w:fill="FFFFFF"/>
            <w:noWrap/>
            <w:vAlign w:val="center"/>
          </w:tcPr>
          <w:p w14:paraId="1222F954">
            <w:pPr>
              <w:jc w:val="center"/>
              <w:rPr>
                <w:color w:val="auto"/>
                <w:sz w:val="18"/>
                <w:szCs w:val="18"/>
              </w:rPr>
            </w:pPr>
            <w:r>
              <w:rPr>
                <w:rFonts w:hint="eastAsia"/>
                <w:color w:val="auto"/>
                <w:sz w:val="18"/>
                <w:szCs w:val="18"/>
              </w:rPr>
              <w:t>钼</w:t>
            </w:r>
          </w:p>
        </w:tc>
        <w:tc>
          <w:tcPr>
            <w:tcW w:w="2655" w:type="pct"/>
            <w:tcBorders>
              <w:top w:val="single" w:color="000000" w:sz="4" w:space="0"/>
              <w:left w:val="single" w:color="000000" w:sz="4" w:space="0"/>
              <w:bottom w:val="single" w:color="000000" w:sz="12" w:space="0"/>
              <w:right w:val="single" w:color="000000" w:sz="12" w:space="0"/>
            </w:tcBorders>
            <w:shd w:val="clear" w:color="auto" w:fill="FFFFFF"/>
            <w:noWrap/>
            <w:vAlign w:val="center"/>
          </w:tcPr>
          <w:p w14:paraId="36032A10">
            <w:pPr>
              <w:jc w:val="center"/>
              <w:rPr>
                <w:color w:val="auto"/>
                <w:sz w:val="18"/>
                <w:szCs w:val="18"/>
              </w:rPr>
            </w:pPr>
            <w:r>
              <w:rPr>
                <w:rFonts w:hint="eastAsia"/>
                <w:color w:val="auto"/>
                <w:sz w:val="18"/>
                <w:szCs w:val="18"/>
              </w:rPr>
              <w:t>202.032、268.414、203.846</w:t>
            </w:r>
          </w:p>
        </w:tc>
      </w:tr>
    </w:tbl>
    <w:p w14:paraId="651E7258">
      <w:pPr>
        <w:pStyle w:val="57"/>
        <w:snapToGrid w:val="0"/>
        <w:spacing w:before="156" w:beforeLines="50" w:after="156" w:afterLines="50" w:line="240" w:lineRule="auto"/>
        <w:jc w:val="both"/>
        <w:rPr>
          <w:color w:val="auto"/>
          <w:szCs w:val="21"/>
        </w:rPr>
      </w:pPr>
      <w:r>
        <w:rPr>
          <w:rFonts w:hint="eastAsia" w:ascii="黑体" w:hAnsi="黑体" w:eastAsia="黑体" w:cs="黑体"/>
          <w:color w:val="auto"/>
          <w:kern w:val="2"/>
          <w:szCs w:val="21"/>
        </w:rPr>
        <w:t>4.5.6.2 工作曲线的绘制</w:t>
      </w:r>
    </w:p>
    <w:p w14:paraId="44D07E5E">
      <w:pPr>
        <w:pStyle w:val="57"/>
        <w:snapToGrid w:val="0"/>
        <w:spacing w:line="240" w:lineRule="auto"/>
        <w:ind w:firstLine="420" w:firstLineChars="200"/>
        <w:jc w:val="both"/>
        <w:rPr>
          <w:color w:val="auto"/>
          <w:szCs w:val="21"/>
        </w:rPr>
      </w:pPr>
      <w:r>
        <w:rPr>
          <w:rFonts w:hint="eastAsia"/>
          <w:color w:val="auto"/>
          <w:szCs w:val="21"/>
        </w:rPr>
        <w:t>在选定的仪器工作条件下，将系列标准溶液（4.5.5）用选定的分析谱线进行氩等离子体光谱测定。以待测元素光信号强度为纵坐标，系列标准溶液质量浓度为横坐标，绘制工作曲线，线性相关系数应不小于0.9995</w:t>
      </w:r>
      <w:r>
        <w:rPr>
          <w:color w:val="auto"/>
          <w:szCs w:val="21"/>
        </w:rPr>
        <w:t>。</w:t>
      </w:r>
    </w:p>
    <w:p w14:paraId="2845EAD2">
      <w:pPr>
        <w:pStyle w:val="57"/>
        <w:snapToGrid w:val="0"/>
        <w:spacing w:before="156" w:beforeLines="50" w:after="156" w:afterLines="50" w:line="240" w:lineRule="auto"/>
        <w:jc w:val="both"/>
        <w:rPr>
          <w:color w:val="auto"/>
          <w:szCs w:val="21"/>
        </w:rPr>
      </w:pPr>
      <w:r>
        <w:rPr>
          <w:rFonts w:hint="eastAsia" w:ascii="黑体" w:hAnsi="黑体" w:eastAsia="黑体" w:cs="黑体"/>
          <w:color w:val="auto"/>
          <w:kern w:val="2"/>
          <w:szCs w:val="21"/>
        </w:rPr>
        <w:t>4.5.6.3 空白试液的测定</w:t>
      </w:r>
    </w:p>
    <w:p w14:paraId="652D0433">
      <w:pPr>
        <w:pStyle w:val="57"/>
        <w:snapToGrid w:val="0"/>
        <w:spacing w:line="240" w:lineRule="auto"/>
        <w:ind w:firstLine="420" w:firstLineChars="200"/>
        <w:jc w:val="both"/>
        <w:rPr>
          <w:color w:val="auto"/>
          <w:szCs w:val="21"/>
        </w:rPr>
      </w:pPr>
      <w:r>
        <w:rPr>
          <w:color w:val="auto"/>
          <w:szCs w:val="21"/>
        </w:rPr>
        <w:t>在</w:t>
      </w:r>
      <w:r>
        <w:rPr>
          <w:rFonts w:hint="eastAsia"/>
          <w:color w:val="auto"/>
          <w:szCs w:val="21"/>
        </w:rPr>
        <w:t>工作曲线（4.5.6.2）</w:t>
      </w:r>
      <w:r>
        <w:rPr>
          <w:color w:val="auto"/>
          <w:szCs w:val="21"/>
        </w:rPr>
        <w:t>符合测定的要求后，</w:t>
      </w:r>
      <w:r>
        <w:rPr>
          <w:rFonts w:hint="eastAsia"/>
          <w:color w:val="auto"/>
          <w:szCs w:val="21"/>
        </w:rPr>
        <w:t>将空白实验（4.5.3）用的溶液由选定的分析谱线进行氩等离子体光谱测定。仪器根据工作曲线</w:t>
      </w:r>
      <w:r>
        <w:rPr>
          <w:color w:val="auto"/>
          <w:szCs w:val="21"/>
        </w:rPr>
        <w:t>，自动进行数据处理，计算并输出</w:t>
      </w:r>
      <w:r>
        <w:rPr>
          <w:rFonts w:hint="eastAsia"/>
          <w:color w:val="auto"/>
          <w:szCs w:val="21"/>
        </w:rPr>
        <w:t>空白试液中待测</w:t>
      </w:r>
      <w:r>
        <w:rPr>
          <w:color w:val="auto"/>
          <w:szCs w:val="21"/>
        </w:rPr>
        <w:t>元素</w:t>
      </w:r>
      <w:r>
        <w:rPr>
          <w:rFonts w:hint="eastAsia"/>
          <w:color w:val="auto"/>
          <w:szCs w:val="21"/>
        </w:rPr>
        <w:t>的质量浓度</w:t>
      </w:r>
      <w:r>
        <w:rPr>
          <w:color w:val="auto"/>
          <w:szCs w:val="21"/>
        </w:rPr>
        <w:t>。</w:t>
      </w:r>
    </w:p>
    <w:p w14:paraId="596A785F">
      <w:pPr>
        <w:pStyle w:val="57"/>
        <w:snapToGrid w:val="0"/>
        <w:spacing w:before="156" w:beforeLines="50" w:after="156" w:afterLines="50" w:line="240" w:lineRule="auto"/>
        <w:jc w:val="both"/>
        <w:rPr>
          <w:color w:val="auto"/>
          <w:szCs w:val="21"/>
        </w:rPr>
      </w:pPr>
      <w:r>
        <w:rPr>
          <w:rFonts w:hint="eastAsia" w:ascii="黑体" w:hAnsi="黑体" w:eastAsia="黑体" w:cs="黑体"/>
          <w:color w:val="auto"/>
          <w:kern w:val="2"/>
          <w:szCs w:val="21"/>
        </w:rPr>
        <w:t>4.5.6.4 分析试液的测定</w:t>
      </w:r>
    </w:p>
    <w:p w14:paraId="4AD176EE">
      <w:pPr>
        <w:pStyle w:val="57"/>
        <w:snapToGrid w:val="0"/>
        <w:spacing w:line="240" w:lineRule="auto"/>
        <w:ind w:firstLine="420" w:firstLineChars="200"/>
        <w:jc w:val="both"/>
        <w:rPr>
          <w:color w:val="auto"/>
          <w:szCs w:val="21"/>
        </w:rPr>
      </w:pPr>
      <w:r>
        <w:rPr>
          <w:color w:val="auto"/>
          <w:szCs w:val="21"/>
        </w:rPr>
        <w:t>在</w:t>
      </w:r>
      <w:r>
        <w:rPr>
          <w:rFonts w:hint="eastAsia"/>
          <w:color w:val="auto"/>
          <w:szCs w:val="21"/>
        </w:rPr>
        <w:t>工作曲线（4.5.6.2）</w:t>
      </w:r>
      <w:r>
        <w:rPr>
          <w:color w:val="auto"/>
          <w:szCs w:val="21"/>
        </w:rPr>
        <w:t>符合测定的要求后，</w:t>
      </w:r>
      <w:r>
        <w:rPr>
          <w:rFonts w:hint="eastAsia"/>
          <w:color w:val="auto"/>
          <w:szCs w:val="21"/>
        </w:rPr>
        <w:t>将分析试液（4.5.4.2）用选定的分析谱线进行氩等离子体光谱测定。仪器根据工作曲线</w:t>
      </w:r>
      <w:r>
        <w:rPr>
          <w:color w:val="auto"/>
          <w:szCs w:val="21"/>
        </w:rPr>
        <w:t>，自动进行数据处理，计算并输出</w:t>
      </w:r>
      <w:r>
        <w:rPr>
          <w:rFonts w:hint="eastAsia"/>
          <w:color w:val="auto"/>
          <w:szCs w:val="21"/>
        </w:rPr>
        <w:t>分析试液中待测</w:t>
      </w:r>
      <w:r>
        <w:rPr>
          <w:color w:val="auto"/>
          <w:szCs w:val="21"/>
        </w:rPr>
        <w:t>元素</w:t>
      </w:r>
      <w:r>
        <w:rPr>
          <w:rFonts w:hint="eastAsia"/>
          <w:color w:val="auto"/>
          <w:szCs w:val="21"/>
        </w:rPr>
        <w:t>的质量浓度</w:t>
      </w:r>
      <w:r>
        <w:rPr>
          <w:color w:val="auto"/>
          <w:szCs w:val="21"/>
        </w:rPr>
        <w:t>。</w:t>
      </w:r>
    </w:p>
    <w:p w14:paraId="18ADBDE5">
      <w:pPr>
        <w:pStyle w:val="53"/>
        <w:snapToGrid w:val="0"/>
        <w:spacing w:before="156" w:after="156"/>
        <w:rPr>
          <w:rFonts w:ascii="Times New Roman"/>
          <w:color w:val="auto"/>
        </w:rPr>
      </w:pPr>
      <w:r>
        <w:rPr>
          <w:rFonts w:hint="eastAsia" w:hAnsi="黑体" w:cs="黑体"/>
          <w:color w:val="auto"/>
          <w:kern w:val="2"/>
          <w:szCs w:val="21"/>
        </w:rPr>
        <w:t>4.6</w:t>
      </w:r>
      <w:r>
        <w:rPr>
          <w:rFonts w:hint="eastAsia" w:ascii="Times New Roman"/>
          <w:color w:val="auto"/>
        </w:rPr>
        <w:t xml:space="preserve"> 试验数据处理</w:t>
      </w:r>
    </w:p>
    <w:p w14:paraId="61A25871">
      <w:pPr>
        <w:spacing w:line="400" w:lineRule="exact"/>
        <w:ind w:firstLine="420" w:firstLineChars="200"/>
        <w:rPr>
          <w:color w:val="auto"/>
          <w:szCs w:val="21"/>
        </w:rPr>
      </w:pPr>
      <w:r>
        <w:rPr>
          <w:rFonts w:hint="eastAsia"/>
          <w:color w:val="auto"/>
          <w:szCs w:val="21"/>
          <w:lang w:val="en-US" w:eastAsia="zh-CN"/>
        </w:rPr>
        <w:t>钼或钨的</w:t>
      </w:r>
      <w:r>
        <w:rPr>
          <w:rFonts w:hint="eastAsia"/>
          <w:color w:val="auto"/>
          <w:szCs w:val="21"/>
        </w:rPr>
        <w:t>含量</w:t>
      </w:r>
      <w:r>
        <w:rPr>
          <w:rFonts w:hint="eastAsia"/>
          <w:color w:val="auto"/>
          <w:szCs w:val="21"/>
          <w:lang w:val="en-US" w:eastAsia="zh-CN"/>
        </w:rPr>
        <w:t>以</w:t>
      </w:r>
      <w:r>
        <w:rPr>
          <w:rFonts w:hint="eastAsia"/>
          <w:color w:val="auto"/>
          <w:szCs w:val="21"/>
        </w:rPr>
        <w:t>质量分数</w:t>
      </w:r>
      <w:r>
        <w:rPr>
          <w:rFonts w:hint="eastAsia" w:eastAsia="微软雅黑"/>
          <w:i/>
          <w:iCs/>
          <w:color w:val="auto"/>
          <w:szCs w:val="21"/>
          <w:lang w:eastAsia="zh-CN"/>
        </w:rPr>
        <w:t>w</w:t>
      </w:r>
      <w:r>
        <w:rPr>
          <w:rFonts w:hint="eastAsia"/>
          <w:color w:val="auto"/>
          <w:szCs w:val="21"/>
        </w:rPr>
        <w:t>（</w:t>
      </w:r>
      <w:r>
        <w:rPr>
          <w:rFonts w:hint="eastAsia" w:eastAsia="微软雅黑"/>
          <w:b w:val="0"/>
          <w:bCs w:val="0"/>
          <w:i/>
          <w:iCs/>
          <w:color w:val="auto"/>
          <w:szCs w:val="21"/>
          <w:lang w:val="en-US" w:eastAsia="zh-CN"/>
        </w:rPr>
        <w:t>i</w:t>
      </w:r>
      <w:r>
        <w:rPr>
          <w:rFonts w:hint="eastAsia"/>
          <w:color w:val="auto"/>
          <w:szCs w:val="21"/>
        </w:rPr>
        <w:t>）计，按公式（1）计算：</w:t>
      </w:r>
    </w:p>
    <w:p w14:paraId="323C3469">
      <w:pPr>
        <w:jc w:val="right"/>
        <w:rPr>
          <w:color w:val="auto"/>
          <w:szCs w:val="21"/>
        </w:rPr>
      </w:pPr>
      <w:r>
        <w:rPr>
          <w:rFonts w:hint="eastAsia"/>
          <w:color w:val="auto"/>
          <w:position w:val="-28"/>
          <w:sz w:val="18"/>
        </w:rPr>
        <w:object>
          <v:shape id="_x0000_i1025" o:spt="75" alt="" type="#_x0000_t75" style="height:29.15pt;width:224.65pt;" o:ole="t" filled="f" o:preferrelative="t" stroked="f" coordsize="21600,21600">
            <v:path/>
            <v:fill on="f" focussize="0,0"/>
            <v:stroke on="f"/>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color w:val="auto"/>
          <w:szCs w:val="21"/>
        </w:rPr>
        <w:t>………………………………（1）</w:t>
      </w:r>
    </w:p>
    <w:p w14:paraId="2C64C661">
      <w:pPr>
        <w:spacing w:line="400" w:lineRule="exact"/>
        <w:ind w:firstLine="420" w:firstLineChars="200"/>
        <w:rPr>
          <w:iCs/>
          <w:color w:val="auto"/>
          <w:szCs w:val="21"/>
        </w:rPr>
      </w:pPr>
      <w:r>
        <w:rPr>
          <w:rFonts w:hint="eastAsia"/>
          <w:color w:val="auto"/>
          <w:szCs w:val="21"/>
        </w:rPr>
        <w:t>式中：</w:t>
      </w:r>
    </w:p>
    <w:p w14:paraId="7275F9B0">
      <w:pPr>
        <w:ind w:firstLine="420" w:firstLineChars="200"/>
        <w:jc w:val="left"/>
        <w:rPr>
          <w:color w:val="auto"/>
          <w:szCs w:val="21"/>
        </w:rPr>
      </w:pPr>
      <w:r>
        <w:rPr>
          <w:i/>
          <w:color w:val="auto"/>
          <w:szCs w:val="21"/>
        </w:rPr>
        <w:t>ρ</w:t>
      </w:r>
      <w:r>
        <w:rPr>
          <w:rFonts w:hint="eastAsia"/>
          <w:i w:val="0"/>
          <w:iCs/>
          <w:color w:val="auto"/>
          <w:szCs w:val="21"/>
          <w:vertAlign w:val="subscript"/>
          <w:lang w:val="en-US" w:eastAsia="zh-CN"/>
        </w:rPr>
        <w:t>1</w:t>
      </w:r>
      <w:r>
        <w:rPr>
          <w:rFonts w:hint="eastAsia"/>
          <w:i/>
          <w:color w:val="auto"/>
          <w:szCs w:val="21"/>
          <w:vertAlign w:val="subscript"/>
        </w:rPr>
        <w:t xml:space="preserve"> </w:t>
      </w:r>
      <w:r>
        <w:rPr>
          <w:rFonts w:hint="eastAsia"/>
          <w:i/>
          <w:color w:val="auto"/>
          <w:szCs w:val="21"/>
        </w:rPr>
        <w:t xml:space="preserve">—— </w:t>
      </w:r>
      <w:r>
        <w:rPr>
          <w:rFonts w:hint="eastAsia"/>
          <w:iCs/>
          <w:color w:val="auto"/>
          <w:szCs w:val="21"/>
        </w:rPr>
        <w:t>自工作曲线上查得的或计算机输出的分析试液（</w:t>
      </w:r>
      <w:r>
        <w:rPr>
          <w:rFonts w:hint="eastAsia"/>
          <w:color w:val="auto"/>
          <w:szCs w:val="21"/>
        </w:rPr>
        <w:t>4.5.4.2）中待测元素的质量浓度，单位为微克每毫升</w:t>
      </w:r>
      <w:r>
        <w:rPr>
          <w:color w:val="auto"/>
          <w:szCs w:val="21"/>
        </w:rPr>
        <w:t>（</w:t>
      </w:r>
      <w:r>
        <w:rPr>
          <w:rFonts w:hint="eastAsia"/>
          <w:b w:val="0"/>
          <w:i w:val="0"/>
          <w:iCs w:val="0"/>
          <w:color w:val="auto"/>
          <w:szCs w:val="21"/>
          <w:lang w:eastAsia="zh-CN"/>
        </w:rPr>
        <w:t>µ</w:t>
      </w:r>
      <w:r>
        <w:rPr>
          <w:color w:val="auto"/>
          <w:szCs w:val="21"/>
        </w:rPr>
        <w:t>g/mL）</w:t>
      </w:r>
      <w:r>
        <w:rPr>
          <w:rFonts w:hint="eastAsia"/>
          <w:color w:val="auto"/>
          <w:szCs w:val="21"/>
        </w:rPr>
        <w:t>；</w:t>
      </w:r>
    </w:p>
    <w:p w14:paraId="27DE449A">
      <w:pPr>
        <w:ind w:firstLine="420" w:firstLineChars="200"/>
        <w:jc w:val="left"/>
        <w:rPr>
          <w:color w:val="auto"/>
          <w:szCs w:val="21"/>
        </w:rPr>
      </w:pPr>
      <w:r>
        <w:rPr>
          <w:i/>
          <w:color w:val="auto"/>
          <w:szCs w:val="21"/>
        </w:rPr>
        <w:t>ρ</w:t>
      </w:r>
      <w:r>
        <w:rPr>
          <w:i w:val="0"/>
          <w:iCs/>
          <w:color w:val="auto"/>
          <w:szCs w:val="21"/>
          <w:vertAlign w:val="subscript"/>
        </w:rPr>
        <w:t>0</w:t>
      </w:r>
      <w:r>
        <w:rPr>
          <w:rFonts w:hint="eastAsia"/>
          <w:i/>
          <w:color w:val="auto"/>
          <w:szCs w:val="21"/>
          <w:vertAlign w:val="subscript"/>
        </w:rPr>
        <w:t xml:space="preserve"> </w:t>
      </w:r>
      <w:r>
        <w:rPr>
          <w:rFonts w:hint="eastAsia"/>
          <w:i/>
          <w:color w:val="auto"/>
          <w:szCs w:val="21"/>
        </w:rPr>
        <w:t xml:space="preserve">—— </w:t>
      </w:r>
      <w:r>
        <w:rPr>
          <w:rFonts w:hint="eastAsia"/>
          <w:iCs/>
          <w:color w:val="auto"/>
          <w:szCs w:val="21"/>
        </w:rPr>
        <w:t>自工作曲线上查得的或计算机输出的</w:t>
      </w:r>
      <w:r>
        <w:rPr>
          <w:rFonts w:hint="eastAsia"/>
          <w:color w:val="auto"/>
          <w:szCs w:val="21"/>
        </w:rPr>
        <w:t>空白试液（4.5.3）溶液中待测元素的质量浓度，单位</w:t>
      </w:r>
      <w:r>
        <w:rPr>
          <w:rFonts w:hint="eastAsia"/>
          <w:color w:val="auto"/>
          <w:szCs w:val="21"/>
          <w:lang w:eastAsia="zh-CN"/>
        </w:rPr>
        <w:t>为</w:t>
      </w:r>
      <w:r>
        <w:rPr>
          <w:rFonts w:hint="eastAsia"/>
          <w:color w:val="auto"/>
          <w:szCs w:val="21"/>
        </w:rPr>
        <w:t>微克每毫升</w:t>
      </w:r>
      <w:r>
        <w:rPr>
          <w:color w:val="auto"/>
          <w:szCs w:val="21"/>
        </w:rPr>
        <w:t>（</w:t>
      </w:r>
      <w:r>
        <w:rPr>
          <w:rFonts w:hint="eastAsia"/>
          <w:b w:val="0"/>
          <w:i w:val="0"/>
          <w:iCs w:val="0"/>
          <w:color w:val="auto"/>
          <w:szCs w:val="21"/>
          <w:lang w:eastAsia="zh-CN"/>
        </w:rPr>
        <w:t>µ</w:t>
      </w:r>
      <w:r>
        <w:rPr>
          <w:color w:val="auto"/>
          <w:szCs w:val="21"/>
        </w:rPr>
        <w:t>g/mL）</w:t>
      </w:r>
      <w:r>
        <w:rPr>
          <w:rFonts w:hint="eastAsia"/>
          <w:color w:val="auto"/>
          <w:szCs w:val="21"/>
        </w:rPr>
        <w:t>；</w:t>
      </w:r>
    </w:p>
    <w:p w14:paraId="4B2A32FC">
      <w:pPr>
        <w:ind w:firstLine="420" w:firstLineChars="200"/>
        <w:jc w:val="left"/>
        <w:rPr>
          <w:color w:val="auto"/>
          <w:szCs w:val="21"/>
        </w:rPr>
      </w:pPr>
      <w:r>
        <w:rPr>
          <w:rFonts w:hint="eastAsia"/>
          <w:i/>
          <w:color w:val="auto"/>
          <w:szCs w:val="21"/>
        </w:rPr>
        <w:t>V</w:t>
      </w:r>
      <w:r>
        <w:rPr>
          <w:rFonts w:hint="eastAsia"/>
          <w:color w:val="auto"/>
          <w:szCs w:val="21"/>
          <w:vertAlign w:val="subscript"/>
        </w:rPr>
        <w:t xml:space="preserve">0 </w:t>
      </w:r>
      <w:r>
        <w:rPr>
          <w:rFonts w:hint="eastAsia"/>
          <w:i/>
          <w:color w:val="auto"/>
          <w:szCs w:val="21"/>
        </w:rPr>
        <w:t xml:space="preserve">—— </w:t>
      </w:r>
      <w:r>
        <w:rPr>
          <w:rFonts w:hint="eastAsia"/>
          <w:color w:val="auto"/>
          <w:szCs w:val="21"/>
        </w:rPr>
        <w:t>试液（4.5.4.1）的总体积，单位为毫升（mL）；</w:t>
      </w:r>
    </w:p>
    <w:p w14:paraId="44EF5F21">
      <w:pPr>
        <w:ind w:firstLine="420" w:firstLineChars="200"/>
        <w:jc w:val="left"/>
        <w:rPr>
          <w:color w:val="auto"/>
          <w:szCs w:val="21"/>
        </w:rPr>
      </w:pPr>
      <w:r>
        <w:rPr>
          <w:rFonts w:hint="eastAsia"/>
          <w:i/>
          <w:color w:val="auto"/>
          <w:szCs w:val="21"/>
        </w:rPr>
        <w:t>V</w:t>
      </w:r>
      <w:r>
        <w:rPr>
          <w:rFonts w:hint="eastAsia"/>
          <w:iCs/>
          <w:color w:val="auto"/>
          <w:szCs w:val="21"/>
          <w:vertAlign w:val="subscript"/>
        </w:rPr>
        <w:t>1</w:t>
      </w:r>
      <w:r>
        <w:rPr>
          <w:rFonts w:hint="eastAsia"/>
          <w:i/>
          <w:color w:val="auto"/>
          <w:szCs w:val="21"/>
        </w:rPr>
        <w:t xml:space="preserve"> ——</w:t>
      </w:r>
      <w:r>
        <w:rPr>
          <w:rFonts w:hint="eastAsia"/>
          <w:color w:val="auto"/>
          <w:szCs w:val="21"/>
        </w:rPr>
        <w:t xml:space="preserve"> 分析试液（4.5.4.2）的体积，单位为毫升（mL）；</w:t>
      </w:r>
    </w:p>
    <w:p w14:paraId="5E888893">
      <w:pPr>
        <w:ind w:firstLine="420" w:firstLineChars="200"/>
        <w:jc w:val="left"/>
        <w:rPr>
          <w:rFonts w:hint="eastAsia" w:eastAsia="宋体"/>
          <w:i/>
          <w:color w:val="auto"/>
          <w:szCs w:val="21"/>
          <w:lang w:eastAsia="zh-CN"/>
        </w:rPr>
      </w:pPr>
      <w:r>
        <w:rPr>
          <w:i/>
          <w:iCs w:val="0"/>
          <w:color w:val="auto"/>
          <w:szCs w:val="21"/>
        </w:rPr>
        <w:t>m</w:t>
      </w:r>
      <w:r>
        <w:rPr>
          <w:i w:val="0"/>
          <w:iCs/>
          <w:color w:val="auto"/>
          <w:szCs w:val="21"/>
          <w:vertAlign w:val="subscript"/>
        </w:rPr>
        <w:t>1</w:t>
      </w:r>
      <w:r>
        <w:rPr>
          <w:rFonts w:hint="eastAsia"/>
          <w:color w:val="auto"/>
          <w:szCs w:val="21"/>
          <w:vertAlign w:val="subscript"/>
        </w:rPr>
        <w:t xml:space="preserve"> </w:t>
      </w:r>
      <w:r>
        <w:rPr>
          <w:rFonts w:hint="eastAsia"/>
          <w:i/>
          <w:color w:val="auto"/>
          <w:szCs w:val="21"/>
        </w:rPr>
        <w:t xml:space="preserve">—— </w:t>
      </w:r>
      <w:r>
        <w:rPr>
          <w:rFonts w:hint="eastAsia"/>
          <w:color w:val="auto"/>
          <w:szCs w:val="21"/>
        </w:rPr>
        <w:t>试料（4.5.1）的质量，单位为克（g）</w:t>
      </w:r>
      <w:r>
        <w:rPr>
          <w:rFonts w:hint="eastAsia"/>
          <w:color w:val="auto"/>
          <w:szCs w:val="21"/>
          <w:lang w:eastAsia="zh-CN"/>
        </w:rPr>
        <w:t>；</w:t>
      </w:r>
    </w:p>
    <w:p w14:paraId="3F196682">
      <w:pPr>
        <w:ind w:firstLine="420" w:firstLineChars="200"/>
        <w:jc w:val="left"/>
        <w:rPr>
          <w:color w:val="auto"/>
        </w:rPr>
      </w:pPr>
      <w:r>
        <w:rPr>
          <w:rFonts w:hint="eastAsia"/>
          <w:i/>
          <w:color w:val="auto"/>
          <w:szCs w:val="21"/>
        </w:rPr>
        <w:t>V</w:t>
      </w:r>
      <w:r>
        <w:rPr>
          <w:rFonts w:hint="eastAsia"/>
          <w:i w:val="0"/>
          <w:iCs/>
          <w:color w:val="auto"/>
          <w:szCs w:val="21"/>
          <w:vertAlign w:val="subscript"/>
        </w:rPr>
        <w:t>2</w:t>
      </w:r>
      <w:r>
        <w:rPr>
          <w:rFonts w:hint="eastAsia"/>
          <w:i/>
          <w:color w:val="auto"/>
          <w:szCs w:val="21"/>
        </w:rPr>
        <w:t xml:space="preserve"> ——</w:t>
      </w:r>
      <w:r>
        <w:rPr>
          <w:rFonts w:hint="eastAsia"/>
          <w:color w:val="auto"/>
          <w:szCs w:val="21"/>
        </w:rPr>
        <w:t xml:space="preserve"> 分取试液（4.5.4.1）的体积，单位为毫升（mL）。</w:t>
      </w:r>
    </w:p>
    <w:p w14:paraId="146A50E4">
      <w:pPr>
        <w:snapToGrid w:val="0"/>
        <w:ind w:firstLine="420" w:firstLineChars="200"/>
        <w:rPr>
          <w:color w:val="auto"/>
          <w:kern w:val="0"/>
          <w:szCs w:val="20"/>
        </w:rPr>
      </w:pPr>
      <w:r>
        <w:rPr>
          <w:rFonts w:hint="eastAsia"/>
          <w:color w:val="auto"/>
          <w:kern w:val="0"/>
          <w:szCs w:val="20"/>
        </w:rPr>
        <w:t>两次平行测定结果的绝对差值不大于表2中相应重复性限时，取其平均值作为测定结果，所得结果保留两位有效数字，数值修约按照GB/T 8170规定执行。</w:t>
      </w:r>
    </w:p>
    <w:bookmarkEnd w:id="1"/>
    <w:p w14:paraId="61D95CC4">
      <w:pPr>
        <w:pStyle w:val="53"/>
        <w:snapToGrid w:val="0"/>
        <w:spacing w:before="156" w:after="156"/>
        <w:rPr>
          <w:rFonts w:ascii="Times New Roman"/>
          <w:color w:val="auto"/>
        </w:rPr>
      </w:pPr>
      <w:r>
        <w:rPr>
          <w:rFonts w:hint="eastAsia" w:hAnsi="黑体" w:cs="黑体"/>
          <w:color w:val="auto"/>
          <w:kern w:val="2"/>
          <w:szCs w:val="21"/>
        </w:rPr>
        <w:t xml:space="preserve">4.7 </w:t>
      </w:r>
      <w:r>
        <w:rPr>
          <w:rFonts w:hint="eastAsia" w:ascii="Times New Roman"/>
          <w:color w:val="auto"/>
        </w:rPr>
        <w:t>精密度</w:t>
      </w:r>
    </w:p>
    <w:p w14:paraId="206F2DD5">
      <w:pPr>
        <w:pStyle w:val="53"/>
        <w:snapToGrid w:val="0"/>
        <w:spacing w:before="156" w:after="156"/>
        <w:rPr>
          <w:rFonts w:ascii="Times New Roman"/>
          <w:color w:val="auto"/>
        </w:rPr>
      </w:pPr>
      <w:r>
        <w:rPr>
          <w:rFonts w:hint="eastAsia" w:hAnsi="黑体" w:cs="黑体"/>
          <w:color w:val="auto"/>
          <w:kern w:val="2"/>
          <w:szCs w:val="21"/>
        </w:rPr>
        <w:t>4.7.1</w:t>
      </w:r>
      <w:r>
        <w:rPr>
          <w:rFonts w:hint="eastAsia" w:ascii="Times New Roman"/>
          <w:color w:val="auto"/>
        </w:rPr>
        <w:t xml:space="preserve"> 精密度原始数据及统计分析</w:t>
      </w:r>
    </w:p>
    <w:p w14:paraId="72FE998D">
      <w:pPr>
        <w:pStyle w:val="43"/>
        <w:adjustRightInd w:val="0"/>
        <w:snapToGrid w:val="0"/>
        <w:ind w:firstLine="420"/>
        <w:rPr>
          <w:rFonts w:ascii="Times New Roman"/>
          <w:color w:val="auto"/>
        </w:rPr>
      </w:pPr>
      <w:r>
        <w:rPr>
          <w:rFonts w:ascii="Times New Roman"/>
          <w:color w:val="auto"/>
        </w:rPr>
        <w:t>精密度数据是在</w:t>
      </w:r>
      <w:r>
        <w:rPr>
          <w:rFonts w:hint="eastAsia" w:ascii="Times New Roman"/>
          <w:color w:val="auto"/>
        </w:rPr>
        <w:t>2025</w:t>
      </w:r>
      <w:r>
        <w:rPr>
          <w:rFonts w:ascii="Times New Roman"/>
          <w:color w:val="auto"/>
        </w:rPr>
        <w:t>年由</w:t>
      </w:r>
      <w:r>
        <w:rPr>
          <w:rFonts w:hint="eastAsia" w:ascii="Times New Roman"/>
          <w:color w:val="auto"/>
        </w:rPr>
        <w:t>7</w:t>
      </w:r>
      <w:r>
        <w:rPr>
          <w:rFonts w:ascii="Times New Roman"/>
          <w:color w:val="auto"/>
        </w:rPr>
        <w:t>家</w:t>
      </w:r>
      <w:r>
        <w:rPr>
          <w:rFonts w:hint="eastAsia" w:ascii="Times New Roman"/>
          <w:color w:val="auto"/>
        </w:rPr>
        <w:t>实验</w:t>
      </w:r>
      <w:r>
        <w:rPr>
          <w:rFonts w:ascii="Times New Roman"/>
          <w:color w:val="auto"/>
        </w:rPr>
        <w:t>室对</w:t>
      </w:r>
      <w:r>
        <w:rPr>
          <w:rFonts w:hint="eastAsia" w:ascii="Times New Roman"/>
          <w:color w:val="auto"/>
          <w:lang w:val="en-US" w:eastAsia="zh-CN"/>
        </w:rPr>
        <w:t>4</w:t>
      </w:r>
      <w:r>
        <w:rPr>
          <w:rFonts w:ascii="Times New Roman"/>
          <w:color w:val="auto"/>
        </w:rPr>
        <w:t>个不同</w:t>
      </w:r>
      <w:r>
        <w:rPr>
          <w:rFonts w:hint="eastAsia" w:ascii="Times New Roman"/>
          <w:color w:val="auto"/>
        </w:rPr>
        <w:t>钼、钨含量</w:t>
      </w:r>
      <w:r>
        <w:rPr>
          <w:rFonts w:ascii="Times New Roman"/>
          <w:color w:val="auto"/>
        </w:rPr>
        <w:t>的水平样品进行共同试验确定的。每个实验室对每个水平的</w:t>
      </w:r>
      <w:r>
        <w:rPr>
          <w:rFonts w:hint="eastAsia" w:ascii="Times New Roman"/>
          <w:color w:val="auto"/>
        </w:rPr>
        <w:t>钼、钨</w:t>
      </w:r>
      <w:r>
        <w:rPr>
          <w:rFonts w:ascii="Times New Roman"/>
          <w:color w:val="auto"/>
        </w:rPr>
        <w:t>含量在重复性条件下独立测定</w:t>
      </w:r>
      <w:r>
        <w:rPr>
          <w:rFonts w:hint="eastAsia" w:ascii="Times New Roman"/>
          <w:color w:val="auto"/>
        </w:rPr>
        <w:t>11</w:t>
      </w:r>
      <w:r>
        <w:rPr>
          <w:rFonts w:ascii="Times New Roman"/>
          <w:color w:val="auto"/>
        </w:rPr>
        <w:t>次。共同试验数据按GB/T 6379.2进行统计分析。</w:t>
      </w:r>
    </w:p>
    <w:p w14:paraId="1E591AF0">
      <w:pPr>
        <w:pStyle w:val="53"/>
        <w:snapToGrid w:val="0"/>
        <w:spacing w:before="156" w:after="156"/>
        <w:rPr>
          <w:rFonts w:ascii="Times New Roman"/>
          <w:color w:val="auto"/>
        </w:rPr>
      </w:pPr>
      <w:r>
        <w:rPr>
          <w:rFonts w:hint="eastAsia" w:hAnsi="黑体" w:cs="黑体"/>
          <w:color w:val="auto"/>
          <w:kern w:val="2"/>
          <w:szCs w:val="21"/>
        </w:rPr>
        <w:t xml:space="preserve">4.7.2 </w:t>
      </w:r>
      <w:r>
        <w:rPr>
          <w:rFonts w:hint="eastAsia" w:ascii="Times New Roman"/>
          <w:color w:val="auto"/>
        </w:rPr>
        <w:t>重复性</w:t>
      </w:r>
    </w:p>
    <w:p w14:paraId="30A0938F">
      <w:pPr>
        <w:snapToGrid w:val="0"/>
        <w:ind w:firstLine="420" w:firstLineChars="200"/>
        <w:rPr>
          <w:color w:val="auto"/>
        </w:rPr>
      </w:pPr>
      <w:r>
        <w:rPr>
          <w:color w:val="auto"/>
        </w:rPr>
        <w:t>在重复性条件下获得的两次独立测试结果的绝对差值不超过重复性限（</w:t>
      </w:r>
      <w:r>
        <w:rPr>
          <w:i/>
          <w:color w:val="auto"/>
        </w:rPr>
        <w:t>r</w:t>
      </w:r>
      <w:r>
        <w:rPr>
          <w:color w:val="auto"/>
        </w:rPr>
        <w:t>），超过重复性限（</w:t>
      </w:r>
      <w:r>
        <w:rPr>
          <w:i/>
          <w:color w:val="auto"/>
        </w:rPr>
        <w:t>r</w:t>
      </w:r>
      <w:r>
        <w:rPr>
          <w:color w:val="auto"/>
        </w:rPr>
        <w:t>）的情况不超过5 %，重复性限（</w:t>
      </w:r>
      <w:r>
        <w:rPr>
          <w:i/>
          <w:color w:val="auto"/>
        </w:rPr>
        <w:t>r</w:t>
      </w:r>
      <w:r>
        <w:rPr>
          <w:color w:val="auto"/>
        </w:rPr>
        <w:t>）按表</w:t>
      </w:r>
      <w:r>
        <w:rPr>
          <w:rFonts w:hint="eastAsia"/>
          <w:color w:val="auto"/>
        </w:rPr>
        <w:t>2</w:t>
      </w:r>
      <w:r>
        <w:rPr>
          <w:color w:val="auto"/>
        </w:rPr>
        <w:t>数据采用线性内插法或外延法求得。</w:t>
      </w:r>
    </w:p>
    <w:p w14:paraId="3A8CCCA4">
      <w:pPr>
        <w:spacing w:before="156" w:beforeLines="50" w:after="156" w:afterLines="50" w:line="360" w:lineRule="exact"/>
        <w:jc w:val="center"/>
        <w:rPr>
          <w:rFonts w:eastAsia="黑体"/>
          <w:color w:val="auto"/>
        </w:rPr>
      </w:pPr>
      <w:r>
        <w:rPr>
          <w:rFonts w:eastAsia="黑体"/>
          <w:color w:val="auto"/>
        </w:rPr>
        <w:t>表</w:t>
      </w:r>
      <w:r>
        <w:rPr>
          <w:rFonts w:hint="eastAsia" w:eastAsia="黑体"/>
          <w:color w:val="auto"/>
        </w:rPr>
        <w:t>2</w:t>
      </w:r>
      <w:r>
        <w:rPr>
          <w:rFonts w:eastAsia="黑体"/>
          <w:color w:val="auto"/>
        </w:rPr>
        <w:t xml:space="preserve"> 重复性限</w:t>
      </w:r>
      <w:r>
        <w:rPr>
          <w:rFonts w:hint="eastAsia" w:eastAsia="黑体"/>
          <w:color w:val="auto"/>
        </w:rPr>
        <w:t>（</w:t>
      </w:r>
      <w:r>
        <w:rPr>
          <w:rFonts w:hint="eastAsia" w:eastAsia="黑体"/>
          <w:i/>
          <w:iCs/>
          <w:color w:val="auto"/>
        </w:rPr>
        <w:t>r</w:t>
      </w:r>
      <w:r>
        <w:rPr>
          <w:rFonts w:hint="eastAsia" w:eastAsia="黑体"/>
          <w:color w:val="auto"/>
        </w:rPr>
        <w:t>）</w:t>
      </w:r>
    </w:p>
    <w:tbl>
      <w:tblPr>
        <w:tblStyle w:val="25"/>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4"/>
        <w:gridCol w:w="1589"/>
        <w:gridCol w:w="1589"/>
        <w:gridCol w:w="1589"/>
        <w:gridCol w:w="1589"/>
        <w:gridCol w:w="1640"/>
      </w:tblGrid>
      <w:tr w14:paraId="5845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pct"/>
            <w:tcBorders>
              <w:left w:val="single" w:color="auto" w:sz="12" w:space="0"/>
              <w:bottom w:val="single" w:color="auto" w:sz="12" w:space="0"/>
            </w:tcBorders>
            <w:vAlign w:val="center"/>
          </w:tcPr>
          <w:p w14:paraId="234AC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元素</w:t>
            </w:r>
          </w:p>
        </w:tc>
        <w:tc>
          <w:tcPr>
            <w:tcW w:w="831" w:type="pct"/>
            <w:tcBorders>
              <w:bottom w:val="single" w:color="auto" w:sz="12" w:space="0"/>
            </w:tcBorders>
            <w:vAlign w:val="center"/>
          </w:tcPr>
          <w:p w14:paraId="25886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质量分数</w:t>
            </w:r>
          </w:p>
          <w:p w14:paraId="3FA38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831" w:type="pct"/>
            <w:tcBorders>
              <w:bottom w:val="single" w:color="auto" w:sz="12" w:space="0"/>
              <w:right w:val="double" w:color="auto" w:sz="4" w:space="0"/>
            </w:tcBorders>
            <w:vAlign w:val="center"/>
          </w:tcPr>
          <w:p w14:paraId="464BE8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重复性限（r）</w:t>
            </w:r>
          </w:p>
          <w:p w14:paraId="2A0B0A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831" w:type="pct"/>
            <w:tcBorders>
              <w:left w:val="double" w:color="auto" w:sz="4" w:space="0"/>
              <w:bottom w:val="single" w:color="auto" w:sz="12" w:space="0"/>
            </w:tcBorders>
            <w:vAlign w:val="center"/>
          </w:tcPr>
          <w:p w14:paraId="3220F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元素</w:t>
            </w:r>
          </w:p>
        </w:tc>
        <w:tc>
          <w:tcPr>
            <w:tcW w:w="831" w:type="pct"/>
            <w:tcBorders>
              <w:bottom w:val="single" w:color="auto" w:sz="12" w:space="0"/>
            </w:tcBorders>
            <w:vAlign w:val="center"/>
          </w:tcPr>
          <w:p w14:paraId="54CB3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质量分数</w:t>
            </w:r>
          </w:p>
          <w:p w14:paraId="2C7B6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853" w:type="pct"/>
            <w:tcBorders>
              <w:bottom w:val="single" w:color="auto" w:sz="12" w:space="0"/>
            </w:tcBorders>
            <w:vAlign w:val="center"/>
          </w:tcPr>
          <w:p w14:paraId="09F093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重复性限（r）</w:t>
            </w:r>
          </w:p>
          <w:p w14:paraId="14DC2C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r>
      <w:tr w14:paraId="3BCB6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restart"/>
            <w:tcBorders>
              <w:top w:val="single" w:color="auto" w:sz="12" w:space="0"/>
              <w:left w:val="single" w:color="auto" w:sz="12" w:space="0"/>
              <w:right w:val="single" w:color="auto" w:sz="4" w:space="0"/>
            </w:tcBorders>
            <w:vAlign w:val="center"/>
          </w:tcPr>
          <w:p w14:paraId="4DD9A4AC">
            <w:pPr>
              <w:spacing w:line="400" w:lineRule="exact"/>
              <w:jc w:val="center"/>
              <w:rPr>
                <w:color w:val="auto"/>
                <w:sz w:val="18"/>
                <w:szCs w:val="18"/>
              </w:rPr>
            </w:pPr>
            <w:r>
              <w:rPr>
                <w:rFonts w:hint="eastAsia"/>
                <w:color w:val="auto"/>
                <w:sz w:val="18"/>
                <w:szCs w:val="18"/>
              </w:rPr>
              <w:t>钼</w:t>
            </w:r>
          </w:p>
        </w:tc>
        <w:tc>
          <w:tcPr>
            <w:tcW w:w="831" w:type="pct"/>
            <w:tcBorders>
              <w:top w:val="single" w:color="auto" w:sz="12" w:space="0"/>
              <w:left w:val="single" w:color="auto" w:sz="4" w:space="0"/>
            </w:tcBorders>
            <w:vAlign w:val="center"/>
          </w:tcPr>
          <w:p w14:paraId="27CEC0A8">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0.0058</w:t>
            </w:r>
          </w:p>
        </w:tc>
        <w:tc>
          <w:tcPr>
            <w:tcW w:w="831" w:type="pct"/>
            <w:tcBorders>
              <w:top w:val="single" w:color="auto" w:sz="12" w:space="0"/>
              <w:right w:val="double" w:color="auto" w:sz="4" w:space="0"/>
            </w:tcBorders>
            <w:vAlign w:val="center"/>
          </w:tcPr>
          <w:p w14:paraId="6ED54D65">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0.0006</w:t>
            </w:r>
          </w:p>
        </w:tc>
        <w:tc>
          <w:tcPr>
            <w:tcW w:w="831" w:type="pct"/>
            <w:vMerge w:val="restart"/>
            <w:tcBorders>
              <w:top w:val="single" w:color="auto" w:sz="12" w:space="0"/>
              <w:left w:val="double" w:color="auto" w:sz="4" w:space="0"/>
            </w:tcBorders>
            <w:vAlign w:val="center"/>
          </w:tcPr>
          <w:p w14:paraId="2975D127">
            <w:pPr>
              <w:spacing w:line="400" w:lineRule="exact"/>
              <w:jc w:val="center"/>
              <w:rPr>
                <w:color w:val="auto"/>
                <w:sz w:val="18"/>
                <w:szCs w:val="18"/>
              </w:rPr>
            </w:pPr>
            <w:r>
              <w:rPr>
                <w:rFonts w:hint="eastAsia"/>
                <w:color w:val="auto"/>
                <w:sz w:val="18"/>
                <w:szCs w:val="18"/>
              </w:rPr>
              <w:t>钨</w:t>
            </w:r>
          </w:p>
        </w:tc>
        <w:tc>
          <w:tcPr>
            <w:tcW w:w="1589" w:type="dxa"/>
            <w:tcBorders>
              <w:top w:val="single" w:color="auto" w:sz="12" w:space="0"/>
            </w:tcBorders>
            <w:vAlign w:val="center"/>
          </w:tcPr>
          <w:p w14:paraId="17309353">
            <w:pPr>
              <w:spacing w:line="400" w:lineRule="exact"/>
              <w:jc w:val="center"/>
              <w:rPr>
                <w:color w:val="auto"/>
                <w:sz w:val="18"/>
                <w:szCs w:val="18"/>
              </w:rPr>
            </w:pPr>
            <w:r>
              <w:rPr>
                <w:rFonts w:hint="eastAsia"/>
                <w:color w:val="auto"/>
                <w:sz w:val="18"/>
                <w:szCs w:val="18"/>
                <w:lang w:val="en-US" w:eastAsia="zh-CN"/>
              </w:rPr>
              <w:t>0.0052</w:t>
            </w:r>
          </w:p>
        </w:tc>
        <w:tc>
          <w:tcPr>
            <w:tcW w:w="853" w:type="pct"/>
            <w:tcBorders>
              <w:top w:val="single" w:color="auto" w:sz="12" w:space="0"/>
            </w:tcBorders>
            <w:vAlign w:val="center"/>
          </w:tcPr>
          <w:p w14:paraId="283E77C5">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0.0006</w:t>
            </w:r>
          </w:p>
        </w:tc>
      </w:tr>
      <w:tr w14:paraId="647F7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tcBorders>
              <w:left w:val="single" w:color="auto" w:sz="12" w:space="0"/>
              <w:right w:val="single" w:color="auto" w:sz="4" w:space="0"/>
            </w:tcBorders>
            <w:vAlign w:val="center"/>
          </w:tcPr>
          <w:p w14:paraId="1348D5A8">
            <w:pPr>
              <w:spacing w:line="400" w:lineRule="exact"/>
              <w:jc w:val="center"/>
              <w:rPr>
                <w:color w:val="auto"/>
                <w:sz w:val="18"/>
                <w:szCs w:val="18"/>
              </w:rPr>
            </w:pPr>
          </w:p>
        </w:tc>
        <w:tc>
          <w:tcPr>
            <w:tcW w:w="831" w:type="pct"/>
            <w:tcBorders>
              <w:left w:val="single" w:color="auto" w:sz="4" w:space="0"/>
            </w:tcBorders>
            <w:vAlign w:val="center"/>
          </w:tcPr>
          <w:p w14:paraId="02C603E1">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0.047</w:t>
            </w:r>
          </w:p>
        </w:tc>
        <w:tc>
          <w:tcPr>
            <w:tcW w:w="831" w:type="pct"/>
            <w:tcBorders>
              <w:right w:val="double" w:color="auto" w:sz="4" w:space="0"/>
            </w:tcBorders>
            <w:vAlign w:val="center"/>
          </w:tcPr>
          <w:p w14:paraId="2BA59DE1">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0.003</w:t>
            </w:r>
          </w:p>
        </w:tc>
        <w:tc>
          <w:tcPr>
            <w:tcW w:w="831" w:type="pct"/>
            <w:vMerge w:val="continue"/>
            <w:tcBorders>
              <w:left w:val="double" w:color="auto" w:sz="4" w:space="0"/>
            </w:tcBorders>
            <w:vAlign w:val="center"/>
          </w:tcPr>
          <w:p w14:paraId="2511FAF3">
            <w:pPr>
              <w:spacing w:line="400" w:lineRule="exact"/>
              <w:jc w:val="center"/>
              <w:rPr>
                <w:color w:val="auto"/>
                <w:sz w:val="18"/>
                <w:szCs w:val="18"/>
              </w:rPr>
            </w:pPr>
          </w:p>
        </w:tc>
        <w:tc>
          <w:tcPr>
            <w:tcW w:w="1589" w:type="dxa"/>
            <w:vAlign w:val="center"/>
          </w:tcPr>
          <w:p w14:paraId="020825F9">
            <w:pPr>
              <w:spacing w:line="400" w:lineRule="exact"/>
              <w:jc w:val="center"/>
              <w:rPr>
                <w:color w:val="auto"/>
                <w:sz w:val="18"/>
                <w:szCs w:val="18"/>
              </w:rPr>
            </w:pPr>
            <w:r>
              <w:rPr>
                <w:rFonts w:hint="eastAsia"/>
                <w:color w:val="auto"/>
                <w:sz w:val="18"/>
                <w:szCs w:val="18"/>
                <w:lang w:val="en-US" w:eastAsia="zh-CN"/>
              </w:rPr>
              <w:t>0.013</w:t>
            </w:r>
          </w:p>
        </w:tc>
        <w:tc>
          <w:tcPr>
            <w:tcW w:w="853" w:type="pct"/>
            <w:vAlign w:val="center"/>
          </w:tcPr>
          <w:p w14:paraId="7DE6109B">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0.002</w:t>
            </w:r>
          </w:p>
        </w:tc>
      </w:tr>
      <w:tr w14:paraId="5D14F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tcBorders>
              <w:left w:val="single" w:color="auto" w:sz="12" w:space="0"/>
              <w:right w:val="single" w:color="auto" w:sz="4" w:space="0"/>
            </w:tcBorders>
            <w:vAlign w:val="center"/>
          </w:tcPr>
          <w:p w14:paraId="39A02389">
            <w:pPr>
              <w:spacing w:line="400" w:lineRule="exact"/>
              <w:jc w:val="center"/>
              <w:rPr>
                <w:color w:val="auto"/>
                <w:sz w:val="18"/>
                <w:szCs w:val="18"/>
              </w:rPr>
            </w:pPr>
          </w:p>
        </w:tc>
        <w:tc>
          <w:tcPr>
            <w:tcW w:w="831" w:type="pct"/>
            <w:tcBorders>
              <w:left w:val="single" w:color="auto" w:sz="4" w:space="0"/>
            </w:tcBorders>
            <w:vAlign w:val="center"/>
          </w:tcPr>
          <w:p w14:paraId="0BAEC48B">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0.38</w:t>
            </w:r>
          </w:p>
        </w:tc>
        <w:tc>
          <w:tcPr>
            <w:tcW w:w="831" w:type="pct"/>
            <w:tcBorders>
              <w:right w:val="double" w:color="auto" w:sz="4" w:space="0"/>
            </w:tcBorders>
            <w:vAlign w:val="center"/>
          </w:tcPr>
          <w:p w14:paraId="5985FE17">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0.03</w:t>
            </w:r>
          </w:p>
        </w:tc>
        <w:tc>
          <w:tcPr>
            <w:tcW w:w="831" w:type="pct"/>
            <w:vMerge w:val="continue"/>
            <w:tcBorders>
              <w:left w:val="double" w:color="auto" w:sz="4" w:space="0"/>
            </w:tcBorders>
            <w:vAlign w:val="center"/>
          </w:tcPr>
          <w:p w14:paraId="132CF46B">
            <w:pPr>
              <w:spacing w:line="400" w:lineRule="exact"/>
              <w:jc w:val="center"/>
              <w:rPr>
                <w:color w:val="auto"/>
                <w:sz w:val="18"/>
                <w:szCs w:val="18"/>
              </w:rPr>
            </w:pPr>
          </w:p>
        </w:tc>
        <w:tc>
          <w:tcPr>
            <w:tcW w:w="1589" w:type="dxa"/>
            <w:vAlign w:val="center"/>
          </w:tcPr>
          <w:p w14:paraId="579257C1">
            <w:pPr>
              <w:spacing w:line="400" w:lineRule="exact"/>
              <w:jc w:val="center"/>
              <w:rPr>
                <w:color w:val="auto"/>
                <w:sz w:val="18"/>
                <w:szCs w:val="18"/>
              </w:rPr>
            </w:pPr>
            <w:r>
              <w:rPr>
                <w:rFonts w:hint="eastAsia"/>
                <w:color w:val="auto"/>
                <w:sz w:val="18"/>
                <w:szCs w:val="18"/>
                <w:lang w:val="en-US" w:eastAsia="zh-CN"/>
              </w:rPr>
              <w:t>0.049</w:t>
            </w:r>
          </w:p>
        </w:tc>
        <w:tc>
          <w:tcPr>
            <w:tcW w:w="853" w:type="pct"/>
            <w:vAlign w:val="center"/>
          </w:tcPr>
          <w:p w14:paraId="094639D4">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0.004</w:t>
            </w:r>
          </w:p>
        </w:tc>
      </w:tr>
      <w:tr w14:paraId="5A920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tcBorders>
              <w:left w:val="single" w:color="auto" w:sz="12" w:space="0"/>
              <w:bottom w:val="single" w:color="auto" w:sz="4" w:space="0"/>
              <w:right w:val="single" w:color="auto" w:sz="4" w:space="0"/>
            </w:tcBorders>
            <w:vAlign w:val="center"/>
          </w:tcPr>
          <w:p w14:paraId="1C99D7C1">
            <w:pPr>
              <w:spacing w:line="400" w:lineRule="exact"/>
              <w:jc w:val="center"/>
              <w:rPr>
                <w:color w:val="auto"/>
                <w:sz w:val="18"/>
                <w:szCs w:val="18"/>
              </w:rPr>
            </w:pPr>
          </w:p>
        </w:tc>
        <w:tc>
          <w:tcPr>
            <w:tcW w:w="831" w:type="pct"/>
            <w:tcBorders>
              <w:left w:val="single" w:color="auto" w:sz="4" w:space="0"/>
            </w:tcBorders>
            <w:vAlign w:val="center"/>
          </w:tcPr>
          <w:p w14:paraId="2B1D6023">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831" w:type="pct"/>
            <w:tcBorders>
              <w:right w:val="double" w:color="auto" w:sz="4" w:space="0"/>
            </w:tcBorders>
            <w:vAlign w:val="center"/>
          </w:tcPr>
          <w:p w14:paraId="59941082">
            <w:pPr>
              <w:spacing w:line="40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831" w:type="pct"/>
            <w:vMerge w:val="continue"/>
            <w:tcBorders>
              <w:left w:val="double" w:color="auto" w:sz="4" w:space="0"/>
            </w:tcBorders>
            <w:vAlign w:val="center"/>
          </w:tcPr>
          <w:p w14:paraId="04613529">
            <w:pPr>
              <w:spacing w:line="400" w:lineRule="exact"/>
              <w:jc w:val="center"/>
              <w:rPr>
                <w:color w:val="auto"/>
                <w:sz w:val="18"/>
                <w:szCs w:val="18"/>
              </w:rPr>
            </w:pPr>
          </w:p>
        </w:tc>
        <w:tc>
          <w:tcPr>
            <w:tcW w:w="1589" w:type="dxa"/>
            <w:vAlign w:val="center"/>
          </w:tcPr>
          <w:p w14:paraId="461D010E">
            <w:pPr>
              <w:spacing w:line="400" w:lineRule="exact"/>
              <w:jc w:val="center"/>
              <w:rPr>
                <w:rFonts w:hint="default"/>
                <w:color w:val="auto"/>
                <w:sz w:val="18"/>
                <w:szCs w:val="18"/>
                <w:lang w:val="en-US"/>
              </w:rPr>
            </w:pPr>
            <w:r>
              <w:rPr>
                <w:rFonts w:hint="eastAsia"/>
                <w:color w:val="auto"/>
                <w:sz w:val="18"/>
                <w:szCs w:val="18"/>
                <w:lang w:val="en-US" w:eastAsia="zh-CN"/>
              </w:rPr>
              <w:t>0.40</w:t>
            </w:r>
          </w:p>
        </w:tc>
        <w:tc>
          <w:tcPr>
            <w:tcW w:w="853" w:type="pct"/>
            <w:vAlign w:val="center"/>
          </w:tcPr>
          <w:p w14:paraId="70F56BF8">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0.03</w:t>
            </w:r>
          </w:p>
        </w:tc>
      </w:tr>
      <w:tr w14:paraId="2FC40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pct"/>
            <w:gridSpan w:val="6"/>
            <w:tcBorders>
              <w:left w:val="single" w:color="auto" w:sz="12" w:space="0"/>
            </w:tcBorders>
            <w:vAlign w:val="center"/>
          </w:tcPr>
          <w:p w14:paraId="683B547B">
            <w:pPr>
              <w:spacing w:line="400" w:lineRule="exact"/>
              <w:jc w:val="left"/>
              <w:rPr>
                <w:color w:val="auto"/>
                <w:sz w:val="18"/>
                <w:szCs w:val="18"/>
              </w:rPr>
            </w:pPr>
            <w:r>
              <w:rPr>
                <w:rFonts w:hint="eastAsia" w:ascii="黑体" w:hAnsi="黑体" w:eastAsia="黑体" w:cs="黑体"/>
                <w:color w:val="auto"/>
                <w:sz w:val="18"/>
                <w:szCs w:val="18"/>
              </w:rPr>
              <w:t>注：</w:t>
            </w:r>
            <w:r>
              <w:rPr>
                <w:rFonts w:hint="eastAsia"/>
                <w:color w:val="auto"/>
                <w:sz w:val="18"/>
                <w:szCs w:val="18"/>
              </w:rPr>
              <w:t>重复性限（</w:t>
            </w:r>
            <w:r>
              <w:rPr>
                <w:rFonts w:hint="eastAsia"/>
                <w:i/>
                <w:iCs/>
                <w:color w:val="auto"/>
                <w:sz w:val="18"/>
                <w:szCs w:val="18"/>
              </w:rPr>
              <w:t>r</w:t>
            </w:r>
            <w:r>
              <w:rPr>
                <w:rFonts w:hint="eastAsia"/>
                <w:color w:val="auto"/>
                <w:sz w:val="18"/>
                <w:szCs w:val="18"/>
              </w:rPr>
              <w:t>）为2.8×</w:t>
            </w:r>
            <w:r>
              <w:rPr>
                <w:rFonts w:hint="eastAsia"/>
                <w:i/>
                <w:iCs/>
                <w:color w:val="auto"/>
                <w:sz w:val="18"/>
                <w:szCs w:val="18"/>
              </w:rPr>
              <w:t>S</w:t>
            </w:r>
            <w:r>
              <w:rPr>
                <w:rFonts w:hint="eastAsia"/>
                <w:i/>
                <w:iCs/>
                <w:color w:val="auto"/>
                <w:sz w:val="18"/>
                <w:szCs w:val="18"/>
                <w:vertAlign w:val="subscript"/>
              </w:rPr>
              <w:t>r</w:t>
            </w:r>
            <w:r>
              <w:rPr>
                <w:rFonts w:hint="eastAsia"/>
                <w:color w:val="auto"/>
                <w:sz w:val="18"/>
                <w:szCs w:val="18"/>
              </w:rPr>
              <w:t>，</w:t>
            </w:r>
            <w:r>
              <w:rPr>
                <w:rFonts w:hint="eastAsia"/>
                <w:i/>
                <w:iCs/>
                <w:color w:val="auto"/>
                <w:sz w:val="18"/>
                <w:szCs w:val="18"/>
              </w:rPr>
              <w:t>S</w:t>
            </w:r>
            <w:r>
              <w:rPr>
                <w:rFonts w:hint="eastAsia"/>
                <w:i/>
                <w:iCs/>
                <w:color w:val="auto"/>
                <w:sz w:val="18"/>
                <w:szCs w:val="18"/>
                <w:vertAlign w:val="subscript"/>
              </w:rPr>
              <w:t>r</w:t>
            </w:r>
            <w:r>
              <w:rPr>
                <w:rFonts w:hint="eastAsia"/>
                <w:color w:val="auto"/>
                <w:sz w:val="18"/>
                <w:szCs w:val="18"/>
              </w:rPr>
              <w:t>为重复性标准差。</w:t>
            </w:r>
          </w:p>
        </w:tc>
      </w:tr>
    </w:tbl>
    <w:p w14:paraId="5BBA2E77">
      <w:pPr>
        <w:pStyle w:val="53"/>
        <w:snapToGrid w:val="0"/>
        <w:spacing w:before="156" w:after="156"/>
        <w:rPr>
          <w:rFonts w:ascii="Times New Roman"/>
          <w:color w:val="auto"/>
        </w:rPr>
      </w:pPr>
      <w:r>
        <w:rPr>
          <w:rFonts w:hint="eastAsia" w:hAnsi="黑体" w:cs="黑体"/>
          <w:color w:val="auto"/>
          <w:kern w:val="2"/>
          <w:szCs w:val="21"/>
        </w:rPr>
        <w:t xml:space="preserve">4.7.3 </w:t>
      </w:r>
      <w:r>
        <w:rPr>
          <w:rFonts w:hint="eastAsia" w:ascii="Times New Roman"/>
          <w:color w:val="auto"/>
        </w:rPr>
        <w:t>再现性</w:t>
      </w:r>
    </w:p>
    <w:p w14:paraId="3659DA22">
      <w:pPr>
        <w:snapToGrid w:val="0"/>
        <w:ind w:firstLine="420" w:firstLineChars="200"/>
        <w:rPr>
          <w:color w:val="auto"/>
        </w:rPr>
      </w:pPr>
      <w:r>
        <w:rPr>
          <w:color w:val="auto"/>
        </w:rPr>
        <w:t>在再现性条件下获得的两次独立测试结果的绝对差值不大于再现性限（</w:t>
      </w:r>
      <w:r>
        <w:rPr>
          <w:i/>
          <w:color w:val="auto"/>
        </w:rPr>
        <w:t>R</w:t>
      </w:r>
      <w:r>
        <w:rPr>
          <w:color w:val="auto"/>
        </w:rPr>
        <w:t>），超过再现性限（</w:t>
      </w:r>
      <w:r>
        <w:rPr>
          <w:i/>
          <w:color w:val="auto"/>
        </w:rPr>
        <w:t>R</w:t>
      </w:r>
      <w:r>
        <w:rPr>
          <w:color w:val="auto"/>
        </w:rPr>
        <w:t>）的情况不超过5 %，再现性限（</w:t>
      </w:r>
      <w:r>
        <w:rPr>
          <w:i/>
          <w:color w:val="auto"/>
        </w:rPr>
        <w:t>R</w:t>
      </w:r>
      <w:r>
        <w:rPr>
          <w:color w:val="auto"/>
        </w:rPr>
        <w:t>）按表</w:t>
      </w:r>
      <w:r>
        <w:rPr>
          <w:rFonts w:hint="eastAsia"/>
          <w:color w:val="auto"/>
        </w:rPr>
        <w:t>3</w:t>
      </w:r>
      <w:r>
        <w:rPr>
          <w:color w:val="auto"/>
        </w:rPr>
        <w:t>数据采用线性内插法或外延法求得。</w:t>
      </w:r>
    </w:p>
    <w:p w14:paraId="75D8FFAC">
      <w:pPr>
        <w:spacing w:before="156" w:beforeLines="50" w:after="156" w:afterLines="50" w:line="300" w:lineRule="exact"/>
        <w:jc w:val="center"/>
        <w:rPr>
          <w:rFonts w:eastAsia="黑体"/>
          <w:color w:val="auto"/>
        </w:rPr>
      </w:pPr>
      <w:r>
        <w:rPr>
          <w:rFonts w:eastAsia="黑体"/>
          <w:color w:val="auto"/>
        </w:rPr>
        <w:t>表</w:t>
      </w:r>
      <w:r>
        <w:rPr>
          <w:rFonts w:hint="eastAsia" w:eastAsia="黑体"/>
          <w:color w:val="auto"/>
        </w:rPr>
        <w:t>3</w:t>
      </w:r>
      <w:r>
        <w:rPr>
          <w:rFonts w:eastAsia="黑体"/>
          <w:color w:val="auto"/>
        </w:rPr>
        <w:t xml:space="preserve"> 再现性限</w:t>
      </w:r>
      <w:r>
        <w:rPr>
          <w:rFonts w:hint="eastAsia" w:eastAsia="黑体"/>
          <w:color w:val="auto"/>
        </w:rPr>
        <w:t>（</w:t>
      </w:r>
      <w:r>
        <w:rPr>
          <w:rFonts w:hint="eastAsia" w:eastAsia="黑体"/>
          <w:i/>
          <w:iCs/>
          <w:color w:val="auto"/>
        </w:rPr>
        <w:t>R</w:t>
      </w:r>
      <w:r>
        <w:rPr>
          <w:rFonts w:hint="eastAsia" w:eastAsia="黑体"/>
          <w:color w:val="auto"/>
        </w:rPr>
        <w:t>）</w:t>
      </w:r>
    </w:p>
    <w:tbl>
      <w:tblPr>
        <w:tblStyle w:val="25"/>
        <w:tblW w:w="49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1"/>
        <w:gridCol w:w="1587"/>
        <w:gridCol w:w="1588"/>
        <w:gridCol w:w="1587"/>
        <w:gridCol w:w="1587"/>
        <w:gridCol w:w="1645"/>
      </w:tblGrid>
      <w:tr w14:paraId="435BA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2" w:type="dxa"/>
            <w:tcBorders>
              <w:left w:val="single" w:color="auto" w:sz="12" w:space="0"/>
              <w:bottom w:val="single" w:color="auto" w:sz="12" w:space="0"/>
            </w:tcBorders>
            <w:vAlign w:val="center"/>
          </w:tcPr>
          <w:p w14:paraId="1AD23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元素</w:t>
            </w:r>
          </w:p>
        </w:tc>
        <w:tc>
          <w:tcPr>
            <w:tcW w:w="1587" w:type="dxa"/>
            <w:tcBorders>
              <w:bottom w:val="single" w:color="auto" w:sz="12" w:space="0"/>
            </w:tcBorders>
            <w:vAlign w:val="center"/>
          </w:tcPr>
          <w:p w14:paraId="18B8C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质量分数</w:t>
            </w:r>
          </w:p>
          <w:p w14:paraId="36344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1588" w:type="dxa"/>
            <w:tcBorders>
              <w:bottom w:val="single" w:color="auto" w:sz="12" w:space="0"/>
              <w:right w:val="double" w:color="auto" w:sz="4" w:space="0"/>
            </w:tcBorders>
            <w:vAlign w:val="center"/>
          </w:tcPr>
          <w:p w14:paraId="64EA2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再现性限（R）</w:t>
            </w:r>
          </w:p>
          <w:p w14:paraId="6B4C5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1587" w:type="dxa"/>
            <w:tcBorders>
              <w:left w:val="double" w:color="auto" w:sz="4" w:space="0"/>
              <w:bottom w:val="single" w:color="auto" w:sz="12" w:space="0"/>
            </w:tcBorders>
            <w:vAlign w:val="center"/>
          </w:tcPr>
          <w:p w14:paraId="1D0DE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元素</w:t>
            </w:r>
          </w:p>
        </w:tc>
        <w:tc>
          <w:tcPr>
            <w:tcW w:w="1587" w:type="dxa"/>
            <w:tcBorders>
              <w:bottom w:val="single" w:color="auto" w:sz="12" w:space="0"/>
            </w:tcBorders>
            <w:vAlign w:val="center"/>
          </w:tcPr>
          <w:p w14:paraId="6D348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质量分数</w:t>
            </w:r>
          </w:p>
          <w:p w14:paraId="6AE11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1645" w:type="dxa"/>
            <w:tcBorders>
              <w:bottom w:val="single" w:color="auto" w:sz="12" w:space="0"/>
            </w:tcBorders>
            <w:vAlign w:val="center"/>
          </w:tcPr>
          <w:p w14:paraId="59D62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再现性限（R）</w:t>
            </w:r>
          </w:p>
          <w:p w14:paraId="31C70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r>
      <w:tr w14:paraId="5B286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2" w:type="dxa"/>
            <w:vMerge w:val="restart"/>
            <w:tcBorders>
              <w:top w:val="single" w:color="auto" w:sz="12" w:space="0"/>
              <w:left w:val="single" w:color="auto" w:sz="12" w:space="0"/>
              <w:right w:val="single" w:color="auto" w:sz="4" w:space="0"/>
            </w:tcBorders>
            <w:vAlign w:val="center"/>
          </w:tcPr>
          <w:p w14:paraId="16CADCE3">
            <w:pPr>
              <w:spacing w:line="400" w:lineRule="exact"/>
              <w:jc w:val="center"/>
              <w:rPr>
                <w:color w:val="auto"/>
                <w:sz w:val="18"/>
                <w:szCs w:val="18"/>
              </w:rPr>
            </w:pPr>
            <w:r>
              <w:rPr>
                <w:rFonts w:hint="eastAsia"/>
                <w:color w:val="auto"/>
                <w:sz w:val="18"/>
                <w:szCs w:val="18"/>
              </w:rPr>
              <w:t>钼</w:t>
            </w:r>
          </w:p>
        </w:tc>
        <w:tc>
          <w:tcPr>
            <w:tcW w:w="1587" w:type="dxa"/>
            <w:tcBorders>
              <w:top w:val="single" w:color="auto" w:sz="12" w:space="0"/>
              <w:left w:val="single" w:color="auto" w:sz="4" w:space="0"/>
            </w:tcBorders>
            <w:vAlign w:val="center"/>
          </w:tcPr>
          <w:p w14:paraId="3914BD39">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0.0058</w:t>
            </w:r>
          </w:p>
        </w:tc>
        <w:tc>
          <w:tcPr>
            <w:tcW w:w="1588" w:type="dxa"/>
            <w:tcBorders>
              <w:top w:val="single" w:color="auto" w:sz="12" w:space="0"/>
              <w:right w:val="double" w:color="auto" w:sz="4" w:space="0"/>
            </w:tcBorders>
            <w:vAlign w:val="center"/>
          </w:tcPr>
          <w:p w14:paraId="762CDDAB">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0.0006</w:t>
            </w:r>
          </w:p>
        </w:tc>
        <w:tc>
          <w:tcPr>
            <w:tcW w:w="1587" w:type="dxa"/>
            <w:vMerge w:val="restart"/>
            <w:tcBorders>
              <w:top w:val="single" w:color="auto" w:sz="12" w:space="0"/>
              <w:left w:val="double" w:color="auto" w:sz="4" w:space="0"/>
            </w:tcBorders>
            <w:vAlign w:val="center"/>
          </w:tcPr>
          <w:p w14:paraId="2FAC406F">
            <w:pPr>
              <w:spacing w:line="400" w:lineRule="exact"/>
              <w:jc w:val="center"/>
              <w:rPr>
                <w:color w:val="auto"/>
                <w:sz w:val="18"/>
                <w:szCs w:val="18"/>
              </w:rPr>
            </w:pPr>
            <w:r>
              <w:rPr>
                <w:rFonts w:hint="eastAsia"/>
                <w:color w:val="auto"/>
                <w:sz w:val="18"/>
                <w:szCs w:val="18"/>
              </w:rPr>
              <w:t>钨</w:t>
            </w:r>
          </w:p>
        </w:tc>
        <w:tc>
          <w:tcPr>
            <w:tcW w:w="1587" w:type="dxa"/>
            <w:tcBorders>
              <w:top w:val="single" w:color="auto" w:sz="12" w:space="0"/>
            </w:tcBorders>
            <w:vAlign w:val="center"/>
          </w:tcPr>
          <w:p w14:paraId="4E1C3F3F">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0.0052</w:t>
            </w:r>
          </w:p>
        </w:tc>
        <w:tc>
          <w:tcPr>
            <w:tcW w:w="1645" w:type="dxa"/>
            <w:tcBorders>
              <w:top w:val="single" w:color="auto" w:sz="12" w:space="0"/>
            </w:tcBorders>
            <w:vAlign w:val="center"/>
          </w:tcPr>
          <w:p w14:paraId="5669984B">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0.0007</w:t>
            </w:r>
          </w:p>
        </w:tc>
      </w:tr>
      <w:tr w14:paraId="57ACE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2" w:type="dxa"/>
            <w:vMerge w:val="continue"/>
            <w:tcBorders>
              <w:left w:val="single" w:color="auto" w:sz="12" w:space="0"/>
              <w:right w:val="single" w:color="auto" w:sz="4" w:space="0"/>
            </w:tcBorders>
            <w:vAlign w:val="center"/>
          </w:tcPr>
          <w:p w14:paraId="18352435">
            <w:pPr>
              <w:spacing w:line="400" w:lineRule="exact"/>
              <w:jc w:val="center"/>
              <w:rPr>
                <w:color w:val="auto"/>
                <w:sz w:val="18"/>
                <w:szCs w:val="18"/>
              </w:rPr>
            </w:pPr>
          </w:p>
        </w:tc>
        <w:tc>
          <w:tcPr>
            <w:tcW w:w="1587" w:type="dxa"/>
            <w:tcBorders>
              <w:left w:val="single" w:color="auto" w:sz="4" w:space="0"/>
            </w:tcBorders>
            <w:vAlign w:val="center"/>
          </w:tcPr>
          <w:p w14:paraId="0300D9BB">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0.047</w:t>
            </w:r>
          </w:p>
        </w:tc>
        <w:tc>
          <w:tcPr>
            <w:tcW w:w="1588" w:type="dxa"/>
            <w:tcBorders>
              <w:right w:val="double" w:color="auto" w:sz="4" w:space="0"/>
            </w:tcBorders>
            <w:vAlign w:val="center"/>
          </w:tcPr>
          <w:p w14:paraId="1011DCDF">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0.004</w:t>
            </w:r>
          </w:p>
        </w:tc>
        <w:tc>
          <w:tcPr>
            <w:tcW w:w="1587" w:type="dxa"/>
            <w:vMerge w:val="continue"/>
            <w:tcBorders>
              <w:left w:val="double" w:color="auto" w:sz="4" w:space="0"/>
            </w:tcBorders>
            <w:vAlign w:val="center"/>
          </w:tcPr>
          <w:p w14:paraId="1B3D72C5">
            <w:pPr>
              <w:spacing w:line="400" w:lineRule="exact"/>
              <w:jc w:val="center"/>
              <w:rPr>
                <w:color w:val="auto"/>
                <w:sz w:val="18"/>
                <w:szCs w:val="18"/>
              </w:rPr>
            </w:pPr>
          </w:p>
        </w:tc>
        <w:tc>
          <w:tcPr>
            <w:tcW w:w="1587" w:type="dxa"/>
            <w:vAlign w:val="center"/>
          </w:tcPr>
          <w:p w14:paraId="49B419B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0.013</w:t>
            </w:r>
          </w:p>
        </w:tc>
        <w:tc>
          <w:tcPr>
            <w:tcW w:w="1645" w:type="dxa"/>
            <w:vAlign w:val="center"/>
          </w:tcPr>
          <w:p w14:paraId="572A32A8">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0.002</w:t>
            </w:r>
          </w:p>
        </w:tc>
      </w:tr>
      <w:tr w14:paraId="24E6F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2" w:type="dxa"/>
            <w:vMerge w:val="continue"/>
            <w:tcBorders>
              <w:left w:val="single" w:color="auto" w:sz="12" w:space="0"/>
              <w:right w:val="single" w:color="auto" w:sz="4" w:space="0"/>
            </w:tcBorders>
            <w:vAlign w:val="center"/>
          </w:tcPr>
          <w:p w14:paraId="7B0F067B">
            <w:pPr>
              <w:spacing w:line="400" w:lineRule="exact"/>
              <w:jc w:val="center"/>
              <w:rPr>
                <w:color w:val="auto"/>
                <w:sz w:val="18"/>
                <w:szCs w:val="18"/>
              </w:rPr>
            </w:pPr>
          </w:p>
        </w:tc>
        <w:tc>
          <w:tcPr>
            <w:tcW w:w="1587" w:type="dxa"/>
            <w:tcBorders>
              <w:left w:val="single" w:color="auto" w:sz="4" w:space="0"/>
            </w:tcBorders>
            <w:vAlign w:val="center"/>
          </w:tcPr>
          <w:p w14:paraId="2B6BE9D4">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0.38</w:t>
            </w:r>
          </w:p>
        </w:tc>
        <w:tc>
          <w:tcPr>
            <w:tcW w:w="1588" w:type="dxa"/>
            <w:tcBorders>
              <w:right w:val="double" w:color="auto" w:sz="4" w:space="0"/>
            </w:tcBorders>
            <w:vAlign w:val="center"/>
          </w:tcPr>
          <w:p w14:paraId="5BC836C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0.03</w:t>
            </w:r>
          </w:p>
        </w:tc>
        <w:tc>
          <w:tcPr>
            <w:tcW w:w="1587" w:type="dxa"/>
            <w:vMerge w:val="continue"/>
            <w:tcBorders>
              <w:left w:val="double" w:color="auto" w:sz="4" w:space="0"/>
            </w:tcBorders>
            <w:vAlign w:val="center"/>
          </w:tcPr>
          <w:p w14:paraId="0E6D6CC1">
            <w:pPr>
              <w:spacing w:line="400" w:lineRule="exact"/>
              <w:jc w:val="center"/>
              <w:rPr>
                <w:color w:val="auto"/>
                <w:sz w:val="18"/>
                <w:szCs w:val="18"/>
              </w:rPr>
            </w:pPr>
          </w:p>
        </w:tc>
        <w:tc>
          <w:tcPr>
            <w:tcW w:w="1587" w:type="dxa"/>
            <w:vAlign w:val="center"/>
          </w:tcPr>
          <w:p w14:paraId="007CD25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0.049</w:t>
            </w:r>
          </w:p>
        </w:tc>
        <w:tc>
          <w:tcPr>
            <w:tcW w:w="1645" w:type="dxa"/>
            <w:vAlign w:val="center"/>
          </w:tcPr>
          <w:p w14:paraId="58933F0B">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0.005</w:t>
            </w:r>
          </w:p>
        </w:tc>
      </w:tr>
      <w:tr w14:paraId="2B9EB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2" w:type="dxa"/>
            <w:vMerge w:val="continue"/>
            <w:tcBorders>
              <w:left w:val="single" w:color="auto" w:sz="12" w:space="0"/>
              <w:bottom w:val="single" w:color="auto" w:sz="4" w:space="0"/>
              <w:right w:val="single" w:color="auto" w:sz="4" w:space="0"/>
            </w:tcBorders>
            <w:vAlign w:val="center"/>
          </w:tcPr>
          <w:p w14:paraId="31C9BDBB">
            <w:pPr>
              <w:spacing w:line="400" w:lineRule="exact"/>
              <w:jc w:val="center"/>
              <w:rPr>
                <w:color w:val="auto"/>
                <w:sz w:val="18"/>
                <w:szCs w:val="18"/>
              </w:rPr>
            </w:pPr>
          </w:p>
        </w:tc>
        <w:tc>
          <w:tcPr>
            <w:tcW w:w="1587" w:type="dxa"/>
            <w:tcBorders>
              <w:left w:val="single" w:color="auto" w:sz="4" w:space="0"/>
            </w:tcBorders>
            <w:vAlign w:val="center"/>
          </w:tcPr>
          <w:p w14:paraId="27DE2F75">
            <w:pPr>
              <w:spacing w:line="40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1588" w:type="dxa"/>
            <w:tcBorders>
              <w:right w:val="double" w:color="auto" w:sz="4" w:space="0"/>
            </w:tcBorders>
            <w:vAlign w:val="center"/>
          </w:tcPr>
          <w:p w14:paraId="4CCD6510">
            <w:pPr>
              <w:spacing w:line="40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1587" w:type="dxa"/>
            <w:vMerge w:val="continue"/>
            <w:tcBorders>
              <w:left w:val="double" w:color="auto" w:sz="4" w:space="0"/>
            </w:tcBorders>
            <w:vAlign w:val="center"/>
          </w:tcPr>
          <w:p w14:paraId="4ADBD040">
            <w:pPr>
              <w:spacing w:line="400" w:lineRule="exact"/>
              <w:jc w:val="center"/>
              <w:rPr>
                <w:color w:val="auto"/>
                <w:sz w:val="18"/>
                <w:szCs w:val="18"/>
              </w:rPr>
            </w:pPr>
          </w:p>
        </w:tc>
        <w:tc>
          <w:tcPr>
            <w:tcW w:w="1587" w:type="dxa"/>
            <w:vAlign w:val="center"/>
          </w:tcPr>
          <w:p w14:paraId="24DD8C7E">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0.40</w:t>
            </w:r>
          </w:p>
        </w:tc>
        <w:tc>
          <w:tcPr>
            <w:tcW w:w="1645" w:type="dxa"/>
            <w:vAlign w:val="center"/>
          </w:tcPr>
          <w:p w14:paraId="7D79648F">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0.04</w:t>
            </w:r>
          </w:p>
        </w:tc>
      </w:tr>
      <w:tr w14:paraId="11651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56" w:type="dxa"/>
            <w:gridSpan w:val="6"/>
            <w:vAlign w:val="center"/>
          </w:tcPr>
          <w:p w14:paraId="04745B27">
            <w:pPr>
              <w:spacing w:line="400" w:lineRule="exact"/>
              <w:jc w:val="left"/>
              <w:rPr>
                <w:color w:val="auto"/>
                <w:sz w:val="18"/>
                <w:szCs w:val="18"/>
              </w:rPr>
            </w:pPr>
            <w:r>
              <w:rPr>
                <w:rFonts w:hint="eastAsia" w:ascii="黑体" w:hAnsi="黑体" w:eastAsia="黑体" w:cs="黑体"/>
                <w:color w:val="auto"/>
                <w:sz w:val="18"/>
                <w:szCs w:val="18"/>
              </w:rPr>
              <w:t>注：</w:t>
            </w:r>
            <w:r>
              <w:rPr>
                <w:rFonts w:hint="eastAsia"/>
                <w:color w:val="auto"/>
                <w:sz w:val="18"/>
                <w:szCs w:val="18"/>
              </w:rPr>
              <w:t>再现性限（</w:t>
            </w:r>
            <w:r>
              <w:rPr>
                <w:rFonts w:hint="eastAsia"/>
                <w:i/>
                <w:iCs/>
                <w:color w:val="auto"/>
                <w:sz w:val="18"/>
                <w:szCs w:val="18"/>
              </w:rPr>
              <w:t>R</w:t>
            </w:r>
            <w:r>
              <w:rPr>
                <w:rFonts w:hint="eastAsia"/>
                <w:color w:val="auto"/>
                <w:sz w:val="18"/>
                <w:szCs w:val="18"/>
              </w:rPr>
              <w:t>）为2.8×</w:t>
            </w:r>
            <w:r>
              <w:rPr>
                <w:rFonts w:hint="eastAsia"/>
                <w:i/>
                <w:iCs/>
                <w:color w:val="auto"/>
                <w:sz w:val="18"/>
                <w:szCs w:val="18"/>
              </w:rPr>
              <w:t>S</w:t>
            </w:r>
            <w:r>
              <w:rPr>
                <w:rFonts w:hint="eastAsia"/>
                <w:i/>
                <w:iCs/>
                <w:color w:val="auto"/>
                <w:sz w:val="18"/>
                <w:szCs w:val="18"/>
                <w:vertAlign w:val="subscript"/>
              </w:rPr>
              <w:t>R</w:t>
            </w:r>
            <w:r>
              <w:rPr>
                <w:rFonts w:hint="eastAsia"/>
                <w:color w:val="auto"/>
                <w:sz w:val="18"/>
                <w:szCs w:val="18"/>
              </w:rPr>
              <w:t>，</w:t>
            </w:r>
            <w:r>
              <w:rPr>
                <w:rFonts w:hint="eastAsia"/>
                <w:i/>
                <w:iCs/>
                <w:color w:val="auto"/>
                <w:sz w:val="18"/>
                <w:szCs w:val="18"/>
              </w:rPr>
              <w:t>S</w:t>
            </w:r>
            <w:r>
              <w:rPr>
                <w:rFonts w:hint="eastAsia"/>
                <w:i/>
                <w:iCs/>
                <w:color w:val="auto"/>
                <w:sz w:val="18"/>
                <w:szCs w:val="18"/>
                <w:vertAlign w:val="subscript"/>
              </w:rPr>
              <w:t>R</w:t>
            </w:r>
            <w:r>
              <w:rPr>
                <w:rFonts w:hint="eastAsia"/>
                <w:color w:val="auto"/>
                <w:sz w:val="18"/>
                <w:szCs w:val="18"/>
              </w:rPr>
              <w:t>为再现性标准差。</w:t>
            </w:r>
          </w:p>
        </w:tc>
      </w:tr>
    </w:tbl>
    <w:p w14:paraId="38D9B477">
      <w:pPr>
        <w:pStyle w:val="54"/>
        <w:snapToGrid w:val="0"/>
        <w:spacing w:before="312" w:beforeLines="100" w:after="312" w:afterLines="100"/>
        <w:ind w:firstLine="0" w:firstLineChars="0"/>
        <w:outlineLvl w:val="1"/>
        <w:rPr>
          <w:rFonts w:ascii="黑体" w:hAnsi="黑体" w:eastAsia="黑体" w:cs="黑体"/>
          <w:color w:val="auto"/>
          <w:szCs w:val="21"/>
        </w:rPr>
      </w:pPr>
      <w:r>
        <w:rPr>
          <w:rFonts w:hint="eastAsia" w:ascii="黑体" w:hAnsi="黑体" w:eastAsia="黑体" w:cs="黑体"/>
          <w:color w:val="auto"/>
          <w:szCs w:val="21"/>
        </w:rPr>
        <w:t>5 电感耦合等离子体质谱法（方法2）</w:t>
      </w:r>
    </w:p>
    <w:p w14:paraId="269B13A6">
      <w:pPr>
        <w:pStyle w:val="53"/>
        <w:snapToGrid w:val="0"/>
        <w:spacing w:before="156" w:after="156"/>
        <w:rPr>
          <w:rFonts w:ascii="Times New Roman"/>
          <w:color w:val="auto"/>
        </w:rPr>
      </w:pPr>
      <w:r>
        <w:rPr>
          <w:rFonts w:hint="eastAsia" w:hAnsi="黑体" w:cs="黑体"/>
          <w:color w:val="auto"/>
          <w:kern w:val="2"/>
          <w:szCs w:val="21"/>
        </w:rPr>
        <w:t xml:space="preserve">5.1 </w:t>
      </w:r>
      <w:r>
        <w:rPr>
          <w:rFonts w:hint="eastAsia" w:ascii="Times New Roman"/>
          <w:color w:val="auto"/>
        </w:rPr>
        <w:t>方法提要</w:t>
      </w:r>
    </w:p>
    <w:p w14:paraId="6318CC84">
      <w:pPr>
        <w:ind w:firstLine="420" w:firstLineChars="200"/>
        <w:rPr>
          <w:rFonts w:eastAsia="黑体"/>
          <w:color w:val="auto"/>
          <w:szCs w:val="21"/>
        </w:rPr>
      </w:pPr>
      <w:r>
        <w:rPr>
          <w:rFonts w:hint="eastAsia"/>
          <w:color w:val="auto"/>
          <w:szCs w:val="21"/>
        </w:rPr>
        <w:t>试料使用硝酸、氢氟酸溶解，氟化分离稀土基体，于电感耦合等离子体质谱仪选定质量数处测定钼、钨含量。</w:t>
      </w:r>
    </w:p>
    <w:p w14:paraId="05900BF8">
      <w:pPr>
        <w:pStyle w:val="53"/>
        <w:snapToGrid w:val="0"/>
        <w:spacing w:before="156" w:after="156"/>
        <w:rPr>
          <w:rFonts w:ascii="Times New Roman"/>
          <w:color w:val="auto"/>
        </w:rPr>
      </w:pPr>
      <w:r>
        <w:rPr>
          <w:rFonts w:hint="eastAsia" w:hAnsi="黑体" w:cs="黑体"/>
          <w:color w:val="auto"/>
          <w:kern w:val="2"/>
          <w:szCs w:val="21"/>
        </w:rPr>
        <w:t>5.2</w:t>
      </w:r>
      <w:r>
        <w:rPr>
          <w:rFonts w:hint="eastAsia" w:ascii="Times New Roman"/>
          <w:color w:val="auto"/>
        </w:rPr>
        <w:t xml:space="preserve"> 试剂或材料</w:t>
      </w:r>
    </w:p>
    <w:p w14:paraId="6A6DEE7F">
      <w:pPr>
        <w:pStyle w:val="43"/>
        <w:snapToGrid w:val="0"/>
        <w:ind w:firstLine="420"/>
        <w:jc w:val="left"/>
        <w:rPr>
          <w:rFonts w:hint="eastAsia" w:ascii="Times New Roman"/>
          <w:bCs/>
          <w:color w:val="auto"/>
          <w:kern w:val="2"/>
          <w:szCs w:val="24"/>
        </w:rPr>
      </w:pPr>
      <w:r>
        <w:rPr>
          <w:rFonts w:hint="eastAsia" w:ascii="Times New Roman"/>
          <w:bCs/>
          <w:color w:val="auto"/>
          <w:kern w:val="2"/>
          <w:szCs w:val="24"/>
        </w:rPr>
        <w:t>除非另有说明，在分析中仅使用确认为分析纯及以上试剂和符合GB/T 6682规定的二级水。液体试剂均保存于塑料瓶中，优先使用有证标准溶液。</w:t>
      </w:r>
    </w:p>
    <w:p w14:paraId="74411DF7">
      <w:pPr>
        <w:snapToGrid w:val="0"/>
        <w:rPr>
          <w:rFonts w:hint="eastAsia"/>
          <w:color w:val="auto"/>
          <w:szCs w:val="21"/>
        </w:rPr>
      </w:pPr>
      <w:r>
        <w:rPr>
          <w:rFonts w:hint="eastAsia" w:ascii="黑体" w:hAnsi="黑体" w:eastAsia="黑体" w:cs="黑体"/>
          <w:color w:val="auto"/>
          <w:szCs w:val="21"/>
        </w:rPr>
        <w:t>5.2.1</w:t>
      </w:r>
      <w:r>
        <w:rPr>
          <w:rFonts w:hint="eastAsia"/>
          <w:color w:val="auto"/>
          <w:szCs w:val="21"/>
        </w:rPr>
        <w:t xml:space="preserve"> 氢氧化钠。</w:t>
      </w:r>
    </w:p>
    <w:p w14:paraId="4E0ED579">
      <w:pPr>
        <w:snapToGrid w:val="0"/>
        <w:rPr>
          <w:rFonts w:hint="eastAsia"/>
          <w:color w:val="auto"/>
          <w:szCs w:val="21"/>
        </w:rPr>
      </w:pPr>
      <w:r>
        <w:rPr>
          <w:rFonts w:hint="eastAsia" w:ascii="黑体" w:hAnsi="黑体" w:eastAsia="黑体" w:cs="黑体"/>
          <w:color w:val="auto"/>
          <w:szCs w:val="21"/>
        </w:rPr>
        <w:t>5.2.2</w:t>
      </w:r>
      <w:r>
        <w:rPr>
          <w:rFonts w:hint="eastAsia"/>
          <w:color w:val="auto"/>
          <w:szCs w:val="21"/>
        </w:rPr>
        <w:t xml:space="preserve"> 硝酸（</w:t>
      </w:r>
      <w:r>
        <w:rPr>
          <w:rFonts w:hint="default" w:ascii="Times New Roman" w:hAnsi="Times New Roman" w:cs="Times New Roman"/>
          <w:i/>
          <w:iCs/>
          <w:color w:val="auto"/>
          <w:szCs w:val="21"/>
        </w:rPr>
        <w:t>ρ</w:t>
      </w:r>
      <w:r>
        <w:rPr>
          <w:rFonts w:hint="eastAsia"/>
          <w:color w:val="auto"/>
          <w:szCs w:val="21"/>
        </w:rPr>
        <w:t>=1.42 g/mL）。</w:t>
      </w:r>
    </w:p>
    <w:p w14:paraId="6C7247DE">
      <w:pPr>
        <w:snapToGrid w:val="0"/>
        <w:rPr>
          <w:rFonts w:hint="eastAsia"/>
          <w:color w:val="auto"/>
          <w:szCs w:val="21"/>
        </w:rPr>
      </w:pPr>
      <w:r>
        <w:rPr>
          <w:rFonts w:hint="eastAsia" w:ascii="黑体" w:hAnsi="黑体" w:eastAsia="黑体" w:cs="黑体"/>
          <w:color w:val="auto"/>
          <w:szCs w:val="21"/>
        </w:rPr>
        <w:t>5.2.3</w:t>
      </w:r>
      <w:r>
        <w:rPr>
          <w:rFonts w:hint="eastAsia"/>
          <w:color w:val="auto"/>
          <w:szCs w:val="21"/>
        </w:rPr>
        <w:t xml:space="preserve"> 氢氟酸（</w:t>
      </w:r>
      <w:r>
        <w:rPr>
          <w:rFonts w:hint="default" w:ascii="Times New Roman" w:hAnsi="Times New Roman" w:cs="Times New Roman"/>
          <w:i/>
          <w:iCs/>
          <w:color w:val="auto"/>
          <w:szCs w:val="21"/>
        </w:rPr>
        <w:t>ρ</w:t>
      </w:r>
      <w:r>
        <w:rPr>
          <w:rFonts w:hint="eastAsia"/>
          <w:color w:val="auto"/>
          <w:szCs w:val="21"/>
        </w:rPr>
        <w:t>=1.14 g/mL）。</w:t>
      </w:r>
    </w:p>
    <w:p w14:paraId="0E2A70E6">
      <w:pPr>
        <w:snapToGrid w:val="0"/>
        <w:rPr>
          <w:rFonts w:hint="eastAsia"/>
          <w:color w:val="auto"/>
          <w:szCs w:val="21"/>
        </w:rPr>
      </w:pPr>
      <w:r>
        <w:rPr>
          <w:rFonts w:hint="eastAsia" w:ascii="黑体" w:hAnsi="黑体" w:eastAsia="黑体" w:cs="黑体"/>
          <w:color w:val="auto"/>
          <w:szCs w:val="21"/>
        </w:rPr>
        <w:t>5.2.4</w:t>
      </w:r>
      <w:r>
        <w:rPr>
          <w:rFonts w:hint="eastAsia"/>
          <w:color w:val="auto"/>
          <w:szCs w:val="21"/>
        </w:rPr>
        <w:t xml:space="preserve"> 硝酸（1+1）。</w:t>
      </w:r>
    </w:p>
    <w:p w14:paraId="40C7547E">
      <w:pPr>
        <w:snapToGrid w:val="0"/>
        <w:rPr>
          <w:rFonts w:hint="eastAsia"/>
          <w:color w:val="auto"/>
          <w:szCs w:val="21"/>
        </w:rPr>
      </w:pPr>
      <w:r>
        <w:rPr>
          <w:rFonts w:hint="eastAsia" w:ascii="黑体" w:hAnsi="黑体" w:eastAsia="黑体" w:cs="黑体"/>
          <w:color w:val="auto"/>
          <w:szCs w:val="21"/>
        </w:rPr>
        <w:t>5.2.5</w:t>
      </w:r>
      <w:r>
        <w:rPr>
          <w:rFonts w:hint="eastAsia"/>
          <w:color w:val="auto"/>
          <w:szCs w:val="21"/>
        </w:rPr>
        <w:t xml:space="preserve"> 氨水（1+3）。</w:t>
      </w:r>
    </w:p>
    <w:p w14:paraId="5A1A86DE">
      <w:pPr>
        <w:snapToGrid w:val="0"/>
        <w:rPr>
          <w:rFonts w:hint="eastAsia"/>
          <w:color w:val="auto"/>
          <w:szCs w:val="21"/>
        </w:rPr>
      </w:pPr>
      <w:r>
        <w:rPr>
          <w:rFonts w:hint="eastAsia" w:ascii="黑体" w:hAnsi="黑体" w:eastAsia="黑体" w:cs="黑体"/>
          <w:color w:val="auto"/>
          <w:szCs w:val="21"/>
        </w:rPr>
        <w:t>5.2.6</w:t>
      </w:r>
      <w:r>
        <w:rPr>
          <w:rFonts w:hint="eastAsia"/>
          <w:color w:val="auto"/>
          <w:szCs w:val="21"/>
        </w:rPr>
        <w:t xml:space="preserve"> 硼酸溶液（50 g/L）。</w:t>
      </w:r>
    </w:p>
    <w:p w14:paraId="719471DF">
      <w:pPr>
        <w:snapToGrid w:val="0"/>
        <w:rPr>
          <w:rFonts w:hint="eastAsia"/>
          <w:color w:val="auto"/>
          <w:szCs w:val="21"/>
        </w:rPr>
      </w:pPr>
      <w:r>
        <w:rPr>
          <w:rFonts w:hint="eastAsia" w:ascii="黑体" w:hAnsi="黑体" w:eastAsia="黑体" w:cs="黑体"/>
          <w:color w:val="auto"/>
          <w:szCs w:val="21"/>
        </w:rPr>
        <w:t>5.2.7</w:t>
      </w:r>
      <w:r>
        <w:rPr>
          <w:rFonts w:hint="eastAsia"/>
          <w:color w:val="auto"/>
          <w:szCs w:val="21"/>
        </w:rPr>
        <w:t xml:space="preserve"> 钨标准贮存溶液：称取0.1261 g经110℃烘干1 h并在干燥器中冷却至室温后的</w:t>
      </w:r>
      <w:r>
        <w:rPr>
          <w:rFonts w:hint="eastAsia"/>
          <w:color w:val="auto"/>
          <w:szCs w:val="21"/>
          <w:lang w:val="en-US" w:eastAsia="zh-CN"/>
        </w:rPr>
        <w:t>三</w:t>
      </w:r>
      <w:r>
        <w:rPr>
          <w:rFonts w:hint="eastAsia"/>
          <w:color w:val="auto"/>
          <w:szCs w:val="21"/>
        </w:rPr>
        <w:t>氧化钨（</w:t>
      </w:r>
      <w:r>
        <w:rPr>
          <w:rFonts w:hint="eastAsia" w:eastAsia="微软雅黑"/>
          <w:i/>
          <w:iCs/>
          <w:color w:val="auto"/>
          <w:szCs w:val="21"/>
          <w:lang w:eastAsia="zh-CN"/>
        </w:rPr>
        <w:t>w</w:t>
      </w:r>
      <w:r>
        <w:rPr>
          <w:rFonts w:hint="eastAsia"/>
          <w:color w:val="auto"/>
          <w:szCs w:val="21"/>
        </w:rPr>
        <w:t xml:space="preserve">≥99.99%），置于50 mL塑料烧杯中，加入20 mL水及2.0 g氢氧化钠（5.2.1）溶解完全，移入1000 mL塑料容量瓶中，用水稀释至刻度，混匀。此溶液1 mL含100 </w:t>
      </w:r>
      <w:r>
        <w:rPr>
          <w:rFonts w:hint="eastAsia"/>
          <w:b w:val="0"/>
          <w:i w:val="0"/>
          <w:iCs/>
          <w:color w:val="auto"/>
          <w:szCs w:val="21"/>
          <w:lang w:eastAsia="zh-CN"/>
        </w:rPr>
        <w:t>µ</w:t>
      </w:r>
      <w:r>
        <w:rPr>
          <w:rFonts w:hint="eastAsia"/>
          <w:color w:val="auto"/>
          <w:szCs w:val="21"/>
        </w:rPr>
        <w:t>g钨。</w:t>
      </w:r>
    </w:p>
    <w:p w14:paraId="776550FE">
      <w:pPr>
        <w:snapToGrid w:val="0"/>
        <w:rPr>
          <w:rFonts w:hint="eastAsia"/>
          <w:color w:val="auto"/>
          <w:szCs w:val="21"/>
        </w:rPr>
      </w:pPr>
      <w:r>
        <w:rPr>
          <w:rFonts w:hint="eastAsia" w:ascii="黑体" w:hAnsi="黑体" w:eastAsia="黑体" w:cs="黑体"/>
          <w:color w:val="auto"/>
          <w:szCs w:val="21"/>
        </w:rPr>
        <w:t>5.2.8</w:t>
      </w:r>
      <w:r>
        <w:rPr>
          <w:rFonts w:hint="eastAsia"/>
          <w:color w:val="auto"/>
          <w:szCs w:val="21"/>
        </w:rPr>
        <w:t xml:space="preserve"> 钼标准贮存溶液：称取0.1500 g经110℃烘干1 h并在干燥器中冷却至室温后的氧化钼（</w:t>
      </w:r>
      <w:r>
        <w:rPr>
          <w:rFonts w:hint="eastAsia" w:eastAsia="微软雅黑"/>
          <w:i/>
          <w:iCs/>
          <w:color w:val="auto"/>
          <w:szCs w:val="21"/>
          <w:lang w:eastAsia="zh-CN"/>
        </w:rPr>
        <w:t>w</w:t>
      </w:r>
      <w:r>
        <w:rPr>
          <w:rFonts w:hint="eastAsia"/>
          <w:color w:val="auto"/>
          <w:szCs w:val="21"/>
        </w:rPr>
        <w:t xml:space="preserve">≥99.99%），置于50 mL塑料烧杯中，加入20 mL氨水（5.2.5）溶解完全，移入1000 mL塑料容量瓶中，用水稀释至刻度，混匀。此溶液1 mL含100 </w:t>
      </w:r>
      <w:r>
        <w:rPr>
          <w:rFonts w:hint="eastAsia"/>
          <w:b w:val="0"/>
          <w:i w:val="0"/>
          <w:iCs/>
          <w:color w:val="auto"/>
          <w:szCs w:val="21"/>
          <w:lang w:eastAsia="zh-CN"/>
        </w:rPr>
        <w:t>µ</w:t>
      </w:r>
      <w:r>
        <w:rPr>
          <w:rFonts w:hint="eastAsia"/>
          <w:color w:val="auto"/>
          <w:szCs w:val="21"/>
        </w:rPr>
        <w:t>g钼。</w:t>
      </w:r>
    </w:p>
    <w:p w14:paraId="6D95DC90">
      <w:pPr>
        <w:snapToGrid w:val="0"/>
        <w:rPr>
          <w:rFonts w:hint="eastAsia"/>
          <w:color w:val="auto"/>
          <w:szCs w:val="21"/>
        </w:rPr>
      </w:pPr>
      <w:r>
        <w:rPr>
          <w:rFonts w:hint="eastAsia" w:ascii="黑体" w:hAnsi="黑体" w:eastAsia="黑体" w:cs="黑体"/>
          <w:color w:val="auto"/>
          <w:szCs w:val="21"/>
        </w:rPr>
        <w:t>5.2.9</w:t>
      </w:r>
      <w:r>
        <w:rPr>
          <w:rFonts w:hint="eastAsia"/>
          <w:color w:val="auto"/>
          <w:szCs w:val="21"/>
        </w:rPr>
        <w:t xml:space="preserve"> </w:t>
      </w:r>
      <w:r>
        <w:rPr>
          <w:rFonts w:hint="eastAsia"/>
          <w:color w:val="auto"/>
          <w:szCs w:val="21"/>
          <w:lang w:val="en-US" w:eastAsia="zh-CN"/>
        </w:rPr>
        <w:t>钼、钨</w:t>
      </w:r>
      <w:r>
        <w:rPr>
          <w:rFonts w:hint="eastAsia"/>
          <w:color w:val="auto"/>
          <w:szCs w:val="21"/>
        </w:rPr>
        <w:t>混合标准溶液：分别移取2</w:t>
      </w:r>
      <w:r>
        <w:rPr>
          <w:rFonts w:hint="eastAsia"/>
          <w:color w:val="auto"/>
          <w:szCs w:val="21"/>
          <w:lang w:val="en-US" w:eastAsia="zh-CN"/>
        </w:rPr>
        <w:t>.00</w:t>
      </w:r>
      <w:r>
        <w:rPr>
          <w:rFonts w:hint="eastAsia"/>
          <w:color w:val="auto"/>
          <w:szCs w:val="21"/>
        </w:rPr>
        <w:t xml:space="preserve"> mL钨标准贮存溶液（5.2.</w:t>
      </w:r>
      <w:r>
        <w:rPr>
          <w:rFonts w:hint="eastAsia"/>
          <w:color w:val="auto"/>
          <w:szCs w:val="21"/>
          <w:lang w:val="en-US" w:eastAsia="zh-CN"/>
        </w:rPr>
        <w:t>7</w:t>
      </w:r>
      <w:r>
        <w:rPr>
          <w:rFonts w:hint="eastAsia"/>
          <w:color w:val="auto"/>
          <w:szCs w:val="21"/>
        </w:rPr>
        <w:t>）和钼标准贮存溶液（5.2.8）于200 mL塑料容量瓶中，加入5 mL氢氟酸（5.2.3），用水稀释至刻度，混匀。此溶液1 mL含1000 ng钨和1000 ng钼。</w:t>
      </w:r>
    </w:p>
    <w:p w14:paraId="08BEAD0A">
      <w:pPr>
        <w:snapToGrid w:val="0"/>
        <w:rPr>
          <w:rFonts w:hint="eastAsia"/>
          <w:color w:val="auto"/>
          <w:szCs w:val="21"/>
        </w:rPr>
      </w:pPr>
      <w:r>
        <w:rPr>
          <w:rFonts w:hint="eastAsia" w:ascii="黑体" w:hAnsi="黑体" w:eastAsia="黑体" w:cs="黑体"/>
          <w:color w:val="auto"/>
          <w:szCs w:val="21"/>
        </w:rPr>
        <w:t>5.2.10</w:t>
      </w:r>
      <w:r>
        <w:rPr>
          <w:rFonts w:hint="eastAsia"/>
          <w:color w:val="auto"/>
          <w:szCs w:val="21"/>
        </w:rPr>
        <w:t xml:space="preserve"> 铊内标贮存溶液：称取0.1173</w:t>
      </w:r>
      <w:r>
        <w:rPr>
          <w:rFonts w:hint="eastAsia"/>
          <w:color w:val="auto"/>
          <w:szCs w:val="21"/>
          <w:lang w:val="en-US" w:eastAsia="zh-CN"/>
        </w:rPr>
        <w:t xml:space="preserve"> </w:t>
      </w:r>
      <w:r>
        <w:rPr>
          <w:rFonts w:hint="eastAsia"/>
          <w:color w:val="auto"/>
          <w:szCs w:val="21"/>
        </w:rPr>
        <w:t>g氯化铊，加10</w:t>
      </w:r>
      <w:r>
        <w:rPr>
          <w:rFonts w:hint="eastAsia"/>
          <w:color w:val="auto"/>
          <w:szCs w:val="21"/>
          <w:lang w:val="en-US" w:eastAsia="zh-CN"/>
        </w:rPr>
        <w:t xml:space="preserve"> </w:t>
      </w:r>
      <w:r>
        <w:rPr>
          <w:rFonts w:hint="eastAsia"/>
          <w:color w:val="auto"/>
          <w:szCs w:val="21"/>
        </w:rPr>
        <w:t>mL水，溶解完全，加10</w:t>
      </w:r>
      <w:r>
        <w:rPr>
          <w:rFonts w:hint="eastAsia"/>
          <w:color w:val="auto"/>
          <w:szCs w:val="21"/>
          <w:lang w:val="en-US" w:eastAsia="zh-CN"/>
        </w:rPr>
        <w:t xml:space="preserve"> </w:t>
      </w:r>
      <w:r>
        <w:rPr>
          <w:rFonts w:hint="eastAsia"/>
          <w:color w:val="auto"/>
          <w:szCs w:val="21"/>
        </w:rPr>
        <w:t>mL硝酸（5.2.2），移入100</w:t>
      </w:r>
      <w:r>
        <w:rPr>
          <w:rFonts w:hint="eastAsia"/>
          <w:color w:val="auto"/>
          <w:szCs w:val="21"/>
          <w:lang w:val="en-US" w:eastAsia="zh-CN"/>
        </w:rPr>
        <w:t xml:space="preserve"> </w:t>
      </w:r>
      <w:r>
        <w:rPr>
          <w:rFonts w:hint="eastAsia"/>
          <w:color w:val="auto"/>
          <w:szCs w:val="21"/>
        </w:rPr>
        <w:t>mL容量瓶中，用水稀释至刻度，混匀。此溶液1</w:t>
      </w:r>
      <w:r>
        <w:rPr>
          <w:rFonts w:hint="eastAsia"/>
          <w:color w:val="auto"/>
          <w:szCs w:val="21"/>
          <w:lang w:val="en-US" w:eastAsia="zh-CN"/>
        </w:rPr>
        <w:t xml:space="preserve"> </w:t>
      </w:r>
      <w:r>
        <w:rPr>
          <w:rFonts w:hint="eastAsia"/>
          <w:color w:val="auto"/>
          <w:szCs w:val="21"/>
        </w:rPr>
        <w:t>mL含1</w:t>
      </w:r>
      <w:r>
        <w:rPr>
          <w:rFonts w:hint="eastAsia"/>
          <w:color w:val="auto"/>
          <w:szCs w:val="21"/>
          <w:lang w:val="en-US" w:eastAsia="zh-CN"/>
        </w:rPr>
        <w:t xml:space="preserve"> </w:t>
      </w:r>
      <w:r>
        <w:rPr>
          <w:rFonts w:hint="eastAsia"/>
          <w:color w:val="auto"/>
          <w:szCs w:val="21"/>
        </w:rPr>
        <w:t>mg铊。</w:t>
      </w:r>
    </w:p>
    <w:p w14:paraId="720BD527">
      <w:pPr>
        <w:snapToGrid w:val="0"/>
        <w:rPr>
          <w:rFonts w:hint="eastAsia"/>
          <w:color w:val="auto"/>
          <w:szCs w:val="21"/>
        </w:rPr>
      </w:pPr>
      <w:r>
        <w:rPr>
          <w:rFonts w:hint="eastAsia" w:ascii="黑体" w:hAnsi="黑体" w:eastAsia="黑体" w:cs="黑体"/>
          <w:color w:val="auto"/>
          <w:szCs w:val="21"/>
        </w:rPr>
        <w:t>5.2.11</w:t>
      </w:r>
      <w:r>
        <w:rPr>
          <w:rFonts w:hint="eastAsia" w:ascii="黑体" w:hAnsi="黑体" w:eastAsia="黑体" w:cs="黑体"/>
          <w:color w:val="auto"/>
          <w:szCs w:val="21"/>
          <w:lang w:val="en-US" w:eastAsia="zh-CN"/>
        </w:rPr>
        <w:t xml:space="preserve"> </w:t>
      </w:r>
      <w:r>
        <w:rPr>
          <w:rFonts w:hint="eastAsia"/>
          <w:color w:val="auto"/>
          <w:szCs w:val="21"/>
        </w:rPr>
        <w:t>铑内标贮存溶液：称取0.256</w:t>
      </w:r>
      <w:r>
        <w:rPr>
          <w:rFonts w:hint="eastAsia"/>
          <w:color w:val="auto"/>
          <w:szCs w:val="21"/>
          <w:lang w:val="en-US" w:eastAsia="zh-CN"/>
        </w:rPr>
        <w:t xml:space="preserve"> </w:t>
      </w:r>
      <w:r>
        <w:rPr>
          <w:rFonts w:hint="eastAsia"/>
          <w:color w:val="auto"/>
          <w:szCs w:val="21"/>
        </w:rPr>
        <w:t>g氯化铑水合物，加10</w:t>
      </w:r>
      <w:r>
        <w:rPr>
          <w:rFonts w:hint="eastAsia"/>
          <w:color w:val="auto"/>
          <w:szCs w:val="21"/>
          <w:lang w:val="en-US" w:eastAsia="zh-CN"/>
        </w:rPr>
        <w:t xml:space="preserve"> </w:t>
      </w:r>
      <w:r>
        <w:rPr>
          <w:rFonts w:hint="eastAsia"/>
          <w:color w:val="auto"/>
          <w:szCs w:val="21"/>
        </w:rPr>
        <w:t>mL水，溶解完全，加10</w:t>
      </w:r>
      <w:r>
        <w:rPr>
          <w:rFonts w:hint="eastAsia"/>
          <w:color w:val="auto"/>
          <w:szCs w:val="21"/>
          <w:lang w:val="en-US" w:eastAsia="zh-CN"/>
        </w:rPr>
        <w:t xml:space="preserve"> </w:t>
      </w:r>
      <w:r>
        <w:rPr>
          <w:rFonts w:hint="eastAsia"/>
          <w:color w:val="auto"/>
          <w:szCs w:val="21"/>
        </w:rPr>
        <w:t>mL硝酸（5.2.2），移入100</w:t>
      </w:r>
      <w:r>
        <w:rPr>
          <w:rFonts w:hint="eastAsia"/>
          <w:color w:val="auto"/>
          <w:szCs w:val="21"/>
          <w:lang w:val="en-US" w:eastAsia="zh-CN"/>
        </w:rPr>
        <w:t xml:space="preserve"> </w:t>
      </w:r>
      <w:r>
        <w:rPr>
          <w:rFonts w:hint="eastAsia"/>
          <w:color w:val="auto"/>
          <w:szCs w:val="21"/>
        </w:rPr>
        <w:t>mL容量瓶中，用水稀释至刻度，混匀。此溶液1</w:t>
      </w:r>
      <w:r>
        <w:rPr>
          <w:rFonts w:hint="eastAsia"/>
          <w:color w:val="auto"/>
          <w:szCs w:val="21"/>
          <w:lang w:val="en-US" w:eastAsia="zh-CN"/>
        </w:rPr>
        <w:t xml:space="preserve"> </w:t>
      </w:r>
      <w:r>
        <w:rPr>
          <w:rFonts w:hint="eastAsia"/>
          <w:color w:val="auto"/>
          <w:szCs w:val="21"/>
        </w:rPr>
        <w:t>mL含1</w:t>
      </w:r>
      <w:r>
        <w:rPr>
          <w:rFonts w:hint="eastAsia"/>
          <w:color w:val="auto"/>
          <w:szCs w:val="21"/>
          <w:lang w:val="en-US" w:eastAsia="zh-CN"/>
        </w:rPr>
        <w:t xml:space="preserve"> </w:t>
      </w:r>
      <w:r>
        <w:rPr>
          <w:rFonts w:hint="eastAsia"/>
          <w:color w:val="auto"/>
          <w:szCs w:val="21"/>
        </w:rPr>
        <w:t>mg铑。</w:t>
      </w:r>
    </w:p>
    <w:p w14:paraId="66A1F1B9">
      <w:pPr>
        <w:snapToGrid w:val="0"/>
        <w:rPr>
          <w:rFonts w:hint="eastAsia"/>
          <w:color w:val="auto"/>
          <w:szCs w:val="21"/>
        </w:rPr>
      </w:pPr>
      <w:r>
        <w:rPr>
          <w:rFonts w:hint="eastAsia" w:ascii="黑体" w:hAnsi="黑体" w:eastAsia="黑体" w:cs="黑体"/>
          <w:color w:val="auto"/>
          <w:szCs w:val="21"/>
        </w:rPr>
        <w:t xml:space="preserve">5.2.12 </w:t>
      </w:r>
      <w:r>
        <w:rPr>
          <w:rFonts w:hint="eastAsia"/>
          <w:color w:val="auto"/>
          <w:szCs w:val="21"/>
        </w:rPr>
        <w:t>铑、铊内标混合溶液：移取1</w:t>
      </w:r>
      <w:r>
        <w:rPr>
          <w:rFonts w:hint="eastAsia"/>
          <w:color w:val="auto"/>
          <w:szCs w:val="21"/>
          <w:lang w:val="en-US" w:eastAsia="zh-CN"/>
        </w:rPr>
        <w:t>.00</w:t>
      </w:r>
      <w:r>
        <w:rPr>
          <w:rFonts w:hint="eastAsia"/>
          <w:color w:val="auto"/>
          <w:szCs w:val="21"/>
        </w:rPr>
        <w:t xml:space="preserve"> mL铊内标贮存溶液（5.2.10）与1 mL铑内标贮存溶液（5.2.11）于1000 mL容量瓶中，加入2 mL硝酸（5.2.2），以水稀释至刻度，混匀。此溶液1 mL含1000 ng铑、铊。</w:t>
      </w:r>
    </w:p>
    <w:p w14:paraId="1639D0BA">
      <w:pPr>
        <w:snapToGrid w:val="0"/>
        <w:rPr>
          <w:color w:val="auto"/>
          <w:szCs w:val="21"/>
        </w:rPr>
      </w:pPr>
      <w:r>
        <w:rPr>
          <w:rFonts w:hint="eastAsia" w:ascii="黑体" w:hAnsi="黑体" w:eastAsia="黑体" w:cs="黑体"/>
          <w:color w:val="auto"/>
          <w:szCs w:val="21"/>
        </w:rPr>
        <w:t>5.2.13</w:t>
      </w:r>
      <w:r>
        <w:rPr>
          <w:rFonts w:hint="eastAsia"/>
          <w:color w:val="auto"/>
          <w:szCs w:val="21"/>
        </w:rPr>
        <w:t xml:space="preserve"> 氩气：体积分数≥99.99%。</w:t>
      </w:r>
    </w:p>
    <w:p w14:paraId="6BA670E4">
      <w:pPr>
        <w:pStyle w:val="53"/>
        <w:snapToGrid w:val="0"/>
        <w:spacing w:before="156" w:after="156"/>
        <w:rPr>
          <w:rFonts w:ascii="Times New Roman"/>
          <w:color w:val="auto"/>
        </w:rPr>
      </w:pPr>
      <w:r>
        <w:rPr>
          <w:rFonts w:hint="eastAsia" w:hAnsi="黑体" w:cs="黑体"/>
          <w:color w:val="auto"/>
          <w:kern w:val="2"/>
          <w:szCs w:val="21"/>
        </w:rPr>
        <w:t xml:space="preserve">5.3 </w:t>
      </w:r>
      <w:r>
        <w:rPr>
          <w:rFonts w:hint="eastAsia" w:ascii="Times New Roman"/>
          <w:color w:val="auto"/>
        </w:rPr>
        <w:t>仪器设备</w:t>
      </w:r>
    </w:p>
    <w:p w14:paraId="52193F64">
      <w:pPr>
        <w:pStyle w:val="57"/>
        <w:spacing w:line="240" w:lineRule="auto"/>
        <w:ind w:left="-105" w:leftChars="-50" w:firstLine="105" w:firstLineChars="50"/>
        <w:jc w:val="both"/>
        <w:rPr>
          <w:color w:val="auto"/>
          <w:szCs w:val="21"/>
        </w:rPr>
      </w:pPr>
      <w:r>
        <w:rPr>
          <w:rFonts w:hint="eastAsia" w:ascii="黑体" w:hAnsi="黑体" w:eastAsia="黑体" w:cs="黑体"/>
          <w:color w:val="auto"/>
          <w:kern w:val="2"/>
          <w:szCs w:val="21"/>
        </w:rPr>
        <w:t xml:space="preserve">5.3.1 </w:t>
      </w:r>
      <w:r>
        <w:rPr>
          <w:rFonts w:hint="eastAsia"/>
          <w:color w:val="auto"/>
          <w:szCs w:val="21"/>
        </w:rPr>
        <w:t>电感耦合</w:t>
      </w:r>
      <w:r>
        <w:rPr>
          <w:color w:val="auto"/>
          <w:szCs w:val="21"/>
        </w:rPr>
        <w:t>等离子体</w:t>
      </w:r>
      <w:r>
        <w:rPr>
          <w:rFonts w:hint="eastAsia"/>
          <w:color w:val="auto"/>
          <w:szCs w:val="21"/>
        </w:rPr>
        <w:t>质谱</w:t>
      </w:r>
      <w:r>
        <w:rPr>
          <w:color w:val="auto"/>
          <w:szCs w:val="21"/>
        </w:rPr>
        <w:t>仪</w:t>
      </w:r>
    </w:p>
    <w:p w14:paraId="0CA11C69">
      <w:pPr>
        <w:pStyle w:val="57"/>
        <w:spacing w:line="240" w:lineRule="auto"/>
        <w:ind w:left="-105" w:leftChars="-50" w:firstLine="525" w:firstLineChars="250"/>
        <w:jc w:val="both"/>
        <w:rPr>
          <w:color w:val="auto"/>
          <w:szCs w:val="21"/>
        </w:rPr>
      </w:pPr>
      <w:r>
        <w:rPr>
          <w:rFonts w:hint="eastAsia"/>
          <w:color w:val="auto"/>
          <w:szCs w:val="21"/>
        </w:rPr>
        <w:t>在仪器最佳工作条件下，凡能达到下列指标者均可使用。</w:t>
      </w:r>
    </w:p>
    <w:p w14:paraId="0E94A1A1">
      <w:pPr>
        <w:pStyle w:val="57"/>
        <w:spacing w:line="240" w:lineRule="auto"/>
        <w:ind w:left="-105" w:leftChars="-50" w:firstLine="525" w:firstLineChars="250"/>
        <w:jc w:val="both"/>
        <w:rPr>
          <w:color w:val="auto"/>
          <w:szCs w:val="21"/>
        </w:rPr>
      </w:pPr>
      <w:r>
        <w:rPr>
          <w:rFonts w:hint="eastAsia"/>
          <w:color w:val="auto"/>
          <w:szCs w:val="21"/>
        </w:rPr>
        <w:t>——符合JJF 1159中要求的四极杆等离子体质谱仪校准项目和技术指标；</w:t>
      </w:r>
    </w:p>
    <w:p w14:paraId="7F4571D1">
      <w:pPr>
        <w:pStyle w:val="57"/>
        <w:spacing w:line="240" w:lineRule="auto"/>
        <w:ind w:left="-105" w:leftChars="-50" w:firstLine="525" w:firstLineChars="250"/>
        <w:jc w:val="both"/>
        <w:rPr>
          <w:color w:val="auto"/>
          <w:szCs w:val="21"/>
        </w:rPr>
      </w:pPr>
      <w:r>
        <w:rPr>
          <w:rFonts w:hint="eastAsia"/>
          <w:color w:val="auto"/>
          <w:szCs w:val="21"/>
        </w:rPr>
        <w:t>——测量元素的同位素质量数见表4。</w:t>
      </w:r>
    </w:p>
    <w:p w14:paraId="2453F4C7">
      <w:pPr>
        <w:adjustRightInd w:val="0"/>
        <w:spacing w:line="360" w:lineRule="auto"/>
        <w:ind w:left="178" w:leftChars="85" w:right="-153" w:rightChars="-73"/>
        <w:jc w:val="center"/>
        <w:textAlignment w:val="baseline"/>
        <w:rPr>
          <w:rFonts w:ascii="黑体" w:hAnsi="黑体" w:eastAsia="黑体" w:cs="黑体"/>
          <w:bCs/>
          <w:color w:val="auto"/>
          <w:kern w:val="0"/>
          <w:szCs w:val="21"/>
        </w:rPr>
      </w:pPr>
      <w:r>
        <w:rPr>
          <w:rFonts w:hint="eastAsia" w:ascii="黑体" w:hAnsi="黑体" w:eastAsia="黑体" w:cs="黑体"/>
          <w:bCs/>
          <w:color w:val="auto"/>
          <w:kern w:val="0"/>
          <w:szCs w:val="21"/>
        </w:rPr>
        <w:t>表4 测量元素同位素质量数</w:t>
      </w:r>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2459"/>
        <w:gridCol w:w="2466"/>
        <w:gridCol w:w="2470"/>
      </w:tblGrid>
      <w:tr w14:paraId="4BD1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pct"/>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14:paraId="6B5ECFA1">
            <w:pPr>
              <w:jc w:val="center"/>
              <w:rPr>
                <w:color w:val="auto"/>
                <w:sz w:val="18"/>
                <w:szCs w:val="18"/>
              </w:rPr>
            </w:pPr>
            <w:r>
              <w:rPr>
                <w:rFonts w:hint="eastAsia"/>
                <w:color w:val="auto"/>
                <w:sz w:val="18"/>
                <w:szCs w:val="18"/>
              </w:rPr>
              <w:t>元素</w:t>
            </w:r>
          </w:p>
        </w:tc>
        <w:tc>
          <w:tcPr>
            <w:tcW w:w="1286" w:type="pct"/>
            <w:tcBorders>
              <w:top w:val="single" w:color="000000" w:sz="12" w:space="0"/>
              <w:left w:val="single" w:color="000000" w:sz="4" w:space="0"/>
              <w:bottom w:val="single" w:color="auto" w:sz="12" w:space="0"/>
              <w:right w:val="double" w:color="auto" w:sz="4" w:space="0"/>
            </w:tcBorders>
            <w:shd w:val="clear" w:color="auto" w:fill="FFFFFF"/>
            <w:noWrap/>
          </w:tcPr>
          <w:p w14:paraId="054BBEE8">
            <w:pPr>
              <w:jc w:val="center"/>
              <w:rPr>
                <w:color w:val="auto"/>
                <w:sz w:val="18"/>
                <w:szCs w:val="18"/>
              </w:rPr>
            </w:pPr>
            <w:r>
              <w:rPr>
                <w:rFonts w:hint="eastAsia"/>
                <w:color w:val="auto"/>
                <w:sz w:val="18"/>
                <w:szCs w:val="18"/>
              </w:rPr>
              <w:t>质量数</w:t>
            </w:r>
          </w:p>
        </w:tc>
        <w:tc>
          <w:tcPr>
            <w:tcW w:w="1290" w:type="pct"/>
            <w:tcBorders>
              <w:top w:val="single" w:color="000000" w:sz="12" w:space="0"/>
              <w:left w:val="double" w:color="auto" w:sz="4" w:space="0"/>
              <w:bottom w:val="single" w:color="auto" w:sz="12" w:space="0"/>
              <w:right w:val="single" w:color="auto" w:sz="4" w:space="0"/>
            </w:tcBorders>
            <w:shd w:val="clear" w:color="auto" w:fill="FFFFFF"/>
            <w:noWrap/>
          </w:tcPr>
          <w:p w14:paraId="7F1C6B9D">
            <w:pPr>
              <w:jc w:val="center"/>
              <w:rPr>
                <w:rFonts w:hint="default" w:eastAsia="宋体"/>
                <w:color w:val="auto"/>
                <w:sz w:val="18"/>
                <w:szCs w:val="18"/>
                <w:lang w:val="en-US" w:eastAsia="zh-CN"/>
              </w:rPr>
            </w:pPr>
            <w:r>
              <w:rPr>
                <w:rFonts w:hint="eastAsia"/>
                <w:color w:val="auto"/>
                <w:sz w:val="18"/>
                <w:szCs w:val="18"/>
                <w:lang w:val="en-US" w:eastAsia="zh-CN"/>
              </w:rPr>
              <w:t>测定内标</w:t>
            </w:r>
          </w:p>
        </w:tc>
        <w:tc>
          <w:tcPr>
            <w:tcW w:w="1290" w:type="pct"/>
            <w:tcBorders>
              <w:top w:val="single" w:color="000000" w:sz="12" w:space="0"/>
              <w:left w:val="single" w:color="auto" w:sz="4" w:space="0"/>
              <w:bottom w:val="single" w:color="auto" w:sz="12" w:space="0"/>
              <w:right w:val="single" w:color="000000" w:sz="12" w:space="0"/>
            </w:tcBorders>
            <w:shd w:val="clear" w:color="auto" w:fill="FFFFFF"/>
            <w:noWrap/>
          </w:tcPr>
          <w:p w14:paraId="6A87C8A3">
            <w:pPr>
              <w:jc w:val="center"/>
              <w:rPr>
                <w:color w:val="auto"/>
                <w:sz w:val="18"/>
                <w:szCs w:val="18"/>
              </w:rPr>
            </w:pPr>
            <w:r>
              <w:rPr>
                <w:rFonts w:hint="eastAsia"/>
                <w:color w:val="auto"/>
                <w:sz w:val="18"/>
                <w:szCs w:val="18"/>
              </w:rPr>
              <w:t>质量数</w:t>
            </w:r>
          </w:p>
        </w:tc>
      </w:tr>
      <w:tr w14:paraId="1AB7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132" w:type="pct"/>
            <w:tcBorders>
              <w:top w:val="single" w:color="auto" w:sz="12" w:space="0"/>
              <w:left w:val="single" w:color="000000" w:sz="12" w:space="0"/>
              <w:bottom w:val="single" w:color="000000" w:sz="4" w:space="0"/>
              <w:right w:val="single" w:color="000000" w:sz="4" w:space="0"/>
            </w:tcBorders>
            <w:shd w:val="clear" w:color="auto" w:fill="FFFFFF"/>
            <w:noWrap/>
            <w:vAlign w:val="center"/>
          </w:tcPr>
          <w:p w14:paraId="7E93351A">
            <w:pPr>
              <w:jc w:val="center"/>
              <w:rPr>
                <w:color w:val="auto"/>
                <w:sz w:val="18"/>
                <w:szCs w:val="18"/>
              </w:rPr>
            </w:pPr>
            <w:r>
              <w:rPr>
                <w:rFonts w:hint="eastAsia"/>
                <w:color w:val="auto"/>
                <w:sz w:val="18"/>
                <w:szCs w:val="18"/>
              </w:rPr>
              <w:t>钨</w:t>
            </w:r>
          </w:p>
        </w:tc>
        <w:tc>
          <w:tcPr>
            <w:tcW w:w="1286" w:type="pct"/>
            <w:tcBorders>
              <w:top w:val="single" w:color="auto" w:sz="12" w:space="0"/>
              <w:left w:val="single" w:color="000000" w:sz="4" w:space="0"/>
              <w:bottom w:val="single" w:color="000000" w:sz="4" w:space="0"/>
              <w:right w:val="double" w:color="auto" w:sz="4" w:space="0"/>
            </w:tcBorders>
            <w:shd w:val="clear" w:color="auto" w:fill="FFFFFF"/>
            <w:noWrap/>
            <w:vAlign w:val="center"/>
          </w:tcPr>
          <w:p w14:paraId="3EDA0F91">
            <w:pPr>
              <w:jc w:val="center"/>
              <w:rPr>
                <w:color w:val="auto"/>
                <w:sz w:val="18"/>
                <w:szCs w:val="18"/>
              </w:rPr>
            </w:pPr>
            <w:r>
              <w:rPr>
                <w:rFonts w:hint="eastAsia"/>
                <w:color w:val="auto"/>
                <w:sz w:val="18"/>
                <w:szCs w:val="18"/>
              </w:rPr>
              <w:t>184、186</w:t>
            </w:r>
          </w:p>
        </w:tc>
        <w:tc>
          <w:tcPr>
            <w:tcW w:w="1290" w:type="pct"/>
            <w:tcBorders>
              <w:top w:val="single" w:color="auto" w:sz="12" w:space="0"/>
              <w:left w:val="double" w:color="auto" w:sz="4" w:space="0"/>
              <w:right w:val="single" w:color="auto" w:sz="4" w:space="0"/>
            </w:tcBorders>
            <w:shd w:val="clear" w:color="auto" w:fill="FFFFFF"/>
            <w:noWrap/>
            <w:vAlign w:val="center"/>
          </w:tcPr>
          <w:p w14:paraId="088C0595">
            <w:pPr>
              <w:jc w:val="center"/>
              <w:rPr>
                <w:rFonts w:hint="eastAsia" w:eastAsia="宋体"/>
                <w:color w:val="auto"/>
                <w:sz w:val="18"/>
                <w:szCs w:val="18"/>
                <w:lang w:val="en-US" w:eastAsia="zh-CN"/>
              </w:rPr>
            </w:pPr>
            <w:r>
              <w:rPr>
                <w:rFonts w:hint="eastAsia"/>
                <w:color w:val="auto"/>
                <w:sz w:val="18"/>
                <w:szCs w:val="18"/>
              </w:rPr>
              <w:t>铊</w:t>
            </w:r>
          </w:p>
        </w:tc>
        <w:tc>
          <w:tcPr>
            <w:tcW w:w="1290" w:type="pct"/>
            <w:tcBorders>
              <w:top w:val="single" w:color="auto" w:sz="12" w:space="0"/>
              <w:left w:val="single" w:color="auto" w:sz="4" w:space="0"/>
              <w:right w:val="single" w:color="000000" w:sz="12" w:space="0"/>
            </w:tcBorders>
            <w:shd w:val="clear" w:color="auto" w:fill="FFFFFF"/>
            <w:noWrap/>
            <w:vAlign w:val="center"/>
          </w:tcPr>
          <w:p w14:paraId="5BED9E4F">
            <w:pPr>
              <w:jc w:val="center"/>
              <w:rPr>
                <w:rFonts w:hint="eastAsia" w:eastAsia="宋体"/>
                <w:color w:val="auto"/>
                <w:sz w:val="18"/>
                <w:szCs w:val="18"/>
                <w:lang w:val="en-US" w:eastAsia="zh-CN"/>
              </w:rPr>
            </w:pPr>
            <w:r>
              <w:rPr>
                <w:rFonts w:hint="eastAsia"/>
                <w:color w:val="auto"/>
                <w:sz w:val="18"/>
                <w:szCs w:val="18"/>
              </w:rPr>
              <w:t>205</w:t>
            </w:r>
          </w:p>
        </w:tc>
      </w:tr>
      <w:tr w14:paraId="20BA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132" w:type="pct"/>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150C6D3E">
            <w:pPr>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钼</w:t>
            </w:r>
          </w:p>
        </w:tc>
        <w:tc>
          <w:tcPr>
            <w:tcW w:w="1286" w:type="pct"/>
            <w:tcBorders>
              <w:top w:val="single" w:color="000000" w:sz="4" w:space="0"/>
              <w:left w:val="single" w:color="000000" w:sz="4" w:space="0"/>
              <w:bottom w:val="single" w:color="000000" w:sz="4" w:space="0"/>
              <w:right w:val="double" w:color="auto" w:sz="4" w:space="0"/>
            </w:tcBorders>
            <w:shd w:val="clear" w:color="auto" w:fill="FFFFFF"/>
            <w:noWrap/>
            <w:vAlign w:val="center"/>
          </w:tcPr>
          <w:p w14:paraId="0C265713">
            <w:pPr>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95、98</w:t>
            </w:r>
          </w:p>
        </w:tc>
        <w:tc>
          <w:tcPr>
            <w:tcW w:w="1290" w:type="pct"/>
            <w:tcBorders>
              <w:top w:val="single" w:color="000000" w:sz="4" w:space="0"/>
              <w:left w:val="double" w:color="auto" w:sz="4" w:space="0"/>
              <w:bottom w:val="single" w:color="000000" w:sz="4" w:space="0"/>
              <w:right w:val="single" w:color="auto" w:sz="4" w:space="0"/>
            </w:tcBorders>
            <w:shd w:val="clear" w:color="auto" w:fill="FFFFFF"/>
            <w:noWrap/>
            <w:vAlign w:val="center"/>
          </w:tcPr>
          <w:p w14:paraId="41763A87">
            <w:pPr>
              <w:jc w:val="center"/>
              <w:rPr>
                <w:rFonts w:hint="eastAsia"/>
                <w:color w:val="auto"/>
                <w:sz w:val="18"/>
                <w:szCs w:val="18"/>
              </w:rPr>
            </w:pPr>
            <w:r>
              <w:rPr>
                <w:rFonts w:hint="eastAsia"/>
                <w:color w:val="auto"/>
                <w:sz w:val="18"/>
                <w:szCs w:val="18"/>
              </w:rPr>
              <w:t>铑</w:t>
            </w:r>
          </w:p>
        </w:tc>
        <w:tc>
          <w:tcPr>
            <w:tcW w:w="1290" w:type="pct"/>
            <w:tcBorders>
              <w:top w:val="single" w:color="000000" w:sz="4" w:space="0"/>
              <w:left w:val="single" w:color="auto" w:sz="4" w:space="0"/>
              <w:bottom w:val="single" w:color="000000" w:sz="4" w:space="0"/>
              <w:right w:val="single" w:color="000000" w:sz="12" w:space="0"/>
            </w:tcBorders>
            <w:shd w:val="clear" w:color="auto" w:fill="FFFFFF"/>
            <w:noWrap/>
            <w:vAlign w:val="center"/>
          </w:tcPr>
          <w:p w14:paraId="1D4CA40A">
            <w:pPr>
              <w:jc w:val="center"/>
              <w:rPr>
                <w:rFonts w:hint="eastAsia"/>
                <w:color w:val="auto"/>
                <w:sz w:val="18"/>
                <w:szCs w:val="18"/>
              </w:rPr>
            </w:pPr>
            <w:r>
              <w:rPr>
                <w:rFonts w:hint="eastAsia"/>
                <w:color w:val="auto"/>
                <w:sz w:val="18"/>
                <w:szCs w:val="18"/>
              </w:rPr>
              <w:t>103</w:t>
            </w:r>
          </w:p>
        </w:tc>
      </w:tr>
      <w:tr w14:paraId="59B4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00" w:type="pct"/>
            <w:gridSpan w:val="4"/>
            <w:tcBorders>
              <w:top w:val="single" w:color="000000" w:sz="4" w:space="0"/>
              <w:left w:val="single" w:color="000000" w:sz="12" w:space="0"/>
              <w:bottom w:val="single" w:color="000000" w:sz="12" w:space="0"/>
              <w:right w:val="single" w:color="000000" w:sz="12" w:space="0"/>
            </w:tcBorders>
            <w:shd w:val="clear" w:color="auto" w:fill="FFFFFF"/>
            <w:noWrap/>
            <w:vAlign w:val="center"/>
          </w:tcPr>
          <w:p w14:paraId="66EAA6FD">
            <w:pPr>
              <w:jc w:val="left"/>
              <w:rPr>
                <w:rFonts w:hint="default" w:eastAsia="宋体"/>
                <w:color w:val="auto"/>
                <w:sz w:val="18"/>
                <w:szCs w:val="18"/>
                <w:lang w:val="en-US" w:eastAsia="zh-CN"/>
              </w:rPr>
            </w:pPr>
            <w:r>
              <w:rPr>
                <w:rFonts w:hint="eastAsia" w:ascii="黑体" w:hAnsi="黑体" w:eastAsia="黑体" w:cs="黑体"/>
                <w:color w:val="auto"/>
                <w:sz w:val="18"/>
                <w:szCs w:val="18"/>
                <w:lang w:val="en-US" w:eastAsia="zh-CN"/>
              </w:rPr>
              <w:t>注：</w:t>
            </w:r>
            <w:r>
              <w:rPr>
                <w:rFonts w:hint="eastAsia"/>
                <w:color w:val="auto"/>
                <w:sz w:val="18"/>
                <w:szCs w:val="18"/>
                <w:lang w:val="en-US" w:eastAsia="zh-CN"/>
              </w:rPr>
              <w:t>铒及含铒金属测定钨质量数选择186。</w:t>
            </w:r>
          </w:p>
        </w:tc>
      </w:tr>
    </w:tbl>
    <w:p w14:paraId="4DC2BB32">
      <w:pPr>
        <w:pStyle w:val="57"/>
        <w:spacing w:line="240" w:lineRule="auto"/>
        <w:ind w:left="-105" w:leftChars="-50" w:firstLine="105" w:firstLineChars="50"/>
        <w:jc w:val="both"/>
        <w:rPr>
          <w:rFonts w:hint="eastAsia" w:ascii="黑体" w:hAnsi="黑体" w:eastAsia="黑体" w:cs="黑体"/>
          <w:color w:val="auto"/>
          <w:kern w:val="2"/>
          <w:szCs w:val="21"/>
        </w:rPr>
      </w:pPr>
    </w:p>
    <w:p w14:paraId="51B23DFC">
      <w:pPr>
        <w:pStyle w:val="57"/>
        <w:spacing w:line="240" w:lineRule="auto"/>
        <w:ind w:left="-105" w:leftChars="-50" w:firstLine="105" w:firstLineChars="50"/>
        <w:jc w:val="both"/>
        <w:rPr>
          <w:color w:val="auto"/>
          <w:szCs w:val="21"/>
        </w:rPr>
      </w:pPr>
      <w:r>
        <w:rPr>
          <w:rFonts w:hint="eastAsia" w:ascii="黑体" w:hAnsi="黑体" w:eastAsia="黑体" w:cs="黑体"/>
          <w:color w:val="auto"/>
          <w:kern w:val="2"/>
          <w:szCs w:val="21"/>
        </w:rPr>
        <w:t xml:space="preserve">5.3.2 </w:t>
      </w:r>
      <w:r>
        <w:rPr>
          <w:rFonts w:hint="eastAsia"/>
          <w:color w:val="auto"/>
          <w:szCs w:val="21"/>
        </w:rPr>
        <w:t>电子天平：分度值为0.1 mg。</w:t>
      </w:r>
    </w:p>
    <w:p w14:paraId="35009E45">
      <w:pPr>
        <w:pStyle w:val="53"/>
        <w:snapToGrid w:val="0"/>
        <w:spacing w:before="156" w:after="156"/>
        <w:rPr>
          <w:rFonts w:ascii="Times New Roman"/>
          <w:color w:val="auto"/>
        </w:rPr>
      </w:pPr>
      <w:r>
        <w:rPr>
          <w:rFonts w:hint="eastAsia" w:hAnsi="黑体" w:cs="黑体"/>
          <w:color w:val="auto"/>
          <w:kern w:val="2"/>
          <w:szCs w:val="21"/>
        </w:rPr>
        <w:t>5.4</w:t>
      </w:r>
      <w:r>
        <w:rPr>
          <w:rFonts w:hint="eastAsia" w:ascii="Times New Roman"/>
          <w:color w:val="auto"/>
        </w:rPr>
        <w:t xml:space="preserve"> 样品</w:t>
      </w:r>
    </w:p>
    <w:p w14:paraId="038DB87C">
      <w:pPr>
        <w:spacing w:line="400" w:lineRule="exact"/>
        <w:ind w:firstLine="420" w:firstLineChars="200"/>
        <w:rPr>
          <w:color w:val="auto"/>
          <w:szCs w:val="21"/>
        </w:rPr>
      </w:pPr>
      <w:r>
        <w:rPr>
          <w:rFonts w:hint="eastAsia"/>
          <w:color w:val="auto"/>
          <w:szCs w:val="21"/>
        </w:rPr>
        <w:t>金属样品应去掉表面氧化层，取样后立即称量。</w:t>
      </w:r>
    </w:p>
    <w:p w14:paraId="770DF32D">
      <w:pPr>
        <w:pStyle w:val="53"/>
        <w:snapToGrid w:val="0"/>
        <w:spacing w:before="156" w:after="156"/>
        <w:rPr>
          <w:rFonts w:ascii="Times New Roman"/>
          <w:color w:val="auto"/>
        </w:rPr>
      </w:pPr>
      <w:r>
        <w:rPr>
          <w:rFonts w:hint="eastAsia" w:hAnsi="黑体" w:cs="黑体"/>
          <w:color w:val="auto"/>
          <w:kern w:val="2"/>
          <w:szCs w:val="21"/>
        </w:rPr>
        <w:t xml:space="preserve">5.5 </w:t>
      </w:r>
      <w:r>
        <w:rPr>
          <w:rFonts w:hint="eastAsia" w:ascii="Times New Roman"/>
          <w:color w:val="auto"/>
        </w:rPr>
        <w:t>试验步骤</w:t>
      </w:r>
    </w:p>
    <w:p w14:paraId="78428FF4">
      <w:pPr>
        <w:pStyle w:val="53"/>
        <w:snapToGrid w:val="0"/>
        <w:spacing w:before="156" w:after="156"/>
        <w:rPr>
          <w:rFonts w:ascii="Times New Roman"/>
          <w:color w:val="auto"/>
        </w:rPr>
      </w:pPr>
      <w:r>
        <w:rPr>
          <w:rFonts w:hint="eastAsia" w:hAnsi="黑体" w:cs="黑体"/>
          <w:color w:val="auto"/>
          <w:kern w:val="2"/>
          <w:szCs w:val="21"/>
        </w:rPr>
        <w:t>5.5.1</w:t>
      </w:r>
      <w:r>
        <w:rPr>
          <w:rFonts w:hint="eastAsia" w:ascii="Times New Roman"/>
          <w:color w:val="auto"/>
        </w:rPr>
        <w:t xml:space="preserve"> 试料</w:t>
      </w:r>
    </w:p>
    <w:p w14:paraId="4DBD1290">
      <w:pPr>
        <w:snapToGrid w:val="0"/>
        <w:ind w:firstLine="420" w:firstLineChars="200"/>
        <w:rPr>
          <w:color w:val="auto"/>
          <w:kern w:val="0"/>
          <w:szCs w:val="20"/>
        </w:rPr>
      </w:pPr>
      <w:r>
        <w:rPr>
          <w:color w:val="auto"/>
        </w:rPr>
        <w:t>称取</w:t>
      </w:r>
      <w:r>
        <w:rPr>
          <w:rFonts w:hint="eastAsia"/>
          <w:color w:val="auto"/>
        </w:rPr>
        <w:t xml:space="preserve">1.0 </w:t>
      </w:r>
      <w:r>
        <w:rPr>
          <w:color w:val="auto"/>
        </w:rPr>
        <w:t>g</w:t>
      </w:r>
      <w:r>
        <w:rPr>
          <w:rFonts w:hint="eastAsia"/>
          <w:color w:val="auto"/>
        </w:rPr>
        <w:t>样品</w:t>
      </w:r>
      <w:r>
        <w:rPr>
          <w:color w:val="auto"/>
        </w:rPr>
        <w:t>（</w:t>
      </w:r>
      <w:r>
        <w:rPr>
          <w:rFonts w:hint="eastAsia"/>
          <w:color w:val="auto"/>
        </w:rPr>
        <w:t>5</w:t>
      </w:r>
      <w:r>
        <w:rPr>
          <w:color w:val="auto"/>
        </w:rPr>
        <w:t>.</w:t>
      </w:r>
      <w:r>
        <w:rPr>
          <w:rFonts w:hint="eastAsia"/>
          <w:color w:val="auto"/>
        </w:rPr>
        <w:t>4</w:t>
      </w:r>
      <w:r>
        <w:rPr>
          <w:color w:val="auto"/>
        </w:rPr>
        <w:t>），精确至0.0001</w:t>
      </w:r>
      <w:r>
        <w:rPr>
          <w:rFonts w:hint="eastAsia"/>
          <w:color w:val="auto"/>
        </w:rPr>
        <w:t xml:space="preserve"> </w:t>
      </w:r>
      <w:r>
        <w:rPr>
          <w:color w:val="auto"/>
        </w:rPr>
        <w:t>g。</w:t>
      </w:r>
    </w:p>
    <w:p w14:paraId="672A4719">
      <w:pPr>
        <w:pStyle w:val="53"/>
        <w:snapToGrid w:val="0"/>
        <w:spacing w:before="156" w:after="156"/>
        <w:rPr>
          <w:rFonts w:ascii="Times New Roman"/>
          <w:color w:val="auto"/>
        </w:rPr>
      </w:pPr>
      <w:r>
        <w:rPr>
          <w:rFonts w:hint="eastAsia" w:hAnsi="黑体" w:cs="黑体"/>
          <w:color w:val="auto"/>
          <w:kern w:val="2"/>
          <w:szCs w:val="21"/>
        </w:rPr>
        <w:t xml:space="preserve">5.5.2 </w:t>
      </w:r>
      <w:r>
        <w:rPr>
          <w:rFonts w:hint="eastAsia" w:ascii="Times New Roman"/>
          <w:color w:val="auto"/>
        </w:rPr>
        <w:t>平行试验</w:t>
      </w:r>
    </w:p>
    <w:p w14:paraId="460DF350">
      <w:pPr>
        <w:snapToGrid w:val="0"/>
        <w:ind w:firstLine="420" w:firstLineChars="200"/>
        <w:rPr>
          <w:color w:val="auto"/>
          <w:kern w:val="0"/>
          <w:szCs w:val="20"/>
        </w:rPr>
      </w:pPr>
      <w:r>
        <w:rPr>
          <w:rFonts w:hint="eastAsia"/>
          <w:color w:val="auto"/>
          <w:kern w:val="0"/>
          <w:szCs w:val="20"/>
        </w:rPr>
        <w:t>平行做两份试验。</w:t>
      </w:r>
    </w:p>
    <w:p w14:paraId="0AB6834E">
      <w:pPr>
        <w:pStyle w:val="53"/>
        <w:snapToGrid w:val="0"/>
        <w:spacing w:before="156" w:after="156"/>
        <w:rPr>
          <w:rFonts w:ascii="Times New Roman"/>
          <w:color w:val="auto"/>
        </w:rPr>
      </w:pPr>
      <w:r>
        <w:rPr>
          <w:rFonts w:hint="eastAsia" w:hAnsi="黑体" w:cs="黑体"/>
          <w:color w:val="auto"/>
          <w:kern w:val="2"/>
          <w:szCs w:val="21"/>
        </w:rPr>
        <w:t>5.5.3</w:t>
      </w:r>
      <w:r>
        <w:rPr>
          <w:rFonts w:hint="eastAsia" w:ascii="Times New Roman"/>
          <w:color w:val="auto"/>
        </w:rPr>
        <w:t xml:space="preserve"> 空白试验</w:t>
      </w:r>
    </w:p>
    <w:p w14:paraId="74543A8D">
      <w:pPr>
        <w:pStyle w:val="43"/>
        <w:snapToGrid w:val="0"/>
        <w:ind w:firstLine="405" w:firstLineChars="193"/>
        <w:rPr>
          <w:color w:val="auto"/>
          <w:szCs w:val="21"/>
        </w:rPr>
      </w:pPr>
      <w:r>
        <w:rPr>
          <w:color w:val="auto"/>
          <w:szCs w:val="21"/>
        </w:rPr>
        <w:t>随同试料</w:t>
      </w:r>
      <w:r>
        <w:rPr>
          <w:rFonts w:hint="eastAsia"/>
          <w:color w:val="auto"/>
          <w:szCs w:val="21"/>
        </w:rPr>
        <w:t>做</w:t>
      </w:r>
      <w:r>
        <w:rPr>
          <w:color w:val="auto"/>
          <w:szCs w:val="21"/>
        </w:rPr>
        <w:t>空白</w:t>
      </w:r>
      <w:r>
        <w:rPr>
          <w:rFonts w:hint="eastAsia"/>
          <w:color w:val="auto"/>
          <w:szCs w:val="21"/>
        </w:rPr>
        <w:t>试验。</w:t>
      </w:r>
    </w:p>
    <w:p w14:paraId="71E5B286">
      <w:pPr>
        <w:pStyle w:val="53"/>
        <w:snapToGrid w:val="0"/>
        <w:spacing w:before="156" w:after="156"/>
        <w:rPr>
          <w:rFonts w:ascii="Times New Roman"/>
          <w:color w:val="auto"/>
        </w:rPr>
      </w:pPr>
      <w:r>
        <w:rPr>
          <w:rFonts w:hint="eastAsia" w:hAnsi="黑体" w:cs="黑体"/>
          <w:color w:val="auto"/>
          <w:kern w:val="2"/>
          <w:szCs w:val="21"/>
        </w:rPr>
        <w:t>5.5.4</w:t>
      </w:r>
      <w:r>
        <w:rPr>
          <w:rFonts w:hint="eastAsia" w:ascii="Times New Roman"/>
          <w:color w:val="auto"/>
        </w:rPr>
        <w:t>分析试液的制备</w:t>
      </w:r>
    </w:p>
    <w:p w14:paraId="39A64349">
      <w:pPr>
        <w:pStyle w:val="57"/>
        <w:snapToGrid w:val="0"/>
        <w:spacing w:line="240" w:lineRule="auto"/>
        <w:jc w:val="both"/>
        <w:rPr>
          <w:color w:val="auto"/>
          <w:szCs w:val="21"/>
        </w:rPr>
      </w:pPr>
      <w:r>
        <w:rPr>
          <w:rFonts w:hint="eastAsia" w:ascii="黑体" w:hAnsi="黑体" w:eastAsia="黑体" w:cs="黑体"/>
          <w:color w:val="auto"/>
          <w:kern w:val="2"/>
          <w:szCs w:val="21"/>
        </w:rPr>
        <w:t>5.5.4.1</w:t>
      </w:r>
      <w:r>
        <w:rPr>
          <w:rFonts w:hint="eastAsia"/>
          <w:color w:val="auto"/>
          <w:szCs w:val="21"/>
        </w:rPr>
        <w:t xml:space="preserve"> 试液的制备：将试料（5.5.1）置于200 mL聚四氟乙烯烧杯中，用水润湿。加入10 mL硝酸（5.2.4），低温加热溶解至清亮，加入约50 mL 水。待加热至近沸腾，加入5 mL氢氟酸（5.2.3），</w:t>
      </w:r>
      <w:r>
        <w:rPr>
          <w:rFonts w:hint="eastAsia"/>
          <w:color w:val="auto"/>
          <w:szCs w:val="21"/>
          <w:lang w:val="en-US" w:eastAsia="zh-CN"/>
        </w:rPr>
        <w:t>于80℃电热板</w:t>
      </w:r>
      <w:r>
        <w:rPr>
          <w:rFonts w:hint="eastAsia"/>
          <w:color w:val="auto"/>
          <w:szCs w:val="21"/>
        </w:rPr>
        <w:t>保温10 min。放置冷却至室温，移入100 mL 塑料容量瓶中，用水稀释至刻度，混匀。待沉淀下沉后，用</w:t>
      </w:r>
      <w:r>
        <w:rPr>
          <w:rFonts w:hint="eastAsia"/>
          <w:color w:val="auto"/>
          <w:szCs w:val="21"/>
          <w:lang w:val="en-US" w:eastAsia="zh-CN"/>
        </w:rPr>
        <w:t>双层</w:t>
      </w:r>
      <w:r>
        <w:rPr>
          <w:rFonts w:hint="eastAsia"/>
          <w:color w:val="auto"/>
          <w:szCs w:val="21"/>
        </w:rPr>
        <w:t>慢速滤纸干过滤。</w:t>
      </w:r>
    </w:p>
    <w:p w14:paraId="214C2479">
      <w:pPr>
        <w:rPr>
          <w:color w:val="auto"/>
          <w:szCs w:val="21"/>
        </w:rPr>
      </w:pPr>
      <w:r>
        <w:rPr>
          <w:rFonts w:hint="eastAsia" w:ascii="黑体" w:hAnsi="黑体" w:eastAsia="黑体" w:cs="黑体"/>
          <w:color w:val="auto"/>
          <w:szCs w:val="21"/>
        </w:rPr>
        <w:t xml:space="preserve">5.5.4.2 </w:t>
      </w:r>
      <w:r>
        <w:rPr>
          <w:rFonts w:hint="eastAsia"/>
          <w:color w:val="auto"/>
          <w:szCs w:val="21"/>
        </w:rPr>
        <w:t>分析试液的制备：按表5移取相应体积试液</w:t>
      </w:r>
      <w:r>
        <w:rPr>
          <w:color w:val="auto"/>
          <w:szCs w:val="21"/>
        </w:rPr>
        <w:t>（</w:t>
      </w:r>
      <w:r>
        <w:rPr>
          <w:rFonts w:hint="eastAsia"/>
          <w:color w:val="auto"/>
          <w:szCs w:val="21"/>
        </w:rPr>
        <w:t>5</w:t>
      </w:r>
      <w:r>
        <w:rPr>
          <w:color w:val="auto"/>
          <w:szCs w:val="21"/>
        </w:rPr>
        <w:t>.5.4.1）</w:t>
      </w:r>
      <w:r>
        <w:rPr>
          <w:rFonts w:hint="eastAsia"/>
          <w:color w:val="auto"/>
          <w:szCs w:val="21"/>
        </w:rPr>
        <w:t>于100 mL 塑料容量瓶中，加入5 mL 硼酸溶液（5.2.</w:t>
      </w:r>
      <w:r>
        <w:rPr>
          <w:rFonts w:hint="eastAsia"/>
          <w:color w:val="auto"/>
          <w:szCs w:val="21"/>
          <w:lang w:val="en-US" w:eastAsia="zh-CN"/>
        </w:rPr>
        <w:t>6</w:t>
      </w:r>
      <w:r>
        <w:rPr>
          <w:rFonts w:hint="eastAsia"/>
          <w:color w:val="auto"/>
          <w:szCs w:val="21"/>
        </w:rPr>
        <w:t>）、2 mL硝酸（5.</w:t>
      </w:r>
      <w:r>
        <w:rPr>
          <w:rFonts w:hint="eastAsia"/>
          <w:color w:val="auto"/>
          <w:szCs w:val="21"/>
          <w:lang w:val="en-US" w:eastAsia="zh-CN"/>
        </w:rPr>
        <w:t>2</w:t>
      </w:r>
      <w:r>
        <w:rPr>
          <w:rFonts w:hint="eastAsia"/>
          <w:color w:val="auto"/>
          <w:szCs w:val="21"/>
        </w:rPr>
        <w:t>.2）、1 mL铑、铊内标混合溶液（5.2.12），用水稀释至刻度，混匀，待</w:t>
      </w:r>
      <w:r>
        <w:rPr>
          <w:rFonts w:hint="eastAsia"/>
          <w:color w:val="auto"/>
          <w:szCs w:val="21"/>
          <w:lang w:val="en-US" w:eastAsia="zh-CN"/>
        </w:rPr>
        <w:t>测</w:t>
      </w:r>
      <w:r>
        <w:rPr>
          <w:rFonts w:hint="eastAsia"/>
          <w:color w:val="auto"/>
          <w:szCs w:val="21"/>
        </w:rPr>
        <w:t>。</w:t>
      </w:r>
    </w:p>
    <w:p w14:paraId="6BF50061">
      <w:pPr>
        <w:ind w:firstLine="360" w:firstLineChars="200"/>
        <w:rPr>
          <w:rFonts w:ascii="宋体" w:hAnsi="宋体" w:cs="宋体"/>
          <w:color w:val="auto"/>
          <w:sz w:val="18"/>
          <w:szCs w:val="18"/>
        </w:rPr>
      </w:pPr>
      <w:r>
        <w:rPr>
          <w:rFonts w:hint="eastAsia" w:ascii="黑体" w:hAnsi="黑体" w:eastAsia="黑体" w:cs="黑体"/>
          <w:color w:val="auto"/>
          <w:sz w:val="18"/>
          <w:szCs w:val="18"/>
        </w:rPr>
        <w:t>注：</w:t>
      </w:r>
      <w:r>
        <w:rPr>
          <w:rFonts w:hint="eastAsia" w:ascii="宋体" w:hAnsi="宋体" w:cs="宋体"/>
          <w:color w:val="auto"/>
          <w:sz w:val="18"/>
          <w:szCs w:val="18"/>
        </w:rPr>
        <w:t>若仪器配备耐氢氟酸进样系统，可不加硼酸溶液（</w:t>
      </w:r>
      <w:r>
        <w:rPr>
          <w:rFonts w:hint="default" w:ascii="Times New Roman" w:hAnsi="Times New Roman" w:cs="Times New Roman"/>
          <w:color w:val="auto"/>
          <w:sz w:val="18"/>
          <w:szCs w:val="18"/>
        </w:rPr>
        <w:t>5.2.</w:t>
      </w:r>
      <w:r>
        <w:rPr>
          <w:rFonts w:hint="eastAsia" w:cs="Times New Roman"/>
          <w:color w:val="auto"/>
          <w:sz w:val="18"/>
          <w:szCs w:val="18"/>
          <w:lang w:val="en-US" w:eastAsia="zh-CN"/>
        </w:rPr>
        <w:t>6</w:t>
      </w:r>
      <w:r>
        <w:rPr>
          <w:rFonts w:hint="eastAsia" w:ascii="宋体" w:hAnsi="宋体" w:cs="宋体"/>
          <w:color w:val="auto"/>
          <w:sz w:val="18"/>
          <w:szCs w:val="18"/>
        </w:rPr>
        <w:t>）；使用具有在线加入内标溶液装置的仪器时，应根据装置的加入比例，控制在线测定溶液的铑、铊内标混合溶液的质量浓度为</w:t>
      </w:r>
      <w:r>
        <w:rPr>
          <w:rFonts w:hint="default" w:ascii="Times New Roman" w:hAnsi="Times New Roman" w:cs="Times New Roman"/>
          <w:color w:val="auto"/>
          <w:sz w:val="18"/>
          <w:szCs w:val="18"/>
        </w:rPr>
        <w:t>10 ng/mL</w:t>
      </w:r>
      <w:r>
        <w:rPr>
          <w:rFonts w:hint="eastAsia" w:ascii="宋体" w:hAnsi="宋体" w:cs="宋体"/>
          <w:color w:val="auto"/>
          <w:sz w:val="18"/>
          <w:szCs w:val="18"/>
        </w:rPr>
        <w:t>。</w:t>
      </w:r>
    </w:p>
    <w:p w14:paraId="27C99A7B">
      <w:pPr>
        <w:adjustRightInd w:val="0"/>
        <w:spacing w:line="360" w:lineRule="auto"/>
        <w:ind w:left="178" w:leftChars="85" w:right="-153" w:rightChars="-73"/>
        <w:jc w:val="center"/>
        <w:textAlignment w:val="baseline"/>
        <w:rPr>
          <w:rFonts w:ascii="黑体" w:hAnsi="黑体" w:eastAsia="黑体" w:cs="黑体"/>
          <w:bCs/>
          <w:color w:val="auto"/>
          <w:kern w:val="0"/>
          <w:szCs w:val="21"/>
        </w:rPr>
      </w:pPr>
      <w:r>
        <w:rPr>
          <w:rFonts w:hint="eastAsia" w:ascii="黑体" w:hAnsi="黑体" w:eastAsia="黑体" w:cs="黑体"/>
          <w:bCs/>
          <w:color w:val="auto"/>
          <w:kern w:val="0"/>
          <w:szCs w:val="21"/>
        </w:rPr>
        <w:t>表5 不同含量样品溶液分取体积</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6"/>
        <w:gridCol w:w="5084"/>
      </w:tblGrid>
      <w:tr w14:paraId="512A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4" w:type="pct"/>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14:paraId="4D0D46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含量（质量分数）范围</w:t>
            </w:r>
          </w:p>
          <w:p w14:paraId="19612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w:t>
            </w:r>
          </w:p>
        </w:tc>
        <w:tc>
          <w:tcPr>
            <w:tcW w:w="2656" w:type="pct"/>
            <w:tcBorders>
              <w:top w:val="single" w:color="000000" w:sz="12" w:space="0"/>
              <w:left w:val="single" w:color="auto" w:sz="4" w:space="0"/>
              <w:bottom w:val="single" w:color="auto" w:sz="12" w:space="0"/>
              <w:right w:val="single" w:color="000000" w:sz="12" w:space="0"/>
            </w:tcBorders>
            <w:shd w:val="clear" w:color="auto" w:fill="FFFFFF"/>
            <w:noWrap/>
          </w:tcPr>
          <w:p w14:paraId="2EAE9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分取体积</w:t>
            </w:r>
          </w:p>
          <w:p w14:paraId="24077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mL</w:t>
            </w:r>
          </w:p>
        </w:tc>
      </w:tr>
      <w:tr w14:paraId="5D4C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44" w:type="pct"/>
            <w:tcBorders>
              <w:top w:val="single" w:color="auto" w:sz="12" w:space="0"/>
              <w:left w:val="single" w:color="000000" w:sz="12" w:space="0"/>
              <w:bottom w:val="single" w:color="000000" w:sz="4" w:space="0"/>
              <w:right w:val="single" w:color="000000" w:sz="4" w:space="0"/>
            </w:tcBorders>
            <w:shd w:val="clear" w:color="auto" w:fill="FFFFFF"/>
            <w:noWrap/>
            <w:vAlign w:val="center"/>
          </w:tcPr>
          <w:p w14:paraId="22091004">
            <w:pPr>
              <w:jc w:val="center"/>
              <w:rPr>
                <w:color w:val="auto"/>
                <w:sz w:val="18"/>
                <w:szCs w:val="18"/>
              </w:rPr>
            </w:pPr>
            <w:r>
              <w:rPr>
                <w:rFonts w:hint="eastAsia"/>
                <w:color w:val="auto"/>
                <w:sz w:val="18"/>
                <w:szCs w:val="18"/>
              </w:rPr>
              <w:t>0.0001~0.010</w:t>
            </w:r>
          </w:p>
        </w:tc>
        <w:tc>
          <w:tcPr>
            <w:tcW w:w="2656" w:type="pct"/>
            <w:tcBorders>
              <w:top w:val="single" w:color="auto" w:sz="12" w:space="0"/>
              <w:left w:val="single" w:color="auto" w:sz="4" w:space="0"/>
              <w:bottom w:val="single" w:color="000000" w:sz="4" w:space="0"/>
              <w:right w:val="single" w:color="000000" w:sz="12" w:space="0"/>
            </w:tcBorders>
            <w:shd w:val="clear" w:color="auto" w:fill="FFFFFF"/>
            <w:noWrap/>
            <w:vAlign w:val="center"/>
          </w:tcPr>
          <w:p w14:paraId="0A884046">
            <w:pPr>
              <w:jc w:val="center"/>
              <w:rPr>
                <w:color w:val="auto"/>
                <w:sz w:val="18"/>
                <w:szCs w:val="18"/>
              </w:rPr>
            </w:pPr>
            <w:r>
              <w:rPr>
                <w:rFonts w:hint="eastAsia"/>
                <w:color w:val="auto"/>
                <w:sz w:val="18"/>
                <w:szCs w:val="18"/>
              </w:rPr>
              <w:t>10</w:t>
            </w:r>
          </w:p>
        </w:tc>
      </w:tr>
      <w:tr w14:paraId="1757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44" w:type="pct"/>
            <w:tcBorders>
              <w:top w:val="single" w:color="000000" w:sz="4" w:space="0"/>
              <w:left w:val="single" w:color="000000" w:sz="12" w:space="0"/>
              <w:bottom w:val="single" w:color="000000" w:sz="12" w:space="0"/>
              <w:right w:val="single" w:color="000000" w:sz="4" w:space="0"/>
            </w:tcBorders>
            <w:shd w:val="clear" w:color="auto" w:fill="FFFFFF"/>
            <w:noWrap/>
            <w:vAlign w:val="center"/>
          </w:tcPr>
          <w:p w14:paraId="21D9C542">
            <w:pPr>
              <w:jc w:val="center"/>
              <w:rPr>
                <w:color w:val="auto"/>
                <w:sz w:val="18"/>
                <w:szCs w:val="18"/>
              </w:rPr>
            </w:pPr>
            <w:r>
              <w:rPr>
                <w:rFonts w:hint="eastAsia"/>
                <w:color w:val="auto"/>
                <w:sz w:val="18"/>
                <w:szCs w:val="18"/>
              </w:rPr>
              <w:t>&gt;0.0</w:t>
            </w:r>
            <w:r>
              <w:rPr>
                <w:rFonts w:hint="eastAsia"/>
                <w:color w:val="auto"/>
                <w:sz w:val="18"/>
                <w:szCs w:val="18"/>
                <w:lang w:val="en-US" w:eastAsia="zh-CN"/>
              </w:rPr>
              <w:t>1</w:t>
            </w:r>
            <w:r>
              <w:rPr>
                <w:rFonts w:hint="eastAsia"/>
                <w:color w:val="auto"/>
                <w:sz w:val="18"/>
                <w:szCs w:val="18"/>
              </w:rPr>
              <w:t>0~0.10</w:t>
            </w:r>
          </w:p>
        </w:tc>
        <w:tc>
          <w:tcPr>
            <w:tcW w:w="2656" w:type="pct"/>
            <w:tcBorders>
              <w:top w:val="single" w:color="000000" w:sz="4" w:space="0"/>
              <w:left w:val="single" w:color="auto" w:sz="4" w:space="0"/>
              <w:bottom w:val="single" w:color="000000" w:sz="12" w:space="0"/>
              <w:right w:val="single" w:color="000000" w:sz="12" w:space="0"/>
            </w:tcBorders>
            <w:shd w:val="clear" w:color="auto" w:fill="FFFFFF"/>
            <w:noWrap/>
            <w:vAlign w:val="center"/>
          </w:tcPr>
          <w:p w14:paraId="1FE8B821">
            <w:pPr>
              <w:jc w:val="center"/>
              <w:rPr>
                <w:color w:val="auto"/>
                <w:sz w:val="18"/>
                <w:szCs w:val="18"/>
              </w:rPr>
            </w:pPr>
            <w:r>
              <w:rPr>
                <w:rFonts w:hint="eastAsia"/>
                <w:color w:val="auto"/>
                <w:sz w:val="18"/>
                <w:szCs w:val="18"/>
              </w:rPr>
              <w:t>1</w:t>
            </w:r>
          </w:p>
        </w:tc>
      </w:tr>
    </w:tbl>
    <w:p w14:paraId="6D733223">
      <w:pPr>
        <w:pStyle w:val="53"/>
        <w:spacing w:before="156" w:after="156"/>
        <w:rPr>
          <w:rFonts w:ascii="Times New Roman"/>
          <w:color w:val="auto"/>
        </w:rPr>
      </w:pPr>
      <w:r>
        <w:rPr>
          <w:rFonts w:hint="eastAsia" w:hAnsi="黑体" w:cs="黑体"/>
          <w:color w:val="auto"/>
          <w:kern w:val="2"/>
          <w:szCs w:val="21"/>
        </w:rPr>
        <w:t>5.5.5</w:t>
      </w:r>
      <w:r>
        <w:rPr>
          <w:rFonts w:hint="eastAsia" w:ascii="Times New Roman"/>
          <w:color w:val="auto"/>
        </w:rPr>
        <w:t xml:space="preserve"> 系列标准溶液配制</w:t>
      </w:r>
    </w:p>
    <w:p w14:paraId="605B68F7">
      <w:pPr>
        <w:ind w:firstLine="420" w:firstLineChars="200"/>
        <w:rPr>
          <w:rFonts w:hint="eastAsia"/>
          <w:color w:val="auto"/>
          <w:szCs w:val="21"/>
        </w:rPr>
      </w:pPr>
      <w:r>
        <w:rPr>
          <w:rFonts w:hint="eastAsia"/>
          <w:color w:val="auto"/>
          <w:szCs w:val="21"/>
        </w:rPr>
        <w:t>分别移取0 mL、0.10 mL、0.50 mL、1.00 mL、2.50 mL、5.00 mL、10.00 mL</w:t>
      </w:r>
      <w:r>
        <w:rPr>
          <w:rFonts w:hint="eastAsia"/>
          <w:color w:val="auto"/>
          <w:szCs w:val="21"/>
          <w:lang w:val="en-US" w:eastAsia="zh-CN"/>
        </w:rPr>
        <w:t>钼、钨</w:t>
      </w:r>
      <w:r>
        <w:rPr>
          <w:rFonts w:hint="eastAsia"/>
          <w:color w:val="auto"/>
          <w:szCs w:val="21"/>
        </w:rPr>
        <w:t>混合标准溶液（5.2.9）于7个100 mL 塑料容量瓶中，补加4滴（约0.2 mL）氢氟酸（5.2.3）、5 mL 硼酸溶液（5.2.6）、2 mL硝酸（5.2.2）、1 mL铑、铊内标混合溶液（5.2.12），用水稀释至刻度，混匀。此系列标准溶液的钨、钼浓度分别为0 ng/mL、1.00 ng/mL、5.00 ng/mL、10.00 ng/mL、25.00 ng/mL、50.00 ng/mL、100.00 ng/mL。</w:t>
      </w:r>
    </w:p>
    <w:p w14:paraId="4D96EBBD">
      <w:pPr>
        <w:ind w:firstLine="360" w:firstLineChars="200"/>
        <w:rPr>
          <w:color w:val="auto"/>
          <w:szCs w:val="21"/>
        </w:rPr>
      </w:pPr>
      <w:r>
        <w:rPr>
          <w:rFonts w:hint="eastAsia" w:ascii="黑体" w:hAnsi="黑体" w:eastAsia="黑体" w:cs="黑体"/>
          <w:color w:val="auto"/>
          <w:sz w:val="18"/>
          <w:szCs w:val="18"/>
        </w:rPr>
        <w:t>注：</w:t>
      </w:r>
      <w:r>
        <w:rPr>
          <w:rFonts w:hint="eastAsia" w:ascii="宋体" w:hAnsi="宋体" w:cs="宋体"/>
          <w:color w:val="auto"/>
          <w:sz w:val="18"/>
          <w:szCs w:val="18"/>
        </w:rPr>
        <w:t>若仪器配备耐氢氟酸进样系统，可不加硼酸溶液（</w:t>
      </w:r>
      <w:r>
        <w:rPr>
          <w:rFonts w:hint="default" w:ascii="Times New Roman" w:hAnsi="Times New Roman" w:cs="Times New Roman"/>
          <w:color w:val="auto"/>
          <w:sz w:val="18"/>
          <w:szCs w:val="18"/>
        </w:rPr>
        <w:t>5.2.6</w:t>
      </w:r>
      <w:r>
        <w:rPr>
          <w:rFonts w:hint="eastAsia" w:ascii="宋体" w:hAnsi="宋体" w:cs="宋体"/>
          <w:color w:val="auto"/>
          <w:sz w:val="18"/>
          <w:szCs w:val="18"/>
        </w:rPr>
        <w:t>）；使用具有在线加入内标溶液装置的仪器时，在系列标准溶液配制时不加入铑、铊混合内标溶液（</w:t>
      </w:r>
      <w:r>
        <w:rPr>
          <w:rFonts w:hint="default" w:ascii="Times New Roman" w:hAnsi="Times New Roman" w:cs="Times New Roman"/>
          <w:color w:val="auto"/>
          <w:sz w:val="18"/>
          <w:szCs w:val="18"/>
        </w:rPr>
        <w:t>5.2.12</w:t>
      </w:r>
      <w:r>
        <w:rPr>
          <w:rFonts w:hint="eastAsia" w:ascii="宋体" w:hAnsi="宋体" w:cs="宋体"/>
          <w:color w:val="auto"/>
          <w:sz w:val="18"/>
          <w:szCs w:val="18"/>
        </w:rPr>
        <w:t>）。</w:t>
      </w:r>
    </w:p>
    <w:p w14:paraId="52CEC877">
      <w:pPr>
        <w:pStyle w:val="57"/>
        <w:snapToGrid w:val="0"/>
        <w:spacing w:before="156" w:beforeLines="50" w:after="156" w:afterLines="50" w:line="240" w:lineRule="auto"/>
        <w:jc w:val="both"/>
        <w:rPr>
          <w:rFonts w:eastAsia="黑体"/>
          <w:color w:val="auto"/>
        </w:rPr>
      </w:pPr>
      <w:r>
        <w:rPr>
          <w:rFonts w:hint="eastAsia" w:ascii="黑体" w:hAnsi="黑体" w:eastAsia="黑体" w:cs="黑体"/>
          <w:color w:val="auto"/>
          <w:kern w:val="2"/>
          <w:szCs w:val="21"/>
        </w:rPr>
        <w:t xml:space="preserve">5.5.6 </w:t>
      </w:r>
      <w:r>
        <w:rPr>
          <w:rFonts w:hint="eastAsia" w:eastAsia="黑体"/>
          <w:color w:val="auto"/>
        </w:rPr>
        <w:t>测定</w:t>
      </w:r>
    </w:p>
    <w:p w14:paraId="58857F31">
      <w:pPr>
        <w:pStyle w:val="57"/>
        <w:snapToGrid w:val="0"/>
        <w:spacing w:before="156" w:beforeLines="50" w:after="156" w:afterLines="50" w:line="240" w:lineRule="auto"/>
        <w:jc w:val="both"/>
        <w:rPr>
          <w:color w:val="auto"/>
          <w:szCs w:val="21"/>
        </w:rPr>
      </w:pPr>
      <w:r>
        <w:rPr>
          <w:rFonts w:hint="eastAsia" w:ascii="黑体" w:hAnsi="黑体" w:eastAsia="黑体" w:cs="黑体"/>
          <w:color w:val="auto"/>
          <w:kern w:val="2"/>
          <w:szCs w:val="21"/>
        </w:rPr>
        <w:t>5.5.6.1 工作曲线的绘制</w:t>
      </w:r>
    </w:p>
    <w:p w14:paraId="3F26E085">
      <w:pPr>
        <w:pStyle w:val="57"/>
        <w:snapToGrid w:val="0"/>
        <w:spacing w:line="240" w:lineRule="auto"/>
        <w:ind w:firstLine="420" w:firstLineChars="200"/>
        <w:jc w:val="both"/>
        <w:rPr>
          <w:color w:val="auto"/>
          <w:szCs w:val="21"/>
        </w:rPr>
      </w:pPr>
      <w:r>
        <w:rPr>
          <w:rFonts w:hint="eastAsia"/>
          <w:color w:val="auto"/>
          <w:szCs w:val="21"/>
        </w:rPr>
        <w:t>待电感耦合等离子体质谱仪运行稳定后，在选定的仪器工作条件下，于待测元素和内标元素质量数处，依次测定系列标准溶液（5.5.5）中待测元素和内标元素的离子流信号强度。以系列标准溶液中待测元素的质量浓度为横</w:t>
      </w:r>
      <w:r>
        <w:rPr>
          <w:rFonts w:hint="eastAsia"/>
          <w:color w:val="auto"/>
          <w:szCs w:val="21"/>
          <w:lang w:eastAsia="zh-CN"/>
        </w:rPr>
        <w:t>坐标</w:t>
      </w:r>
      <w:r>
        <w:rPr>
          <w:rFonts w:hint="eastAsia"/>
          <w:color w:val="auto"/>
          <w:szCs w:val="21"/>
        </w:rPr>
        <w:t>，待测元素与内标元素的离子流信号强度比值为纵坐标，绘制工作曲线。各元素的线性相关系数应不小于0.9995，否则需重新进行标准化或重新配制系列标准溶液进行标准化</w:t>
      </w:r>
      <w:r>
        <w:rPr>
          <w:color w:val="auto"/>
          <w:szCs w:val="21"/>
        </w:rPr>
        <w:t>。</w:t>
      </w:r>
    </w:p>
    <w:p w14:paraId="222AE700">
      <w:pPr>
        <w:pStyle w:val="57"/>
        <w:snapToGrid w:val="0"/>
        <w:spacing w:before="156" w:beforeLines="50" w:after="156" w:afterLines="50" w:line="240" w:lineRule="auto"/>
        <w:jc w:val="both"/>
        <w:rPr>
          <w:color w:val="auto"/>
          <w:szCs w:val="21"/>
        </w:rPr>
      </w:pPr>
      <w:r>
        <w:rPr>
          <w:rFonts w:hint="eastAsia" w:ascii="黑体" w:hAnsi="黑体" w:eastAsia="黑体" w:cs="黑体"/>
          <w:color w:val="auto"/>
          <w:kern w:val="2"/>
          <w:szCs w:val="21"/>
        </w:rPr>
        <w:t>5.5.6.2 空白试液的测定</w:t>
      </w:r>
    </w:p>
    <w:p w14:paraId="75FE805A">
      <w:pPr>
        <w:pStyle w:val="57"/>
        <w:snapToGrid w:val="0"/>
        <w:spacing w:line="240" w:lineRule="auto"/>
        <w:ind w:firstLine="420" w:firstLineChars="200"/>
        <w:jc w:val="both"/>
        <w:rPr>
          <w:color w:val="auto"/>
          <w:szCs w:val="21"/>
        </w:rPr>
      </w:pPr>
      <w:r>
        <w:rPr>
          <w:color w:val="auto"/>
          <w:szCs w:val="21"/>
        </w:rPr>
        <w:t>在</w:t>
      </w:r>
      <w:r>
        <w:rPr>
          <w:rFonts w:hint="eastAsia"/>
          <w:color w:val="auto"/>
          <w:szCs w:val="21"/>
        </w:rPr>
        <w:t>工作曲线（5.5.6.1）</w:t>
      </w:r>
      <w:r>
        <w:rPr>
          <w:color w:val="auto"/>
          <w:szCs w:val="21"/>
        </w:rPr>
        <w:t>符合测定的要求后，</w:t>
      </w:r>
      <w:r>
        <w:rPr>
          <w:rFonts w:hint="eastAsia"/>
          <w:color w:val="auto"/>
          <w:szCs w:val="21"/>
        </w:rPr>
        <w:t>将空白实验（</w:t>
      </w:r>
      <w:r>
        <w:rPr>
          <w:rFonts w:hint="eastAsia"/>
          <w:color w:val="auto"/>
          <w:szCs w:val="21"/>
          <w:lang w:val="en-US" w:eastAsia="zh-CN"/>
        </w:rPr>
        <w:t>5</w:t>
      </w:r>
      <w:r>
        <w:rPr>
          <w:rFonts w:hint="eastAsia"/>
          <w:color w:val="auto"/>
          <w:szCs w:val="21"/>
        </w:rPr>
        <w:t>.5.3）用的溶液由选定的分析谱线进行氩等离子体光谱测定。仪器根据工作曲线</w:t>
      </w:r>
      <w:r>
        <w:rPr>
          <w:color w:val="auto"/>
          <w:szCs w:val="21"/>
        </w:rPr>
        <w:t>，自动进行数据处理，计算并输出</w:t>
      </w:r>
      <w:r>
        <w:rPr>
          <w:rFonts w:hint="eastAsia"/>
          <w:color w:val="auto"/>
          <w:szCs w:val="21"/>
        </w:rPr>
        <w:t>空白试液中待测</w:t>
      </w:r>
      <w:r>
        <w:rPr>
          <w:color w:val="auto"/>
          <w:szCs w:val="21"/>
        </w:rPr>
        <w:t>元素</w:t>
      </w:r>
      <w:r>
        <w:rPr>
          <w:rFonts w:hint="eastAsia"/>
          <w:color w:val="auto"/>
          <w:szCs w:val="21"/>
        </w:rPr>
        <w:t>的质量浓度</w:t>
      </w:r>
      <w:r>
        <w:rPr>
          <w:color w:val="auto"/>
          <w:szCs w:val="21"/>
        </w:rPr>
        <w:t>。</w:t>
      </w:r>
    </w:p>
    <w:p w14:paraId="04F18BDB">
      <w:pPr>
        <w:pStyle w:val="57"/>
        <w:snapToGrid w:val="0"/>
        <w:spacing w:line="240" w:lineRule="auto"/>
        <w:ind w:firstLine="360" w:firstLineChars="200"/>
        <w:jc w:val="both"/>
        <w:rPr>
          <w:rFonts w:hint="eastAsia" w:ascii="宋体" w:hAnsi="宋体" w:cs="宋体"/>
          <w:color w:val="auto"/>
          <w:kern w:val="2"/>
          <w:sz w:val="18"/>
          <w:szCs w:val="18"/>
        </w:rPr>
      </w:pPr>
      <w:r>
        <w:rPr>
          <w:rFonts w:hint="eastAsia" w:ascii="黑体" w:hAnsi="黑体" w:eastAsia="黑体" w:cs="黑体"/>
          <w:color w:val="auto"/>
          <w:kern w:val="2"/>
          <w:sz w:val="18"/>
          <w:szCs w:val="18"/>
        </w:rPr>
        <w:t>注：</w:t>
      </w:r>
      <w:r>
        <w:rPr>
          <w:rFonts w:hint="eastAsia" w:ascii="宋体" w:hAnsi="宋体" w:cs="宋体"/>
          <w:color w:val="auto"/>
          <w:kern w:val="2"/>
          <w:sz w:val="18"/>
          <w:szCs w:val="18"/>
        </w:rPr>
        <w:t>使用具有在线加入内标溶液装置的仪器时，应根据装置的加入比例，控制在线测定溶液的内标溶液的质量浓度为</w:t>
      </w:r>
      <w:r>
        <w:rPr>
          <w:rFonts w:hint="default" w:ascii="Times New Roman" w:hAnsi="Times New Roman" w:cs="Times New Roman"/>
          <w:color w:val="auto"/>
          <w:kern w:val="2"/>
          <w:sz w:val="18"/>
          <w:szCs w:val="18"/>
        </w:rPr>
        <w:t>10 ng/mL</w:t>
      </w:r>
      <w:r>
        <w:rPr>
          <w:rFonts w:hint="eastAsia" w:ascii="宋体" w:hAnsi="宋体" w:cs="宋体"/>
          <w:color w:val="auto"/>
          <w:kern w:val="2"/>
          <w:sz w:val="18"/>
          <w:szCs w:val="18"/>
        </w:rPr>
        <w:t>。</w:t>
      </w:r>
    </w:p>
    <w:p w14:paraId="2783378D">
      <w:pPr>
        <w:pStyle w:val="57"/>
        <w:snapToGrid w:val="0"/>
        <w:spacing w:before="156" w:beforeLines="50" w:after="156" w:afterLines="50" w:line="240" w:lineRule="auto"/>
        <w:jc w:val="both"/>
        <w:rPr>
          <w:color w:val="auto"/>
          <w:szCs w:val="21"/>
        </w:rPr>
      </w:pPr>
      <w:r>
        <w:rPr>
          <w:rFonts w:hint="eastAsia" w:ascii="黑体" w:hAnsi="黑体" w:eastAsia="黑体" w:cs="黑体"/>
          <w:color w:val="auto"/>
          <w:kern w:val="2"/>
          <w:szCs w:val="21"/>
        </w:rPr>
        <w:t>5.5.6.</w:t>
      </w:r>
      <w:r>
        <w:rPr>
          <w:rFonts w:hint="eastAsia" w:ascii="黑体" w:hAnsi="黑体" w:eastAsia="黑体" w:cs="黑体"/>
          <w:color w:val="auto"/>
          <w:kern w:val="2"/>
          <w:szCs w:val="21"/>
          <w:lang w:val="en-US" w:eastAsia="zh-CN"/>
        </w:rPr>
        <w:t>3</w:t>
      </w:r>
      <w:r>
        <w:rPr>
          <w:rFonts w:hint="eastAsia" w:ascii="黑体" w:hAnsi="黑体" w:eastAsia="黑体" w:cs="黑体"/>
          <w:color w:val="auto"/>
          <w:kern w:val="2"/>
          <w:szCs w:val="21"/>
        </w:rPr>
        <w:t xml:space="preserve"> 分析试液的测定</w:t>
      </w:r>
    </w:p>
    <w:p w14:paraId="27CD9D73">
      <w:pPr>
        <w:pStyle w:val="57"/>
        <w:snapToGrid w:val="0"/>
        <w:spacing w:line="240" w:lineRule="auto"/>
        <w:ind w:firstLine="420" w:firstLineChars="200"/>
        <w:jc w:val="both"/>
        <w:rPr>
          <w:color w:val="auto"/>
          <w:szCs w:val="21"/>
        </w:rPr>
      </w:pPr>
      <w:r>
        <w:rPr>
          <w:color w:val="auto"/>
          <w:szCs w:val="21"/>
        </w:rPr>
        <w:t>在</w:t>
      </w:r>
      <w:r>
        <w:rPr>
          <w:rFonts w:hint="eastAsia"/>
          <w:color w:val="auto"/>
          <w:szCs w:val="21"/>
        </w:rPr>
        <w:t>工作曲线（</w:t>
      </w:r>
      <w:r>
        <w:rPr>
          <w:rFonts w:hint="eastAsia"/>
          <w:color w:val="auto"/>
          <w:szCs w:val="21"/>
          <w:lang w:val="en-US" w:eastAsia="zh-CN"/>
        </w:rPr>
        <w:t>5</w:t>
      </w:r>
      <w:r>
        <w:rPr>
          <w:rFonts w:hint="eastAsia"/>
          <w:color w:val="auto"/>
          <w:szCs w:val="21"/>
        </w:rPr>
        <w:t>.5.6.</w:t>
      </w:r>
      <w:r>
        <w:rPr>
          <w:rFonts w:hint="eastAsia"/>
          <w:color w:val="auto"/>
          <w:szCs w:val="21"/>
          <w:lang w:val="en-US" w:eastAsia="zh-CN"/>
        </w:rPr>
        <w:t>1</w:t>
      </w:r>
      <w:r>
        <w:rPr>
          <w:rFonts w:hint="eastAsia"/>
          <w:color w:val="auto"/>
          <w:szCs w:val="21"/>
        </w:rPr>
        <w:t>）</w:t>
      </w:r>
      <w:r>
        <w:rPr>
          <w:color w:val="auto"/>
          <w:szCs w:val="21"/>
        </w:rPr>
        <w:t>符合测定的要求后，</w:t>
      </w:r>
      <w:r>
        <w:rPr>
          <w:rFonts w:hint="eastAsia"/>
          <w:color w:val="auto"/>
          <w:szCs w:val="21"/>
        </w:rPr>
        <w:t>将分析试液（</w:t>
      </w:r>
      <w:r>
        <w:rPr>
          <w:rFonts w:hint="eastAsia"/>
          <w:color w:val="auto"/>
          <w:szCs w:val="21"/>
          <w:lang w:val="en-US" w:eastAsia="zh-CN"/>
        </w:rPr>
        <w:t>5</w:t>
      </w:r>
      <w:r>
        <w:rPr>
          <w:rFonts w:hint="eastAsia"/>
          <w:color w:val="auto"/>
          <w:szCs w:val="21"/>
        </w:rPr>
        <w:t>.5.4.2）用选定的分析谱线进行氩等离子体光谱测定。仪器根据工作曲线</w:t>
      </w:r>
      <w:r>
        <w:rPr>
          <w:color w:val="auto"/>
          <w:szCs w:val="21"/>
        </w:rPr>
        <w:t>，自动进行数据处理，计算并输出</w:t>
      </w:r>
      <w:r>
        <w:rPr>
          <w:rFonts w:hint="eastAsia"/>
          <w:color w:val="auto"/>
          <w:szCs w:val="21"/>
        </w:rPr>
        <w:t>分析试液中待测</w:t>
      </w:r>
      <w:r>
        <w:rPr>
          <w:color w:val="auto"/>
          <w:szCs w:val="21"/>
        </w:rPr>
        <w:t>元素</w:t>
      </w:r>
      <w:r>
        <w:rPr>
          <w:rFonts w:hint="eastAsia"/>
          <w:color w:val="auto"/>
          <w:szCs w:val="21"/>
        </w:rPr>
        <w:t>的质量浓度</w:t>
      </w:r>
      <w:r>
        <w:rPr>
          <w:color w:val="auto"/>
          <w:szCs w:val="21"/>
        </w:rPr>
        <w:t>。</w:t>
      </w:r>
    </w:p>
    <w:p w14:paraId="22B57BB7">
      <w:pPr>
        <w:pStyle w:val="57"/>
        <w:snapToGrid w:val="0"/>
        <w:spacing w:line="240" w:lineRule="auto"/>
        <w:ind w:firstLine="360" w:firstLineChars="200"/>
        <w:jc w:val="both"/>
        <w:rPr>
          <w:rFonts w:hint="eastAsia" w:ascii="黑体" w:hAnsi="黑体" w:eastAsia="黑体" w:cs="黑体"/>
          <w:color w:val="auto"/>
          <w:kern w:val="2"/>
          <w:sz w:val="18"/>
          <w:szCs w:val="18"/>
        </w:rPr>
      </w:pPr>
      <w:r>
        <w:rPr>
          <w:rFonts w:hint="eastAsia" w:ascii="黑体" w:hAnsi="黑体" w:eastAsia="黑体" w:cs="黑体"/>
          <w:color w:val="auto"/>
          <w:kern w:val="2"/>
          <w:sz w:val="18"/>
          <w:szCs w:val="18"/>
        </w:rPr>
        <w:t>注：</w:t>
      </w:r>
      <w:r>
        <w:rPr>
          <w:rFonts w:hint="eastAsia" w:ascii="宋体" w:hAnsi="宋体" w:eastAsia="宋体" w:cs="宋体"/>
          <w:b w:val="0"/>
          <w:bCs w:val="0"/>
          <w:color w:val="auto"/>
          <w:kern w:val="2"/>
          <w:sz w:val="18"/>
          <w:szCs w:val="18"/>
        </w:rPr>
        <w:t>使用具有在线加入内标溶液装置的仪器时，应根据装置的加入比例，控制在线测定溶液的内标溶液的质量浓度为10 ng/mL。</w:t>
      </w:r>
    </w:p>
    <w:p w14:paraId="03C41817">
      <w:pPr>
        <w:pStyle w:val="53"/>
        <w:snapToGrid w:val="0"/>
        <w:spacing w:before="156" w:after="156"/>
        <w:rPr>
          <w:rFonts w:ascii="Times New Roman"/>
          <w:color w:val="auto"/>
        </w:rPr>
      </w:pPr>
      <w:r>
        <w:rPr>
          <w:rFonts w:hint="eastAsia" w:hAnsi="黑体" w:cs="黑体"/>
          <w:color w:val="auto"/>
          <w:kern w:val="2"/>
          <w:szCs w:val="21"/>
          <w:lang w:val="en-US" w:eastAsia="zh-CN"/>
        </w:rPr>
        <w:t>5</w:t>
      </w:r>
      <w:r>
        <w:rPr>
          <w:rFonts w:hint="eastAsia" w:hAnsi="黑体" w:cs="黑体"/>
          <w:color w:val="auto"/>
          <w:kern w:val="2"/>
          <w:szCs w:val="21"/>
        </w:rPr>
        <w:t>.6</w:t>
      </w:r>
      <w:r>
        <w:rPr>
          <w:rFonts w:hint="eastAsia" w:ascii="Times New Roman"/>
          <w:color w:val="auto"/>
        </w:rPr>
        <w:t xml:space="preserve"> 试验数据处理</w:t>
      </w:r>
    </w:p>
    <w:p w14:paraId="347A519E">
      <w:pPr>
        <w:spacing w:line="400" w:lineRule="exact"/>
        <w:ind w:firstLine="420" w:firstLineChars="200"/>
        <w:rPr>
          <w:color w:val="auto"/>
          <w:szCs w:val="21"/>
        </w:rPr>
      </w:pPr>
      <w:r>
        <w:rPr>
          <w:rFonts w:hint="eastAsia"/>
          <w:color w:val="auto"/>
          <w:szCs w:val="21"/>
          <w:lang w:val="en-US" w:eastAsia="zh-CN"/>
        </w:rPr>
        <w:t>钼或钨的</w:t>
      </w:r>
      <w:r>
        <w:rPr>
          <w:rFonts w:hint="eastAsia"/>
          <w:color w:val="auto"/>
          <w:szCs w:val="21"/>
        </w:rPr>
        <w:t>含量</w:t>
      </w:r>
      <w:r>
        <w:rPr>
          <w:rFonts w:hint="eastAsia"/>
          <w:color w:val="auto"/>
          <w:szCs w:val="21"/>
          <w:lang w:val="en-US" w:eastAsia="zh-CN"/>
        </w:rPr>
        <w:t>以</w:t>
      </w:r>
      <w:r>
        <w:rPr>
          <w:rFonts w:hint="eastAsia"/>
          <w:color w:val="auto"/>
          <w:szCs w:val="21"/>
        </w:rPr>
        <w:t>质量分数</w:t>
      </w:r>
      <w:r>
        <w:rPr>
          <w:rFonts w:hint="eastAsia" w:eastAsia="微软雅黑"/>
          <w:i/>
          <w:iCs/>
          <w:color w:val="auto"/>
          <w:szCs w:val="21"/>
          <w:lang w:eastAsia="zh-CN"/>
        </w:rPr>
        <w:t>w</w:t>
      </w:r>
      <w:r>
        <w:rPr>
          <w:rFonts w:hint="eastAsia"/>
          <w:color w:val="auto"/>
          <w:szCs w:val="21"/>
        </w:rPr>
        <w:t>（</w:t>
      </w:r>
      <w:r>
        <w:rPr>
          <w:rFonts w:hint="eastAsia" w:eastAsia="微软雅黑"/>
          <w:b w:val="0"/>
          <w:bCs w:val="0"/>
          <w:i/>
          <w:iCs/>
          <w:color w:val="auto"/>
          <w:szCs w:val="21"/>
          <w:lang w:val="en-US" w:eastAsia="zh-CN"/>
        </w:rPr>
        <w:t>i</w:t>
      </w:r>
      <w:r>
        <w:rPr>
          <w:rFonts w:hint="eastAsia"/>
          <w:color w:val="auto"/>
          <w:szCs w:val="21"/>
        </w:rPr>
        <w:t>）计，按公式（</w:t>
      </w:r>
      <w:r>
        <w:rPr>
          <w:rFonts w:hint="eastAsia"/>
          <w:color w:val="auto"/>
          <w:szCs w:val="21"/>
          <w:lang w:val="en-US" w:eastAsia="zh-CN"/>
        </w:rPr>
        <w:t>2</w:t>
      </w:r>
      <w:r>
        <w:rPr>
          <w:rFonts w:hint="eastAsia"/>
          <w:color w:val="auto"/>
          <w:szCs w:val="21"/>
        </w:rPr>
        <w:t>）计算：</w:t>
      </w:r>
    </w:p>
    <w:p w14:paraId="4973C020">
      <w:pPr>
        <w:jc w:val="right"/>
        <w:rPr>
          <w:color w:val="auto"/>
          <w:szCs w:val="21"/>
        </w:rPr>
      </w:pPr>
      <w:r>
        <w:rPr>
          <w:rFonts w:hint="eastAsia"/>
          <w:color w:val="auto"/>
          <w:position w:val="-28"/>
          <w:sz w:val="18"/>
        </w:rPr>
        <w:object>
          <v:shape id="_x0000_i1026" o:spt="75" type="#_x0000_t75" style="height:29.15pt;width:219.35pt;" o:ole="t" filled="f" o:preferrelative="t" stroked="f" coordsize="21600,21600">
            <v:path/>
            <v:fill on="f" focussize="0,0"/>
            <v:stroke on="f"/>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color w:val="auto"/>
          <w:szCs w:val="21"/>
        </w:rPr>
        <w:t>………………………………（</w:t>
      </w:r>
      <w:r>
        <w:rPr>
          <w:rFonts w:hint="eastAsia"/>
          <w:color w:val="auto"/>
          <w:szCs w:val="21"/>
          <w:lang w:val="en-US" w:eastAsia="zh-CN"/>
        </w:rPr>
        <w:t>2</w:t>
      </w:r>
      <w:r>
        <w:rPr>
          <w:rFonts w:hint="eastAsia"/>
          <w:color w:val="auto"/>
          <w:szCs w:val="21"/>
        </w:rPr>
        <w:t>）</w:t>
      </w:r>
    </w:p>
    <w:p w14:paraId="5B17AED9">
      <w:pPr>
        <w:spacing w:line="400" w:lineRule="exact"/>
        <w:ind w:firstLine="420" w:firstLineChars="200"/>
        <w:rPr>
          <w:iCs/>
          <w:color w:val="auto"/>
          <w:szCs w:val="21"/>
        </w:rPr>
      </w:pPr>
      <w:r>
        <w:rPr>
          <w:rFonts w:hint="eastAsia"/>
          <w:color w:val="auto"/>
          <w:szCs w:val="21"/>
        </w:rPr>
        <w:t>式中：</w:t>
      </w:r>
    </w:p>
    <w:p w14:paraId="78BD5BEC">
      <w:pPr>
        <w:ind w:firstLine="420" w:firstLineChars="200"/>
        <w:jc w:val="left"/>
        <w:rPr>
          <w:color w:val="auto"/>
          <w:szCs w:val="21"/>
        </w:rPr>
      </w:pPr>
      <w:r>
        <w:rPr>
          <w:i/>
          <w:color w:val="auto"/>
          <w:szCs w:val="21"/>
        </w:rPr>
        <w:t>ρ</w:t>
      </w:r>
      <w:r>
        <w:rPr>
          <w:rFonts w:hint="eastAsia"/>
          <w:i w:val="0"/>
          <w:iCs/>
          <w:color w:val="auto"/>
          <w:szCs w:val="21"/>
          <w:vertAlign w:val="subscript"/>
        </w:rPr>
        <w:t>3</w:t>
      </w:r>
      <w:r>
        <w:rPr>
          <w:rFonts w:hint="eastAsia"/>
          <w:i/>
          <w:color w:val="auto"/>
          <w:szCs w:val="21"/>
          <w:vertAlign w:val="subscript"/>
        </w:rPr>
        <w:t xml:space="preserve"> </w:t>
      </w:r>
      <w:r>
        <w:rPr>
          <w:rFonts w:hint="eastAsia"/>
          <w:i/>
          <w:color w:val="auto"/>
          <w:szCs w:val="21"/>
        </w:rPr>
        <w:t xml:space="preserve">—— </w:t>
      </w:r>
      <w:r>
        <w:rPr>
          <w:rFonts w:hint="eastAsia"/>
          <w:iCs/>
          <w:color w:val="auto"/>
          <w:szCs w:val="21"/>
        </w:rPr>
        <w:t>自工作曲线上查得的或计算机输出的分析试液（</w:t>
      </w:r>
      <w:r>
        <w:rPr>
          <w:rFonts w:hint="eastAsia"/>
          <w:color w:val="auto"/>
          <w:szCs w:val="21"/>
        </w:rPr>
        <w:t>5.5.4.2）中待测元素的质量浓度，单位为</w:t>
      </w:r>
      <w:r>
        <w:rPr>
          <w:rFonts w:hint="eastAsia"/>
          <w:color w:val="auto"/>
          <w:szCs w:val="21"/>
          <w:lang w:val="en-US" w:eastAsia="zh-CN"/>
        </w:rPr>
        <w:t>纳</w:t>
      </w:r>
      <w:r>
        <w:rPr>
          <w:rFonts w:hint="eastAsia"/>
          <w:color w:val="auto"/>
          <w:szCs w:val="21"/>
        </w:rPr>
        <w:t>克每毫升</w:t>
      </w:r>
      <w:r>
        <w:rPr>
          <w:color w:val="auto"/>
          <w:szCs w:val="21"/>
        </w:rPr>
        <w:t>（</w:t>
      </w:r>
      <w:r>
        <w:rPr>
          <w:rFonts w:hint="eastAsia"/>
          <w:i/>
          <w:iCs/>
          <w:color w:val="auto"/>
          <w:szCs w:val="21"/>
          <w:lang w:val="en-US" w:eastAsia="zh-CN"/>
        </w:rPr>
        <w:t>n</w:t>
      </w:r>
      <w:r>
        <w:rPr>
          <w:color w:val="auto"/>
          <w:szCs w:val="21"/>
        </w:rPr>
        <w:t>g/mL）</w:t>
      </w:r>
      <w:r>
        <w:rPr>
          <w:rFonts w:hint="eastAsia"/>
          <w:color w:val="auto"/>
          <w:szCs w:val="21"/>
        </w:rPr>
        <w:t>；</w:t>
      </w:r>
    </w:p>
    <w:p w14:paraId="32EFF6CA">
      <w:pPr>
        <w:ind w:firstLine="420" w:firstLineChars="200"/>
        <w:jc w:val="left"/>
        <w:rPr>
          <w:color w:val="auto"/>
          <w:szCs w:val="21"/>
        </w:rPr>
      </w:pPr>
      <w:r>
        <w:rPr>
          <w:i/>
          <w:color w:val="auto"/>
          <w:szCs w:val="21"/>
        </w:rPr>
        <w:t>ρ</w:t>
      </w:r>
      <w:r>
        <w:rPr>
          <w:rFonts w:hint="eastAsia"/>
          <w:i w:val="0"/>
          <w:iCs/>
          <w:color w:val="auto"/>
          <w:szCs w:val="21"/>
          <w:vertAlign w:val="subscript"/>
        </w:rPr>
        <w:t>2</w:t>
      </w:r>
      <w:r>
        <w:rPr>
          <w:rFonts w:hint="eastAsia"/>
          <w:i/>
          <w:color w:val="auto"/>
          <w:szCs w:val="21"/>
          <w:vertAlign w:val="subscript"/>
        </w:rPr>
        <w:t xml:space="preserve"> </w:t>
      </w:r>
      <w:r>
        <w:rPr>
          <w:rFonts w:hint="eastAsia"/>
          <w:i/>
          <w:color w:val="auto"/>
          <w:szCs w:val="21"/>
        </w:rPr>
        <w:t xml:space="preserve">—— </w:t>
      </w:r>
      <w:r>
        <w:rPr>
          <w:rFonts w:hint="eastAsia"/>
          <w:iCs/>
          <w:color w:val="auto"/>
          <w:szCs w:val="21"/>
        </w:rPr>
        <w:t>自工作曲线上查得的或计算机输出的</w:t>
      </w:r>
      <w:r>
        <w:rPr>
          <w:rFonts w:hint="eastAsia"/>
          <w:color w:val="auto"/>
          <w:szCs w:val="21"/>
        </w:rPr>
        <w:t>空白试液（5.5.3）溶液中待测元素的质量浓度，单位</w:t>
      </w:r>
      <w:r>
        <w:rPr>
          <w:rFonts w:hint="eastAsia"/>
          <w:color w:val="auto"/>
          <w:szCs w:val="21"/>
          <w:lang w:eastAsia="zh-CN"/>
        </w:rPr>
        <w:t>为</w:t>
      </w:r>
      <w:r>
        <w:rPr>
          <w:rFonts w:hint="eastAsia"/>
          <w:color w:val="auto"/>
          <w:szCs w:val="21"/>
          <w:lang w:val="en-US" w:eastAsia="zh-CN"/>
        </w:rPr>
        <w:t>纳</w:t>
      </w:r>
      <w:r>
        <w:rPr>
          <w:rFonts w:hint="eastAsia"/>
          <w:color w:val="auto"/>
          <w:szCs w:val="21"/>
        </w:rPr>
        <w:t>克每毫升</w:t>
      </w:r>
      <w:r>
        <w:rPr>
          <w:color w:val="auto"/>
          <w:szCs w:val="21"/>
        </w:rPr>
        <w:t>（</w:t>
      </w:r>
      <w:r>
        <w:rPr>
          <w:rFonts w:hint="eastAsia"/>
          <w:i/>
          <w:iCs/>
          <w:color w:val="auto"/>
          <w:szCs w:val="21"/>
          <w:lang w:val="en-US" w:eastAsia="zh-CN"/>
        </w:rPr>
        <w:t>n</w:t>
      </w:r>
      <w:r>
        <w:rPr>
          <w:color w:val="auto"/>
          <w:szCs w:val="21"/>
        </w:rPr>
        <w:t>g/mL）</w:t>
      </w:r>
      <w:r>
        <w:rPr>
          <w:rFonts w:hint="eastAsia"/>
          <w:color w:val="auto"/>
          <w:szCs w:val="21"/>
        </w:rPr>
        <w:t>；</w:t>
      </w:r>
    </w:p>
    <w:p w14:paraId="0C3EE59B">
      <w:pPr>
        <w:ind w:firstLine="420" w:firstLineChars="200"/>
        <w:jc w:val="left"/>
        <w:rPr>
          <w:color w:val="auto"/>
          <w:szCs w:val="21"/>
        </w:rPr>
      </w:pPr>
      <w:r>
        <w:rPr>
          <w:rFonts w:hint="eastAsia"/>
          <w:i/>
          <w:color w:val="auto"/>
          <w:szCs w:val="21"/>
        </w:rPr>
        <w:t>V</w:t>
      </w:r>
      <w:r>
        <w:rPr>
          <w:rFonts w:hint="eastAsia"/>
          <w:color w:val="auto"/>
          <w:szCs w:val="21"/>
          <w:vertAlign w:val="subscript"/>
        </w:rPr>
        <w:t xml:space="preserve">3 </w:t>
      </w:r>
      <w:r>
        <w:rPr>
          <w:rFonts w:hint="eastAsia"/>
          <w:i/>
          <w:color w:val="auto"/>
          <w:szCs w:val="21"/>
        </w:rPr>
        <w:t xml:space="preserve">—— </w:t>
      </w:r>
      <w:r>
        <w:rPr>
          <w:rFonts w:hint="eastAsia"/>
          <w:color w:val="auto"/>
          <w:szCs w:val="21"/>
        </w:rPr>
        <w:t>试液（5.5.4.1）的总体积，单位为毫升（mL）；</w:t>
      </w:r>
    </w:p>
    <w:p w14:paraId="77BB2679">
      <w:pPr>
        <w:ind w:firstLine="420" w:firstLineChars="200"/>
        <w:jc w:val="left"/>
        <w:rPr>
          <w:color w:val="auto"/>
          <w:szCs w:val="21"/>
        </w:rPr>
      </w:pPr>
      <w:r>
        <w:rPr>
          <w:rFonts w:hint="eastAsia"/>
          <w:i/>
          <w:color w:val="auto"/>
          <w:szCs w:val="21"/>
        </w:rPr>
        <w:t>V</w:t>
      </w:r>
      <w:r>
        <w:rPr>
          <w:rFonts w:hint="eastAsia"/>
          <w:iCs/>
          <w:color w:val="auto"/>
          <w:szCs w:val="21"/>
          <w:vertAlign w:val="subscript"/>
        </w:rPr>
        <w:t>4</w:t>
      </w:r>
      <w:r>
        <w:rPr>
          <w:rFonts w:hint="eastAsia"/>
          <w:i/>
          <w:color w:val="auto"/>
          <w:szCs w:val="21"/>
        </w:rPr>
        <w:t xml:space="preserve"> </w:t>
      </w:r>
      <w:r>
        <w:rPr>
          <w:rFonts w:hint="eastAsia"/>
          <w:color w:val="auto"/>
          <w:szCs w:val="21"/>
        </w:rPr>
        <w:t>—— 分析试液（5.5.4.2）的体积，单位为毫升（mL）；</w:t>
      </w:r>
    </w:p>
    <w:p w14:paraId="6C710F85">
      <w:pPr>
        <w:ind w:firstLine="420" w:firstLineChars="200"/>
        <w:jc w:val="left"/>
        <w:rPr>
          <w:rFonts w:hint="eastAsia" w:eastAsia="宋体"/>
          <w:i/>
          <w:color w:val="auto"/>
          <w:szCs w:val="21"/>
          <w:lang w:eastAsia="zh-CN"/>
        </w:rPr>
      </w:pPr>
      <w:r>
        <w:rPr>
          <w:iCs/>
          <w:color w:val="auto"/>
          <w:szCs w:val="21"/>
        </w:rPr>
        <w:t>m</w:t>
      </w:r>
      <w:r>
        <w:rPr>
          <w:rFonts w:hint="eastAsia"/>
          <w:color w:val="auto"/>
          <w:szCs w:val="21"/>
          <w:vertAlign w:val="subscript"/>
        </w:rPr>
        <w:t xml:space="preserve">2 </w:t>
      </w:r>
      <w:r>
        <w:rPr>
          <w:rFonts w:hint="eastAsia"/>
          <w:i/>
          <w:color w:val="auto"/>
          <w:szCs w:val="21"/>
        </w:rPr>
        <w:t xml:space="preserve">—— </w:t>
      </w:r>
      <w:r>
        <w:rPr>
          <w:rFonts w:hint="eastAsia"/>
          <w:color w:val="auto"/>
          <w:szCs w:val="21"/>
        </w:rPr>
        <w:t>试料（5.5.1）的质量，单位为克（g）</w:t>
      </w:r>
      <w:r>
        <w:rPr>
          <w:rFonts w:hint="eastAsia"/>
          <w:color w:val="auto"/>
          <w:szCs w:val="21"/>
          <w:lang w:eastAsia="zh-CN"/>
        </w:rPr>
        <w:t>；</w:t>
      </w:r>
    </w:p>
    <w:p w14:paraId="19C03F9F">
      <w:pPr>
        <w:ind w:firstLine="420" w:firstLineChars="200"/>
        <w:jc w:val="left"/>
        <w:rPr>
          <w:color w:val="auto"/>
        </w:rPr>
      </w:pPr>
      <w:r>
        <w:rPr>
          <w:rFonts w:hint="eastAsia"/>
          <w:i/>
          <w:color w:val="auto"/>
          <w:szCs w:val="21"/>
        </w:rPr>
        <w:t>V</w:t>
      </w:r>
      <w:r>
        <w:rPr>
          <w:rFonts w:hint="eastAsia"/>
          <w:iCs/>
          <w:color w:val="auto"/>
          <w:szCs w:val="21"/>
          <w:vertAlign w:val="subscript"/>
        </w:rPr>
        <w:t>5</w:t>
      </w:r>
      <w:r>
        <w:rPr>
          <w:rFonts w:hint="eastAsia"/>
          <w:i/>
          <w:color w:val="auto"/>
          <w:szCs w:val="21"/>
        </w:rPr>
        <w:t xml:space="preserve"> </w:t>
      </w:r>
      <w:r>
        <w:rPr>
          <w:rFonts w:hint="eastAsia"/>
          <w:color w:val="auto"/>
          <w:szCs w:val="21"/>
        </w:rPr>
        <w:t>—— 分取试液（5.5.4.1）的体积，单位为毫升（mL）。</w:t>
      </w:r>
    </w:p>
    <w:p w14:paraId="2C69F373">
      <w:pPr>
        <w:snapToGrid w:val="0"/>
        <w:ind w:firstLine="420" w:firstLineChars="200"/>
        <w:rPr>
          <w:color w:val="auto"/>
          <w:kern w:val="0"/>
          <w:szCs w:val="20"/>
        </w:rPr>
      </w:pPr>
      <w:r>
        <w:rPr>
          <w:rFonts w:hint="eastAsia"/>
          <w:color w:val="auto"/>
          <w:kern w:val="0"/>
          <w:szCs w:val="20"/>
        </w:rPr>
        <w:t>两次平行测定结果的绝对差值不大于表</w:t>
      </w:r>
      <w:r>
        <w:rPr>
          <w:rFonts w:hint="eastAsia"/>
          <w:color w:val="auto"/>
          <w:kern w:val="0"/>
          <w:szCs w:val="20"/>
          <w:lang w:val="en-US" w:eastAsia="zh-CN"/>
        </w:rPr>
        <w:t>6</w:t>
      </w:r>
      <w:r>
        <w:rPr>
          <w:rFonts w:hint="eastAsia"/>
          <w:color w:val="auto"/>
          <w:kern w:val="0"/>
          <w:szCs w:val="20"/>
        </w:rPr>
        <w:t>中相应重复性限时，取其平均值作为测定结果</w:t>
      </w:r>
      <w:r>
        <w:rPr>
          <w:rFonts w:hint="eastAsia" w:ascii="Times New Roman" w:hAnsi="Times New Roman" w:cs="Times New Roman"/>
          <w:color w:val="auto"/>
          <w:kern w:val="0"/>
          <w:szCs w:val="20"/>
        </w:rPr>
        <w:t>，</w:t>
      </w:r>
      <w:r>
        <w:rPr>
          <w:rFonts w:hint="eastAsia" w:ascii="Times New Roman" w:hAnsi="Times New Roman" w:cs="Times New Roman"/>
          <w:color w:val="auto"/>
          <w:kern w:val="0"/>
          <w:szCs w:val="20"/>
          <w:lang w:eastAsia="zh-CN"/>
        </w:rPr>
        <w:t>当结果＜</w:t>
      </w:r>
      <w:r>
        <w:rPr>
          <w:rFonts w:hint="eastAsia" w:ascii="Times New Roman" w:hAnsi="Times New Roman" w:cs="Times New Roman"/>
          <w:color w:val="auto"/>
          <w:kern w:val="0"/>
          <w:szCs w:val="20"/>
          <w:lang w:val="en-US" w:eastAsia="zh-CN"/>
        </w:rPr>
        <w:t>0.0010%时，保留一位有效数字；</w:t>
      </w:r>
      <w:r>
        <w:rPr>
          <w:rFonts w:hint="eastAsia" w:ascii="Times New Roman" w:hAnsi="Times New Roman" w:cs="Times New Roman"/>
          <w:color w:val="auto"/>
          <w:kern w:val="0"/>
          <w:szCs w:val="20"/>
          <w:lang w:eastAsia="zh-CN"/>
        </w:rPr>
        <w:t>当结果≥</w:t>
      </w:r>
      <w:r>
        <w:rPr>
          <w:rFonts w:hint="eastAsia" w:ascii="Times New Roman" w:hAnsi="Times New Roman" w:cs="Times New Roman"/>
          <w:color w:val="auto"/>
          <w:kern w:val="0"/>
          <w:szCs w:val="20"/>
          <w:lang w:val="en-US" w:eastAsia="zh-CN"/>
        </w:rPr>
        <w:t>0.0010%，保留两位有效数字，</w:t>
      </w:r>
      <w:r>
        <w:rPr>
          <w:rFonts w:hint="eastAsia" w:ascii="Times New Roman" w:hAnsi="Times New Roman" w:cs="Times New Roman"/>
          <w:color w:val="auto"/>
          <w:kern w:val="0"/>
          <w:szCs w:val="20"/>
        </w:rPr>
        <w:t>数值修</w:t>
      </w:r>
      <w:r>
        <w:rPr>
          <w:rFonts w:hint="eastAsia"/>
          <w:color w:val="auto"/>
          <w:kern w:val="0"/>
          <w:szCs w:val="20"/>
        </w:rPr>
        <w:t>约按照GB/T 8170规定执行。</w:t>
      </w:r>
    </w:p>
    <w:p w14:paraId="41BCD5BE">
      <w:pPr>
        <w:pStyle w:val="53"/>
        <w:snapToGrid w:val="0"/>
        <w:spacing w:before="156" w:after="156"/>
        <w:rPr>
          <w:rFonts w:ascii="Times New Roman"/>
          <w:color w:val="auto"/>
        </w:rPr>
      </w:pPr>
      <w:r>
        <w:rPr>
          <w:rFonts w:hint="eastAsia" w:hAnsi="黑体" w:cs="黑体"/>
          <w:color w:val="auto"/>
          <w:kern w:val="2"/>
          <w:szCs w:val="21"/>
        </w:rPr>
        <w:t xml:space="preserve">5.7 </w:t>
      </w:r>
      <w:r>
        <w:rPr>
          <w:rFonts w:hint="eastAsia" w:ascii="Times New Roman"/>
          <w:color w:val="auto"/>
        </w:rPr>
        <w:t>精密度</w:t>
      </w:r>
    </w:p>
    <w:p w14:paraId="5CB20716">
      <w:pPr>
        <w:pStyle w:val="53"/>
        <w:snapToGrid w:val="0"/>
        <w:spacing w:before="156" w:after="156"/>
        <w:rPr>
          <w:rFonts w:ascii="Times New Roman"/>
          <w:color w:val="auto"/>
        </w:rPr>
      </w:pPr>
      <w:r>
        <w:rPr>
          <w:rFonts w:hint="eastAsia" w:hAnsi="黑体" w:cs="黑体"/>
          <w:color w:val="auto"/>
          <w:kern w:val="2"/>
          <w:szCs w:val="21"/>
        </w:rPr>
        <w:t>5.7.1</w:t>
      </w:r>
      <w:r>
        <w:rPr>
          <w:rFonts w:hint="eastAsia" w:ascii="Times New Roman"/>
          <w:color w:val="auto"/>
        </w:rPr>
        <w:t xml:space="preserve"> 精密度原始数据及统计分析</w:t>
      </w:r>
    </w:p>
    <w:p w14:paraId="17F24440">
      <w:pPr>
        <w:pStyle w:val="43"/>
        <w:adjustRightInd w:val="0"/>
        <w:snapToGrid w:val="0"/>
        <w:ind w:firstLine="420"/>
        <w:rPr>
          <w:rFonts w:ascii="Times New Roman"/>
          <w:color w:val="auto"/>
        </w:rPr>
      </w:pPr>
      <w:r>
        <w:rPr>
          <w:rFonts w:ascii="Times New Roman"/>
          <w:color w:val="auto"/>
        </w:rPr>
        <w:t>精密度数据是在</w:t>
      </w:r>
      <w:r>
        <w:rPr>
          <w:rFonts w:hint="eastAsia" w:ascii="Times New Roman"/>
          <w:color w:val="auto"/>
        </w:rPr>
        <w:t>2025</w:t>
      </w:r>
      <w:r>
        <w:rPr>
          <w:rFonts w:ascii="Times New Roman"/>
          <w:color w:val="auto"/>
        </w:rPr>
        <w:t>年由</w:t>
      </w:r>
      <w:r>
        <w:rPr>
          <w:rFonts w:hint="eastAsia" w:ascii="Times New Roman"/>
          <w:color w:val="auto"/>
        </w:rPr>
        <w:t>7</w:t>
      </w:r>
      <w:r>
        <w:rPr>
          <w:rFonts w:ascii="Times New Roman"/>
          <w:color w:val="auto"/>
        </w:rPr>
        <w:t>家</w:t>
      </w:r>
      <w:r>
        <w:rPr>
          <w:rFonts w:hint="eastAsia" w:ascii="Times New Roman"/>
          <w:color w:val="auto"/>
        </w:rPr>
        <w:t>实验</w:t>
      </w:r>
      <w:r>
        <w:rPr>
          <w:rFonts w:ascii="Times New Roman"/>
          <w:color w:val="auto"/>
        </w:rPr>
        <w:t>室对</w:t>
      </w:r>
      <w:r>
        <w:rPr>
          <w:rFonts w:hint="eastAsia" w:ascii="Times New Roman"/>
          <w:color w:val="auto"/>
          <w:lang w:val="en-US" w:eastAsia="zh-CN"/>
        </w:rPr>
        <w:t>6</w:t>
      </w:r>
      <w:r>
        <w:rPr>
          <w:rFonts w:ascii="Times New Roman"/>
          <w:color w:val="auto"/>
        </w:rPr>
        <w:t>个不同</w:t>
      </w:r>
      <w:r>
        <w:rPr>
          <w:rFonts w:hint="eastAsia" w:ascii="Times New Roman"/>
          <w:color w:val="auto"/>
        </w:rPr>
        <w:t>钼、钨含量</w:t>
      </w:r>
      <w:r>
        <w:rPr>
          <w:rFonts w:ascii="Times New Roman"/>
          <w:color w:val="auto"/>
        </w:rPr>
        <w:t>的水平样品进行共同试验确定的。每个实验室对每个水平的</w:t>
      </w:r>
      <w:r>
        <w:rPr>
          <w:rFonts w:hint="eastAsia" w:ascii="Times New Roman"/>
          <w:color w:val="auto"/>
        </w:rPr>
        <w:t>钼、钨</w:t>
      </w:r>
      <w:r>
        <w:rPr>
          <w:rFonts w:ascii="Times New Roman"/>
          <w:color w:val="auto"/>
        </w:rPr>
        <w:t>含量在重复性条件下独立测定</w:t>
      </w:r>
      <w:r>
        <w:rPr>
          <w:rFonts w:hint="eastAsia" w:ascii="Times New Roman"/>
          <w:color w:val="auto"/>
        </w:rPr>
        <w:t>11</w:t>
      </w:r>
      <w:r>
        <w:rPr>
          <w:rFonts w:ascii="Times New Roman"/>
          <w:color w:val="auto"/>
        </w:rPr>
        <w:t>次。共同试验数据按GB/T 6379.2进行统计分析。</w:t>
      </w:r>
    </w:p>
    <w:p w14:paraId="25B81AE5">
      <w:pPr>
        <w:pStyle w:val="53"/>
        <w:snapToGrid w:val="0"/>
        <w:spacing w:before="156" w:after="156"/>
        <w:rPr>
          <w:rFonts w:ascii="Times New Roman"/>
          <w:color w:val="auto"/>
        </w:rPr>
      </w:pPr>
      <w:r>
        <w:rPr>
          <w:rFonts w:hint="eastAsia" w:hAnsi="黑体" w:cs="黑体"/>
          <w:color w:val="auto"/>
          <w:kern w:val="2"/>
          <w:szCs w:val="21"/>
        </w:rPr>
        <w:t xml:space="preserve">5.7.2 </w:t>
      </w:r>
      <w:r>
        <w:rPr>
          <w:rFonts w:hint="eastAsia" w:ascii="Times New Roman"/>
          <w:color w:val="auto"/>
        </w:rPr>
        <w:t>重复性</w:t>
      </w:r>
    </w:p>
    <w:p w14:paraId="1AD4DF37">
      <w:pPr>
        <w:snapToGrid w:val="0"/>
        <w:ind w:firstLine="420" w:firstLineChars="200"/>
        <w:rPr>
          <w:color w:val="auto"/>
        </w:rPr>
      </w:pPr>
      <w:r>
        <w:rPr>
          <w:color w:val="auto"/>
        </w:rPr>
        <w:t>在重复性条件下获得的两次独立测试结果的绝对差值不超过重复性限（</w:t>
      </w:r>
      <w:r>
        <w:rPr>
          <w:i/>
          <w:color w:val="auto"/>
        </w:rPr>
        <w:t>r</w:t>
      </w:r>
      <w:r>
        <w:rPr>
          <w:color w:val="auto"/>
        </w:rPr>
        <w:t>），超过重复性限（</w:t>
      </w:r>
      <w:r>
        <w:rPr>
          <w:i/>
          <w:color w:val="auto"/>
        </w:rPr>
        <w:t>r</w:t>
      </w:r>
      <w:r>
        <w:rPr>
          <w:color w:val="auto"/>
        </w:rPr>
        <w:t>）的情况不超过5 %，重复性限（</w:t>
      </w:r>
      <w:r>
        <w:rPr>
          <w:i/>
          <w:color w:val="auto"/>
        </w:rPr>
        <w:t>r</w:t>
      </w:r>
      <w:r>
        <w:rPr>
          <w:color w:val="auto"/>
        </w:rPr>
        <w:t>）按表</w:t>
      </w:r>
      <w:r>
        <w:rPr>
          <w:rFonts w:hint="eastAsia"/>
          <w:color w:val="auto"/>
          <w:lang w:val="en-US" w:eastAsia="zh-CN"/>
        </w:rPr>
        <w:t>6</w:t>
      </w:r>
      <w:r>
        <w:rPr>
          <w:color w:val="auto"/>
        </w:rPr>
        <w:t>数据采用线性内插法或外延法求得。</w:t>
      </w:r>
    </w:p>
    <w:p w14:paraId="7CBAEFF0">
      <w:pPr>
        <w:spacing w:before="156" w:beforeLines="50" w:after="156" w:afterLines="50" w:line="360" w:lineRule="exact"/>
        <w:jc w:val="center"/>
        <w:rPr>
          <w:rFonts w:eastAsia="黑体"/>
          <w:color w:val="auto"/>
        </w:rPr>
      </w:pPr>
      <w:r>
        <w:rPr>
          <w:rFonts w:eastAsia="黑体"/>
          <w:color w:val="auto"/>
        </w:rPr>
        <w:t>表</w:t>
      </w:r>
      <w:r>
        <w:rPr>
          <w:rFonts w:hint="eastAsia" w:eastAsia="黑体"/>
          <w:color w:val="auto"/>
          <w:lang w:val="en-US" w:eastAsia="zh-CN"/>
        </w:rPr>
        <w:t>6</w:t>
      </w:r>
      <w:r>
        <w:rPr>
          <w:rFonts w:eastAsia="黑体"/>
          <w:color w:val="auto"/>
        </w:rPr>
        <w:t xml:space="preserve"> 重复性限</w:t>
      </w:r>
      <w:r>
        <w:rPr>
          <w:rFonts w:hint="eastAsia" w:eastAsia="黑体"/>
          <w:color w:val="auto"/>
        </w:rPr>
        <w:t>（</w:t>
      </w:r>
      <w:r>
        <w:rPr>
          <w:rFonts w:hint="eastAsia" w:eastAsia="黑体"/>
          <w:i/>
          <w:iCs/>
          <w:color w:val="auto"/>
        </w:rPr>
        <w:t>r</w:t>
      </w:r>
      <w:r>
        <w:rPr>
          <w:rFonts w:hint="eastAsia" w:eastAsia="黑体"/>
          <w:color w:val="auto"/>
        </w:rPr>
        <w:t>）</w:t>
      </w:r>
    </w:p>
    <w:tbl>
      <w:tblPr>
        <w:tblStyle w:val="25"/>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4"/>
        <w:gridCol w:w="1589"/>
        <w:gridCol w:w="1589"/>
        <w:gridCol w:w="1589"/>
        <w:gridCol w:w="1589"/>
        <w:gridCol w:w="1640"/>
      </w:tblGrid>
      <w:tr w14:paraId="430AB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pct"/>
            <w:tcBorders>
              <w:bottom w:val="single" w:color="auto" w:sz="12" w:space="0"/>
            </w:tcBorders>
            <w:vAlign w:val="center"/>
          </w:tcPr>
          <w:p w14:paraId="2835DC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元素</w:t>
            </w:r>
          </w:p>
        </w:tc>
        <w:tc>
          <w:tcPr>
            <w:tcW w:w="831" w:type="pct"/>
            <w:tcBorders>
              <w:bottom w:val="single" w:color="auto" w:sz="12" w:space="0"/>
            </w:tcBorders>
            <w:vAlign w:val="center"/>
          </w:tcPr>
          <w:p w14:paraId="10AAF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质量分数</w:t>
            </w:r>
          </w:p>
          <w:p w14:paraId="4307D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831" w:type="pct"/>
            <w:tcBorders>
              <w:bottom w:val="single" w:color="auto" w:sz="12" w:space="0"/>
              <w:right w:val="double" w:color="auto" w:sz="4" w:space="0"/>
            </w:tcBorders>
            <w:vAlign w:val="center"/>
          </w:tcPr>
          <w:p w14:paraId="087F0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重复性限（r）</w:t>
            </w:r>
          </w:p>
          <w:p w14:paraId="58E2D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831" w:type="pct"/>
            <w:tcBorders>
              <w:left w:val="double" w:color="auto" w:sz="4" w:space="0"/>
              <w:bottom w:val="single" w:color="auto" w:sz="12" w:space="0"/>
            </w:tcBorders>
            <w:vAlign w:val="center"/>
          </w:tcPr>
          <w:p w14:paraId="11657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元素</w:t>
            </w:r>
          </w:p>
        </w:tc>
        <w:tc>
          <w:tcPr>
            <w:tcW w:w="831" w:type="pct"/>
            <w:tcBorders>
              <w:bottom w:val="single" w:color="auto" w:sz="12" w:space="0"/>
            </w:tcBorders>
            <w:vAlign w:val="center"/>
          </w:tcPr>
          <w:p w14:paraId="7BB24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质量分数</w:t>
            </w:r>
            <w:r>
              <w:rPr>
                <w:color w:val="auto"/>
                <w:sz w:val="18"/>
                <w:szCs w:val="18"/>
              </w:rPr>
              <w:t xml:space="preserve"> </w:t>
            </w:r>
          </w:p>
          <w:p w14:paraId="77A37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853" w:type="pct"/>
            <w:tcBorders>
              <w:bottom w:val="single" w:color="auto" w:sz="12" w:space="0"/>
            </w:tcBorders>
            <w:vAlign w:val="center"/>
          </w:tcPr>
          <w:p w14:paraId="125B9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重复性限（r）</w:t>
            </w:r>
          </w:p>
          <w:p w14:paraId="331E2C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r>
      <w:tr w14:paraId="1CF21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restart"/>
            <w:tcBorders>
              <w:top w:val="single" w:color="auto" w:sz="12" w:space="0"/>
            </w:tcBorders>
            <w:vAlign w:val="center"/>
          </w:tcPr>
          <w:p w14:paraId="636DEA41">
            <w:pPr>
              <w:spacing w:line="400" w:lineRule="exact"/>
              <w:jc w:val="center"/>
              <w:rPr>
                <w:color w:val="auto"/>
                <w:sz w:val="18"/>
                <w:szCs w:val="18"/>
              </w:rPr>
            </w:pPr>
            <w:r>
              <w:rPr>
                <w:rFonts w:hint="eastAsia"/>
                <w:color w:val="auto"/>
                <w:sz w:val="18"/>
                <w:szCs w:val="18"/>
              </w:rPr>
              <w:t>钼</w:t>
            </w:r>
          </w:p>
        </w:tc>
        <w:tc>
          <w:tcPr>
            <w:tcW w:w="831" w:type="pct"/>
            <w:tcBorders>
              <w:top w:val="single" w:color="auto" w:sz="12" w:space="0"/>
            </w:tcBorders>
            <w:vAlign w:val="center"/>
          </w:tcPr>
          <w:p w14:paraId="24287790">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0.0007</w:t>
            </w:r>
          </w:p>
        </w:tc>
        <w:tc>
          <w:tcPr>
            <w:tcW w:w="831" w:type="pct"/>
            <w:tcBorders>
              <w:top w:val="single" w:color="auto" w:sz="12" w:space="0"/>
              <w:right w:val="double" w:color="auto" w:sz="4" w:space="0"/>
            </w:tcBorders>
            <w:vAlign w:val="center"/>
          </w:tcPr>
          <w:p w14:paraId="0B3002F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0.0001</w:t>
            </w:r>
          </w:p>
        </w:tc>
        <w:tc>
          <w:tcPr>
            <w:tcW w:w="831" w:type="pct"/>
            <w:vMerge w:val="restart"/>
            <w:tcBorders>
              <w:top w:val="single" w:color="auto" w:sz="12" w:space="0"/>
              <w:left w:val="double" w:color="auto" w:sz="4" w:space="0"/>
            </w:tcBorders>
            <w:vAlign w:val="center"/>
          </w:tcPr>
          <w:p w14:paraId="11AAE30C">
            <w:pPr>
              <w:spacing w:line="400" w:lineRule="exact"/>
              <w:jc w:val="center"/>
              <w:rPr>
                <w:color w:val="auto"/>
                <w:sz w:val="18"/>
                <w:szCs w:val="18"/>
              </w:rPr>
            </w:pPr>
            <w:r>
              <w:rPr>
                <w:rFonts w:hint="eastAsia"/>
                <w:color w:val="auto"/>
                <w:sz w:val="18"/>
                <w:szCs w:val="18"/>
              </w:rPr>
              <w:t>钨</w:t>
            </w:r>
          </w:p>
        </w:tc>
        <w:tc>
          <w:tcPr>
            <w:tcW w:w="831" w:type="pct"/>
            <w:tcBorders>
              <w:top w:val="single" w:color="auto" w:sz="12" w:space="0"/>
            </w:tcBorders>
            <w:vAlign w:val="center"/>
          </w:tcPr>
          <w:p w14:paraId="20C3599E">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0.0002</w:t>
            </w:r>
          </w:p>
        </w:tc>
        <w:tc>
          <w:tcPr>
            <w:tcW w:w="853" w:type="pct"/>
            <w:tcBorders>
              <w:top w:val="single" w:color="auto" w:sz="12" w:space="0"/>
            </w:tcBorders>
            <w:vAlign w:val="center"/>
          </w:tcPr>
          <w:p w14:paraId="549F8E9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0.0001</w:t>
            </w:r>
          </w:p>
        </w:tc>
      </w:tr>
      <w:tr w14:paraId="37BE3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48AB6593">
            <w:pPr>
              <w:spacing w:line="400" w:lineRule="exact"/>
              <w:jc w:val="center"/>
              <w:rPr>
                <w:color w:val="auto"/>
                <w:sz w:val="18"/>
                <w:szCs w:val="18"/>
              </w:rPr>
            </w:pPr>
          </w:p>
        </w:tc>
        <w:tc>
          <w:tcPr>
            <w:tcW w:w="831" w:type="pct"/>
            <w:vAlign w:val="center"/>
          </w:tcPr>
          <w:p w14:paraId="73F226BB">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0.0024</w:t>
            </w:r>
          </w:p>
        </w:tc>
        <w:tc>
          <w:tcPr>
            <w:tcW w:w="831" w:type="pct"/>
            <w:tcBorders>
              <w:right w:val="double" w:color="auto" w:sz="4" w:space="0"/>
            </w:tcBorders>
            <w:vAlign w:val="center"/>
          </w:tcPr>
          <w:p w14:paraId="1A859ED0">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0.0004</w:t>
            </w:r>
          </w:p>
        </w:tc>
        <w:tc>
          <w:tcPr>
            <w:tcW w:w="831" w:type="pct"/>
            <w:vMerge w:val="continue"/>
            <w:tcBorders>
              <w:left w:val="double" w:color="auto" w:sz="4" w:space="0"/>
            </w:tcBorders>
            <w:vAlign w:val="center"/>
          </w:tcPr>
          <w:p w14:paraId="0172DD58">
            <w:pPr>
              <w:spacing w:line="400" w:lineRule="exact"/>
              <w:jc w:val="center"/>
              <w:rPr>
                <w:color w:val="auto"/>
                <w:sz w:val="18"/>
                <w:szCs w:val="18"/>
              </w:rPr>
            </w:pPr>
          </w:p>
        </w:tc>
        <w:tc>
          <w:tcPr>
            <w:tcW w:w="831" w:type="pct"/>
            <w:vAlign w:val="center"/>
          </w:tcPr>
          <w:p w14:paraId="7F52923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0.0051</w:t>
            </w:r>
          </w:p>
        </w:tc>
        <w:tc>
          <w:tcPr>
            <w:tcW w:w="853" w:type="pct"/>
            <w:vAlign w:val="center"/>
          </w:tcPr>
          <w:p w14:paraId="029927A8">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0.0007</w:t>
            </w:r>
          </w:p>
        </w:tc>
      </w:tr>
      <w:tr w14:paraId="1A33A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74C30B44">
            <w:pPr>
              <w:spacing w:line="400" w:lineRule="exact"/>
              <w:jc w:val="center"/>
              <w:rPr>
                <w:color w:val="auto"/>
                <w:sz w:val="18"/>
                <w:szCs w:val="18"/>
              </w:rPr>
            </w:pPr>
          </w:p>
        </w:tc>
        <w:tc>
          <w:tcPr>
            <w:tcW w:w="831" w:type="pct"/>
            <w:vAlign w:val="center"/>
          </w:tcPr>
          <w:p w14:paraId="33BF3312">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0.0060</w:t>
            </w:r>
          </w:p>
        </w:tc>
        <w:tc>
          <w:tcPr>
            <w:tcW w:w="831" w:type="pct"/>
            <w:tcBorders>
              <w:right w:val="double" w:color="auto" w:sz="4" w:space="0"/>
            </w:tcBorders>
            <w:vAlign w:val="center"/>
          </w:tcPr>
          <w:p w14:paraId="7F7F3F1F">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0.0008</w:t>
            </w:r>
          </w:p>
        </w:tc>
        <w:tc>
          <w:tcPr>
            <w:tcW w:w="831" w:type="pct"/>
            <w:vMerge w:val="continue"/>
            <w:tcBorders>
              <w:left w:val="double" w:color="auto" w:sz="4" w:space="0"/>
            </w:tcBorders>
            <w:vAlign w:val="center"/>
          </w:tcPr>
          <w:p w14:paraId="293BD70A">
            <w:pPr>
              <w:spacing w:line="400" w:lineRule="exact"/>
              <w:jc w:val="center"/>
              <w:rPr>
                <w:color w:val="auto"/>
                <w:sz w:val="18"/>
                <w:szCs w:val="18"/>
              </w:rPr>
            </w:pPr>
          </w:p>
        </w:tc>
        <w:tc>
          <w:tcPr>
            <w:tcW w:w="831" w:type="pct"/>
            <w:vAlign w:val="center"/>
          </w:tcPr>
          <w:p w14:paraId="748C4EC7">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0.013</w:t>
            </w:r>
          </w:p>
        </w:tc>
        <w:tc>
          <w:tcPr>
            <w:tcW w:w="853" w:type="pct"/>
            <w:vAlign w:val="center"/>
          </w:tcPr>
          <w:p w14:paraId="41BB9018">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0.002</w:t>
            </w:r>
          </w:p>
        </w:tc>
      </w:tr>
      <w:tr w14:paraId="3BE55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070323E1">
            <w:pPr>
              <w:spacing w:line="400" w:lineRule="exact"/>
              <w:jc w:val="center"/>
              <w:rPr>
                <w:color w:val="auto"/>
                <w:sz w:val="18"/>
                <w:szCs w:val="18"/>
              </w:rPr>
            </w:pPr>
          </w:p>
        </w:tc>
        <w:tc>
          <w:tcPr>
            <w:tcW w:w="831" w:type="pct"/>
            <w:vAlign w:val="center"/>
          </w:tcPr>
          <w:p w14:paraId="6E4F70E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0.045</w:t>
            </w:r>
          </w:p>
        </w:tc>
        <w:tc>
          <w:tcPr>
            <w:tcW w:w="831" w:type="pct"/>
            <w:tcBorders>
              <w:right w:val="double" w:color="auto" w:sz="4" w:space="0"/>
            </w:tcBorders>
            <w:vAlign w:val="center"/>
          </w:tcPr>
          <w:p w14:paraId="2D22F594">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0.005</w:t>
            </w:r>
          </w:p>
        </w:tc>
        <w:tc>
          <w:tcPr>
            <w:tcW w:w="831" w:type="pct"/>
            <w:vMerge w:val="continue"/>
            <w:tcBorders>
              <w:left w:val="double" w:color="auto" w:sz="4" w:space="0"/>
            </w:tcBorders>
            <w:vAlign w:val="center"/>
          </w:tcPr>
          <w:p w14:paraId="511907D4">
            <w:pPr>
              <w:spacing w:line="400" w:lineRule="exact"/>
              <w:jc w:val="center"/>
              <w:rPr>
                <w:color w:val="auto"/>
                <w:sz w:val="18"/>
                <w:szCs w:val="18"/>
              </w:rPr>
            </w:pPr>
          </w:p>
        </w:tc>
        <w:tc>
          <w:tcPr>
            <w:tcW w:w="831" w:type="pct"/>
            <w:vAlign w:val="center"/>
          </w:tcPr>
          <w:p w14:paraId="1D3192B3">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0.024</w:t>
            </w:r>
          </w:p>
        </w:tc>
        <w:tc>
          <w:tcPr>
            <w:tcW w:w="853" w:type="pct"/>
            <w:vAlign w:val="center"/>
          </w:tcPr>
          <w:p w14:paraId="611FD60E">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0.002</w:t>
            </w:r>
          </w:p>
        </w:tc>
      </w:tr>
      <w:tr w14:paraId="45B51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39062360">
            <w:pPr>
              <w:spacing w:line="400" w:lineRule="exact"/>
              <w:jc w:val="center"/>
              <w:rPr>
                <w:color w:val="auto"/>
                <w:sz w:val="18"/>
                <w:szCs w:val="18"/>
              </w:rPr>
            </w:pPr>
          </w:p>
        </w:tc>
        <w:tc>
          <w:tcPr>
            <w:tcW w:w="831" w:type="pct"/>
            <w:vAlign w:val="center"/>
          </w:tcPr>
          <w:p w14:paraId="75E831B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0.11</w:t>
            </w:r>
          </w:p>
        </w:tc>
        <w:tc>
          <w:tcPr>
            <w:tcW w:w="831" w:type="pct"/>
            <w:tcBorders>
              <w:right w:val="double" w:color="auto" w:sz="4" w:space="0"/>
            </w:tcBorders>
            <w:vAlign w:val="center"/>
          </w:tcPr>
          <w:p w14:paraId="2EAB9312">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0.01</w:t>
            </w:r>
          </w:p>
        </w:tc>
        <w:tc>
          <w:tcPr>
            <w:tcW w:w="831" w:type="pct"/>
            <w:vMerge w:val="continue"/>
            <w:tcBorders>
              <w:left w:val="double" w:color="auto" w:sz="4" w:space="0"/>
            </w:tcBorders>
            <w:vAlign w:val="center"/>
          </w:tcPr>
          <w:p w14:paraId="056C8A7B">
            <w:pPr>
              <w:spacing w:line="400" w:lineRule="exact"/>
              <w:jc w:val="center"/>
              <w:rPr>
                <w:color w:val="auto"/>
                <w:sz w:val="18"/>
                <w:szCs w:val="18"/>
              </w:rPr>
            </w:pPr>
          </w:p>
        </w:tc>
        <w:tc>
          <w:tcPr>
            <w:tcW w:w="831" w:type="pct"/>
            <w:vAlign w:val="center"/>
          </w:tcPr>
          <w:p w14:paraId="310BC7E4">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0.050</w:t>
            </w:r>
          </w:p>
        </w:tc>
        <w:tc>
          <w:tcPr>
            <w:tcW w:w="853" w:type="pct"/>
            <w:vAlign w:val="center"/>
          </w:tcPr>
          <w:p w14:paraId="25E6417D">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0.004</w:t>
            </w:r>
          </w:p>
        </w:tc>
      </w:tr>
      <w:tr w14:paraId="29497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6A3488BB">
            <w:pPr>
              <w:spacing w:line="400" w:lineRule="exact"/>
              <w:jc w:val="center"/>
              <w:rPr>
                <w:color w:val="auto"/>
                <w:sz w:val="18"/>
                <w:szCs w:val="18"/>
              </w:rPr>
            </w:pPr>
          </w:p>
        </w:tc>
        <w:tc>
          <w:tcPr>
            <w:tcW w:w="831" w:type="pct"/>
            <w:vAlign w:val="center"/>
          </w:tcPr>
          <w:p w14:paraId="2384FE80">
            <w:pPr>
              <w:spacing w:line="40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831" w:type="pct"/>
            <w:tcBorders>
              <w:right w:val="double" w:color="auto" w:sz="4" w:space="0"/>
            </w:tcBorders>
            <w:vAlign w:val="center"/>
          </w:tcPr>
          <w:p w14:paraId="3DEB6017">
            <w:pPr>
              <w:spacing w:line="40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831" w:type="pct"/>
            <w:vMerge w:val="continue"/>
            <w:tcBorders>
              <w:left w:val="double" w:color="auto" w:sz="4" w:space="0"/>
            </w:tcBorders>
            <w:vAlign w:val="center"/>
          </w:tcPr>
          <w:p w14:paraId="3B4A2496">
            <w:pPr>
              <w:spacing w:line="400" w:lineRule="exact"/>
              <w:jc w:val="center"/>
              <w:rPr>
                <w:color w:val="auto"/>
                <w:sz w:val="18"/>
                <w:szCs w:val="18"/>
              </w:rPr>
            </w:pPr>
          </w:p>
        </w:tc>
        <w:tc>
          <w:tcPr>
            <w:tcW w:w="831" w:type="pct"/>
            <w:vAlign w:val="center"/>
          </w:tcPr>
          <w:p w14:paraId="6C779103">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0.11</w:t>
            </w:r>
          </w:p>
        </w:tc>
        <w:tc>
          <w:tcPr>
            <w:tcW w:w="853" w:type="pct"/>
            <w:vAlign w:val="center"/>
          </w:tcPr>
          <w:p w14:paraId="4A44029E">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0.01</w:t>
            </w:r>
          </w:p>
        </w:tc>
      </w:tr>
      <w:tr w14:paraId="5262C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pct"/>
            <w:gridSpan w:val="6"/>
            <w:vAlign w:val="center"/>
          </w:tcPr>
          <w:p w14:paraId="50D0CA50">
            <w:pPr>
              <w:spacing w:line="400" w:lineRule="exact"/>
              <w:jc w:val="left"/>
              <w:rPr>
                <w:color w:val="auto"/>
                <w:sz w:val="18"/>
                <w:szCs w:val="18"/>
              </w:rPr>
            </w:pPr>
            <w:r>
              <w:rPr>
                <w:rFonts w:hint="eastAsia" w:ascii="黑体" w:hAnsi="黑体" w:eastAsia="黑体" w:cs="黑体"/>
                <w:color w:val="auto"/>
                <w:sz w:val="18"/>
                <w:szCs w:val="18"/>
              </w:rPr>
              <w:t>注：</w:t>
            </w:r>
            <w:r>
              <w:rPr>
                <w:rFonts w:hint="eastAsia"/>
                <w:color w:val="auto"/>
                <w:sz w:val="18"/>
                <w:szCs w:val="18"/>
              </w:rPr>
              <w:t>重复性限（</w:t>
            </w:r>
            <w:r>
              <w:rPr>
                <w:rFonts w:hint="eastAsia"/>
                <w:i/>
                <w:iCs/>
                <w:color w:val="auto"/>
                <w:sz w:val="18"/>
                <w:szCs w:val="18"/>
              </w:rPr>
              <w:t>r</w:t>
            </w:r>
            <w:r>
              <w:rPr>
                <w:rFonts w:hint="eastAsia"/>
                <w:color w:val="auto"/>
                <w:sz w:val="18"/>
                <w:szCs w:val="18"/>
              </w:rPr>
              <w:t>）为2.8×</w:t>
            </w:r>
            <w:r>
              <w:rPr>
                <w:rFonts w:hint="eastAsia"/>
                <w:i/>
                <w:iCs/>
                <w:color w:val="auto"/>
                <w:sz w:val="18"/>
                <w:szCs w:val="18"/>
              </w:rPr>
              <w:t>S</w:t>
            </w:r>
            <w:r>
              <w:rPr>
                <w:rFonts w:hint="eastAsia"/>
                <w:i/>
                <w:iCs/>
                <w:color w:val="auto"/>
                <w:sz w:val="18"/>
                <w:szCs w:val="18"/>
                <w:vertAlign w:val="subscript"/>
              </w:rPr>
              <w:t>r</w:t>
            </w:r>
            <w:r>
              <w:rPr>
                <w:rFonts w:hint="eastAsia"/>
                <w:color w:val="auto"/>
                <w:sz w:val="18"/>
                <w:szCs w:val="18"/>
              </w:rPr>
              <w:t>，</w:t>
            </w:r>
            <w:r>
              <w:rPr>
                <w:rFonts w:hint="eastAsia"/>
                <w:i/>
                <w:iCs/>
                <w:color w:val="auto"/>
                <w:sz w:val="18"/>
                <w:szCs w:val="18"/>
              </w:rPr>
              <w:t>S</w:t>
            </w:r>
            <w:r>
              <w:rPr>
                <w:rFonts w:hint="eastAsia"/>
                <w:i/>
                <w:iCs/>
                <w:color w:val="auto"/>
                <w:sz w:val="18"/>
                <w:szCs w:val="18"/>
                <w:vertAlign w:val="subscript"/>
              </w:rPr>
              <w:t>r</w:t>
            </w:r>
            <w:r>
              <w:rPr>
                <w:rFonts w:hint="eastAsia"/>
                <w:color w:val="auto"/>
                <w:sz w:val="18"/>
                <w:szCs w:val="18"/>
              </w:rPr>
              <w:t>为重复性标准差。</w:t>
            </w:r>
          </w:p>
        </w:tc>
      </w:tr>
    </w:tbl>
    <w:p w14:paraId="1F268522">
      <w:pPr>
        <w:pStyle w:val="53"/>
        <w:snapToGrid w:val="0"/>
        <w:spacing w:before="156" w:after="156"/>
        <w:rPr>
          <w:rFonts w:ascii="Times New Roman"/>
          <w:color w:val="auto"/>
        </w:rPr>
      </w:pPr>
      <w:r>
        <w:rPr>
          <w:rFonts w:hint="eastAsia" w:hAnsi="黑体" w:cs="黑体"/>
          <w:color w:val="auto"/>
          <w:kern w:val="2"/>
          <w:szCs w:val="21"/>
        </w:rPr>
        <w:t xml:space="preserve">5.7.3 </w:t>
      </w:r>
      <w:r>
        <w:rPr>
          <w:rFonts w:hint="eastAsia" w:ascii="Times New Roman"/>
          <w:color w:val="auto"/>
        </w:rPr>
        <w:t>再现性</w:t>
      </w:r>
    </w:p>
    <w:p w14:paraId="6EC58760">
      <w:pPr>
        <w:snapToGrid w:val="0"/>
        <w:ind w:firstLine="420" w:firstLineChars="200"/>
        <w:rPr>
          <w:color w:val="auto"/>
        </w:rPr>
      </w:pPr>
      <w:r>
        <w:rPr>
          <w:color w:val="auto"/>
        </w:rPr>
        <w:t>在再现性条件下获得的两次独立测试结果的绝对差值不大于再现性限（</w:t>
      </w:r>
      <w:r>
        <w:rPr>
          <w:i/>
          <w:color w:val="auto"/>
        </w:rPr>
        <w:t>R</w:t>
      </w:r>
      <w:r>
        <w:rPr>
          <w:color w:val="auto"/>
        </w:rPr>
        <w:t>），超过再现性限（</w:t>
      </w:r>
      <w:r>
        <w:rPr>
          <w:i/>
          <w:color w:val="auto"/>
        </w:rPr>
        <w:t>R</w:t>
      </w:r>
      <w:r>
        <w:rPr>
          <w:color w:val="auto"/>
        </w:rPr>
        <w:t>）的情况不超过5 %，再现性限（</w:t>
      </w:r>
      <w:r>
        <w:rPr>
          <w:i/>
          <w:color w:val="auto"/>
        </w:rPr>
        <w:t>R</w:t>
      </w:r>
      <w:r>
        <w:rPr>
          <w:color w:val="auto"/>
        </w:rPr>
        <w:t>）按表</w:t>
      </w:r>
      <w:r>
        <w:rPr>
          <w:rFonts w:hint="eastAsia"/>
          <w:color w:val="auto"/>
          <w:lang w:val="en-US" w:eastAsia="zh-CN"/>
        </w:rPr>
        <w:t>7</w:t>
      </w:r>
      <w:r>
        <w:rPr>
          <w:color w:val="auto"/>
        </w:rPr>
        <w:t>数据采用线性内插法或外延法求得。</w:t>
      </w:r>
    </w:p>
    <w:p w14:paraId="7B7844C3">
      <w:pPr>
        <w:spacing w:before="156" w:beforeLines="50" w:after="156" w:afterLines="50" w:line="300" w:lineRule="exact"/>
        <w:jc w:val="center"/>
        <w:rPr>
          <w:color w:val="auto"/>
          <w:spacing w:val="6"/>
        </w:rPr>
      </w:pPr>
      <w:r>
        <w:rPr>
          <w:rFonts w:eastAsia="黑体"/>
          <w:color w:val="auto"/>
        </w:rPr>
        <w:t>表</w:t>
      </w:r>
      <w:r>
        <w:rPr>
          <w:rFonts w:hint="eastAsia" w:eastAsia="黑体"/>
          <w:color w:val="auto"/>
          <w:lang w:val="en-US" w:eastAsia="zh-CN"/>
        </w:rPr>
        <w:t>7</w:t>
      </w:r>
      <w:r>
        <w:rPr>
          <w:rFonts w:eastAsia="黑体"/>
          <w:color w:val="auto"/>
        </w:rPr>
        <w:t xml:space="preserve"> 再现性限</w:t>
      </w:r>
      <w:r>
        <w:rPr>
          <w:rFonts w:hint="eastAsia" w:eastAsia="黑体"/>
          <w:color w:val="auto"/>
        </w:rPr>
        <w:t>（</w:t>
      </w:r>
      <w:r>
        <w:rPr>
          <w:rFonts w:hint="eastAsia" w:eastAsia="黑体"/>
          <w:i/>
          <w:iCs/>
          <w:color w:val="auto"/>
        </w:rPr>
        <w:t>R</w:t>
      </w:r>
      <w:r>
        <w:rPr>
          <w:rFonts w:hint="eastAsia" w:eastAsia="黑体"/>
          <w:color w:val="auto"/>
        </w:rPr>
        <w:t>）</w:t>
      </w:r>
    </w:p>
    <w:tbl>
      <w:tblPr>
        <w:tblStyle w:val="25"/>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3"/>
        <w:gridCol w:w="1589"/>
        <w:gridCol w:w="1589"/>
        <w:gridCol w:w="1589"/>
        <w:gridCol w:w="1589"/>
        <w:gridCol w:w="1640"/>
      </w:tblGrid>
      <w:tr w14:paraId="0AFCB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4" w:type="dxa"/>
            <w:tcBorders>
              <w:bottom w:val="single" w:color="auto" w:sz="12" w:space="0"/>
            </w:tcBorders>
            <w:vAlign w:val="center"/>
          </w:tcPr>
          <w:p w14:paraId="3909F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元素</w:t>
            </w:r>
          </w:p>
        </w:tc>
        <w:tc>
          <w:tcPr>
            <w:tcW w:w="1589" w:type="dxa"/>
            <w:tcBorders>
              <w:bottom w:val="single" w:color="auto" w:sz="12" w:space="0"/>
            </w:tcBorders>
            <w:vAlign w:val="center"/>
          </w:tcPr>
          <w:p w14:paraId="58717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质量分数</w:t>
            </w:r>
          </w:p>
          <w:p w14:paraId="28EA75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1589" w:type="dxa"/>
            <w:tcBorders>
              <w:bottom w:val="single" w:color="auto" w:sz="12" w:space="0"/>
              <w:right w:val="double" w:color="auto" w:sz="4" w:space="0"/>
            </w:tcBorders>
            <w:vAlign w:val="center"/>
          </w:tcPr>
          <w:p w14:paraId="3AA3F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再现性限（R）</w:t>
            </w:r>
          </w:p>
          <w:p w14:paraId="7DB71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c>
          <w:tcPr>
            <w:tcW w:w="1589" w:type="dxa"/>
            <w:tcBorders>
              <w:left w:val="double" w:color="auto" w:sz="4" w:space="0"/>
              <w:bottom w:val="single" w:color="auto" w:sz="12" w:space="0"/>
            </w:tcBorders>
            <w:vAlign w:val="center"/>
          </w:tcPr>
          <w:p w14:paraId="5CFBC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rFonts w:hint="eastAsia"/>
                <w:color w:val="auto"/>
                <w:sz w:val="18"/>
                <w:szCs w:val="18"/>
              </w:rPr>
              <w:t>元素</w:t>
            </w:r>
          </w:p>
        </w:tc>
        <w:tc>
          <w:tcPr>
            <w:tcW w:w="1589" w:type="dxa"/>
            <w:tcBorders>
              <w:bottom w:val="single" w:color="auto" w:sz="12" w:space="0"/>
            </w:tcBorders>
            <w:vAlign w:val="center"/>
          </w:tcPr>
          <w:p w14:paraId="5FB52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质量分数</w:t>
            </w:r>
          </w:p>
          <w:p w14:paraId="0A102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 xml:space="preserve"> %</w:t>
            </w:r>
          </w:p>
        </w:tc>
        <w:tc>
          <w:tcPr>
            <w:tcW w:w="1640" w:type="dxa"/>
            <w:tcBorders>
              <w:bottom w:val="single" w:color="auto" w:sz="12" w:space="0"/>
            </w:tcBorders>
            <w:vAlign w:val="center"/>
          </w:tcPr>
          <w:p w14:paraId="058A8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rPr>
            </w:pPr>
            <w:r>
              <w:rPr>
                <w:rFonts w:hint="eastAsia"/>
                <w:color w:val="auto"/>
                <w:sz w:val="18"/>
                <w:szCs w:val="18"/>
              </w:rPr>
              <w:t>再现性限（R）</w:t>
            </w:r>
          </w:p>
          <w:p w14:paraId="34CE7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rPr>
            </w:pPr>
            <w:r>
              <w:rPr>
                <w:color w:val="auto"/>
                <w:sz w:val="18"/>
                <w:szCs w:val="18"/>
              </w:rPr>
              <w:t>%</w:t>
            </w:r>
          </w:p>
        </w:tc>
      </w:tr>
      <w:tr w14:paraId="67A93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restart"/>
            <w:tcBorders>
              <w:top w:val="single" w:color="auto" w:sz="12" w:space="0"/>
            </w:tcBorders>
            <w:vAlign w:val="center"/>
          </w:tcPr>
          <w:p w14:paraId="67C1F0A0">
            <w:pPr>
              <w:spacing w:line="400" w:lineRule="exact"/>
              <w:jc w:val="center"/>
              <w:rPr>
                <w:color w:val="auto"/>
                <w:sz w:val="18"/>
                <w:szCs w:val="18"/>
              </w:rPr>
            </w:pPr>
            <w:r>
              <w:rPr>
                <w:rFonts w:hint="eastAsia"/>
                <w:color w:val="auto"/>
                <w:sz w:val="18"/>
                <w:szCs w:val="18"/>
              </w:rPr>
              <w:t>钼</w:t>
            </w:r>
          </w:p>
        </w:tc>
        <w:tc>
          <w:tcPr>
            <w:tcW w:w="1589" w:type="dxa"/>
            <w:tcBorders>
              <w:top w:val="single" w:color="auto" w:sz="12" w:space="0"/>
            </w:tcBorders>
            <w:shd w:val="clear" w:color="auto" w:fill="auto"/>
            <w:vAlign w:val="center"/>
          </w:tcPr>
          <w:p w14:paraId="329E41C5">
            <w:pPr>
              <w:spacing w:line="40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0.0007</w:t>
            </w:r>
          </w:p>
        </w:tc>
        <w:tc>
          <w:tcPr>
            <w:tcW w:w="1589" w:type="dxa"/>
            <w:tcBorders>
              <w:top w:val="single" w:color="auto" w:sz="12" w:space="0"/>
              <w:right w:val="double" w:color="auto" w:sz="4" w:space="0"/>
            </w:tcBorders>
            <w:vAlign w:val="center"/>
          </w:tcPr>
          <w:p w14:paraId="544A5225">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0.0002</w:t>
            </w:r>
          </w:p>
        </w:tc>
        <w:tc>
          <w:tcPr>
            <w:tcW w:w="1589" w:type="dxa"/>
            <w:vMerge w:val="restart"/>
            <w:tcBorders>
              <w:top w:val="single" w:color="auto" w:sz="12" w:space="0"/>
              <w:left w:val="double" w:color="auto" w:sz="4" w:space="0"/>
            </w:tcBorders>
            <w:vAlign w:val="center"/>
          </w:tcPr>
          <w:p w14:paraId="7CFF21BA">
            <w:pPr>
              <w:spacing w:line="400" w:lineRule="exact"/>
              <w:jc w:val="center"/>
              <w:rPr>
                <w:color w:val="auto"/>
                <w:sz w:val="18"/>
                <w:szCs w:val="18"/>
              </w:rPr>
            </w:pPr>
            <w:r>
              <w:rPr>
                <w:rFonts w:hint="eastAsia"/>
                <w:color w:val="auto"/>
                <w:sz w:val="18"/>
                <w:szCs w:val="18"/>
              </w:rPr>
              <w:t>钨</w:t>
            </w:r>
          </w:p>
        </w:tc>
        <w:tc>
          <w:tcPr>
            <w:tcW w:w="1589" w:type="dxa"/>
            <w:tcBorders>
              <w:top w:val="single" w:color="auto" w:sz="12" w:space="0"/>
            </w:tcBorders>
            <w:vAlign w:val="center"/>
          </w:tcPr>
          <w:p w14:paraId="16BD7FDC">
            <w:pPr>
              <w:spacing w:line="400" w:lineRule="exact"/>
              <w:jc w:val="center"/>
              <w:rPr>
                <w:color w:val="auto"/>
                <w:sz w:val="18"/>
                <w:szCs w:val="18"/>
              </w:rPr>
            </w:pPr>
            <w:r>
              <w:rPr>
                <w:rFonts w:hint="eastAsia"/>
                <w:color w:val="auto"/>
                <w:sz w:val="18"/>
                <w:szCs w:val="18"/>
                <w:lang w:val="en-US" w:eastAsia="zh-CN"/>
              </w:rPr>
              <w:t>0.0002</w:t>
            </w:r>
          </w:p>
        </w:tc>
        <w:tc>
          <w:tcPr>
            <w:tcW w:w="1640" w:type="dxa"/>
            <w:tcBorders>
              <w:top w:val="single" w:color="auto" w:sz="12" w:space="0"/>
            </w:tcBorders>
            <w:vAlign w:val="center"/>
          </w:tcPr>
          <w:p w14:paraId="6611723A">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0.0001</w:t>
            </w:r>
          </w:p>
        </w:tc>
      </w:tr>
      <w:tr w14:paraId="36011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02E7DB1E">
            <w:pPr>
              <w:spacing w:line="400" w:lineRule="exact"/>
              <w:jc w:val="center"/>
              <w:rPr>
                <w:color w:val="auto"/>
                <w:sz w:val="18"/>
                <w:szCs w:val="18"/>
              </w:rPr>
            </w:pPr>
          </w:p>
        </w:tc>
        <w:tc>
          <w:tcPr>
            <w:tcW w:w="1589" w:type="dxa"/>
            <w:shd w:val="clear" w:color="auto" w:fill="auto"/>
            <w:vAlign w:val="center"/>
          </w:tcPr>
          <w:p w14:paraId="17C1651F">
            <w:pPr>
              <w:spacing w:line="40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0.0024</w:t>
            </w:r>
          </w:p>
        </w:tc>
        <w:tc>
          <w:tcPr>
            <w:tcW w:w="1589" w:type="dxa"/>
            <w:tcBorders>
              <w:right w:val="double" w:color="auto" w:sz="4" w:space="0"/>
            </w:tcBorders>
            <w:vAlign w:val="center"/>
          </w:tcPr>
          <w:p w14:paraId="47907789">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0.0006</w:t>
            </w:r>
          </w:p>
        </w:tc>
        <w:tc>
          <w:tcPr>
            <w:tcW w:w="1589" w:type="dxa"/>
            <w:vMerge w:val="continue"/>
            <w:tcBorders>
              <w:left w:val="double" w:color="auto" w:sz="4" w:space="0"/>
            </w:tcBorders>
            <w:vAlign w:val="center"/>
          </w:tcPr>
          <w:p w14:paraId="04C7C651">
            <w:pPr>
              <w:spacing w:line="400" w:lineRule="exact"/>
              <w:jc w:val="center"/>
              <w:rPr>
                <w:color w:val="auto"/>
                <w:sz w:val="18"/>
                <w:szCs w:val="18"/>
              </w:rPr>
            </w:pPr>
          </w:p>
        </w:tc>
        <w:tc>
          <w:tcPr>
            <w:tcW w:w="1589" w:type="dxa"/>
            <w:vAlign w:val="center"/>
          </w:tcPr>
          <w:p w14:paraId="7AAD349A">
            <w:pPr>
              <w:spacing w:line="400" w:lineRule="exact"/>
              <w:jc w:val="center"/>
              <w:rPr>
                <w:color w:val="auto"/>
                <w:sz w:val="18"/>
                <w:szCs w:val="18"/>
              </w:rPr>
            </w:pPr>
            <w:r>
              <w:rPr>
                <w:rFonts w:hint="eastAsia"/>
                <w:color w:val="auto"/>
                <w:sz w:val="18"/>
                <w:szCs w:val="18"/>
                <w:lang w:val="en-US" w:eastAsia="zh-CN"/>
              </w:rPr>
              <w:t>0.0051</w:t>
            </w:r>
          </w:p>
        </w:tc>
        <w:tc>
          <w:tcPr>
            <w:tcW w:w="1640" w:type="dxa"/>
            <w:vAlign w:val="center"/>
          </w:tcPr>
          <w:p w14:paraId="49CE129E">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0.0009</w:t>
            </w:r>
          </w:p>
        </w:tc>
      </w:tr>
      <w:tr w14:paraId="37C15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00BDA09C">
            <w:pPr>
              <w:spacing w:line="400" w:lineRule="exact"/>
              <w:jc w:val="center"/>
              <w:rPr>
                <w:color w:val="auto"/>
                <w:sz w:val="18"/>
                <w:szCs w:val="18"/>
              </w:rPr>
            </w:pPr>
          </w:p>
        </w:tc>
        <w:tc>
          <w:tcPr>
            <w:tcW w:w="1589" w:type="dxa"/>
            <w:shd w:val="clear" w:color="auto" w:fill="auto"/>
            <w:vAlign w:val="center"/>
          </w:tcPr>
          <w:p w14:paraId="327AD716">
            <w:pPr>
              <w:spacing w:line="40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0.0060</w:t>
            </w:r>
          </w:p>
        </w:tc>
        <w:tc>
          <w:tcPr>
            <w:tcW w:w="1589" w:type="dxa"/>
            <w:tcBorders>
              <w:right w:val="double" w:color="auto" w:sz="4" w:space="0"/>
            </w:tcBorders>
            <w:vAlign w:val="center"/>
          </w:tcPr>
          <w:p w14:paraId="7B6A89BF">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0.0010</w:t>
            </w:r>
          </w:p>
        </w:tc>
        <w:tc>
          <w:tcPr>
            <w:tcW w:w="1589" w:type="dxa"/>
            <w:vMerge w:val="continue"/>
            <w:tcBorders>
              <w:left w:val="double" w:color="auto" w:sz="4" w:space="0"/>
            </w:tcBorders>
            <w:vAlign w:val="center"/>
          </w:tcPr>
          <w:p w14:paraId="2B589181">
            <w:pPr>
              <w:spacing w:line="400" w:lineRule="exact"/>
              <w:jc w:val="center"/>
              <w:rPr>
                <w:color w:val="auto"/>
                <w:sz w:val="18"/>
                <w:szCs w:val="18"/>
              </w:rPr>
            </w:pPr>
          </w:p>
        </w:tc>
        <w:tc>
          <w:tcPr>
            <w:tcW w:w="1589" w:type="dxa"/>
            <w:vAlign w:val="center"/>
          </w:tcPr>
          <w:p w14:paraId="2DCE0D73">
            <w:pPr>
              <w:spacing w:line="400" w:lineRule="exact"/>
              <w:jc w:val="center"/>
              <w:rPr>
                <w:color w:val="auto"/>
                <w:sz w:val="18"/>
                <w:szCs w:val="18"/>
              </w:rPr>
            </w:pPr>
            <w:r>
              <w:rPr>
                <w:rFonts w:hint="eastAsia"/>
                <w:color w:val="auto"/>
                <w:sz w:val="18"/>
                <w:szCs w:val="18"/>
                <w:lang w:val="en-US" w:eastAsia="zh-CN"/>
              </w:rPr>
              <w:t>0.013</w:t>
            </w:r>
          </w:p>
        </w:tc>
        <w:tc>
          <w:tcPr>
            <w:tcW w:w="1640" w:type="dxa"/>
            <w:vAlign w:val="center"/>
          </w:tcPr>
          <w:p w14:paraId="71375DE9">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0.002</w:t>
            </w:r>
          </w:p>
        </w:tc>
      </w:tr>
      <w:tr w14:paraId="60B1C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0239BD59">
            <w:pPr>
              <w:spacing w:line="400" w:lineRule="exact"/>
              <w:jc w:val="center"/>
              <w:rPr>
                <w:color w:val="auto"/>
                <w:sz w:val="18"/>
                <w:szCs w:val="18"/>
              </w:rPr>
            </w:pPr>
          </w:p>
        </w:tc>
        <w:tc>
          <w:tcPr>
            <w:tcW w:w="1589" w:type="dxa"/>
            <w:shd w:val="clear" w:color="auto" w:fill="auto"/>
            <w:vAlign w:val="center"/>
          </w:tcPr>
          <w:p w14:paraId="7914D9D6">
            <w:pPr>
              <w:spacing w:line="40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0.045</w:t>
            </w:r>
          </w:p>
        </w:tc>
        <w:tc>
          <w:tcPr>
            <w:tcW w:w="1589" w:type="dxa"/>
            <w:tcBorders>
              <w:right w:val="double" w:color="auto" w:sz="4" w:space="0"/>
            </w:tcBorders>
            <w:vAlign w:val="center"/>
          </w:tcPr>
          <w:p w14:paraId="6A3699F3">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0.006</w:t>
            </w:r>
          </w:p>
        </w:tc>
        <w:tc>
          <w:tcPr>
            <w:tcW w:w="1589" w:type="dxa"/>
            <w:vMerge w:val="continue"/>
            <w:tcBorders>
              <w:left w:val="double" w:color="auto" w:sz="4" w:space="0"/>
            </w:tcBorders>
            <w:vAlign w:val="center"/>
          </w:tcPr>
          <w:p w14:paraId="31C00F0E">
            <w:pPr>
              <w:spacing w:line="400" w:lineRule="exact"/>
              <w:jc w:val="center"/>
              <w:rPr>
                <w:color w:val="auto"/>
                <w:sz w:val="18"/>
                <w:szCs w:val="18"/>
              </w:rPr>
            </w:pPr>
          </w:p>
        </w:tc>
        <w:tc>
          <w:tcPr>
            <w:tcW w:w="1589" w:type="dxa"/>
            <w:vAlign w:val="center"/>
          </w:tcPr>
          <w:p w14:paraId="5EED8357">
            <w:pPr>
              <w:spacing w:line="400" w:lineRule="exact"/>
              <w:jc w:val="center"/>
              <w:rPr>
                <w:color w:val="auto"/>
                <w:sz w:val="18"/>
                <w:szCs w:val="18"/>
              </w:rPr>
            </w:pPr>
            <w:r>
              <w:rPr>
                <w:rFonts w:hint="eastAsia"/>
                <w:color w:val="auto"/>
                <w:sz w:val="18"/>
                <w:szCs w:val="18"/>
                <w:lang w:val="en-US" w:eastAsia="zh-CN"/>
              </w:rPr>
              <w:t>0.024</w:t>
            </w:r>
          </w:p>
        </w:tc>
        <w:tc>
          <w:tcPr>
            <w:tcW w:w="1640" w:type="dxa"/>
            <w:vAlign w:val="center"/>
          </w:tcPr>
          <w:p w14:paraId="11188B17">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0.003</w:t>
            </w:r>
          </w:p>
        </w:tc>
      </w:tr>
      <w:tr w14:paraId="16756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57578A1C">
            <w:pPr>
              <w:spacing w:line="400" w:lineRule="exact"/>
              <w:jc w:val="center"/>
              <w:rPr>
                <w:color w:val="auto"/>
                <w:sz w:val="18"/>
                <w:szCs w:val="18"/>
              </w:rPr>
            </w:pPr>
          </w:p>
        </w:tc>
        <w:tc>
          <w:tcPr>
            <w:tcW w:w="1589" w:type="dxa"/>
            <w:shd w:val="clear" w:color="auto" w:fill="auto"/>
            <w:vAlign w:val="center"/>
          </w:tcPr>
          <w:p w14:paraId="22487D81">
            <w:pPr>
              <w:spacing w:line="40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0.11</w:t>
            </w:r>
          </w:p>
        </w:tc>
        <w:tc>
          <w:tcPr>
            <w:tcW w:w="1589" w:type="dxa"/>
            <w:tcBorders>
              <w:right w:val="double" w:color="auto" w:sz="4" w:space="0"/>
            </w:tcBorders>
            <w:vAlign w:val="center"/>
          </w:tcPr>
          <w:p w14:paraId="2B8777F8">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0.01</w:t>
            </w:r>
          </w:p>
        </w:tc>
        <w:tc>
          <w:tcPr>
            <w:tcW w:w="1589" w:type="dxa"/>
            <w:vMerge w:val="continue"/>
            <w:tcBorders>
              <w:left w:val="double" w:color="auto" w:sz="4" w:space="0"/>
            </w:tcBorders>
            <w:vAlign w:val="center"/>
          </w:tcPr>
          <w:p w14:paraId="78F6FD35">
            <w:pPr>
              <w:spacing w:line="400" w:lineRule="exact"/>
              <w:jc w:val="center"/>
              <w:rPr>
                <w:color w:val="auto"/>
                <w:sz w:val="18"/>
                <w:szCs w:val="18"/>
              </w:rPr>
            </w:pPr>
          </w:p>
        </w:tc>
        <w:tc>
          <w:tcPr>
            <w:tcW w:w="1589" w:type="dxa"/>
            <w:vAlign w:val="center"/>
          </w:tcPr>
          <w:p w14:paraId="23012C39">
            <w:pPr>
              <w:spacing w:line="400" w:lineRule="exact"/>
              <w:jc w:val="center"/>
              <w:rPr>
                <w:color w:val="auto"/>
                <w:sz w:val="18"/>
                <w:szCs w:val="18"/>
              </w:rPr>
            </w:pPr>
            <w:r>
              <w:rPr>
                <w:rFonts w:hint="eastAsia"/>
                <w:color w:val="auto"/>
                <w:sz w:val="18"/>
                <w:szCs w:val="18"/>
                <w:lang w:val="en-US" w:eastAsia="zh-CN"/>
              </w:rPr>
              <w:t>0.050</w:t>
            </w:r>
          </w:p>
        </w:tc>
        <w:tc>
          <w:tcPr>
            <w:tcW w:w="1640" w:type="dxa"/>
            <w:vAlign w:val="center"/>
          </w:tcPr>
          <w:p w14:paraId="3B2AD1AD">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0.006</w:t>
            </w:r>
          </w:p>
        </w:tc>
      </w:tr>
      <w:tr w14:paraId="75D35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725EAFF5">
            <w:pPr>
              <w:spacing w:line="400" w:lineRule="exact"/>
              <w:jc w:val="center"/>
              <w:rPr>
                <w:color w:val="auto"/>
                <w:sz w:val="18"/>
                <w:szCs w:val="18"/>
              </w:rPr>
            </w:pPr>
          </w:p>
        </w:tc>
        <w:tc>
          <w:tcPr>
            <w:tcW w:w="1589" w:type="dxa"/>
            <w:vAlign w:val="center"/>
          </w:tcPr>
          <w:p w14:paraId="51F610CD">
            <w:pPr>
              <w:spacing w:line="40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1589" w:type="dxa"/>
            <w:tcBorders>
              <w:right w:val="double" w:color="auto" w:sz="4" w:space="0"/>
            </w:tcBorders>
            <w:vAlign w:val="center"/>
          </w:tcPr>
          <w:p w14:paraId="541AC104">
            <w:pPr>
              <w:spacing w:line="400" w:lineRule="exact"/>
              <w:jc w:val="center"/>
              <w:rPr>
                <w:rFonts w:hint="eastAsia" w:eastAsia="宋体"/>
                <w:color w:val="auto"/>
                <w:sz w:val="18"/>
                <w:szCs w:val="18"/>
                <w:lang w:val="en-US" w:eastAsia="zh-CN"/>
              </w:rPr>
            </w:pPr>
            <w:r>
              <w:rPr>
                <w:rFonts w:hint="eastAsia"/>
                <w:color w:val="auto"/>
                <w:sz w:val="18"/>
                <w:szCs w:val="18"/>
                <w:lang w:val="en-US" w:eastAsia="zh-CN"/>
              </w:rPr>
              <w:t>—</w:t>
            </w:r>
          </w:p>
        </w:tc>
        <w:tc>
          <w:tcPr>
            <w:tcW w:w="1589" w:type="dxa"/>
            <w:vMerge w:val="continue"/>
            <w:tcBorders>
              <w:left w:val="double" w:color="auto" w:sz="4" w:space="0"/>
            </w:tcBorders>
            <w:vAlign w:val="center"/>
          </w:tcPr>
          <w:p w14:paraId="3ED0EFC7">
            <w:pPr>
              <w:spacing w:line="400" w:lineRule="exact"/>
              <w:jc w:val="center"/>
              <w:rPr>
                <w:color w:val="auto"/>
                <w:sz w:val="18"/>
                <w:szCs w:val="18"/>
              </w:rPr>
            </w:pPr>
          </w:p>
        </w:tc>
        <w:tc>
          <w:tcPr>
            <w:tcW w:w="1589" w:type="dxa"/>
            <w:vAlign w:val="center"/>
          </w:tcPr>
          <w:p w14:paraId="1F86DA4E">
            <w:pPr>
              <w:spacing w:line="400" w:lineRule="exact"/>
              <w:jc w:val="center"/>
              <w:rPr>
                <w:color w:val="auto"/>
                <w:sz w:val="18"/>
                <w:szCs w:val="18"/>
              </w:rPr>
            </w:pPr>
            <w:r>
              <w:rPr>
                <w:rFonts w:hint="eastAsia"/>
                <w:color w:val="auto"/>
                <w:sz w:val="18"/>
                <w:szCs w:val="18"/>
                <w:lang w:val="en-US" w:eastAsia="zh-CN"/>
              </w:rPr>
              <w:t>0.11</w:t>
            </w:r>
          </w:p>
        </w:tc>
        <w:tc>
          <w:tcPr>
            <w:tcW w:w="1640" w:type="dxa"/>
            <w:vAlign w:val="center"/>
          </w:tcPr>
          <w:p w14:paraId="772971B5">
            <w:pPr>
              <w:spacing w:line="400" w:lineRule="exact"/>
              <w:jc w:val="center"/>
              <w:rPr>
                <w:rFonts w:hint="default" w:eastAsia="宋体"/>
                <w:color w:val="auto"/>
                <w:sz w:val="18"/>
                <w:szCs w:val="18"/>
                <w:lang w:val="en-US" w:eastAsia="zh-CN"/>
              </w:rPr>
            </w:pPr>
            <w:r>
              <w:rPr>
                <w:rFonts w:hint="eastAsia"/>
                <w:color w:val="auto"/>
                <w:sz w:val="18"/>
                <w:szCs w:val="18"/>
                <w:lang w:val="en-US" w:eastAsia="zh-CN"/>
              </w:rPr>
              <w:t>0.01</w:t>
            </w:r>
          </w:p>
        </w:tc>
      </w:tr>
      <w:tr w14:paraId="14E36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60" w:type="dxa"/>
            <w:gridSpan w:val="6"/>
            <w:vAlign w:val="center"/>
          </w:tcPr>
          <w:p w14:paraId="3CC5F127">
            <w:pPr>
              <w:spacing w:line="400" w:lineRule="exact"/>
              <w:jc w:val="left"/>
              <w:rPr>
                <w:color w:val="auto"/>
                <w:sz w:val="18"/>
                <w:szCs w:val="18"/>
              </w:rPr>
            </w:pPr>
            <w:r>
              <w:rPr>
                <w:rFonts w:hint="eastAsia" w:ascii="黑体" w:hAnsi="黑体" w:eastAsia="黑体" w:cs="黑体"/>
                <w:color w:val="auto"/>
                <w:sz w:val="18"/>
                <w:szCs w:val="18"/>
              </w:rPr>
              <w:t>注：</w:t>
            </w:r>
            <w:r>
              <w:rPr>
                <w:rFonts w:hint="eastAsia"/>
                <w:color w:val="auto"/>
                <w:sz w:val="18"/>
                <w:szCs w:val="18"/>
              </w:rPr>
              <w:t>再现性限（</w:t>
            </w:r>
            <w:r>
              <w:rPr>
                <w:rFonts w:hint="eastAsia"/>
                <w:i/>
                <w:iCs/>
                <w:color w:val="auto"/>
                <w:sz w:val="18"/>
                <w:szCs w:val="18"/>
              </w:rPr>
              <w:t>R</w:t>
            </w:r>
            <w:r>
              <w:rPr>
                <w:rFonts w:hint="eastAsia"/>
                <w:color w:val="auto"/>
                <w:sz w:val="18"/>
                <w:szCs w:val="18"/>
              </w:rPr>
              <w:t>）为2.8×</w:t>
            </w:r>
            <w:r>
              <w:rPr>
                <w:rFonts w:hint="eastAsia"/>
                <w:i/>
                <w:iCs/>
                <w:color w:val="auto"/>
                <w:sz w:val="18"/>
                <w:szCs w:val="18"/>
              </w:rPr>
              <w:t>S</w:t>
            </w:r>
            <w:r>
              <w:rPr>
                <w:rFonts w:hint="eastAsia"/>
                <w:i/>
                <w:iCs/>
                <w:color w:val="auto"/>
                <w:sz w:val="18"/>
                <w:szCs w:val="18"/>
                <w:vertAlign w:val="subscript"/>
              </w:rPr>
              <w:t>R</w:t>
            </w:r>
            <w:r>
              <w:rPr>
                <w:rFonts w:hint="eastAsia"/>
                <w:color w:val="auto"/>
                <w:sz w:val="18"/>
                <w:szCs w:val="18"/>
              </w:rPr>
              <w:t>，</w:t>
            </w:r>
            <w:r>
              <w:rPr>
                <w:rFonts w:hint="eastAsia"/>
                <w:i/>
                <w:iCs/>
                <w:color w:val="auto"/>
                <w:sz w:val="18"/>
                <w:szCs w:val="18"/>
              </w:rPr>
              <w:t>S</w:t>
            </w:r>
            <w:r>
              <w:rPr>
                <w:rFonts w:hint="eastAsia"/>
                <w:i/>
                <w:iCs/>
                <w:color w:val="auto"/>
                <w:sz w:val="18"/>
                <w:szCs w:val="18"/>
                <w:vertAlign w:val="subscript"/>
              </w:rPr>
              <w:t>R</w:t>
            </w:r>
            <w:r>
              <w:rPr>
                <w:rFonts w:hint="eastAsia"/>
                <w:color w:val="auto"/>
                <w:sz w:val="18"/>
                <w:szCs w:val="18"/>
              </w:rPr>
              <w:t>为再现性标准差。</w:t>
            </w:r>
          </w:p>
        </w:tc>
      </w:tr>
    </w:tbl>
    <w:p w14:paraId="63932A6B">
      <w:pPr>
        <w:adjustRightInd w:val="0"/>
        <w:snapToGrid w:val="0"/>
        <w:spacing w:line="360" w:lineRule="exact"/>
        <w:rPr>
          <w:color w:val="auto"/>
          <w:spacing w:val="6"/>
        </w:rPr>
      </w:pPr>
      <w:r>
        <w:rPr>
          <w:color w:val="auto"/>
        </w:rPr>
        <mc:AlternateContent>
          <mc:Choice Requires="wps">
            <w:drawing>
              <wp:anchor distT="0" distB="0" distL="114300" distR="114300" simplePos="0" relativeHeight="251669504" behindDoc="0" locked="0" layoutInCell="1" allowOverlap="1">
                <wp:simplePos x="0" y="0"/>
                <wp:positionH relativeFrom="column">
                  <wp:posOffset>1970405</wp:posOffset>
                </wp:positionH>
                <wp:positionV relativeFrom="paragraph">
                  <wp:posOffset>189230</wp:posOffset>
                </wp:positionV>
                <wp:extent cx="2105660" cy="0"/>
                <wp:effectExtent l="0" t="0" r="0" b="0"/>
                <wp:wrapNone/>
                <wp:docPr id="13" name="直接连接符 3"/>
                <wp:cNvGraphicFramePr/>
                <a:graphic xmlns:a="http://schemas.openxmlformats.org/drawingml/2006/main">
                  <a:graphicData uri="http://schemas.microsoft.com/office/word/2010/wordprocessingShape">
                    <wps:wsp>
                      <wps:cNvCnPr/>
                      <wps:spPr>
                        <a:xfrm>
                          <a:off x="0" y="0"/>
                          <a:ext cx="210566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55.15pt;margin-top:14.9pt;height:0pt;width:165.8pt;z-index:251669504;mso-width-relative:page;mso-height-relative:page;" filled="f" stroked="t" coordsize="21600,21600" o:gfxdata="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8lOf1QAAAAkBAAAPAAAAAAAAAAEAIAAAACIAAABkcnMvZG93bnJldi54bWxQ&#10;SwECFAAUAAAACACHTuJAdPH3TvoBAADyAwAADgAAAAAAAAABACAAAAAkAQAAZHJzL2Uyb0RvYy54&#10;bWxQSwUGAAAAAAYABgBZAQAAkAUAAAAA&#10;">
                <v:fill on="f" focussize="0,0"/>
                <v:stroke weight="1.5pt" color="#000000" joinstyle="round"/>
                <v:imagedata o:title=""/>
                <o:lock v:ext="edit" aspectratio="f"/>
              </v:shape>
            </w:pict>
          </mc:Fallback>
        </mc:AlternateContent>
      </w:r>
    </w:p>
    <w:sectPr>
      <w:headerReference r:id="rId10" w:type="first"/>
      <w:footerReference r:id="rId12" w:type="first"/>
      <w:headerReference r:id="rId8" w:type="default"/>
      <w:footerReference r:id="rId11" w:type="default"/>
      <w:headerReference r:id="rId9" w:type="even"/>
      <w:pgSz w:w="11906" w:h="16838"/>
      <w:pgMar w:top="2268" w:right="1134" w:bottom="851" w:left="1418" w:header="1418" w:footer="680"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03D9">
    <w:pPr>
      <w:pStyle w:val="49"/>
      <w:rPr>
        <w:rStyle w:val="29"/>
      </w:rPr>
    </w:pPr>
    <w:r>
      <w:fldChar w:fldCharType="begin"/>
    </w:r>
    <w:r>
      <w:rPr>
        <w:rStyle w:val="29"/>
      </w:rPr>
      <w:instrText xml:space="preserve">PAGE  </w:instrText>
    </w:r>
    <w:r>
      <w:fldChar w:fldCharType="separate"/>
    </w:r>
    <w:r>
      <w:rPr>
        <w:rStyle w:val="2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183D">
    <w:pPr>
      <w:pStyle w:val="59"/>
      <w:rPr>
        <w:rStyle w:val="29"/>
      </w:rPr>
    </w:pPr>
    <w:r>
      <w:fldChar w:fldCharType="begin"/>
    </w:r>
    <w:r>
      <w:rPr>
        <w:rStyle w:val="29"/>
      </w:rPr>
      <w:instrText xml:space="preserve">PAGE  </w:instrText>
    </w:r>
    <w:r>
      <w:fldChar w:fldCharType="separate"/>
    </w:r>
    <w:r>
      <w:rPr>
        <w:rStyle w:val="29"/>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F3B11">
    <w:pPr>
      <w:pStyle w:val="20"/>
      <w:jc w:val="right"/>
    </w:pPr>
    <w:r>
      <w:fldChar w:fldCharType="begin"/>
    </w:r>
    <w:r>
      <w:instrText xml:space="preserve"> PAGE   \* MERGEFORMAT </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4FBC">
    <w:pPr>
      <w:pStyle w:val="20"/>
      <w:jc w:val="right"/>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8168">
    <w:pPr>
      <w:pStyle w:val="66"/>
    </w:pPr>
    <w:r>
      <w:t>GB/T 12690.—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6C22">
    <w:pPr>
      <w:pStyle w:val="65"/>
    </w:pPr>
    <w:r>
      <w:t>GB/T 12690.—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330B">
    <w:pPr>
      <w:pStyle w:val="6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C353E">
    <w:pPr>
      <w:pStyle w:val="21"/>
      <w:pBdr>
        <w:bottom w:val="none" w:color="auto" w:sz="0" w:space="0"/>
      </w:pBdr>
      <w:jc w:val="right"/>
      <w:rPr>
        <w:sz w:val="21"/>
        <w:szCs w:val="21"/>
      </w:rPr>
    </w:pPr>
    <w:r>
      <w:rPr>
        <w:sz w:val="21"/>
        <w:szCs w:val="21"/>
      </w:rPr>
      <w:t xml:space="preserve">GB/T </w:t>
    </w:r>
    <w:r>
      <w:rPr>
        <w:rFonts w:hint="eastAsia"/>
        <w:sz w:val="21"/>
        <w:szCs w:val="21"/>
        <w:lang w:val="en-US" w:eastAsia="zh-CN"/>
      </w:rPr>
      <w:t>12690</w:t>
    </w:r>
    <w:r>
      <w:rPr>
        <w:rFonts w:hint="eastAsia"/>
        <w:sz w:val="21"/>
        <w:szCs w:val="21"/>
      </w:rPr>
      <w:t>.</w:t>
    </w:r>
    <w:r>
      <w:rPr>
        <w:rFonts w:hint="eastAsia"/>
        <w:sz w:val="21"/>
        <w:szCs w:val="21"/>
        <w:lang w:val="en-US" w:eastAsia="zh-CN"/>
      </w:rPr>
      <w:t>1</w:t>
    </w:r>
    <w:r>
      <w:rPr>
        <w:rFonts w:hint="eastAsia"/>
        <w:sz w:val="21"/>
        <w:szCs w:val="21"/>
      </w:rPr>
      <w:t>3</w:t>
    </w:r>
    <w:r>
      <w:rPr>
        <w:sz w:val="21"/>
        <w:szCs w:val="21"/>
      </w:rPr>
      <w:t>-202X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E3FC1">
    <w:pPr>
      <w:pStyle w:val="21"/>
      <w:pBdr>
        <w:bottom w:val="none" w:color="auto" w:sz="0" w:space="0"/>
      </w:pBdr>
      <w:jc w:val="both"/>
      <w:rPr>
        <w:sz w:val="21"/>
        <w:szCs w:val="21"/>
      </w:rPr>
    </w:pPr>
    <w:r>
      <w:rPr>
        <w:rFonts w:eastAsia="黑体"/>
        <w:sz w:val="21"/>
        <w:szCs w:val="21"/>
      </w:rPr>
      <w:t>GB/T</w:t>
    </w:r>
    <w:r>
      <w:rPr>
        <w:rFonts w:hint="eastAsia" w:eastAsia="黑体"/>
        <w:sz w:val="21"/>
        <w:szCs w:val="21"/>
      </w:rPr>
      <w:t>12690</w:t>
    </w:r>
    <w:r>
      <w:rPr>
        <w:rFonts w:hint="eastAsia" w:eastAsia="黑体"/>
        <w:sz w:val="21"/>
        <w:szCs w:val="21"/>
        <w:lang w:val="en-US" w:eastAsia="zh-CN"/>
      </w:rPr>
      <w:t>.13</w:t>
    </w:r>
    <w:r>
      <w:rPr>
        <w:rFonts w:eastAsia="黑体"/>
        <w:sz w:val="21"/>
        <w:szCs w:val="21"/>
      </w:rPr>
      <w:t>—202X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D3DBA">
    <w:pPr>
      <w:pStyle w:val="21"/>
      <w:pBdr>
        <w:bottom w:val="none" w:color="auto" w:sz="0" w:space="0"/>
      </w:pBdr>
      <w:jc w:val="right"/>
      <w:rPr>
        <w:rFonts w:ascii="黑体" w:hAnsi="黑体" w:eastAsia="黑体"/>
        <w:sz w:val="21"/>
        <w:szCs w:val="21"/>
      </w:rPr>
    </w:pPr>
    <w:r>
      <w:rPr>
        <w:rFonts w:eastAsia="黑体"/>
        <w:sz w:val="21"/>
        <w:szCs w:val="21"/>
      </w:rPr>
      <w:t xml:space="preserve">GB/T </w:t>
    </w:r>
    <w:r>
      <w:rPr>
        <w:rFonts w:hint="eastAsia" w:eastAsia="黑体"/>
        <w:sz w:val="21"/>
        <w:szCs w:val="21"/>
      </w:rPr>
      <w:t>12690.13</w:t>
    </w:r>
    <w:r>
      <w:rPr>
        <w:rFonts w:eastAsia="黑体"/>
        <w:sz w:val="21"/>
        <w:szCs w:val="21"/>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E656C"/>
    <w:multiLevelType w:val="multilevel"/>
    <w:tmpl w:val="339E656C"/>
    <w:lvl w:ilvl="0" w:tentative="0">
      <w:start w:val="1"/>
      <w:numFmt w:val="decimal"/>
      <w:suff w:val="nothing"/>
      <w:lvlText w:val="%1"/>
      <w:lvlJc w:val="left"/>
      <w:pPr>
        <w:ind w:left="420" w:hanging="420"/>
      </w:pPr>
      <w:rPr>
        <w:rFonts w:hint="default" w:ascii="黑体" w:hAnsi="黑体" w:eastAsia="黑体" w:cs="黑体"/>
      </w:rPr>
    </w:lvl>
    <w:lvl w:ilvl="1" w:tentative="0">
      <w:start w:val="1"/>
      <w:numFmt w:val="decimal"/>
      <w:isLgl/>
      <w:lvlText w:val="%1.%2"/>
      <w:lvlJc w:val="left"/>
      <w:pPr>
        <w:ind w:left="405" w:hanging="40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080" w:hanging="1080"/>
      </w:pPr>
      <w:rPr>
        <w:rFonts w:hint="default" w:ascii="黑体" w:hAnsi="黑体" w:eastAsia="黑体"/>
      </w:rPr>
    </w:lvl>
    <w:lvl w:ilvl="6" w:tentative="0">
      <w:start w:val="1"/>
      <w:numFmt w:val="decimal"/>
      <w:isLgl/>
      <w:lvlText w:val="%1.%2.%3.%4.%5.%6.%7"/>
      <w:lvlJc w:val="left"/>
      <w:pPr>
        <w:ind w:left="1080" w:hanging="1080"/>
      </w:pPr>
      <w:rPr>
        <w:rFonts w:hint="default" w:ascii="黑体" w:hAnsi="黑体" w:eastAsia="黑体"/>
      </w:rPr>
    </w:lvl>
    <w:lvl w:ilvl="7" w:tentative="0">
      <w:start w:val="1"/>
      <w:numFmt w:val="decimal"/>
      <w:isLgl/>
      <w:lvlText w:val="%1.%2.%3.%4.%5.%6.%7.%8"/>
      <w:lvlJc w:val="left"/>
      <w:pPr>
        <w:ind w:left="1440" w:hanging="1440"/>
      </w:pPr>
      <w:rPr>
        <w:rFonts w:hint="default" w:ascii="黑体" w:hAnsi="黑体" w:eastAsia="黑体"/>
      </w:rPr>
    </w:lvl>
    <w:lvl w:ilvl="8" w:tentative="0">
      <w:start w:val="1"/>
      <w:numFmt w:val="decimal"/>
      <w:isLgl/>
      <w:lvlText w:val="%1.%2.%3.%4.%5.%6.%7.%8.%9"/>
      <w:lvlJc w:val="left"/>
      <w:pPr>
        <w:ind w:left="1440" w:hanging="1440"/>
      </w:pPr>
      <w:rPr>
        <w:rFonts w:hint="default" w:ascii="黑体" w:hAnsi="黑体" w:eastAsia="黑体"/>
      </w:rPr>
    </w:lvl>
  </w:abstractNum>
  <w:abstractNum w:abstractNumId="1">
    <w:nsid w:val="39246A1E"/>
    <w:multiLevelType w:val="multilevel"/>
    <w:tmpl w:val="39246A1E"/>
    <w:lvl w:ilvl="0" w:tentative="0">
      <w:start w:val="6"/>
      <w:numFmt w:val="decimal"/>
      <w:pStyle w:val="61"/>
      <w:lvlText w:val="%1"/>
      <w:lvlJc w:val="left"/>
      <w:pPr>
        <w:tabs>
          <w:tab w:val="left" w:pos="360"/>
        </w:tabs>
        <w:ind w:left="360" w:hanging="360"/>
      </w:pPr>
      <w:rPr>
        <w:rFonts w:hint="default"/>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2">
    <w:nsid w:val="39E42C35"/>
    <w:multiLevelType w:val="multilevel"/>
    <w:tmpl w:val="39E42C35"/>
    <w:lvl w:ilvl="0" w:tentative="0">
      <w:start w:val="1"/>
      <w:numFmt w:val="chineseCountingThousand"/>
      <w:pStyle w:val="2"/>
      <w:suff w:val="nothing"/>
      <w:lvlText w:val="第%1章"/>
      <w:lvlJc w:val="left"/>
      <w:pPr>
        <w:ind w:left="0" w:firstLine="0"/>
      </w:pPr>
      <w:rPr>
        <w:rFonts w:hint="default"/>
      </w:rPr>
    </w:lvl>
    <w:lvl w:ilvl="1" w:tentative="0">
      <w:start w:val="1"/>
      <w:numFmt w:val="none"/>
      <w:pStyle w:val="3"/>
      <w:suff w:val="nothing"/>
      <w:lvlText w:val=""/>
      <w:lvlJc w:val="left"/>
      <w:pPr>
        <w:ind w:left="0" w:firstLine="0"/>
      </w:pPr>
      <w:rPr>
        <w:rFonts w:hint="default"/>
      </w:rPr>
    </w:lvl>
    <w:lvl w:ilvl="2" w:tentative="0">
      <w:start w:val="1"/>
      <w:numFmt w:val="none"/>
      <w:pStyle w:val="4"/>
      <w:suff w:val="nothing"/>
      <w:lvlText w:val=""/>
      <w:lvlJc w:val="left"/>
      <w:pPr>
        <w:ind w:left="0" w:firstLine="0"/>
      </w:pPr>
      <w:rPr>
        <w:rFonts w:hint="default"/>
      </w:rPr>
    </w:lvl>
    <w:lvl w:ilvl="3" w:tentative="0">
      <w:start w:val="1"/>
      <w:numFmt w:val="none"/>
      <w:pStyle w:val="5"/>
      <w:suff w:val="nothing"/>
      <w:lvlText w:val=""/>
      <w:lvlJc w:val="left"/>
      <w:pPr>
        <w:ind w:left="0" w:firstLine="0"/>
      </w:pPr>
      <w:rPr>
        <w:rFonts w:hint="default"/>
      </w:rPr>
    </w:lvl>
    <w:lvl w:ilvl="4" w:tentative="0">
      <w:start w:val="1"/>
      <w:numFmt w:val="none"/>
      <w:pStyle w:val="6"/>
      <w:suff w:val="nothing"/>
      <w:lvlText w:val=""/>
      <w:lvlJc w:val="left"/>
      <w:pPr>
        <w:ind w:left="0" w:firstLine="0"/>
      </w:pPr>
      <w:rPr>
        <w:rFonts w:hint="default"/>
      </w:rPr>
    </w:lvl>
    <w:lvl w:ilvl="5" w:tentative="0">
      <w:start w:val="1"/>
      <w:numFmt w:val="none"/>
      <w:pStyle w:val="7"/>
      <w:suff w:val="nothing"/>
      <w:lvlText w:val=""/>
      <w:lvlJc w:val="left"/>
      <w:pPr>
        <w:ind w:left="0" w:firstLine="0"/>
      </w:pPr>
      <w:rPr>
        <w:rFonts w:hint="default"/>
      </w:rPr>
    </w:lvl>
    <w:lvl w:ilvl="6" w:tentative="0">
      <w:start w:val="1"/>
      <w:numFmt w:val="none"/>
      <w:pStyle w:val="8"/>
      <w:suff w:val="nothing"/>
      <w:lvlText w:val=""/>
      <w:lvlJc w:val="left"/>
      <w:pPr>
        <w:ind w:left="0" w:firstLine="0"/>
      </w:pPr>
      <w:rPr>
        <w:rFonts w:hint="default"/>
      </w:rPr>
    </w:lvl>
    <w:lvl w:ilvl="7" w:tentative="0">
      <w:start w:val="1"/>
      <w:numFmt w:val="none"/>
      <w:pStyle w:val="9"/>
      <w:suff w:val="nothing"/>
      <w:lvlText w:val=""/>
      <w:lvlJc w:val="left"/>
      <w:pPr>
        <w:ind w:left="0" w:firstLine="0"/>
      </w:pPr>
      <w:rPr>
        <w:rFonts w:hint="default"/>
      </w:rPr>
    </w:lvl>
    <w:lvl w:ilvl="8" w:tentative="0">
      <w:start w:val="1"/>
      <w:numFmt w:val="none"/>
      <w:pStyle w:val="10"/>
      <w:suff w:val="nothing"/>
      <w:lvlText w:val=""/>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5"/>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E0OTUwOGY4N2NmNTgyZDYyZmI1ZDZiMTkxM2UifQ=="/>
  </w:docVars>
  <w:rsids>
    <w:rsidRoot w:val="006474C5"/>
    <w:rsid w:val="000009F7"/>
    <w:rsid w:val="00001465"/>
    <w:rsid w:val="000019C0"/>
    <w:rsid w:val="0000387D"/>
    <w:rsid w:val="000050D6"/>
    <w:rsid w:val="00005259"/>
    <w:rsid w:val="000052C1"/>
    <w:rsid w:val="00006BA0"/>
    <w:rsid w:val="0001140E"/>
    <w:rsid w:val="00011F61"/>
    <w:rsid w:val="000156F9"/>
    <w:rsid w:val="00016AA1"/>
    <w:rsid w:val="00017A67"/>
    <w:rsid w:val="00022628"/>
    <w:rsid w:val="000244FB"/>
    <w:rsid w:val="000250FF"/>
    <w:rsid w:val="0002609A"/>
    <w:rsid w:val="00026235"/>
    <w:rsid w:val="00027846"/>
    <w:rsid w:val="0003229B"/>
    <w:rsid w:val="000329D7"/>
    <w:rsid w:val="00036588"/>
    <w:rsid w:val="00037866"/>
    <w:rsid w:val="00041436"/>
    <w:rsid w:val="000430D3"/>
    <w:rsid w:val="000505DB"/>
    <w:rsid w:val="00050B57"/>
    <w:rsid w:val="00052314"/>
    <w:rsid w:val="00053C45"/>
    <w:rsid w:val="00056461"/>
    <w:rsid w:val="00057E42"/>
    <w:rsid w:val="00057F18"/>
    <w:rsid w:val="000612D7"/>
    <w:rsid w:val="00062072"/>
    <w:rsid w:val="00062CE1"/>
    <w:rsid w:val="00064D0C"/>
    <w:rsid w:val="00066F3C"/>
    <w:rsid w:val="00070FB4"/>
    <w:rsid w:val="00073931"/>
    <w:rsid w:val="000745DF"/>
    <w:rsid w:val="00074E45"/>
    <w:rsid w:val="00075CA3"/>
    <w:rsid w:val="00076E2E"/>
    <w:rsid w:val="00076F65"/>
    <w:rsid w:val="00077ED7"/>
    <w:rsid w:val="00080A2D"/>
    <w:rsid w:val="000817D9"/>
    <w:rsid w:val="00081995"/>
    <w:rsid w:val="00082187"/>
    <w:rsid w:val="00084573"/>
    <w:rsid w:val="0008478F"/>
    <w:rsid w:val="00086889"/>
    <w:rsid w:val="00090709"/>
    <w:rsid w:val="00090B76"/>
    <w:rsid w:val="00091376"/>
    <w:rsid w:val="000A138F"/>
    <w:rsid w:val="000A23EB"/>
    <w:rsid w:val="000A298F"/>
    <w:rsid w:val="000A45A0"/>
    <w:rsid w:val="000A7164"/>
    <w:rsid w:val="000A7FDF"/>
    <w:rsid w:val="000B115A"/>
    <w:rsid w:val="000B3171"/>
    <w:rsid w:val="000B6108"/>
    <w:rsid w:val="000C12C6"/>
    <w:rsid w:val="000C3F11"/>
    <w:rsid w:val="000C5D3A"/>
    <w:rsid w:val="000D260D"/>
    <w:rsid w:val="000D4C8B"/>
    <w:rsid w:val="000D78A4"/>
    <w:rsid w:val="000E09A9"/>
    <w:rsid w:val="000E2878"/>
    <w:rsid w:val="000E48C1"/>
    <w:rsid w:val="000E4E18"/>
    <w:rsid w:val="000E58CC"/>
    <w:rsid w:val="000E60BE"/>
    <w:rsid w:val="000E7700"/>
    <w:rsid w:val="000F2B0D"/>
    <w:rsid w:val="000F3F79"/>
    <w:rsid w:val="000F468B"/>
    <w:rsid w:val="000F4CBC"/>
    <w:rsid w:val="000F5032"/>
    <w:rsid w:val="000F7109"/>
    <w:rsid w:val="000F760C"/>
    <w:rsid w:val="00100665"/>
    <w:rsid w:val="0010188B"/>
    <w:rsid w:val="00101EF8"/>
    <w:rsid w:val="00103678"/>
    <w:rsid w:val="00104F2B"/>
    <w:rsid w:val="00110ADF"/>
    <w:rsid w:val="00110EC3"/>
    <w:rsid w:val="00114BF6"/>
    <w:rsid w:val="001165AE"/>
    <w:rsid w:val="001169A4"/>
    <w:rsid w:val="00116A6A"/>
    <w:rsid w:val="0012192E"/>
    <w:rsid w:val="001258A7"/>
    <w:rsid w:val="00127204"/>
    <w:rsid w:val="001273CF"/>
    <w:rsid w:val="00130982"/>
    <w:rsid w:val="00130C79"/>
    <w:rsid w:val="0013140B"/>
    <w:rsid w:val="001319A2"/>
    <w:rsid w:val="00132800"/>
    <w:rsid w:val="001346CB"/>
    <w:rsid w:val="00136249"/>
    <w:rsid w:val="001506CD"/>
    <w:rsid w:val="001518E8"/>
    <w:rsid w:val="001524CD"/>
    <w:rsid w:val="00152AA4"/>
    <w:rsid w:val="001532C6"/>
    <w:rsid w:val="00154498"/>
    <w:rsid w:val="00156677"/>
    <w:rsid w:val="00156701"/>
    <w:rsid w:val="001576C6"/>
    <w:rsid w:val="00160F7D"/>
    <w:rsid w:val="001610FB"/>
    <w:rsid w:val="00166EAF"/>
    <w:rsid w:val="00171E70"/>
    <w:rsid w:val="00175602"/>
    <w:rsid w:val="001806E7"/>
    <w:rsid w:val="00180DE1"/>
    <w:rsid w:val="001818FB"/>
    <w:rsid w:val="0018287C"/>
    <w:rsid w:val="00184704"/>
    <w:rsid w:val="00184EAE"/>
    <w:rsid w:val="00186D9C"/>
    <w:rsid w:val="00187B71"/>
    <w:rsid w:val="001975CE"/>
    <w:rsid w:val="001A00DD"/>
    <w:rsid w:val="001A20BF"/>
    <w:rsid w:val="001A2551"/>
    <w:rsid w:val="001A2785"/>
    <w:rsid w:val="001A7680"/>
    <w:rsid w:val="001A777D"/>
    <w:rsid w:val="001B20F0"/>
    <w:rsid w:val="001B2261"/>
    <w:rsid w:val="001B4114"/>
    <w:rsid w:val="001B5B29"/>
    <w:rsid w:val="001B6FB2"/>
    <w:rsid w:val="001C134A"/>
    <w:rsid w:val="001C2A92"/>
    <w:rsid w:val="001C42AF"/>
    <w:rsid w:val="001C56FF"/>
    <w:rsid w:val="001C721B"/>
    <w:rsid w:val="001C74D7"/>
    <w:rsid w:val="001C77AD"/>
    <w:rsid w:val="001D15BC"/>
    <w:rsid w:val="001D6D86"/>
    <w:rsid w:val="001E26B9"/>
    <w:rsid w:val="001E51E4"/>
    <w:rsid w:val="001E7AB1"/>
    <w:rsid w:val="001F0351"/>
    <w:rsid w:val="001F2F14"/>
    <w:rsid w:val="001F40DE"/>
    <w:rsid w:val="001F5AD3"/>
    <w:rsid w:val="001F5C12"/>
    <w:rsid w:val="001F7999"/>
    <w:rsid w:val="001F7ED0"/>
    <w:rsid w:val="002105A2"/>
    <w:rsid w:val="00210BA4"/>
    <w:rsid w:val="002111F4"/>
    <w:rsid w:val="00212F92"/>
    <w:rsid w:val="00214D4C"/>
    <w:rsid w:val="002156AF"/>
    <w:rsid w:val="00216C4F"/>
    <w:rsid w:val="00217DA0"/>
    <w:rsid w:val="00217E03"/>
    <w:rsid w:val="0022110E"/>
    <w:rsid w:val="002211D7"/>
    <w:rsid w:val="00221824"/>
    <w:rsid w:val="00222A6E"/>
    <w:rsid w:val="002245CE"/>
    <w:rsid w:val="00224B82"/>
    <w:rsid w:val="00225550"/>
    <w:rsid w:val="002312CC"/>
    <w:rsid w:val="002329A2"/>
    <w:rsid w:val="00234F0D"/>
    <w:rsid w:val="00235139"/>
    <w:rsid w:val="002356D9"/>
    <w:rsid w:val="00235FF9"/>
    <w:rsid w:val="00237CE4"/>
    <w:rsid w:val="00240A54"/>
    <w:rsid w:val="0024102B"/>
    <w:rsid w:val="00244336"/>
    <w:rsid w:val="00244A2E"/>
    <w:rsid w:val="00246CB8"/>
    <w:rsid w:val="00246FAF"/>
    <w:rsid w:val="00250B7B"/>
    <w:rsid w:val="00255275"/>
    <w:rsid w:val="00255815"/>
    <w:rsid w:val="0025648B"/>
    <w:rsid w:val="00257FFB"/>
    <w:rsid w:val="0026042A"/>
    <w:rsid w:val="00261400"/>
    <w:rsid w:val="002630C1"/>
    <w:rsid w:val="00265CFE"/>
    <w:rsid w:val="00270C18"/>
    <w:rsid w:val="00272124"/>
    <w:rsid w:val="00272E24"/>
    <w:rsid w:val="00276068"/>
    <w:rsid w:val="0028212B"/>
    <w:rsid w:val="00286CD8"/>
    <w:rsid w:val="0029092F"/>
    <w:rsid w:val="002911ED"/>
    <w:rsid w:val="002917F8"/>
    <w:rsid w:val="002932AC"/>
    <w:rsid w:val="00294EE3"/>
    <w:rsid w:val="00295418"/>
    <w:rsid w:val="002954CC"/>
    <w:rsid w:val="00295993"/>
    <w:rsid w:val="002A1F8F"/>
    <w:rsid w:val="002A2C75"/>
    <w:rsid w:val="002A3C06"/>
    <w:rsid w:val="002A58FE"/>
    <w:rsid w:val="002A5E93"/>
    <w:rsid w:val="002A5FA6"/>
    <w:rsid w:val="002A6EC8"/>
    <w:rsid w:val="002A7C29"/>
    <w:rsid w:val="002B0EFD"/>
    <w:rsid w:val="002B1DA7"/>
    <w:rsid w:val="002B5437"/>
    <w:rsid w:val="002B5839"/>
    <w:rsid w:val="002B59C5"/>
    <w:rsid w:val="002B5B6B"/>
    <w:rsid w:val="002B6851"/>
    <w:rsid w:val="002C04DE"/>
    <w:rsid w:val="002C0C2B"/>
    <w:rsid w:val="002C1403"/>
    <w:rsid w:val="002C1FA0"/>
    <w:rsid w:val="002C2A7F"/>
    <w:rsid w:val="002C2B81"/>
    <w:rsid w:val="002C4CCD"/>
    <w:rsid w:val="002C6600"/>
    <w:rsid w:val="002C6758"/>
    <w:rsid w:val="002E149F"/>
    <w:rsid w:val="002E34FD"/>
    <w:rsid w:val="002E45AE"/>
    <w:rsid w:val="002E62F4"/>
    <w:rsid w:val="002E6CFE"/>
    <w:rsid w:val="002F2A4C"/>
    <w:rsid w:val="002F3495"/>
    <w:rsid w:val="002F4CE1"/>
    <w:rsid w:val="002F6901"/>
    <w:rsid w:val="002F6DAF"/>
    <w:rsid w:val="002F7C2E"/>
    <w:rsid w:val="00301AAB"/>
    <w:rsid w:val="00301B8A"/>
    <w:rsid w:val="003023A2"/>
    <w:rsid w:val="003023B7"/>
    <w:rsid w:val="00303662"/>
    <w:rsid w:val="00306C8F"/>
    <w:rsid w:val="00307949"/>
    <w:rsid w:val="00311E42"/>
    <w:rsid w:val="003150CA"/>
    <w:rsid w:val="0031521A"/>
    <w:rsid w:val="00323DBB"/>
    <w:rsid w:val="00325FAE"/>
    <w:rsid w:val="00327DAF"/>
    <w:rsid w:val="00327EBE"/>
    <w:rsid w:val="00333917"/>
    <w:rsid w:val="00334267"/>
    <w:rsid w:val="00334B24"/>
    <w:rsid w:val="003367E6"/>
    <w:rsid w:val="00336FB2"/>
    <w:rsid w:val="003424BB"/>
    <w:rsid w:val="00343181"/>
    <w:rsid w:val="00346705"/>
    <w:rsid w:val="00347DE2"/>
    <w:rsid w:val="00350833"/>
    <w:rsid w:val="00350898"/>
    <w:rsid w:val="0035135A"/>
    <w:rsid w:val="003566A4"/>
    <w:rsid w:val="00357B37"/>
    <w:rsid w:val="0036180B"/>
    <w:rsid w:val="00361896"/>
    <w:rsid w:val="00361E74"/>
    <w:rsid w:val="00362D37"/>
    <w:rsid w:val="00363035"/>
    <w:rsid w:val="00364304"/>
    <w:rsid w:val="0036552A"/>
    <w:rsid w:val="003655A8"/>
    <w:rsid w:val="003660AB"/>
    <w:rsid w:val="00374D69"/>
    <w:rsid w:val="00374E2D"/>
    <w:rsid w:val="00375477"/>
    <w:rsid w:val="00376B06"/>
    <w:rsid w:val="003803FC"/>
    <w:rsid w:val="00380C26"/>
    <w:rsid w:val="00381AEF"/>
    <w:rsid w:val="00381C3A"/>
    <w:rsid w:val="003829B3"/>
    <w:rsid w:val="00383273"/>
    <w:rsid w:val="00387865"/>
    <w:rsid w:val="0039033E"/>
    <w:rsid w:val="003943FB"/>
    <w:rsid w:val="003952D6"/>
    <w:rsid w:val="003A3669"/>
    <w:rsid w:val="003A4DB4"/>
    <w:rsid w:val="003A6516"/>
    <w:rsid w:val="003A6B48"/>
    <w:rsid w:val="003A764C"/>
    <w:rsid w:val="003B251E"/>
    <w:rsid w:val="003B3334"/>
    <w:rsid w:val="003B4D1F"/>
    <w:rsid w:val="003B58CD"/>
    <w:rsid w:val="003B674B"/>
    <w:rsid w:val="003B6CAB"/>
    <w:rsid w:val="003B6D8B"/>
    <w:rsid w:val="003B71D9"/>
    <w:rsid w:val="003B7AE2"/>
    <w:rsid w:val="003C0D97"/>
    <w:rsid w:val="003C132C"/>
    <w:rsid w:val="003C1AE5"/>
    <w:rsid w:val="003C4C84"/>
    <w:rsid w:val="003C5AD3"/>
    <w:rsid w:val="003C7AFF"/>
    <w:rsid w:val="003D08C0"/>
    <w:rsid w:val="003D1CF4"/>
    <w:rsid w:val="003D372A"/>
    <w:rsid w:val="003D3C54"/>
    <w:rsid w:val="003D5027"/>
    <w:rsid w:val="003D5FED"/>
    <w:rsid w:val="003D6630"/>
    <w:rsid w:val="003E2866"/>
    <w:rsid w:val="003E2FCB"/>
    <w:rsid w:val="003E3504"/>
    <w:rsid w:val="003E5851"/>
    <w:rsid w:val="003E7D11"/>
    <w:rsid w:val="003F01FA"/>
    <w:rsid w:val="003F5C0F"/>
    <w:rsid w:val="003F652D"/>
    <w:rsid w:val="003F653E"/>
    <w:rsid w:val="003F6729"/>
    <w:rsid w:val="003F7B24"/>
    <w:rsid w:val="004044F5"/>
    <w:rsid w:val="004046CA"/>
    <w:rsid w:val="00406890"/>
    <w:rsid w:val="004115DC"/>
    <w:rsid w:val="004124A0"/>
    <w:rsid w:val="00413FF9"/>
    <w:rsid w:val="00414AE2"/>
    <w:rsid w:val="00414B9C"/>
    <w:rsid w:val="00415A4D"/>
    <w:rsid w:val="00420652"/>
    <w:rsid w:val="00421536"/>
    <w:rsid w:val="00421B8D"/>
    <w:rsid w:val="00424500"/>
    <w:rsid w:val="00425660"/>
    <w:rsid w:val="00427F67"/>
    <w:rsid w:val="00430368"/>
    <w:rsid w:val="004318BD"/>
    <w:rsid w:val="004318F4"/>
    <w:rsid w:val="0043329D"/>
    <w:rsid w:val="004356C4"/>
    <w:rsid w:val="00441900"/>
    <w:rsid w:val="00442D37"/>
    <w:rsid w:val="00444A0C"/>
    <w:rsid w:val="00446A88"/>
    <w:rsid w:val="00446D6D"/>
    <w:rsid w:val="00452CCD"/>
    <w:rsid w:val="00452FE2"/>
    <w:rsid w:val="00454721"/>
    <w:rsid w:val="00455F98"/>
    <w:rsid w:val="00456891"/>
    <w:rsid w:val="00456FD3"/>
    <w:rsid w:val="0045720B"/>
    <w:rsid w:val="004614CB"/>
    <w:rsid w:val="00461B2E"/>
    <w:rsid w:val="00461FF9"/>
    <w:rsid w:val="00462ACA"/>
    <w:rsid w:val="004639BC"/>
    <w:rsid w:val="004642E0"/>
    <w:rsid w:val="00464B1D"/>
    <w:rsid w:val="00465E0E"/>
    <w:rsid w:val="00466B66"/>
    <w:rsid w:val="004677B9"/>
    <w:rsid w:val="004703D0"/>
    <w:rsid w:val="00470CA5"/>
    <w:rsid w:val="004720FF"/>
    <w:rsid w:val="00476232"/>
    <w:rsid w:val="004802C3"/>
    <w:rsid w:val="004848C6"/>
    <w:rsid w:val="00486793"/>
    <w:rsid w:val="004869E2"/>
    <w:rsid w:val="0049473F"/>
    <w:rsid w:val="00494E5C"/>
    <w:rsid w:val="00495762"/>
    <w:rsid w:val="00495F3A"/>
    <w:rsid w:val="00496527"/>
    <w:rsid w:val="004965AE"/>
    <w:rsid w:val="004A0AF5"/>
    <w:rsid w:val="004A144C"/>
    <w:rsid w:val="004A3703"/>
    <w:rsid w:val="004A3EE9"/>
    <w:rsid w:val="004A4E9F"/>
    <w:rsid w:val="004A5A6B"/>
    <w:rsid w:val="004A5B2C"/>
    <w:rsid w:val="004A656F"/>
    <w:rsid w:val="004A7B24"/>
    <w:rsid w:val="004A7C23"/>
    <w:rsid w:val="004B096C"/>
    <w:rsid w:val="004B17A5"/>
    <w:rsid w:val="004B1813"/>
    <w:rsid w:val="004B346E"/>
    <w:rsid w:val="004B47FC"/>
    <w:rsid w:val="004B6065"/>
    <w:rsid w:val="004B6B7A"/>
    <w:rsid w:val="004C7353"/>
    <w:rsid w:val="004C7F63"/>
    <w:rsid w:val="004D34CB"/>
    <w:rsid w:val="004D623B"/>
    <w:rsid w:val="004E1B1C"/>
    <w:rsid w:val="004E653D"/>
    <w:rsid w:val="004F19EE"/>
    <w:rsid w:val="004F2452"/>
    <w:rsid w:val="004F57A7"/>
    <w:rsid w:val="005003C0"/>
    <w:rsid w:val="00503028"/>
    <w:rsid w:val="00505CB0"/>
    <w:rsid w:val="00511152"/>
    <w:rsid w:val="005126FA"/>
    <w:rsid w:val="00512D50"/>
    <w:rsid w:val="00517A7A"/>
    <w:rsid w:val="00521851"/>
    <w:rsid w:val="00522333"/>
    <w:rsid w:val="005233C2"/>
    <w:rsid w:val="00524284"/>
    <w:rsid w:val="00527C2F"/>
    <w:rsid w:val="005308A2"/>
    <w:rsid w:val="0053183F"/>
    <w:rsid w:val="00533D61"/>
    <w:rsid w:val="0053421D"/>
    <w:rsid w:val="005346DB"/>
    <w:rsid w:val="00536C43"/>
    <w:rsid w:val="00537120"/>
    <w:rsid w:val="0054061C"/>
    <w:rsid w:val="00541D9A"/>
    <w:rsid w:val="00542CDF"/>
    <w:rsid w:val="00542EB6"/>
    <w:rsid w:val="00543405"/>
    <w:rsid w:val="0054677E"/>
    <w:rsid w:val="00547951"/>
    <w:rsid w:val="00553389"/>
    <w:rsid w:val="0055391B"/>
    <w:rsid w:val="00553B2D"/>
    <w:rsid w:val="00554135"/>
    <w:rsid w:val="00560D38"/>
    <w:rsid w:val="005611B6"/>
    <w:rsid w:val="005627A1"/>
    <w:rsid w:val="00562B13"/>
    <w:rsid w:val="00564802"/>
    <w:rsid w:val="00564870"/>
    <w:rsid w:val="00566694"/>
    <w:rsid w:val="00566DDD"/>
    <w:rsid w:val="00567FB5"/>
    <w:rsid w:val="00571D94"/>
    <w:rsid w:val="00572C7D"/>
    <w:rsid w:val="0057769C"/>
    <w:rsid w:val="00581665"/>
    <w:rsid w:val="0058237F"/>
    <w:rsid w:val="005828E7"/>
    <w:rsid w:val="0058383C"/>
    <w:rsid w:val="00583CD8"/>
    <w:rsid w:val="005850E8"/>
    <w:rsid w:val="005863CA"/>
    <w:rsid w:val="00586943"/>
    <w:rsid w:val="00586E17"/>
    <w:rsid w:val="0058700A"/>
    <w:rsid w:val="005903AE"/>
    <w:rsid w:val="00591369"/>
    <w:rsid w:val="00591A1A"/>
    <w:rsid w:val="005936F4"/>
    <w:rsid w:val="00595758"/>
    <w:rsid w:val="00595DF1"/>
    <w:rsid w:val="005A699B"/>
    <w:rsid w:val="005A6ABA"/>
    <w:rsid w:val="005A7072"/>
    <w:rsid w:val="005A7235"/>
    <w:rsid w:val="005A7E9E"/>
    <w:rsid w:val="005B11AA"/>
    <w:rsid w:val="005B25C4"/>
    <w:rsid w:val="005B47D0"/>
    <w:rsid w:val="005B50D1"/>
    <w:rsid w:val="005C1B8B"/>
    <w:rsid w:val="005C3627"/>
    <w:rsid w:val="005C42E5"/>
    <w:rsid w:val="005C49BE"/>
    <w:rsid w:val="005C5604"/>
    <w:rsid w:val="005C6981"/>
    <w:rsid w:val="005C7430"/>
    <w:rsid w:val="005D00E3"/>
    <w:rsid w:val="005D0ECF"/>
    <w:rsid w:val="005D3D81"/>
    <w:rsid w:val="005D5744"/>
    <w:rsid w:val="005D6633"/>
    <w:rsid w:val="005D7646"/>
    <w:rsid w:val="005E2EEC"/>
    <w:rsid w:val="005E35AF"/>
    <w:rsid w:val="005F0355"/>
    <w:rsid w:val="005F0E45"/>
    <w:rsid w:val="005F27FD"/>
    <w:rsid w:val="005F3B11"/>
    <w:rsid w:val="005F3D25"/>
    <w:rsid w:val="005F448F"/>
    <w:rsid w:val="005F4B02"/>
    <w:rsid w:val="005F5AD1"/>
    <w:rsid w:val="006001FF"/>
    <w:rsid w:val="00600313"/>
    <w:rsid w:val="0060149E"/>
    <w:rsid w:val="006021C6"/>
    <w:rsid w:val="0060375D"/>
    <w:rsid w:val="006047B9"/>
    <w:rsid w:val="00604EA2"/>
    <w:rsid w:val="0060675F"/>
    <w:rsid w:val="006074D1"/>
    <w:rsid w:val="00607AEC"/>
    <w:rsid w:val="00611B8A"/>
    <w:rsid w:val="006157DC"/>
    <w:rsid w:val="0061783E"/>
    <w:rsid w:val="006243DD"/>
    <w:rsid w:val="00624A13"/>
    <w:rsid w:val="00626756"/>
    <w:rsid w:val="00631638"/>
    <w:rsid w:val="00631809"/>
    <w:rsid w:val="006328D2"/>
    <w:rsid w:val="006329AC"/>
    <w:rsid w:val="006348F1"/>
    <w:rsid w:val="00634AC9"/>
    <w:rsid w:val="006359D3"/>
    <w:rsid w:val="00635CC8"/>
    <w:rsid w:val="006365B7"/>
    <w:rsid w:val="00636877"/>
    <w:rsid w:val="00636B28"/>
    <w:rsid w:val="00636F4F"/>
    <w:rsid w:val="00641C75"/>
    <w:rsid w:val="00641F08"/>
    <w:rsid w:val="006432BF"/>
    <w:rsid w:val="00643577"/>
    <w:rsid w:val="006438B0"/>
    <w:rsid w:val="00643D17"/>
    <w:rsid w:val="00646955"/>
    <w:rsid w:val="00646A06"/>
    <w:rsid w:val="006471C8"/>
    <w:rsid w:val="006474C5"/>
    <w:rsid w:val="00647705"/>
    <w:rsid w:val="00647B21"/>
    <w:rsid w:val="00654911"/>
    <w:rsid w:val="006558DF"/>
    <w:rsid w:val="006558F1"/>
    <w:rsid w:val="0066336A"/>
    <w:rsid w:val="0066513A"/>
    <w:rsid w:val="00665B35"/>
    <w:rsid w:val="0066689B"/>
    <w:rsid w:val="0066750C"/>
    <w:rsid w:val="0067000D"/>
    <w:rsid w:val="00671DA0"/>
    <w:rsid w:val="00673F40"/>
    <w:rsid w:val="0067752F"/>
    <w:rsid w:val="00677FD5"/>
    <w:rsid w:val="00680E06"/>
    <w:rsid w:val="006811A6"/>
    <w:rsid w:val="0068287F"/>
    <w:rsid w:val="00682B27"/>
    <w:rsid w:val="006838F7"/>
    <w:rsid w:val="006848A1"/>
    <w:rsid w:val="006872FF"/>
    <w:rsid w:val="0069038A"/>
    <w:rsid w:val="00690F1B"/>
    <w:rsid w:val="00692645"/>
    <w:rsid w:val="0069294D"/>
    <w:rsid w:val="00692FA4"/>
    <w:rsid w:val="0069462F"/>
    <w:rsid w:val="00694727"/>
    <w:rsid w:val="00695DEC"/>
    <w:rsid w:val="00697928"/>
    <w:rsid w:val="006A5122"/>
    <w:rsid w:val="006B0032"/>
    <w:rsid w:val="006B0C23"/>
    <w:rsid w:val="006B0C8C"/>
    <w:rsid w:val="006B17F8"/>
    <w:rsid w:val="006B2627"/>
    <w:rsid w:val="006C0D99"/>
    <w:rsid w:val="006C0E6A"/>
    <w:rsid w:val="006C2789"/>
    <w:rsid w:val="006C37F7"/>
    <w:rsid w:val="006C5C8F"/>
    <w:rsid w:val="006D2E9E"/>
    <w:rsid w:val="006D4E2D"/>
    <w:rsid w:val="006D5040"/>
    <w:rsid w:val="006E135C"/>
    <w:rsid w:val="006E1BD0"/>
    <w:rsid w:val="006E331A"/>
    <w:rsid w:val="006E3DF2"/>
    <w:rsid w:val="006E508B"/>
    <w:rsid w:val="006E5871"/>
    <w:rsid w:val="006E5C62"/>
    <w:rsid w:val="006E6228"/>
    <w:rsid w:val="006E6369"/>
    <w:rsid w:val="006F203A"/>
    <w:rsid w:val="006F55F3"/>
    <w:rsid w:val="00701323"/>
    <w:rsid w:val="00701461"/>
    <w:rsid w:val="00701A19"/>
    <w:rsid w:val="007020DD"/>
    <w:rsid w:val="00702E8E"/>
    <w:rsid w:val="007045BE"/>
    <w:rsid w:val="007076A8"/>
    <w:rsid w:val="00707AAB"/>
    <w:rsid w:val="007119E5"/>
    <w:rsid w:val="00712A91"/>
    <w:rsid w:val="007136F0"/>
    <w:rsid w:val="00713EC8"/>
    <w:rsid w:val="00713F90"/>
    <w:rsid w:val="00714DEF"/>
    <w:rsid w:val="00722092"/>
    <w:rsid w:val="007230F0"/>
    <w:rsid w:val="00723E76"/>
    <w:rsid w:val="0072414F"/>
    <w:rsid w:val="007274DC"/>
    <w:rsid w:val="0072781F"/>
    <w:rsid w:val="00727EDD"/>
    <w:rsid w:val="00731350"/>
    <w:rsid w:val="007315C8"/>
    <w:rsid w:val="007338A8"/>
    <w:rsid w:val="00733FB0"/>
    <w:rsid w:val="00734588"/>
    <w:rsid w:val="00734ED7"/>
    <w:rsid w:val="00737022"/>
    <w:rsid w:val="00741977"/>
    <w:rsid w:val="00741B12"/>
    <w:rsid w:val="00742D7E"/>
    <w:rsid w:val="00742F16"/>
    <w:rsid w:val="00743FFE"/>
    <w:rsid w:val="007504FA"/>
    <w:rsid w:val="00753366"/>
    <w:rsid w:val="00755AF9"/>
    <w:rsid w:val="00760749"/>
    <w:rsid w:val="007634E3"/>
    <w:rsid w:val="0076361E"/>
    <w:rsid w:val="00765FDA"/>
    <w:rsid w:val="0076719F"/>
    <w:rsid w:val="00771F36"/>
    <w:rsid w:val="007745D0"/>
    <w:rsid w:val="00780A5D"/>
    <w:rsid w:val="007877E4"/>
    <w:rsid w:val="00790010"/>
    <w:rsid w:val="007906E9"/>
    <w:rsid w:val="00791632"/>
    <w:rsid w:val="00794E05"/>
    <w:rsid w:val="00794F36"/>
    <w:rsid w:val="007A07AE"/>
    <w:rsid w:val="007A4ABE"/>
    <w:rsid w:val="007A4EC7"/>
    <w:rsid w:val="007A6831"/>
    <w:rsid w:val="007A6970"/>
    <w:rsid w:val="007A7159"/>
    <w:rsid w:val="007B1A81"/>
    <w:rsid w:val="007B1E93"/>
    <w:rsid w:val="007B4008"/>
    <w:rsid w:val="007B750B"/>
    <w:rsid w:val="007C1BE8"/>
    <w:rsid w:val="007C1ED1"/>
    <w:rsid w:val="007C2AC3"/>
    <w:rsid w:val="007C5A42"/>
    <w:rsid w:val="007D1623"/>
    <w:rsid w:val="007D1C66"/>
    <w:rsid w:val="007D3EDD"/>
    <w:rsid w:val="007D45CD"/>
    <w:rsid w:val="007E0DE3"/>
    <w:rsid w:val="007E2004"/>
    <w:rsid w:val="007E284C"/>
    <w:rsid w:val="007E44C2"/>
    <w:rsid w:val="007E4555"/>
    <w:rsid w:val="007E514B"/>
    <w:rsid w:val="007F38F5"/>
    <w:rsid w:val="008007E8"/>
    <w:rsid w:val="00802CC7"/>
    <w:rsid w:val="00803968"/>
    <w:rsid w:val="008051BE"/>
    <w:rsid w:val="00807FE4"/>
    <w:rsid w:val="0081030B"/>
    <w:rsid w:val="0081282A"/>
    <w:rsid w:val="00814403"/>
    <w:rsid w:val="00814CFF"/>
    <w:rsid w:val="00815864"/>
    <w:rsid w:val="008207B8"/>
    <w:rsid w:val="00820C0A"/>
    <w:rsid w:val="00820F72"/>
    <w:rsid w:val="00821450"/>
    <w:rsid w:val="008219A5"/>
    <w:rsid w:val="00826691"/>
    <w:rsid w:val="00832DDF"/>
    <w:rsid w:val="00834422"/>
    <w:rsid w:val="00836182"/>
    <w:rsid w:val="0083794D"/>
    <w:rsid w:val="00840E42"/>
    <w:rsid w:val="00841F4D"/>
    <w:rsid w:val="00842F3B"/>
    <w:rsid w:val="00843B8B"/>
    <w:rsid w:val="008540FA"/>
    <w:rsid w:val="00856369"/>
    <w:rsid w:val="00857104"/>
    <w:rsid w:val="008573FE"/>
    <w:rsid w:val="008618D8"/>
    <w:rsid w:val="00861D41"/>
    <w:rsid w:val="00863AB3"/>
    <w:rsid w:val="00865223"/>
    <w:rsid w:val="008654DD"/>
    <w:rsid w:val="00865CB5"/>
    <w:rsid w:val="00866EB5"/>
    <w:rsid w:val="00867EDD"/>
    <w:rsid w:val="00874545"/>
    <w:rsid w:val="008749B5"/>
    <w:rsid w:val="00874EED"/>
    <w:rsid w:val="00877E9A"/>
    <w:rsid w:val="008805B2"/>
    <w:rsid w:val="00883E25"/>
    <w:rsid w:val="00890716"/>
    <w:rsid w:val="00890AE4"/>
    <w:rsid w:val="0089192A"/>
    <w:rsid w:val="00891CAE"/>
    <w:rsid w:val="0089407B"/>
    <w:rsid w:val="008955A6"/>
    <w:rsid w:val="0089663D"/>
    <w:rsid w:val="00896F53"/>
    <w:rsid w:val="008A035B"/>
    <w:rsid w:val="008A066E"/>
    <w:rsid w:val="008A67EC"/>
    <w:rsid w:val="008A7CCC"/>
    <w:rsid w:val="008B132B"/>
    <w:rsid w:val="008B3A18"/>
    <w:rsid w:val="008B42AF"/>
    <w:rsid w:val="008B434D"/>
    <w:rsid w:val="008C2058"/>
    <w:rsid w:val="008C2876"/>
    <w:rsid w:val="008C46C4"/>
    <w:rsid w:val="008C6629"/>
    <w:rsid w:val="008C7F70"/>
    <w:rsid w:val="008D190E"/>
    <w:rsid w:val="008D2271"/>
    <w:rsid w:val="008D26AE"/>
    <w:rsid w:val="008E300B"/>
    <w:rsid w:val="008E46B3"/>
    <w:rsid w:val="008E4C6F"/>
    <w:rsid w:val="008E780D"/>
    <w:rsid w:val="00900A69"/>
    <w:rsid w:val="00903413"/>
    <w:rsid w:val="0090407F"/>
    <w:rsid w:val="009050C2"/>
    <w:rsid w:val="00907F1C"/>
    <w:rsid w:val="00910CEE"/>
    <w:rsid w:val="0091185E"/>
    <w:rsid w:val="00911FC0"/>
    <w:rsid w:val="009139E6"/>
    <w:rsid w:val="00914B85"/>
    <w:rsid w:val="009174BD"/>
    <w:rsid w:val="0092076D"/>
    <w:rsid w:val="00921AA2"/>
    <w:rsid w:val="0092211A"/>
    <w:rsid w:val="00926BB2"/>
    <w:rsid w:val="00930020"/>
    <w:rsid w:val="00933F08"/>
    <w:rsid w:val="00934489"/>
    <w:rsid w:val="00935FD8"/>
    <w:rsid w:val="00936C70"/>
    <w:rsid w:val="00937168"/>
    <w:rsid w:val="00937D49"/>
    <w:rsid w:val="009428ED"/>
    <w:rsid w:val="00943DAE"/>
    <w:rsid w:val="009455E2"/>
    <w:rsid w:val="009560AC"/>
    <w:rsid w:val="00960167"/>
    <w:rsid w:val="0096029A"/>
    <w:rsid w:val="00960934"/>
    <w:rsid w:val="0096108C"/>
    <w:rsid w:val="00961B24"/>
    <w:rsid w:val="00961BBC"/>
    <w:rsid w:val="00963AD2"/>
    <w:rsid w:val="0096448A"/>
    <w:rsid w:val="00964C6C"/>
    <w:rsid w:val="0096703C"/>
    <w:rsid w:val="00967C71"/>
    <w:rsid w:val="00970AA9"/>
    <w:rsid w:val="00970E56"/>
    <w:rsid w:val="009715AC"/>
    <w:rsid w:val="009725E1"/>
    <w:rsid w:val="0097301E"/>
    <w:rsid w:val="00975A5B"/>
    <w:rsid w:val="00977372"/>
    <w:rsid w:val="00982EA8"/>
    <w:rsid w:val="00985A25"/>
    <w:rsid w:val="0098620E"/>
    <w:rsid w:val="009863F1"/>
    <w:rsid w:val="00986FBB"/>
    <w:rsid w:val="00990AED"/>
    <w:rsid w:val="00991142"/>
    <w:rsid w:val="00992CA8"/>
    <w:rsid w:val="0099695A"/>
    <w:rsid w:val="009A0D37"/>
    <w:rsid w:val="009A1574"/>
    <w:rsid w:val="009A3629"/>
    <w:rsid w:val="009A6E85"/>
    <w:rsid w:val="009A73AB"/>
    <w:rsid w:val="009B1611"/>
    <w:rsid w:val="009B3339"/>
    <w:rsid w:val="009B44DE"/>
    <w:rsid w:val="009B51B3"/>
    <w:rsid w:val="009B56AD"/>
    <w:rsid w:val="009B5B9D"/>
    <w:rsid w:val="009B5D1F"/>
    <w:rsid w:val="009B6CB5"/>
    <w:rsid w:val="009B766D"/>
    <w:rsid w:val="009B7BDF"/>
    <w:rsid w:val="009C181D"/>
    <w:rsid w:val="009C1993"/>
    <w:rsid w:val="009C65C2"/>
    <w:rsid w:val="009C7DDF"/>
    <w:rsid w:val="009D0ACE"/>
    <w:rsid w:val="009D3C86"/>
    <w:rsid w:val="009D4711"/>
    <w:rsid w:val="009D5941"/>
    <w:rsid w:val="009D6C93"/>
    <w:rsid w:val="009E0CE8"/>
    <w:rsid w:val="009E0EF0"/>
    <w:rsid w:val="009E1B30"/>
    <w:rsid w:val="009E311B"/>
    <w:rsid w:val="009E3DDB"/>
    <w:rsid w:val="009E47F5"/>
    <w:rsid w:val="009E4B65"/>
    <w:rsid w:val="009E4F36"/>
    <w:rsid w:val="009E68E4"/>
    <w:rsid w:val="009F154A"/>
    <w:rsid w:val="009F22CC"/>
    <w:rsid w:val="009F2F7C"/>
    <w:rsid w:val="009F4D12"/>
    <w:rsid w:val="009F6DED"/>
    <w:rsid w:val="009F7321"/>
    <w:rsid w:val="009F769A"/>
    <w:rsid w:val="009F7F04"/>
    <w:rsid w:val="00A0124F"/>
    <w:rsid w:val="00A06806"/>
    <w:rsid w:val="00A0747A"/>
    <w:rsid w:val="00A11005"/>
    <w:rsid w:val="00A12591"/>
    <w:rsid w:val="00A1264A"/>
    <w:rsid w:val="00A148B2"/>
    <w:rsid w:val="00A210D6"/>
    <w:rsid w:val="00A2492C"/>
    <w:rsid w:val="00A2687B"/>
    <w:rsid w:val="00A26B41"/>
    <w:rsid w:val="00A3003A"/>
    <w:rsid w:val="00A300D6"/>
    <w:rsid w:val="00A32912"/>
    <w:rsid w:val="00A34230"/>
    <w:rsid w:val="00A35340"/>
    <w:rsid w:val="00A362CF"/>
    <w:rsid w:val="00A37A4E"/>
    <w:rsid w:val="00A41445"/>
    <w:rsid w:val="00A422C8"/>
    <w:rsid w:val="00A4313D"/>
    <w:rsid w:val="00A50399"/>
    <w:rsid w:val="00A504FE"/>
    <w:rsid w:val="00A50E6F"/>
    <w:rsid w:val="00A52CCD"/>
    <w:rsid w:val="00A52D7D"/>
    <w:rsid w:val="00A53123"/>
    <w:rsid w:val="00A5381A"/>
    <w:rsid w:val="00A54768"/>
    <w:rsid w:val="00A56381"/>
    <w:rsid w:val="00A62883"/>
    <w:rsid w:val="00A66364"/>
    <w:rsid w:val="00A77977"/>
    <w:rsid w:val="00A80457"/>
    <w:rsid w:val="00A80AD1"/>
    <w:rsid w:val="00A8280D"/>
    <w:rsid w:val="00A8336E"/>
    <w:rsid w:val="00A835A0"/>
    <w:rsid w:val="00A8379F"/>
    <w:rsid w:val="00A84F70"/>
    <w:rsid w:val="00A8687B"/>
    <w:rsid w:val="00A86A4C"/>
    <w:rsid w:val="00A9148C"/>
    <w:rsid w:val="00A96178"/>
    <w:rsid w:val="00A96AF1"/>
    <w:rsid w:val="00AA38E3"/>
    <w:rsid w:val="00AA3B66"/>
    <w:rsid w:val="00AA7F80"/>
    <w:rsid w:val="00AB10D2"/>
    <w:rsid w:val="00AB4709"/>
    <w:rsid w:val="00AB4A4B"/>
    <w:rsid w:val="00AC2285"/>
    <w:rsid w:val="00AC3BB2"/>
    <w:rsid w:val="00AC7AA3"/>
    <w:rsid w:val="00AC7C39"/>
    <w:rsid w:val="00AD03A7"/>
    <w:rsid w:val="00AD0D54"/>
    <w:rsid w:val="00AD18A0"/>
    <w:rsid w:val="00AD1D4A"/>
    <w:rsid w:val="00AD42AD"/>
    <w:rsid w:val="00AD4A6D"/>
    <w:rsid w:val="00AD5EA0"/>
    <w:rsid w:val="00AD698C"/>
    <w:rsid w:val="00AE10E0"/>
    <w:rsid w:val="00AE1576"/>
    <w:rsid w:val="00AE2B53"/>
    <w:rsid w:val="00AE2D3E"/>
    <w:rsid w:val="00AE5DD1"/>
    <w:rsid w:val="00AE6607"/>
    <w:rsid w:val="00AE78F7"/>
    <w:rsid w:val="00AF21BF"/>
    <w:rsid w:val="00AF41EE"/>
    <w:rsid w:val="00AF66A5"/>
    <w:rsid w:val="00AF7451"/>
    <w:rsid w:val="00AF769C"/>
    <w:rsid w:val="00B009E0"/>
    <w:rsid w:val="00B02C68"/>
    <w:rsid w:val="00B03830"/>
    <w:rsid w:val="00B059A2"/>
    <w:rsid w:val="00B12055"/>
    <w:rsid w:val="00B13E1D"/>
    <w:rsid w:val="00B16DC5"/>
    <w:rsid w:val="00B175A4"/>
    <w:rsid w:val="00B2052D"/>
    <w:rsid w:val="00B22E5F"/>
    <w:rsid w:val="00B2371B"/>
    <w:rsid w:val="00B2375A"/>
    <w:rsid w:val="00B241A3"/>
    <w:rsid w:val="00B2505F"/>
    <w:rsid w:val="00B30095"/>
    <w:rsid w:val="00B310EE"/>
    <w:rsid w:val="00B3154F"/>
    <w:rsid w:val="00B31E02"/>
    <w:rsid w:val="00B34041"/>
    <w:rsid w:val="00B3546F"/>
    <w:rsid w:val="00B36865"/>
    <w:rsid w:val="00B42ADE"/>
    <w:rsid w:val="00B45546"/>
    <w:rsid w:val="00B465AB"/>
    <w:rsid w:val="00B5126E"/>
    <w:rsid w:val="00B54962"/>
    <w:rsid w:val="00B560DC"/>
    <w:rsid w:val="00B61263"/>
    <w:rsid w:val="00B61A2D"/>
    <w:rsid w:val="00B625A0"/>
    <w:rsid w:val="00B64E78"/>
    <w:rsid w:val="00B661C3"/>
    <w:rsid w:val="00B67DE5"/>
    <w:rsid w:val="00B7074E"/>
    <w:rsid w:val="00B70DFD"/>
    <w:rsid w:val="00B71B34"/>
    <w:rsid w:val="00B725E1"/>
    <w:rsid w:val="00B730F4"/>
    <w:rsid w:val="00B7339D"/>
    <w:rsid w:val="00B84572"/>
    <w:rsid w:val="00B8558F"/>
    <w:rsid w:val="00B86F41"/>
    <w:rsid w:val="00B87792"/>
    <w:rsid w:val="00B87B80"/>
    <w:rsid w:val="00BA00FE"/>
    <w:rsid w:val="00BA0B39"/>
    <w:rsid w:val="00BA118B"/>
    <w:rsid w:val="00BA30A3"/>
    <w:rsid w:val="00BA7306"/>
    <w:rsid w:val="00BB13FB"/>
    <w:rsid w:val="00BB184A"/>
    <w:rsid w:val="00BB3A66"/>
    <w:rsid w:val="00BB40EA"/>
    <w:rsid w:val="00BB563B"/>
    <w:rsid w:val="00BB5B81"/>
    <w:rsid w:val="00BB667B"/>
    <w:rsid w:val="00BC306A"/>
    <w:rsid w:val="00BC527D"/>
    <w:rsid w:val="00BC6CE3"/>
    <w:rsid w:val="00BD213D"/>
    <w:rsid w:val="00BD2F8F"/>
    <w:rsid w:val="00BD4976"/>
    <w:rsid w:val="00BE0830"/>
    <w:rsid w:val="00BE1052"/>
    <w:rsid w:val="00BE1939"/>
    <w:rsid w:val="00BE38FA"/>
    <w:rsid w:val="00BE409B"/>
    <w:rsid w:val="00BE48DA"/>
    <w:rsid w:val="00BE6B41"/>
    <w:rsid w:val="00BE6C5F"/>
    <w:rsid w:val="00BF29DB"/>
    <w:rsid w:val="00BF4714"/>
    <w:rsid w:val="00BF5390"/>
    <w:rsid w:val="00BF57F1"/>
    <w:rsid w:val="00BF74AC"/>
    <w:rsid w:val="00C0003D"/>
    <w:rsid w:val="00C0206A"/>
    <w:rsid w:val="00C02693"/>
    <w:rsid w:val="00C0321E"/>
    <w:rsid w:val="00C1087D"/>
    <w:rsid w:val="00C11BF9"/>
    <w:rsid w:val="00C12DE0"/>
    <w:rsid w:val="00C137A6"/>
    <w:rsid w:val="00C16A92"/>
    <w:rsid w:val="00C1784A"/>
    <w:rsid w:val="00C20635"/>
    <w:rsid w:val="00C20FD1"/>
    <w:rsid w:val="00C22D6F"/>
    <w:rsid w:val="00C2442C"/>
    <w:rsid w:val="00C33171"/>
    <w:rsid w:val="00C35C92"/>
    <w:rsid w:val="00C363F5"/>
    <w:rsid w:val="00C433B5"/>
    <w:rsid w:val="00C44644"/>
    <w:rsid w:val="00C447FE"/>
    <w:rsid w:val="00C527A9"/>
    <w:rsid w:val="00C52E87"/>
    <w:rsid w:val="00C573CD"/>
    <w:rsid w:val="00C577CC"/>
    <w:rsid w:val="00C6382D"/>
    <w:rsid w:val="00C6661F"/>
    <w:rsid w:val="00C7083E"/>
    <w:rsid w:val="00C73312"/>
    <w:rsid w:val="00C7352F"/>
    <w:rsid w:val="00C73EB4"/>
    <w:rsid w:val="00C745EB"/>
    <w:rsid w:val="00C74B58"/>
    <w:rsid w:val="00C7577E"/>
    <w:rsid w:val="00C76266"/>
    <w:rsid w:val="00C80367"/>
    <w:rsid w:val="00C81DFA"/>
    <w:rsid w:val="00C82672"/>
    <w:rsid w:val="00C82D45"/>
    <w:rsid w:val="00C83047"/>
    <w:rsid w:val="00C849E4"/>
    <w:rsid w:val="00C85ADF"/>
    <w:rsid w:val="00C92850"/>
    <w:rsid w:val="00C9321A"/>
    <w:rsid w:val="00C93D39"/>
    <w:rsid w:val="00C94171"/>
    <w:rsid w:val="00C94D9E"/>
    <w:rsid w:val="00C95E82"/>
    <w:rsid w:val="00C95FF1"/>
    <w:rsid w:val="00C96102"/>
    <w:rsid w:val="00C96AE5"/>
    <w:rsid w:val="00C97847"/>
    <w:rsid w:val="00CA0EB3"/>
    <w:rsid w:val="00CA2A84"/>
    <w:rsid w:val="00CA51FB"/>
    <w:rsid w:val="00CA576C"/>
    <w:rsid w:val="00CA7AA6"/>
    <w:rsid w:val="00CB0D39"/>
    <w:rsid w:val="00CC1D19"/>
    <w:rsid w:val="00CC482F"/>
    <w:rsid w:val="00CD1377"/>
    <w:rsid w:val="00CD2259"/>
    <w:rsid w:val="00CD34EE"/>
    <w:rsid w:val="00CD3B2D"/>
    <w:rsid w:val="00CD415F"/>
    <w:rsid w:val="00CD55F8"/>
    <w:rsid w:val="00CD58DF"/>
    <w:rsid w:val="00CD6296"/>
    <w:rsid w:val="00CE00B4"/>
    <w:rsid w:val="00CE0F66"/>
    <w:rsid w:val="00CE3672"/>
    <w:rsid w:val="00CE53CF"/>
    <w:rsid w:val="00CE74FC"/>
    <w:rsid w:val="00CF003B"/>
    <w:rsid w:val="00CF293D"/>
    <w:rsid w:val="00CF5523"/>
    <w:rsid w:val="00CF56BA"/>
    <w:rsid w:val="00CF5C51"/>
    <w:rsid w:val="00CF648F"/>
    <w:rsid w:val="00CF6E82"/>
    <w:rsid w:val="00CF7CD1"/>
    <w:rsid w:val="00D01449"/>
    <w:rsid w:val="00D04D48"/>
    <w:rsid w:val="00D05D7F"/>
    <w:rsid w:val="00D07998"/>
    <w:rsid w:val="00D07AF7"/>
    <w:rsid w:val="00D07BF1"/>
    <w:rsid w:val="00D07D3E"/>
    <w:rsid w:val="00D12516"/>
    <w:rsid w:val="00D16162"/>
    <w:rsid w:val="00D17B05"/>
    <w:rsid w:val="00D2040A"/>
    <w:rsid w:val="00D31F45"/>
    <w:rsid w:val="00D361A1"/>
    <w:rsid w:val="00D4026E"/>
    <w:rsid w:val="00D40A97"/>
    <w:rsid w:val="00D41F91"/>
    <w:rsid w:val="00D42F1F"/>
    <w:rsid w:val="00D44B85"/>
    <w:rsid w:val="00D45161"/>
    <w:rsid w:val="00D57774"/>
    <w:rsid w:val="00D6189F"/>
    <w:rsid w:val="00D61AF1"/>
    <w:rsid w:val="00D65D36"/>
    <w:rsid w:val="00D65DD8"/>
    <w:rsid w:val="00D669A0"/>
    <w:rsid w:val="00D70946"/>
    <w:rsid w:val="00D710DA"/>
    <w:rsid w:val="00D73616"/>
    <w:rsid w:val="00D74E69"/>
    <w:rsid w:val="00D763F5"/>
    <w:rsid w:val="00D76F46"/>
    <w:rsid w:val="00D80566"/>
    <w:rsid w:val="00D8137B"/>
    <w:rsid w:val="00D86339"/>
    <w:rsid w:val="00D86E6B"/>
    <w:rsid w:val="00D90014"/>
    <w:rsid w:val="00D91024"/>
    <w:rsid w:val="00D92868"/>
    <w:rsid w:val="00D92FAE"/>
    <w:rsid w:val="00D96A30"/>
    <w:rsid w:val="00DA253E"/>
    <w:rsid w:val="00DA3D60"/>
    <w:rsid w:val="00DA4162"/>
    <w:rsid w:val="00DA5401"/>
    <w:rsid w:val="00DA563A"/>
    <w:rsid w:val="00DA7505"/>
    <w:rsid w:val="00DB0FD8"/>
    <w:rsid w:val="00DB30E1"/>
    <w:rsid w:val="00DB55CB"/>
    <w:rsid w:val="00DB5AC7"/>
    <w:rsid w:val="00DB6254"/>
    <w:rsid w:val="00DB66EE"/>
    <w:rsid w:val="00DB6A05"/>
    <w:rsid w:val="00DB6D83"/>
    <w:rsid w:val="00DC0B56"/>
    <w:rsid w:val="00DC2395"/>
    <w:rsid w:val="00DC31B9"/>
    <w:rsid w:val="00DC3386"/>
    <w:rsid w:val="00DC3CB0"/>
    <w:rsid w:val="00DC53B2"/>
    <w:rsid w:val="00DC6003"/>
    <w:rsid w:val="00DD0344"/>
    <w:rsid w:val="00DD164E"/>
    <w:rsid w:val="00DD18DA"/>
    <w:rsid w:val="00DD1DD4"/>
    <w:rsid w:val="00DD20AE"/>
    <w:rsid w:val="00DD44A2"/>
    <w:rsid w:val="00DD6D5A"/>
    <w:rsid w:val="00DD756E"/>
    <w:rsid w:val="00DE12B6"/>
    <w:rsid w:val="00DE2970"/>
    <w:rsid w:val="00DE2BE8"/>
    <w:rsid w:val="00DE2CE6"/>
    <w:rsid w:val="00DE3D9A"/>
    <w:rsid w:val="00DE6661"/>
    <w:rsid w:val="00DF1BDA"/>
    <w:rsid w:val="00DF66B2"/>
    <w:rsid w:val="00DF7915"/>
    <w:rsid w:val="00E0234E"/>
    <w:rsid w:val="00E0284B"/>
    <w:rsid w:val="00E03D38"/>
    <w:rsid w:val="00E04325"/>
    <w:rsid w:val="00E04350"/>
    <w:rsid w:val="00E046F3"/>
    <w:rsid w:val="00E05056"/>
    <w:rsid w:val="00E0604A"/>
    <w:rsid w:val="00E07E71"/>
    <w:rsid w:val="00E10DC1"/>
    <w:rsid w:val="00E11DC8"/>
    <w:rsid w:val="00E13A39"/>
    <w:rsid w:val="00E1453E"/>
    <w:rsid w:val="00E148A3"/>
    <w:rsid w:val="00E179E3"/>
    <w:rsid w:val="00E2022F"/>
    <w:rsid w:val="00E2360E"/>
    <w:rsid w:val="00E24500"/>
    <w:rsid w:val="00E26AF2"/>
    <w:rsid w:val="00E3038D"/>
    <w:rsid w:val="00E30519"/>
    <w:rsid w:val="00E30659"/>
    <w:rsid w:val="00E3138D"/>
    <w:rsid w:val="00E32584"/>
    <w:rsid w:val="00E345D3"/>
    <w:rsid w:val="00E34983"/>
    <w:rsid w:val="00E357D0"/>
    <w:rsid w:val="00E35B37"/>
    <w:rsid w:val="00E377A5"/>
    <w:rsid w:val="00E43F55"/>
    <w:rsid w:val="00E44980"/>
    <w:rsid w:val="00E44B7C"/>
    <w:rsid w:val="00E4690C"/>
    <w:rsid w:val="00E5128D"/>
    <w:rsid w:val="00E523E2"/>
    <w:rsid w:val="00E5338D"/>
    <w:rsid w:val="00E53AAC"/>
    <w:rsid w:val="00E5402A"/>
    <w:rsid w:val="00E55114"/>
    <w:rsid w:val="00E56F8C"/>
    <w:rsid w:val="00E6383B"/>
    <w:rsid w:val="00E65B72"/>
    <w:rsid w:val="00E66646"/>
    <w:rsid w:val="00E676EA"/>
    <w:rsid w:val="00E67EA1"/>
    <w:rsid w:val="00E730B3"/>
    <w:rsid w:val="00E737D8"/>
    <w:rsid w:val="00E73939"/>
    <w:rsid w:val="00E764A9"/>
    <w:rsid w:val="00E76548"/>
    <w:rsid w:val="00E83BFD"/>
    <w:rsid w:val="00E85161"/>
    <w:rsid w:val="00E86A10"/>
    <w:rsid w:val="00E87CA2"/>
    <w:rsid w:val="00E91CC1"/>
    <w:rsid w:val="00E9425E"/>
    <w:rsid w:val="00E94324"/>
    <w:rsid w:val="00E94F2D"/>
    <w:rsid w:val="00E9576F"/>
    <w:rsid w:val="00E96E72"/>
    <w:rsid w:val="00E97432"/>
    <w:rsid w:val="00E97536"/>
    <w:rsid w:val="00EA07BB"/>
    <w:rsid w:val="00EA5C74"/>
    <w:rsid w:val="00EA6723"/>
    <w:rsid w:val="00EA6735"/>
    <w:rsid w:val="00EB197D"/>
    <w:rsid w:val="00EB7238"/>
    <w:rsid w:val="00EC2840"/>
    <w:rsid w:val="00EC313D"/>
    <w:rsid w:val="00EC5F98"/>
    <w:rsid w:val="00EC608F"/>
    <w:rsid w:val="00EC7CE3"/>
    <w:rsid w:val="00ED09F3"/>
    <w:rsid w:val="00ED2DDE"/>
    <w:rsid w:val="00ED43CF"/>
    <w:rsid w:val="00ED4977"/>
    <w:rsid w:val="00ED5EBA"/>
    <w:rsid w:val="00ED655A"/>
    <w:rsid w:val="00ED7649"/>
    <w:rsid w:val="00EE2EC0"/>
    <w:rsid w:val="00EE3655"/>
    <w:rsid w:val="00EE5460"/>
    <w:rsid w:val="00EE6A57"/>
    <w:rsid w:val="00EF1CBF"/>
    <w:rsid w:val="00EF1CEF"/>
    <w:rsid w:val="00EF2867"/>
    <w:rsid w:val="00EF59CC"/>
    <w:rsid w:val="00F00B10"/>
    <w:rsid w:val="00F00E67"/>
    <w:rsid w:val="00F0269C"/>
    <w:rsid w:val="00F03537"/>
    <w:rsid w:val="00F072FE"/>
    <w:rsid w:val="00F07645"/>
    <w:rsid w:val="00F10F88"/>
    <w:rsid w:val="00F1191C"/>
    <w:rsid w:val="00F140FE"/>
    <w:rsid w:val="00F1529D"/>
    <w:rsid w:val="00F15605"/>
    <w:rsid w:val="00F1561E"/>
    <w:rsid w:val="00F1639F"/>
    <w:rsid w:val="00F200B5"/>
    <w:rsid w:val="00F20542"/>
    <w:rsid w:val="00F2502C"/>
    <w:rsid w:val="00F25055"/>
    <w:rsid w:val="00F25E81"/>
    <w:rsid w:val="00F2673F"/>
    <w:rsid w:val="00F2710A"/>
    <w:rsid w:val="00F30412"/>
    <w:rsid w:val="00F3101A"/>
    <w:rsid w:val="00F324E3"/>
    <w:rsid w:val="00F34FE8"/>
    <w:rsid w:val="00F35B69"/>
    <w:rsid w:val="00F431AD"/>
    <w:rsid w:val="00F44404"/>
    <w:rsid w:val="00F444FF"/>
    <w:rsid w:val="00F46E50"/>
    <w:rsid w:val="00F47C2A"/>
    <w:rsid w:val="00F52AEE"/>
    <w:rsid w:val="00F53379"/>
    <w:rsid w:val="00F606E9"/>
    <w:rsid w:val="00F60ABB"/>
    <w:rsid w:val="00F6356B"/>
    <w:rsid w:val="00F646BE"/>
    <w:rsid w:val="00F65A0F"/>
    <w:rsid w:val="00F67AB5"/>
    <w:rsid w:val="00F67B93"/>
    <w:rsid w:val="00F708A1"/>
    <w:rsid w:val="00F712E0"/>
    <w:rsid w:val="00F74246"/>
    <w:rsid w:val="00F7424A"/>
    <w:rsid w:val="00F747D2"/>
    <w:rsid w:val="00F748FA"/>
    <w:rsid w:val="00F83370"/>
    <w:rsid w:val="00F902E2"/>
    <w:rsid w:val="00F94E00"/>
    <w:rsid w:val="00F950C6"/>
    <w:rsid w:val="00F951CF"/>
    <w:rsid w:val="00F95A0A"/>
    <w:rsid w:val="00F97A57"/>
    <w:rsid w:val="00FA4029"/>
    <w:rsid w:val="00FA4A71"/>
    <w:rsid w:val="00FA4B86"/>
    <w:rsid w:val="00FA5757"/>
    <w:rsid w:val="00FA6ECB"/>
    <w:rsid w:val="00FB0AED"/>
    <w:rsid w:val="00FB2F74"/>
    <w:rsid w:val="00FB5BA9"/>
    <w:rsid w:val="00FB792D"/>
    <w:rsid w:val="00FC05CA"/>
    <w:rsid w:val="00FC0A67"/>
    <w:rsid w:val="00FC19AD"/>
    <w:rsid w:val="00FD045B"/>
    <w:rsid w:val="00FD3185"/>
    <w:rsid w:val="00FD4FED"/>
    <w:rsid w:val="00FD5BA9"/>
    <w:rsid w:val="00FD5C9E"/>
    <w:rsid w:val="00FD6E26"/>
    <w:rsid w:val="00FD6EA7"/>
    <w:rsid w:val="00FD7156"/>
    <w:rsid w:val="00FD77A4"/>
    <w:rsid w:val="00FE13BB"/>
    <w:rsid w:val="00FE1B19"/>
    <w:rsid w:val="00FE1DBA"/>
    <w:rsid w:val="00FE4883"/>
    <w:rsid w:val="00FE62E6"/>
    <w:rsid w:val="00FE666B"/>
    <w:rsid w:val="00FF16B3"/>
    <w:rsid w:val="0187775A"/>
    <w:rsid w:val="02306473"/>
    <w:rsid w:val="02BF0509"/>
    <w:rsid w:val="03612439"/>
    <w:rsid w:val="039F6C7B"/>
    <w:rsid w:val="0512661D"/>
    <w:rsid w:val="06200323"/>
    <w:rsid w:val="06EA3E96"/>
    <w:rsid w:val="09070A4D"/>
    <w:rsid w:val="09522FCB"/>
    <w:rsid w:val="09714476"/>
    <w:rsid w:val="09F87827"/>
    <w:rsid w:val="0B53517E"/>
    <w:rsid w:val="0C7778BC"/>
    <w:rsid w:val="0E3634E0"/>
    <w:rsid w:val="0EA24485"/>
    <w:rsid w:val="0EB10DC9"/>
    <w:rsid w:val="0F195CD1"/>
    <w:rsid w:val="0F631828"/>
    <w:rsid w:val="0FCB515E"/>
    <w:rsid w:val="0FD85A54"/>
    <w:rsid w:val="12B72298"/>
    <w:rsid w:val="12D1335A"/>
    <w:rsid w:val="130E5FB3"/>
    <w:rsid w:val="136C3D1D"/>
    <w:rsid w:val="13B10D10"/>
    <w:rsid w:val="13B41C63"/>
    <w:rsid w:val="13E21CBC"/>
    <w:rsid w:val="14462317"/>
    <w:rsid w:val="153E45AB"/>
    <w:rsid w:val="18C37566"/>
    <w:rsid w:val="18D9193C"/>
    <w:rsid w:val="19545065"/>
    <w:rsid w:val="19F36CF5"/>
    <w:rsid w:val="1AE714AC"/>
    <w:rsid w:val="1AFE65EA"/>
    <w:rsid w:val="1BA66B3F"/>
    <w:rsid w:val="1CDE3AF1"/>
    <w:rsid w:val="1D3251EF"/>
    <w:rsid w:val="1F0E6BF0"/>
    <w:rsid w:val="1F215BCF"/>
    <w:rsid w:val="1FB575B7"/>
    <w:rsid w:val="1FEF4E1F"/>
    <w:rsid w:val="21C21F96"/>
    <w:rsid w:val="225E4CF0"/>
    <w:rsid w:val="2344483A"/>
    <w:rsid w:val="236917E4"/>
    <w:rsid w:val="24B47181"/>
    <w:rsid w:val="24BA34BB"/>
    <w:rsid w:val="24BF2F6C"/>
    <w:rsid w:val="258E471C"/>
    <w:rsid w:val="26116097"/>
    <w:rsid w:val="268065C9"/>
    <w:rsid w:val="2691100C"/>
    <w:rsid w:val="26EB0049"/>
    <w:rsid w:val="27AC2ADC"/>
    <w:rsid w:val="283830DC"/>
    <w:rsid w:val="289003AE"/>
    <w:rsid w:val="28D84CE1"/>
    <w:rsid w:val="298D2B90"/>
    <w:rsid w:val="2B005924"/>
    <w:rsid w:val="2B944ACD"/>
    <w:rsid w:val="2D3354D6"/>
    <w:rsid w:val="2DA0203D"/>
    <w:rsid w:val="2E0F053C"/>
    <w:rsid w:val="2FA33D38"/>
    <w:rsid w:val="2FD16CE0"/>
    <w:rsid w:val="305E56A9"/>
    <w:rsid w:val="306F53BB"/>
    <w:rsid w:val="30D03F07"/>
    <w:rsid w:val="31216334"/>
    <w:rsid w:val="347E37B5"/>
    <w:rsid w:val="34B104BD"/>
    <w:rsid w:val="3509794F"/>
    <w:rsid w:val="354C5B25"/>
    <w:rsid w:val="35977DD9"/>
    <w:rsid w:val="360721D0"/>
    <w:rsid w:val="37647C08"/>
    <w:rsid w:val="38004532"/>
    <w:rsid w:val="395B32FD"/>
    <w:rsid w:val="3AC87286"/>
    <w:rsid w:val="3B340CC8"/>
    <w:rsid w:val="3CFF4D25"/>
    <w:rsid w:val="3ECB36C7"/>
    <w:rsid w:val="3EEC0B96"/>
    <w:rsid w:val="3F2255EA"/>
    <w:rsid w:val="40271D55"/>
    <w:rsid w:val="40F924D6"/>
    <w:rsid w:val="413D25AA"/>
    <w:rsid w:val="414E4D73"/>
    <w:rsid w:val="42442951"/>
    <w:rsid w:val="42D039DC"/>
    <w:rsid w:val="43545EC9"/>
    <w:rsid w:val="43574D0B"/>
    <w:rsid w:val="43AD4169"/>
    <w:rsid w:val="440726AF"/>
    <w:rsid w:val="45A328B5"/>
    <w:rsid w:val="46D8797F"/>
    <w:rsid w:val="474161CC"/>
    <w:rsid w:val="49D57E9B"/>
    <w:rsid w:val="4B9D718B"/>
    <w:rsid w:val="4CC34F69"/>
    <w:rsid w:val="4E431F51"/>
    <w:rsid w:val="4F3473D8"/>
    <w:rsid w:val="4FB31116"/>
    <w:rsid w:val="500B465A"/>
    <w:rsid w:val="52D518F2"/>
    <w:rsid w:val="53885536"/>
    <w:rsid w:val="5434715C"/>
    <w:rsid w:val="5456650D"/>
    <w:rsid w:val="546D76C6"/>
    <w:rsid w:val="559410F9"/>
    <w:rsid w:val="55ED0BE6"/>
    <w:rsid w:val="563870E2"/>
    <w:rsid w:val="570655DD"/>
    <w:rsid w:val="57143336"/>
    <w:rsid w:val="57382EB5"/>
    <w:rsid w:val="575073D3"/>
    <w:rsid w:val="576A51ED"/>
    <w:rsid w:val="58B16EAB"/>
    <w:rsid w:val="5AC32B55"/>
    <w:rsid w:val="5AC97A40"/>
    <w:rsid w:val="5CEA0B67"/>
    <w:rsid w:val="5CF43C49"/>
    <w:rsid w:val="5D0F1FC4"/>
    <w:rsid w:val="5D1908DC"/>
    <w:rsid w:val="5D761F5E"/>
    <w:rsid w:val="5E02760D"/>
    <w:rsid w:val="5E825FC4"/>
    <w:rsid w:val="5E8D242E"/>
    <w:rsid w:val="5F530271"/>
    <w:rsid w:val="5FE6524F"/>
    <w:rsid w:val="60700018"/>
    <w:rsid w:val="6110728C"/>
    <w:rsid w:val="612637B2"/>
    <w:rsid w:val="62336BDB"/>
    <w:rsid w:val="638B442C"/>
    <w:rsid w:val="639F7C18"/>
    <w:rsid w:val="63B67995"/>
    <w:rsid w:val="643A63A7"/>
    <w:rsid w:val="64C44C16"/>
    <w:rsid w:val="65283949"/>
    <w:rsid w:val="65621E48"/>
    <w:rsid w:val="661832E3"/>
    <w:rsid w:val="68CF7EA4"/>
    <w:rsid w:val="694A2BC9"/>
    <w:rsid w:val="69A71E37"/>
    <w:rsid w:val="6A151A51"/>
    <w:rsid w:val="6A7F4138"/>
    <w:rsid w:val="6AA27069"/>
    <w:rsid w:val="6B7113D2"/>
    <w:rsid w:val="6C4E0785"/>
    <w:rsid w:val="6C765525"/>
    <w:rsid w:val="6DF30F39"/>
    <w:rsid w:val="6E5F5530"/>
    <w:rsid w:val="6E9E1F6D"/>
    <w:rsid w:val="6EB4040A"/>
    <w:rsid w:val="6F0C6D23"/>
    <w:rsid w:val="6F6E5180"/>
    <w:rsid w:val="70200237"/>
    <w:rsid w:val="702E0F9F"/>
    <w:rsid w:val="711F134F"/>
    <w:rsid w:val="726F2BDB"/>
    <w:rsid w:val="75653EC2"/>
    <w:rsid w:val="757D0790"/>
    <w:rsid w:val="76E55325"/>
    <w:rsid w:val="784621A3"/>
    <w:rsid w:val="79375FF8"/>
    <w:rsid w:val="79C93603"/>
    <w:rsid w:val="7AF62E02"/>
    <w:rsid w:val="7B715F11"/>
    <w:rsid w:val="7BD94A0D"/>
    <w:rsid w:val="7C86672D"/>
    <w:rsid w:val="7DF34C50"/>
    <w:rsid w:val="7ED467E0"/>
    <w:rsid w:val="7F1A5283"/>
    <w:rsid w:val="7FC20F94"/>
    <w:rsid w:val="7FEA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Document Map"/>
    <w:basedOn w:val="1"/>
    <w:link w:val="32"/>
    <w:qFormat/>
    <w:uiPriority w:val="0"/>
    <w:rPr>
      <w:rFonts w:ascii="宋体"/>
      <w:sz w:val="18"/>
      <w:szCs w:val="18"/>
    </w:rPr>
  </w:style>
  <w:style w:type="paragraph" w:styleId="13">
    <w:name w:val="annotation text"/>
    <w:basedOn w:val="1"/>
    <w:link w:val="33"/>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adjustRightInd w:val="0"/>
      <w:spacing w:line="300" w:lineRule="exact"/>
      <w:ind w:firstLine="420" w:firstLineChars="200"/>
      <w:textAlignment w:val="baseline"/>
    </w:pPr>
    <w:rPr>
      <w:kern w:val="0"/>
      <w:szCs w:val="20"/>
    </w:rPr>
  </w:style>
  <w:style w:type="paragraph" w:styleId="16">
    <w:name w:val="List 2"/>
    <w:basedOn w:val="1"/>
    <w:qFormat/>
    <w:uiPriority w:val="0"/>
    <w:pPr>
      <w:ind w:left="100" w:leftChars="200" w:hanging="200" w:hangingChars="200"/>
      <w:contextualSpacing/>
    </w:pPr>
  </w:style>
  <w:style w:type="paragraph" w:styleId="17">
    <w:name w:val="Plain Text"/>
    <w:basedOn w:val="1"/>
    <w:link w:val="34"/>
    <w:qFormat/>
    <w:uiPriority w:val="0"/>
    <w:rPr>
      <w:rFonts w:ascii="宋体" w:hAnsi="Courier New" w:cs="Courier New"/>
      <w:szCs w:val="21"/>
    </w:rPr>
  </w:style>
  <w:style w:type="paragraph" w:styleId="18">
    <w:name w:val="Date"/>
    <w:basedOn w:val="1"/>
    <w:next w:val="1"/>
    <w:link w:val="35"/>
    <w:semiHidden/>
    <w:qFormat/>
    <w:uiPriority w:val="0"/>
    <w:pPr>
      <w:ind w:left="100" w:leftChars="2500"/>
    </w:pPr>
  </w:style>
  <w:style w:type="paragraph" w:styleId="19">
    <w:name w:val="Balloon Text"/>
    <w:basedOn w:val="1"/>
    <w:link w:val="36"/>
    <w:qFormat/>
    <w:uiPriority w:val="0"/>
    <w:rPr>
      <w:sz w:val="18"/>
      <w:szCs w:val="18"/>
    </w:rPr>
  </w:style>
  <w:style w:type="paragraph" w:styleId="20">
    <w:name w:val="footer"/>
    <w:basedOn w:val="1"/>
    <w:link w:val="37"/>
    <w:qFormat/>
    <w:uiPriority w:val="99"/>
    <w:pPr>
      <w:tabs>
        <w:tab w:val="center" w:pos="4153"/>
        <w:tab w:val="right" w:pos="8306"/>
      </w:tabs>
      <w:snapToGrid w:val="0"/>
      <w:jc w:val="left"/>
    </w:pPr>
    <w:rPr>
      <w:sz w:val="18"/>
      <w:szCs w:val="18"/>
    </w:rPr>
  </w:style>
  <w:style w:type="paragraph" w:styleId="21">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22">
    <w:name w:val="footnote text"/>
    <w:basedOn w:val="1"/>
    <w:link w:val="39"/>
    <w:qFormat/>
    <w:uiPriority w:val="0"/>
    <w:pPr>
      <w:snapToGrid w:val="0"/>
      <w:jc w:val="left"/>
    </w:pPr>
    <w:rPr>
      <w:sz w:val="18"/>
      <w:szCs w:val="18"/>
    </w:rPr>
  </w:style>
  <w:style w:type="paragraph" w:styleId="23">
    <w:name w:val="Normal (Web)"/>
    <w:basedOn w:val="1"/>
    <w:unhideWhenUsed/>
    <w:qFormat/>
    <w:uiPriority w:val="99"/>
    <w:rPr>
      <w:sz w:val="24"/>
    </w:rPr>
  </w:style>
  <w:style w:type="paragraph" w:styleId="24">
    <w:name w:val="annotation subject"/>
    <w:basedOn w:val="13"/>
    <w:next w:val="13"/>
    <w:link w:val="40"/>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page number"/>
    <w:semiHidden/>
    <w:qFormat/>
    <w:uiPriority w:val="0"/>
  </w:style>
  <w:style w:type="character" w:styleId="30">
    <w:name w:val="Hyperlink"/>
    <w:basedOn w:val="27"/>
    <w:qFormat/>
    <w:uiPriority w:val="0"/>
    <w:rPr>
      <w:color w:val="0000FF"/>
      <w:u w:val="single"/>
    </w:rPr>
  </w:style>
  <w:style w:type="character" w:styleId="31">
    <w:name w:val="annotation reference"/>
    <w:qFormat/>
    <w:uiPriority w:val="0"/>
    <w:rPr>
      <w:sz w:val="21"/>
      <w:szCs w:val="21"/>
    </w:rPr>
  </w:style>
  <w:style w:type="character" w:customStyle="1" w:styleId="32">
    <w:name w:val="文档结构图 Char"/>
    <w:link w:val="12"/>
    <w:qFormat/>
    <w:uiPriority w:val="0"/>
    <w:rPr>
      <w:rFonts w:ascii="宋体"/>
      <w:kern w:val="2"/>
      <w:sz w:val="18"/>
      <w:szCs w:val="18"/>
    </w:rPr>
  </w:style>
  <w:style w:type="character" w:customStyle="1" w:styleId="33">
    <w:name w:val="批注文字 Char"/>
    <w:link w:val="13"/>
    <w:qFormat/>
    <w:uiPriority w:val="0"/>
    <w:rPr>
      <w:kern w:val="2"/>
      <w:sz w:val="21"/>
      <w:szCs w:val="24"/>
    </w:rPr>
  </w:style>
  <w:style w:type="character" w:customStyle="1" w:styleId="34">
    <w:name w:val="纯文本 Char"/>
    <w:link w:val="17"/>
    <w:qFormat/>
    <w:uiPriority w:val="0"/>
    <w:rPr>
      <w:rFonts w:ascii="宋体" w:hAnsi="Courier New" w:eastAsia="宋体" w:cs="Courier New"/>
      <w:kern w:val="2"/>
      <w:sz w:val="21"/>
      <w:szCs w:val="21"/>
      <w:lang w:val="en-US" w:eastAsia="zh-CN" w:bidi="ar-SA"/>
    </w:rPr>
  </w:style>
  <w:style w:type="character" w:customStyle="1" w:styleId="35">
    <w:name w:val="日期 Char"/>
    <w:link w:val="18"/>
    <w:semiHidden/>
    <w:qFormat/>
    <w:uiPriority w:val="0"/>
    <w:rPr>
      <w:kern w:val="2"/>
      <w:sz w:val="21"/>
      <w:szCs w:val="24"/>
      <w:lang w:bidi="ar-SA"/>
    </w:rPr>
  </w:style>
  <w:style w:type="character" w:customStyle="1" w:styleId="36">
    <w:name w:val="批注框文本 Char"/>
    <w:link w:val="19"/>
    <w:qFormat/>
    <w:uiPriority w:val="0"/>
    <w:rPr>
      <w:kern w:val="2"/>
      <w:sz w:val="18"/>
      <w:szCs w:val="18"/>
    </w:rPr>
  </w:style>
  <w:style w:type="character" w:customStyle="1" w:styleId="37">
    <w:name w:val="页脚 Char"/>
    <w:link w:val="20"/>
    <w:qFormat/>
    <w:uiPriority w:val="99"/>
    <w:rPr>
      <w:kern w:val="2"/>
      <w:sz w:val="18"/>
      <w:szCs w:val="18"/>
    </w:rPr>
  </w:style>
  <w:style w:type="character" w:customStyle="1" w:styleId="38">
    <w:name w:val="页眉 Char"/>
    <w:link w:val="21"/>
    <w:qFormat/>
    <w:uiPriority w:val="99"/>
    <w:rPr>
      <w:kern w:val="2"/>
      <w:sz w:val="18"/>
      <w:szCs w:val="18"/>
    </w:rPr>
  </w:style>
  <w:style w:type="character" w:customStyle="1" w:styleId="39">
    <w:name w:val="脚注文本 Char"/>
    <w:link w:val="22"/>
    <w:qFormat/>
    <w:uiPriority w:val="0"/>
    <w:rPr>
      <w:kern w:val="2"/>
      <w:sz w:val="18"/>
      <w:szCs w:val="18"/>
    </w:rPr>
  </w:style>
  <w:style w:type="character" w:customStyle="1" w:styleId="40">
    <w:name w:val="批注主题 Char"/>
    <w:link w:val="24"/>
    <w:qFormat/>
    <w:uiPriority w:val="0"/>
    <w:rPr>
      <w:b/>
      <w:bCs/>
      <w:kern w:val="2"/>
      <w:sz w:val="21"/>
      <w:szCs w:val="24"/>
    </w:rPr>
  </w:style>
  <w:style w:type="character" w:customStyle="1" w:styleId="41">
    <w:name w:val="发布"/>
    <w:qFormat/>
    <w:uiPriority w:val="0"/>
    <w:rPr>
      <w:rFonts w:ascii="黑体" w:eastAsia="黑体"/>
      <w:spacing w:val="22"/>
      <w:w w:val="100"/>
      <w:position w:val="3"/>
      <w:sz w:val="28"/>
    </w:rPr>
  </w:style>
  <w:style w:type="character" w:customStyle="1" w:styleId="42">
    <w:name w:val="段 Char"/>
    <w:link w:val="43"/>
    <w:qFormat/>
    <w:uiPriority w:val="0"/>
    <w:rPr>
      <w:rFonts w:ascii="宋体"/>
      <w:sz w:val="21"/>
      <w:lang w:val="en-US" w:eastAsia="zh-CN" w:bidi="ar-SA"/>
    </w:rPr>
  </w:style>
  <w:style w:type="paragraph" w:customStyle="1" w:styleId="43">
    <w:name w:val="段"/>
    <w:link w:val="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4">
    <w:name w:val="列项——（一级） Char"/>
    <w:link w:val="45"/>
    <w:qFormat/>
    <w:locked/>
    <w:uiPriority w:val="0"/>
    <w:rPr>
      <w:rFonts w:ascii="宋体"/>
      <w:sz w:val="21"/>
      <w:szCs w:val="22"/>
      <w:lang w:val="en-US" w:eastAsia="zh-CN" w:bidi="ar-SA"/>
    </w:rPr>
  </w:style>
  <w:style w:type="paragraph" w:customStyle="1" w:styleId="45">
    <w:name w:val="列项——（一级）"/>
    <w:link w:val="44"/>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paragraph" w:customStyle="1" w:styleId="4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7">
    <w:name w:val="一级条标题"/>
    <w:next w:val="1"/>
    <w:qFormat/>
    <w:uiPriority w:val="0"/>
    <w:pPr>
      <w:outlineLvl w:val="2"/>
    </w:pPr>
    <w:rPr>
      <w:rFonts w:ascii="Times New Roman" w:hAnsi="Times New Roman" w:eastAsia="黑体" w:cs="Times New Roman"/>
      <w:kern w:val="2"/>
      <w:sz w:val="21"/>
      <w:szCs w:val="24"/>
      <w:lang w:val="en-US" w:eastAsia="zh-CN" w:bidi="ar-SA"/>
    </w:rPr>
  </w:style>
  <w:style w:type="paragraph" w:customStyle="1" w:styleId="4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0">
    <w:name w:val="二级条标题"/>
    <w:basedOn w:val="47"/>
    <w:next w:val="1"/>
    <w:qFormat/>
    <w:uiPriority w:val="0"/>
    <w:pPr>
      <w:outlineLvl w:val="3"/>
    </w:pPr>
  </w:style>
  <w:style w:type="paragraph" w:customStyle="1" w:styleId="5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2">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53">
    <w:name w:val="章标题"/>
    <w:next w:val="43"/>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styleId="54">
    <w:name w:val="List Paragraph"/>
    <w:basedOn w:val="1"/>
    <w:qFormat/>
    <w:uiPriority w:val="34"/>
    <w:pPr>
      <w:ind w:firstLine="420" w:firstLineChars="200"/>
    </w:pPr>
  </w:style>
  <w:style w:type="paragraph" w:customStyle="1" w:styleId="55">
    <w:name w:val="四级条标题"/>
    <w:basedOn w:val="1"/>
    <w:next w:val="43"/>
    <w:qFormat/>
    <w:uiPriority w:val="0"/>
    <w:pPr>
      <w:widowControl/>
      <w:outlineLvl w:val="5"/>
    </w:pPr>
    <w:rPr>
      <w:rFonts w:ascii="黑体" w:eastAsia="黑体"/>
      <w:kern w:val="0"/>
      <w:szCs w:val="20"/>
    </w:rPr>
  </w:style>
  <w:style w:type="paragraph" w:customStyle="1" w:styleId="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7">
    <w:name w:val="标准"/>
    <w:basedOn w:val="1"/>
    <w:qFormat/>
    <w:uiPriority w:val="0"/>
    <w:pPr>
      <w:adjustRightInd w:val="0"/>
      <w:spacing w:line="312" w:lineRule="atLeast"/>
      <w:jc w:val="center"/>
      <w:textAlignment w:val="baseline"/>
    </w:pPr>
    <w:rPr>
      <w:kern w:val="0"/>
      <w:szCs w:val="20"/>
    </w:rPr>
  </w:style>
  <w:style w:type="paragraph" w:customStyle="1" w:styleId="58">
    <w:name w:val="目次、标准名称标题"/>
    <w:basedOn w:val="1"/>
    <w:next w:val="43"/>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1">
    <w:name w:val="正文表标题"/>
    <w:next w:val="43"/>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样式1"/>
    <w:basedOn w:val="1"/>
    <w:qFormat/>
    <w:uiPriority w:val="0"/>
    <w:pPr>
      <w:tabs>
        <w:tab w:val="left" w:pos="525"/>
      </w:tabs>
    </w:pPr>
    <w:rPr>
      <w:rFonts w:ascii="宋体" w:hAnsi="宋体"/>
      <w:szCs w:val="21"/>
    </w:rPr>
  </w:style>
  <w:style w:type="paragraph" w:customStyle="1" w:styleId="6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5">
    <w:name w:val="标准书眉_偶数页"/>
    <w:basedOn w:val="66"/>
    <w:next w:val="1"/>
    <w:qFormat/>
    <w:uiPriority w:val="0"/>
    <w:pPr>
      <w:tabs>
        <w:tab w:val="center" w:pos="4154"/>
        <w:tab w:val="right" w:pos="8306"/>
      </w:tabs>
      <w:jc w:val="left"/>
    </w:pPr>
  </w:style>
  <w:style w:type="paragraph" w:customStyle="1" w:styleId="6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
    <w:name w:val="发布部门"/>
    <w:next w:val="4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封面正文"/>
    <w:qFormat/>
    <w:uiPriority w:val="0"/>
    <w:pPr>
      <w:jc w:val="both"/>
    </w:pPr>
    <w:rPr>
      <w:rFonts w:ascii="Times New Roman" w:hAnsi="Times New Roman" w:eastAsia="宋体" w:cs="Times New Roman"/>
      <w:lang w:val="en-US" w:eastAsia="zh-CN" w:bidi="ar-SA"/>
    </w:rPr>
  </w:style>
  <w:style w:type="paragraph" w:customStyle="1" w:styleId="70">
    <w:name w:val="实施日期"/>
    <w:basedOn w:val="48"/>
    <w:qFormat/>
    <w:uiPriority w:val="0"/>
    <w:pPr>
      <w:framePr w:hSpace="0" w:wrap="around" w:xAlign="right"/>
      <w:jc w:val="right"/>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1255</Words>
  <Characters>1552</Characters>
  <Lines>66</Lines>
  <Paragraphs>18</Paragraphs>
  <TotalTime>1</TotalTime>
  <ScaleCrop>false</ScaleCrop>
  <LinksUpToDate>false</LinksUpToDate>
  <CharactersWithSpaces>1602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2024-08-27T04:46:00Z</dcterms:created>
  <dc:creator>USER</dc:creator>
  <cp:lastModifiedBy>荏苒</cp:lastModifiedBy>
  <cp:lastPrinted>2025-03-26T01:11:00Z</cp:lastPrinted>
  <dcterms:modified xsi:type="dcterms:W3CDTF">2025-06-17T14:15:48Z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9B3E9F836B9F4A0C81F6CC2AB2A708EA_13</vt:lpwstr>
  </property>
  <property fmtid="{D5CDD505-2E9C-101B-9397-08002B2CF9AE}" pid="4" name="KSOTemplateDocerSaveRecord">
    <vt:lpwstr>eyJoZGlkIjoiODljNzRhNTY1NDQ5OGYyY2UwMGY1ZjM5MTlhZjliYTciLCJ1c2VySWQiOiI0MzEyMDk2MjQifQ==</vt:lpwstr>
  </property>
</Properties>
</file>