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color w:val="auto"/>
        </w:rPr>
      </w:pPr>
      <w:bookmarkStart w:id="0" w:name="_Toc48717817"/>
      <w:bookmarkStart w:id="1" w:name="_Toc49776953"/>
      <w:bookmarkStart w:id="2" w:name="SectionMark0"/>
    </w:p>
    <w:p>
      <w:pPr>
        <w:pStyle w:val="11"/>
        <w:rPr>
          <w:rFonts w:ascii="Times New Roman"/>
          <w:color w:val="auto"/>
        </w:rPr>
      </w:pPr>
    </w:p>
    <w:p>
      <w:pPr>
        <w:pStyle w:val="11"/>
        <w:rPr>
          <w:rFonts w:ascii="Times New Roman"/>
          <w:color w:val="auto"/>
        </w:rPr>
      </w:pPr>
    </w:p>
    <w:p>
      <w:pPr>
        <w:pStyle w:val="11"/>
        <w:rPr>
          <w:rFonts w:ascii="Times New Roman"/>
          <w:color w:val="auto"/>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Borders>
            <w:top w:val="none" w:sz="0" w:space="0"/>
            <w:left w:val="none" w:sz="0" w:space="0"/>
            <w:bottom w:val="none" w:sz="0" w:space="0"/>
            <w:right w:val="none" w:sz="0" w:space="0"/>
          </w:pgBorders>
          <w:pgNumType w:fmt="upperRoman" w:start="1"/>
          <w:cols w:space="720" w:num="1"/>
          <w:titlePg/>
          <w:docGrid w:type="linesAndChars" w:linePitch="312" w:charSpace="0"/>
        </w:sectPr>
      </w:pPr>
      <w:r>
        <w:rPr>
          <w:rFonts w:ascii="Times New Roman"/>
          <w:color w:val="auto"/>
        </w:rPr>
        <mc:AlternateContent>
          <mc:Choice Requires="wps">
            <w:drawing>
              <wp:anchor distT="0" distB="0" distL="114300" distR="114300" simplePos="0" relativeHeight="251663360" behindDoc="0" locked="0" layoutInCell="1" allowOverlap="1">
                <wp:simplePos x="0" y="0"/>
                <wp:positionH relativeFrom="column">
                  <wp:posOffset>-99695</wp:posOffset>
                </wp:positionH>
                <wp:positionV relativeFrom="paragraph">
                  <wp:posOffset>8288020</wp:posOffset>
                </wp:positionV>
                <wp:extent cx="6057265" cy="635"/>
                <wp:effectExtent l="0" t="0" r="0" b="0"/>
                <wp:wrapNone/>
                <wp:docPr id="10" name="Line 68"/>
                <wp:cNvGraphicFramePr/>
                <a:graphic xmlns:a="http://schemas.openxmlformats.org/drawingml/2006/main">
                  <a:graphicData uri="http://schemas.microsoft.com/office/word/2010/wordprocessingShape">
                    <wps:wsp>
                      <wps:cNvCnPr>
                        <a:cxnSpLocks noChangeShapeType="1"/>
                      </wps:cNvCnPr>
                      <wps:spPr bwMode="auto">
                        <a:xfrm>
                          <a:off x="0" y="0"/>
                          <a:ext cx="6057265" cy="635"/>
                        </a:xfrm>
                        <a:prstGeom prst="line">
                          <a:avLst/>
                        </a:prstGeom>
                        <a:noFill/>
                        <a:ln w="9525">
                          <a:solidFill>
                            <a:srgbClr val="000000"/>
                          </a:solidFill>
                          <a:round/>
                        </a:ln>
                        <a:effectLst/>
                      </wps:spPr>
                      <wps:bodyPr/>
                    </wps:wsp>
                  </a:graphicData>
                </a:graphic>
              </wp:anchor>
            </w:drawing>
          </mc:Choice>
          <mc:Fallback>
            <w:pict>
              <v:line id="Line 68" o:spid="_x0000_s1026" o:spt="20" style="position:absolute;left:0pt;margin-left:-7.85pt;margin-top:652.6pt;height:0.05pt;width:476.95pt;z-index:251663360;mso-width-relative:page;mso-height-relative:page;" filled="f" stroked="t" coordsize="21600,21600" o:gfxdata="UEsDBAoAAAAAAIdO4kAAAAAAAAAAAAAAAAAEAAAAZHJzL1BLAwQUAAAACACHTuJAJ/9a79kAAAAN&#10;AQAADwAAAGRycy9kb3ducmV2LnhtbE2PzU7DQAyE70i8w8pIXKp2N4kKJWTTA5AbFwqIq5uYJCLr&#10;TbPbH3h6jDjAzfaMxt8U65Mb1IGm0Hu2kCwMKOLaNz23Fl6eq/kKVIjIDQ6eycInBViX52cF5o0/&#10;8hMdNrFVEsIhRwtdjGOudag7chgWfiQW7d1PDqOsU6ubCY8S7gadGnOlHfYsHzoc6a6j+mOzdxZC&#10;9Uq76mtWz8xb1npKd/ePD2jt5UVibkFFOsU/M/zgCzqUwrT1e26CGizMk+W1WEXIzDIFJZabbCXD&#10;9veUgS4L/b9F+Q1QSwMEFAAAAAgAh07iQP5GnffSAQAAsQMAAA4AAABkcnMvZTJvRG9jLnhtbK1T&#10;TW/bMAy9D9h/EHRfnGSw1xlxekjQXbItQLsfoMhyLFQSBVGJnX8/Svno2l16qA+CKJKPfI/04n60&#10;hh1VQA2u4bPJlDPlJLTa7Rv+5+nhyx1nGIVrhQGnGn5SyO+Xnz8tBl+rOfRgWhUYgTisB9/wPkZf&#10;FwXKXlmBE/DKkbODYEUkM+yLNoiB0K0p5tNpVQwQWh9AKkR6XZ+d/IIY3gMIXaelWoM8WOXiGTUo&#10;IyJRwl575MvcbdcpGX93HarITMOJacwnFaH7Lp3FciHqfRC+1/LSgnhPC284WaEdFb1BrUUU7BD0&#10;f1BWywAIXZxIsMWZSFaEWMymb7R57IVXmQtJjf4mOn4crPx13AamW9oEksQJSxPfaKdYdZe0GTzW&#10;FLJy25DYydE9+g3IZ2QOVr1we5V7fDp5ypuljOJVSjLQU4Xd8BNaihGHCFmosQs2QZIEbMzzON3m&#10;ocbIJD1W0/LbvCo5k+SrvpYZX9TXVB8w/lBgWbo03FDbGVocNxhTK6K+hqRKDh60MXngxrGh4d/L&#10;eZkTEIxukzOFYdjvViawo0grk79L3VdhAQ6uPRcxLuWpvG2XylfeZwV30J624SoOTTL3dtm6tCr/&#10;2lnClz9t+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1rv2QAAAA0BAAAPAAAAAAAAAAEAIAAA&#10;ACIAAABkcnMvZG93bnJldi54bWxQSwECFAAUAAAACACHTuJA/kad99IBAACxAwAADgAAAAAAAAAB&#10;ACAAAAAoAQAAZHJzL2Uyb0RvYy54bWxQSwUGAAAAAAYABgBZAQAAbA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2013585</wp:posOffset>
                </wp:positionV>
                <wp:extent cx="5957570" cy="860425"/>
                <wp:effectExtent l="0" t="0" r="5080" b="15875"/>
                <wp:wrapNone/>
                <wp:docPr id="9"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pPr>
                              <w:pStyle w:val="60"/>
                              <w:wordWrap w:val="0"/>
                              <w:ind w:right="560"/>
                            </w:pPr>
                            <w:r>
                              <w:rPr>
                                <w:rFonts w:hint="eastAsia" w:ascii="黑体" w:eastAsia="黑体"/>
                              </w:rPr>
                              <w:t xml:space="preserve">YS/T </w:t>
                            </w:r>
                            <w:r>
                              <w:rPr>
                                <w:rFonts w:ascii="黑体" w:eastAsia="黑体"/>
                              </w:rPr>
                              <w:t>539</w:t>
                            </w:r>
                            <w:r>
                              <w:rPr>
                                <w:rFonts w:hint="eastAsia" w:ascii="黑体" w:eastAsia="黑体"/>
                              </w:rPr>
                              <w:t>.</w:t>
                            </w:r>
                            <w:r>
                              <w:rPr>
                                <w:rFonts w:ascii="黑体" w:eastAsia="黑体"/>
                              </w:rPr>
                              <w:t>10</w:t>
                            </w:r>
                            <w:r>
                              <w:rPr>
                                <w:rFonts w:hint="eastAsia" w:ascii="黑体" w:eastAsia="黑体"/>
                              </w:rPr>
                              <w:t>-20</w:t>
                            </w:r>
                            <w:r>
                              <w:rPr>
                                <w:rFonts w:ascii="黑体" w:eastAsia="黑体"/>
                              </w:rPr>
                              <w:t>2</w:t>
                            </w:r>
                            <w:r>
                              <w:rPr>
                                <w:rFonts w:hint="eastAsia" w:ascii="黑体" w:eastAsia="黑体"/>
                              </w:rPr>
                              <w:t>X</w:t>
                            </w:r>
                            <w:r>
                              <w:rPr>
                                <w:rFonts w:ascii="黑体" w:eastAsia="黑体"/>
                              </w:rPr>
                              <w:drawing>
                                <wp:inline distT="0" distB="0" distL="0" distR="0">
                                  <wp:extent cx="5800725" cy="19050"/>
                                  <wp:effectExtent l="0" t="0" r="0" b="0"/>
                                  <wp:docPr id="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
                                          <pic:cNvPicPr>
                                            <a:picLocks noChangeAspect="1" noChangeArrowheads="1"/>
                                          </pic:cNvPicPr>
                                        </pic:nvPicPr>
                                        <pic:blipFill>
                                          <a:blip r:embed="rId12"/>
                                          <a:srcRect/>
                                          <a:stretch>
                                            <a:fillRect/>
                                          </a:stretch>
                                        </pic:blipFill>
                                        <pic:spPr>
                                          <a:xfrm>
                                            <a:off x="0" y="0"/>
                                            <a:ext cx="5800725" cy="190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58.55pt;height:67.75pt;width:469.1pt;mso-position-horizontal-relative:margin;mso-position-vertical-relative:margin;z-index:251665408;mso-width-relative:page;mso-height-relative:page;" fillcolor="#FFFFFF" filled="t" stroked="f" coordsize="21600,21600" o:gfxdata="UEsDBAoAAAAAAIdO4kAAAAAAAAAAAAAAAAAEAAAAZHJzL1BLAwQUAAAACACHTuJAoq5smtgAAAAI&#10;AQAADwAAAGRycy9kb3ducmV2LnhtbE2PwU7DMBBE70j8g7VIXBB1kkIoIZtKtHArh5aq521skoh4&#10;HdlO0/495gTH0Yxm3pTLs+nFSTvfWUZIZwkIzbVVHTcI+8/3+wUIH4gV9ZY1wkV7WFbXVyUVyk68&#10;1addaEQsYV8QQhvCUEjp61Yb8jM7aI7el3WGQpSukcrRFMtNL7MkyaWhjuNCS4Netbr+3o0GIV+7&#10;cdry6m69f9vQx9Bkh9fLAfH2Jk1eQAR9Dn9h+MWP6FBFpqMdWXnRI8QjAWGePqUgov08X2QgjggP&#10;j1kOsirl/wPVD1BLAwQUAAAACACHTuJAHaYpfxUCAAA5BAAADgAAAGRycy9lMm9Eb2MueG1srVNN&#10;j9MwEL0j8R8s32naLluVqOlqaVWEtHxICz/AcZzEIvGYsduk/HrGdlqW5bIHcojG9vjNvDfPm7ux&#10;79hJodNgCr6YzTlTRkKlTVPw798Ob9acOS9MJTowquBn5fjd9vWrzWBztYQWukohIxDj8sEWvPXe&#10;5lnmZKt64WZglaHDGrAXnpbYZBWKgdD7LlvO56tsAKwsglTO0e4+HfIJEV8CCHWtpdqDPPbK+ISK&#10;qhOeKLlWW8e3sdu6VtJ/qWunPOsKTkx9/FMRisvwz7YbkTcobKvl1IJ4SQvPOPVCGyp6hdoLL9gR&#10;9T9QvZYIDmo/k9BniUhUhFgs5s+0eWyFVZELSe3sVXT3/2Dl59NXZLoq+DvOjOhp4HV/QApugjaD&#10;dTmlPFpK8uN7GMkxkaezDyB/OGZg1wrTqHtEGFolKuptEW5mT64mHBdAyuETVFREHD1EoLHGPghH&#10;UjBCp7mcr3NRo2eSNm/X8+Xqho4kna1X87fL21hC5JfbFp3/oKBnISg40twjujg9OB+6EfklJRRz&#10;0OnqoLsuLrApdx2ykyCPHOI3of+V1pmQbCBcS4hpR0WXTWUC6cAzMfZjOU4illCdiT5CciC9Pwpa&#10;wF+cDeS+grufR4GKs+6jIQmDVS8BXoLyEggj6WrBPWcp3Plk6aNF3bSEnIZk4J5krnVUILSWupiG&#10;Q46KwkzuD5Z9uo5Zf178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rmya2AAAAAgBAAAPAAAA&#10;AAAAAAEAIAAAACIAAABkcnMvZG93bnJldi54bWxQSwECFAAUAAAACACHTuJAHaYpfxUCAAA5BAAA&#10;DgAAAAAAAAABACAAAAAnAQAAZHJzL2Uyb0RvYy54bWxQSwUGAAAAAAYABgBZAQAArgUAAAAA&#10;">
                <v:fill on="t" focussize="0,0"/>
                <v:stroke on="f"/>
                <v:imagedata o:title=""/>
                <o:lock v:ext="edit" aspectratio="f"/>
                <v:textbox inset="0mm,0mm,0mm,0mm">
                  <w:txbxContent>
                    <w:p>
                      <w:pPr>
                        <w:pStyle w:val="60"/>
                        <w:wordWrap w:val="0"/>
                        <w:ind w:right="560"/>
                      </w:pPr>
                      <w:r>
                        <w:rPr>
                          <w:rFonts w:hint="eastAsia" w:ascii="黑体" w:eastAsia="黑体"/>
                        </w:rPr>
                        <w:t xml:space="preserve">YS/T </w:t>
                      </w:r>
                      <w:r>
                        <w:rPr>
                          <w:rFonts w:ascii="黑体" w:eastAsia="黑体"/>
                        </w:rPr>
                        <w:t>539</w:t>
                      </w:r>
                      <w:r>
                        <w:rPr>
                          <w:rFonts w:hint="eastAsia" w:ascii="黑体" w:eastAsia="黑体"/>
                        </w:rPr>
                        <w:t>.</w:t>
                      </w:r>
                      <w:r>
                        <w:rPr>
                          <w:rFonts w:ascii="黑体" w:eastAsia="黑体"/>
                        </w:rPr>
                        <w:t>10</w:t>
                      </w:r>
                      <w:r>
                        <w:rPr>
                          <w:rFonts w:hint="eastAsia" w:ascii="黑体" w:eastAsia="黑体"/>
                        </w:rPr>
                        <w:t>-20</w:t>
                      </w:r>
                      <w:r>
                        <w:rPr>
                          <w:rFonts w:ascii="黑体" w:eastAsia="黑体"/>
                        </w:rPr>
                        <w:t>2</w:t>
                      </w:r>
                      <w:r>
                        <w:rPr>
                          <w:rFonts w:hint="eastAsia" w:ascii="黑体" w:eastAsia="黑体"/>
                        </w:rPr>
                        <w:t>X</w:t>
                      </w:r>
                      <w:r>
                        <w:rPr>
                          <w:rFonts w:ascii="黑体" w:eastAsia="黑体"/>
                        </w:rPr>
                        <w:drawing>
                          <wp:inline distT="0" distB="0" distL="0" distR="0">
                            <wp:extent cx="5800725" cy="19050"/>
                            <wp:effectExtent l="0" t="0" r="0" b="0"/>
                            <wp:docPr id="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
                                    <pic:cNvPicPr>
                                      <a:picLocks noChangeAspect="1" noChangeArrowheads="1"/>
                                    </pic:cNvPicPr>
                                  </pic:nvPicPr>
                                  <pic:blipFill>
                                    <a:blip r:embed="rId12"/>
                                    <a:srcRect/>
                                    <a:stretch>
                                      <a:fillRect/>
                                    </a:stretch>
                                  </pic:blipFill>
                                  <pic:spPr>
                                    <a:xfrm>
                                      <a:off x="0" y="0"/>
                                      <a:ext cx="5800725" cy="19050"/>
                                    </a:xfrm>
                                    <a:prstGeom prst="rect">
                                      <a:avLst/>
                                    </a:prstGeom>
                                    <a:noFill/>
                                    <a:ln w="9525">
                                      <a:noFill/>
                                      <a:miter lim="800000"/>
                                      <a:headEnd/>
                                      <a:tailEnd/>
                                    </a:ln>
                                  </pic:spPr>
                                </pic:pic>
                              </a:graphicData>
                            </a:graphic>
                          </wp:inline>
                        </w:drawing>
                      </w:r>
                    </w:p>
                  </w:txbxContent>
                </v:textbox>
                <w10:anchorlock/>
              </v:shape>
            </w:pict>
          </mc:Fallback>
        </mc:AlternateContent>
      </w:r>
      <w:r>
        <w:rPr>
          <w:color w:val="auto"/>
          <w:sz w:val="24"/>
        </w:rPr>
        <w:drawing>
          <wp:inline distT="0" distB="0" distL="0" distR="0">
            <wp:extent cx="5930900" cy="12890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30900" cy="1289050"/>
                    </a:xfrm>
                    <a:prstGeom prst="rect">
                      <a:avLst/>
                    </a:prstGeom>
                    <a:noFill/>
                    <a:ln>
                      <a:noFill/>
                    </a:ln>
                  </pic:spPr>
                </pic:pic>
              </a:graphicData>
            </a:graphic>
          </wp:inline>
        </w:drawing>
      </w:r>
      <w:r>
        <w:rPr>
          <w:rFonts w:ascii="Times New Roman"/>
          <w:color w:val="auto"/>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-13335</wp:posOffset>
                </wp:positionV>
                <wp:extent cx="2406650" cy="1000125"/>
                <wp:effectExtent l="0" t="0" r="12700" b="9525"/>
                <wp:wrapNone/>
                <wp:docPr id="8" name="fmFrame1"/>
                <wp:cNvGraphicFramePr/>
                <a:graphic xmlns:a="http://schemas.openxmlformats.org/drawingml/2006/main">
                  <a:graphicData uri="http://schemas.microsoft.com/office/word/2010/wordprocessingShape">
                    <wps:wsp>
                      <wps:cNvSpPr txBox="1">
                        <a:spLocks noChangeArrowheads="1"/>
                      </wps:cNvSpPr>
                      <wps:spPr bwMode="auto">
                        <a:xfrm>
                          <a:off x="0" y="0"/>
                          <a:ext cx="2406650" cy="514350"/>
                        </a:xfrm>
                        <a:prstGeom prst="rect">
                          <a:avLst/>
                        </a:prstGeom>
                        <a:solidFill>
                          <a:srgbClr val="FFFFFF"/>
                        </a:solidFill>
                        <a:ln>
                          <a:noFill/>
                        </a:ln>
                        <a:effectLst/>
                      </wps:spPr>
                      <wps:txbx>
                        <w:txbxContent>
                          <w:p>
                            <w:pPr>
                              <w:pStyle w:val="31"/>
                              <w:rPr>
                                <w:rFonts w:hint="default" w:ascii="黑体" w:hAnsi="黑体" w:eastAsia="黑体"/>
                                <w:szCs w:val="21"/>
                                <w:lang w:val="en-US" w:eastAsia="zh-CN"/>
                              </w:rPr>
                            </w:pPr>
                            <w:r>
                              <w:rPr>
                                <w:rFonts w:hint="eastAsia" w:ascii="黑体" w:hAnsi="黑体"/>
                                <w:szCs w:val="21"/>
                              </w:rPr>
                              <w:t xml:space="preserve">ICS </w:t>
                            </w:r>
                            <w:r>
                              <w:rPr>
                                <w:rFonts w:ascii="黑体" w:hAnsi="黑体"/>
                                <w:szCs w:val="21"/>
                              </w:rPr>
                              <w:t>77.</w:t>
                            </w:r>
                            <w:r>
                              <w:rPr>
                                <w:rFonts w:hint="eastAsia" w:ascii="黑体" w:hAnsi="黑体"/>
                                <w:szCs w:val="21"/>
                                <w:lang w:val="en-US" w:eastAsia="zh-CN"/>
                              </w:rPr>
                              <w:t>160</w:t>
                            </w:r>
                          </w:p>
                          <w:p>
                            <w:pPr>
                              <w:pStyle w:val="31"/>
                              <w:rPr>
                                <w:rFonts w:hint="default" w:eastAsia="黑体"/>
                                <w:szCs w:val="21"/>
                                <w:lang w:val="en-US" w:eastAsia="zh-CN"/>
                              </w:rPr>
                            </w:pPr>
                            <w:r>
                              <w:rPr>
                                <w:rFonts w:ascii="黑体" w:hAnsi="黑体"/>
                                <w:szCs w:val="21"/>
                              </w:rPr>
                              <w:t xml:space="preserve">CCS </w:t>
                            </w:r>
                            <w:r>
                              <w:rPr>
                                <w:rFonts w:hint="eastAsia" w:ascii="黑体" w:hAnsi="黑体"/>
                                <w:szCs w:val="21"/>
                              </w:rPr>
                              <w:t xml:space="preserve">H </w:t>
                            </w:r>
                            <w:r>
                              <w:rPr>
                                <w:rFonts w:hint="eastAsia" w:ascii="黑体" w:hAnsi="黑体"/>
                                <w:szCs w:val="21"/>
                                <w:lang w:val="en-US" w:eastAsia="zh-CN"/>
                              </w:rPr>
                              <w:t>16</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1.05pt;height:78.75pt;width:189.5pt;mso-position-horizontal-relative:margin;mso-position-vertical-relative:margin;z-index:251664384;mso-width-relative:page;mso-height-relative:page;" fillcolor="#FFFFFF" filled="t" stroked="f" coordsize="21600,21600" o:gfxdata="UEsDBAoAAAAAAIdO4kAAAAAAAAAAAAAAAAAEAAAAZHJzL1BLAwQUAAAACACHTuJAaX+B0dcAAAAH&#10;AQAADwAAAGRycy9kb3ducmV2LnhtbE2PwU7DMBBE70j8g7VIXFDrJNDShjiVaOFWDi1Vz268JBHx&#10;OrKdpv17lhMcZ2c087ZYXWwnzuhD60hBOk1AIFXOtFQrOHy+TxYgQtRkdOcIFVwxwKq8vSl0btxI&#10;OzzvYy24hEKuFTQx9rmUoWrQ6jB1PRJ7X85bHVn6WhqvRy63ncySZC6tbokXGt3jusHqez9YBfON&#10;H8YdrR82h7et/ujr7Ph6PSp1f5cmLyAiXuJfGH7xGR1KZjq5gUwQnQJ+JCqYZCkIdh+fl3w4cWw2&#10;ewJZFvI/f/kDUEsDBBQAAAAIAIdO4kA6ccmhEwIAADkEAAAOAAAAZHJzL2Uyb0RvYy54bWytU02P&#10;2yAQvVfqf0DcGyfpblRZcVbbRKkqbT+kbX8AxjhGNQwdSOz013cAJ91uL3uoD9YAM495bx7ru9H0&#10;7KTQa7AVX8zmnCkrodH2UPHv3/Zv3nHmg7CN6MGqip+V53eb16/WgyvVEjroG4WMQKwvB1fxLgRX&#10;FoWXnTLCz8ApS4ctoBGBlngoGhQDoZu+WM7nq2IAbByCVN7T7i4f8gkRXwIIbaul2oE8GmVDRkXV&#10;i0CUfKed55vUbdsqGb60rVeB9RUnpiH96RKK6/gvNmtRHlC4TsupBfGSFp5xMkJbuvQKtRNBsCPq&#10;f6CMlgge2jCTYIpMJClCLBbzZ9o8dsKpxIWk9u4quv9/sPLz6Ssy3VScxm6FoYG3Zo8ULKI2g/Ml&#10;pTw6SgrjexjJMYmndw8gf3hmYdsJe1D3iDB0SjTUW6osnpRmHB9B6uETNHSJOAZIQGOLJgpHUjBC&#10;p7mcr3NRY2CSNpc389Xqlo4knd0ubt5STM0VorxUO/ThgwLDYlBxpLkndHF68CGnXlLiZR563ex1&#10;36cFHuptj+wkyCP79E3of6X1NiZbiGUZMe+o5LLpmkg68syMw1iPk4g1NGeij5AdSO+Pgg7wF2cD&#10;ua/i/udRoOKs/2hJwmjVS4CXoL4EwkoqrXjgLIfbkC19dKgPHSHnIVm4J5lbnRSIreUuSLm4IEcl&#10;DSf3R8s+XaesPy9+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f4HR1wAAAAcBAAAPAAAAAAAA&#10;AAEAIAAAACIAAABkcnMvZG93bnJldi54bWxQSwECFAAUAAAACACHTuJAOnHJoRMCAAA5BAAADgAA&#10;AAAAAAABACAAAAAmAQAAZHJzL2Uyb0RvYy54bWxQSwUGAAAAAAYABgBZAQAAqwUAAAAA&#10;">
                <v:fill on="t" focussize="0,0"/>
                <v:stroke on="f"/>
                <v:imagedata o:title=""/>
                <o:lock v:ext="edit" aspectratio="f"/>
                <v:textbox inset="0mm,0mm,0mm,0mm">
                  <w:txbxContent>
                    <w:p>
                      <w:pPr>
                        <w:pStyle w:val="31"/>
                        <w:rPr>
                          <w:rFonts w:hint="default" w:ascii="黑体" w:hAnsi="黑体" w:eastAsia="黑体"/>
                          <w:szCs w:val="21"/>
                          <w:lang w:val="en-US" w:eastAsia="zh-CN"/>
                        </w:rPr>
                      </w:pPr>
                      <w:r>
                        <w:rPr>
                          <w:rFonts w:hint="eastAsia" w:ascii="黑体" w:hAnsi="黑体"/>
                          <w:szCs w:val="21"/>
                        </w:rPr>
                        <w:t xml:space="preserve">ICS </w:t>
                      </w:r>
                      <w:r>
                        <w:rPr>
                          <w:rFonts w:ascii="黑体" w:hAnsi="黑体"/>
                          <w:szCs w:val="21"/>
                        </w:rPr>
                        <w:t>77.</w:t>
                      </w:r>
                      <w:r>
                        <w:rPr>
                          <w:rFonts w:hint="eastAsia" w:ascii="黑体" w:hAnsi="黑体"/>
                          <w:szCs w:val="21"/>
                          <w:lang w:val="en-US" w:eastAsia="zh-CN"/>
                        </w:rPr>
                        <w:t>160</w:t>
                      </w:r>
                    </w:p>
                    <w:p>
                      <w:pPr>
                        <w:pStyle w:val="31"/>
                        <w:rPr>
                          <w:rFonts w:hint="default" w:eastAsia="黑体"/>
                          <w:szCs w:val="21"/>
                          <w:lang w:val="en-US" w:eastAsia="zh-CN"/>
                        </w:rPr>
                      </w:pPr>
                      <w:r>
                        <w:rPr>
                          <w:rFonts w:ascii="黑体" w:hAnsi="黑体"/>
                          <w:szCs w:val="21"/>
                        </w:rPr>
                        <w:t xml:space="preserve">CCS </w:t>
                      </w:r>
                      <w:r>
                        <w:rPr>
                          <w:rFonts w:hint="eastAsia" w:ascii="黑体" w:hAnsi="黑体"/>
                          <w:szCs w:val="21"/>
                        </w:rPr>
                        <w:t xml:space="preserve">H </w:t>
                      </w:r>
                      <w:r>
                        <w:rPr>
                          <w:rFonts w:hint="eastAsia" w:ascii="黑体" w:hAnsi="黑体"/>
                          <w:szCs w:val="21"/>
                          <w:lang w:val="en-US" w:eastAsia="zh-CN"/>
                        </w:rPr>
                        <w:t>16</w:t>
                      </w:r>
                    </w:p>
                  </w:txbxContent>
                </v:textbox>
                <w10:anchorlock/>
              </v:shape>
            </w:pict>
          </mc:Fallback>
        </mc:AlternateContent>
      </w:r>
      <w:r>
        <w:rPr>
          <w:rFonts w:ascii="Times New Roman"/>
          <w:color w:val="auto"/>
        </w:rPr>
        <mc:AlternateContent>
          <mc:Choice Requires="wps">
            <w:drawing>
              <wp:anchor distT="0" distB="0" distL="114300" distR="114300" simplePos="0" relativeHeight="251662336" behindDoc="0" locked="1" layoutInCell="1" allowOverlap="1">
                <wp:simplePos x="0" y="0"/>
                <wp:positionH relativeFrom="margin">
                  <wp:posOffset>-162560</wp:posOffset>
                </wp:positionH>
                <wp:positionV relativeFrom="margin">
                  <wp:posOffset>8826500</wp:posOffset>
                </wp:positionV>
                <wp:extent cx="6120130" cy="793750"/>
                <wp:effectExtent l="0" t="0" r="13970" b="6350"/>
                <wp:wrapNone/>
                <wp:docPr id="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93750"/>
                        </a:xfrm>
                        <a:prstGeom prst="rect">
                          <a:avLst/>
                        </a:prstGeom>
                        <a:solidFill>
                          <a:srgbClr val="FFFFFF"/>
                        </a:solidFill>
                        <a:ln>
                          <a:noFill/>
                        </a:ln>
                        <a:effectLst/>
                      </wps:spPr>
                      <wps:txbx>
                        <w:txbxContent>
                          <w:p>
                            <w:pPr>
                              <w:pStyle w:val="41"/>
                              <w:spacing w:line="340" w:lineRule="exact"/>
                              <w:ind w:firstLine="2299" w:firstLineChars="550"/>
                              <w:jc w:val="both"/>
                              <w:rPr>
                                <w:rFonts w:ascii="黑体" w:eastAsia="黑体"/>
                                <w:b w:val="0"/>
                                <w:bCs/>
                                <w:sz w:val="28"/>
                              </w:rPr>
                            </w:pPr>
                          </w:p>
                          <w:p>
                            <w:pPr>
                              <w:pStyle w:val="41"/>
                              <w:spacing w:line="340" w:lineRule="exact"/>
                              <w:rPr>
                                <w:rFonts w:ascii="黑体" w:eastAsia="黑体"/>
                                <w:b w:val="0"/>
                                <w:bCs/>
                                <w:sz w:val="28"/>
                              </w:rPr>
                            </w:pPr>
                          </w:p>
                          <w:p>
                            <w:pPr>
                              <w:pStyle w:val="41"/>
                              <w:spacing w:line="340" w:lineRule="exact"/>
                              <w:rPr>
                                <w:rFonts w:ascii="黑体" w:eastAsia="黑体"/>
                                <w:bCs/>
                                <w:sz w:val="28"/>
                              </w:rPr>
                            </w:pPr>
                            <w:r>
                              <w:rPr>
                                <w:rFonts w:hint="eastAsia" w:ascii="黑体" w:eastAsia="黑体"/>
                                <w:bCs/>
                                <w:sz w:val="28"/>
                              </w:rPr>
                              <w:t>中华人民共和国工业和信息化部　发布</w:t>
                            </w:r>
                          </w:p>
                          <w:p>
                            <w:pPr>
                              <w:pStyle w:val="32"/>
                              <w:ind w:firstLine="420"/>
                            </w:pPr>
                          </w:p>
                          <w:p>
                            <w:pPr>
                              <w:pStyle w:val="32"/>
                              <w:ind w:firstLine="420"/>
                            </w:pPr>
                          </w:p>
                          <w:p>
                            <w:pPr>
                              <w:pStyle w:val="32"/>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8pt;margin-top:695pt;height:62.5pt;width:481.9pt;mso-position-horizontal-relative:margin;mso-position-vertical-relative:margin;z-index:251662336;mso-width-relative:page;mso-height-relative:page;" fillcolor="#FFFFFF" filled="t"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ItSPKxQCAAA5BAAADgAAAGRycy9lMm9Eb2MueG1s&#10;rVNNj9sgEL1X6n9A3Bsnu+qmteKstolSVdp+SNv+AIxxjIoZOpDY6a/vAE66Si97qA/WADOPeW8e&#10;q/uxN+yo0GuwFV/M5pwpK6HRdl/xH993b95x5oOwjTBgVcVPyvP79etXq8GV6gY6MI1CRiDWl4Or&#10;eBeCK4vCy071ws/AKUuHLWAvAi1xXzQoBkLvTXEzn98VA2DjEKTynna3+ZBPiPgSQGhbLdUW5KFX&#10;NmRUVEYEouQ77Txfp27bVsnwtW29CsxUnJiG9KdLKK7jv1ivRLlH4TotpxbES1q44tQLbenSC9RW&#10;BMEOqP+B6rVE8NCGmYS+yESSIsRiMb/S5qkTTiUuJLV3F9H9/4OVX47fkOmm4kvOrOhp4G2/QwqW&#10;UZvB+ZJSnhwlhfEDjOSYxNO7R5A/PbOw6YTdqwdEGDolGuptESuLZ6UZx0eQevgMDV0iDgES0Nhi&#10;H4UjKRih01xOl7moMTBJm3cLEueWjiSdLd/fLt+mwRWiPFc79OGjgp7FoOJIc0/o4vjoQ+xGlOeU&#10;eJkHo5udNiYtcF9vDLKjII/s0pcIXKUZG5MtxLKMmHdUctl0TSQdeWbGYazHScQamhPRR8gOpPdH&#10;QQf4m7OB3Fdx/+sgUHFmPlmSMFr1HOA5qM+BsJJKKx44y+EmZEsfHOp9R8h5SBYeSOZWJwVia7mL&#10;aTjkqCTM5P5o2efrlPX3x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YHnYfbAAAADQEAAA8A&#10;AAAAAAAAAQAgAAAAIgAAAGRycy9kb3ducmV2LnhtbFBLAQIUABQAAAAIAIdO4kAi1I8rFAIAADkE&#10;AAAOAAAAAAAAAAEAIAAAACoBAABkcnMvZTJvRG9jLnhtbFBLBQYAAAAABgAGAFkBAACwBQAAAAA=&#10;">
                <v:fill on="t" focussize="0,0"/>
                <v:stroke on="f"/>
                <v:imagedata o:title=""/>
                <o:lock v:ext="edit" aspectratio="f"/>
                <v:textbox inset="0mm,0mm,0mm,0mm">
                  <w:txbxContent>
                    <w:p>
                      <w:pPr>
                        <w:pStyle w:val="41"/>
                        <w:spacing w:line="340" w:lineRule="exact"/>
                        <w:ind w:firstLine="2299" w:firstLineChars="550"/>
                        <w:jc w:val="both"/>
                        <w:rPr>
                          <w:rFonts w:ascii="黑体" w:eastAsia="黑体"/>
                          <w:b w:val="0"/>
                          <w:bCs/>
                          <w:sz w:val="28"/>
                        </w:rPr>
                      </w:pPr>
                    </w:p>
                    <w:p>
                      <w:pPr>
                        <w:pStyle w:val="41"/>
                        <w:spacing w:line="340" w:lineRule="exact"/>
                        <w:rPr>
                          <w:rFonts w:ascii="黑体" w:eastAsia="黑体"/>
                          <w:b w:val="0"/>
                          <w:bCs/>
                          <w:sz w:val="28"/>
                        </w:rPr>
                      </w:pPr>
                    </w:p>
                    <w:p>
                      <w:pPr>
                        <w:pStyle w:val="41"/>
                        <w:spacing w:line="340" w:lineRule="exact"/>
                        <w:rPr>
                          <w:rFonts w:ascii="黑体" w:eastAsia="黑体"/>
                          <w:bCs/>
                          <w:sz w:val="28"/>
                        </w:rPr>
                      </w:pPr>
                      <w:r>
                        <w:rPr>
                          <w:rFonts w:hint="eastAsia" w:ascii="黑体" w:eastAsia="黑体"/>
                          <w:bCs/>
                          <w:sz w:val="28"/>
                        </w:rPr>
                        <w:t>中华人民共和国工业和信息化部　发布</w:t>
                      </w:r>
                    </w:p>
                    <w:p>
                      <w:pPr>
                        <w:pStyle w:val="32"/>
                        <w:ind w:firstLine="420"/>
                      </w:pPr>
                    </w:p>
                    <w:p>
                      <w:pPr>
                        <w:pStyle w:val="32"/>
                        <w:ind w:firstLine="420"/>
                      </w:pPr>
                    </w:p>
                    <w:p>
                      <w:pPr>
                        <w:pStyle w:val="32"/>
                        <w:ind w:firstLine="420"/>
                      </w:pPr>
                    </w:p>
                  </w:txbxContent>
                </v:textbox>
                <w10:anchorlock/>
              </v:shape>
            </w:pict>
          </mc:Fallback>
        </mc:AlternateContent>
      </w:r>
      <w:r>
        <w:rPr>
          <w:rFonts w:ascii="Times New Roman"/>
          <w:color w:val="auto"/>
        </w:rPr>
        <mc:AlternateContent>
          <mc:Choice Requires="wps">
            <w:drawing>
              <wp:anchor distT="0" distB="0" distL="114300" distR="114300" simplePos="0" relativeHeight="251661312" behindDoc="0" locked="1" layoutInCell="1" allowOverlap="1">
                <wp:simplePos x="0" y="0"/>
                <wp:positionH relativeFrom="margin">
                  <wp:posOffset>3823970</wp:posOffset>
                </wp:positionH>
                <wp:positionV relativeFrom="margin">
                  <wp:posOffset>8514080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jc w:val="right"/>
                              <w:rPr>
                                <w:rFonts w:ascii="黑体" w:hAnsi="黑体" w:eastAsia="黑体"/>
                                <w:sz w:val="28"/>
                                <w:szCs w:val="28"/>
                              </w:rPr>
                            </w:pPr>
                            <w:r>
                              <w:rPr>
                                <w:rFonts w:ascii="黑体" w:hAnsi="黑体" w:eastAsia="黑体"/>
                                <w:sz w:val="28"/>
                                <w:szCs w:val="28"/>
                              </w:rPr>
                              <w:t>202</w:t>
                            </w:r>
                            <w:r>
                              <w:rPr>
                                <w:rFonts w:hint="eastAsia" w:ascii="黑体" w:hAnsi="黑体" w:eastAsia="黑体"/>
                                <w:sz w:val="28"/>
                                <w:szCs w:val="28"/>
                              </w:rPr>
                              <w:t>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1312;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s49xKRMCAAA5BAAADgAAAGRycy9lMm9Eb2MueG1srVNN&#10;j9MwEL0j8R8s32naLqogarpaWhUhLR/Swg9wHKexiD1m7DYpv56xnZZVueyBHKKxPfM8783z+n40&#10;PTsp9BpsxRezOWfKSmi0PVT8x/f9m3ec+SBsI3qwquJn5fn95vWr9eBKtYQO+kYhIxDry8FVvAvB&#10;lUXhZaeM8DNwytJhC2hEoCUeigbFQOimL5bz+aoYABuHIJX3tLvLh3xCxJcAQttqqXYgj0bZkFFR&#10;9SIQJd9p5/kmddu2SoavbetVYH3FiWlIf7qE4jr+i81alAcUrtNyakG8pIUbTkZoS5deoXYiCHZE&#10;/Q+U0RLBQxtmEkyRiSRFiMVifqPNUyecSlxIau+uovv/Byu/nL4h003FV5xZYWjgrdkjBauozeB8&#10;SSlPjpLC+AFGckzi6d0jyJ+eWdh2wh7UAyIMnRIN9baIlcWz0ozjI0g9fIaGLhHHAAlobNFE4UgK&#10;Rug0l/N1LmoMTNImSfP+bk5Hks7uFsu3yzS4QpSXaoc+fFRgWAwqjjT3hC5Ojz7EbkR5SYmXeeh1&#10;s9d9nxZ4qLc9spMgj+zTlwjcpPU2JluIZRkx76jksumaSDryzIzDWI+TiDU0Z6KPkB1I74+CDvA3&#10;ZwO5r+L+11Gg4qz/ZEnCaNVLgJegvgTCSiqteOAsh9uQLX10qA8dIechWXggmVudFIit5S6m4ZCj&#10;kjCT+6Nln69T1t8Xv/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A9oN9gAAAANAQAADwAAAAAA&#10;AAABACAAAAAiAAAAZHJzL2Rvd25yZXYueG1sUEsBAhQAFAAAAAgAh07iQLOPcSkTAgAAOQQAAA4A&#10;AAAAAAAAAQAgAAAAJwEAAGRycy9lMm9Eb2MueG1sUEsFBgAAAAAGAAYAWQEAAKwFAAAAAA==&#10;">
                <v:fill on="t" focussize="0,0"/>
                <v:stroke on="f"/>
                <v:imagedata o:title=""/>
                <o:lock v:ext="edit" aspectratio="f"/>
                <v:textbox inset="0mm,0mm,0mm,0mm">
                  <w:txbxContent>
                    <w:p>
                      <w:pPr>
                        <w:jc w:val="right"/>
                        <w:rPr>
                          <w:rFonts w:ascii="黑体" w:hAnsi="黑体" w:eastAsia="黑体"/>
                          <w:sz w:val="28"/>
                          <w:szCs w:val="28"/>
                        </w:rPr>
                      </w:pPr>
                      <w:r>
                        <w:rPr>
                          <w:rFonts w:ascii="黑体" w:hAnsi="黑体" w:eastAsia="黑体"/>
                          <w:sz w:val="28"/>
                          <w:szCs w:val="28"/>
                        </w:rPr>
                        <w:t>202</w:t>
                      </w:r>
                      <w:r>
                        <w:rPr>
                          <w:rFonts w:hint="eastAsia" w:ascii="黑体" w:hAnsi="黑体" w:eastAsia="黑体"/>
                          <w:sz w:val="28"/>
                          <w:szCs w:val="28"/>
                        </w:rPr>
                        <w:t>X-XX-XX实施</w:t>
                      </w:r>
                    </w:p>
                  </w:txbxContent>
                </v:textbox>
                <w10:anchorlock/>
              </v:shape>
            </w:pict>
          </mc:Fallback>
        </mc:AlternateContent>
      </w:r>
      <w:r>
        <w:rPr>
          <w:rFonts w:ascii="Times New Roman"/>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53"/>
                              <w:rPr>
                                <w:rFonts w:ascii="黑体"/>
                              </w:rPr>
                            </w:pPr>
                            <w:r>
                              <w:rPr>
                                <w:rFonts w:ascii="黑体"/>
                              </w:rPr>
                              <w:t>202</w:t>
                            </w:r>
                            <w:r>
                              <w:rPr>
                                <w:rFonts w:hint="eastAsia" w:ascii="黑体"/>
                              </w:rPr>
                              <w:t>X-XX-XX发布</w:t>
                            </w:r>
                          </w:p>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0288;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P1t4xMCAAA5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03FbzmzoqeBt/0OKbiN2gzO&#10;l5Ty5CgpjB9hJMcknt49gPzpmYVNJ+xe3SPC0CnRUG+LWFk8K804PoLUwxdo6BJxCJCAxhb7KBxJ&#10;wQid5nK6zEWNgUnaJGk+3M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iGlhdgAAAAKAQAADwAAAAAA&#10;AAABACAAAAAiAAAAZHJzL2Rvd25yZXYueG1sUEsBAhQAFAAAAAgAh07iQPj9beMTAgAAOQQAAA4A&#10;AAAAAAAAAQAgAAAAJwEAAGRycy9lMm9Eb2MueG1sUEsFBgAAAAAGAAYAWQEAAKwFAAAAAA==&#10;">
                <v:fill on="t" focussize="0,0"/>
                <v:stroke on="f"/>
                <v:imagedata o:title=""/>
                <o:lock v:ext="edit" aspectratio="f"/>
                <v:textbox inset="0mm,0mm,0mm,0mm">
                  <w:txbxContent>
                    <w:p>
                      <w:pPr>
                        <w:pStyle w:val="53"/>
                        <w:rPr>
                          <w:rFonts w:ascii="黑体"/>
                        </w:rPr>
                      </w:pPr>
                      <w:r>
                        <w:rPr>
                          <w:rFonts w:ascii="黑体"/>
                        </w:rPr>
                        <w:t>202</w:t>
                      </w:r>
                      <w:r>
                        <w:rPr>
                          <w:rFonts w:hint="eastAsia" w:ascii="黑体"/>
                        </w:rPr>
                        <w:t>X-XX-XX发布</w:t>
                      </w:r>
                    </w:p>
                    <w:p/>
                  </w:txbxContent>
                </v:textbox>
                <w10:anchorlock/>
              </v:shape>
            </w:pict>
          </mc:Fallback>
        </mc:AlternateContent>
      </w:r>
      <w:r>
        <w:rPr>
          <w:rFonts w:ascii="Times New Roman"/>
          <w:color w:val="auto"/>
        </w:rPr>
        <mc:AlternateContent>
          <mc:Choice Requires="wps">
            <w:drawing>
              <wp:anchor distT="0" distB="0" distL="114300" distR="114300" simplePos="0" relativeHeight="251659264" behindDoc="0" locked="1" layoutInCell="1" allowOverlap="1">
                <wp:simplePos x="0" y="0"/>
                <wp:positionH relativeFrom="margin">
                  <wp:posOffset>-11430</wp:posOffset>
                </wp:positionH>
                <wp:positionV relativeFrom="margin">
                  <wp:posOffset>2778760</wp:posOffset>
                </wp:positionV>
                <wp:extent cx="5969000" cy="5737860"/>
                <wp:effectExtent l="0" t="0" r="12700" b="1524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586605"/>
                        </a:xfrm>
                        <a:prstGeom prst="rect">
                          <a:avLst/>
                        </a:prstGeom>
                        <a:solidFill>
                          <a:srgbClr val="FFFFFF"/>
                        </a:solidFill>
                        <a:ln>
                          <a:noFill/>
                        </a:ln>
                        <a:effectLst/>
                      </wps:spPr>
                      <wps:txbx>
                        <w:txbxContent>
                          <w:p>
                            <w:pPr>
                              <w:adjustRightInd w:val="0"/>
                              <w:snapToGrid w:val="0"/>
                              <w:spacing w:before="312" w:beforeLines="100"/>
                              <w:jc w:val="center"/>
                              <w:rPr>
                                <w:rFonts w:ascii="黑体" w:eastAsia="黑体"/>
                                <w:sz w:val="52"/>
                                <w:szCs w:val="52"/>
                              </w:rPr>
                            </w:pPr>
                            <w:r>
                              <w:rPr>
                                <w:rFonts w:hint="eastAsia" w:ascii="黑体" w:eastAsia="黑体"/>
                                <w:sz w:val="52"/>
                                <w:szCs w:val="52"/>
                              </w:rPr>
                              <w:t>镍基</w:t>
                            </w:r>
                            <w:r>
                              <w:rPr>
                                <w:rFonts w:ascii="黑体" w:eastAsia="黑体"/>
                                <w:sz w:val="52"/>
                                <w:szCs w:val="52"/>
                              </w:rPr>
                              <w:t>合金粉</w:t>
                            </w:r>
                            <w:r>
                              <w:rPr>
                                <w:rFonts w:hint="eastAsia" w:ascii="黑体" w:eastAsia="黑体"/>
                                <w:sz w:val="52"/>
                                <w:szCs w:val="52"/>
                              </w:rPr>
                              <w:t>化学分析方法</w:t>
                            </w:r>
                          </w:p>
                          <w:p>
                            <w:pPr>
                              <w:adjustRightInd w:val="0"/>
                              <w:snapToGrid w:val="0"/>
                              <w:jc w:val="center"/>
                              <w:rPr>
                                <w:b/>
                                <w:sz w:val="52"/>
                                <w:szCs w:val="52"/>
                              </w:rPr>
                            </w:pPr>
                            <w:r>
                              <w:rPr>
                                <w:rFonts w:hint="eastAsia" w:ascii="黑体" w:eastAsia="黑体"/>
                                <w:sz w:val="52"/>
                                <w:szCs w:val="52"/>
                              </w:rPr>
                              <w:t>第</w:t>
                            </w:r>
                            <w:r>
                              <w:rPr>
                                <w:rFonts w:ascii="黑体" w:eastAsia="黑体"/>
                                <w:sz w:val="52"/>
                                <w:szCs w:val="52"/>
                              </w:rPr>
                              <w:t>10</w:t>
                            </w:r>
                            <w:r>
                              <w:rPr>
                                <w:rFonts w:hint="eastAsia" w:ascii="黑体" w:eastAsia="黑体"/>
                                <w:sz w:val="52"/>
                                <w:szCs w:val="52"/>
                              </w:rPr>
                              <w:t>部分：痕量杂质</w:t>
                            </w:r>
                            <w:r>
                              <w:rPr>
                                <w:rFonts w:ascii="黑体" w:eastAsia="黑体"/>
                                <w:sz w:val="52"/>
                                <w:szCs w:val="52"/>
                              </w:rPr>
                              <w:t>元素</w:t>
                            </w:r>
                            <w:r>
                              <w:rPr>
                                <w:rFonts w:hint="eastAsia" w:ascii="黑体" w:eastAsia="黑体"/>
                                <w:sz w:val="52"/>
                                <w:szCs w:val="52"/>
                              </w:rPr>
                              <w:t>含量的测定</w:t>
                            </w:r>
                          </w:p>
                          <w:p>
                            <w:pPr>
                              <w:adjustRightInd w:val="0"/>
                              <w:snapToGrid w:val="0"/>
                              <w:jc w:val="center"/>
                              <w:rPr>
                                <w:rFonts w:eastAsia="黑体"/>
                                <w:sz w:val="52"/>
                              </w:rPr>
                            </w:pPr>
                            <w:r>
                              <w:rPr>
                                <w:rFonts w:hint="eastAsia" w:ascii="黑体" w:eastAsia="黑体"/>
                                <w:sz w:val="52"/>
                                <w:szCs w:val="52"/>
                              </w:rPr>
                              <w:t>电感耦合等离子体质谱法</w:t>
                            </w:r>
                          </w:p>
                          <w:p>
                            <w:pPr>
                              <w:adjustRightInd w:val="0"/>
                              <w:snapToGrid w:val="0"/>
                              <w:spacing w:before="370"/>
                              <w:jc w:val="center"/>
                              <w:rPr>
                                <w:rFonts w:ascii="黑体" w:hAnsi="黑体" w:eastAsia="黑体"/>
                                <w:sz w:val="28"/>
                                <w:szCs w:val="28"/>
                              </w:rPr>
                            </w:pPr>
                            <w:r>
                              <w:rPr>
                                <w:rFonts w:ascii="黑体" w:hAnsi="黑体" w:eastAsia="黑体"/>
                                <w:spacing w:val="-10"/>
                                <w:sz w:val="28"/>
                                <w:szCs w:val="28"/>
                              </w:rPr>
                              <w:t>Method</w:t>
                            </w:r>
                            <w:r>
                              <w:rPr>
                                <w:rFonts w:hint="eastAsia" w:ascii="黑体" w:hAnsi="黑体" w:eastAsia="黑体"/>
                                <w:spacing w:val="-10"/>
                                <w:sz w:val="28"/>
                                <w:szCs w:val="28"/>
                              </w:rPr>
                              <w:t>s</w:t>
                            </w:r>
                            <w:r>
                              <w:rPr>
                                <w:rFonts w:ascii="黑体" w:hAnsi="黑体" w:eastAsia="黑体"/>
                                <w:spacing w:val="-10"/>
                                <w:sz w:val="28"/>
                                <w:szCs w:val="28"/>
                              </w:rPr>
                              <w:t xml:space="preserve"> for c</w:t>
                            </w:r>
                            <w:r>
                              <w:rPr>
                                <w:rFonts w:hint="eastAsia" w:ascii="黑体" w:hAnsi="黑体" w:eastAsia="黑体"/>
                                <w:spacing w:val="-10"/>
                                <w:sz w:val="28"/>
                                <w:szCs w:val="28"/>
                              </w:rPr>
                              <w:t xml:space="preserve">hemical analysis </w:t>
                            </w:r>
                            <w:r>
                              <w:rPr>
                                <w:rFonts w:ascii="黑体" w:hAnsi="黑体" w:eastAsia="黑体"/>
                                <w:spacing w:val="-10"/>
                                <w:sz w:val="28"/>
                                <w:szCs w:val="28"/>
                              </w:rPr>
                              <w:t>of nickel</w:t>
                            </w:r>
                            <w:r>
                              <w:rPr>
                                <w:rFonts w:hint="eastAsia" w:ascii="黑体" w:hAnsi="黑体" w:eastAsia="黑体"/>
                                <w:spacing w:val="-10"/>
                                <w:sz w:val="28"/>
                                <w:szCs w:val="28"/>
                              </w:rPr>
                              <w:t xml:space="preserve"> base alloy powder</w:t>
                            </w:r>
                            <w:r>
                              <w:rPr>
                                <w:rFonts w:hint="eastAsia" w:ascii="黑体" w:hAnsi="黑体" w:eastAsia="黑体"/>
                                <w:kern w:val="0"/>
                                <w:sz w:val="28"/>
                                <w:szCs w:val="28"/>
                              </w:rPr>
                              <w:t>一</w:t>
                            </w:r>
                          </w:p>
                          <w:p>
                            <w:pPr>
                              <w:adjustRightInd w:val="0"/>
                              <w:snapToGrid w:val="0"/>
                              <w:jc w:val="center"/>
                              <w:rPr>
                                <w:rFonts w:ascii="黑体" w:hAnsi="黑体" w:eastAsia="黑体"/>
                                <w:spacing w:val="-10"/>
                                <w:sz w:val="28"/>
                                <w:szCs w:val="28"/>
                              </w:rPr>
                            </w:pPr>
                            <w:bookmarkStart w:id="56" w:name="OLE_LINK23"/>
                            <w:r>
                              <w:rPr>
                                <w:rFonts w:hint="eastAsia" w:ascii="黑体" w:hAnsi="黑体" w:eastAsia="黑体"/>
                                <w:spacing w:val="-10"/>
                                <w:sz w:val="28"/>
                                <w:szCs w:val="28"/>
                              </w:rPr>
                              <w:t xml:space="preserve">Part </w:t>
                            </w:r>
                            <w:r>
                              <w:rPr>
                                <w:rFonts w:ascii="黑体" w:hAnsi="黑体" w:eastAsia="黑体"/>
                                <w:spacing w:val="-10"/>
                                <w:sz w:val="28"/>
                                <w:szCs w:val="28"/>
                              </w:rPr>
                              <w:t>10</w:t>
                            </w:r>
                            <w:r>
                              <w:rPr>
                                <w:rFonts w:hint="eastAsia" w:ascii="黑体" w:hAnsi="黑体" w:eastAsia="黑体"/>
                                <w:spacing w:val="-10"/>
                                <w:sz w:val="28"/>
                                <w:szCs w:val="28"/>
                              </w:rPr>
                              <w:t>:</w:t>
                            </w:r>
                            <w:r>
                              <w:rPr>
                                <w:rFonts w:ascii="黑体" w:hAnsi="黑体" w:eastAsia="黑体"/>
                                <w:spacing w:val="-10"/>
                                <w:sz w:val="28"/>
                                <w:szCs w:val="28"/>
                              </w:rPr>
                              <w:t xml:space="preserve"> </w:t>
                            </w:r>
                            <w:bookmarkEnd w:id="56"/>
                            <w:r>
                              <w:rPr>
                                <w:rFonts w:hint="eastAsia" w:ascii="黑体" w:hAnsi="黑体" w:eastAsia="黑体"/>
                                <w:spacing w:val="-10"/>
                                <w:sz w:val="28"/>
                                <w:szCs w:val="28"/>
                              </w:rPr>
                              <w:t xml:space="preserve">Determination of </w:t>
                            </w:r>
                            <w:r>
                              <w:rPr>
                                <w:rFonts w:hint="eastAsia" w:ascii="黑体" w:eastAsia="黑体"/>
                                <w:color w:val="000000"/>
                                <w:sz w:val="28"/>
                                <w:szCs w:val="28"/>
                              </w:rPr>
                              <w:t xml:space="preserve">trace </w:t>
                            </w:r>
                            <w:bookmarkStart w:id="57" w:name="OLE_LINK24"/>
                            <w:r>
                              <w:rPr>
                                <w:rFonts w:hint="eastAsia" w:ascii="黑体" w:eastAsia="黑体"/>
                                <w:color w:val="000000"/>
                                <w:sz w:val="28"/>
                                <w:szCs w:val="28"/>
                              </w:rPr>
                              <w:t xml:space="preserve">impurity elements </w:t>
                            </w:r>
                            <w:r>
                              <w:rPr>
                                <w:rFonts w:hint="eastAsia" w:ascii="黑体" w:hAnsi="黑体" w:eastAsia="黑体"/>
                                <w:kern w:val="0"/>
                                <w:sz w:val="28"/>
                                <w:szCs w:val="28"/>
                              </w:rPr>
                              <w:t>content</w:t>
                            </w:r>
                            <w:bookmarkEnd w:id="57"/>
                            <w:r>
                              <w:rPr>
                                <w:rFonts w:hint="eastAsia" w:ascii="黑体" w:hAnsi="黑体" w:eastAsia="黑体"/>
                                <w:spacing w:val="-10"/>
                                <w:sz w:val="28"/>
                                <w:szCs w:val="28"/>
                              </w:rPr>
                              <w:t>一</w:t>
                            </w:r>
                          </w:p>
                          <w:p>
                            <w:pPr>
                              <w:adjustRightInd w:val="0"/>
                              <w:snapToGrid w:val="0"/>
                              <w:jc w:val="center"/>
                              <w:rPr>
                                <w:rFonts w:ascii="黑体" w:hAnsi="黑体" w:eastAsia="黑体"/>
                                <w:color w:val="000000"/>
                                <w:sz w:val="28"/>
                                <w:szCs w:val="28"/>
                              </w:rPr>
                            </w:pPr>
                            <w:r>
                              <w:rPr>
                                <w:rFonts w:ascii="黑体" w:hAnsi="黑体" w:eastAsia="黑体"/>
                                <w:spacing w:val="-10"/>
                                <w:sz w:val="28"/>
                                <w:szCs w:val="28"/>
                              </w:rPr>
                              <w:t>Inductively coupled plasma mass spectrometry</w:t>
                            </w:r>
                          </w:p>
                          <w:p>
                            <w:pPr>
                              <w:tabs>
                                <w:tab w:val="left" w:pos="3822"/>
                                <w:tab w:val="left" w:pos="5400"/>
                              </w:tabs>
                              <w:spacing w:before="50" w:after="50"/>
                              <w:jc w:val="center"/>
                            </w:pPr>
                            <w:r>
                              <w:rPr>
                                <w:rFonts w:hint="eastAsia" w:ascii="黑体" w:hAnsi="宋体" w:eastAsia="黑体"/>
                                <w:spacing w:val="6"/>
                                <w:sz w:val="28"/>
                                <w:szCs w:val="21"/>
                              </w:rPr>
                              <w:t>(</w:t>
                            </w:r>
                            <w:r>
                              <w:rPr>
                                <w:rFonts w:hint="eastAsia" w:ascii="黑体" w:hAnsi="宋体" w:eastAsia="黑体"/>
                                <w:spacing w:val="6"/>
                                <w:sz w:val="28"/>
                                <w:szCs w:val="21"/>
                                <w:lang w:val="en-US" w:eastAsia="zh-CN"/>
                              </w:rPr>
                              <w:t>征求意见稿</w:t>
                            </w:r>
                            <w:r>
                              <w:rPr>
                                <w:rFonts w:hint="eastAsia" w:ascii="黑体" w:hAnsi="宋体" w:eastAsia="黑体"/>
                                <w:spacing w:val="6"/>
                                <w:sz w:val="28"/>
                                <w:szCs w:val="21"/>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9pt;margin-top:218.8pt;height:451.8pt;width:470pt;mso-position-horizontal-relative:margin;mso-position-vertical-relative:margin;z-index:251659264;mso-width-relative:page;mso-height-relative:page;" fillcolor="#FFFFFF" filled="t" stroked="f" coordsize="21600,21600" o:gfxdata="UEsDBAoAAAAAAIdO4kAAAAAAAAAAAAAAAAAEAAAAZHJzL1BLAwQUAAAACACHTuJAVt4WNNsAAAAL&#10;AQAADwAAAGRycy9kb3ducmV2LnhtbE2Py07DMBBF90j8gzVIbFDrPKrQhjiVaGEHi5aqazeeJhHx&#10;OIqdpv17hhUsR/fo3jPF+mo7ccHBt44UxPMIBFLlTEu1gsPX+2wJwgdNRneOUMENPazL+7tC58ZN&#10;tMPLPtSCS8jnWkETQp9L6asGrfZz1yNxdnaD1YHPoZZm0BOX204mUZRJq1vihUb3uGmw+t6PVkG2&#10;HcZpR5un7eHtQ3/2dXJ8vR2VenyIoxcQAa/hD4ZffVaHkp1ObiTjRadgFrN5ULBInzMQDKzSZQLi&#10;xGS6iBOQZSH//1D+AFBLAwQUAAAACACHTuJAnnZOkhYCAAA6BAAADgAAAGRycy9lMm9Eb2MueG1s&#10;rVPLbtswELwX6D8QvNeSA9tIBMtBasNFgfQBpP0AiqIsoiKXXdKW3K/vkpLdNL3kUB2EJbmc3Zkd&#10;ru8H07GTQq/Blnw+yzlTVkKt7aHk37/t391y5oOwtejAqpKflef3m7dv1r0r1A200NUKGYFYX/Su&#10;5G0IrsgyL1tlhJ+BU5YOG0AjAi3xkNUoekI3XXaT56usB6wdglTe0+5uPOQTIr4GEJpGS7UDeTTK&#10;hhEVVScCUfKtdp5vUrdNo2T40jReBdaVnJiG9KciFFfxn23WojigcK2WUwviNS284GSEtlT0CrUT&#10;QbAj6n+gjJYIHpowk2CykUhShFjM8xfaPLXCqcSFpPbuKrr/f7Dy8+krMl2XfMGZFYYG3pg9UrCI&#10;2vTOF5Ty5CgpDO9hIMcknt49gvzhmYVtK+xBPSBC3ypRU2/zeDN7dnXE8RGk6j9BTUXEMUACGho0&#10;UTiSghE6zeV8nYsaApO0ubxb3eU5HUk6WyxvV6t8mWqI4nLdoQ8fFBgWg5IjDT7Bi9OjD7EdUVxS&#10;YjUPna73uuvSAg/VtkN2EmSSffom9L/SOhuTLcRrI+K4o5LNpjKRdSQ6Ug5DNUwqVlCfiT/CaEF6&#10;gBS0gL8468l+Jfc/jwIVZ91HSxpGr14CvATVJRBW0tWSB87GcBtGTx8d6kNLyOOULDyQzo1OCsTW&#10;xi6m6ZClkjCT/aNnn69T1p8n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t4WNNsAAAALAQAA&#10;DwAAAAAAAAABACAAAAAiAAAAZHJzL2Rvd25yZXYueG1sUEsBAhQAFAAAAAgAh07iQJ52TpIWAgAA&#10;OgQAAA4AAAAAAAAAAQAgAAAAKgEAAGRycy9lMm9Eb2MueG1sUEsFBgAAAAAGAAYAWQEAALIFAAAA&#10;AA==&#10;">
                <v:fill on="t" focussize="0,0"/>
                <v:stroke on="f"/>
                <v:imagedata o:title=""/>
                <o:lock v:ext="edit" aspectratio="f"/>
                <v:textbox inset="0mm,0mm,0mm,0mm">
                  <w:txbxContent>
                    <w:p>
                      <w:pPr>
                        <w:adjustRightInd w:val="0"/>
                        <w:snapToGrid w:val="0"/>
                        <w:spacing w:before="312" w:beforeLines="100"/>
                        <w:jc w:val="center"/>
                        <w:rPr>
                          <w:rFonts w:ascii="黑体" w:eastAsia="黑体"/>
                          <w:sz w:val="52"/>
                          <w:szCs w:val="52"/>
                        </w:rPr>
                      </w:pPr>
                      <w:r>
                        <w:rPr>
                          <w:rFonts w:hint="eastAsia" w:ascii="黑体" w:eastAsia="黑体"/>
                          <w:sz w:val="52"/>
                          <w:szCs w:val="52"/>
                        </w:rPr>
                        <w:t>镍基</w:t>
                      </w:r>
                      <w:r>
                        <w:rPr>
                          <w:rFonts w:ascii="黑体" w:eastAsia="黑体"/>
                          <w:sz w:val="52"/>
                          <w:szCs w:val="52"/>
                        </w:rPr>
                        <w:t>合金粉</w:t>
                      </w:r>
                      <w:r>
                        <w:rPr>
                          <w:rFonts w:hint="eastAsia" w:ascii="黑体" w:eastAsia="黑体"/>
                          <w:sz w:val="52"/>
                          <w:szCs w:val="52"/>
                        </w:rPr>
                        <w:t>化学分析方法</w:t>
                      </w:r>
                    </w:p>
                    <w:p>
                      <w:pPr>
                        <w:adjustRightInd w:val="0"/>
                        <w:snapToGrid w:val="0"/>
                        <w:jc w:val="center"/>
                        <w:rPr>
                          <w:b/>
                          <w:sz w:val="52"/>
                          <w:szCs w:val="52"/>
                        </w:rPr>
                      </w:pPr>
                      <w:r>
                        <w:rPr>
                          <w:rFonts w:hint="eastAsia" w:ascii="黑体" w:eastAsia="黑体"/>
                          <w:sz w:val="52"/>
                          <w:szCs w:val="52"/>
                        </w:rPr>
                        <w:t>第</w:t>
                      </w:r>
                      <w:r>
                        <w:rPr>
                          <w:rFonts w:ascii="黑体" w:eastAsia="黑体"/>
                          <w:sz w:val="52"/>
                          <w:szCs w:val="52"/>
                        </w:rPr>
                        <w:t>10</w:t>
                      </w:r>
                      <w:r>
                        <w:rPr>
                          <w:rFonts w:hint="eastAsia" w:ascii="黑体" w:eastAsia="黑体"/>
                          <w:sz w:val="52"/>
                          <w:szCs w:val="52"/>
                        </w:rPr>
                        <w:t>部分：痕量杂质</w:t>
                      </w:r>
                      <w:r>
                        <w:rPr>
                          <w:rFonts w:ascii="黑体" w:eastAsia="黑体"/>
                          <w:sz w:val="52"/>
                          <w:szCs w:val="52"/>
                        </w:rPr>
                        <w:t>元素</w:t>
                      </w:r>
                      <w:r>
                        <w:rPr>
                          <w:rFonts w:hint="eastAsia" w:ascii="黑体" w:eastAsia="黑体"/>
                          <w:sz w:val="52"/>
                          <w:szCs w:val="52"/>
                        </w:rPr>
                        <w:t>含量的测定</w:t>
                      </w:r>
                    </w:p>
                    <w:p>
                      <w:pPr>
                        <w:adjustRightInd w:val="0"/>
                        <w:snapToGrid w:val="0"/>
                        <w:jc w:val="center"/>
                        <w:rPr>
                          <w:rFonts w:eastAsia="黑体"/>
                          <w:sz w:val="52"/>
                        </w:rPr>
                      </w:pPr>
                      <w:r>
                        <w:rPr>
                          <w:rFonts w:hint="eastAsia" w:ascii="黑体" w:eastAsia="黑体"/>
                          <w:sz w:val="52"/>
                          <w:szCs w:val="52"/>
                        </w:rPr>
                        <w:t>电感耦合等离子体质谱法</w:t>
                      </w:r>
                    </w:p>
                    <w:p>
                      <w:pPr>
                        <w:adjustRightInd w:val="0"/>
                        <w:snapToGrid w:val="0"/>
                        <w:spacing w:before="370"/>
                        <w:jc w:val="center"/>
                        <w:rPr>
                          <w:rFonts w:ascii="黑体" w:hAnsi="黑体" w:eastAsia="黑体"/>
                          <w:sz w:val="28"/>
                          <w:szCs w:val="28"/>
                        </w:rPr>
                      </w:pPr>
                      <w:r>
                        <w:rPr>
                          <w:rFonts w:ascii="黑体" w:hAnsi="黑体" w:eastAsia="黑体"/>
                          <w:spacing w:val="-10"/>
                          <w:sz w:val="28"/>
                          <w:szCs w:val="28"/>
                        </w:rPr>
                        <w:t>Method</w:t>
                      </w:r>
                      <w:r>
                        <w:rPr>
                          <w:rFonts w:hint="eastAsia" w:ascii="黑体" w:hAnsi="黑体" w:eastAsia="黑体"/>
                          <w:spacing w:val="-10"/>
                          <w:sz w:val="28"/>
                          <w:szCs w:val="28"/>
                        </w:rPr>
                        <w:t>s</w:t>
                      </w:r>
                      <w:r>
                        <w:rPr>
                          <w:rFonts w:ascii="黑体" w:hAnsi="黑体" w:eastAsia="黑体"/>
                          <w:spacing w:val="-10"/>
                          <w:sz w:val="28"/>
                          <w:szCs w:val="28"/>
                        </w:rPr>
                        <w:t xml:space="preserve"> for c</w:t>
                      </w:r>
                      <w:r>
                        <w:rPr>
                          <w:rFonts w:hint="eastAsia" w:ascii="黑体" w:hAnsi="黑体" w:eastAsia="黑体"/>
                          <w:spacing w:val="-10"/>
                          <w:sz w:val="28"/>
                          <w:szCs w:val="28"/>
                        </w:rPr>
                        <w:t xml:space="preserve">hemical analysis </w:t>
                      </w:r>
                      <w:r>
                        <w:rPr>
                          <w:rFonts w:ascii="黑体" w:hAnsi="黑体" w:eastAsia="黑体"/>
                          <w:spacing w:val="-10"/>
                          <w:sz w:val="28"/>
                          <w:szCs w:val="28"/>
                        </w:rPr>
                        <w:t>of nickel</w:t>
                      </w:r>
                      <w:r>
                        <w:rPr>
                          <w:rFonts w:hint="eastAsia" w:ascii="黑体" w:hAnsi="黑体" w:eastAsia="黑体"/>
                          <w:spacing w:val="-10"/>
                          <w:sz w:val="28"/>
                          <w:szCs w:val="28"/>
                        </w:rPr>
                        <w:t xml:space="preserve"> base alloy powder</w:t>
                      </w:r>
                      <w:r>
                        <w:rPr>
                          <w:rFonts w:hint="eastAsia" w:ascii="黑体" w:hAnsi="黑体" w:eastAsia="黑体"/>
                          <w:kern w:val="0"/>
                          <w:sz w:val="28"/>
                          <w:szCs w:val="28"/>
                        </w:rPr>
                        <w:t>一</w:t>
                      </w:r>
                    </w:p>
                    <w:p>
                      <w:pPr>
                        <w:adjustRightInd w:val="0"/>
                        <w:snapToGrid w:val="0"/>
                        <w:jc w:val="center"/>
                        <w:rPr>
                          <w:rFonts w:ascii="黑体" w:hAnsi="黑体" w:eastAsia="黑体"/>
                          <w:spacing w:val="-10"/>
                          <w:sz w:val="28"/>
                          <w:szCs w:val="28"/>
                        </w:rPr>
                      </w:pPr>
                      <w:bookmarkStart w:id="56" w:name="OLE_LINK23"/>
                      <w:r>
                        <w:rPr>
                          <w:rFonts w:hint="eastAsia" w:ascii="黑体" w:hAnsi="黑体" w:eastAsia="黑体"/>
                          <w:spacing w:val="-10"/>
                          <w:sz w:val="28"/>
                          <w:szCs w:val="28"/>
                        </w:rPr>
                        <w:t xml:space="preserve">Part </w:t>
                      </w:r>
                      <w:r>
                        <w:rPr>
                          <w:rFonts w:ascii="黑体" w:hAnsi="黑体" w:eastAsia="黑体"/>
                          <w:spacing w:val="-10"/>
                          <w:sz w:val="28"/>
                          <w:szCs w:val="28"/>
                        </w:rPr>
                        <w:t>10</w:t>
                      </w:r>
                      <w:r>
                        <w:rPr>
                          <w:rFonts w:hint="eastAsia" w:ascii="黑体" w:hAnsi="黑体" w:eastAsia="黑体"/>
                          <w:spacing w:val="-10"/>
                          <w:sz w:val="28"/>
                          <w:szCs w:val="28"/>
                        </w:rPr>
                        <w:t>:</w:t>
                      </w:r>
                      <w:r>
                        <w:rPr>
                          <w:rFonts w:ascii="黑体" w:hAnsi="黑体" w:eastAsia="黑体"/>
                          <w:spacing w:val="-10"/>
                          <w:sz w:val="28"/>
                          <w:szCs w:val="28"/>
                        </w:rPr>
                        <w:t xml:space="preserve"> </w:t>
                      </w:r>
                      <w:bookmarkEnd w:id="56"/>
                      <w:r>
                        <w:rPr>
                          <w:rFonts w:hint="eastAsia" w:ascii="黑体" w:hAnsi="黑体" w:eastAsia="黑体"/>
                          <w:spacing w:val="-10"/>
                          <w:sz w:val="28"/>
                          <w:szCs w:val="28"/>
                        </w:rPr>
                        <w:t xml:space="preserve">Determination of </w:t>
                      </w:r>
                      <w:r>
                        <w:rPr>
                          <w:rFonts w:hint="eastAsia" w:ascii="黑体" w:eastAsia="黑体"/>
                          <w:color w:val="000000"/>
                          <w:sz w:val="28"/>
                          <w:szCs w:val="28"/>
                        </w:rPr>
                        <w:t xml:space="preserve">trace </w:t>
                      </w:r>
                      <w:bookmarkStart w:id="57" w:name="OLE_LINK24"/>
                      <w:r>
                        <w:rPr>
                          <w:rFonts w:hint="eastAsia" w:ascii="黑体" w:eastAsia="黑体"/>
                          <w:color w:val="000000"/>
                          <w:sz w:val="28"/>
                          <w:szCs w:val="28"/>
                        </w:rPr>
                        <w:t xml:space="preserve">impurity elements </w:t>
                      </w:r>
                      <w:r>
                        <w:rPr>
                          <w:rFonts w:hint="eastAsia" w:ascii="黑体" w:hAnsi="黑体" w:eastAsia="黑体"/>
                          <w:kern w:val="0"/>
                          <w:sz w:val="28"/>
                          <w:szCs w:val="28"/>
                        </w:rPr>
                        <w:t>content</w:t>
                      </w:r>
                      <w:bookmarkEnd w:id="57"/>
                      <w:r>
                        <w:rPr>
                          <w:rFonts w:hint="eastAsia" w:ascii="黑体" w:hAnsi="黑体" w:eastAsia="黑体"/>
                          <w:spacing w:val="-10"/>
                          <w:sz w:val="28"/>
                          <w:szCs w:val="28"/>
                        </w:rPr>
                        <w:t>一</w:t>
                      </w:r>
                    </w:p>
                    <w:p>
                      <w:pPr>
                        <w:adjustRightInd w:val="0"/>
                        <w:snapToGrid w:val="0"/>
                        <w:jc w:val="center"/>
                        <w:rPr>
                          <w:rFonts w:ascii="黑体" w:hAnsi="黑体" w:eastAsia="黑体"/>
                          <w:color w:val="000000"/>
                          <w:sz w:val="28"/>
                          <w:szCs w:val="28"/>
                        </w:rPr>
                      </w:pPr>
                      <w:r>
                        <w:rPr>
                          <w:rFonts w:ascii="黑体" w:hAnsi="黑体" w:eastAsia="黑体"/>
                          <w:spacing w:val="-10"/>
                          <w:sz w:val="28"/>
                          <w:szCs w:val="28"/>
                        </w:rPr>
                        <w:t>Inductively coupled plasma mass spectrometry</w:t>
                      </w:r>
                    </w:p>
                    <w:p>
                      <w:pPr>
                        <w:tabs>
                          <w:tab w:val="left" w:pos="3822"/>
                          <w:tab w:val="left" w:pos="5400"/>
                        </w:tabs>
                        <w:spacing w:before="50" w:after="50"/>
                        <w:jc w:val="center"/>
                      </w:pPr>
                      <w:r>
                        <w:rPr>
                          <w:rFonts w:hint="eastAsia" w:ascii="黑体" w:hAnsi="宋体" w:eastAsia="黑体"/>
                          <w:spacing w:val="6"/>
                          <w:sz w:val="28"/>
                          <w:szCs w:val="21"/>
                        </w:rPr>
                        <w:t>(</w:t>
                      </w:r>
                      <w:r>
                        <w:rPr>
                          <w:rFonts w:hint="eastAsia" w:ascii="黑体" w:hAnsi="宋体" w:eastAsia="黑体"/>
                          <w:spacing w:val="6"/>
                          <w:sz w:val="28"/>
                          <w:szCs w:val="21"/>
                          <w:lang w:val="en-US" w:eastAsia="zh-CN"/>
                        </w:rPr>
                        <w:t>征求意见稿</w:t>
                      </w:r>
                      <w:r>
                        <w:rPr>
                          <w:rFonts w:hint="eastAsia" w:ascii="黑体" w:hAnsi="宋体" w:eastAsia="黑体"/>
                          <w:spacing w:val="6"/>
                          <w:sz w:val="28"/>
                          <w:szCs w:val="21"/>
                        </w:rPr>
                        <w:t>)</w:t>
                      </w:r>
                    </w:p>
                  </w:txbxContent>
                </v:textbox>
                <w10:anchorlock/>
              </v:shape>
            </w:pict>
          </mc:Fallback>
        </mc:AlternateContent>
      </w:r>
      <w:bookmarkEnd w:id="0"/>
      <w:bookmarkEnd w:id="1"/>
    </w:p>
    <w:bookmarkEnd w:id="2"/>
    <w:p>
      <w:pPr>
        <w:pStyle w:val="28"/>
        <w:spacing w:before="567" w:after="680"/>
        <w:ind w:left="0" w:firstLine="0"/>
        <w:rPr>
          <w:color w:val="auto"/>
        </w:rPr>
      </w:pPr>
      <w:r>
        <w:rPr>
          <w:rFonts w:hint="eastAsia"/>
          <w:color w:val="auto"/>
        </w:rPr>
        <w:t>前    言</w:t>
      </w:r>
    </w:p>
    <w:p>
      <w:pPr>
        <w:ind w:firstLine="420" w:firstLineChars="200"/>
        <w:rPr>
          <w:rFonts w:hAnsi="宋体"/>
          <w:color w:val="auto"/>
          <w:szCs w:val="21"/>
        </w:rPr>
      </w:pPr>
      <w:r>
        <w:rPr>
          <w:rFonts w:hint="eastAsia" w:hAnsi="宋体"/>
          <w:color w:val="auto"/>
          <w:szCs w:val="21"/>
        </w:rPr>
        <w:t>本文件按照GB/T 1.1-2020《标准化工作导则 第1部分：标准化文件的结构和起草规则》的规则起草。</w:t>
      </w:r>
    </w:p>
    <w:p>
      <w:pPr>
        <w:ind w:firstLine="420" w:firstLineChars="200"/>
        <w:rPr>
          <w:color w:val="auto"/>
        </w:rPr>
      </w:pPr>
      <w:bookmarkStart w:id="3" w:name="OLE_LINK9"/>
      <w:r>
        <w:rPr>
          <w:rFonts w:hint="eastAsia" w:hAnsi="宋体"/>
          <w:color w:val="auto"/>
          <w:szCs w:val="21"/>
        </w:rPr>
        <w:t>本文件是</w:t>
      </w:r>
      <w:r>
        <w:rPr>
          <w:rFonts w:hint="eastAsia"/>
          <w:color w:val="auto"/>
        </w:rPr>
        <w:t>YS/T 539《镍基合金粉化学分析方法</w:t>
      </w:r>
      <w:r>
        <w:rPr>
          <w:rFonts w:hint="eastAsia" w:hAnsi="宋体"/>
          <w:color w:val="auto"/>
          <w:szCs w:val="21"/>
        </w:rPr>
        <w:t>》的第</w:t>
      </w:r>
      <w:r>
        <w:rPr>
          <w:rFonts w:hAnsi="宋体"/>
          <w:color w:val="auto"/>
          <w:szCs w:val="21"/>
        </w:rPr>
        <w:t>10</w:t>
      </w:r>
      <w:r>
        <w:rPr>
          <w:rFonts w:hint="eastAsia" w:hAnsi="宋体"/>
          <w:color w:val="auto"/>
          <w:szCs w:val="21"/>
        </w:rPr>
        <w:t>部分。</w:t>
      </w:r>
      <w:r>
        <w:rPr>
          <w:rFonts w:hint="eastAsia"/>
          <w:color w:val="auto"/>
        </w:rPr>
        <w:t xml:space="preserve">YS/T </w:t>
      </w:r>
      <w:r>
        <w:rPr>
          <w:color w:val="auto"/>
        </w:rPr>
        <w:t>539</w:t>
      </w:r>
      <w:r>
        <w:rPr>
          <w:rFonts w:hint="eastAsia" w:hAnsi="宋体"/>
          <w:color w:val="auto"/>
          <w:szCs w:val="21"/>
        </w:rPr>
        <w:t>已经发布</w:t>
      </w:r>
      <w:r>
        <w:rPr>
          <w:rFonts w:hint="eastAsia" w:hAnsi="宋体"/>
          <w:color w:val="auto"/>
          <w:szCs w:val="21"/>
          <w:lang w:val="en-US" w:eastAsia="zh-CN"/>
        </w:rPr>
        <w:t>了</w:t>
      </w:r>
      <w:r>
        <w:rPr>
          <w:rFonts w:hint="eastAsia" w:hAnsi="宋体"/>
          <w:color w:val="auto"/>
          <w:szCs w:val="21"/>
        </w:rPr>
        <w:t>以下部分</w:t>
      </w:r>
      <w:r>
        <w:rPr>
          <w:rFonts w:hint="eastAsia"/>
          <w:color w:val="auto"/>
        </w:rPr>
        <w:t>：</w:t>
      </w:r>
    </w:p>
    <w:p>
      <w:pPr>
        <w:ind w:firstLine="420"/>
        <w:rPr>
          <w:color w:val="auto"/>
        </w:rPr>
      </w:pPr>
      <w:r>
        <w:rPr>
          <w:color w:val="auto"/>
        </w:rPr>
        <w:t>——第1部分</w:t>
      </w:r>
      <w:r>
        <w:rPr>
          <w:rFonts w:hint="eastAsia"/>
          <w:color w:val="auto"/>
        </w:rPr>
        <w:t>：硼含量的测定  酸碱滴定法</w:t>
      </w:r>
      <w:r>
        <w:rPr>
          <w:color w:val="auto"/>
        </w:rPr>
        <w:t>；</w:t>
      </w:r>
    </w:p>
    <w:p>
      <w:pPr>
        <w:ind w:left="420" w:leftChars="200"/>
        <w:rPr>
          <w:color w:val="auto"/>
        </w:rPr>
      </w:pPr>
      <w:r>
        <w:rPr>
          <w:color w:val="auto"/>
        </w:rPr>
        <w:t>——第2部分：</w:t>
      </w:r>
      <w:r>
        <w:rPr>
          <w:rFonts w:hint="eastAsia"/>
          <w:color w:val="auto"/>
        </w:rPr>
        <w:t>钨含量的测定  辛可宁称量法</w:t>
      </w:r>
      <w:r>
        <w:rPr>
          <w:color w:val="auto"/>
        </w:rPr>
        <w:t>；</w:t>
      </w:r>
    </w:p>
    <w:p>
      <w:pPr>
        <w:ind w:left="420" w:leftChars="200"/>
        <w:rPr>
          <w:color w:val="auto"/>
        </w:rPr>
      </w:pPr>
      <w:r>
        <w:rPr>
          <w:color w:val="auto"/>
        </w:rPr>
        <w:t>——第3部分：</w:t>
      </w:r>
      <w:r>
        <w:rPr>
          <w:rFonts w:hint="eastAsia"/>
          <w:color w:val="auto"/>
        </w:rPr>
        <w:t>硅含量的测定  钼蓝分光光度法</w:t>
      </w:r>
      <w:r>
        <w:rPr>
          <w:color w:val="auto"/>
        </w:rPr>
        <w:t>；</w:t>
      </w:r>
      <w:bookmarkEnd w:id="3"/>
    </w:p>
    <w:p>
      <w:pPr>
        <w:ind w:left="420" w:leftChars="200"/>
        <w:rPr>
          <w:color w:val="auto"/>
        </w:rPr>
      </w:pPr>
      <w:r>
        <w:rPr>
          <w:color w:val="auto"/>
        </w:rPr>
        <w:t>——第4部分：</w:t>
      </w:r>
      <w:r>
        <w:rPr>
          <w:rFonts w:hint="eastAsia"/>
          <w:color w:val="auto"/>
        </w:rPr>
        <w:t>铬含量的测定  过硫酸铵氧化滴定法；</w:t>
      </w:r>
    </w:p>
    <w:p>
      <w:pPr>
        <w:ind w:firstLine="420"/>
        <w:rPr>
          <w:color w:val="auto"/>
        </w:rPr>
      </w:pPr>
      <w:r>
        <w:rPr>
          <w:color w:val="auto"/>
        </w:rPr>
        <w:t>——第5部分：</w:t>
      </w:r>
      <w:r>
        <w:rPr>
          <w:rFonts w:hint="eastAsia"/>
          <w:color w:val="auto"/>
        </w:rPr>
        <w:t>铜含量的测定  硫代硫酸钠碘量法；</w:t>
      </w:r>
    </w:p>
    <w:p>
      <w:pPr>
        <w:ind w:left="420" w:leftChars="200"/>
        <w:rPr>
          <w:color w:val="auto"/>
        </w:rPr>
      </w:pPr>
      <w:r>
        <w:rPr>
          <w:color w:val="auto"/>
        </w:rPr>
        <w:t>——第6部分：</w:t>
      </w:r>
      <w:r>
        <w:rPr>
          <w:rFonts w:hint="eastAsia"/>
          <w:color w:val="auto"/>
        </w:rPr>
        <w:t>铁含量的测定  三氯化钛-重铬酸钾滴定法；</w:t>
      </w:r>
    </w:p>
    <w:p>
      <w:pPr>
        <w:ind w:left="420" w:leftChars="200"/>
        <w:rPr>
          <w:color w:val="auto"/>
        </w:rPr>
      </w:pPr>
      <w:r>
        <w:rPr>
          <w:color w:val="auto"/>
        </w:rPr>
        <w:t>——第7部分：</w:t>
      </w:r>
      <w:r>
        <w:rPr>
          <w:rFonts w:hint="eastAsia"/>
          <w:color w:val="auto"/>
        </w:rPr>
        <w:t>磷含量的测定  正丁醇-三氯甲烷萃取分光光度法；</w:t>
      </w:r>
    </w:p>
    <w:p>
      <w:pPr>
        <w:ind w:left="420" w:leftChars="200"/>
        <w:rPr>
          <w:color w:val="auto"/>
        </w:rPr>
      </w:pPr>
      <w:r>
        <w:rPr>
          <w:color w:val="auto"/>
        </w:rPr>
        <w:t>——第8部分：</w:t>
      </w:r>
      <w:r>
        <w:rPr>
          <w:rFonts w:hint="eastAsia"/>
          <w:color w:val="auto"/>
        </w:rPr>
        <w:t>氧含量的测定  脉冲加热惰气熔融-红外线吸收法；</w:t>
      </w:r>
    </w:p>
    <w:p>
      <w:pPr>
        <w:ind w:left="420" w:leftChars="200"/>
        <w:rPr>
          <w:color w:val="auto"/>
        </w:rPr>
      </w:pPr>
      <w:bookmarkStart w:id="4" w:name="OLE_LINK13"/>
      <w:r>
        <w:rPr>
          <w:color w:val="auto"/>
        </w:rPr>
        <w:t>——第9部分：</w:t>
      </w:r>
      <w:bookmarkEnd w:id="4"/>
      <w:r>
        <w:rPr>
          <w:rFonts w:hint="eastAsia"/>
          <w:color w:val="auto"/>
        </w:rPr>
        <w:t>杂质元素含量的测定  电感耦合等离子体原子发射光谱法；</w:t>
      </w:r>
    </w:p>
    <w:p>
      <w:pPr>
        <w:pStyle w:val="2"/>
        <w:spacing w:after="0"/>
        <w:ind w:left="420" w:leftChars="200"/>
        <w:rPr>
          <w:color w:val="auto"/>
        </w:rPr>
      </w:pPr>
      <w:r>
        <w:rPr>
          <w:color w:val="auto"/>
        </w:rPr>
        <w:t>——第</w:t>
      </w:r>
      <w:r>
        <w:rPr>
          <w:rFonts w:hint="eastAsia"/>
          <w:color w:val="auto"/>
        </w:rPr>
        <w:t>10</w:t>
      </w:r>
      <w:r>
        <w:rPr>
          <w:color w:val="auto"/>
        </w:rPr>
        <w:t>部分：</w:t>
      </w:r>
      <w:r>
        <w:rPr>
          <w:rFonts w:hint="eastAsia"/>
          <w:color w:val="auto"/>
        </w:rPr>
        <w:t>痕量</w:t>
      </w:r>
      <w:r>
        <w:rPr>
          <w:color w:val="auto"/>
        </w:rPr>
        <w:t>杂质元素</w:t>
      </w:r>
      <w:r>
        <w:rPr>
          <w:rFonts w:hint="eastAsia"/>
          <w:color w:val="auto"/>
        </w:rPr>
        <w:t>含量的测定  电感耦合等离子体质谱法。</w:t>
      </w:r>
    </w:p>
    <w:p>
      <w:pPr>
        <w:ind w:left="420" w:leftChars="200"/>
        <w:rPr>
          <w:rFonts w:ascii="宋体" w:hAnsi="宋体"/>
          <w:color w:val="auto"/>
        </w:rPr>
      </w:pPr>
      <w:r>
        <w:rPr>
          <w:rFonts w:hint="eastAsia" w:ascii="宋体" w:hAnsi="宋体"/>
          <w:color w:val="auto"/>
        </w:rPr>
        <w:t>请注意本文件</w:t>
      </w:r>
      <w:r>
        <w:rPr>
          <w:rFonts w:ascii="宋体" w:hAnsi="宋体"/>
          <w:color w:val="auto"/>
        </w:rPr>
        <w:t>的某些</w:t>
      </w:r>
      <w:r>
        <w:rPr>
          <w:rFonts w:hint="eastAsia" w:ascii="宋体" w:hAnsi="宋体"/>
          <w:color w:val="auto"/>
        </w:rPr>
        <w:t>内容</w:t>
      </w:r>
      <w:r>
        <w:rPr>
          <w:rFonts w:ascii="宋体" w:hAnsi="宋体"/>
          <w:color w:val="auto"/>
        </w:rPr>
        <w:t>可能涉及专利。本文件</w:t>
      </w:r>
      <w:r>
        <w:rPr>
          <w:rFonts w:hint="eastAsia" w:ascii="宋体" w:hAnsi="宋体"/>
          <w:color w:val="auto"/>
        </w:rPr>
        <w:t>的</w:t>
      </w:r>
      <w:r>
        <w:rPr>
          <w:rFonts w:ascii="宋体" w:hAnsi="宋体"/>
          <w:color w:val="auto"/>
        </w:rPr>
        <w:t>发布机构不承担识别专利的责任。</w:t>
      </w:r>
    </w:p>
    <w:p>
      <w:pPr>
        <w:ind w:left="420" w:leftChars="200"/>
        <w:rPr>
          <w:rFonts w:ascii="宋体" w:hAnsi="宋体"/>
          <w:color w:val="auto"/>
        </w:rPr>
      </w:pPr>
      <w:r>
        <w:rPr>
          <w:rFonts w:ascii="宋体" w:hAnsi="宋体"/>
          <w:color w:val="auto"/>
        </w:rPr>
        <w:t>本</w:t>
      </w:r>
      <w:r>
        <w:rPr>
          <w:rFonts w:hint="eastAsia" w:hAnsi="宋体"/>
          <w:color w:val="auto"/>
          <w:szCs w:val="21"/>
        </w:rPr>
        <w:t>文件</w:t>
      </w:r>
      <w:r>
        <w:rPr>
          <w:rFonts w:ascii="宋体" w:hAnsi="宋体"/>
          <w:color w:val="auto"/>
        </w:rPr>
        <w:t>由</w:t>
      </w:r>
      <w:r>
        <w:rPr>
          <w:rFonts w:hint="eastAsia" w:ascii="宋体" w:hAnsi="宋体"/>
          <w:color w:val="auto"/>
        </w:rPr>
        <w:t>全国有色金属标准化技术委员会（</w:t>
      </w:r>
      <w:r>
        <w:rPr>
          <w:color w:val="auto"/>
        </w:rPr>
        <w:t>SAC/TC 243</w:t>
      </w:r>
      <w:r>
        <w:rPr>
          <w:rFonts w:hint="eastAsia" w:ascii="宋体" w:hAnsi="宋体"/>
          <w:color w:val="auto"/>
        </w:rPr>
        <w:t>）提出并</w:t>
      </w:r>
      <w:r>
        <w:rPr>
          <w:rFonts w:ascii="宋体" w:hAnsi="宋体"/>
          <w:color w:val="auto"/>
        </w:rPr>
        <w:t>归口。</w:t>
      </w:r>
    </w:p>
    <w:p>
      <w:pPr>
        <w:ind w:firstLine="420" w:firstLineChars="200"/>
        <w:rPr>
          <w:color w:val="auto"/>
          <w:szCs w:val="21"/>
        </w:rPr>
      </w:pPr>
      <w:r>
        <w:rPr>
          <w:rFonts w:hint="eastAsia" w:ascii="宋体" w:hAnsi="宋体"/>
          <w:color w:val="auto"/>
        </w:rPr>
        <w:t>本</w:t>
      </w:r>
      <w:r>
        <w:rPr>
          <w:rFonts w:hint="eastAsia" w:hAnsi="宋体"/>
          <w:color w:val="auto"/>
          <w:szCs w:val="21"/>
        </w:rPr>
        <w:t>文件</w:t>
      </w:r>
      <w:r>
        <w:rPr>
          <w:rFonts w:hint="eastAsia" w:ascii="宋体" w:hAnsi="宋体"/>
          <w:color w:val="auto"/>
        </w:rPr>
        <w:t>起草单位：</w:t>
      </w:r>
      <w:r>
        <w:rPr>
          <w:rFonts w:hint="eastAsia"/>
          <w:color w:val="auto"/>
          <w:szCs w:val="21"/>
        </w:rPr>
        <w:t>国标（北京）检验认证有限公司、国合通用（青岛）测试评价有限公司、</w:t>
      </w:r>
      <w:r>
        <w:rPr>
          <w:rFonts w:hint="eastAsia" w:ascii="宋体" w:hAnsi="宋体"/>
          <w:color w:val="auto"/>
        </w:rPr>
        <w:t>有研亿金新材料有限公司</w:t>
      </w:r>
      <w:r>
        <w:rPr>
          <w:rFonts w:hint="eastAsia"/>
          <w:color w:val="auto"/>
          <w:szCs w:val="21"/>
        </w:rPr>
        <w:t>、</w:t>
      </w:r>
      <w:r>
        <w:rPr>
          <w:rFonts w:hint="eastAsia" w:ascii="宋体" w:hAnsi="宋体"/>
          <w:color w:val="auto"/>
        </w:rPr>
        <w:t>西部超导材料科技股份有限公司、钢研纳克检测技术股份有限公司、中铝材料应用研究院有限公司、</w:t>
      </w:r>
      <w:bookmarkStart w:id="5" w:name="OLE_LINK39"/>
      <w:r>
        <w:rPr>
          <w:rFonts w:hint="eastAsia"/>
          <w:color w:val="auto"/>
          <w:szCs w:val="21"/>
        </w:rPr>
        <w:t>安捷伦科技（中国）有限公司</w:t>
      </w:r>
      <w:bookmarkEnd w:id="5"/>
      <w:r>
        <w:rPr>
          <w:rFonts w:hint="eastAsia"/>
          <w:color w:val="auto"/>
          <w:szCs w:val="21"/>
        </w:rPr>
        <w:t>。</w:t>
      </w:r>
    </w:p>
    <w:p>
      <w:pPr>
        <w:snapToGrid w:val="0"/>
        <w:ind w:firstLine="420"/>
        <w:rPr>
          <w:color w:val="auto"/>
        </w:rPr>
      </w:pPr>
      <w:r>
        <w:rPr>
          <w:rFonts w:hint="eastAsia" w:ascii="宋体" w:hAnsi="宋体"/>
          <w:color w:val="auto"/>
        </w:rPr>
        <w:t>本</w:t>
      </w:r>
      <w:r>
        <w:rPr>
          <w:rFonts w:hint="eastAsia" w:hAnsi="宋体"/>
          <w:color w:val="auto"/>
          <w:szCs w:val="21"/>
        </w:rPr>
        <w:t>文件</w:t>
      </w:r>
      <w:r>
        <w:rPr>
          <w:rFonts w:hint="eastAsia" w:ascii="宋体" w:hAnsi="宋体"/>
          <w:color w:val="auto"/>
        </w:rPr>
        <w:t xml:space="preserve">主要起草人： </w:t>
      </w:r>
      <w:r>
        <w:rPr>
          <w:bCs/>
          <w:color w:val="auto"/>
          <w:szCs w:val="21"/>
        </w:rPr>
        <w:t>XXX、XXX、XXX、XXX</w:t>
      </w:r>
      <w:r>
        <w:rPr>
          <w:rFonts w:hint="eastAsia" w:ascii="宋体" w:hAnsi="宋体"/>
          <w:bCs/>
          <w:color w:val="auto"/>
          <w:szCs w:val="21"/>
        </w:rPr>
        <w:t>。</w:t>
      </w:r>
      <w:r>
        <w:rPr>
          <w:rFonts w:hint="eastAsia" w:ascii="宋体" w:hAnsi="宋体" w:cs="宋体"/>
          <w:color w:val="auto"/>
          <w:kern w:val="0"/>
          <w:sz w:val="18"/>
          <w:szCs w:val="18"/>
          <w:lang w:bidi="ar"/>
        </w:rPr>
        <w:t xml:space="preserve"> </w:t>
      </w:r>
    </w:p>
    <w:p>
      <w:pPr>
        <w:widowControl/>
        <w:jc w:val="left"/>
        <w:rPr>
          <w:rFonts w:ascii="宋体" w:hAnsi="宋体"/>
          <w:bCs/>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7191"/>
        </w:tabs>
        <w:jc w:val="left"/>
        <w:rPr>
          <w:color w:val="auto"/>
        </w:rPr>
        <w:sectPr>
          <w:footerReference r:id="rId8" w:type="default"/>
          <w:footerReference r:id="rId9" w:type="even"/>
          <w:pgSz w:w="11906" w:h="16838"/>
          <w:pgMar w:top="1418" w:right="1134" w:bottom="1134" w:left="1418" w:header="1417" w:footer="992" w:gutter="0"/>
          <w:pgBorders>
            <w:top w:val="none" w:sz="0" w:space="0"/>
            <w:left w:val="none" w:sz="0" w:space="0"/>
            <w:bottom w:val="none" w:sz="0" w:space="0"/>
            <w:right w:val="none" w:sz="0" w:space="0"/>
          </w:pgBorders>
          <w:pgNumType w:fmt="upperRoman" w:start="1"/>
          <w:cols w:space="720" w:num="1"/>
          <w:docGrid w:type="linesAndChars" w:linePitch="312" w:charSpace="0"/>
        </w:sectPr>
      </w:pPr>
      <w:r>
        <w:rPr>
          <w:rFonts w:hint="eastAsia"/>
          <w:color w:val="auto"/>
        </w:rPr>
        <w:tab/>
      </w:r>
    </w:p>
    <w:p>
      <w:pPr>
        <w:pStyle w:val="28"/>
        <w:spacing w:before="567" w:after="680"/>
        <w:ind w:left="0" w:firstLine="0"/>
        <w:rPr>
          <w:color w:val="auto"/>
        </w:rPr>
      </w:pPr>
      <w:r>
        <w:rPr>
          <w:rFonts w:hint="eastAsia"/>
          <w:color w:val="auto"/>
        </w:rPr>
        <w:t>引    言</w:t>
      </w:r>
    </w:p>
    <w:p>
      <w:pPr>
        <w:ind w:firstLine="420" w:firstLineChars="200"/>
        <w:rPr>
          <w:rFonts w:ascii="宋体" w:hAnsi="宋体" w:cs="宋体"/>
          <w:color w:val="auto"/>
          <w:kern w:val="0"/>
        </w:rPr>
      </w:pPr>
      <w:r>
        <w:rPr>
          <w:color w:val="auto"/>
        </w:rPr>
        <w:t>镍基</w:t>
      </w:r>
      <w:r>
        <w:rPr>
          <w:rFonts w:hint="eastAsia"/>
          <w:color w:val="auto"/>
        </w:rPr>
        <w:t>合金粉具有优异的高温强度、抗氧化性和抗腐蚀性</w:t>
      </w:r>
      <w:r>
        <w:rPr>
          <w:color w:val="auto"/>
          <w:kern w:val="0"/>
        </w:rPr>
        <w:t>、优异的蠕变与疲劳抗力</w:t>
      </w:r>
      <w:r>
        <w:rPr>
          <w:rFonts w:hint="eastAsia"/>
          <w:color w:val="auto"/>
          <w:kern w:val="0"/>
        </w:rPr>
        <w:t>以及</w:t>
      </w:r>
      <w:r>
        <w:rPr>
          <w:color w:val="auto"/>
          <w:kern w:val="0"/>
        </w:rPr>
        <w:t>良好的组织稳定性和使用可靠性，是航空、航天发动机高温部件的关键材料，又是舰船、能源、石油化工等工业领域不可缺少的重要材料。YS/T 539《镍基合金粉的化学分析方法》系列标准于1988年首次颁布实施并经过两次修订完善，对材料的质量控制和性能提升具有重要作用，拟由10个部分构成</w:t>
      </w:r>
      <w:r>
        <w:rPr>
          <w:rFonts w:hint="eastAsia" w:ascii="宋体" w:hAnsi="宋体" w:cs="宋体"/>
          <w:color w:val="auto"/>
          <w:kern w:val="0"/>
        </w:rPr>
        <w:t>：</w:t>
      </w:r>
    </w:p>
    <w:p>
      <w:pPr>
        <w:ind w:firstLine="420"/>
        <w:rPr>
          <w:color w:val="auto"/>
        </w:rPr>
      </w:pPr>
      <w:r>
        <w:rPr>
          <w:color w:val="auto"/>
        </w:rPr>
        <w:t>——第1部分</w:t>
      </w:r>
      <w:r>
        <w:rPr>
          <w:rFonts w:hint="eastAsia"/>
          <w:color w:val="auto"/>
        </w:rPr>
        <w:t>：硼含量的测定  酸碱滴定法</w:t>
      </w:r>
      <w:r>
        <w:rPr>
          <w:color w:val="auto"/>
        </w:rPr>
        <w:t>；</w:t>
      </w:r>
    </w:p>
    <w:p>
      <w:pPr>
        <w:ind w:left="420" w:leftChars="200"/>
        <w:rPr>
          <w:color w:val="auto"/>
        </w:rPr>
      </w:pPr>
      <w:r>
        <w:rPr>
          <w:color w:val="auto"/>
        </w:rPr>
        <w:t>——第2部分：</w:t>
      </w:r>
      <w:r>
        <w:rPr>
          <w:rFonts w:hint="eastAsia"/>
          <w:color w:val="auto"/>
        </w:rPr>
        <w:t>钨含量的测定  辛可宁称量法</w:t>
      </w:r>
      <w:r>
        <w:rPr>
          <w:color w:val="auto"/>
        </w:rPr>
        <w:t>；</w:t>
      </w:r>
    </w:p>
    <w:p>
      <w:pPr>
        <w:ind w:left="420" w:leftChars="200"/>
        <w:rPr>
          <w:color w:val="auto"/>
        </w:rPr>
      </w:pPr>
      <w:r>
        <w:rPr>
          <w:color w:val="auto"/>
        </w:rPr>
        <w:t>——第3部分：</w:t>
      </w:r>
      <w:r>
        <w:rPr>
          <w:rFonts w:hint="eastAsia"/>
          <w:color w:val="auto"/>
        </w:rPr>
        <w:t>硅含量的测定  钼蓝分光光度法</w:t>
      </w:r>
      <w:r>
        <w:rPr>
          <w:color w:val="auto"/>
        </w:rPr>
        <w:t>；</w:t>
      </w:r>
    </w:p>
    <w:p>
      <w:pPr>
        <w:ind w:left="420" w:leftChars="200"/>
        <w:rPr>
          <w:color w:val="auto"/>
        </w:rPr>
      </w:pPr>
      <w:r>
        <w:rPr>
          <w:color w:val="auto"/>
        </w:rPr>
        <w:t>——第4部分：</w:t>
      </w:r>
      <w:r>
        <w:rPr>
          <w:rFonts w:hint="eastAsia"/>
          <w:color w:val="auto"/>
        </w:rPr>
        <w:t>铬含量的测定  过硫酸铵氧化滴定法；</w:t>
      </w:r>
    </w:p>
    <w:p>
      <w:pPr>
        <w:ind w:firstLine="420"/>
        <w:rPr>
          <w:color w:val="auto"/>
        </w:rPr>
      </w:pPr>
      <w:r>
        <w:rPr>
          <w:color w:val="auto"/>
        </w:rPr>
        <w:t>——第5部分：</w:t>
      </w:r>
      <w:r>
        <w:rPr>
          <w:rFonts w:hint="eastAsia"/>
          <w:color w:val="auto"/>
        </w:rPr>
        <w:t>铜含量的测定  硫代硫酸钠碘量法；</w:t>
      </w:r>
    </w:p>
    <w:p>
      <w:pPr>
        <w:ind w:left="420" w:leftChars="200"/>
        <w:rPr>
          <w:color w:val="auto"/>
        </w:rPr>
      </w:pPr>
      <w:r>
        <w:rPr>
          <w:color w:val="auto"/>
        </w:rPr>
        <w:t>——第6部分：</w:t>
      </w:r>
      <w:r>
        <w:rPr>
          <w:rFonts w:hint="eastAsia"/>
          <w:color w:val="auto"/>
        </w:rPr>
        <w:t>铁含量的测定  三氯化钛-重铬酸钾滴定法；</w:t>
      </w:r>
    </w:p>
    <w:p>
      <w:pPr>
        <w:ind w:left="420" w:leftChars="200"/>
        <w:rPr>
          <w:color w:val="auto"/>
        </w:rPr>
      </w:pPr>
      <w:r>
        <w:rPr>
          <w:color w:val="auto"/>
        </w:rPr>
        <w:t>——第7部分：</w:t>
      </w:r>
      <w:r>
        <w:rPr>
          <w:rFonts w:hint="eastAsia"/>
          <w:color w:val="auto"/>
        </w:rPr>
        <w:t>磷含量的测定  正丁醇-三氯甲烷萃取分光光度法；</w:t>
      </w:r>
    </w:p>
    <w:p>
      <w:pPr>
        <w:ind w:left="420" w:leftChars="200"/>
        <w:rPr>
          <w:color w:val="auto"/>
        </w:rPr>
      </w:pPr>
      <w:r>
        <w:rPr>
          <w:color w:val="auto"/>
        </w:rPr>
        <w:t>——第8部分：</w:t>
      </w:r>
      <w:r>
        <w:rPr>
          <w:rFonts w:hint="eastAsia"/>
          <w:color w:val="auto"/>
        </w:rPr>
        <w:t>氧含量的测定  脉冲加热惰气熔融-红外线吸收法；</w:t>
      </w:r>
    </w:p>
    <w:p>
      <w:pPr>
        <w:ind w:left="420" w:leftChars="200"/>
        <w:rPr>
          <w:color w:val="auto"/>
        </w:rPr>
      </w:pPr>
      <w:r>
        <w:rPr>
          <w:color w:val="auto"/>
        </w:rPr>
        <w:t>——第9部分：</w:t>
      </w:r>
      <w:r>
        <w:rPr>
          <w:rFonts w:hint="eastAsia"/>
          <w:color w:val="auto"/>
        </w:rPr>
        <w:t>杂质元素含量的测定  电感耦合等离子体原子发射光谱法；</w:t>
      </w:r>
    </w:p>
    <w:p>
      <w:pPr>
        <w:ind w:left="420" w:leftChars="200"/>
        <w:rPr>
          <w:color w:val="auto"/>
        </w:rPr>
      </w:pPr>
      <w:r>
        <w:rPr>
          <w:color w:val="auto"/>
        </w:rPr>
        <w:t>——第10部分：</w:t>
      </w:r>
      <w:bookmarkStart w:id="6" w:name="OLE_LINK17"/>
      <w:r>
        <w:rPr>
          <w:rFonts w:hint="eastAsia"/>
          <w:color w:val="auto"/>
        </w:rPr>
        <w:t>痕量</w:t>
      </w:r>
      <w:r>
        <w:rPr>
          <w:color w:val="auto"/>
        </w:rPr>
        <w:t>杂质元素</w:t>
      </w:r>
      <w:r>
        <w:rPr>
          <w:rFonts w:hint="eastAsia"/>
          <w:color w:val="auto"/>
        </w:rPr>
        <w:t>含量的测定  电感耦合等离子体质谱法</w:t>
      </w:r>
      <w:bookmarkEnd w:id="6"/>
      <w:r>
        <w:rPr>
          <w:rFonts w:hint="eastAsia"/>
          <w:color w:val="auto"/>
        </w:rPr>
        <w:t>。</w:t>
      </w:r>
    </w:p>
    <w:p>
      <w:pPr>
        <w:ind w:firstLine="420" w:firstLineChars="200"/>
        <w:rPr>
          <w:rFonts w:ascii="宋体" w:hAnsi="宋体"/>
          <w:bCs/>
          <w:color w:val="auto"/>
          <w:szCs w:val="21"/>
        </w:rPr>
      </w:pPr>
      <w:bookmarkStart w:id="7" w:name="OLE_LINK37"/>
      <w:bookmarkStart w:id="8" w:name="OLE_LINK36"/>
      <w:r>
        <w:rPr>
          <w:rFonts w:hint="eastAsia" w:ascii="宋体" w:hAnsi="宋体" w:cs="宋体"/>
          <w:color w:val="auto"/>
          <w:kern w:val="0"/>
        </w:rPr>
        <w:t>电感耦合等离子体质谱仪具有多元素同时测定，检出限低等优点，在有色金属分析检测领域应用广泛。本文件的制定重点考虑了镍基合金粉产品中痕量杂质元素含量的测试需求，具有先进性、可操作性和广泛的适用性</w:t>
      </w:r>
      <w:bookmarkEnd w:id="7"/>
      <w:bookmarkEnd w:id="8"/>
      <w:r>
        <w:rPr>
          <w:rFonts w:hint="eastAsia" w:ascii="宋体" w:hAnsi="宋体" w:cs="宋体"/>
          <w:color w:val="auto"/>
          <w:kern w:val="0"/>
        </w:rPr>
        <w:t>，有助于镍基合金粉产品质量的提升</w:t>
      </w:r>
      <w:r>
        <w:rPr>
          <w:rFonts w:hint="eastAsia" w:ascii="宋体" w:hAnsi="宋体"/>
          <w:bCs/>
          <w:color w:val="auto"/>
          <w:szCs w:val="21"/>
        </w:rPr>
        <w:t>。</w:t>
      </w:r>
    </w:p>
    <w:p>
      <w:pPr>
        <w:spacing w:line="360" w:lineRule="exact"/>
        <w:rPr>
          <w:color w:val="auto"/>
          <w:szCs w:val="21"/>
        </w:rPr>
      </w:pPr>
    </w:p>
    <w:p>
      <w:pPr>
        <w:rPr>
          <w:color w:val="auto"/>
          <w:szCs w:val="21"/>
        </w:rPr>
      </w:pPr>
      <w:r>
        <w:rPr>
          <w:color w:val="auto"/>
          <w:szCs w:val="21"/>
        </w:rPr>
        <w:br w:type="page"/>
      </w:r>
    </w:p>
    <w:p>
      <w:pPr>
        <w:spacing w:line="360" w:lineRule="exact"/>
        <w:rPr>
          <w:color w:val="auto"/>
          <w:szCs w:val="21"/>
        </w:rPr>
        <w:sectPr>
          <w:pgSz w:w="11906" w:h="16838"/>
          <w:pgMar w:top="1418" w:right="1134" w:bottom="1134" w:left="1418" w:header="1417" w:footer="992" w:gutter="0"/>
          <w:pgBorders>
            <w:top w:val="none" w:sz="0" w:space="0"/>
            <w:left w:val="none" w:sz="0" w:space="0"/>
            <w:bottom w:val="none" w:sz="0" w:space="0"/>
            <w:right w:val="none" w:sz="0" w:space="0"/>
          </w:pgBorders>
          <w:pgNumType w:fmt="upperRoman"/>
          <w:cols w:space="720" w:num="1"/>
          <w:docGrid w:type="linesAndChars" w:linePitch="312" w:charSpace="0"/>
        </w:sectPr>
      </w:pPr>
    </w:p>
    <w:p>
      <w:pPr>
        <w:adjustRightInd w:val="0"/>
        <w:snapToGrid w:val="0"/>
        <w:spacing w:before="567" w:line="360" w:lineRule="exact"/>
        <w:jc w:val="center"/>
        <w:rPr>
          <w:rFonts w:ascii="黑体" w:eastAsia="黑体"/>
          <w:color w:val="auto"/>
          <w:sz w:val="52"/>
          <w:szCs w:val="52"/>
        </w:rPr>
      </w:pPr>
      <w:r>
        <w:rPr>
          <w:rFonts w:hint="eastAsia" w:ascii="黑体" w:eastAsia="黑体"/>
          <w:color w:val="auto"/>
          <w:sz w:val="32"/>
          <w:szCs w:val="24"/>
        </w:rPr>
        <w:t>镍基合金粉</w:t>
      </w:r>
      <w:r>
        <w:rPr>
          <w:rFonts w:hint="eastAsia" w:ascii="黑体" w:eastAsia="黑体"/>
          <w:bCs/>
          <w:color w:val="auto"/>
          <w:sz w:val="32"/>
          <w:szCs w:val="32"/>
        </w:rPr>
        <w:t>化学分析方法</w:t>
      </w:r>
    </w:p>
    <w:p>
      <w:pPr>
        <w:adjustRightInd w:val="0"/>
        <w:snapToGrid w:val="0"/>
        <w:spacing w:line="360" w:lineRule="exact"/>
        <w:jc w:val="center"/>
        <w:rPr>
          <w:rFonts w:ascii="黑体" w:eastAsia="黑体"/>
          <w:bCs/>
          <w:color w:val="auto"/>
          <w:sz w:val="32"/>
          <w:szCs w:val="32"/>
        </w:rPr>
      </w:pPr>
      <w:r>
        <w:rPr>
          <w:rFonts w:hint="eastAsia" w:ascii="黑体" w:hAnsi="黑体" w:eastAsia="黑体"/>
          <w:color w:val="auto"/>
          <w:spacing w:val="-20"/>
          <w:sz w:val="32"/>
          <w:szCs w:val="32"/>
        </w:rPr>
        <w:t>第</w:t>
      </w:r>
      <w:r>
        <w:rPr>
          <w:rFonts w:ascii="黑体" w:hAnsi="黑体" w:eastAsia="黑体"/>
          <w:color w:val="auto"/>
          <w:spacing w:val="-20"/>
          <w:sz w:val="32"/>
          <w:szCs w:val="32"/>
        </w:rPr>
        <w:t>1</w:t>
      </w:r>
      <w:r>
        <w:rPr>
          <w:rFonts w:hint="eastAsia" w:ascii="黑体" w:hAnsi="黑体" w:eastAsia="黑体"/>
          <w:color w:val="auto"/>
          <w:spacing w:val="-20"/>
          <w:sz w:val="32"/>
          <w:szCs w:val="32"/>
        </w:rPr>
        <w:t>0部分：</w:t>
      </w:r>
      <w:r>
        <w:rPr>
          <w:rFonts w:hint="eastAsia" w:ascii="黑体" w:eastAsia="黑体"/>
          <w:bCs/>
          <w:color w:val="auto"/>
          <w:sz w:val="32"/>
          <w:szCs w:val="32"/>
        </w:rPr>
        <w:t>痕量杂质</w:t>
      </w:r>
      <w:r>
        <w:rPr>
          <w:rFonts w:ascii="黑体" w:eastAsia="黑体"/>
          <w:bCs/>
          <w:color w:val="auto"/>
          <w:sz w:val="32"/>
          <w:szCs w:val="32"/>
        </w:rPr>
        <w:t>元素</w:t>
      </w:r>
      <w:r>
        <w:rPr>
          <w:rFonts w:hint="eastAsia" w:ascii="黑体" w:eastAsia="黑体"/>
          <w:bCs/>
          <w:color w:val="auto"/>
          <w:sz w:val="32"/>
          <w:szCs w:val="32"/>
        </w:rPr>
        <w:t>含量的测定</w:t>
      </w:r>
    </w:p>
    <w:p>
      <w:pPr>
        <w:adjustRightInd w:val="0"/>
        <w:snapToGrid w:val="0"/>
        <w:spacing w:after="680" w:line="360" w:lineRule="exact"/>
        <w:jc w:val="center"/>
        <w:rPr>
          <w:rFonts w:ascii="黑体" w:eastAsia="黑体"/>
          <w:bCs/>
          <w:color w:val="auto"/>
          <w:sz w:val="32"/>
          <w:szCs w:val="32"/>
        </w:rPr>
      </w:pPr>
      <w:bookmarkStart w:id="9" w:name="OLE_LINK14"/>
      <w:r>
        <w:rPr>
          <w:rFonts w:hint="eastAsia" w:ascii="黑体" w:eastAsia="黑体"/>
          <w:bCs/>
          <w:color w:val="auto"/>
          <w:sz w:val="32"/>
          <w:szCs w:val="32"/>
        </w:rPr>
        <w:t>电感耦合等离子体质谱法</w:t>
      </w:r>
      <w:bookmarkEnd w:id="9"/>
    </w:p>
    <w:p>
      <w:pPr>
        <w:pStyle w:val="76"/>
        <w:numPr>
          <w:ilvl w:val="0"/>
          <w:numId w:val="1"/>
        </w:numPr>
        <w:snapToGrid w:val="0"/>
        <w:spacing w:before="312" w:beforeLines="100" w:after="312" w:afterLines="100" w:line="360" w:lineRule="atLeast"/>
        <w:ind w:firstLineChars="0"/>
        <w:outlineLvl w:val="1"/>
        <w:rPr>
          <w:rFonts w:ascii="黑体" w:eastAsia="黑体"/>
          <w:bCs/>
          <w:color w:val="auto"/>
          <w:szCs w:val="21"/>
        </w:rPr>
      </w:pPr>
      <w:bookmarkStart w:id="10" w:name="_Toc64357460"/>
      <w:bookmarkStart w:id="11" w:name="_Toc64356953"/>
      <w:bookmarkStart w:id="12" w:name="_Toc64356031"/>
      <w:bookmarkStart w:id="13" w:name="_Toc66237952"/>
      <w:bookmarkStart w:id="14" w:name="_Toc66238156"/>
      <w:bookmarkStart w:id="15" w:name="_Toc64690970"/>
      <w:bookmarkStart w:id="16" w:name="_Toc66237719"/>
      <w:bookmarkStart w:id="17" w:name="_Toc64356674"/>
      <w:r>
        <w:rPr>
          <w:rFonts w:hint="eastAsia" w:ascii="黑体" w:eastAsia="黑体"/>
          <w:bCs/>
          <w:color w:val="auto"/>
          <w:szCs w:val="21"/>
        </w:rPr>
        <w:t xml:space="preserve">  范围</w:t>
      </w:r>
      <w:bookmarkEnd w:id="10"/>
      <w:bookmarkEnd w:id="11"/>
      <w:bookmarkEnd w:id="12"/>
      <w:bookmarkEnd w:id="13"/>
      <w:bookmarkEnd w:id="14"/>
      <w:bookmarkEnd w:id="15"/>
      <w:bookmarkEnd w:id="16"/>
      <w:bookmarkEnd w:id="17"/>
    </w:p>
    <w:p>
      <w:pPr>
        <w:pStyle w:val="32"/>
        <w:adjustRightInd w:val="0"/>
        <w:snapToGrid w:val="0"/>
        <w:spacing w:line="360" w:lineRule="exact"/>
        <w:ind w:firstLine="444"/>
        <w:rPr>
          <w:color w:val="auto"/>
          <w:spacing w:val="6"/>
        </w:rPr>
      </w:pPr>
      <w:r>
        <w:rPr>
          <w:rFonts w:hint="eastAsia"/>
          <w:color w:val="auto"/>
          <w:spacing w:val="6"/>
        </w:rPr>
        <w:t>本文件</w:t>
      </w:r>
      <w:bookmarkStart w:id="18" w:name="OLE_LINK25"/>
      <w:r>
        <w:rPr>
          <w:rFonts w:hint="eastAsia"/>
          <w:color w:val="auto"/>
          <w:spacing w:val="6"/>
        </w:rPr>
        <w:t>描述了采用</w:t>
      </w:r>
      <w:r>
        <w:rPr>
          <w:rFonts w:hint="eastAsia" w:hAnsi="宋体" w:cs="宋体"/>
          <w:bCs/>
          <w:color w:val="auto"/>
          <w:szCs w:val="21"/>
        </w:rPr>
        <w:t>电感耦合等离子体质谱法测定</w:t>
      </w:r>
      <w:r>
        <w:rPr>
          <w:rFonts w:hint="eastAsia"/>
          <w:color w:val="auto"/>
          <w:spacing w:val="6"/>
        </w:rPr>
        <w:t>镍基合金粉中</w:t>
      </w:r>
      <w:bookmarkStart w:id="19" w:name="OLE_LINK1"/>
      <w:r>
        <w:rPr>
          <w:rFonts w:hint="eastAsia"/>
          <w:color w:val="auto"/>
          <w:spacing w:val="6"/>
        </w:rPr>
        <w:t>硼、镁</w:t>
      </w:r>
      <w:r>
        <w:rPr>
          <w:color w:val="auto"/>
          <w:spacing w:val="6"/>
        </w:rPr>
        <w:t>、锌、</w:t>
      </w:r>
      <w:r>
        <w:rPr>
          <w:rFonts w:hint="eastAsia"/>
          <w:color w:val="auto"/>
          <w:spacing w:val="6"/>
        </w:rPr>
        <w:t>镓</w:t>
      </w:r>
      <w:r>
        <w:rPr>
          <w:color w:val="auto"/>
          <w:spacing w:val="6"/>
        </w:rPr>
        <w:t>、</w:t>
      </w:r>
      <w:r>
        <w:rPr>
          <w:rFonts w:hint="eastAsia"/>
          <w:color w:val="auto"/>
          <w:spacing w:val="6"/>
        </w:rPr>
        <w:t>砷</w:t>
      </w:r>
      <w:r>
        <w:rPr>
          <w:color w:val="auto"/>
          <w:spacing w:val="6"/>
        </w:rPr>
        <w:t>、</w:t>
      </w:r>
      <w:r>
        <w:rPr>
          <w:rFonts w:hint="eastAsia"/>
          <w:color w:val="auto"/>
          <w:spacing w:val="6"/>
        </w:rPr>
        <w:t>硒</w:t>
      </w:r>
      <w:r>
        <w:rPr>
          <w:color w:val="auto"/>
          <w:spacing w:val="6"/>
        </w:rPr>
        <w:t>、</w:t>
      </w:r>
      <w:r>
        <w:rPr>
          <w:rFonts w:hint="eastAsia"/>
          <w:color w:val="auto"/>
          <w:spacing w:val="6"/>
        </w:rPr>
        <w:t>银、镉</w:t>
      </w:r>
      <w:r>
        <w:rPr>
          <w:color w:val="auto"/>
          <w:spacing w:val="6"/>
        </w:rPr>
        <w:t>、</w:t>
      </w:r>
      <w:r>
        <w:rPr>
          <w:rFonts w:hint="eastAsia"/>
          <w:color w:val="auto"/>
          <w:spacing w:val="6"/>
        </w:rPr>
        <w:t>锡、锑、碲</w:t>
      </w:r>
      <w:r>
        <w:rPr>
          <w:color w:val="auto"/>
          <w:spacing w:val="6"/>
        </w:rPr>
        <w:t>、</w:t>
      </w:r>
      <w:r>
        <w:rPr>
          <w:rFonts w:hint="eastAsia"/>
          <w:color w:val="auto"/>
          <w:spacing w:val="6"/>
        </w:rPr>
        <w:t>铂、金、铊</w:t>
      </w:r>
      <w:r>
        <w:rPr>
          <w:color w:val="auto"/>
          <w:spacing w:val="6"/>
        </w:rPr>
        <w:t>、</w:t>
      </w:r>
      <w:r>
        <w:rPr>
          <w:rFonts w:hint="eastAsia"/>
          <w:color w:val="auto"/>
          <w:spacing w:val="6"/>
        </w:rPr>
        <w:t>铅</w:t>
      </w:r>
      <w:r>
        <w:rPr>
          <w:rFonts w:hint="eastAsia" w:ascii="Times New Roman"/>
          <w:color w:val="auto"/>
          <w:spacing w:val="6"/>
        </w:rPr>
        <w:t>和</w:t>
      </w:r>
      <w:r>
        <w:rPr>
          <w:rFonts w:ascii="Times New Roman"/>
          <w:color w:val="auto"/>
          <w:spacing w:val="6"/>
        </w:rPr>
        <w:t>铋</w:t>
      </w:r>
      <w:bookmarkEnd w:id="19"/>
      <w:r>
        <w:rPr>
          <w:rFonts w:hint="eastAsia"/>
          <w:color w:val="auto"/>
          <w:spacing w:val="6"/>
        </w:rPr>
        <w:t>含量的方法</w:t>
      </w:r>
      <w:bookmarkEnd w:id="18"/>
      <w:r>
        <w:rPr>
          <w:rFonts w:hint="eastAsia"/>
          <w:color w:val="auto"/>
          <w:spacing w:val="6"/>
        </w:rPr>
        <w:t>。</w:t>
      </w:r>
    </w:p>
    <w:p>
      <w:pPr>
        <w:pStyle w:val="32"/>
        <w:adjustRightInd w:val="0"/>
        <w:snapToGrid w:val="0"/>
        <w:spacing w:line="360" w:lineRule="exact"/>
        <w:ind w:firstLine="444"/>
        <w:rPr>
          <w:rFonts w:hAnsi="宋体" w:cs="宋体"/>
          <w:color w:val="auto"/>
          <w:spacing w:val="6"/>
        </w:rPr>
      </w:pPr>
      <w:r>
        <w:rPr>
          <w:rFonts w:hint="eastAsia" w:ascii="Times New Roman"/>
          <w:color w:val="auto"/>
          <w:spacing w:val="6"/>
        </w:rPr>
        <w:t>本文件适用于</w:t>
      </w:r>
      <w:bookmarkStart w:id="20" w:name="OLE_LINK3"/>
      <w:bookmarkStart w:id="21" w:name="OLE_LINK7"/>
      <w:r>
        <w:rPr>
          <w:rFonts w:hint="eastAsia"/>
          <w:color w:val="auto"/>
          <w:spacing w:val="6"/>
        </w:rPr>
        <w:t>镍基合金粉中硼、镁</w:t>
      </w:r>
      <w:r>
        <w:rPr>
          <w:color w:val="auto"/>
          <w:spacing w:val="6"/>
        </w:rPr>
        <w:t>、锌、</w:t>
      </w:r>
      <w:r>
        <w:rPr>
          <w:rFonts w:hint="eastAsia"/>
          <w:color w:val="auto"/>
          <w:spacing w:val="6"/>
        </w:rPr>
        <w:t>镓</w:t>
      </w:r>
      <w:r>
        <w:rPr>
          <w:color w:val="auto"/>
          <w:spacing w:val="6"/>
        </w:rPr>
        <w:t>、</w:t>
      </w:r>
      <w:r>
        <w:rPr>
          <w:rFonts w:hint="eastAsia"/>
          <w:color w:val="auto"/>
          <w:spacing w:val="6"/>
        </w:rPr>
        <w:t>砷</w:t>
      </w:r>
      <w:r>
        <w:rPr>
          <w:color w:val="auto"/>
          <w:spacing w:val="6"/>
        </w:rPr>
        <w:t>、</w:t>
      </w:r>
      <w:r>
        <w:rPr>
          <w:rFonts w:hint="eastAsia"/>
          <w:color w:val="auto"/>
          <w:spacing w:val="6"/>
        </w:rPr>
        <w:t>硒</w:t>
      </w:r>
      <w:r>
        <w:rPr>
          <w:color w:val="auto"/>
          <w:spacing w:val="6"/>
        </w:rPr>
        <w:t>、</w:t>
      </w:r>
      <w:r>
        <w:rPr>
          <w:rFonts w:hint="eastAsia"/>
          <w:color w:val="auto"/>
          <w:spacing w:val="6"/>
        </w:rPr>
        <w:t>银、镉</w:t>
      </w:r>
      <w:r>
        <w:rPr>
          <w:color w:val="auto"/>
          <w:spacing w:val="6"/>
        </w:rPr>
        <w:t>、</w:t>
      </w:r>
      <w:r>
        <w:rPr>
          <w:rFonts w:hint="eastAsia"/>
          <w:color w:val="auto"/>
          <w:spacing w:val="6"/>
        </w:rPr>
        <w:t>锡、锑、碲</w:t>
      </w:r>
      <w:r>
        <w:rPr>
          <w:color w:val="auto"/>
          <w:spacing w:val="6"/>
        </w:rPr>
        <w:t>、</w:t>
      </w:r>
      <w:r>
        <w:rPr>
          <w:rFonts w:hint="eastAsia"/>
          <w:color w:val="auto"/>
          <w:spacing w:val="6"/>
        </w:rPr>
        <w:t>铂、金、铊</w:t>
      </w:r>
      <w:r>
        <w:rPr>
          <w:color w:val="auto"/>
          <w:spacing w:val="6"/>
        </w:rPr>
        <w:t>、</w:t>
      </w:r>
      <w:r>
        <w:rPr>
          <w:rFonts w:hint="eastAsia"/>
          <w:color w:val="auto"/>
          <w:spacing w:val="6"/>
        </w:rPr>
        <w:t>铅</w:t>
      </w:r>
      <w:r>
        <w:rPr>
          <w:rFonts w:hint="eastAsia" w:ascii="Times New Roman"/>
          <w:color w:val="auto"/>
          <w:spacing w:val="6"/>
        </w:rPr>
        <w:t>和</w:t>
      </w:r>
      <w:r>
        <w:rPr>
          <w:rFonts w:ascii="Times New Roman"/>
          <w:color w:val="auto"/>
          <w:spacing w:val="6"/>
        </w:rPr>
        <w:t>铋</w:t>
      </w:r>
      <w:r>
        <w:rPr>
          <w:rFonts w:hint="eastAsia"/>
          <w:color w:val="auto"/>
          <w:spacing w:val="6"/>
        </w:rPr>
        <w:t>含量</w:t>
      </w:r>
      <w:bookmarkEnd w:id="20"/>
      <w:r>
        <w:rPr>
          <w:rFonts w:hint="eastAsia" w:ascii="Times New Roman"/>
          <w:color w:val="auto"/>
          <w:spacing w:val="6"/>
          <w:szCs w:val="20"/>
        </w:rPr>
        <w:t>的测定</w:t>
      </w:r>
      <w:bookmarkEnd w:id="21"/>
      <w:r>
        <w:rPr>
          <w:rFonts w:hint="eastAsia" w:ascii="Times New Roman"/>
          <w:color w:val="auto"/>
          <w:spacing w:val="6"/>
        </w:rPr>
        <w:t>，</w:t>
      </w:r>
      <w:r>
        <w:rPr>
          <w:rFonts w:hint="eastAsia" w:ascii="Times New Roman"/>
          <w:color w:val="auto"/>
          <w:spacing w:val="6"/>
          <w:szCs w:val="20"/>
        </w:rPr>
        <w:t>测定范围</w:t>
      </w:r>
      <w:r>
        <w:rPr>
          <w:rFonts w:hint="eastAsia" w:ascii="Times New Roman" w:hAnsi="Times New Roman" w:cs="Times New Roman"/>
          <w:color w:val="auto"/>
          <w:szCs w:val="20"/>
        </w:rPr>
        <w:t>见表1</w:t>
      </w:r>
      <w:r>
        <w:rPr>
          <w:rFonts w:hint="eastAsia" w:hAnsi="宋体" w:cs="宋体"/>
          <w:color w:val="auto"/>
          <w:spacing w:val="6"/>
        </w:rPr>
        <w:t>。</w:t>
      </w:r>
    </w:p>
    <w:p>
      <w:pPr>
        <w:pStyle w:val="5"/>
        <w:adjustRightInd w:val="0"/>
        <w:snapToGrid w:val="0"/>
        <w:spacing w:before="156" w:beforeLines="50" w:after="156" w:afterLines="50"/>
        <w:ind w:firstLine="0" w:firstLineChars="0"/>
        <w:jc w:val="center"/>
        <w:rPr>
          <w:rFonts w:eastAsia="黑体"/>
          <w:bCs/>
          <w:color w:val="auto"/>
          <w:szCs w:val="21"/>
        </w:rPr>
      </w:pPr>
      <w:bookmarkStart w:id="22" w:name="OLE_LINK4"/>
      <w:r>
        <w:rPr>
          <w:rFonts w:hint="eastAsia" w:eastAsia="黑体"/>
          <w:bCs/>
          <w:color w:val="auto"/>
          <w:szCs w:val="21"/>
        </w:rPr>
        <w:t>表1  元素测定范围</w:t>
      </w:r>
    </w:p>
    <w:tbl>
      <w:tblPr>
        <w:tblStyle w:val="18"/>
        <w:tblW w:w="4998"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1580"/>
        <w:gridCol w:w="3110"/>
        <w:gridCol w:w="1616"/>
        <w:gridCol w:w="3074"/>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6" w:hRule="atLeast"/>
          <w:tblHeader/>
          <w:jc w:val="center"/>
        </w:trPr>
        <w:tc>
          <w:tcPr>
            <w:tcW w:w="842" w:type="pct"/>
            <w:tcBorders>
              <w:bottom w:val="single" w:color="000000" w:sz="12" w:space="0"/>
              <w:right w:val="single" w:color="000000" w:sz="6" w:space="0"/>
            </w:tcBorders>
            <w:vAlign w:val="center"/>
          </w:tcPr>
          <w:p>
            <w:pPr>
              <w:widowControl/>
              <w:jc w:val="center"/>
              <w:rPr>
                <w:color w:val="auto"/>
                <w:kern w:val="0"/>
                <w:sz w:val="18"/>
                <w:szCs w:val="18"/>
              </w:rPr>
            </w:pPr>
            <w:r>
              <w:rPr>
                <w:color w:val="auto"/>
                <w:kern w:val="0"/>
                <w:sz w:val="18"/>
                <w:szCs w:val="18"/>
              </w:rPr>
              <w:t>元素</w:t>
            </w:r>
          </w:p>
        </w:tc>
        <w:tc>
          <w:tcPr>
            <w:tcW w:w="1657" w:type="pct"/>
            <w:tcBorders>
              <w:left w:val="single" w:color="000000" w:sz="6" w:space="0"/>
              <w:bottom w:val="single" w:color="000000" w:sz="12" w:space="0"/>
              <w:right w:val="double" w:color="000000" w:sz="6" w:space="0"/>
            </w:tcBorders>
            <w:vAlign w:val="center"/>
          </w:tcPr>
          <w:p>
            <w:pPr>
              <w:tabs>
                <w:tab w:val="center" w:pos="5028"/>
                <w:tab w:val="right" w:pos="9637"/>
              </w:tabs>
              <w:jc w:val="center"/>
              <w:rPr>
                <w:color w:val="auto"/>
                <w:sz w:val="18"/>
                <w:szCs w:val="18"/>
              </w:rPr>
            </w:pPr>
            <w:r>
              <w:rPr>
                <w:rFonts w:hint="eastAsia"/>
                <w:color w:val="auto"/>
                <w:sz w:val="18"/>
                <w:szCs w:val="18"/>
              </w:rPr>
              <w:t>质量分数</w:t>
            </w:r>
          </w:p>
          <w:p>
            <w:pPr>
              <w:widowControl/>
              <w:jc w:val="center"/>
              <w:rPr>
                <w:color w:val="auto"/>
                <w:kern w:val="0"/>
                <w:sz w:val="18"/>
                <w:szCs w:val="18"/>
              </w:rPr>
            </w:pPr>
            <w:r>
              <w:rPr>
                <w:color w:val="auto"/>
                <w:sz w:val="18"/>
                <w:szCs w:val="18"/>
              </w:rPr>
              <w:t>%</w:t>
            </w:r>
          </w:p>
        </w:tc>
        <w:tc>
          <w:tcPr>
            <w:tcW w:w="861" w:type="pct"/>
            <w:tcBorders>
              <w:left w:val="double" w:color="000000" w:sz="6" w:space="0"/>
              <w:bottom w:val="single" w:color="000000" w:sz="12" w:space="0"/>
              <w:right w:val="single" w:color="000000" w:sz="6" w:space="0"/>
            </w:tcBorders>
            <w:vAlign w:val="center"/>
          </w:tcPr>
          <w:p>
            <w:pPr>
              <w:widowControl/>
              <w:jc w:val="center"/>
              <w:rPr>
                <w:color w:val="auto"/>
                <w:kern w:val="0"/>
                <w:sz w:val="18"/>
                <w:szCs w:val="18"/>
              </w:rPr>
            </w:pPr>
            <w:r>
              <w:rPr>
                <w:color w:val="auto"/>
                <w:kern w:val="0"/>
                <w:sz w:val="18"/>
                <w:szCs w:val="18"/>
              </w:rPr>
              <w:t>元素</w:t>
            </w:r>
          </w:p>
        </w:tc>
        <w:tc>
          <w:tcPr>
            <w:tcW w:w="1638" w:type="pct"/>
            <w:tcBorders>
              <w:left w:val="single" w:color="000000" w:sz="6" w:space="0"/>
              <w:bottom w:val="single" w:color="000000" w:sz="12" w:space="0"/>
            </w:tcBorders>
            <w:vAlign w:val="center"/>
          </w:tcPr>
          <w:p>
            <w:pPr>
              <w:tabs>
                <w:tab w:val="center" w:pos="5028"/>
                <w:tab w:val="right" w:pos="9637"/>
              </w:tabs>
              <w:jc w:val="center"/>
              <w:rPr>
                <w:color w:val="auto"/>
                <w:sz w:val="18"/>
                <w:szCs w:val="18"/>
              </w:rPr>
            </w:pPr>
            <w:r>
              <w:rPr>
                <w:rFonts w:hint="eastAsia"/>
                <w:color w:val="auto"/>
                <w:sz w:val="18"/>
                <w:szCs w:val="18"/>
              </w:rPr>
              <w:t>质量分数</w:t>
            </w:r>
          </w:p>
          <w:p>
            <w:pPr>
              <w:widowControl/>
              <w:jc w:val="center"/>
              <w:rPr>
                <w:color w:val="auto"/>
                <w:kern w:val="0"/>
                <w:sz w:val="18"/>
                <w:szCs w:val="18"/>
              </w:rPr>
            </w:pPr>
            <w:r>
              <w:rPr>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842" w:type="pct"/>
            <w:tcBorders>
              <w:top w:val="single" w:color="000000" w:sz="12" w:space="0"/>
              <w:bottom w:val="single" w:color="000000" w:sz="6" w:space="0"/>
              <w:right w:val="single" w:color="000000" w:sz="6" w:space="0"/>
            </w:tcBorders>
            <w:vAlign w:val="center"/>
          </w:tcPr>
          <w:p>
            <w:pPr>
              <w:jc w:val="center"/>
              <w:rPr>
                <w:color w:val="auto"/>
                <w:sz w:val="18"/>
                <w:szCs w:val="18"/>
              </w:rPr>
            </w:pPr>
            <w:bookmarkStart w:id="23" w:name="OLE_LINK41" w:colFirst="2" w:colLast="2"/>
            <w:bookmarkStart w:id="24" w:name="OLE_LINK43" w:colFirst="3" w:colLast="3"/>
            <w:bookmarkStart w:id="25" w:name="OLE_LINK40" w:colFirst="0" w:colLast="0"/>
            <w:bookmarkStart w:id="26" w:name="OLE_LINK42" w:colFirst="1" w:colLast="1"/>
            <w:r>
              <w:rPr>
                <w:bCs/>
                <w:color w:val="auto"/>
                <w:sz w:val="18"/>
                <w:szCs w:val="18"/>
              </w:rPr>
              <w:t>B</w:t>
            </w:r>
          </w:p>
        </w:tc>
        <w:tc>
          <w:tcPr>
            <w:tcW w:w="3110" w:type="dxa"/>
            <w:tcBorders>
              <w:top w:val="single" w:color="000000" w:sz="12"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0.0001</w:t>
            </w:r>
            <w:r>
              <w:rPr>
                <w:rStyle w:val="77"/>
                <w:rFonts w:hint="default" w:ascii="Times New Roman" w:hAnsi="Times New Roman" w:cs="Times New Roman"/>
                <w:color w:val="auto"/>
                <w:sz w:val="18"/>
                <w:szCs w:val="18"/>
                <w:lang w:bidi="ar"/>
              </w:rPr>
              <w:t>～</w:t>
            </w:r>
            <w:r>
              <w:rPr>
                <w:rStyle w:val="78"/>
                <w:color w:val="auto"/>
                <w:sz w:val="18"/>
                <w:szCs w:val="18"/>
                <w:lang w:bidi="ar"/>
              </w:rPr>
              <w:t>0.010</w:t>
            </w:r>
          </w:p>
        </w:tc>
        <w:tc>
          <w:tcPr>
            <w:tcW w:w="861" w:type="pct"/>
            <w:tcBorders>
              <w:top w:val="single" w:color="000000" w:sz="12"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Sn</w:t>
            </w:r>
          </w:p>
        </w:tc>
        <w:tc>
          <w:tcPr>
            <w:tcW w:w="3074" w:type="dxa"/>
            <w:tcBorders>
              <w:top w:val="single" w:color="000000" w:sz="12"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0.00005～0.010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Mg</w:t>
            </w:r>
          </w:p>
        </w:tc>
        <w:tc>
          <w:tcPr>
            <w:tcW w:w="3110"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0.0001</w:t>
            </w:r>
            <w:r>
              <w:rPr>
                <w:rStyle w:val="77"/>
                <w:rFonts w:hint="default" w:ascii="Times New Roman" w:hAnsi="Times New Roman" w:cs="Times New Roman"/>
                <w:color w:val="auto"/>
                <w:sz w:val="18"/>
                <w:szCs w:val="18"/>
                <w:lang w:bidi="ar"/>
              </w:rPr>
              <w:t>～</w:t>
            </w:r>
            <w:r>
              <w:rPr>
                <w:rStyle w:val="78"/>
                <w:color w:val="auto"/>
                <w:sz w:val="18"/>
                <w:szCs w:val="18"/>
                <w:lang w:bidi="ar"/>
              </w:rPr>
              <w:t>0.010</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Sb</w:t>
            </w:r>
          </w:p>
        </w:tc>
        <w:tc>
          <w:tcPr>
            <w:tcW w:w="3074" w:type="dxa"/>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0.00005～0.010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17" w:hRule="atLeast"/>
          <w:jc w:val="center"/>
        </w:trPr>
        <w:tc>
          <w:tcPr>
            <w:tcW w:w="842"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Zn</w:t>
            </w:r>
          </w:p>
        </w:tc>
        <w:tc>
          <w:tcPr>
            <w:tcW w:w="3110"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0.0001</w:t>
            </w:r>
            <w:r>
              <w:rPr>
                <w:rStyle w:val="77"/>
                <w:rFonts w:hint="default" w:ascii="Times New Roman" w:hAnsi="Times New Roman" w:cs="Times New Roman"/>
                <w:color w:val="auto"/>
                <w:sz w:val="18"/>
                <w:szCs w:val="18"/>
                <w:lang w:bidi="ar"/>
              </w:rPr>
              <w:t>～</w:t>
            </w:r>
            <w:r>
              <w:rPr>
                <w:rStyle w:val="78"/>
                <w:color w:val="auto"/>
                <w:sz w:val="18"/>
                <w:szCs w:val="18"/>
                <w:lang w:bidi="ar"/>
              </w:rPr>
              <w:t>0.0050</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Te</w:t>
            </w:r>
          </w:p>
        </w:tc>
        <w:tc>
          <w:tcPr>
            <w:tcW w:w="3074" w:type="dxa"/>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0.00005～0.0010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Ga</w:t>
            </w:r>
          </w:p>
        </w:tc>
        <w:tc>
          <w:tcPr>
            <w:tcW w:w="3110"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0.0001</w:t>
            </w:r>
            <w:r>
              <w:rPr>
                <w:rStyle w:val="77"/>
                <w:rFonts w:hint="default" w:ascii="Times New Roman" w:hAnsi="Times New Roman" w:cs="Times New Roman"/>
                <w:color w:val="auto"/>
                <w:sz w:val="18"/>
                <w:szCs w:val="18"/>
                <w:lang w:bidi="ar"/>
              </w:rPr>
              <w:t>～</w:t>
            </w:r>
            <w:r>
              <w:rPr>
                <w:rStyle w:val="78"/>
                <w:color w:val="auto"/>
                <w:sz w:val="18"/>
                <w:szCs w:val="18"/>
                <w:lang w:bidi="ar"/>
              </w:rPr>
              <w:t>0.010</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Pt</w:t>
            </w:r>
          </w:p>
        </w:tc>
        <w:tc>
          <w:tcPr>
            <w:tcW w:w="3074" w:type="dxa"/>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0.0001～0.0050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842"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As</w:t>
            </w:r>
          </w:p>
        </w:tc>
        <w:tc>
          <w:tcPr>
            <w:tcW w:w="3110"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0.0001</w:t>
            </w:r>
            <w:r>
              <w:rPr>
                <w:rStyle w:val="77"/>
                <w:rFonts w:hint="default" w:ascii="Times New Roman" w:hAnsi="Times New Roman" w:cs="Times New Roman"/>
                <w:color w:val="auto"/>
                <w:sz w:val="18"/>
                <w:szCs w:val="18"/>
                <w:lang w:bidi="ar"/>
              </w:rPr>
              <w:t>～</w:t>
            </w:r>
            <w:r>
              <w:rPr>
                <w:rStyle w:val="78"/>
                <w:color w:val="auto"/>
                <w:sz w:val="18"/>
                <w:szCs w:val="18"/>
                <w:lang w:bidi="ar"/>
              </w:rPr>
              <w:t>0.0050</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Au</w:t>
            </w:r>
          </w:p>
        </w:tc>
        <w:tc>
          <w:tcPr>
            <w:tcW w:w="3074" w:type="dxa"/>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0.0001～0.0050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Se</w:t>
            </w:r>
          </w:p>
        </w:tc>
        <w:tc>
          <w:tcPr>
            <w:tcW w:w="3110"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0.0001</w:t>
            </w:r>
            <w:r>
              <w:rPr>
                <w:rStyle w:val="79"/>
                <w:rFonts w:hint="default" w:ascii="Times New Roman" w:hAnsi="Times New Roman" w:cs="Times New Roman"/>
                <w:color w:val="auto"/>
                <w:sz w:val="18"/>
                <w:szCs w:val="18"/>
                <w:lang w:bidi="ar"/>
              </w:rPr>
              <w:t>～</w:t>
            </w:r>
            <w:r>
              <w:rPr>
                <w:rStyle w:val="80"/>
                <w:color w:val="auto"/>
                <w:sz w:val="18"/>
                <w:szCs w:val="18"/>
                <w:lang w:bidi="ar"/>
              </w:rPr>
              <w:t>0.0010</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Tl</w:t>
            </w:r>
          </w:p>
        </w:tc>
        <w:tc>
          <w:tcPr>
            <w:tcW w:w="3074" w:type="dxa"/>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0.00001～0.0010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Ag</w:t>
            </w:r>
          </w:p>
        </w:tc>
        <w:tc>
          <w:tcPr>
            <w:tcW w:w="3110" w:type="dxa"/>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0.00005</w:t>
            </w:r>
            <w:r>
              <w:rPr>
                <w:rStyle w:val="77"/>
                <w:rFonts w:hint="default" w:ascii="Times New Roman" w:hAnsi="Times New Roman" w:cs="Times New Roman"/>
                <w:color w:val="auto"/>
                <w:sz w:val="18"/>
                <w:szCs w:val="18"/>
                <w:lang w:bidi="ar"/>
              </w:rPr>
              <w:t>～</w:t>
            </w:r>
            <w:r>
              <w:rPr>
                <w:rStyle w:val="78"/>
                <w:color w:val="auto"/>
                <w:sz w:val="18"/>
                <w:szCs w:val="18"/>
                <w:lang w:bidi="ar"/>
              </w:rPr>
              <w:t>0.0010</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Pb</w:t>
            </w:r>
          </w:p>
        </w:tc>
        <w:tc>
          <w:tcPr>
            <w:tcW w:w="3074" w:type="dxa"/>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lang w:bidi="ar"/>
              </w:rPr>
              <w:t>0.00001～0.010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12" w:space="0"/>
              <w:right w:val="single" w:color="000000" w:sz="6" w:space="0"/>
            </w:tcBorders>
            <w:vAlign w:val="center"/>
          </w:tcPr>
          <w:p>
            <w:pPr>
              <w:jc w:val="center"/>
              <w:rPr>
                <w:color w:val="auto"/>
                <w:sz w:val="18"/>
                <w:szCs w:val="18"/>
              </w:rPr>
            </w:pPr>
            <w:r>
              <w:rPr>
                <w:bCs/>
                <w:color w:val="auto"/>
                <w:sz w:val="18"/>
                <w:szCs w:val="18"/>
              </w:rPr>
              <w:t>Cd</w:t>
            </w:r>
          </w:p>
        </w:tc>
        <w:tc>
          <w:tcPr>
            <w:tcW w:w="3110" w:type="dxa"/>
            <w:tcBorders>
              <w:top w:val="single" w:color="000000" w:sz="4" w:space="0"/>
              <w:left w:val="single" w:color="000000" w:sz="6" w:space="0"/>
              <w:bottom w:val="single" w:color="000000" w:sz="12" w:space="0"/>
              <w:right w:val="single" w:color="000000" w:sz="4" w:space="0"/>
            </w:tcBorders>
            <w:vAlign w:val="center"/>
          </w:tcPr>
          <w:p>
            <w:pPr>
              <w:widowControl/>
              <w:jc w:val="center"/>
              <w:textAlignment w:val="center"/>
              <w:rPr>
                <w:color w:val="auto"/>
                <w:sz w:val="18"/>
                <w:szCs w:val="18"/>
              </w:rPr>
            </w:pPr>
            <w:r>
              <w:rPr>
                <w:color w:val="auto"/>
                <w:kern w:val="0"/>
                <w:sz w:val="18"/>
                <w:szCs w:val="18"/>
                <w:lang w:bidi="ar"/>
              </w:rPr>
              <w:t xml:space="preserve">  0.00001</w:t>
            </w:r>
            <w:r>
              <w:rPr>
                <w:rStyle w:val="79"/>
                <w:rFonts w:hint="default" w:ascii="Times New Roman" w:hAnsi="Times New Roman" w:cs="Times New Roman"/>
                <w:color w:val="auto"/>
                <w:sz w:val="18"/>
                <w:szCs w:val="18"/>
                <w:lang w:bidi="ar"/>
              </w:rPr>
              <w:t>～</w:t>
            </w:r>
            <w:r>
              <w:rPr>
                <w:rStyle w:val="80"/>
                <w:color w:val="auto"/>
                <w:sz w:val="18"/>
                <w:szCs w:val="18"/>
                <w:lang w:bidi="ar"/>
              </w:rPr>
              <w:t>0.0010</w:t>
            </w:r>
          </w:p>
        </w:tc>
        <w:tc>
          <w:tcPr>
            <w:tcW w:w="861" w:type="pct"/>
            <w:tcBorders>
              <w:top w:val="single" w:color="000000" w:sz="4" w:space="0"/>
              <w:left w:val="double" w:color="000000" w:sz="6" w:space="0"/>
              <w:bottom w:val="single" w:color="000000" w:sz="12" w:space="0"/>
              <w:right w:val="single" w:color="000000" w:sz="4" w:space="0"/>
            </w:tcBorders>
            <w:vAlign w:val="center"/>
          </w:tcPr>
          <w:p>
            <w:pPr>
              <w:jc w:val="center"/>
              <w:rPr>
                <w:color w:val="auto"/>
                <w:sz w:val="18"/>
                <w:szCs w:val="18"/>
              </w:rPr>
            </w:pPr>
            <w:r>
              <w:rPr>
                <w:bCs/>
                <w:color w:val="auto"/>
                <w:sz w:val="18"/>
                <w:szCs w:val="18"/>
              </w:rPr>
              <w:t>Bi</w:t>
            </w:r>
          </w:p>
        </w:tc>
        <w:tc>
          <w:tcPr>
            <w:tcW w:w="3074" w:type="dxa"/>
            <w:tcBorders>
              <w:top w:val="single" w:color="000000" w:sz="4" w:space="0"/>
              <w:left w:val="single" w:color="000000" w:sz="4" w:space="0"/>
              <w:bottom w:val="single" w:color="000000" w:sz="12" w:space="0"/>
            </w:tcBorders>
            <w:vAlign w:val="center"/>
          </w:tcPr>
          <w:p>
            <w:pPr>
              <w:widowControl/>
              <w:jc w:val="center"/>
              <w:textAlignment w:val="center"/>
              <w:rPr>
                <w:color w:val="auto"/>
                <w:sz w:val="18"/>
                <w:szCs w:val="18"/>
              </w:rPr>
            </w:pPr>
            <w:r>
              <w:rPr>
                <w:color w:val="auto"/>
                <w:kern w:val="0"/>
                <w:sz w:val="18"/>
                <w:szCs w:val="18"/>
                <w:lang w:bidi="ar"/>
              </w:rPr>
              <w:t xml:space="preserve"> 0.00001～0.0010</w:t>
            </w:r>
          </w:p>
        </w:tc>
      </w:tr>
      <w:bookmarkEnd w:id="22"/>
      <w:bookmarkEnd w:id="23"/>
      <w:bookmarkEnd w:id="24"/>
      <w:bookmarkEnd w:id="25"/>
      <w:bookmarkEnd w:id="26"/>
    </w:tbl>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规范性引用文件</w:t>
      </w:r>
    </w:p>
    <w:p>
      <w:pPr>
        <w:adjustRightInd w:val="0"/>
        <w:snapToGrid w:val="0"/>
        <w:spacing w:line="360" w:lineRule="exact"/>
        <w:ind w:firstLine="420"/>
        <w:rPr>
          <w:rFonts w:hAnsi="宋体"/>
          <w:bCs/>
          <w:color w:val="auto"/>
          <w:szCs w:val="21"/>
        </w:rPr>
      </w:pPr>
      <w:r>
        <w:rPr>
          <w:rFonts w:hint="eastAsia" w:hAnsi="宋体"/>
          <w:bCs/>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rPr>
          <w:rFonts w:hAnsi="宋体"/>
          <w:bCs/>
          <w:color w:val="auto"/>
          <w:szCs w:val="21"/>
        </w:rPr>
      </w:pPr>
      <w:r>
        <w:rPr>
          <w:rFonts w:hAnsi="宋体"/>
          <w:bCs/>
          <w:color w:val="auto"/>
          <w:szCs w:val="21"/>
        </w:rPr>
        <w:t>G</w:t>
      </w:r>
      <w:r>
        <w:rPr>
          <w:rFonts w:hint="eastAsia" w:hAnsi="宋体"/>
          <w:bCs/>
          <w:color w:val="auto"/>
          <w:szCs w:val="21"/>
        </w:rPr>
        <w:t xml:space="preserve">B/T 6682  </w:t>
      </w:r>
      <w:r>
        <w:rPr>
          <w:color w:val="auto"/>
          <w:szCs w:val="21"/>
        </w:rPr>
        <w:t>分析实验室用水规格和试验方法</w:t>
      </w:r>
    </w:p>
    <w:p>
      <w:pPr>
        <w:adjustRightInd w:val="0"/>
        <w:snapToGrid w:val="0"/>
        <w:spacing w:line="360" w:lineRule="exact"/>
        <w:ind w:firstLine="420"/>
        <w:rPr>
          <w:rFonts w:hAnsi="宋体"/>
          <w:bCs/>
          <w:color w:val="auto"/>
          <w:szCs w:val="21"/>
        </w:rPr>
      </w:pPr>
      <w:r>
        <w:rPr>
          <w:rFonts w:hAnsi="宋体"/>
          <w:bCs/>
          <w:color w:val="auto"/>
          <w:szCs w:val="21"/>
        </w:rPr>
        <w:t>G</w:t>
      </w:r>
      <w:r>
        <w:rPr>
          <w:rFonts w:hint="eastAsia" w:hAnsi="宋体"/>
          <w:bCs/>
          <w:color w:val="auto"/>
          <w:szCs w:val="21"/>
        </w:rPr>
        <w:t>B/T</w:t>
      </w:r>
      <w:r>
        <w:rPr>
          <w:rFonts w:hAnsi="宋体"/>
          <w:bCs/>
          <w:color w:val="auto"/>
          <w:szCs w:val="21"/>
        </w:rPr>
        <w:t xml:space="preserve"> </w:t>
      </w:r>
      <w:r>
        <w:rPr>
          <w:rFonts w:hint="eastAsia" w:hAnsi="宋体"/>
          <w:bCs/>
          <w:color w:val="auto"/>
          <w:szCs w:val="21"/>
        </w:rPr>
        <w:t>8170  数值修约规则与极限数值的表示和判定</w:t>
      </w:r>
    </w:p>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术语和定义</w:t>
      </w:r>
    </w:p>
    <w:p>
      <w:pPr>
        <w:snapToGrid w:val="0"/>
        <w:spacing w:line="360" w:lineRule="exact"/>
        <w:ind w:firstLine="420"/>
        <w:rPr>
          <w:rFonts w:hAnsi="宋体"/>
          <w:bCs/>
          <w:color w:val="auto"/>
          <w:szCs w:val="21"/>
        </w:rPr>
      </w:pPr>
      <w:r>
        <w:rPr>
          <w:rFonts w:hint="eastAsia" w:hAnsi="宋体"/>
          <w:color w:val="auto"/>
        </w:rPr>
        <w:t>本文件没有需要界定的术语和定义。</w:t>
      </w:r>
    </w:p>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原理</w:t>
      </w:r>
    </w:p>
    <w:p>
      <w:pPr>
        <w:adjustRightInd w:val="0"/>
        <w:snapToGrid w:val="0"/>
        <w:spacing w:line="360" w:lineRule="atLeast"/>
        <w:ind w:firstLine="420" w:firstLineChars="200"/>
        <w:rPr>
          <w:color w:val="auto"/>
          <w:szCs w:val="21"/>
        </w:rPr>
      </w:pPr>
      <w:r>
        <w:rPr>
          <w:rFonts w:hint="eastAsia" w:hAnsi="宋体"/>
          <w:color w:val="auto"/>
          <w:szCs w:val="21"/>
        </w:rPr>
        <w:t>试料</w:t>
      </w:r>
      <w:r>
        <w:rPr>
          <w:rFonts w:hAnsi="宋体"/>
          <w:color w:val="auto"/>
          <w:szCs w:val="21"/>
        </w:rPr>
        <w:t>用</w:t>
      </w:r>
      <w:r>
        <w:rPr>
          <w:rFonts w:hint="eastAsia" w:hAnsi="宋体"/>
          <w:color w:val="auto"/>
          <w:szCs w:val="21"/>
        </w:rPr>
        <w:t>硝酸、</w:t>
      </w:r>
      <w:r>
        <w:rPr>
          <w:rFonts w:hAnsi="宋体"/>
          <w:color w:val="auto"/>
          <w:szCs w:val="21"/>
        </w:rPr>
        <w:t>盐酸和氢氟酸溶解</w:t>
      </w:r>
      <w:r>
        <w:rPr>
          <w:rFonts w:hint="eastAsia" w:hAnsi="宋体"/>
          <w:color w:val="auto"/>
          <w:szCs w:val="21"/>
        </w:rPr>
        <w:t>，</w:t>
      </w:r>
      <w:r>
        <w:rPr>
          <w:rFonts w:hint="eastAsia" w:ascii="宋体" w:hAnsi="宋体"/>
          <w:color w:val="auto"/>
        </w:rPr>
        <w:t>于</w:t>
      </w:r>
      <w:r>
        <w:rPr>
          <w:rFonts w:ascii="宋体" w:hAnsi="宋体"/>
          <w:color w:val="auto"/>
        </w:rPr>
        <w:t>电感耦合等离子体质谱仪</w:t>
      </w:r>
      <w:r>
        <w:rPr>
          <w:rFonts w:hint="eastAsia" w:ascii="宋体" w:hAnsi="宋体"/>
          <w:color w:val="auto"/>
        </w:rPr>
        <w:t>上直接测定。</w:t>
      </w:r>
      <w:r>
        <w:rPr>
          <w:rFonts w:hint="eastAsia"/>
          <w:color w:val="auto"/>
          <w:szCs w:val="21"/>
        </w:rPr>
        <w:t>以内标法校正仪器漂移</w:t>
      </w:r>
      <w:r>
        <w:rPr>
          <w:color w:val="auto"/>
          <w:szCs w:val="21"/>
        </w:rPr>
        <w:t>和基体效应</w:t>
      </w:r>
      <w:r>
        <w:rPr>
          <w:rFonts w:hint="eastAsia"/>
          <w:color w:val="auto"/>
          <w:szCs w:val="21"/>
        </w:rPr>
        <w:t>对测定的影响</w:t>
      </w:r>
      <w:r>
        <w:rPr>
          <w:rFonts w:hint="eastAsia" w:ascii="宋体" w:hAnsi="宋体"/>
          <w:color w:val="auto"/>
        </w:rPr>
        <w:t>，按</w:t>
      </w:r>
      <w:r>
        <w:rPr>
          <w:rFonts w:hint="eastAsia" w:hAnsi="宋体"/>
          <w:color w:val="auto"/>
        </w:rPr>
        <w:t>工作曲线法计算各待测元素的</w:t>
      </w:r>
      <w:r>
        <w:rPr>
          <w:rFonts w:hint="eastAsia"/>
          <w:color w:val="auto"/>
        </w:rPr>
        <w:t>质量浓度，以质量分数表示测定结果。</w:t>
      </w:r>
    </w:p>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试剂或材料</w:t>
      </w:r>
    </w:p>
    <w:p>
      <w:pPr>
        <w:autoSpaceDE w:val="0"/>
        <w:autoSpaceDN w:val="0"/>
        <w:adjustRightInd w:val="0"/>
        <w:snapToGrid w:val="0"/>
        <w:spacing w:line="360" w:lineRule="exact"/>
        <w:ind w:firstLine="420"/>
        <w:jc w:val="left"/>
        <w:rPr>
          <w:color w:val="auto"/>
        </w:rPr>
      </w:pPr>
      <w:r>
        <w:rPr>
          <w:rFonts w:ascii="宋体" w:hAnsi="宋体"/>
          <w:color w:val="auto"/>
        </w:rPr>
        <w:t>除非另有说明，在分析中仅使用确认</w:t>
      </w:r>
      <w:r>
        <w:rPr>
          <w:rFonts w:hint="eastAsia" w:ascii="宋体" w:hAnsi="宋体"/>
          <w:color w:val="auto"/>
        </w:rPr>
        <w:t>为优级纯及以上的</w:t>
      </w:r>
      <w:r>
        <w:rPr>
          <w:rFonts w:ascii="宋体" w:hAnsi="宋体"/>
          <w:color w:val="auto"/>
        </w:rPr>
        <w:t>试剂。</w:t>
      </w:r>
    </w:p>
    <w:p>
      <w:pPr>
        <w:numPr>
          <w:ilvl w:val="1"/>
          <w:numId w:val="2"/>
        </w:numPr>
        <w:autoSpaceDE w:val="0"/>
        <w:autoSpaceDN w:val="0"/>
        <w:adjustRightInd w:val="0"/>
        <w:snapToGrid w:val="0"/>
        <w:spacing w:line="360" w:lineRule="exact"/>
        <w:ind w:left="0" w:firstLine="0"/>
        <w:jc w:val="left"/>
        <w:rPr>
          <w:color w:val="auto"/>
          <w:szCs w:val="21"/>
        </w:rPr>
      </w:pPr>
      <w:r>
        <w:rPr>
          <w:rFonts w:hint="eastAsia" w:hAnsi="宋体"/>
          <w:color w:val="auto"/>
        </w:rPr>
        <w:t xml:space="preserve">  水</w:t>
      </w:r>
      <w:r>
        <w:rPr>
          <w:rFonts w:hint="eastAsia" w:ascii="宋体" w:hAnsi="宋体" w:cs="宋体"/>
          <w:color w:val="auto"/>
          <w:szCs w:val="21"/>
        </w:rPr>
        <w:t>，</w:t>
      </w:r>
      <w:r>
        <w:rPr>
          <w:color w:val="auto"/>
          <w:szCs w:val="21"/>
        </w:rPr>
        <w:t>GB/T 6682，</w:t>
      </w:r>
      <w:r>
        <w:rPr>
          <w:rFonts w:hint="eastAsia" w:ascii="宋体" w:hAnsi="宋体" w:cs="宋体"/>
          <w:color w:val="auto"/>
          <w:szCs w:val="21"/>
        </w:rPr>
        <w:t>一级。</w:t>
      </w:r>
    </w:p>
    <w:p>
      <w:pPr>
        <w:numPr>
          <w:ilvl w:val="1"/>
          <w:numId w:val="2"/>
        </w:numPr>
        <w:autoSpaceDE w:val="0"/>
        <w:autoSpaceDN w:val="0"/>
        <w:adjustRightInd w:val="0"/>
        <w:snapToGrid w:val="0"/>
        <w:spacing w:line="360" w:lineRule="exact"/>
        <w:ind w:left="0" w:firstLine="0"/>
        <w:jc w:val="left"/>
        <w:rPr>
          <w:color w:val="auto"/>
          <w:szCs w:val="21"/>
        </w:rPr>
      </w:pPr>
      <w:r>
        <w:rPr>
          <w:rFonts w:hint="eastAsia" w:hAnsi="宋体"/>
          <w:color w:val="auto"/>
        </w:rPr>
        <w:t xml:space="preserve">  </w:t>
      </w:r>
      <w:r>
        <w:rPr>
          <w:rFonts w:hint="eastAsia"/>
          <w:color w:val="auto"/>
          <w:szCs w:val="21"/>
        </w:rPr>
        <w:t>盐酸</w:t>
      </w:r>
      <w:r>
        <w:rPr>
          <w:color w:val="auto"/>
          <w:szCs w:val="21"/>
        </w:rPr>
        <w:t>（</w:t>
      </w:r>
      <w:r>
        <w:rPr>
          <w:i/>
          <w:color w:val="auto"/>
        </w:rPr>
        <w:t>ρ</w:t>
      </w:r>
      <w:r>
        <w:rPr>
          <w:rFonts w:hint="eastAsia"/>
          <w:color w:val="auto"/>
        </w:rPr>
        <w:t>=</w:t>
      </w:r>
      <w:r>
        <w:rPr>
          <w:color w:val="auto"/>
        </w:rPr>
        <w:t>1.18 g/mL</w:t>
      </w:r>
      <w:r>
        <w:rPr>
          <w:color w:val="auto"/>
          <w:szCs w:val="21"/>
        </w:rPr>
        <w:t>）</w:t>
      </w:r>
      <w:r>
        <w:rPr>
          <w:rFonts w:hint="eastAsia"/>
          <w:color w:val="auto"/>
          <w:szCs w:val="21"/>
        </w:rPr>
        <w:t>。</w:t>
      </w:r>
    </w:p>
    <w:p>
      <w:pPr>
        <w:numPr>
          <w:ilvl w:val="1"/>
          <w:numId w:val="2"/>
        </w:numPr>
        <w:autoSpaceDE w:val="0"/>
        <w:autoSpaceDN w:val="0"/>
        <w:adjustRightInd w:val="0"/>
        <w:snapToGrid w:val="0"/>
        <w:spacing w:line="360" w:lineRule="exact"/>
        <w:ind w:left="0" w:firstLine="0"/>
        <w:jc w:val="left"/>
        <w:rPr>
          <w:color w:val="auto"/>
          <w:szCs w:val="21"/>
        </w:rPr>
      </w:pPr>
      <w:r>
        <w:rPr>
          <w:rFonts w:hint="eastAsia"/>
          <w:color w:val="auto"/>
          <w:szCs w:val="21"/>
        </w:rPr>
        <w:t xml:space="preserve">  </w:t>
      </w:r>
      <w:r>
        <w:rPr>
          <w:rFonts w:hAnsi="宋体"/>
          <w:color w:val="auto"/>
        </w:rPr>
        <w:t>硝酸（</w:t>
      </w:r>
      <w:r>
        <w:rPr>
          <w:i/>
          <w:color w:val="auto"/>
        </w:rPr>
        <w:t>ρ</w:t>
      </w:r>
      <w:r>
        <w:rPr>
          <w:rFonts w:hint="eastAsia"/>
          <w:color w:val="auto"/>
        </w:rPr>
        <w:t>=</w:t>
      </w:r>
      <w:r>
        <w:rPr>
          <w:color w:val="auto"/>
        </w:rPr>
        <w:t>1.42 g/mL</w:t>
      </w:r>
      <w:r>
        <w:rPr>
          <w:rFonts w:hAnsi="宋体"/>
          <w:color w:val="auto"/>
        </w:rPr>
        <w:t>）。</w:t>
      </w:r>
    </w:p>
    <w:p>
      <w:pPr>
        <w:numPr>
          <w:ilvl w:val="1"/>
          <w:numId w:val="2"/>
        </w:numPr>
        <w:autoSpaceDE w:val="0"/>
        <w:autoSpaceDN w:val="0"/>
        <w:adjustRightInd w:val="0"/>
        <w:snapToGrid w:val="0"/>
        <w:spacing w:line="360" w:lineRule="exact"/>
        <w:ind w:left="0" w:firstLine="0"/>
        <w:jc w:val="left"/>
        <w:rPr>
          <w:color w:val="auto"/>
          <w:szCs w:val="21"/>
        </w:rPr>
      </w:pPr>
      <w:r>
        <w:rPr>
          <w:rFonts w:hint="eastAsia" w:hAnsi="宋体"/>
          <w:color w:val="auto"/>
        </w:rPr>
        <w:t xml:space="preserve">  氢氟酸</w:t>
      </w:r>
      <w:r>
        <w:rPr>
          <w:color w:val="auto"/>
        </w:rPr>
        <w:t>（</w:t>
      </w:r>
      <w:r>
        <w:rPr>
          <w:i/>
          <w:color w:val="auto"/>
        </w:rPr>
        <w:t>ρ</w:t>
      </w:r>
      <w:r>
        <w:rPr>
          <w:rFonts w:hint="eastAsia"/>
          <w:color w:val="auto"/>
        </w:rPr>
        <w:t>=</w:t>
      </w:r>
      <w:r>
        <w:rPr>
          <w:color w:val="auto"/>
        </w:rPr>
        <w:t>1.16 g/mL）</w:t>
      </w:r>
      <w:r>
        <w:rPr>
          <w:rFonts w:hAnsi="宋体"/>
          <w:color w:val="auto"/>
        </w:rPr>
        <w:t>。</w:t>
      </w:r>
    </w:p>
    <w:p>
      <w:pPr>
        <w:numPr>
          <w:ilvl w:val="1"/>
          <w:numId w:val="2"/>
        </w:numPr>
        <w:autoSpaceDE w:val="0"/>
        <w:autoSpaceDN w:val="0"/>
        <w:adjustRightInd w:val="0"/>
        <w:snapToGrid w:val="0"/>
        <w:spacing w:line="360" w:lineRule="exact"/>
        <w:ind w:left="0" w:firstLine="0"/>
        <w:rPr>
          <w:color w:val="auto"/>
          <w:szCs w:val="21"/>
        </w:rPr>
      </w:pPr>
      <w:r>
        <w:rPr>
          <w:rFonts w:hint="eastAsia" w:hAnsi="宋体"/>
          <w:color w:val="auto"/>
        </w:rPr>
        <w:t xml:space="preserve">  </w:t>
      </w:r>
      <w:bookmarkStart w:id="27" w:name="OLE_LINK26"/>
      <w:r>
        <w:rPr>
          <w:rFonts w:hint="eastAsia" w:hAnsi="宋体"/>
          <w:color w:val="auto"/>
        </w:rPr>
        <w:t>标准</w:t>
      </w:r>
      <w:r>
        <w:rPr>
          <w:rFonts w:hAnsi="宋体"/>
          <w:color w:val="auto"/>
        </w:rPr>
        <w:t>贮存溶液</w:t>
      </w:r>
      <w:r>
        <w:rPr>
          <w:rFonts w:hint="eastAsia" w:hAnsi="宋体"/>
          <w:color w:val="auto"/>
        </w:rPr>
        <w:t>：</w:t>
      </w:r>
      <w:bookmarkEnd w:id="27"/>
      <w:r>
        <w:rPr>
          <w:rFonts w:hint="eastAsia"/>
          <w:color w:val="auto"/>
          <w:spacing w:val="6"/>
        </w:rPr>
        <w:t>硼、镁</w:t>
      </w:r>
      <w:r>
        <w:rPr>
          <w:color w:val="auto"/>
          <w:spacing w:val="6"/>
        </w:rPr>
        <w:t>、锌、</w:t>
      </w:r>
      <w:r>
        <w:rPr>
          <w:rFonts w:hint="eastAsia"/>
          <w:color w:val="auto"/>
          <w:spacing w:val="6"/>
        </w:rPr>
        <w:t>镓</w:t>
      </w:r>
      <w:r>
        <w:rPr>
          <w:color w:val="auto"/>
          <w:spacing w:val="6"/>
        </w:rPr>
        <w:t>、</w:t>
      </w:r>
      <w:r>
        <w:rPr>
          <w:rFonts w:hint="eastAsia"/>
          <w:color w:val="auto"/>
          <w:spacing w:val="6"/>
        </w:rPr>
        <w:t>砷</w:t>
      </w:r>
      <w:r>
        <w:rPr>
          <w:color w:val="auto"/>
          <w:spacing w:val="6"/>
        </w:rPr>
        <w:t>、</w:t>
      </w:r>
      <w:r>
        <w:rPr>
          <w:rFonts w:hint="eastAsia"/>
          <w:color w:val="auto"/>
          <w:spacing w:val="6"/>
        </w:rPr>
        <w:t>硒</w:t>
      </w:r>
      <w:r>
        <w:rPr>
          <w:color w:val="auto"/>
          <w:spacing w:val="6"/>
        </w:rPr>
        <w:t>、</w:t>
      </w:r>
      <w:r>
        <w:rPr>
          <w:rFonts w:hint="eastAsia"/>
          <w:color w:val="auto"/>
          <w:spacing w:val="6"/>
        </w:rPr>
        <w:t>银、镉</w:t>
      </w:r>
      <w:r>
        <w:rPr>
          <w:color w:val="auto"/>
          <w:spacing w:val="6"/>
        </w:rPr>
        <w:t>、</w:t>
      </w:r>
      <w:r>
        <w:rPr>
          <w:rFonts w:hint="eastAsia"/>
          <w:color w:val="auto"/>
          <w:spacing w:val="6"/>
        </w:rPr>
        <w:t>锡、锑、碲</w:t>
      </w:r>
      <w:r>
        <w:rPr>
          <w:color w:val="auto"/>
          <w:spacing w:val="6"/>
        </w:rPr>
        <w:t>、</w:t>
      </w:r>
      <w:r>
        <w:rPr>
          <w:rFonts w:hint="eastAsia"/>
          <w:color w:val="auto"/>
          <w:spacing w:val="6"/>
        </w:rPr>
        <w:t>铂、金、铊</w:t>
      </w:r>
      <w:r>
        <w:rPr>
          <w:color w:val="auto"/>
          <w:spacing w:val="6"/>
        </w:rPr>
        <w:t>、</w:t>
      </w:r>
      <w:r>
        <w:rPr>
          <w:rFonts w:hint="eastAsia"/>
          <w:color w:val="auto"/>
          <w:spacing w:val="6"/>
        </w:rPr>
        <w:t>铅、</w:t>
      </w:r>
      <w:r>
        <w:rPr>
          <w:color w:val="auto"/>
          <w:spacing w:val="6"/>
        </w:rPr>
        <w:t>铋</w:t>
      </w:r>
      <w:r>
        <w:rPr>
          <w:rFonts w:hint="eastAsia" w:hAnsi="宋体"/>
          <w:color w:val="auto"/>
        </w:rPr>
        <w:t>、</w:t>
      </w:r>
      <w:r>
        <w:rPr>
          <w:rFonts w:hint="eastAsia"/>
          <w:color w:val="auto"/>
          <w:szCs w:val="21"/>
        </w:rPr>
        <w:t>锂、</w:t>
      </w:r>
      <w:r>
        <w:rPr>
          <w:color w:val="auto"/>
          <w:szCs w:val="21"/>
        </w:rPr>
        <w:t>钪、</w:t>
      </w:r>
      <w:r>
        <w:rPr>
          <w:rFonts w:hint="eastAsia"/>
          <w:color w:val="auto"/>
          <w:szCs w:val="21"/>
        </w:rPr>
        <w:t>铑、</w:t>
      </w:r>
      <w:r>
        <w:rPr>
          <w:color w:val="auto"/>
          <w:szCs w:val="21"/>
        </w:rPr>
        <w:t>铯</w:t>
      </w:r>
      <w:bookmarkStart w:id="28" w:name="OLE_LINK27"/>
      <w:r>
        <w:rPr>
          <w:rFonts w:hint="eastAsia" w:hAnsi="宋体"/>
          <w:color w:val="auto"/>
        </w:rPr>
        <w:t>采用有效期内有证书的单元素标准贮存溶液，</w:t>
      </w:r>
      <w:r>
        <w:rPr>
          <w:rFonts w:hAnsi="宋体"/>
          <w:color w:val="auto"/>
        </w:rPr>
        <w:t>质量浓度为</w:t>
      </w:r>
      <w:r>
        <w:rPr>
          <w:color w:val="auto"/>
        </w:rPr>
        <w:t>100 μg/mL</w:t>
      </w:r>
      <w:r>
        <w:rPr>
          <w:rFonts w:hAnsi="宋体"/>
          <w:color w:val="auto"/>
        </w:rPr>
        <w:t>。</w:t>
      </w:r>
      <w:bookmarkEnd w:id="28"/>
    </w:p>
    <w:p>
      <w:pPr>
        <w:numPr>
          <w:ilvl w:val="1"/>
          <w:numId w:val="2"/>
        </w:numPr>
        <w:autoSpaceDE w:val="0"/>
        <w:autoSpaceDN w:val="0"/>
        <w:adjustRightInd w:val="0"/>
        <w:snapToGrid w:val="0"/>
        <w:spacing w:line="360" w:lineRule="exact"/>
        <w:ind w:left="0" w:firstLine="0"/>
        <w:rPr>
          <w:color w:val="auto"/>
          <w:szCs w:val="21"/>
        </w:rPr>
      </w:pPr>
      <w:r>
        <w:rPr>
          <w:rFonts w:hint="eastAsia"/>
          <w:color w:val="auto"/>
        </w:rPr>
        <w:t xml:space="preserve">  </w:t>
      </w:r>
      <w:r>
        <w:rPr>
          <w:color w:val="auto"/>
        </w:rPr>
        <w:t>混合标准溶液</w:t>
      </w:r>
      <w:r>
        <w:rPr>
          <w:rFonts w:hint="eastAsia"/>
          <w:color w:val="auto"/>
        </w:rPr>
        <w:t>A</w:t>
      </w:r>
      <w:r>
        <w:rPr>
          <w:color w:val="auto"/>
        </w:rPr>
        <w:t>：分别移取</w:t>
      </w:r>
      <w:r>
        <w:rPr>
          <w:rFonts w:hint="eastAsia"/>
          <w:color w:val="auto"/>
        </w:rPr>
        <w:t>2</w:t>
      </w:r>
      <w:r>
        <w:rPr>
          <w:color w:val="auto"/>
        </w:rPr>
        <w:t>.00 mL</w:t>
      </w:r>
      <w:r>
        <w:rPr>
          <w:rFonts w:hint="eastAsia"/>
          <w:color w:val="auto"/>
          <w:spacing w:val="6"/>
        </w:rPr>
        <w:t>硼、镁</w:t>
      </w:r>
      <w:r>
        <w:rPr>
          <w:color w:val="auto"/>
          <w:spacing w:val="6"/>
        </w:rPr>
        <w:t>、锌、</w:t>
      </w:r>
      <w:r>
        <w:rPr>
          <w:rFonts w:hint="eastAsia"/>
          <w:color w:val="auto"/>
          <w:spacing w:val="6"/>
        </w:rPr>
        <w:t>镓</w:t>
      </w:r>
      <w:r>
        <w:rPr>
          <w:color w:val="auto"/>
          <w:spacing w:val="6"/>
        </w:rPr>
        <w:t>、</w:t>
      </w:r>
      <w:r>
        <w:rPr>
          <w:rFonts w:hint="eastAsia"/>
          <w:color w:val="auto"/>
          <w:spacing w:val="6"/>
        </w:rPr>
        <w:t>砷</w:t>
      </w:r>
      <w:r>
        <w:rPr>
          <w:color w:val="auto"/>
          <w:spacing w:val="6"/>
        </w:rPr>
        <w:t>、</w:t>
      </w:r>
      <w:r>
        <w:rPr>
          <w:rFonts w:hint="eastAsia"/>
          <w:color w:val="auto"/>
          <w:spacing w:val="6"/>
        </w:rPr>
        <w:t>硒</w:t>
      </w:r>
      <w:r>
        <w:rPr>
          <w:color w:val="auto"/>
          <w:spacing w:val="6"/>
        </w:rPr>
        <w:t>、</w:t>
      </w:r>
      <w:r>
        <w:rPr>
          <w:rFonts w:hint="eastAsia"/>
          <w:color w:val="auto"/>
          <w:spacing w:val="6"/>
        </w:rPr>
        <w:t>镉</w:t>
      </w:r>
      <w:r>
        <w:rPr>
          <w:color w:val="auto"/>
          <w:spacing w:val="6"/>
        </w:rPr>
        <w:t>、</w:t>
      </w:r>
      <w:r>
        <w:rPr>
          <w:rFonts w:hint="eastAsia"/>
          <w:color w:val="auto"/>
          <w:spacing w:val="6"/>
        </w:rPr>
        <w:t>锡、锑、碲</w:t>
      </w:r>
      <w:r>
        <w:rPr>
          <w:color w:val="auto"/>
          <w:spacing w:val="6"/>
        </w:rPr>
        <w:t>、</w:t>
      </w:r>
      <w:r>
        <w:rPr>
          <w:rFonts w:hint="eastAsia"/>
          <w:color w:val="auto"/>
          <w:spacing w:val="6"/>
        </w:rPr>
        <w:t>铂、金、铊</w:t>
      </w:r>
      <w:r>
        <w:rPr>
          <w:color w:val="auto"/>
          <w:spacing w:val="6"/>
        </w:rPr>
        <w:t>、</w:t>
      </w:r>
      <w:r>
        <w:rPr>
          <w:rFonts w:hint="eastAsia"/>
          <w:color w:val="auto"/>
          <w:spacing w:val="6"/>
        </w:rPr>
        <w:t>铅、</w:t>
      </w:r>
      <w:r>
        <w:rPr>
          <w:color w:val="auto"/>
          <w:spacing w:val="6"/>
        </w:rPr>
        <w:t>铋</w:t>
      </w:r>
      <w:r>
        <w:rPr>
          <w:color w:val="auto"/>
        </w:rPr>
        <w:t>标准贮存溶液（5.</w:t>
      </w:r>
      <w:r>
        <w:rPr>
          <w:rFonts w:hint="eastAsia"/>
          <w:color w:val="auto"/>
        </w:rPr>
        <w:t>5</w:t>
      </w:r>
      <w:r>
        <w:rPr>
          <w:color w:val="auto"/>
        </w:rPr>
        <w:t>）于100 mL容量瓶中，加入</w:t>
      </w:r>
      <w:r>
        <w:rPr>
          <w:rFonts w:hint="eastAsia"/>
          <w:color w:val="auto"/>
        </w:rPr>
        <w:t>3</w:t>
      </w:r>
      <w:r>
        <w:rPr>
          <w:color w:val="auto"/>
        </w:rPr>
        <w:t xml:space="preserve"> mL</w:t>
      </w:r>
      <w:r>
        <w:rPr>
          <w:rFonts w:hint="eastAsia"/>
          <w:color w:val="auto"/>
        </w:rPr>
        <w:t>盐酸</w:t>
      </w:r>
      <w:r>
        <w:rPr>
          <w:color w:val="auto"/>
        </w:rPr>
        <w:t>（5.</w:t>
      </w:r>
      <w:r>
        <w:rPr>
          <w:rFonts w:hint="eastAsia"/>
          <w:color w:val="auto"/>
        </w:rPr>
        <w:t>2</w:t>
      </w:r>
      <w:r>
        <w:rPr>
          <w:color w:val="auto"/>
        </w:rPr>
        <w:t>）</w:t>
      </w:r>
      <w:r>
        <w:rPr>
          <w:rFonts w:hint="eastAsia"/>
          <w:color w:val="auto"/>
        </w:rPr>
        <w:t>和1 mL硝酸（5.3）</w:t>
      </w:r>
      <w:r>
        <w:rPr>
          <w:color w:val="auto"/>
        </w:rPr>
        <w:t>，用水稀释至刻度，混匀。此溶液1 mL含</w:t>
      </w:r>
      <w:r>
        <w:rPr>
          <w:rFonts w:hint="eastAsia"/>
          <w:color w:val="auto"/>
          <w:spacing w:val="6"/>
        </w:rPr>
        <w:t>硼、镁</w:t>
      </w:r>
      <w:r>
        <w:rPr>
          <w:color w:val="auto"/>
          <w:spacing w:val="6"/>
        </w:rPr>
        <w:t>、锌、</w:t>
      </w:r>
      <w:r>
        <w:rPr>
          <w:rFonts w:hint="eastAsia"/>
          <w:color w:val="auto"/>
          <w:spacing w:val="6"/>
        </w:rPr>
        <w:t>镓</w:t>
      </w:r>
      <w:r>
        <w:rPr>
          <w:color w:val="auto"/>
          <w:spacing w:val="6"/>
        </w:rPr>
        <w:t>、</w:t>
      </w:r>
      <w:r>
        <w:rPr>
          <w:rFonts w:hint="eastAsia"/>
          <w:color w:val="auto"/>
          <w:spacing w:val="6"/>
        </w:rPr>
        <w:t>砷</w:t>
      </w:r>
      <w:r>
        <w:rPr>
          <w:color w:val="auto"/>
          <w:spacing w:val="6"/>
        </w:rPr>
        <w:t>、</w:t>
      </w:r>
      <w:r>
        <w:rPr>
          <w:rFonts w:hint="eastAsia"/>
          <w:color w:val="auto"/>
          <w:spacing w:val="6"/>
        </w:rPr>
        <w:t>硒</w:t>
      </w:r>
      <w:r>
        <w:rPr>
          <w:color w:val="auto"/>
          <w:spacing w:val="6"/>
        </w:rPr>
        <w:t>、</w:t>
      </w:r>
      <w:r>
        <w:rPr>
          <w:rFonts w:hint="eastAsia"/>
          <w:color w:val="auto"/>
          <w:spacing w:val="6"/>
        </w:rPr>
        <w:t>镉</w:t>
      </w:r>
      <w:r>
        <w:rPr>
          <w:color w:val="auto"/>
          <w:spacing w:val="6"/>
        </w:rPr>
        <w:t>、</w:t>
      </w:r>
      <w:r>
        <w:rPr>
          <w:rFonts w:hint="eastAsia"/>
          <w:color w:val="auto"/>
          <w:spacing w:val="6"/>
        </w:rPr>
        <w:t>锡、锑、碲</w:t>
      </w:r>
      <w:r>
        <w:rPr>
          <w:color w:val="auto"/>
          <w:spacing w:val="6"/>
        </w:rPr>
        <w:t>、</w:t>
      </w:r>
      <w:r>
        <w:rPr>
          <w:rFonts w:hint="eastAsia"/>
          <w:color w:val="auto"/>
          <w:spacing w:val="6"/>
        </w:rPr>
        <w:t>铂、金、铊</w:t>
      </w:r>
      <w:r>
        <w:rPr>
          <w:color w:val="auto"/>
          <w:spacing w:val="6"/>
        </w:rPr>
        <w:t>、</w:t>
      </w:r>
      <w:r>
        <w:rPr>
          <w:rFonts w:hint="eastAsia"/>
          <w:color w:val="auto"/>
          <w:spacing w:val="6"/>
        </w:rPr>
        <w:t>铅、</w:t>
      </w:r>
      <w:r>
        <w:rPr>
          <w:color w:val="auto"/>
          <w:spacing w:val="6"/>
        </w:rPr>
        <w:t>铋</w:t>
      </w:r>
      <w:r>
        <w:rPr>
          <w:rFonts w:hint="eastAsia"/>
          <w:color w:val="auto"/>
          <w:spacing w:val="6"/>
        </w:rPr>
        <w:t>各</w:t>
      </w:r>
      <w:r>
        <w:rPr>
          <w:rFonts w:hint="eastAsia"/>
          <w:color w:val="auto"/>
        </w:rPr>
        <w:t>2</w:t>
      </w:r>
      <w:r>
        <w:rPr>
          <w:color w:val="auto"/>
        </w:rPr>
        <w:t xml:space="preserve"> µg。</w:t>
      </w:r>
    </w:p>
    <w:p>
      <w:pPr>
        <w:numPr>
          <w:ilvl w:val="1"/>
          <w:numId w:val="2"/>
        </w:numPr>
        <w:autoSpaceDE w:val="0"/>
        <w:autoSpaceDN w:val="0"/>
        <w:adjustRightInd w:val="0"/>
        <w:snapToGrid w:val="0"/>
        <w:spacing w:line="360" w:lineRule="exact"/>
        <w:ind w:left="0" w:firstLine="0"/>
        <w:rPr>
          <w:color w:val="auto"/>
          <w:szCs w:val="21"/>
        </w:rPr>
      </w:pPr>
      <w:r>
        <w:rPr>
          <w:rFonts w:hint="eastAsia"/>
          <w:color w:val="auto"/>
        </w:rPr>
        <w:t xml:space="preserve">  </w:t>
      </w:r>
      <w:r>
        <w:rPr>
          <w:color w:val="auto"/>
        </w:rPr>
        <w:t>混合标准溶液</w:t>
      </w:r>
      <w:r>
        <w:rPr>
          <w:rFonts w:hint="eastAsia"/>
          <w:color w:val="auto"/>
        </w:rPr>
        <w:t>B</w:t>
      </w:r>
      <w:r>
        <w:rPr>
          <w:color w:val="auto"/>
        </w:rPr>
        <w:t>：移取</w:t>
      </w:r>
      <w:r>
        <w:rPr>
          <w:rFonts w:hint="eastAsia"/>
          <w:color w:val="auto"/>
        </w:rPr>
        <w:t>5.0</w:t>
      </w:r>
      <w:r>
        <w:rPr>
          <w:color w:val="auto"/>
        </w:rPr>
        <w:t>0 mL混合标准溶液</w:t>
      </w:r>
      <w:r>
        <w:rPr>
          <w:rFonts w:hint="eastAsia"/>
          <w:color w:val="auto"/>
        </w:rPr>
        <w:t>A</w:t>
      </w:r>
      <w:r>
        <w:rPr>
          <w:color w:val="auto"/>
        </w:rPr>
        <w:t>（5.</w:t>
      </w:r>
      <w:r>
        <w:rPr>
          <w:rFonts w:hint="eastAsia"/>
          <w:color w:val="auto"/>
        </w:rPr>
        <w:t>6</w:t>
      </w:r>
      <w:r>
        <w:rPr>
          <w:color w:val="auto"/>
        </w:rPr>
        <w:t>）于100 mL容量瓶中，加入</w:t>
      </w:r>
      <w:r>
        <w:rPr>
          <w:rFonts w:hint="eastAsia"/>
          <w:color w:val="auto"/>
        </w:rPr>
        <w:t>3</w:t>
      </w:r>
      <w:r>
        <w:rPr>
          <w:color w:val="auto"/>
        </w:rPr>
        <w:t xml:space="preserve"> mL</w:t>
      </w:r>
      <w:r>
        <w:rPr>
          <w:rFonts w:hint="eastAsia"/>
          <w:color w:val="auto"/>
        </w:rPr>
        <w:t>盐酸</w:t>
      </w:r>
      <w:r>
        <w:rPr>
          <w:color w:val="auto"/>
        </w:rPr>
        <w:t>（5.</w:t>
      </w:r>
      <w:r>
        <w:rPr>
          <w:rFonts w:hint="eastAsia"/>
          <w:color w:val="auto"/>
        </w:rPr>
        <w:t>2</w:t>
      </w:r>
      <w:r>
        <w:rPr>
          <w:color w:val="auto"/>
        </w:rPr>
        <w:t>）</w:t>
      </w:r>
      <w:r>
        <w:rPr>
          <w:rFonts w:hint="eastAsia"/>
          <w:color w:val="auto"/>
        </w:rPr>
        <w:t>和1 mL硝酸（5.3）</w:t>
      </w:r>
      <w:r>
        <w:rPr>
          <w:color w:val="auto"/>
        </w:rPr>
        <w:t>，用水稀释至刻度，混匀。此溶液1 mL含</w:t>
      </w:r>
      <w:r>
        <w:rPr>
          <w:rFonts w:hint="eastAsia"/>
          <w:color w:val="auto"/>
          <w:spacing w:val="6"/>
        </w:rPr>
        <w:t>硼、镁</w:t>
      </w:r>
      <w:r>
        <w:rPr>
          <w:color w:val="auto"/>
          <w:spacing w:val="6"/>
        </w:rPr>
        <w:t>、锌、</w:t>
      </w:r>
      <w:r>
        <w:rPr>
          <w:rFonts w:hint="eastAsia"/>
          <w:color w:val="auto"/>
          <w:spacing w:val="6"/>
        </w:rPr>
        <w:t>镓</w:t>
      </w:r>
      <w:r>
        <w:rPr>
          <w:color w:val="auto"/>
          <w:spacing w:val="6"/>
        </w:rPr>
        <w:t>、</w:t>
      </w:r>
      <w:r>
        <w:rPr>
          <w:rFonts w:hint="eastAsia"/>
          <w:color w:val="auto"/>
          <w:spacing w:val="6"/>
        </w:rPr>
        <w:t>砷</w:t>
      </w:r>
      <w:r>
        <w:rPr>
          <w:color w:val="auto"/>
          <w:spacing w:val="6"/>
        </w:rPr>
        <w:t>、</w:t>
      </w:r>
      <w:r>
        <w:rPr>
          <w:rFonts w:hint="eastAsia"/>
          <w:color w:val="auto"/>
          <w:spacing w:val="6"/>
        </w:rPr>
        <w:t>硒</w:t>
      </w:r>
      <w:r>
        <w:rPr>
          <w:color w:val="auto"/>
          <w:spacing w:val="6"/>
        </w:rPr>
        <w:t>、</w:t>
      </w:r>
      <w:r>
        <w:rPr>
          <w:rFonts w:hint="eastAsia"/>
          <w:color w:val="auto"/>
          <w:spacing w:val="6"/>
        </w:rPr>
        <w:t>镉</w:t>
      </w:r>
      <w:r>
        <w:rPr>
          <w:color w:val="auto"/>
          <w:spacing w:val="6"/>
        </w:rPr>
        <w:t>、</w:t>
      </w:r>
      <w:r>
        <w:rPr>
          <w:rFonts w:hint="eastAsia"/>
          <w:color w:val="auto"/>
          <w:spacing w:val="6"/>
        </w:rPr>
        <w:t>锡、锑、碲</w:t>
      </w:r>
      <w:r>
        <w:rPr>
          <w:color w:val="auto"/>
          <w:spacing w:val="6"/>
        </w:rPr>
        <w:t>、</w:t>
      </w:r>
      <w:r>
        <w:rPr>
          <w:rFonts w:hint="eastAsia"/>
          <w:color w:val="auto"/>
          <w:spacing w:val="6"/>
        </w:rPr>
        <w:t>铂、金、铊</w:t>
      </w:r>
      <w:r>
        <w:rPr>
          <w:color w:val="auto"/>
          <w:spacing w:val="6"/>
        </w:rPr>
        <w:t>、</w:t>
      </w:r>
      <w:r>
        <w:rPr>
          <w:rFonts w:hint="eastAsia"/>
          <w:color w:val="auto"/>
          <w:spacing w:val="6"/>
        </w:rPr>
        <w:t>铅、</w:t>
      </w:r>
      <w:r>
        <w:rPr>
          <w:color w:val="auto"/>
          <w:spacing w:val="6"/>
        </w:rPr>
        <w:t>铋</w:t>
      </w:r>
      <w:r>
        <w:rPr>
          <w:rFonts w:hint="eastAsia"/>
          <w:color w:val="auto"/>
          <w:spacing w:val="6"/>
        </w:rPr>
        <w:t>各</w:t>
      </w:r>
      <w:r>
        <w:rPr>
          <w:rFonts w:hint="eastAsia"/>
          <w:color w:val="auto"/>
        </w:rPr>
        <w:t>100</w:t>
      </w:r>
      <w:r>
        <w:rPr>
          <w:color w:val="auto"/>
        </w:rPr>
        <w:t xml:space="preserve"> </w:t>
      </w:r>
      <w:r>
        <w:rPr>
          <w:rFonts w:hint="eastAsia"/>
          <w:color w:val="auto"/>
        </w:rPr>
        <w:t>n</w:t>
      </w:r>
      <w:r>
        <w:rPr>
          <w:color w:val="auto"/>
        </w:rPr>
        <w:t>g。</w:t>
      </w:r>
    </w:p>
    <w:p>
      <w:pPr>
        <w:numPr>
          <w:ilvl w:val="1"/>
          <w:numId w:val="2"/>
        </w:numPr>
        <w:autoSpaceDE w:val="0"/>
        <w:autoSpaceDN w:val="0"/>
        <w:adjustRightInd w:val="0"/>
        <w:snapToGrid w:val="0"/>
        <w:spacing w:line="360" w:lineRule="exact"/>
        <w:ind w:left="0" w:firstLine="0"/>
        <w:rPr>
          <w:color w:val="auto"/>
        </w:rPr>
      </w:pPr>
      <w:r>
        <w:rPr>
          <w:rFonts w:hint="eastAsia"/>
          <w:color w:val="auto"/>
        </w:rPr>
        <w:t xml:space="preserve">  银标准溶液A：</w:t>
      </w:r>
      <w:r>
        <w:rPr>
          <w:color w:val="auto"/>
        </w:rPr>
        <w:t>移取</w:t>
      </w:r>
      <w:r>
        <w:rPr>
          <w:rFonts w:hint="eastAsia"/>
          <w:color w:val="auto"/>
        </w:rPr>
        <w:t>2</w:t>
      </w:r>
      <w:r>
        <w:rPr>
          <w:color w:val="auto"/>
        </w:rPr>
        <w:t>.00 mL</w:t>
      </w:r>
      <w:r>
        <w:rPr>
          <w:rFonts w:hint="eastAsia"/>
          <w:color w:val="auto"/>
        </w:rPr>
        <w:t>银标准贮存溶液</w:t>
      </w:r>
      <w:r>
        <w:rPr>
          <w:color w:val="auto"/>
        </w:rPr>
        <w:t>（5.</w:t>
      </w:r>
      <w:r>
        <w:rPr>
          <w:rFonts w:hint="eastAsia"/>
          <w:color w:val="auto"/>
        </w:rPr>
        <w:t>5</w:t>
      </w:r>
      <w:r>
        <w:rPr>
          <w:color w:val="auto"/>
        </w:rPr>
        <w:t>）于100 mL容量瓶中，加入5 mL硝酸（5.</w:t>
      </w:r>
      <w:r>
        <w:rPr>
          <w:rFonts w:hint="eastAsia"/>
          <w:color w:val="auto"/>
        </w:rPr>
        <w:t>3</w:t>
      </w:r>
      <w:r>
        <w:rPr>
          <w:color w:val="auto"/>
        </w:rPr>
        <w:t>），用水稀释至刻度，混匀。此溶液1 mL</w:t>
      </w:r>
      <w:r>
        <w:rPr>
          <w:rFonts w:hint="eastAsia"/>
          <w:color w:val="auto"/>
        </w:rPr>
        <w:t>含银2</w:t>
      </w:r>
      <w:r>
        <w:rPr>
          <w:color w:val="auto"/>
        </w:rPr>
        <w:t xml:space="preserve"> µg</w:t>
      </w:r>
      <w:r>
        <w:rPr>
          <w:rFonts w:hint="eastAsia"/>
          <w:color w:val="auto"/>
        </w:rPr>
        <w:t>。</w:t>
      </w:r>
    </w:p>
    <w:p>
      <w:pPr>
        <w:numPr>
          <w:ilvl w:val="1"/>
          <w:numId w:val="2"/>
        </w:numPr>
        <w:autoSpaceDE w:val="0"/>
        <w:autoSpaceDN w:val="0"/>
        <w:adjustRightInd w:val="0"/>
        <w:snapToGrid w:val="0"/>
        <w:spacing w:line="360" w:lineRule="exact"/>
        <w:ind w:left="0" w:firstLine="0"/>
        <w:rPr>
          <w:rFonts w:ascii="宋体" w:hAnsi="宋体"/>
          <w:color w:val="auto"/>
        </w:rPr>
      </w:pPr>
      <w:r>
        <w:rPr>
          <w:rFonts w:hint="eastAsia"/>
          <w:color w:val="auto"/>
        </w:rPr>
        <w:t xml:space="preserve">  银标准溶液B：</w:t>
      </w:r>
      <w:r>
        <w:rPr>
          <w:color w:val="auto"/>
        </w:rPr>
        <w:t>移取</w:t>
      </w:r>
      <w:r>
        <w:rPr>
          <w:rFonts w:hint="eastAsia"/>
          <w:color w:val="auto"/>
        </w:rPr>
        <w:t>5</w:t>
      </w:r>
      <w:r>
        <w:rPr>
          <w:color w:val="auto"/>
        </w:rPr>
        <w:t>.00 mL</w:t>
      </w:r>
      <w:r>
        <w:rPr>
          <w:rFonts w:hint="eastAsia"/>
          <w:color w:val="auto"/>
        </w:rPr>
        <w:t>银标准溶液A</w:t>
      </w:r>
      <w:r>
        <w:rPr>
          <w:color w:val="auto"/>
        </w:rPr>
        <w:t>（5.</w:t>
      </w:r>
      <w:r>
        <w:rPr>
          <w:rFonts w:hint="eastAsia"/>
          <w:color w:val="auto"/>
        </w:rPr>
        <w:t>8</w:t>
      </w:r>
      <w:r>
        <w:rPr>
          <w:color w:val="auto"/>
        </w:rPr>
        <w:t>）于100 mL容量瓶中，加入5 mL硝酸（5.</w:t>
      </w:r>
      <w:r>
        <w:rPr>
          <w:rFonts w:hint="eastAsia"/>
          <w:color w:val="auto"/>
        </w:rPr>
        <w:t>3</w:t>
      </w:r>
      <w:r>
        <w:rPr>
          <w:color w:val="auto"/>
        </w:rPr>
        <w:t>），用水稀释至刻度，混匀。此溶液1 mL</w:t>
      </w:r>
      <w:r>
        <w:rPr>
          <w:rFonts w:hint="eastAsia"/>
          <w:color w:val="auto"/>
        </w:rPr>
        <w:t>含银100</w:t>
      </w:r>
      <w:r>
        <w:rPr>
          <w:color w:val="auto"/>
        </w:rPr>
        <w:t xml:space="preserve"> </w:t>
      </w:r>
      <w:r>
        <w:rPr>
          <w:rFonts w:hint="eastAsia"/>
          <w:color w:val="auto"/>
        </w:rPr>
        <w:t>n</w:t>
      </w:r>
      <w:r>
        <w:rPr>
          <w:color w:val="auto"/>
        </w:rPr>
        <w:t>g</w:t>
      </w:r>
      <w:r>
        <w:rPr>
          <w:rFonts w:hint="eastAsia"/>
          <w:color w:val="auto"/>
        </w:rPr>
        <w:t>。</w:t>
      </w:r>
    </w:p>
    <w:p>
      <w:pPr>
        <w:numPr>
          <w:ilvl w:val="1"/>
          <w:numId w:val="2"/>
        </w:numPr>
        <w:autoSpaceDE w:val="0"/>
        <w:autoSpaceDN w:val="0"/>
        <w:adjustRightInd w:val="0"/>
        <w:snapToGrid w:val="0"/>
        <w:spacing w:line="360" w:lineRule="exact"/>
        <w:ind w:left="0" w:firstLine="0"/>
        <w:rPr>
          <w:color w:val="auto"/>
        </w:rPr>
      </w:pPr>
      <w:r>
        <w:rPr>
          <w:rFonts w:hint="eastAsia"/>
          <w:color w:val="auto"/>
        </w:rPr>
        <w:t xml:space="preserve">  混合</w:t>
      </w:r>
      <w:r>
        <w:rPr>
          <w:color w:val="auto"/>
        </w:rPr>
        <w:t>内标溶液</w:t>
      </w:r>
      <w:r>
        <w:rPr>
          <w:rFonts w:hint="eastAsia"/>
          <w:color w:val="auto"/>
        </w:rPr>
        <w:t>A</w:t>
      </w:r>
      <w:r>
        <w:rPr>
          <w:color w:val="auto"/>
        </w:rPr>
        <w:t>：分别移取1.00 mL</w:t>
      </w:r>
      <w:r>
        <w:rPr>
          <w:rFonts w:hint="eastAsia"/>
          <w:color w:val="auto"/>
          <w:szCs w:val="21"/>
        </w:rPr>
        <w:t>锂、</w:t>
      </w:r>
      <w:r>
        <w:rPr>
          <w:color w:val="auto"/>
          <w:szCs w:val="21"/>
        </w:rPr>
        <w:t>钪、</w:t>
      </w:r>
      <w:r>
        <w:rPr>
          <w:rFonts w:hint="eastAsia"/>
          <w:color w:val="auto"/>
          <w:szCs w:val="21"/>
        </w:rPr>
        <w:t>铑、</w:t>
      </w:r>
      <w:r>
        <w:rPr>
          <w:color w:val="auto"/>
          <w:szCs w:val="21"/>
        </w:rPr>
        <w:t>铯</w:t>
      </w:r>
      <w:r>
        <w:rPr>
          <w:color w:val="auto"/>
        </w:rPr>
        <w:t>标准贮存溶液（5.</w:t>
      </w:r>
      <w:r>
        <w:rPr>
          <w:rFonts w:hint="eastAsia"/>
          <w:color w:val="auto"/>
        </w:rPr>
        <w:t>5</w:t>
      </w:r>
      <w:r>
        <w:rPr>
          <w:color w:val="auto"/>
        </w:rPr>
        <w:t>）于100 mL容量瓶中，加入5 mL硝酸（5.</w:t>
      </w:r>
      <w:r>
        <w:rPr>
          <w:rFonts w:hint="eastAsia"/>
          <w:color w:val="auto"/>
        </w:rPr>
        <w:t>3</w:t>
      </w:r>
      <w:r>
        <w:rPr>
          <w:color w:val="auto"/>
        </w:rPr>
        <w:t>），用水稀释至刻度，混匀。此溶液1 mL含</w:t>
      </w:r>
      <w:r>
        <w:rPr>
          <w:rFonts w:hint="eastAsia"/>
          <w:color w:val="auto"/>
          <w:szCs w:val="21"/>
        </w:rPr>
        <w:t>锂、</w:t>
      </w:r>
      <w:r>
        <w:rPr>
          <w:color w:val="auto"/>
          <w:szCs w:val="21"/>
        </w:rPr>
        <w:t>钪、</w:t>
      </w:r>
      <w:r>
        <w:rPr>
          <w:rFonts w:hint="eastAsia"/>
          <w:color w:val="auto"/>
          <w:szCs w:val="21"/>
        </w:rPr>
        <w:t>铑、</w:t>
      </w:r>
      <w:r>
        <w:rPr>
          <w:color w:val="auto"/>
          <w:szCs w:val="21"/>
        </w:rPr>
        <w:t>铯</w:t>
      </w:r>
      <w:r>
        <w:rPr>
          <w:rFonts w:hint="eastAsia"/>
          <w:color w:val="auto"/>
        </w:rPr>
        <w:t>各</w:t>
      </w:r>
      <w:r>
        <w:rPr>
          <w:color w:val="auto"/>
        </w:rPr>
        <w:t>1 µg。</w:t>
      </w:r>
    </w:p>
    <w:p>
      <w:pPr>
        <w:numPr>
          <w:ilvl w:val="1"/>
          <w:numId w:val="2"/>
        </w:numPr>
        <w:autoSpaceDE w:val="0"/>
        <w:autoSpaceDN w:val="0"/>
        <w:adjustRightInd w:val="0"/>
        <w:snapToGrid w:val="0"/>
        <w:spacing w:line="360" w:lineRule="exact"/>
        <w:ind w:left="0" w:firstLine="0"/>
        <w:rPr>
          <w:color w:val="auto"/>
          <w:szCs w:val="21"/>
        </w:rPr>
      </w:pPr>
      <w:r>
        <w:rPr>
          <w:rFonts w:hint="eastAsia"/>
          <w:color w:val="auto"/>
        </w:rPr>
        <w:t xml:space="preserve">  混合</w:t>
      </w:r>
      <w:r>
        <w:rPr>
          <w:color w:val="auto"/>
        </w:rPr>
        <w:t>内标溶液</w:t>
      </w:r>
      <w:r>
        <w:rPr>
          <w:rFonts w:hint="eastAsia"/>
          <w:color w:val="auto"/>
        </w:rPr>
        <w:t>B</w:t>
      </w:r>
      <w:r>
        <w:rPr>
          <w:color w:val="auto"/>
        </w:rPr>
        <w:t>：分别移取</w:t>
      </w:r>
      <w:r>
        <w:rPr>
          <w:rFonts w:hint="eastAsia"/>
          <w:color w:val="auto"/>
        </w:rPr>
        <w:t>0</w:t>
      </w:r>
      <w:r>
        <w:rPr>
          <w:color w:val="auto"/>
        </w:rPr>
        <w:t>.</w:t>
      </w:r>
      <w:r>
        <w:rPr>
          <w:rFonts w:hint="eastAsia"/>
          <w:color w:val="auto"/>
        </w:rPr>
        <w:t>2</w:t>
      </w:r>
      <w:r>
        <w:rPr>
          <w:color w:val="auto"/>
        </w:rPr>
        <w:t>0 mL</w:t>
      </w:r>
      <w:r>
        <w:rPr>
          <w:rFonts w:hint="eastAsia"/>
          <w:color w:val="auto"/>
          <w:szCs w:val="21"/>
        </w:rPr>
        <w:t>锂、</w:t>
      </w:r>
      <w:r>
        <w:rPr>
          <w:color w:val="auto"/>
          <w:szCs w:val="21"/>
        </w:rPr>
        <w:t>钪、</w:t>
      </w:r>
      <w:r>
        <w:rPr>
          <w:rFonts w:hint="eastAsia"/>
          <w:color w:val="auto"/>
          <w:szCs w:val="21"/>
        </w:rPr>
        <w:t>铑、</w:t>
      </w:r>
      <w:r>
        <w:rPr>
          <w:color w:val="auto"/>
          <w:szCs w:val="21"/>
        </w:rPr>
        <w:t>铯</w:t>
      </w:r>
      <w:r>
        <w:rPr>
          <w:color w:val="auto"/>
        </w:rPr>
        <w:t>标准贮存溶液（5.</w:t>
      </w:r>
      <w:r>
        <w:rPr>
          <w:rFonts w:hint="eastAsia"/>
          <w:color w:val="auto"/>
        </w:rPr>
        <w:t>5</w:t>
      </w:r>
      <w:r>
        <w:rPr>
          <w:color w:val="auto"/>
        </w:rPr>
        <w:t>）于100 mL容量瓶中，加入5 mL硝酸（5.</w:t>
      </w:r>
      <w:r>
        <w:rPr>
          <w:rFonts w:hint="eastAsia"/>
          <w:color w:val="auto"/>
        </w:rPr>
        <w:t>3</w:t>
      </w:r>
      <w:r>
        <w:rPr>
          <w:color w:val="auto"/>
        </w:rPr>
        <w:t>）</w:t>
      </w:r>
      <w:r>
        <w:rPr>
          <w:rFonts w:hint="eastAsia"/>
          <w:color w:val="auto"/>
        </w:rPr>
        <w:t>，</w:t>
      </w:r>
      <w:r>
        <w:rPr>
          <w:color w:val="auto"/>
        </w:rPr>
        <w:t>用水稀释至刻度，混匀。此溶液1 mL含</w:t>
      </w:r>
      <w:r>
        <w:rPr>
          <w:rFonts w:hint="eastAsia"/>
          <w:color w:val="auto"/>
          <w:szCs w:val="21"/>
        </w:rPr>
        <w:t>锂、</w:t>
      </w:r>
      <w:r>
        <w:rPr>
          <w:color w:val="auto"/>
          <w:szCs w:val="21"/>
        </w:rPr>
        <w:t>钪、</w:t>
      </w:r>
      <w:r>
        <w:rPr>
          <w:rFonts w:hint="eastAsia"/>
          <w:color w:val="auto"/>
          <w:szCs w:val="21"/>
        </w:rPr>
        <w:t>铑、</w:t>
      </w:r>
      <w:r>
        <w:rPr>
          <w:color w:val="auto"/>
          <w:szCs w:val="21"/>
        </w:rPr>
        <w:t>铯</w:t>
      </w:r>
      <w:r>
        <w:rPr>
          <w:rFonts w:hint="eastAsia"/>
          <w:color w:val="auto"/>
          <w:spacing w:val="6"/>
        </w:rPr>
        <w:t>各200</w:t>
      </w:r>
      <w:r>
        <w:rPr>
          <w:color w:val="auto"/>
        </w:rPr>
        <w:t xml:space="preserve"> </w:t>
      </w:r>
      <w:r>
        <w:rPr>
          <w:rFonts w:hint="eastAsia"/>
          <w:color w:val="auto"/>
        </w:rPr>
        <w:t>n</w:t>
      </w:r>
      <w:r>
        <w:rPr>
          <w:color w:val="auto"/>
        </w:rPr>
        <w:t>g。</w:t>
      </w:r>
    </w:p>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仪器设备</w:t>
      </w:r>
    </w:p>
    <w:p>
      <w:pPr>
        <w:numPr>
          <w:ilvl w:val="0"/>
          <w:numId w:val="3"/>
        </w:numPr>
        <w:autoSpaceDE w:val="0"/>
        <w:autoSpaceDN w:val="0"/>
        <w:adjustRightInd w:val="0"/>
        <w:snapToGrid w:val="0"/>
        <w:spacing w:line="360" w:lineRule="exact"/>
        <w:ind w:left="0" w:firstLine="0"/>
        <w:rPr>
          <w:color w:val="auto"/>
          <w:szCs w:val="21"/>
        </w:rPr>
      </w:pPr>
      <w:r>
        <w:rPr>
          <w:rFonts w:hint="eastAsia" w:hAnsi="宋体"/>
          <w:color w:val="auto"/>
          <w:kern w:val="0"/>
          <w:szCs w:val="21"/>
        </w:rPr>
        <w:t xml:space="preserve">  </w:t>
      </w:r>
      <w:bookmarkStart w:id="29" w:name="OLE_LINK10"/>
      <w:r>
        <w:rPr>
          <w:rFonts w:hint="eastAsia" w:hAnsi="宋体"/>
          <w:color w:val="auto"/>
          <w:kern w:val="0"/>
          <w:szCs w:val="21"/>
        </w:rPr>
        <w:t>四极杆</w:t>
      </w:r>
      <w:r>
        <w:rPr>
          <w:rFonts w:hAnsi="宋体"/>
          <w:color w:val="auto"/>
          <w:kern w:val="0"/>
          <w:szCs w:val="21"/>
        </w:rPr>
        <w:t>电感耦合等离子体质谱</w:t>
      </w:r>
      <w:bookmarkStart w:id="30" w:name="OLE_LINK12"/>
      <w:r>
        <w:rPr>
          <w:rFonts w:hAnsi="宋体"/>
          <w:color w:val="auto"/>
          <w:kern w:val="0"/>
          <w:szCs w:val="21"/>
        </w:rPr>
        <w:t>仪</w:t>
      </w:r>
      <w:bookmarkEnd w:id="29"/>
      <w:bookmarkEnd w:id="30"/>
      <w:r>
        <w:rPr>
          <w:rFonts w:hint="eastAsia" w:hAnsi="宋体"/>
          <w:color w:val="auto"/>
          <w:kern w:val="0"/>
          <w:szCs w:val="21"/>
        </w:rPr>
        <w:t>：</w:t>
      </w:r>
      <w:bookmarkStart w:id="31" w:name="OLE_LINK32"/>
      <w:bookmarkStart w:id="32" w:name="OLE_LINK19"/>
      <w:r>
        <w:rPr>
          <w:rFonts w:hint="eastAsia"/>
          <w:color w:val="auto"/>
        </w:rPr>
        <w:t>以</w:t>
      </w:r>
      <w:r>
        <w:rPr>
          <w:color w:val="auto"/>
          <w:szCs w:val="21"/>
        </w:rPr>
        <w:t>氩气为载气</w:t>
      </w:r>
      <w:r>
        <w:rPr>
          <w:rFonts w:hint="eastAsia" w:hAnsi="宋体"/>
          <w:color w:val="auto"/>
          <w:kern w:val="0"/>
          <w:szCs w:val="21"/>
        </w:rPr>
        <w:t>，</w:t>
      </w:r>
      <w:r>
        <w:rPr>
          <w:rFonts w:hint="eastAsia"/>
          <w:color w:val="auto"/>
          <w:spacing w:val="6"/>
        </w:rPr>
        <w:t>配备</w:t>
      </w:r>
      <w:r>
        <w:rPr>
          <w:rFonts w:hint="eastAsia" w:ascii="宋体" w:hAnsi="宋体" w:cs="宋体"/>
          <w:color w:val="auto"/>
          <w:kern w:val="0"/>
          <w:szCs w:val="21"/>
        </w:rPr>
        <w:t>耐氢氟酸进样系统</w:t>
      </w:r>
      <w:bookmarkEnd w:id="31"/>
      <w:r>
        <w:rPr>
          <w:rFonts w:hint="eastAsia" w:ascii="宋体" w:hAnsi="宋体" w:cs="宋体"/>
          <w:color w:val="auto"/>
          <w:kern w:val="0"/>
          <w:szCs w:val="21"/>
        </w:rPr>
        <w:t>和</w:t>
      </w:r>
      <w:bookmarkStart w:id="33" w:name="OLE_LINK38"/>
      <w:r>
        <w:rPr>
          <w:rFonts w:hint="eastAsia" w:hAnsi="宋体"/>
          <w:color w:val="auto"/>
          <w:kern w:val="0"/>
          <w:szCs w:val="21"/>
        </w:rPr>
        <w:t>碰撞/反应池</w:t>
      </w:r>
      <w:bookmarkEnd w:id="33"/>
      <w:r>
        <w:rPr>
          <w:rFonts w:hint="eastAsia" w:hAnsi="宋体"/>
          <w:color w:val="auto"/>
          <w:kern w:val="0"/>
          <w:szCs w:val="21"/>
        </w:rPr>
        <w:t>系统，</w:t>
      </w:r>
      <w:r>
        <w:rPr>
          <w:rFonts w:hint="eastAsia" w:ascii="宋体" w:hAnsi="宋体" w:cs="宋体"/>
          <w:color w:val="auto"/>
          <w:kern w:val="0"/>
          <w:szCs w:val="21"/>
        </w:rPr>
        <w:t>在</w:t>
      </w:r>
      <w:r>
        <w:rPr>
          <w:rFonts w:hint="eastAsia"/>
          <w:color w:val="auto"/>
          <w:spacing w:val="6"/>
        </w:rPr>
        <w:t>碰撞</w:t>
      </w:r>
      <w:r>
        <w:rPr>
          <w:rFonts w:hint="eastAsia"/>
          <w:color w:val="auto"/>
          <w:szCs w:val="21"/>
        </w:rPr>
        <w:t>/反应模式下消除存在的质谱干扰（常见</w:t>
      </w:r>
      <w:r>
        <w:rPr>
          <w:color w:val="auto"/>
          <w:szCs w:val="21"/>
        </w:rPr>
        <w:t>质谱干扰</w:t>
      </w:r>
      <w:r>
        <w:rPr>
          <w:rFonts w:hint="eastAsia"/>
          <w:color w:val="auto"/>
          <w:szCs w:val="21"/>
        </w:rPr>
        <w:t>见附录A）。</w:t>
      </w:r>
      <w:bookmarkEnd w:id="32"/>
      <w:r>
        <w:rPr>
          <w:rFonts w:hint="eastAsia" w:hAnsi="宋体"/>
          <w:color w:val="auto"/>
          <w:szCs w:val="21"/>
        </w:rPr>
        <w:t>各元素推荐的同位素质量数</w:t>
      </w:r>
      <w:r>
        <w:rPr>
          <w:rFonts w:hAnsi="宋体"/>
          <w:color w:val="auto"/>
          <w:szCs w:val="21"/>
        </w:rPr>
        <w:t>见表</w:t>
      </w:r>
      <w:r>
        <w:rPr>
          <w:rFonts w:hint="eastAsia"/>
          <w:color w:val="auto"/>
          <w:szCs w:val="21"/>
        </w:rPr>
        <w:t>2。</w:t>
      </w:r>
    </w:p>
    <w:p>
      <w:pPr>
        <w:pStyle w:val="5"/>
        <w:adjustRightInd w:val="0"/>
        <w:snapToGrid w:val="0"/>
        <w:spacing w:before="156" w:beforeLines="50" w:after="156" w:afterLines="50"/>
        <w:ind w:firstLine="0" w:firstLineChars="0"/>
        <w:jc w:val="center"/>
        <w:rPr>
          <w:rFonts w:eastAsia="黑体"/>
          <w:bCs/>
          <w:color w:val="auto"/>
          <w:szCs w:val="21"/>
        </w:rPr>
      </w:pPr>
      <w:bookmarkStart w:id="34" w:name="OLE_LINK21"/>
      <w:r>
        <w:rPr>
          <w:rFonts w:hint="eastAsia" w:eastAsia="黑体"/>
          <w:bCs/>
          <w:color w:val="auto"/>
          <w:szCs w:val="21"/>
        </w:rPr>
        <w:t>表2  推荐的同位素质量数</w:t>
      </w:r>
    </w:p>
    <w:tbl>
      <w:tblPr>
        <w:tblStyle w:val="18"/>
        <w:tblW w:w="5060"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1598"/>
        <w:gridCol w:w="3149"/>
        <w:gridCol w:w="1636"/>
        <w:gridCol w:w="3114"/>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6" w:hRule="atLeast"/>
          <w:tblHeader/>
          <w:jc w:val="center"/>
        </w:trPr>
        <w:tc>
          <w:tcPr>
            <w:tcW w:w="841" w:type="pct"/>
            <w:tcBorders>
              <w:bottom w:val="single" w:color="000000" w:sz="12" w:space="0"/>
              <w:right w:val="single" w:color="000000" w:sz="6" w:space="0"/>
            </w:tcBorders>
            <w:vAlign w:val="center"/>
          </w:tcPr>
          <w:p>
            <w:pPr>
              <w:widowControl/>
              <w:jc w:val="center"/>
              <w:rPr>
                <w:color w:val="auto"/>
                <w:kern w:val="0"/>
                <w:sz w:val="18"/>
                <w:szCs w:val="18"/>
              </w:rPr>
            </w:pPr>
            <w:r>
              <w:rPr>
                <w:color w:val="auto"/>
                <w:kern w:val="0"/>
                <w:sz w:val="18"/>
                <w:szCs w:val="18"/>
              </w:rPr>
              <w:t>元素</w:t>
            </w:r>
          </w:p>
        </w:tc>
        <w:tc>
          <w:tcPr>
            <w:tcW w:w="1657" w:type="pct"/>
            <w:tcBorders>
              <w:left w:val="single" w:color="000000" w:sz="6" w:space="0"/>
              <w:bottom w:val="single" w:color="000000" w:sz="12" w:space="0"/>
              <w:right w:val="double" w:color="000000" w:sz="6" w:space="0"/>
            </w:tcBorders>
            <w:vAlign w:val="center"/>
          </w:tcPr>
          <w:p>
            <w:pPr>
              <w:widowControl/>
              <w:jc w:val="center"/>
              <w:rPr>
                <w:color w:val="auto"/>
                <w:kern w:val="0"/>
                <w:sz w:val="18"/>
                <w:szCs w:val="18"/>
              </w:rPr>
            </w:pPr>
            <w:r>
              <w:rPr>
                <w:color w:val="auto"/>
                <w:kern w:val="0"/>
                <w:sz w:val="18"/>
                <w:szCs w:val="18"/>
              </w:rPr>
              <w:t>同位素质量数</w:t>
            </w:r>
          </w:p>
        </w:tc>
        <w:tc>
          <w:tcPr>
            <w:tcW w:w="861" w:type="pct"/>
            <w:tcBorders>
              <w:left w:val="double" w:color="000000" w:sz="6" w:space="0"/>
              <w:bottom w:val="single" w:color="000000" w:sz="12" w:space="0"/>
              <w:right w:val="single" w:color="000000" w:sz="6" w:space="0"/>
            </w:tcBorders>
            <w:vAlign w:val="center"/>
          </w:tcPr>
          <w:p>
            <w:pPr>
              <w:widowControl/>
              <w:jc w:val="center"/>
              <w:rPr>
                <w:color w:val="auto"/>
                <w:kern w:val="0"/>
                <w:sz w:val="18"/>
                <w:szCs w:val="18"/>
              </w:rPr>
            </w:pPr>
            <w:r>
              <w:rPr>
                <w:color w:val="auto"/>
                <w:kern w:val="0"/>
                <w:sz w:val="18"/>
                <w:szCs w:val="18"/>
              </w:rPr>
              <w:t>元素</w:t>
            </w:r>
          </w:p>
        </w:tc>
        <w:tc>
          <w:tcPr>
            <w:tcW w:w="1639" w:type="pct"/>
            <w:tcBorders>
              <w:left w:val="single" w:color="000000" w:sz="6" w:space="0"/>
              <w:bottom w:val="single" w:color="000000" w:sz="12" w:space="0"/>
            </w:tcBorders>
            <w:vAlign w:val="center"/>
          </w:tcPr>
          <w:p>
            <w:pPr>
              <w:widowControl/>
              <w:jc w:val="center"/>
              <w:rPr>
                <w:color w:val="auto"/>
                <w:kern w:val="0"/>
                <w:sz w:val="18"/>
                <w:szCs w:val="18"/>
              </w:rPr>
            </w:pPr>
            <w:r>
              <w:rPr>
                <w:color w:val="auto"/>
                <w:kern w:val="0"/>
                <w:sz w:val="18"/>
                <w:szCs w:val="18"/>
              </w:rPr>
              <w:t>同位素质量数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841" w:type="pct"/>
            <w:tcBorders>
              <w:top w:val="single" w:color="000000" w:sz="12" w:space="0"/>
              <w:bottom w:val="single" w:color="000000" w:sz="6" w:space="0"/>
              <w:right w:val="single" w:color="000000" w:sz="6" w:space="0"/>
            </w:tcBorders>
            <w:vAlign w:val="center"/>
          </w:tcPr>
          <w:p>
            <w:pPr>
              <w:jc w:val="center"/>
              <w:rPr>
                <w:color w:val="auto"/>
                <w:sz w:val="18"/>
                <w:szCs w:val="18"/>
              </w:rPr>
            </w:pPr>
            <w:r>
              <w:rPr>
                <w:bCs/>
                <w:color w:val="auto"/>
                <w:sz w:val="18"/>
                <w:szCs w:val="18"/>
              </w:rPr>
              <w:t>B</w:t>
            </w:r>
          </w:p>
        </w:tc>
        <w:tc>
          <w:tcPr>
            <w:tcW w:w="1657" w:type="pct"/>
            <w:tcBorders>
              <w:top w:val="single" w:color="000000" w:sz="12"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11</w:t>
            </w:r>
          </w:p>
        </w:tc>
        <w:tc>
          <w:tcPr>
            <w:tcW w:w="861" w:type="pct"/>
            <w:tcBorders>
              <w:top w:val="single" w:color="000000" w:sz="12"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Te</w:t>
            </w:r>
          </w:p>
        </w:tc>
        <w:tc>
          <w:tcPr>
            <w:tcW w:w="1639" w:type="pct"/>
            <w:tcBorders>
              <w:top w:val="single" w:color="000000" w:sz="12"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125</w:t>
            </w:r>
            <w:bookmarkStart w:id="35" w:name="OLE_LINK29"/>
            <w:r>
              <w:rPr>
                <w:bCs/>
                <w:color w:val="auto"/>
                <w:sz w:val="18"/>
                <w:szCs w:val="18"/>
              </w:rPr>
              <w:t xml:space="preserve"> /</w:t>
            </w:r>
            <w:r>
              <w:rPr>
                <w:rFonts w:hint="eastAsia"/>
                <w:color w:val="auto"/>
                <w:sz w:val="18"/>
                <w:szCs w:val="18"/>
              </w:rPr>
              <w:t xml:space="preserve"> </w:t>
            </w:r>
            <w:bookmarkEnd w:id="35"/>
            <w:r>
              <w:rPr>
                <w:rFonts w:hint="eastAsia"/>
                <w:color w:val="auto"/>
                <w:sz w:val="18"/>
                <w:szCs w:val="18"/>
              </w:rPr>
              <w:t>12</w:t>
            </w:r>
            <w:r>
              <w:rPr>
                <w:rFonts w:hint="eastAsia"/>
                <w:bCs/>
                <w:color w:val="auto"/>
                <w:sz w:val="18"/>
                <w:szCs w:val="18"/>
              </w:rPr>
              <w:t>8</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Mg</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24</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Pt</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195</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Zn</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66</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Au</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197</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Ga</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71</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Tl</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205</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As</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75</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Pb</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208</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Se</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bCs/>
                <w:color w:val="auto"/>
                <w:sz w:val="18"/>
                <w:szCs w:val="18"/>
              </w:rPr>
              <w:t>7</w:t>
            </w:r>
            <w:r>
              <w:rPr>
                <w:bCs/>
                <w:color w:val="auto"/>
                <w:sz w:val="18"/>
                <w:szCs w:val="18"/>
              </w:rPr>
              <w:t>8</w:t>
            </w:r>
            <w:bookmarkStart w:id="36" w:name="OLE_LINK18"/>
            <w:r>
              <w:rPr>
                <w:bCs/>
                <w:color w:val="auto"/>
                <w:sz w:val="18"/>
                <w:szCs w:val="18"/>
              </w:rPr>
              <w:t xml:space="preserve"> / </w:t>
            </w:r>
            <w:r>
              <w:rPr>
                <w:rFonts w:hint="eastAsia"/>
                <w:bCs/>
                <w:color w:val="auto"/>
                <w:sz w:val="18"/>
                <w:szCs w:val="18"/>
              </w:rPr>
              <w:t>80</w:t>
            </w:r>
            <w:bookmarkEnd w:id="36"/>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rPr>
              <w:t>Bi</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209</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Ag</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107</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Li</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7</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Cd</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111</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Sc</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Sn</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118</w:t>
            </w:r>
          </w:p>
        </w:tc>
        <w:tc>
          <w:tcPr>
            <w:tcW w:w="861" w:type="pct"/>
            <w:tcBorders>
              <w:top w:val="single" w:color="000000" w:sz="4" w:space="0"/>
              <w:left w:val="double" w:color="000000" w:sz="6" w:space="0"/>
              <w:bottom w:val="single" w:color="000000" w:sz="4" w:space="0"/>
              <w:right w:val="single" w:color="000000" w:sz="4" w:space="0"/>
            </w:tcBorders>
            <w:vAlign w:val="center"/>
          </w:tcPr>
          <w:p>
            <w:pPr>
              <w:jc w:val="center"/>
              <w:rPr>
                <w:bCs/>
                <w:color w:val="auto"/>
                <w:sz w:val="18"/>
                <w:szCs w:val="18"/>
              </w:rPr>
            </w:pPr>
            <w:r>
              <w:rPr>
                <w:rFonts w:hint="eastAsia"/>
                <w:bCs/>
                <w:color w:val="auto"/>
                <w:sz w:val="18"/>
                <w:szCs w:val="18"/>
              </w:rPr>
              <w:t>Rh</w:t>
            </w:r>
          </w:p>
        </w:tc>
        <w:tc>
          <w:tcPr>
            <w:tcW w:w="1639"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hint="eastAsia"/>
                <w:color w:val="auto"/>
                <w:sz w:val="18"/>
                <w:szCs w:val="18"/>
              </w:rPr>
              <w:t>103</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12" w:space="0"/>
              <w:right w:val="single" w:color="000000" w:sz="6" w:space="0"/>
            </w:tcBorders>
            <w:vAlign w:val="center"/>
          </w:tcPr>
          <w:p>
            <w:pPr>
              <w:jc w:val="center"/>
              <w:rPr>
                <w:color w:val="auto"/>
                <w:sz w:val="18"/>
                <w:szCs w:val="18"/>
              </w:rPr>
            </w:pPr>
            <w:r>
              <w:rPr>
                <w:bCs/>
                <w:color w:val="auto"/>
                <w:sz w:val="18"/>
                <w:szCs w:val="18"/>
              </w:rPr>
              <w:t>Sb</w:t>
            </w:r>
          </w:p>
        </w:tc>
        <w:tc>
          <w:tcPr>
            <w:tcW w:w="1657" w:type="pct"/>
            <w:tcBorders>
              <w:top w:val="single" w:color="000000" w:sz="4" w:space="0"/>
              <w:left w:val="single" w:color="000000" w:sz="6" w:space="0"/>
              <w:bottom w:val="single" w:color="000000" w:sz="12" w:space="0"/>
              <w:right w:val="single" w:color="000000" w:sz="4" w:space="0"/>
            </w:tcBorders>
            <w:vAlign w:val="center"/>
          </w:tcPr>
          <w:p>
            <w:pPr>
              <w:widowControl/>
              <w:jc w:val="center"/>
              <w:textAlignment w:val="center"/>
              <w:rPr>
                <w:color w:val="auto"/>
                <w:sz w:val="18"/>
                <w:szCs w:val="18"/>
              </w:rPr>
            </w:pPr>
            <w:r>
              <w:rPr>
                <w:rFonts w:hint="eastAsia"/>
                <w:color w:val="auto"/>
                <w:sz w:val="18"/>
                <w:szCs w:val="18"/>
              </w:rPr>
              <w:t>121</w:t>
            </w:r>
          </w:p>
        </w:tc>
        <w:tc>
          <w:tcPr>
            <w:tcW w:w="861" w:type="pct"/>
            <w:tcBorders>
              <w:top w:val="single" w:color="000000" w:sz="4" w:space="0"/>
              <w:left w:val="double" w:color="000000" w:sz="6" w:space="0"/>
              <w:bottom w:val="single" w:color="000000" w:sz="12" w:space="0"/>
              <w:right w:val="single" w:color="000000" w:sz="4" w:space="0"/>
            </w:tcBorders>
            <w:vAlign w:val="center"/>
          </w:tcPr>
          <w:p>
            <w:pPr>
              <w:jc w:val="center"/>
              <w:rPr>
                <w:bCs/>
                <w:color w:val="auto"/>
                <w:sz w:val="18"/>
                <w:szCs w:val="18"/>
              </w:rPr>
            </w:pPr>
            <w:r>
              <w:rPr>
                <w:rFonts w:hint="eastAsia"/>
                <w:bCs/>
                <w:color w:val="auto"/>
                <w:sz w:val="18"/>
                <w:szCs w:val="18"/>
              </w:rPr>
              <w:t>Cs</w:t>
            </w:r>
          </w:p>
        </w:tc>
        <w:tc>
          <w:tcPr>
            <w:tcW w:w="1639" w:type="pct"/>
            <w:tcBorders>
              <w:top w:val="single" w:color="000000" w:sz="4" w:space="0"/>
              <w:left w:val="single" w:color="000000" w:sz="4" w:space="0"/>
              <w:bottom w:val="single" w:color="000000" w:sz="12" w:space="0"/>
            </w:tcBorders>
            <w:vAlign w:val="center"/>
          </w:tcPr>
          <w:p>
            <w:pPr>
              <w:widowControl/>
              <w:jc w:val="center"/>
              <w:textAlignment w:val="center"/>
              <w:rPr>
                <w:color w:val="auto"/>
                <w:sz w:val="18"/>
                <w:szCs w:val="18"/>
              </w:rPr>
            </w:pPr>
            <w:r>
              <w:rPr>
                <w:rFonts w:hint="eastAsia"/>
                <w:color w:val="auto"/>
                <w:sz w:val="18"/>
                <w:szCs w:val="18"/>
              </w:rPr>
              <w:t>133</w:t>
            </w:r>
          </w:p>
        </w:tc>
      </w:tr>
      <w:bookmarkEnd w:id="34"/>
    </w:tbl>
    <w:p>
      <w:pPr>
        <w:numPr>
          <w:ilvl w:val="0"/>
          <w:numId w:val="3"/>
        </w:numPr>
        <w:autoSpaceDE w:val="0"/>
        <w:autoSpaceDN w:val="0"/>
        <w:adjustRightInd w:val="0"/>
        <w:snapToGrid w:val="0"/>
        <w:spacing w:before="312" w:beforeLines="100" w:line="360" w:lineRule="exact"/>
        <w:ind w:left="0" w:firstLine="0"/>
        <w:rPr>
          <w:color w:val="auto"/>
          <w:szCs w:val="21"/>
        </w:rPr>
      </w:pPr>
      <w:r>
        <w:rPr>
          <w:rFonts w:hint="eastAsia"/>
          <w:color w:val="auto"/>
          <w:szCs w:val="21"/>
        </w:rPr>
        <w:t xml:space="preserve"> </w:t>
      </w:r>
      <w:bookmarkStart w:id="37" w:name="OLE_LINK20"/>
      <w:r>
        <w:rPr>
          <w:rFonts w:hint="eastAsia"/>
          <w:color w:val="auto"/>
          <w:szCs w:val="21"/>
        </w:rPr>
        <w:t xml:space="preserve"> </w:t>
      </w:r>
      <w:bookmarkStart w:id="38" w:name="OLE_LINK33"/>
      <w:r>
        <w:rPr>
          <w:color w:val="auto"/>
          <w:szCs w:val="21"/>
        </w:rPr>
        <w:t>电感耦合等离子体串联质谱</w:t>
      </w:r>
      <w:r>
        <w:rPr>
          <w:rFonts w:hint="eastAsia"/>
          <w:color w:val="auto"/>
          <w:szCs w:val="21"/>
        </w:rPr>
        <w:t>仪</w:t>
      </w:r>
      <w:bookmarkEnd w:id="37"/>
      <w:bookmarkEnd w:id="38"/>
      <w:r>
        <w:rPr>
          <w:color w:val="auto"/>
          <w:kern w:val="0"/>
          <w:szCs w:val="21"/>
        </w:rPr>
        <w:t>（</w:t>
      </w:r>
      <w:bookmarkStart w:id="39" w:name="OLE_LINK34"/>
      <w:r>
        <w:rPr>
          <w:color w:val="auto"/>
          <w:kern w:val="0"/>
          <w:szCs w:val="21"/>
        </w:rPr>
        <w:t>ICP-MS/MS</w:t>
      </w:r>
      <w:bookmarkEnd w:id="39"/>
      <w:r>
        <w:rPr>
          <w:color w:val="auto"/>
          <w:kern w:val="0"/>
          <w:szCs w:val="21"/>
        </w:rPr>
        <w:t>）</w:t>
      </w:r>
      <w:r>
        <w:rPr>
          <w:rFonts w:hint="eastAsia"/>
          <w:color w:val="auto"/>
          <w:szCs w:val="21"/>
        </w:rPr>
        <w:t>：</w:t>
      </w:r>
      <w:r>
        <w:rPr>
          <w:rFonts w:hint="eastAsia"/>
          <w:color w:val="auto"/>
        </w:rPr>
        <w:t>以</w:t>
      </w:r>
      <w:r>
        <w:rPr>
          <w:color w:val="auto"/>
          <w:szCs w:val="21"/>
        </w:rPr>
        <w:t>氩气为载气</w:t>
      </w:r>
      <w:r>
        <w:rPr>
          <w:rFonts w:hint="eastAsia" w:hAnsi="宋体"/>
          <w:color w:val="auto"/>
          <w:kern w:val="0"/>
          <w:szCs w:val="21"/>
        </w:rPr>
        <w:t>，</w:t>
      </w:r>
      <w:r>
        <w:rPr>
          <w:rFonts w:hint="eastAsia"/>
          <w:color w:val="auto"/>
          <w:spacing w:val="6"/>
        </w:rPr>
        <w:t>配备</w:t>
      </w:r>
      <w:r>
        <w:rPr>
          <w:rFonts w:hint="eastAsia" w:ascii="宋体" w:hAnsi="宋体" w:cs="宋体"/>
          <w:color w:val="auto"/>
          <w:kern w:val="0"/>
          <w:szCs w:val="21"/>
        </w:rPr>
        <w:t>耐氢氟酸进样系统，</w:t>
      </w:r>
      <w:r>
        <w:rPr>
          <w:rFonts w:hint="eastAsia"/>
          <w:color w:val="auto"/>
          <w:szCs w:val="21"/>
        </w:rPr>
        <w:t>一级质量分析器（Q1）和二级</w:t>
      </w:r>
      <w:bookmarkStart w:id="40" w:name="OLE_LINK30"/>
      <w:r>
        <w:rPr>
          <w:rFonts w:hint="eastAsia"/>
          <w:color w:val="auto"/>
          <w:szCs w:val="21"/>
        </w:rPr>
        <w:t>质量分析器</w:t>
      </w:r>
      <w:bookmarkEnd w:id="40"/>
      <w:r>
        <w:rPr>
          <w:rFonts w:hint="eastAsia"/>
          <w:color w:val="auto"/>
          <w:szCs w:val="21"/>
        </w:rPr>
        <w:t>（Q2）分别位于</w:t>
      </w:r>
      <w:bookmarkStart w:id="41" w:name="OLE_LINK44"/>
      <w:r>
        <w:rPr>
          <w:rFonts w:hint="eastAsia" w:hAnsi="宋体"/>
          <w:color w:val="auto"/>
          <w:kern w:val="0"/>
          <w:szCs w:val="21"/>
        </w:rPr>
        <w:t>碰撞/反应</w:t>
      </w:r>
      <w:bookmarkEnd w:id="41"/>
      <w:r>
        <w:rPr>
          <w:rFonts w:hint="eastAsia" w:hAnsi="宋体"/>
          <w:color w:val="auto"/>
          <w:kern w:val="0"/>
          <w:szCs w:val="21"/>
        </w:rPr>
        <w:t>池前后</w:t>
      </w:r>
      <w:r>
        <w:rPr>
          <w:rFonts w:hint="eastAsia"/>
          <w:color w:val="auto"/>
          <w:szCs w:val="21"/>
        </w:rPr>
        <w:t>。</w:t>
      </w:r>
      <w:r>
        <w:rPr>
          <w:color w:val="auto"/>
          <w:kern w:val="0"/>
          <w:szCs w:val="21"/>
        </w:rPr>
        <w:t>推荐</w:t>
      </w:r>
      <w:bookmarkStart w:id="42" w:name="OLE_LINK35"/>
      <w:r>
        <w:rPr>
          <w:color w:val="auto"/>
          <w:kern w:val="0"/>
          <w:szCs w:val="21"/>
        </w:rPr>
        <w:t>的测定条件</w:t>
      </w:r>
      <w:bookmarkEnd w:id="42"/>
      <w:r>
        <w:rPr>
          <w:rFonts w:hint="eastAsia"/>
          <w:color w:val="auto"/>
          <w:kern w:val="0"/>
          <w:szCs w:val="21"/>
        </w:rPr>
        <w:t>见表3</w:t>
      </w:r>
      <w:r>
        <w:rPr>
          <w:color w:val="auto"/>
          <w:kern w:val="0"/>
          <w:szCs w:val="21"/>
        </w:rPr>
        <w:t>。</w:t>
      </w:r>
    </w:p>
    <w:p>
      <w:pPr>
        <w:pStyle w:val="5"/>
        <w:adjustRightInd w:val="0"/>
        <w:snapToGrid w:val="0"/>
        <w:spacing w:before="156" w:beforeLines="50" w:after="156" w:afterLines="50"/>
        <w:ind w:firstLine="0" w:firstLineChars="0"/>
        <w:jc w:val="center"/>
        <w:rPr>
          <w:rFonts w:eastAsia="黑体"/>
          <w:bCs/>
          <w:color w:val="auto"/>
          <w:szCs w:val="21"/>
        </w:rPr>
      </w:pPr>
      <w:r>
        <w:rPr>
          <w:rFonts w:hint="eastAsia" w:eastAsia="黑体"/>
          <w:bCs/>
          <w:color w:val="auto"/>
          <w:szCs w:val="21"/>
        </w:rPr>
        <w:t xml:space="preserve">表3  </w:t>
      </w:r>
      <w:r>
        <w:rPr>
          <w:rFonts w:hint="eastAsia" w:hAnsi="宋体"/>
          <w:color w:val="auto"/>
          <w:kern w:val="0"/>
          <w:szCs w:val="21"/>
        </w:rPr>
        <w:t>ICP-MS/MS</w:t>
      </w:r>
      <w:r>
        <w:rPr>
          <w:rFonts w:hint="eastAsia" w:eastAsia="黑体"/>
          <w:bCs/>
          <w:color w:val="auto"/>
          <w:szCs w:val="21"/>
        </w:rPr>
        <w:t>推荐的测定条件</w:t>
      </w:r>
      <w:bookmarkStart w:id="58" w:name="_GoBack"/>
      <w:bookmarkEnd w:id="58"/>
    </w:p>
    <w:tbl>
      <w:tblPr>
        <w:tblStyle w:val="18"/>
        <w:tblW w:w="5012"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1175"/>
        <w:gridCol w:w="1175"/>
        <w:gridCol w:w="1175"/>
        <w:gridCol w:w="1176"/>
        <w:gridCol w:w="1176"/>
        <w:gridCol w:w="1176"/>
        <w:gridCol w:w="1176"/>
        <w:gridCol w:w="1178"/>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6" w:hRule="atLeast"/>
          <w:tblHeader/>
          <w:jc w:val="center"/>
        </w:trPr>
        <w:tc>
          <w:tcPr>
            <w:tcW w:w="624" w:type="pct"/>
            <w:tcBorders>
              <w:bottom w:val="single" w:color="000000" w:sz="12" w:space="0"/>
              <w:right w:val="single" w:color="000000" w:sz="4" w:space="0"/>
            </w:tcBorders>
            <w:vAlign w:val="center"/>
          </w:tcPr>
          <w:p>
            <w:pPr>
              <w:widowControl/>
              <w:jc w:val="center"/>
              <w:rPr>
                <w:color w:val="auto"/>
                <w:kern w:val="0"/>
                <w:sz w:val="18"/>
                <w:szCs w:val="18"/>
              </w:rPr>
            </w:pPr>
            <w:bookmarkStart w:id="43" w:name="OLE_LINK28" w:colFirst="1" w:colLast="2"/>
            <w:bookmarkStart w:id="44" w:name="OLE_LINK31" w:colFirst="1" w:colLast="3"/>
            <w:bookmarkStart w:id="45" w:name="OLE_LINK22" w:colFirst="7" w:colLast="7"/>
            <w:r>
              <w:rPr>
                <w:color w:val="auto"/>
                <w:kern w:val="0"/>
                <w:sz w:val="18"/>
                <w:szCs w:val="18"/>
              </w:rPr>
              <w:t>元素</w:t>
            </w:r>
          </w:p>
        </w:tc>
        <w:tc>
          <w:tcPr>
            <w:tcW w:w="624" w:type="pct"/>
            <w:tcBorders>
              <w:left w:val="single" w:color="000000" w:sz="4" w:space="0"/>
              <w:bottom w:val="single" w:color="000000" w:sz="12" w:space="0"/>
              <w:right w:val="single" w:color="000000" w:sz="4" w:space="0"/>
            </w:tcBorders>
            <w:vAlign w:val="center"/>
          </w:tcPr>
          <w:p>
            <w:pPr>
              <w:widowControl/>
              <w:jc w:val="center"/>
              <w:rPr>
                <w:color w:val="auto"/>
                <w:kern w:val="0"/>
                <w:sz w:val="18"/>
                <w:szCs w:val="18"/>
              </w:rPr>
            </w:pPr>
            <w:r>
              <w:rPr>
                <w:rFonts w:hint="eastAsia"/>
                <w:color w:val="auto"/>
                <w:kern w:val="0"/>
                <w:sz w:val="18"/>
                <w:szCs w:val="18"/>
              </w:rPr>
              <w:t>Q1</w:t>
            </w:r>
            <w:r>
              <w:rPr>
                <w:color w:val="auto"/>
                <w:kern w:val="0"/>
                <w:sz w:val="18"/>
                <w:szCs w:val="18"/>
              </w:rPr>
              <w:t>质量数</w:t>
            </w:r>
          </w:p>
        </w:tc>
        <w:tc>
          <w:tcPr>
            <w:tcW w:w="624" w:type="pct"/>
            <w:tcBorders>
              <w:left w:val="single" w:color="000000" w:sz="4" w:space="0"/>
              <w:bottom w:val="single" w:color="000000" w:sz="12" w:space="0"/>
              <w:right w:val="single" w:color="000000" w:sz="4" w:space="0"/>
            </w:tcBorders>
            <w:vAlign w:val="center"/>
          </w:tcPr>
          <w:p>
            <w:pPr>
              <w:widowControl/>
              <w:jc w:val="center"/>
              <w:rPr>
                <w:color w:val="auto"/>
                <w:kern w:val="0"/>
                <w:sz w:val="18"/>
                <w:szCs w:val="18"/>
              </w:rPr>
            </w:pPr>
            <w:r>
              <w:rPr>
                <w:rFonts w:hint="eastAsia"/>
                <w:color w:val="auto"/>
                <w:kern w:val="0"/>
                <w:sz w:val="18"/>
                <w:szCs w:val="18"/>
              </w:rPr>
              <w:t>Q2</w:t>
            </w:r>
            <w:r>
              <w:rPr>
                <w:color w:val="auto"/>
                <w:kern w:val="0"/>
                <w:sz w:val="18"/>
                <w:szCs w:val="18"/>
              </w:rPr>
              <w:t>质量数</w:t>
            </w:r>
          </w:p>
        </w:tc>
        <w:tc>
          <w:tcPr>
            <w:tcW w:w="624" w:type="pct"/>
            <w:tcBorders>
              <w:left w:val="single" w:color="000000" w:sz="4" w:space="0"/>
              <w:bottom w:val="single" w:color="000000" w:sz="12" w:space="0"/>
              <w:right w:val="double" w:color="000000" w:sz="6" w:space="0"/>
            </w:tcBorders>
            <w:vAlign w:val="center"/>
          </w:tcPr>
          <w:p>
            <w:pPr>
              <w:widowControl/>
              <w:jc w:val="center"/>
              <w:rPr>
                <w:rFonts w:hint="eastAsia" w:eastAsia="宋体"/>
                <w:color w:val="auto"/>
                <w:kern w:val="0"/>
                <w:sz w:val="18"/>
                <w:szCs w:val="18"/>
                <w:lang w:val="en-US" w:eastAsia="zh-CN"/>
              </w:rPr>
            </w:pPr>
            <w:bookmarkStart w:id="46" w:name="OLE_LINK45"/>
            <w:r>
              <w:rPr>
                <w:rFonts w:hint="eastAsia"/>
                <w:color w:val="auto"/>
                <w:kern w:val="0"/>
                <w:sz w:val="18"/>
                <w:szCs w:val="18"/>
              </w:rPr>
              <w:t>碰撞/反应</w:t>
            </w:r>
            <w:r>
              <w:rPr>
                <w:rFonts w:hint="eastAsia"/>
                <w:color w:val="auto"/>
                <w:kern w:val="0"/>
                <w:sz w:val="18"/>
                <w:szCs w:val="18"/>
                <w:lang w:val="en-US" w:eastAsia="zh-CN"/>
              </w:rPr>
              <w:t>气</w:t>
            </w:r>
            <w:bookmarkEnd w:id="46"/>
          </w:p>
        </w:tc>
        <w:tc>
          <w:tcPr>
            <w:tcW w:w="624" w:type="pct"/>
            <w:tcBorders>
              <w:left w:val="double" w:color="000000" w:sz="6" w:space="0"/>
              <w:bottom w:val="single" w:color="000000" w:sz="12" w:space="0"/>
              <w:right w:val="single" w:color="000000" w:sz="6" w:space="0"/>
            </w:tcBorders>
            <w:vAlign w:val="center"/>
          </w:tcPr>
          <w:p>
            <w:pPr>
              <w:widowControl/>
              <w:jc w:val="center"/>
              <w:rPr>
                <w:color w:val="auto"/>
                <w:kern w:val="0"/>
                <w:sz w:val="18"/>
                <w:szCs w:val="18"/>
              </w:rPr>
            </w:pPr>
            <w:r>
              <w:rPr>
                <w:color w:val="auto"/>
                <w:kern w:val="0"/>
                <w:sz w:val="18"/>
                <w:szCs w:val="18"/>
              </w:rPr>
              <w:t>元素</w:t>
            </w:r>
          </w:p>
        </w:tc>
        <w:tc>
          <w:tcPr>
            <w:tcW w:w="624" w:type="pct"/>
            <w:tcBorders>
              <w:left w:val="single" w:color="000000" w:sz="6" w:space="0"/>
              <w:bottom w:val="single" w:color="000000" w:sz="12" w:space="0"/>
            </w:tcBorders>
            <w:vAlign w:val="center"/>
          </w:tcPr>
          <w:p>
            <w:pPr>
              <w:widowControl/>
              <w:jc w:val="center"/>
              <w:rPr>
                <w:color w:val="auto"/>
                <w:kern w:val="0"/>
                <w:sz w:val="18"/>
                <w:szCs w:val="18"/>
              </w:rPr>
            </w:pPr>
            <w:r>
              <w:rPr>
                <w:rFonts w:hint="eastAsia"/>
                <w:color w:val="auto"/>
                <w:kern w:val="0"/>
                <w:sz w:val="18"/>
                <w:szCs w:val="18"/>
              </w:rPr>
              <w:t>Q1</w:t>
            </w:r>
            <w:r>
              <w:rPr>
                <w:color w:val="auto"/>
                <w:kern w:val="0"/>
                <w:sz w:val="18"/>
                <w:szCs w:val="18"/>
              </w:rPr>
              <w:t>质量数</w:t>
            </w:r>
          </w:p>
        </w:tc>
        <w:tc>
          <w:tcPr>
            <w:tcW w:w="624" w:type="pct"/>
            <w:tcBorders>
              <w:left w:val="single" w:color="000000" w:sz="6" w:space="0"/>
              <w:bottom w:val="single" w:color="000000" w:sz="12" w:space="0"/>
            </w:tcBorders>
            <w:vAlign w:val="center"/>
          </w:tcPr>
          <w:p>
            <w:pPr>
              <w:widowControl/>
              <w:jc w:val="center"/>
              <w:rPr>
                <w:color w:val="auto"/>
                <w:kern w:val="0"/>
                <w:sz w:val="18"/>
                <w:szCs w:val="18"/>
              </w:rPr>
            </w:pPr>
            <w:r>
              <w:rPr>
                <w:rFonts w:hint="eastAsia"/>
                <w:color w:val="auto"/>
                <w:kern w:val="0"/>
                <w:sz w:val="18"/>
                <w:szCs w:val="18"/>
              </w:rPr>
              <w:t>Q2</w:t>
            </w:r>
            <w:r>
              <w:rPr>
                <w:color w:val="auto"/>
                <w:kern w:val="0"/>
                <w:sz w:val="18"/>
                <w:szCs w:val="18"/>
              </w:rPr>
              <w:t>质量数</w:t>
            </w:r>
          </w:p>
        </w:tc>
        <w:tc>
          <w:tcPr>
            <w:tcW w:w="625" w:type="pct"/>
            <w:tcBorders>
              <w:left w:val="single" w:color="000000" w:sz="6" w:space="0"/>
              <w:bottom w:val="single" w:color="000000" w:sz="12" w:space="0"/>
            </w:tcBorders>
            <w:vAlign w:val="center"/>
          </w:tcPr>
          <w:p>
            <w:pPr>
              <w:widowControl/>
              <w:jc w:val="center"/>
              <w:rPr>
                <w:color w:val="auto"/>
                <w:kern w:val="0"/>
                <w:sz w:val="18"/>
                <w:szCs w:val="18"/>
              </w:rPr>
            </w:pPr>
            <w:r>
              <w:rPr>
                <w:rFonts w:hint="eastAsia"/>
                <w:color w:val="auto"/>
                <w:kern w:val="0"/>
                <w:sz w:val="18"/>
                <w:szCs w:val="18"/>
              </w:rPr>
              <w:t>碰撞/反应</w:t>
            </w:r>
            <w:r>
              <w:rPr>
                <w:rFonts w:hint="eastAsia"/>
                <w:color w:val="auto"/>
                <w:kern w:val="0"/>
                <w:sz w:val="18"/>
                <w:szCs w:val="18"/>
                <w:lang w:val="en-US" w:eastAsia="zh-CN"/>
              </w:rPr>
              <w:t>气</w:t>
            </w:r>
          </w:p>
        </w:tc>
      </w:tr>
      <w:bookmarkEnd w:id="43"/>
      <w:bookmarkEnd w:id="44"/>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624" w:type="pct"/>
            <w:tcBorders>
              <w:top w:val="single" w:color="000000" w:sz="12" w:space="0"/>
              <w:bottom w:val="single" w:color="000000" w:sz="6" w:space="0"/>
              <w:right w:val="single" w:color="000000" w:sz="6" w:space="0"/>
            </w:tcBorders>
            <w:vAlign w:val="center"/>
          </w:tcPr>
          <w:p>
            <w:pPr>
              <w:jc w:val="center"/>
              <w:rPr>
                <w:color w:val="auto"/>
                <w:sz w:val="18"/>
                <w:szCs w:val="18"/>
              </w:rPr>
            </w:pPr>
            <w:bookmarkStart w:id="47" w:name="OLE_LINK46" w:colFirst="0" w:colLast="7"/>
            <w:r>
              <w:rPr>
                <w:bCs/>
                <w:color w:val="auto"/>
                <w:sz w:val="18"/>
                <w:szCs w:val="18"/>
              </w:rPr>
              <w:t>B</w:t>
            </w:r>
          </w:p>
        </w:tc>
        <w:tc>
          <w:tcPr>
            <w:tcW w:w="624" w:type="pct"/>
            <w:tcBorders>
              <w:top w:val="single" w:color="000000" w:sz="12"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11</w:t>
            </w:r>
          </w:p>
        </w:tc>
        <w:tc>
          <w:tcPr>
            <w:tcW w:w="624" w:type="pct"/>
            <w:tcBorders>
              <w:top w:val="single" w:color="000000" w:sz="12"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11</w:t>
            </w:r>
          </w:p>
        </w:tc>
        <w:tc>
          <w:tcPr>
            <w:tcW w:w="624" w:type="pct"/>
            <w:tcBorders>
              <w:top w:val="single" w:color="000000" w:sz="12" w:space="0"/>
              <w:left w:val="single" w:color="000000" w:sz="6" w:space="0"/>
              <w:bottom w:val="single" w:color="000000" w:sz="4" w:space="0"/>
              <w:right w:val="single" w:color="000000" w:sz="4" w:space="0"/>
            </w:tcBorders>
            <w:vAlign w:val="center"/>
          </w:tcPr>
          <w:p>
            <w:pPr>
              <w:jc w:val="center"/>
              <w:rPr>
                <w:rFonts w:hint="default" w:eastAsia="宋体"/>
                <w:color w:val="auto"/>
                <w:sz w:val="18"/>
                <w:szCs w:val="18"/>
                <w:lang w:val="en-US" w:eastAsia="zh-CN"/>
              </w:rPr>
            </w:pPr>
            <w:bookmarkStart w:id="48" w:name="OLE_LINK2"/>
            <w:r>
              <w:rPr>
                <w:rFonts w:hint="eastAsia"/>
                <w:bCs/>
                <w:color w:val="auto"/>
                <w:sz w:val="18"/>
                <w:szCs w:val="18"/>
              </w:rPr>
              <w:t>—</w:t>
            </w:r>
            <w:bookmarkEnd w:id="48"/>
          </w:p>
        </w:tc>
        <w:tc>
          <w:tcPr>
            <w:tcW w:w="624" w:type="pct"/>
            <w:vMerge w:val="restart"/>
            <w:tcBorders>
              <w:top w:val="single" w:color="000000" w:sz="12" w:space="0"/>
              <w:left w:val="double" w:color="000000" w:sz="6" w:space="0"/>
              <w:right w:val="single" w:color="000000" w:sz="4" w:space="0"/>
            </w:tcBorders>
            <w:vAlign w:val="center"/>
          </w:tcPr>
          <w:p>
            <w:pPr>
              <w:jc w:val="center"/>
              <w:rPr>
                <w:color w:val="auto"/>
                <w:sz w:val="18"/>
                <w:szCs w:val="18"/>
              </w:rPr>
            </w:pPr>
            <w:r>
              <w:rPr>
                <w:rFonts w:hint="eastAsia"/>
                <w:color w:val="auto"/>
                <w:sz w:val="18"/>
                <w:szCs w:val="18"/>
              </w:rPr>
              <w:t>Pt</w:t>
            </w:r>
          </w:p>
        </w:tc>
        <w:tc>
          <w:tcPr>
            <w:tcW w:w="624" w:type="pct"/>
            <w:tcBorders>
              <w:top w:val="single" w:color="000000" w:sz="12"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195</w:t>
            </w:r>
          </w:p>
        </w:tc>
        <w:tc>
          <w:tcPr>
            <w:tcW w:w="624" w:type="pct"/>
            <w:tcBorders>
              <w:top w:val="single" w:color="000000" w:sz="12"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229</w:t>
            </w:r>
          </w:p>
        </w:tc>
        <w:tc>
          <w:tcPr>
            <w:tcW w:w="625" w:type="pct"/>
            <w:tcBorders>
              <w:top w:val="single" w:color="000000" w:sz="12"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Mg</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24</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24</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c>
          <w:tcPr>
            <w:tcW w:w="624" w:type="pct"/>
            <w:vMerge w:val="continue"/>
            <w:tcBorders>
              <w:left w:val="double" w:color="000000" w:sz="6" w:space="0"/>
              <w:bottom w:val="single" w:color="000000" w:sz="4" w:space="0"/>
              <w:right w:val="single" w:color="000000" w:sz="4" w:space="0"/>
            </w:tcBorders>
            <w:vAlign w:val="center"/>
          </w:tcPr>
          <w:p>
            <w:pPr>
              <w:jc w:val="center"/>
              <w:rPr>
                <w:color w:val="auto"/>
                <w:sz w:val="18"/>
                <w:szCs w:val="18"/>
              </w:rPr>
            </w:pP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198</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249</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97"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Zn</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66</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66</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Au</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197</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231</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Ga</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71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71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Tl</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205</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205</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rPr>
              <w:t>As</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75</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91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氧气</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Pb</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208</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208</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vMerge w:val="restart"/>
            <w:tcBorders>
              <w:top w:val="single" w:color="000000" w:sz="6" w:space="0"/>
              <w:right w:val="single" w:color="000000" w:sz="6" w:space="0"/>
            </w:tcBorders>
            <w:vAlign w:val="center"/>
          </w:tcPr>
          <w:p>
            <w:pPr>
              <w:jc w:val="center"/>
              <w:rPr>
                <w:color w:val="auto"/>
                <w:sz w:val="18"/>
                <w:szCs w:val="18"/>
              </w:rPr>
            </w:pPr>
            <w:r>
              <w:rPr>
                <w:bCs/>
                <w:color w:val="auto"/>
                <w:sz w:val="18"/>
                <w:szCs w:val="18"/>
              </w:rPr>
              <w:t>Se</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bCs/>
                <w:color w:val="auto"/>
                <w:sz w:val="18"/>
                <w:szCs w:val="18"/>
              </w:rPr>
            </w:pPr>
            <w:r>
              <w:rPr>
                <w:rFonts w:hint="eastAsia"/>
                <w:bCs/>
                <w:color w:val="auto"/>
                <w:sz w:val="18"/>
                <w:szCs w:val="18"/>
              </w:rPr>
              <w:t>78</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bCs/>
                <w:color w:val="auto"/>
                <w:sz w:val="18"/>
                <w:szCs w:val="18"/>
              </w:rPr>
            </w:pPr>
            <w:r>
              <w:rPr>
                <w:rFonts w:hint="eastAsia"/>
                <w:color w:val="auto"/>
                <w:sz w:val="18"/>
                <w:szCs w:val="18"/>
              </w:rPr>
              <w:t>78</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氢气</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bCs/>
                <w:color w:val="auto"/>
                <w:sz w:val="18"/>
                <w:szCs w:val="18"/>
              </w:rPr>
            </w:pPr>
            <w:r>
              <w:rPr>
                <w:rFonts w:hint="eastAsia"/>
                <w:bCs/>
                <w:color w:val="auto"/>
                <w:sz w:val="18"/>
                <w:szCs w:val="18"/>
              </w:rPr>
              <w:t>Bi</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209</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209</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vMerge w:val="continue"/>
            <w:tcBorders>
              <w:bottom w:val="single" w:color="000000" w:sz="6" w:space="0"/>
              <w:right w:val="single" w:color="000000" w:sz="6" w:space="0"/>
            </w:tcBorders>
            <w:vAlign w:val="center"/>
          </w:tcPr>
          <w:p>
            <w:pPr>
              <w:jc w:val="center"/>
              <w:rPr>
                <w:color w:val="auto"/>
                <w:sz w:val="18"/>
                <w:szCs w:val="18"/>
              </w:rPr>
            </w:pP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80</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color w:val="auto"/>
                <w:sz w:val="18"/>
                <w:szCs w:val="18"/>
              </w:rPr>
              <w:t>80</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氢气</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bCs/>
                <w:color w:val="auto"/>
                <w:sz w:val="18"/>
                <w:szCs w:val="18"/>
              </w:rPr>
            </w:pPr>
            <w:r>
              <w:rPr>
                <w:rFonts w:hint="eastAsia"/>
                <w:bCs/>
                <w:color w:val="auto"/>
                <w:sz w:val="18"/>
                <w:szCs w:val="18"/>
              </w:rPr>
              <w:t>Li</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7</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7</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rFonts w:hint="eastAsia"/>
                <w:bCs/>
                <w:color w:val="auto"/>
                <w:sz w:val="18"/>
                <w:szCs w:val="18"/>
              </w:rPr>
              <w:t>Ag</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107</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107</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w:t>
            </w:r>
          </w:p>
        </w:tc>
        <w:tc>
          <w:tcPr>
            <w:tcW w:w="624" w:type="pct"/>
            <w:vMerge w:val="restart"/>
            <w:tcBorders>
              <w:top w:val="single" w:color="000000" w:sz="4" w:space="0"/>
              <w:left w:val="double" w:color="000000" w:sz="6" w:space="0"/>
              <w:right w:val="single" w:color="000000" w:sz="4" w:space="0"/>
            </w:tcBorders>
            <w:vAlign w:val="center"/>
          </w:tcPr>
          <w:p>
            <w:pPr>
              <w:jc w:val="center"/>
              <w:rPr>
                <w:bCs/>
                <w:color w:val="auto"/>
                <w:sz w:val="18"/>
                <w:szCs w:val="18"/>
              </w:rPr>
            </w:pPr>
            <w:r>
              <w:rPr>
                <w:rFonts w:hint="eastAsia"/>
                <w:bCs/>
                <w:color w:val="auto"/>
                <w:sz w:val="18"/>
                <w:szCs w:val="18"/>
              </w:rPr>
              <w:t>Sc</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45</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45</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rFonts w:hint="eastAsia"/>
                <w:bCs/>
                <w:color w:val="auto"/>
                <w:sz w:val="18"/>
                <w:szCs w:val="18"/>
              </w:rPr>
              <w:t>Cd</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111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111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氧气</w:t>
            </w:r>
          </w:p>
        </w:tc>
        <w:tc>
          <w:tcPr>
            <w:tcW w:w="624" w:type="pct"/>
            <w:vMerge w:val="continue"/>
            <w:tcBorders>
              <w:left w:val="double" w:color="000000" w:sz="6" w:space="0"/>
              <w:right w:val="single" w:color="000000" w:sz="4" w:space="0"/>
            </w:tcBorders>
            <w:vAlign w:val="center"/>
          </w:tcPr>
          <w:p>
            <w:pPr>
              <w:jc w:val="center"/>
              <w:rPr>
                <w:bCs/>
                <w:color w:val="auto"/>
                <w:sz w:val="18"/>
                <w:szCs w:val="18"/>
              </w:rPr>
            </w:pP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45</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61</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氧气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rFonts w:hint="eastAsia"/>
                <w:bCs/>
                <w:color w:val="auto"/>
                <w:sz w:val="18"/>
                <w:szCs w:val="18"/>
              </w:rPr>
              <w:t>Sn</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118</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118</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w:t>
            </w:r>
          </w:p>
        </w:tc>
        <w:tc>
          <w:tcPr>
            <w:tcW w:w="624" w:type="pct"/>
            <w:vMerge w:val="continue"/>
            <w:tcBorders>
              <w:left w:val="double" w:color="000000" w:sz="6" w:space="0"/>
              <w:bottom w:val="single" w:color="000000" w:sz="4" w:space="0"/>
              <w:right w:val="single" w:color="000000" w:sz="4" w:space="0"/>
            </w:tcBorders>
            <w:vAlign w:val="center"/>
          </w:tcPr>
          <w:p>
            <w:pPr>
              <w:jc w:val="center"/>
              <w:rPr>
                <w:bCs/>
                <w:color w:val="auto"/>
                <w:sz w:val="18"/>
                <w:szCs w:val="18"/>
              </w:rPr>
            </w:pP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45</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130</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lang w:val="en-US" w:eastAsia="zh-CN"/>
              </w:rPr>
              <w:t>氨氦混合</w:t>
            </w:r>
            <w:r>
              <w:rPr>
                <w:rFonts w:hint="eastAsia"/>
                <w:bCs/>
                <w:color w:val="auto"/>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96" w:hRule="atLeast"/>
          <w:jc w:val="center"/>
        </w:trPr>
        <w:tc>
          <w:tcPr>
            <w:tcW w:w="624" w:type="pct"/>
            <w:tcBorders>
              <w:top w:val="single" w:color="000000" w:sz="6" w:space="0"/>
              <w:bottom w:val="single" w:color="000000" w:sz="6" w:space="0"/>
              <w:right w:val="single" w:color="000000" w:sz="6" w:space="0"/>
            </w:tcBorders>
            <w:vAlign w:val="center"/>
          </w:tcPr>
          <w:p>
            <w:pPr>
              <w:jc w:val="center"/>
              <w:rPr>
                <w:color w:val="auto"/>
                <w:sz w:val="18"/>
                <w:szCs w:val="18"/>
              </w:rPr>
            </w:pPr>
            <w:r>
              <w:rPr>
                <w:rFonts w:hint="eastAsia"/>
                <w:bCs/>
                <w:color w:val="auto"/>
                <w:sz w:val="18"/>
                <w:szCs w:val="18"/>
              </w:rPr>
              <w:t>Sb</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121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121</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bCs/>
                <w:color w:val="auto"/>
                <w:sz w:val="18"/>
                <w:szCs w:val="18"/>
              </w:rPr>
            </w:pPr>
            <w:r>
              <w:rPr>
                <w:rFonts w:hint="eastAsia"/>
                <w:bCs/>
                <w:color w:val="auto"/>
                <w:sz w:val="18"/>
                <w:szCs w:val="18"/>
              </w:rPr>
              <w:t>Rh</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103</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103</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全部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vMerge w:val="restart"/>
            <w:tcBorders>
              <w:top w:val="single" w:color="000000" w:sz="6" w:space="0"/>
              <w:right w:val="single" w:color="000000" w:sz="6" w:space="0"/>
            </w:tcBorders>
            <w:vAlign w:val="center"/>
          </w:tcPr>
          <w:p>
            <w:pPr>
              <w:jc w:val="center"/>
              <w:rPr>
                <w:color w:val="auto"/>
                <w:sz w:val="18"/>
                <w:szCs w:val="18"/>
              </w:rPr>
            </w:pPr>
            <w:r>
              <w:rPr>
                <w:rFonts w:hint="eastAsia"/>
                <w:bCs/>
                <w:color w:val="auto"/>
                <w:sz w:val="18"/>
                <w:szCs w:val="18"/>
              </w:rPr>
              <w:t>Te</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125</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125</w:t>
            </w:r>
          </w:p>
        </w:tc>
        <w:tc>
          <w:tcPr>
            <w:tcW w:w="624" w:type="pct"/>
            <w:tcBorders>
              <w:top w:val="single" w:color="000000" w:sz="4" w:space="0"/>
              <w:left w:val="single" w:color="000000" w:sz="6" w:space="0"/>
              <w:bottom w:val="single" w:color="000000" w:sz="4" w:space="0"/>
              <w:right w:val="single" w:color="000000" w:sz="4" w:space="0"/>
            </w:tcBorders>
            <w:vAlign w:val="center"/>
          </w:tcPr>
          <w:p>
            <w:pPr>
              <w:jc w:val="center"/>
              <w:rPr>
                <w:color w:val="auto"/>
                <w:sz w:val="18"/>
                <w:szCs w:val="18"/>
              </w:rPr>
            </w:pPr>
            <w:r>
              <w:rPr>
                <w:rFonts w:hint="eastAsia"/>
                <w:bCs/>
                <w:color w:val="auto"/>
                <w:sz w:val="18"/>
                <w:szCs w:val="18"/>
              </w:rPr>
              <w:t>氢气</w:t>
            </w:r>
          </w:p>
        </w:tc>
        <w:tc>
          <w:tcPr>
            <w:tcW w:w="624" w:type="pct"/>
            <w:tcBorders>
              <w:top w:val="single" w:color="000000" w:sz="4" w:space="0"/>
              <w:left w:val="double" w:color="000000" w:sz="6" w:space="0"/>
              <w:bottom w:val="single" w:color="000000" w:sz="4" w:space="0"/>
              <w:right w:val="single" w:color="000000" w:sz="4" w:space="0"/>
            </w:tcBorders>
            <w:vAlign w:val="center"/>
          </w:tcPr>
          <w:p>
            <w:pPr>
              <w:jc w:val="center"/>
              <w:rPr>
                <w:bCs/>
                <w:color w:val="auto"/>
                <w:sz w:val="18"/>
                <w:szCs w:val="18"/>
              </w:rPr>
            </w:pPr>
            <w:r>
              <w:rPr>
                <w:rFonts w:hint="eastAsia"/>
                <w:bCs/>
                <w:color w:val="auto"/>
                <w:sz w:val="18"/>
                <w:szCs w:val="18"/>
              </w:rPr>
              <w:t>Cs</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133</w:t>
            </w:r>
          </w:p>
        </w:tc>
        <w:tc>
          <w:tcPr>
            <w:tcW w:w="624" w:type="pct"/>
            <w:tcBorders>
              <w:top w:val="single" w:color="000000" w:sz="4" w:space="0"/>
              <w:left w:val="single" w:color="000000" w:sz="4" w:space="0"/>
              <w:bottom w:val="single" w:color="000000" w:sz="4" w:space="0"/>
            </w:tcBorders>
            <w:vAlign w:val="center"/>
          </w:tcPr>
          <w:p>
            <w:pPr>
              <w:jc w:val="center"/>
              <w:rPr>
                <w:color w:val="auto"/>
                <w:sz w:val="18"/>
                <w:szCs w:val="18"/>
              </w:rPr>
            </w:pPr>
            <w:r>
              <w:rPr>
                <w:rFonts w:hint="eastAsia"/>
                <w:bCs/>
                <w:color w:val="auto"/>
                <w:sz w:val="18"/>
                <w:szCs w:val="18"/>
              </w:rPr>
              <w:t>133</w:t>
            </w:r>
          </w:p>
        </w:tc>
        <w:tc>
          <w:tcPr>
            <w:tcW w:w="625" w:type="pct"/>
            <w:tcBorders>
              <w:top w:val="single" w:color="000000" w:sz="4" w:space="0"/>
              <w:left w:val="single" w:color="000000" w:sz="4" w:space="0"/>
              <w:bottom w:val="single" w:color="000000" w:sz="4" w:space="0"/>
            </w:tcBorders>
            <w:vAlign w:val="center"/>
          </w:tcPr>
          <w:p>
            <w:pPr>
              <w:jc w:val="center"/>
              <w:rPr>
                <w:color w:val="auto"/>
                <w:sz w:val="18"/>
                <w:szCs w:val="18"/>
              </w:rPr>
            </w:pPr>
            <w:r>
              <w:rPr>
                <w:bCs/>
                <w:color w:val="auto"/>
                <w:sz w:val="18"/>
                <w:szCs w:val="18"/>
              </w:rPr>
              <w:t>全部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624" w:type="pct"/>
            <w:vMerge w:val="continue"/>
            <w:tcBorders>
              <w:bottom w:val="single" w:color="000000" w:sz="12" w:space="0"/>
              <w:right w:val="single" w:color="000000" w:sz="6" w:space="0"/>
            </w:tcBorders>
            <w:vAlign w:val="center"/>
          </w:tcPr>
          <w:p>
            <w:pPr>
              <w:jc w:val="center"/>
              <w:rPr>
                <w:color w:val="auto"/>
                <w:sz w:val="18"/>
                <w:szCs w:val="18"/>
              </w:rPr>
            </w:pPr>
          </w:p>
        </w:tc>
        <w:tc>
          <w:tcPr>
            <w:tcW w:w="624" w:type="pct"/>
            <w:tcBorders>
              <w:top w:val="single" w:color="000000" w:sz="4" w:space="0"/>
              <w:left w:val="single" w:color="000000" w:sz="6" w:space="0"/>
              <w:bottom w:val="single" w:color="000000" w:sz="12" w:space="0"/>
              <w:right w:val="single" w:color="000000" w:sz="4" w:space="0"/>
            </w:tcBorders>
            <w:vAlign w:val="center"/>
          </w:tcPr>
          <w:p>
            <w:pPr>
              <w:jc w:val="center"/>
              <w:rPr>
                <w:color w:val="auto"/>
                <w:sz w:val="18"/>
                <w:szCs w:val="18"/>
              </w:rPr>
            </w:pPr>
            <w:r>
              <w:rPr>
                <w:rFonts w:hint="eastAsia"/>
                <w:bCs/>
                <w:color w:val="auto"/>
                <w:sz w:val="18"/>
                <w:szCs w:val="18"/>
              </w:rPr>
              <w:t>128</w:t>
            </w:r>
          </w:p>
        </w:tc>
        <w:tc>
          <w:tcPr>
            <w:tcW w:w="624" w:type="pct"/>
            <w:tcBorders>
              <w:top w:val="single" w:color="000000" w:sz="4" w:space="0"/>
              <w:left w:val="single" w:color="000000" w:sz="6" w:space="0"/>
              <w:bottom w:val="single" w:color="000000" w:sz="12" w:space="0"/>
              <w:right w:val="single" w:color="000000" w:sz="4" w:space="0"/>
            </w:tcBorders>
            <w:vAlign w:val="center"/>
          </w:tcPr>
          <w:p>
            <w:pPr>
              <w:jc w:val="center"/>
              <w:rPr>
                <w:color w:val="auto"/>
                <w:sz w:val="18"/>
                <w:szCs w:val="18"/>
              </w:rPr>
            </w:pPr>
            <w:r>
              <w:rPr>
                <w:rFonts w:hint="eastAsia"/>
                <w:bCs/>
                <w:color w:val="auto"/>
                <w:sz w:val="18"/>
                <w:szCs w:val="18"/>
              </w:rPr>
              <w:t>128</w:t>
            </w:r>
          </w:p>
        </w:tc>
        <w:tc>
          <w:tcPr>
            <w:tcW w:w="624" w:type="pct"/>
            <w:tcBorders>
              <w:top w:val="single" w:color="000000" w:sz="4" w:space="0"/>
              <w:left w:val="single" w:color="000000" w:sz="6" w:space="0"/>
              <w:bottom w:val="single" w:color="000000" w:sz="12" w:space="0"/>
              <w:right w:val="single" w:color="000000" w:sz="4" w:space="0"/>
            </w:tcBorders>
            <w:vAlign w:val="center"/>
          </w:tcPr>
          <w:p>
            <w:pPr>
              <w:jc w:val="center"/>
              <w:rPr>
                <w:color w:val="auto"/>
                <w:sz w:val="18"/>
                <w:szCs w:val="18"/>
              </w:rPr>
            </w:pPr>
            <w:r>
              <w:rPr>
                <w:rFonts w:hint="eastAsia"/>
                <w:bCs/>
                <w:color w:val="auto"/>
                <w:sz w:val="18"/>
                <w:szCs w:val="18"/>
              </w:rPr>
              <w:t>氢气</w:t>
            </w:r>
          </w:p>
        </w:tc>
        <w:tc>
          <w:tcPr>
            <w:tcW w:w="624" w:type="pct"/>
            <w:tcBorders>
              <w:top w:val="single" w:color="000000" w:sz="4" w:space="0"/>
              <w:left w:val="double" w:color="000000" w:sz="6" w:space="0"/>
              <w:bottom w:val="single" w:color="000000" w:sz="12" w:space="0"/>
              <w:right w:val="single" w:color="000000" w:sz="4" w:space="0"/>
            </w:tcBorders>
            <w:vAlign w:val="center"/>
          </w:tcPr>
          <w:p>
            <w:pPr>
              <w:jc w:val="center"/>
              <w:rPr>
                <w:bCs/>
                <w:color w:val="auto"/>
                <w:sz w:val="18"/>
                <w:szCs w:val="18"/>
              </w:rPr>
            </w:pPr>
            <w:bookmarkStart w:id="49" w:name="OLE_LINK6"/>
            <w:r>
              <w:rPr>
                <w:rFonts w:hint="eastAsia"/>
                <w:bCs/>
                <w:color w:val="auto"/>
                <w:sz w:val="18"/>
                <w:szCs w:val="18"/>
              </w:rPr>
              <w:t>—</w:t>
            </w:r>
            <w:bookmarkEnd w:id="49"/>
          </w:p>
        </w:tc>
        <w:tc>
          <w:tcPr>
            <w:tcW w:w="624" w:type="pct"/>
            <w:tcBorders>
              <w:top w:val="single" w:color="000000" w:sz="4" w:space="0"/>
              <w:left w:val="single" w:color="000000" w:sz="4" w:space="0"/>
              <w:bottom w:val="single" w:color="000000" w:sz="12" w:space="0"/>
            </w:tcBorders>
            <w:vAlign w:val="center"/>
          </w:tcPr>
          <w:p>
            <w:pPr>
              <w:jc w:val="center"/>
              <w:rPr>
                <w:color w:val="auto"/>
                <w:sz w:val="18"/>
                <w:szCs w:val="18"/>
              </w:rPr>
            </w:pPr>
            <w:r>
              <w:rPr>
                <w:rFonts w:hint="eastAsia"/>
                <w:bCs/>
                <w:color w:val="auto"/>
                <w:sz w:val="18"/>
                <w:szCs w:val="18"/>
              </w:rPr>
              <w:t>—</w:t>
            </w:r>
          </w:p>
        </w:tc>
        <w:tc>
          <w:tcPr>
            <w:tcW w:w="624" w:type="pct"/>
            <w:tcBorders>
              <w:top w:val="single" w:color="000000" w:sz="4" w:space="0"/>
              <w:left w:val="single" w:color="000000" w:sz="4" w:space="0"/>
              <w:bottom w:val="single" w:color="000000" w:sz="12" w:space="0"/>
            </w:tcBorders>
            <w:vAlign w:val="center"/>
          </w:tcPr>
          <w:p>
            <w:pPr>
              <w:jc w:val="center"/>
              <w:rPr>
                <w:color w:val="auto"/>
                <w:sz w:val="18"/>
                <w:szCs w:val="18"/>
              </w:rPr>
            </w:pPr>
            <w:r>
              <w:rPr>
                <w:rFonts w:hint="eastAsia"/>
                <w:bCs/>
                <w:color w:val="auto"/>
                <w:sz w:val="18"/>
                <w:szCs w:val="18"/>
              </w:rPr>
              <w:t>—</w:t>
            </w:r>
          </w:p>
        </w:tc>
        <w:tc>
          <w:tcPr>
            <w:tcW w:w="625" w:type="pct"/>
            <w:tcBorders>
              <w:top w:val="single" w:color="000000" w:sz="4" w:space="0"/>
              <w:left w:val="single" w:color="000000" w:sz="4" w:space="0"/>
              <w:bottom w:val="single" w:color="000000" w:sz="12" w:space="0"/>
            </w:tcBorders>
            <w:vAlign w:val="center"/>
          </w:tcPr>
          <w:p>
            <w:pPr>
              <w:jc w:val="center"/>
              <w:rPr>
                <w:color w:val="auto"/>
                <w:sz w:val="18"/>
                <w:szCs w:val="18"/>
              </w:rPr>
            </w:pPr>
            <w:r>
              <w:rPr>
                <w:rFonts w:hint="eastAsia"/>
                <w:bCs/>
                <w:color w:val="auto"/>
                <w:sz w:val="18"/>
                <w:szCs w:val="18"/>
              </w:rPr>
              <w:t>—</w:t>
            </w:r>
          </w:p>
        </w:tc>
      </w:tr>
      <w:bookmarkEnd w:id="45"/>
      <w:bookmarkEnd w:id="47"/>
    </w:tbl>
    <w:p>
      <w:pPr>
        <w:numPr>
          <w:ilvl w:val="0"/>
          <w:numId w:val="3"/>
        </w:numPr>
        <w:autoSpaceDE w:val="0"/>
        <w:autoSpaceDN w:val="0"/>
        <w:adjustRightInd w:val="0"/>
        <w:snapToGrid w:val="0"/>
        <w:spacing w:before="312" w:beforeLines="100" w:line="360" w:lineRule="exact"/>
        <w:ind w:left="0" w:firstLine="0"/>
        <w:rPr>
          <w:color w:val="auto"/>
          <w:szCs w:val="21"/>
        </w:rPr>
      </w:pPr>
      <w:r>
        <w:rPr>
          <w:rFonts w:hint="eastAsia"/>
          <w:color w:val="auto"/>
          <w:szCs w:val="21"/>
        </w:rPr>
        <w:t xml:space="preserve">  </w:t>
      </w:r>
      <w:bookmarkStart w:id="50" w:name="OLE_LINK47"/>
      <w:r>
        <w:rPr>
          <w:color w:val="auto"/>
          <w:kern w:val="0"/>
          <w:szCs w:val="21"/>
        </w:rPr>
        <w:t>其它类型的电感耦合等离子体质谱仪可按仪器厂商推荐并经实验室确认的条件测定</w:t>
      </w:r>
      <w:r>
        <w:rPr>
          <w:color w:val="auto"/>
          <w:szCs w:val="21"/>
        </w:rPr>
        <w:t>。</w:t>
      </w:r>
      <w:bookmarkEnd w:id="50"/>
    </w:p>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样品</w:t>
      </w:r>
    </w:p>
    <w:p>
      <w:pPr>
        <w:spacing w:line="360" w:lineRule="exact"/>
        <w:ind w:firstLine="420" w:firstLineChars="200"/>
        <w:jc w:val="left"/>
        <w:rPr>
          <w:color w:val="auto"/>
          <w:szCs w:val="21"/>
        </w:rPr>
      </w:pPr>
      <w:r>
        <w:rPr>
          <w:color w:val="auto"/>
          <w:szCs w:val="21"/>
        </w:rPr>
        <w:t>样品</w:t>
      </w:r>
      <w:r>
        <w:rPr>
          <w:rFonts w:hint="eastAsia"/>
          <w:color w:val="auto"/>
          <w:szCs w:val="21"/>
        </w:rPr>
        <w:t>为粉末状</w:t>
      </w:r>
      <w:r>
        <w:rPr>
          <w:color w:val="auto"/>
          <w:szCs w:val="21"/>
        </w:rPr>
        <w:t>。</w:t>
      </w:r>
    </w:p>
    <w:p>
      <w:pPr>
        <w:pStyle w:val="76"/>
        <w:numPr>
          <w:ilvl w:val="0"/>
          <w:numId w:val="1"/>
        </w:numPr>
        <w:tabs>
          <w:tab w:val="left" w:pos="420"/>
        </w:tabs>
        <w:adjustRightInd w:val="0"/>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试验步骤</w:t>
      </w:r>
    </w:p>
    <w:p>
      <w:pPr>
        <w:numPr>
          <w:ilvl w:val="0"/>
          <w:numId w:val="4"/>
        </w:numPr>
        <w:autoSpaceDE w:val="0"/>
        <w:autoSpaceDN w:val="0"/>
        <w:adjustRightInd w:val="0"/>
        <w:snapToGrid w:val="0"/>
        <w:spacing w:after="156" w:afterLines="50" w:line="360" w:lineRule="exact"/>
        <w:ind w:left="420"/>
        <w:jc w:val="left"/>
        <w:rPr>
          <w:rFonts w:eastAsia="黑体"/>
          <w:color w:val="auto"/>
          <w:szCs w:val="21"/>
        </w:rPr>
      </w:pPr>
      <w:r>
        <w:rPr>
          <w:rFonts w:hint="eastAsia" w:eastAsia="黑体"/>
          <w:color w:val="auto"/>
          <w:szCs w:val="21"/>
        </w:rPr>
        <w:t xml:space="preserve">  试料</w:t>
      </w:r>
    </w:p>
    <w:p>
      <w:pPr>
        <w:adjustRightInd w:val="0"/>
        <w:snapToGrid w:val="0"/>
        <w:spacing w:line="360" w:lineRule="exact"/>
        <w:ind w:firstLine="420" w:firstLineChars="200"/>
        <w:jc w:val="left"/>
        <w:rPr>
          <w:color w:val="auto"/>
          <w:szCs w:val="21"/>
        </w:rPr>
      </w:pPr>
      <w:r>
        <w:rPr>
          <w:color w:val="auto"/>
          <w:szCs w:val="21"/>
        </w:rPr>
        <w:t>称取</w:t>
      </w:r>
      <w:r>
        <w:rPr>
          <w:rFonts w:hint="eastAsia"/>
          <w:color w:val="auto"/>
          <w:szCs w:val="21"/>
        </w:rPr>
        <w:t>0.10</w:t>
      </w:r>
      <w:r>
        <w:rPr>
          <w:color w:val="auto"/>
          <w:szCs w:val="21"/>
        </w:rPr>
        <w:t xml:space="preserve"> g样品，精确至0.0001</w:t>
      </w:r>
      <w:r>
        <w:rPr>
          <w:rFonts w:hint="eastAsia"/>
          <w:color w:val="auto"/>
          <w:szCs w:val="21"/>
        </w:rPr>
        <w:t xml:space="preserve"> </w:t>
      </w:r>
      <w:r>
        <w:rPr>
          <w:color w:val="auto"/>
          <w:szCs w:val="21"/>
        </w:rPr>
        <w:t>g。</w:t>
      </w:r>
    </w:p>
    <w:p>
      <w:pPr>
        <w:numPr>
          <w:ilvl w:val="0"/>
          <w:numId w:val="4"/>
        </w:numPr>
        <w:autoSpaceDE w:val="0"/>
        <w:autoSpaceDN w:val="0"/>
        <w:spacing w:before="156" w:beforeLines="50" w:after="156" w:afterLines="50" w:line="360" w:lineRule="exact"/>
        <w:ind w:left="420"/>
        <w:jc w:val="left"/>
        <w:rPr>
          <w:rFonts w:eastAsia="黑体"/>
          <w:color w:val="auto"/>
          <w:szCs w:val="21"/>
        </w:rPr>
      </w:pPr>
      <w:r>
        <w:rPr>
          <w:rFonts w:hint="eastAsia" w:eastAsia="黑体"/>
          <w:color w:val="auto"/>
          <w:szCs w:val="21"/>
        </w:rPr>
        <w:t xml:space="preserve">  平行试验</w:t>
      </w:r>
    </w:p>
    <w:p>
      <w:pPr>
        <w:adjustRightInd w:val="0"/>
        <w:snapToGrid w:val="0"/>
        <w:spacing w:line="360" w:lineRule="exact"/>
        <w:ind w:firstLine="420" w:firstLineChars="200"/>
        <w:rPr>
          <w:color w:val="auto"/>
          <w:szCs w:val="21"/>
        </w:rPr>
      </w:pPr>
      <w:r>
        <w:rPr>
          <w:rFonts w:hint="eastAsia"/>
          <w:color w:val="auto"/>
          <w:szCs w:val="21"/>
        </w:rPr>
        <w:t>平行做两份试验</w:t>
      </w:r>
      <w:r>
        <w:rPr>
          <w:color w:val="auto"/>
          <w:szCs w:val="21"/>
        </w:rPr>
        <w:t>。</w:t>
      </w:r>
    </w:p>
    <w:p>
      <w:pPr>
        <w:numPr>
          <w:ilvl w:val="0"/>
          <w:numId w:val="4"/>
        </w:numPr>
        <w:autoSpaceDE w:val="0"/>
        <w:autoSpaceDN w:val="0"/>
        <w:spacing w:before="156" w:beforeLines="50" w:after="156" w:afterLines="50" w:line="360" w:lineRule="exact"/>
        <w:ind w:left="420"/>
        <w:jc w:val="left"/>
        <w:rPr>
          <w:rFonts w:eastAsia="黑体"/>
          <w:color w:val="auto"/>
          <w:szCs w:val="21"/>
        </w:rPr>
      </w:pPr>
      <w:r>
        <w:rPr>
          <w:rFonts w:hint="eastAsia" w:eastAsia="黑体"/>
          <w:color w:val="auto"/>
          <w:szCs w:val="21"/>
        </w:rPr>
        <w:t xml:space="preserve">  </w:t>
      </w:r>
      <w:r>
        <w:rPr>
          <w:rFonts w:eastAsia="黑体"/>
          <w:color w:val="auto"/>
          <w:szCs w:val="21"/>
        </w:rPr>
        <w:t>空白试验</w:t>
      </w:r>
    </w:p>
    <w:p>
      <w:pPr>
        <w:spacing w:line="360" w:lineRule="exact"/>
        <w:ind w:firstLine="420" w:firstLineChars="200"/>
        <w:rPr>
          <w:color w:val="auto"/>
          <w:szCs w:val="21"/>
        </w:rPr>
      </w:pPr>
      <w:r>
        <w:rPr>
          <w:color w:val="auto"/>
          <w:szCs w:val="21"/>
        </w:rPr>
        <w:t>随同</w:t>
      </w:r>
      <w:r>
        <w:rPr>
          <w:rFonts w:hint="eastAsia"/>
          <w:color w:val="auto"/>
          <w:szCs w:val="21"/>
        </w:rPr>
        <w:t>试料</w:t>
      </w:r>
      <w:r>
        <w:rPr>
          <w:rFonts w:hint="eastAsia"/>
          <w:color w:val="auto"/>
          <w:szCs w:val="21"/>
          <w:lang w:eastAsia="zh-CN"/>
        </w:rPr>
        <w:t>（</w:t>
      </w:r>
      <w:r>
        <w:rPr>
          <w:rFonts w:hint="eastAsia"/>
          <w:color w:val="auto"/>
          <w:szCs w:val="21"/>
          <w:lang w:val="en-US" w:eastAsia="zh-CN"/>
        </w:rPr>
        <w:t>8.1</w:t>
      </w:r>
      <w:r>
        <w:rPr>
          <w:rFonts w:hint="eastAsia"/>
          <w:color w:val="auto"/>
          <w:szCs w:val="21"/>
          <w:lang w:eastAsia="zh-CN"/>
        </w:rPr>
        <w:t>）</w:t>
      </w:r>
      <w:r>
        <w:rPr>
          <w:color w:val="auto"/>
          <w:szCs w:val="21"/>
        </w:rPr>
        <w:t>做空白试验。</w:t>
      </w:r>
    </w:p>
    <w:p>
      <w:pPr>
        <w:numPr>
          <w:ilvl w:val="0"/>
          <w:numId w:val="4"/>
        </w:numPr>
        <w:autoSpaceDE w:val="0"/>
        <w:autoSpaceDN w:val="0"/>
        <w:adjustRightInd w:val="0"/>
        <w:snapToGrid w:val="0"/>
        <w:spacing w:before="156" w:beforeLines="50" w:after="156" w:afterLines="50" w:line="360" w:lineRule="exact"/>
        <w:ind w:left="420"/>
        <w:jc w:val="left"/>
        <w:rPr>
          <w:rFonts w:ascii="黑体" w:hAnsi="黑体" w:eastAsia="黑体" w:cs="黑体"/>
          <w:color w:val="auto"/>
          <w:szCs w:val="21"/>
        </w:rPr>
      </w:pPr>
      <w:r>
        <w:rPr>
          <w:rFonts w:hint="eastAsia" w:ascii="黑体" w:hAnsi="黑体" w:eastAsia="黑体" w:cs="黑体"/>
          <w:color w:val="auto"/>
          <w:szCs w:val="21"/>
        </w:rPr>
        <w:t xml:space="preserve">  测定</w:t>
      </w:r>
    </w:p>
    <w:p>
      <w:pPr>
        <w:autoSpaceDE w:val="0"/>
        <w:autoSpaceDN w:val="0"/>
        <w:adjustRightInd w:val="0"/>
        <w:snapToGrid w:val="0"/>
        <w:spacing w:line="360" w:lineRule="exact"/>
        <w:rPr>
          <w:rFonts w:hAnsi="宋体"/>
          <w:color w:val="auto"/>
        </w:rPr>
      </w:pPr>
      <w:r>
        <w:rPr>
          <w:rFonts w:hint="eastAsia" w:ascii="黑体" w:hAnsi="黑体" w:eastAsia="黑体"/>
          <w:color w:val="auto"/>
          <w:szCs w:val="21"/>
        </w:rPr>
        <w:t>8.4.1</w:t>
      </w:r>
      <w:r>
        <w:rPr>
          <w:rFonts w:hint="eastAsia" w:eastAsia="黑体"/>
          <w:color w:val="auto"/>
          <w:szCs w:val="21"/>
        </w:rPr>
        <w:t xml:space="preserve">  </w:t>
      </w:r>
      <w:r>
        <w:rPr>
          <w:rFonts w:hint="eastAsia" w:hAnsi="宋体"/>
          <w:color w:val="auto"/>
        </w:rPr>
        <w:t>将试料</w:t>
      </w:r>
      <w:r>
        <w:rPr>
          <w:rFonts w:hAnsi="宋体"/>
          <w:color w:val="auto"/>
        </w:rPr>
        <w:t>（8.1）置于100 mL</w:t>
      </w:r>
      <w:r>
        <w:rPr>
          <w:rFonts w:hint="eastAsia" w:hAnsi="宋体"/>
          <w:color w:val="auto"/>
        </w:rPr>
        <w:t>塑料</w:t>
      </w:r>
      <w:r>
        <w:rPr>
          <w:rFonts w:hAnsi="宋体"/>
          <w:color w:val="auto"/>
        </w:rPr>
        <w:t>烧杯中，加入</w:t>
      </w:r>
      <w:r>
        <w:rPr>
          <w:rFonts w:hint="eastAsia" w:hAnsi="宋体"/>
          <w:color w:val="auto"/>
        </w:rPr>
        <w:t>3</w:t>
      </w:r>
      <w:r>
        <w:rPr>
          <w:rFonts w:hAnsi="宋体"/>
          <w:color w:val="auto"/>
        </w:rPr>
        <w:t xml:space="preserve"> mL</w:t>
      </w:r>
      <w:r>
        <w:rPr>
          <w:rFonts w:hint="eastAsia" w:hAnsi="宋体"/>
          <w:color w:val="auto"/>
        </w:rPr>
        <w:t>盐酸（</w:t>
      </w:r>
      <w:r>
        <w:rPr>
          <w:rFonts w:hAnsi="宋体"/>
          <w:color w:val="auto"/>
        </w:rPr>
        <w:t>5.2</w:t>
      </w:r>
      <w:r>
        <w:rPr>
          <w:rFonts w:hint="eastAsia" w:hAnsi="宋体"/>
          <w:color w:val="auto"/>
        </w:rPr>
        <w:t>）、</w:t>
      </w:r>
      <w:r>
        <w:rPr>
          <w:rFonts w:hAnsi="宋体"/>
          <w:color w:val="auto"/>
        </w:rPr>
        <w:t>1 mL</w:t>
      </w:r>
      <w:r>
        <w:rPr>
          <w:rFonts w:hint="eastAsia" w:hAnsi="宋体"/>
          <w:color w:val="auto"/>
        </w:rPr>
        <w:t>硝酸（</w:t>
      </w:r>
      <w:r>
        <w:rPr>
          <w:rFonts w:hAnsi="宋体"/>
          <w:color w:val="auto"/>
        </w:rPr>
        <w:t>5.</w:t>
      </w:r>
      <w:r>
        <w:rPr>
          <w:rFonts w:hint="eastAsia" w:hAnsi="宋体"/>
          <w:color w:val="auto"/>
        </w:rPr>
        <w:t xml:space="preserve">3）和1 </w:t>
      </w:r>
      <w:r>
        <w:rPr>
          <w:rFonts w:hAnsi="宋体"/>
          <w:color w:val="auto"/>
        </w:rPr>
        <w:t>mL</w:t>
      </w:r>
      <w:r>
        <w:rPr>
          <w:rFonts w:hint="eastAsia" w:hAnsi="宋体"/>
          <w:color w:val="auto"/>
        </w:rPr>
        <w:t>氢氟酸（</w:t>
      </w:r>
      <w:r>
        <w:rPr>
          <w:rFonts w:hAnsi="宋体"/>
          <w:color w:val="auto"/>
        </w:rPr>
        <w:t>5.</w:t>
      </w:r>
      <w:r>
        <w:rPr>
          <w:rFonts w:hint="eastAsia" w:hAnsi="宋体"/>
          <w:color w:val="auto"/>
        </w:rPr>
        <w:t>4），低温加热至完全溶解（若此法不易溶解，可置于高压消解罐中微波辅助消解）</w:t>
      </w:r>
      <w:r>
        <w:rPr>
          <w:rFonts w:hAnsi="宋体"/>
          <w:color w:val="auto"/>
        </w:rPr>
        <w:t>，</w:t>
      </w:r>
      <w:r>
        <w:rPr>
          <w:rFonts w:hint="eastAsia" w:hAnsi="宋体"/>
          <w:color w:val="auto"/>
        </w:rPr>
        <w:t>冷却。</w:t>
      </w:r>
      <w:r>
        <w:rPr>
          <w:rFonts w:hAnsi="宋体"/>
          <w:color w:val="auto"/>
        </w:rPr>
        <w:t>移入100</w:t>
      </w:r>
      <w:r>
        <w:rPr>
          <w:rFonts w:hint="eastAsia" w:hAnsi="宋体"/>
          <w:color w:val="auto"/>
        </w:rPr>
        <w:t xml:space="preserve"> </w:t>
      </w:r>
      <w:r>
        <w:rPr>
          <w:rFonts w:hAnsi="宋体"/>
          <w:color w:val="auto"/>
        </w:rPr>
        <w:t>mL</w:t>
      </w:r>
      <w:r>
        <w:rPr>
          <w:rFonts w:hint="eastAsia" w:hAnsi="宋体"/>
          <w:color w:val="auto"/>
        </w:rPr>
        <w:t>塑料</w:t>
      </w:r>
      <w:r>
        <w:rPr>
          <w:rFonts w:hAnsi="宋体"/>
          <w:color w:val="auto"/>
        </w:rPr>
        <w:t>容量瓶中，</w:t>
      </w:r>
      <w:r>
        <w:rPr>
          <w:rFonts w:hint="eastAsia" w:hAnsi="宋体"/>
          <w:color w:val="auto"/>
        </w:rPr>
        <w:t>加入</w:t>
      </w:r>
      <w:r>
        <w:rPr>
          <w:rFonts w:hint="eastAsia"/>
          <w:color w:val="auto"/>
          <w:szCs w:val="21"/>
        </w:rPr>
        <w:t>1.00 mL</w:t>
      </w:r>
      <w:r>
        <w:rPr>
          <w:rFonts w:hint="eastAsia"/>
          <w:color w:val="auto"/>
        </w:rPr>
        <w:t>混合</w:t>
      </w:r>
      <w:r>
        <w:rPr>
          <w:color w:val="auto"/>
        </w:rPr>
        <w:t>内标溶液</w:t>
      </w:r>
      <w:r>
        <w:rPr>
          <w:rFonts w:hint="eastAsia"/>
          <w:color w:val="auto"/>
        </w:rPr>
        <w:t>A</w:t>
      </w:r>
      <w:r>
        <w:rPr>
          <w:rFonts w:hint="eastAsia" w:hAnsi="宋体"/>
          <w:color w:val="auto"/>
        </w:rPr>
        <w:t>（</w:t>
      </w:r>
      <w:r>
        <w:rPr>
          <w:rFonts w:hAnsi="宋体"/>
          <w:color w:val="auto"/>
        </w:rPr>
        <w:t>5</w:t>
      </w:r>
      <w:r>
        <w:rPr>
          <w:rFonts w:hint="eastAsia" w:hAnsi="宋体"/>
          <w:color w:val="auto"/>
        </w:rPr>
        <w:t>.10），</w:t>
      </w:r>
      <w:r>
        <w:rPr>
          <w:rFonts w:hAnsi="宋体"/>
          <w:color w:val="auto"/>
        </w:rPr>
        <w:t>用水稀释至刻度，混匀</w:t>
      </w:r>
      <w:r>
        <w:rPr>
          <w:rFonts w:hint="eastAsia" w:hAnsi="宋体"/>
          <w:color w:val="auto"/>
        </w:rPr>
        <w:t>。内标元素</w:t>
      </w:r>
      <w:r>
        <w:rPr>
          <w:rFonts w:hint="eastAsia"/>
          <w:color w:val="auto"/>
          <w:szCs w:val="21"/>
        </w:rPr>
        <w:t>也可通过在线引入混合内标溶液B（5.11）的方式加入。</w:t>
      </w:r>
    </w:p>
    <w:p>
      <w:pPr>
        <w:autoSpaceDE w:val="0"/>
        <w:autoSpaceDN w:val="0"/>
        <w:adjustRightInd w:val="0"/>
        <w:snapToGrid w:val="0"/>
        <w:spacing w:line="360" w:lineRule="exact"/>
        <w:rPr>
          <w:color w:val="auto"/>
          <w:szCs w:val="21"/>
        </w:rPr>
      </w:pPr>
      <w:r>
        <w:rPr>
          <w:rFonts w:hint="eastAsia" w:ascii="黑体" w:hAnsi="黑体" w:eastAsia="黑体"/>
          <w:color w:val="auto"/>
          <w:szCs w:val="21"/>
        </w:rPr>
        <w:t>8.4.2</w:t>
      </w:r>
      <w:r>
        <w:rPr>
          <w:rFonts w:hint="eastAsia" w:eastAsia="黑体"/>
          <w:color w:val="auto"/>
          <w:szCs w:val="21"/>
        </w:rPr>
        <w:t xml:space="preserve">  </w:t>
      </w:r>
      <w:r>
        <w:rPr>
          <w:color w:val="auto"/>
          <w:szCs w:val="21"/>
        </w:rPr>
        <w:t>在</w:t>
      </w:r>
      <w:r>
        <w:rPr>
          <w:rFonts w:hint="eastAsia"/>
          <w:color w:val="auto"/>
          <w:szCs w:val="21"/>
        </w:rPr>
        <w:t>选定</w:t>
      </w:r>
      <w:r>
        <w:rPr>
          <w:color w:val="auto"/>
          <w:szCs w:val="21"/>
        </w:rPr>
        <w:t>的仪器工作条件下，</w:t>
      </w:r>
      <w:r>
        <w:rPr>
          <w:rFonts w:hint="eastAsia"/>
          <w:color w:val="auto"/>
          <w:szCs w:val="21"/>
        </w:rPr>
        <w:t>依</w:t>
      </w:r>
      <w:r>
        <w:rPr>
          <w:rFonts w:hint="eastAsia" w:hAnsi="宋体"/>
          <w:color w:val="auto"/>
        </w:rPr>
        <w:t>次测定空白试</w:t>
      </w:r>
      <w:r>
        <w:rPr>
          <w:rFonts w:hint="eastAsia"/>
          <w:color w:val="auto"/>
          <w:szCs w:val="21"/>
        </w:rPr>
        <w:t>液（见</w:t>
      </w:r>
      <w:r>
        <w:rPr>
          <w:color w:val="auto"/>
          <w:szCs w:val="21"/>
        </w:rPr>
        <w:t>8</w:t>
      </w:r>
      <w:r>
        <w:rPr>
          <w:rFonts w:hint="eastAsia"/>
          <w:color w:val="auto"/>
          <w:szCs w:val="21"/>
        </w:rPr>
        <w:t>.3）</w:t>
      </w:r>
      <w:r>
        <w:rPr>
          <w:color w:val="auto"/>
          <w:szCs w:val="21"/>
        </w:rPr>
        <w:t>及</w:t>
      </w:r>
      <w:r>
        <w:rPr>
          <w:rFonts w:hint="eastAsia"/>
          <w:color w:val="auto"/>
          <w:szCs w:val="21"/>
        </w:rPr>
        <w:t>分析试液（</w:t>
      </w:r>
      <w:r>
        <w:rPr>
          <w:color w:val="auto"/>
          <w:szCs w:val="21"/>
        </w:rPr>
        <w:t>8</w:t>
      </w:r>
      <w:r>
        <w:rPr>
          <w:rFonts w:hint="eastAsia"/>
          <w:color w:val="auto"/>
          <w:szCs w:val="21"/>
        </w:rPr>
        <w:t>.4</w:t>
      </w:r>
      <w:r>
        <w:rPr>
          <w:color w:val="auto"/>
          <w:szCs w:val="21"/>
        </w:rPr>
        <w:t>.1</w:t>
      </w:r>
      <w:r>
        <w:rPr>
          <w:rFonts w:hint="eastAsia"/>
          <w:color w:val="auto"/>
          <w:szCs w:val="21"/>
        </w:rPr>
        <w:t>），按工作</w:t>
      </w:r>
      <w:r>
        <w:rPr>
          <w:color w:val="auto"/>
          <w:szCs w:val="21"/>
        </w:rPr>
        <w:t>曲线法</w:t>
      </w:r>
      <w:r>
        <w:rPr>
          <w:rFonts w:hint="eastAsia"/>
          <w:color w:val="auto"/>
          <w:szCs w:val="21"/>
        </w:rPr>
        <w:t>计算并输出空白试液及分析试液中待测</w:t>
      </w:r>
      <w:r>
        <w:rPr>
          <w:color w:val="auto"/>
          <w:szCs w:val="21"/>
        </w:rPr>
        <w:t>元素</w:t>
      </w:r>
      <w:r>
        <w:rPr>
          <w:rFonts w:hint="eastAsia"/>
          <w:color w:val="auto"/>
          <w:szCs w:val="21"/>
        </w:rPr>
        <w:t>的质量浓度。</w:t>
      </w:r>
    </w:p>
    <w:p>
      <w:pPr>
        <w:numPr>
          <w:ilvl w:val="0"/>
          <w:numId w:val="4"/>
        </w:numPr>
        <w:autoSpaceDE w:val="0"/>
        <w:autoSpaceDN w:val="0"/>
        <w:spacing w:before="156" w:beforeLines="50" w:after="156" w:afterLines="50" w:line="360" w:lineRule="exact"/>
        <w:ind w:left="420"/>
        <w:jc w:val="left"/>
        <w:rPr>
          <w:rFonts w:ascii="黑体" w:hAnsi="黑体" w:eastAsia="黑体"/>
          <w:color w:val="auto"/>
          <w:szCs w:val="21"/>
        </w:rPr>
      </w:pPr>
      <w:r>
        <w:rPr>
          <w:rFonts w:hint="eastAsia" w:ascii="黑体" w:hAnsi="黑体" w:eastAsia="黑体" w:cs="黑体"/>
          <w:color w:val="auto"/>
          <w:szCs w:val="21"/>
        </w:rPr>
        <w:t xml:space="preserve">  </w:t>
      </w:r>
      <w:r>
        <w:rPr>
          <w:rFonts w:hint="eastAsia" w:eastAsia="黑体"/>
          <w:color w:val="auto"/>
          <w:szCs w:val="21"/>
        </w:rPr>
        <w:t>工作曲线的</w:t>
      </w:r>
      <w:r>
        <w:rPr>
          <w:rFonts w:eastAsia="黑体"/>
          <w:color w:val="auto"/>
          <w:szCs w:val="21"/>
        </w:rPr>
        <w:t>绘制</w:t>
      </w:r>
    </w:p>
    <w:p>
      <w:pPr>
        <w:autoSpaceDE w:val="0"/>
        <w:autoSpaceDN w:val="0"/>
        <w:adjustRightInd w:val="0"/>
        <w:snapToGrid w:val="0"/>
        <w:spacing w:line="360" w:lineRule="exact"/>
        <w:rPr>
          <w:color w:val="auto"/>
        </w:rPr>
      </w:pPr>
      <w:r>
        <w:rPr>
          <w:rFonts w:hint="eastAsia" w:ascii="黑体" w:hAnsi="黑体" w:eastAsia="黑体"/>
          <w:color w:val="auto"/>
          <w:szCs w:val="21"/>
        </w:rPr>
        <w:t>8.</w:t>
      </w:r>
      <w:r>
        <w:rPr>
          <w:rFonts w:ascii="黑体" w:hAnsi="黑体" w:eastAsia="黑体"/>
          <w:color w:val="auto"/>
          <w:szCs w:val="21"/>
        </w:rPr>
        <w:t>5</w:t>
      </w:r>
      <w:r>
        <w:rPr>
          <w:rFonts w:hint="eastAsia" w:ascii="黑体" w:hAnsi="黑体" w:eastAsia="黑体"/>
          <w:color w:val="auto"/>
          <w:szCs w:val="21"/>
        </w:rPr>
        <w:t>.1</w:t>
      </w:r>
      <w:r>
        <w:rPr>
          <w:rFonts w:hint="eastAsia" w:eastAsia="黑体"/>
          <w:color w:val="auto"/>
          <w:szCs w:val="21"/>
        </w:rPr>
        <w:t xml:space="preserve">  </w:t>
      </w:r>
      <w:r>
        <w:rPr>
          <w:rFonts w:hint="eastAsia"/>
          <w:color w:val="auto"/>
          <w:szCs w:val="21"/>
        </w:rPr>
        <w:t>工作曲线</w:t>
      </w:r>
      <w:r>
        <w:rPr>
          <w:rFonts w:eastAsia="黑体"/>
          <w:color w:val="auto"/>
          <w:szCs w:val="21"/>
        </w:rPr>
        <w:t>Ⅰ</w:t>
      </w:r>
      <w:r>
        <w:rPr>
          <w:rFonts w:hint="eastAsia"/>
          <w:color w:val="auto"/>
          <w:szCs w:val="21"/>
        </w:rPr>
        <w:t>：当待测元素质量分数小于0.0001%时，</w:t>
      </w:r>
      <w:r>
        <w:rPr>
          <w:color w:val="auto"/>
          <w:szCs w:val="21"/>
        </w:rPr>
        <w:t>于</w:t>
      </w:r>
      <w:r>
        <w:rPr>
          <w:rFonts w:hint="eastAsia"/>
          <w:color w:val="auto"/>
          <w:szCs w:val="21"/>
        </w:rPr>
        <w:t>6个</w:t>
      </w:r>
      <w:r>
        <w:rPr>
          <w:color w:val="auto"/>
          <w:szCs w:val="21"/>
        </w:rPr>
        <w:t>100 mL</w:t>
      </w:r>
      <w:r>
        <w:rPr>
          <w:rFonts w:hint="eastAsia"/>
          <w:color w:val="auto"/>
          <w:szCs w:val="21"/>
        </w:rPr>
        <w:t>塑料</w:t>
      </w:r>
      <w:r>
        <w:rPr>
          <w:color w:val="auto"/>
          <w:szCs w:val="21"/>
        </w:rPr>
        <w:t>容量瓶中</w:t>
      </w:r>
      <w:r>
        <w:rPr>
          <w:rFonts w:hint="eastAsia"/>
          <w:color w:val="auto"/>
          <w:szCs w:val="21"/>
        </w:rPr>
        <w:t>均</w:t>
      </w:r>
      <w:r>
        <w:rPr>
          <w:rFonts w:hAnsi="宋体"/>
          <w:color w:val="auto"/>
        </w:rPr>
        <w:t>加入</w:t>
      </w:r>
      <w:r>
        <w:rPr>
          <w:rFonts w:hint="eastAsia" w:hAnsi="宋体"/>
          <w:color w:val="auto"/>
        </w:rPr>
        <w:t>3</w:t>
      </w:r>
      <w:r>
        <w:rPr>
          <w:rFonts w:hAnsi="宋体"/>
          <w:color w:val="auto"/>
        </w:rPr>
        <w:t xml:space="preserve"> mL</w:t>
      </w:r>
      <w:r>
        <w:rPr>
          <w:rFonts w:hint="eastAsia" w:hAnsi="宋体"/>
          <w:color w:val="auto"/>
        </w:rPr>
        <w:t>盐酸（</w:t>
      </w:r>
      <w:r>
        <w:rPr>
          <w:rFonts w:hAnsi="宋体"/>
          <w:color w:val="auto"/>
        </w:rPr>
        <w:t>5.2</w:t>
      </w:r>
      <w:r>
        <w:rPr>
          <w:rFonts w:hint="eastAsia" w:hAnsi="宋体"/>
          <w:color w:val="auto"/>
        </w:rPr>
        <w:t>）和</w:t>
      </w:r>
      <w:r>
        <w:rPr>
          <w:rFonts w:hAnsi="宋体"/>
          <w:color w:val="auto"/>
        </w:rPr>
        <w:t>1 mL</w:t>
      </w:r>
      <w:r>
        <w:rPr>
          <w:rFonts w:hint="eastAsia" w:hAnsi="宋体"/>
          <w:color w:val="auto"/>
        </w:rPr>
        <w:t>硝酸（</w:t>
      </w:r>
      <w:r>
        <w:rPr>
          <w:rFonts w:hAnsi="宋体"/>
          <w:color w:val="auto"/>
        </w:rPr>
        <w:t>5.</w:t>
      </w:r>
      <w:r>
        <w:rPr>
          <w:rFonts w:hint="eastAsia" w:hAnsi="宋体"/>
          <w:color w:val="auto"/>
        </w:rPr>
        <w:t>3），依次</w:t>
      </w:r>
      <w:r>
        <w:rPr>
          <w:rFonts w:hint="eastAsia"/>
          <w:color w:val="auto"/>
          <w:szCs w:val="21"/>
        </w:rPr>
        <w:t>加入</w:t>
      </w:r>
      <w:r>
        <w:rPr>
          <w:color w:val="auto"/>
          <w:szCs w:val="21"/>
        </w:rPr>
        <w:t>0 mL、</w:t>
      </w:r>
      <w:r>
        <w:rPr>
          <w:rFonts w:hint="eastAsia"/>
          <w:color w:val="auto"/>
          <w:szCs w:val="21"/>
        </w:rPr>
        <w:t>0.10 mL、0.2</w:t>
      </w:r>
      <w:r>
        <w:rPr>
          <w:color w:val="auto"/>
          <w:szCs w:val="21"/>
        </w:rPr>
        <w:t>0 mL、</w:t>
      </w:r>
      <w:r>
        <w:rPr>
          <w:rFonts w:hint="eastAsia"/>
          <w:color w:val="auto"/>
          <w:szCs w:val="21"/>
        </w:rPr>
        <w:t>0.5</w:t>
      </w:r>
      <w:r>
        <w:rPr>
          <w:color w:val="auto"/>
          <w:szCs w:val="21"/>
        </w:rPr>
        <w:t>0 mL、</w:t>
      </w:r>
      <w:r>
        <w:rPr>
          <w:rFonts w:hint="eastAsia"/>
          <w:color w:val="auto"/>
          <w:szCs w:val="21"/>
        </w:rPr>
        <w:t>1</w:t>
      </w:r>
      <w:r>
        <w:rPr>
          <w:color w:val="auto"/>
          <w:szCs w:val="21"/>
        </w:rPr>
        <w:t>.00 mL、</w:t>
      </w:r>
      <w:r>
        <w:rPr>
          <w:rFonts w:hint="eastAsia"/>
          <w:color w:val="auto"/>
          <w:szCs w:val="21"/>
        </w:rPr>
        <w:t>2.00</w:t>
      </w:r>
      <w:r>
        <w:rPr>
          <w:color w:val="auto"/>
          <w:szCs w:val="21"/>
        </w:rPr>
        <w:t xml:space="preserve"> mL</w:t>
      </w:r>
      <w:r>
        <w:rPr>
          <w:rFonts w:hint="eastAsia"/>
          <w:color w:val="auto"/>
          <w:szCs w:val="21"/>
        </w:rPr>
        <w:t>混合标准溶液B</w:t>
      </w:r>
      <w:r>
        <w:rPr>
          <w:color w:val="auto"/>
          <w:szCs w:val="21"/>
        </w:rPr>
        <w:t>（5.</w:t>
      </w:r>
      <w:r>
        <w:rPr>
          <w:rFonts w:hint="eastAsia"/>
          <w:color w:val="auto"/>
          <w:szCs w:val="21"/>
        </w:rPr>
        <w:t>7</w:t>
      </w:r>
      <w:r>
        <w:rPr>
          <w:color w:val="auto"/>
          <w:szCs w:val="21"/>
        </w:rPr>
        <w:t>），</w:t>
      </w:r>
      <w:r>
        <w:rPr>
          <w:rFonts w:hint="eastAsia"/>
          <w:color w:val="auto"/>
          <w:szCs w:val="21"/>
        </w:rPr>
        <w:t>用去离子水冲洗容量瓶口后再依次加入</w:t>
      </w:r>
      <w:r>
        <w:rPr>
          <w:color w:val="auto"/>
          <w:szCs w:val="21"/>
        </w:rPr>
        <w:t>0 mL、</w:t>
      </w:r>
      <w:r>
        <w:rPr>
          <w:rFonts w:hint="eastAsia"/>
          <w:color w:val="auto"/>
          <w:szCs w:val="21"/>
        </w:rPr>
        <w:t>0.10 mL、0.2</w:t>
      </w:r>
      <w:r>
        <w:rPr>
          <w:color w:val="auto"/>
          <w:szCs w:val="21"/>
        </w:rPr>
        <w:t>0 mL、</w:t>
      </w:r>
      <w:r>
        <w:rPr>
          <w:rFonts w:hint="eastAsia"/>
          <w:color w:val="auto"/>
          <w:szCs w:val="21"/>
        </w:rPr>
        <w:t>0.5</w:t>
      </w:r>
      <w:r>
        <w:rPr>
          <w:color w:val="auto"/>
          <w:szCs w:val="21"/>
        </w:rPr>
        <w:t>0 mL、</w:t>
      </w:r>
      <w:r>
        <w:rPr>
          <w:rFonts w:hint="eastAsia"/>
          <w:color w:val="auto"/>
          <w:szCs w:val="21"/>
        </w:rPr>
        <w:t>1</w:t>
      </w:r>
      <w:r>
        <w:rPr>
          <w:color w:val="auto"/>
          <w:szCs w:val="21"/>
        </w:rPr>
        <w:t>.00 mL、</w:t>
      </w:r>
      <w:r>
        <w:rPr>
          <w:rFonts w:hint="eastAsia"/>
          <w:color w:val="auto"/>
          <w:szCs w:val="21"/>
        </w:rPr>
        <w:t>2.00</w:t>
      </w:r>
      <w:r>
        <w:rPr>
          <w:color w:val="auto"/>
          <w:szCs w:val="21"/>
        </w:rPr>
        <w:t xml:space="preserve"> mL</w:t>
      </w:r>
      <w:r>
        <w:rPr>
          <w:rFonts w:hint="eastAsia"/>
          <w:color w:val="auto"/>
          <w:szCs w:val="21"/>
        </w:rPr>
        <w:t>银</w:t>
      </w:r>
      <w:r>
        <w:rPr>
          <w:color w:val="auto"/>
          <w:szCs w:val="21"/>
        </w:rPr>
        <w:t>标准溶液</w:t>
      </w:r>
      <w:r>
        <w:rPr>
          <w:rFonts w:hint="eastAsia"/>
          <w:color w:val="auto"/>
          <w:szCs w:val="21"/>
        </w:rPr>
        <w:t>B</w:t>
      </w:r>
      <w:r>
        <w:rPr>
          <w:color w:val="auto"/>
          <w:szCs w:val="21"/>
        </w:rPr>
        <w:t>（5.</w:t>
      </w:r>
      <w:r>
        <w:rPr>
          <w:rFonts w:hint="eastAsia"/>
          <w:color w:val="auto"/>
          <w:szCs w:val="21"/>
        </w:rPr>
        <w:t>9</w:t>
      </w:r>
      <w:r>
        <w:rPr>
          <w:color w:val="auto"/>
          <w:szCs w:val="21"/>
        </w:rPr>
        <w:t>），</w:t>
      </w:r>
      <w:r>
        <w:rPr>
          <w:rFonts w:hint="eastAsia"/>
          <w:color w:val="auto"/>
          <w:szCs w:val="21"/>
        </w:rPr>
        <w:t>混合</w:t>
      </w:r>
      <w:r>
        <w:rPr>
          <w:color w:val="auto"/>
        </w:rPr>
        <w:t>内标溶液</w:t>
      </w:r>
      <w:r>
        <w:rPr>
          <w:rFonts w:hint="eastAsia" w:hAnsi="宋体"/>
          <w:color w:val="auto"/>
        </w:rPr>
        <w:t>（</w:t>
      </w:r>
      <w:r>
        <w:rPr>
          <w:rFonts w:hAnsi="宋体"/>
          <w:color w:val="auto"/>
        </w:rPr>
        <w:t>5</w:t>
      </w:r>
      <w:r>
        <w:rPr>
          <w:rFonts w:hint="eastAsia" w:hAnsi="宋体"/>
          <w:color w:val="auto"/>
        </w:rPr>
        <w:t>.10或5.11）的加入方式与8.4.1保持一致</w:t>
      </w:r>
      <w:r>
        <w:rPr>
          <w:rFonts w:hint="eastAsia"/>
          <w:color w:val="auto"/>
          <w:szCs w:val="21"/>
        </w:rPr>
        <w:t>，</w:t>
      </w:r>
      <w:r>
        <w:rPr>
          <w:color w:val="auto"/>
          <w:szCs w:val="21"/>
        </w:rPr>
        <w:t>用水稀释至刻度，混匀。</w:t>
      </w:r>
    </w:p>
    <w:p>
      <w:pPr>
        <w:autoSpaceDE w:val="0"/>
        <w:autoSpaceDN w:val="0"/>
        <w:adjustRightInd w:val="0"/>
        <w:snapToGrid w:val="0"/>
        <w:spacing w:line="360" w:lineRule="exact"/>
        <w:rPr>
          <w:color w:val="auto"/>
        </w:rPr>
      </w:pPr>
      <w:r>
        <w:rPr>
          <w:rFonts w:hint="eastAsia" w:ascii="黑体" w:hAnsi="黑体" w:eastAsia="黑体"/>
          <w:color w:val="auto"/>
          <w:szCs w:val="21"/>
        </w:rPr>
        <w:t>8.</w:t>
      </w:r>
      <w:r>
        <w:rPr>
          <w:rFonts w:ascii="黑体" w:hAnsi="黑体" w:eastAsia="黑体"/>
          <w:color w:val="auto"/>
          <w:szCs w:val="21"/>
        </w:rPr>
        <w:t>5</w:t>
      </w:r>
      <w:r>
        <w:rPr>
          <w:rFonts w:hint="eastAsia" w:ascii="黑体" w:hAnsi="黑体" w:eastAsia="黑体"/>
          <w:color w:val="auto"/>
          <w:szCs w:val="21"/>
        </w:rPr>
        <w:t xml:space="preserve">.2  </w:t>
      </w:r>
      <w:r>
        <w:rPr>
          <w:rFonts w:hint="eastAsia"/>
          <w:color w:val="auto"/>
          <w:szCs w:val="21"/>
        </w:rPr>
        <w:t>工作曲线</w:t>
      </w:r>
      <w:r>
        <w:rPr>
          <w:rFonts w:eastAsia="黑体"/>
          <w:color w:val="auto"/>
          <w:szCs w:val="21"/>
        </w:rPr>
        <w:t>Ⅱ</w:t>
      </w:r>
      <w:r>
        <w:rPr>
          <w:rFonts w:hint="eastAsia" w:eastAsia="黑体"/>
          <w:color w:val="auto"/>
          <w:szCs w:val="21"/>
        </w:rPr>
        <w:t>：</w:t>
      </w:r>
      <w:r>
        <w:rPr>
          <w:rFonts w:hint="eastAsia"/>
          <w:color w:val="auto"/>
          <w:szCs w:val="21"/>
        </w:rPr>
        <w:t>当待测元素质量分数不小于0.0001%时，</w:t>
      </w:r>
      <w:r>
        <w:rPr>
          <w:color w:val="auto"/>
          <w:szCs w:val="21"/>
        </w:rPr>
        <w:t>于</w:t>
      </w:r>
      <w:r>
        <w:rPr>
          <w:rFonts w:hint="eastAsia"/>
          <w:color w:val="auto"/>
          <w:szCs w:val="21"/>
        </w:rPr>
        <w:t>6个</w:t>
      </w:r>
      <w:r>
        <w:rPr>
          <w:color w:val="auto"/>
          <w:szCs w:val="21"/>
        </w:rPr>
        <w:t>100 mL</w:t>
      </w:r>
      <w:r>
        <w:rPr>
          <w:rFonts w:hint="eastAsia"/>
          <w:color w:val="auto"/>
          <w:szCs w:val="21"/>
        </w:rPr>
        <w:t>塑料</w:t>
      </w:r>
      <w:r>
        <w:rPr>
          <w:color w:val="auto"/>
          <w:szCs w:val="21"/>
        </w:rPr>
        <w:t>容量瓶中</w:t>
      </w:r>
      <w:r>
        <w:rPr>
          <w:rFonts w:hint="eastAsia"/>
          <w:color w:val="auto"/>
          <w:szCs w:val="21"/>
        </w:rPr>
        <w:t>均</w:t>
      </w:r>
      <w:r>
        <w:rPr>
          <w:rFonts w:hAnsi="宋体"/>
          <w:color w:val="auto"/>
        </w:rPr>
        <w:t>加入</w:t>
      </w:r>
      <w:r>
        <w:rPr>
          <w:rFonts w:hint="eastAsia" w:hAnsi="宋体"/>
          <w:color w:val="auto"/>
        </w:rPr>
        <w:t>3</w:t>
      </w:r>
      <w:r>
        <w:rPr>
          <w:rFonts w:hAnsi="宋体"/>
          <w:color w:val="auto"/>
        </w:rPr>
        <w:t xml:space="preserve"> mL</w:t>
      </w:r>
      <w:r>
        <w:rPr>
          <w:rFonts w:hint="eastAsia" w:hAnsi="宋体"/>
          <w:color w:val="auto"/>
        </w:rPr>
        <w:t>盐酸（</w:t>
      </w:r>
      <w:r>
        <w:rPr>
          <w:rFonts w:hAnsi="宋体"/>
          <w:color w:val="auto"/>
        </w:rPr>
        <w:t>5.2</w:t>
      </w:r>
      <w:r>
        <w:rPr>
          <w:rFonts w:hint="eastAsia" w:hAnsi="宋体"/>
          <w:color w:val="auto"/>
        </w:rPr>
        <w:t>）和</w:t>
      </w:r>
      <w:r>
        <w:rPr>
          <w:rFonts w:hAnsi="宋体"/>
          <w:color w:val="auto"/>
        </w:rPr>
        <w:t>1 mL</w:t>
      </w:r>
      <w:r>
        <w:rPr>
          <w:rFonts w:hint="eastAsia" w:hAnsi="宋体"/>
          <w:color w:val="auto"/>
        </w:rPr>
        <w:t>硝酸（</w:t>
      </w:r>
      <w:r>
        <w:rPr>
          <w:rFonts w:hAnsi="宋体"/>
          <w:color w:val="auto"/>
        </w:rPr>
        <w:t>5.</w:t>
      </w:r>
      <w:r>
        <w:rPr>
          <w:rFonts w:hint="eastAsia" w:hAnsi="宋体"/>
          <w:color w:val="auto"/>
        </w:rPr>
        <w:t>3），依次</w:t>
      </w:r>
      <w:r>
        <w:rPr>
          <w:rFonts w:hint="eastAsia"/>
          <w:color w:val="auto"/>
          <w:szCs w:val="21"/>
        </w:rPr>
        <w:t>加入</w:t>
      </w:r>
      <w:r>
        <w:rPr>
          <w:color w:val="auto"/>
          <w:szCs w:val="21"/>
        </w:rPr>
        <w:t>0 mL、</w:t>
      </w:r>
      <w:r>
        <w:rPr>
          <w:rFonts w:hint="eastAsia"/>
          <w:color w:val="auto"/>
          <w:szCs w:val="21"/>
        </w:rPr>
        <w:t>0.10 mL、0.5</w:t>
      </w:r>
      <w:r>
        <w:rPr>
          <w:color w:val="auto"/>
          <w:szCs w:val="21"/>
        </w:rPr>
        <w:t>0 mL、</w:t>
      </w:r>
      <w:r>
        <w:rPr>
          <w:rFonts w:hint="eastAsia"/>
          <w:color w:val="auto"/>
          <w:szCs w:val="21"/>
        </w:rPr>
        <w:t>1</w:t>
      </w:r>
      <w:r>
        <w:rPr>
          <w:color w:val="auto"/>
          <w:szCs w:val="21"/>
        </w:rPr>
        <w:t>.00 mL、</w:t>
      </w:r>
      <w:r>
        <w:rPr>
          <w:rFonts w:hint="eastAsia"/>
          <w:color w:val="auto"/>
          <w:szCs w:val="21"/>
        </w:rPr>
        <w:t>2.50</w:t>
      </w:r>
      <w:r>
        <w:rPr>
          <w:color w:val="auto"/>
          <w:szCs w:val="21"/>
        </w:rPr>
        <w:t xml:space="preserve"> mL、</w:t>
      </w:r>
      <w:r>
        <w:rPr>
          <w:rFonts w:hint="eastAsia"/>
          <w:color w:val="auto"/>
          <w:szCs w:val="21"/>
        </w:rPr>
        <w:t>5</w:t>
      </w:r>
      <w:r>
        <w:rPr>
          <w:color w:val="auto"/>
          <w:szCs w:val="21"/>
        </w:rPr>
        <w:t>.00 mL</w:t>
      </w:r>
      <w:r>
        <w:rPr>
          <w:rFonts w:hint="eastAsia"/>
          <w:color w:val="auto"/>
          <w:szCs w:val="21"/>
        </w:rPr>
        <w:t>混合标准溶液</w:t>
      </w:r>
      <w:bookmarkStart w:id="51" w:name="OLE_LINK16"/>
      <w:r>
        <w:rPr>
          <w:rFonts w:hint="eastAsia"/>
          <w:color w:val="auto"/>
          <w:szCs w:val="21"/>
        </w:rPr>
        <w:t>A</w:t>
      </w:r>
      <w:bookmarkEnd w:id="51"/>
      <w:r>
        <w:rPr>
          <w:color w:val="auto"/>
          <w:szCs w:val="21"/>
        </w:rPr>
        <w:t>（5.</w:t>
      </w:r>
      <w:r>
        <w:rPr>
          <w:rFonts w:hint="eastAsia"/>
          <w:color w:val="auto"/>
          <w:szCs w:val="21"/>
        </w:rPr>
        <w:t>6</w:t>
      </w:r>
      <w:r>
        <w:rPr>
          <w:color w:val="auto"/>
          <w:szCs w:val="21"/>
        </w:rPr>
        <w:t>）</w:t>
      </w:r>
      <w:r>
        <w:rPr>
          <w:rFonts w:hint="eastAsia"/>
          <w:color w:val="auto"/>
          <w:szCs w:val="21"/>
        </w:rPr>
        <w:t>，用去离子水冲洗容量瓶口后再依次加入</w:t>
      </w:r>
      <w:r>
        <w:rPr>
          <w:color w:val="auto"/>
          <w:szCs w:val="21"/>
        </w:rPr>
        <w:t>0 mL、</w:t>
      </w:r>
      <w:r>
        <w:rPr>
          <w:rFonts w:hint="eastAsia"/>
          <w:color w:val="auto"/>
          <w:szCs w:val="21"/>
        </w:rPr>
        <w:t>0.10 mL、0.5</w:t>
      </w:r>
      <w:r>
        <w:rPr>
          <w:color w:val="auto"/>
          <w:szCs w:val="21"/>
        </w:rPr>
        <w:t>0 mL、</w:t>
      </w:r>
      <w:r>
        <w:rPr>
          <w:rFonts w:hint="eastAsia"/>
          <w:color w:val="auto"/>
          <w:szCs w:val="21"/>
        </w:rPr>
        <w:t>1</w:t>
      </w:r>
      <w:r>
        <w:rPr>
          <w:color w:val="auto"/>
          <w:szCs w:val="21"/>
        </w:rPr>
        <w:t>.00 mL、</w:t>
      </w:r>
      <w:r>
        <w:rPr>
          <w:rFonts w:hint="eastAsia"/>
          <w:color w:val="auto"/>
          <w:szCs w:val="21"/>
        </w:rPr>
        <w:t>2.50</w:t>
      </w:r>
      <w:r>
        <w:rPr>
          <w:color w:val="auto"/>
          <w:szCs w:val="21"/>
        </w:rPr>
        <w:t xml:space="preserve"> mL、</w:t>
      </w:r>
      <w:r>
        <w:rPr>
          <w:rFonts w:hint="eastAsia"/>
          <w:color w:val="auto"/>
          <w:szCs w:val="21"/>
        </w:rPr>
        <w:t>5</w:t>
      </w:r>
      <w:r>
        <w:rPr>
          <w:color w:val="auto"/>
          <w:szCs w:val="21"/>
        </w:rPr>
        <w:t>.00 mL</w:t>
      </w:r>
      <w:r>
        <w:rPr>
          <w:rFonts w:hint="eastAsia"/>
          <w:color w:val="auto"/>
          <w:szCs w:val="21"/>
        </w:rPr>
        <w:t>银</w:t>
      </w:r>
      <w:r>
        <w:rPr>
          <w:color w:val="auto"/>
          <w:szCs w:val="21"/>
        </w:rPr>
        <w:t>标准溶液</w:t>
      </w:r>
      <w:r>
        <w:rPr>
          <w:rFonts w:hint="eastAsia"/>
          <w:color w:val="auto"/>
          <w:szCs w:val="21"/>
        </w:rPr>
        <w:t>A</w:t>
      </w:r>
      <w:r>
        <w:rPr>
          <w:color w:val="auto"/>
          <w:szCs w:val="21"/>
        </w:rPr>
        <w:t>（5.</w:t>
      </w:r>
      <w:r>
        <w:rPr>
          <w:rFonts w:hint="eastAsia"/>
          <w:color w:val="auto"/>
          <w:szCs w:val="21"/>
        </w:rPr>
        <w:t>8</w:t>
      </w:r>
      <w:r>
        <w:rPr>
          <w:color w:val="auto"/>
          <w:szCs w:val="21"/>
        </w:rPr>
        <w:t>），</w:t>
      </w:r>
      <w:r>
        <w:rPr>
          <w:rFonts w:hint="eastAsia"/>
          <w:color w:val="auto"/>
          <w:szCs w:val="21"/>
        </w:rPr>
        <w:t>混合</w:t>
      </w:r>
      <w:r>
        <w:rPr>
          <w:color w:val="auto"/>
        </w:rPr>
        <w:t>内标溶液</w:t>
      </w:r>
      <w:r>
        <w:rPr>
          <w:rFonts w:hint="eastAsia" w:hAnsi="宋体"/>
          <w:color w:val="auto"/>
        </w:rPr>
        <w:t>（</w:t>
      </w:r>
      <w:r>
        <w:rPr>
          <w:rFonts w:hAnsi="宋体"/>
          <w:color w:val="auto"/>
        </w:rPr>
        <w:t>5</w:t>
      </w:r>
      <w:r>
        <w:rPr>
          <w:rFonts w:hint="eastAsia" w:hAnsi="宋体"/>
          <w:color w:val="auto"/>
        </w:rPr>
        <w:t>.10或5.11）的加入方式与8.4.1保持一致</w:t>
      </w:r>
      <w:r>
        <w:rPr>
          <w:rFonts w:hint="eastAsia"/>
          <w:color w:val="auto"/>
          <w:szCs w:val="21"/>
        </w:rPr>
        <w:t>，</w:t>
      </w:r>
      <w:r>
        <w:rPr>
          <w:color w:val="auto"/>
          <w:szCs w:val="21"/>
        </w:rPr>
        <w:t>用水稀释至刻度，混匀。</w:t>
      </w:r>
    </w:p>
    <w:p>
      <w:pPr>
        <w:pStyle w:val="76"/>
        <w:spacing w:line="360" w:lineRule="exact"/>
        <w:ind w:firstLine="0" w:firstLineChars="0"/>
        <w:contextualSpacing/>
        <w:rPr>
          <w:color w:val="auto"/>
        </w:rPr>
      </w:pPr>
      <w:r>
        <w:rPr>
          <w:rFonts w:hint="eastAsia" w:ascii="黑体" w:hAnsi="黑体" w:eastAsia="黑体"/>
          <w:color w:val="auto"/>
          <w:szCs w:val="21"/>
        </w:rPr>
        <w:t>8.</w:t>
      </w:r>
      <w:r>
        <w:rPr>
          <w:rFonts w:ascii="黑体" w:hAnsi="黑体" w:eastAsia="黑体"/>
          <w:color w:val="auto"/>
          <w:szCs w:val="21"/>
        </w:rPr>
        <w:t>5</w:t>
      </w:r>
      <w:r>
        <w:rPr>
          <w:rFonts w:hint="eastAsia" w:ascii="黑体" w:hAnsi="黑体" w:eastAsia="黑体"/>
          <w:color w:val="auto"/>
          <w:szCs w:val="21"/>
        </w:rPr>
        <w:t>.3</w:t>
      </w:r>
      <w:r>
        <w:rPr>
          <w:rFonts w:hint="eastAsia"/>
          <w:color w:val="auto"/>
          <w:szCs w:val="21"/>
        </w:rPr>
        <w:t xml:space="preserve">  在选定的仪器条件下，由</w:t>
      </w:r>
      <w:r>
        <w:rPr>
          <w:color w:val="auto"/>
          <w:szCs w:val="21"/>
        </w:rPr>
        <w:t>低浓度到高浓度</w:t>
      </w:r>
      <w:r>
        <w:rPr>
          <w:rFonts w:hint="eastAsia"/>
          <w:color w:val="auto"/>
          <w:szCs w:val="21"/>
        </w:rPr>
        <w:t>依次测定系列标准溶液（</w:t>
      </w:r>
      <w:r>
        <w:rPr>
          <w:color w:val="auto"/>
          <w:szCs w:val="21"/>
        </w:rPr>
        <w:t>8</w:t>
      </w:r>
      <w:r>
        <w:rPr>
          <w:rFonts w:hint="eastAsia"/>
          <w:color w:val="auto"/>
          <w:szCs w:val="21"/>
        </w:rPr>
        <w:t>.5</w:t>
      </w:r>
      <w:r>
        <w:rPr>
          <w:color w:val="auto"/>
          <w:szCs w:val="21"/>
        </w:rPr>
        <w:t>.1</w:t>
      </w:r>
      <w:r>
        <w:rPr>
          <w:rFonts w:hint="eastAsia"/>
          <w:color w:val="auto"/>
          <w:szCs w:val="21"/>
        </w:rPr>
        <w:t>或8.5.2）</w:t>
      </w:r>
      <w:r>
        <w:rPr>
          <w:color w:val="auto"/>
          <w:szCs w:val="21"/>
        </w:rPr>
        <w:t>。工作曲线的浓度梯度可根据分析试液中待测元素的质量浓度进行调整，至少包括5个标准点。</w:t>
      </w:r>
      <w:r>
        <w:rPr>
          <w:rFonts w:hint="eastAsia"/>
          <w:color w:val="auto"/>
        </w:rPr>
        <w:t>以待测元素的</w:t>
      </w:r>
      <w:r>
        <w:rPr>
          <w:color w:val="auto"/>
        </w:rPr>
        <w:t>质量浓度为横坐标，</w:t>
      </w:r>
      <w:r>
        <w:rPr>
          <w:rFonts w:hint="eastAsia"/>
          <w:color w:val="auto"/>
        </w:rPr>
        <w:t>待测元素</w:t>
      </w:r>
      <w:r>
        <w:rPr>
          <w:color w:val="auto"/>
        </w:rPr>
        <w:t>与内标元素信号强度</w:t>
      </w:r>
      <w:r>
        <w:rPr>
          <w:rFonts w:hint="eastAsia"/>
          <w:color w:val="auto"/>
        </w:rPr>
        <w:t>的</w:t>
      </w:r>
      <w:r>
        <w:rPr>
          <w:color w:val="auto"/>
        </w:rPr>
        <w:t>比值为纵坐标，绘制</w:t>
      </w:r>
      <w:r>
        <w:rPr>
          <w:rFonts w:hint="eastAsia"/>
          <w:color w:val="auto"/>
        </w:rPr>
        <w:t>工</w:t>
      </w:r>
      <w:r>
        <w:rPr>
          <w:rFonts w:hint="eastAsia"/>
          <w:color w:val="auto"/>
          <w:szCs w:val="21"/>
        </w:rPr>
        <w:t>作曲线。工作曲线线性相关系数应不小于</w:t>
      </w:r>
      <w:r>
        <w:rPr>
          <w:color w:val="auto"/>
          <w:szCs w:val="21"/>
        </w:rPr>
        <w:t>0.999</w:t>
      </w:r>
      <w:r>
        <w:rPr>
          <w:rFonts w:hint="eastAsia"/>
          <w:color w:val="auto"/>
          <w:szCs w:val="21"/>
        </w:rPr>
        <w:t>。</w:t>
      </w:r>
    </w:p>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试验数据处理</w:t>
      </w:r>
    </w:p>
    <w:p>
      <w:pPr>
        <w:spacing w:line="360" w:lineRule="exact"/>
        <w:ind w:firstLine="420"/>
        <w:rPr>
          <w:color w:val="auto"/>
          <w:szCs w:val="21"/>
        </w:rPr>
      </w:pPr>
      <w:r>
        <w:rPr>
          <w:rFonts w:hint="eastAsia"/>
          <w:color w:val="auto"/>
          <w:szCs w:val="21"/>
        </w:rPr>
        <w:t>待测</w:t>
      </w:r>
      <w:r>
        <w:rPr>
          <w:color w:val="auto"/>
          <w:szCs w:val="21"/>
        </w:rPr>
        <w:t>元素含量以质量分数</w:t>
      </w:r>
      <w:r>
        <w:rPr>
          <w:i/>
          <w:color w:val="auto"/>
          <w:spacing w:val="6"/>
        </w:rPr>
        <w:t>w</w:t>
      </w:r>
      <w:r>
        <w:rPr>
          <w:i/>
          <w:color w:val="auto"/>
          <w:spacing w:val="6"/>
          <w:vertAlign w:val="subscript"/>
        </w:rPr>
        <w:t>x</w:t>
      </w:r>
      <w:r>
        <w:rPr>
          <w:color w:val="auto"/>
          <w:szCs w:val="21"/>
        </w:rPr>
        <w:t>计，按式（1）计算：</w:t>
      </w:r>
    </w:p>
    <w:p>
      <w:pPr>
        <w:spacing w:line="300" w:lineRule="auto"/>
        <w:jc w:val="right"/>
        <w:rPr>
          <w:color w:val="auto"/>
          <w:szCs w:val="21"/>
        </w:rPr>
      </w:pPr>
      <w:r>
        <w:rPr>
          <w:color w:val="auto"/>
          <w:position w:val="-24"/>
          <w:szCs w:val="21"/>
        </w:rPr>
        <w:object>
          <v:shape id="_x0000_i1025" o:spt="75" type="#_x0000_t75" style="height:33pt;width:160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ascii="宋体" w:hAnsi="宋体"/>
          <w:color w:val="auto"/>
          <w:szCs w:val="21"/>
        </w:rPr>
        <w:t>……………………………………</w:t>
      </w:r>
      <w:r>
        <w:rPr>
          <w:rFonts w:hAnsi="宋体"/>
          <w:color w:val="auto"/>
          <w:szCs w:val="21"/>
        </w:rPr>
        <w:t>（</w:t>
      </w:r>
      <w:r>
        <w:rPr>
          <w:color w:val="auto"/>
          <w:szCs w:val="21"/>
        </w:rPr>
        <w:t>1</w:t>
      </w:r>
      <w:r>
        <w:rPr>
          <w:rFonts w:hAnsi="宋体"/>
          <w:color w:val="auto"/>
          <w:szCs w:val="21"/>
        </w:rPr>
        <w:t>）</w:t>
      </w:r>
    </w:p>
    <w:p>
      <w:pPr>
        <w:adjustRightInd w:val="0"/>
        <w:snapToGrid w:val="0"/>
        <w:spacing w:line="360" w:lineRule="exact"/>
        <w:ind w:firstLine="444" w:firstLineChars="200"/>
        <w:rPr>
          <w:color w:val="auto"/>
          <w:spacing w:val="6"/>
        </w:rPr>
      </w:pPr>
      <w:r>
        <w:rPr>
          <w:rFonts w:hAnsi="宋体"/>
          <w:color w:val="auto"/>
          <w:spacing w:val="6"/>
        </w:rPr>
        <w:t>式中：</w:t>
      </w:r>
    </w:p>
    <w:p>
      <w:pPr>
        <w:adjustRightInd w:val="0"/>
        <w:snapToGrid w:val="0"/>
        <w:spacing w:line="360" w:lineRule="exact"/>
        <w:ind w:firstLine="444" w:firstLineChars="200"/>
        <w:rPr>
          <w:color w:val="auto"/>
          <w:spacing w:val="6"/>
        </w:rPr>
      </w:pPr>
      <w:r>
        <w:rPr>
          <w:i/>
          <w:color w:val="auto"/>
          <w:spacing w:val="6"/>
        </w:rPr>
        <w:t>ρ</w:t>
      </w:r>
      <w:r>
        <w:rPr>
          <w:i/>
          <w:color w:val="auto"/>
          <w:spacing w:val="6"/>
          <w:vertAlign w:val="subscript"/>
        </w:rPr>
        <w:t>x</w:t>
      </w:r>
      <w:r>
        <w:rPr>
          <w:color w:val="auto"/>
          <w:spacing w:val="6"/>
        </w:rPr>
        <w:t>——</w:t>
      </w:r>
      <w:r>
        <w:rPr>
          <w:rFonts w:hint="eastAsia" w:hAnsi="宋体"/>
          <w:color w:val="auto"/>
          <w:spacing w:val="6"/>
          <w:szCs w:val="21"/>
        </w:rPr>
        <w:t>分析试液</w:t>
      </w:r>
      <w:r>
        <w:rPr>
          <w:color w:val="auto"/>
          <w:spacing w:val="6"/>
        </w:rPr>
        <w:t>中</w:t>
      </w:r>
      <w:r>
        <w:rPr>
          <w:rFonts w:hint="eastAsia"/>
          <w:color w:val="auto"/>
          <w:spacing w:val="6"/>
        </w:rPr>
        <w:t>待测</w:t>
      </w:r>
      <w:r>
        <w:rPr>
          <w:color w:val="auto"/>
          <w:spacing w:val="6"/>
        </w:rPr>
        <w:t>元素的质量浓度，单位为纳克每毫升（ng/mL）；</w:t>
      </w:r>
    </w:p>
    <w:p>
      <w:pPr>
        <w:adjustRightInd w:val="0"/>
        <w:snapToGrid w:val="0"/>
        <w:spacing w:line="360" w:lineRule="exact"/>
        <w:ind w:firstLine="444" w:firstLineChars="200"/>
        <w:rPr>
          <w:color w:val="auto"/>
          <w:spacing w:val="6"/>
        </w:rPr>
      </w:pPr>
      <w:r>
        <w:rPr>
          <w:i/>
          <w:color w:val="auto"/>
          <w:spacing w:val="6"/>
        </w:rPr>
        <w:t>ρ</w:t>
      </w:r>
      <w:r>
        <w:rPr>
          <w:color w:val="auto"/>
          <w:spacing w:val="6"/>
          <w:vertAlign w:val="subscript"/>
        </w:rPr>
        <w:t>0</w:t>
      </w:r>
      <w:r>
        <w:rPr>
          <w:color w:val="auto"/>
          <w:spacing w:val="6"/>
        </w:rPr>
        <w:t>——空白</w:t>
      </w:r>
      <w:r>
        <w:rPr>
          <w:rFonts w:hint="eastAsia"/>
          <w:color w:val="auto"/>
          <w:spacing w:val="6"/>
        </w:rPr>
        <w:t>试液</w:t>
      </w:r>
      <w:r>
        <w:rPr>
          <w:color w:val="auto"/>
          <w:spacing w:val="6"/>
        </w:rPr>
        <w:t>中</w:t>
      </w:r>
      <w:r>
        <w:rPr>
          <w:rFonts w:hint="eastAsia"/>
          <w:color w:val="auto"/>
          <w:spacing w:val="6"/>
        </w:rPr>
        <w:t>待测</w:t>
      </w:r>
      <w:r>
        <w:rPr>
          <w:color w:val="auto"/>
          <w:spacing w:val="6"/>
        </w:rPr>
        <w:t>元素的质量浓度，单位为纳克每毫升（ng/mL）；</w:t>
      </w:r>
    </w:p>
    <w:p>
      <w:pPr>
        <w:adjustRightInd w:val="0"/>
        <w:snapToGrid w:val="0"/>
        <w:spacing w:line="360" w:lineRule="exact"/>
        <w:ind w:firstLine="444" w:firstLineChars="200"/>
        <w:rPr>
          <w:color w:val="auto"/>
          <w:spacing w:val="6"/>
        </w:rPr>
      </w:pPr>
      <w:r>
        <w:rPr>
          <w:i/>
          <w:color w:val="auto"/>
          <w:spacing w:val="6"/>
        </w:rPr>
        <w:t>V</w:t>
      </w:r>
      <w:r>
        <w:rPr>
          <w:color w:val="auto"/>
          <w:spacing w:val="6"/>
        </w:rPr>
        <w:t>——</w:t>
      </w:r>
      <w:r>
        <w:rPr>
          <w:rFonts w:hint="eastAsia"/>
          <w:color w:val="auto"/>
          <w:spacing w:val="6"/>
        </w:rPr>
        <w:t>试液总</w:t>
      </w:r>
      <w:r>
        <w:rPr>
          <w:color w:val="auto"/>
          <w:spacing w:val="6"/>
        </w:rPr>
        <w:t>体积，单位为毫升（mL）；</w:t>
      </w:r>
    </w:p>
    <w:p>
      <w:pPr>
        <w:adjustRightInd w:val="0"/>
        <w:snapToGrid w:val="0"/>
        <w:spacing w:line="360" w:lineRule="exact"/>
        <w:ind w:firstLine="444" w:firstLineChars="200"/>
        <w:rPr>
          <w:color w:val="auto"/>
          <w:spacing w:val="6"/>
        </w:rPr>
      </w:pPr>
      <w:r>
        <w:rPr>
          <w:i/>
          <w:color w:val="auto"/>
          <w:spacing w:val="6"/>
        </w:rPr>
        <w:t>m</w:t>
      </w:r>
      <w:r>
        <w:rPr>
          <w:color w:val="auto"/>
          <w:spacing w:val="6"/>
        </w:rPr>
        <w:t>——</w:t>
      </w:r>
      <w:r>
        <w:rPr>
          <w:rFonts w:hint="eastAsia"/>
          <w:color w:val="auto"/>
          <w:spacing w:val="6"/>
        </w:rPr>
        <w:t>试料的</w:t>
      </w:r>
      <w:r>
        <w:rPr>
          <w:color w:val="auto"/>
          <w:spacing w:val="6"/>
        </w:rPr>
        <w:t>质量，单位为克（g）。</w:t>
      </w:r>
    </w:p>
    <w:p>
      <w:pPr>
        <w:spacing w:line="360" w:lineRule="exact"/>
        <w:ind w:firstLine="420" w:firstLineChars="200"/>
        <w:rPr>
          <w:color w:val="auto"/>
        </w:rPr>
      </w:pPr>
      <w:r>
        <w:rPr>
          <w:rFonts w:hint="eastAsia"/>
          <w:color w:val="auto"/>
        </w:rPr>
        <w:t>计算结果保留2位有效数字；当质量分数小于0.0010%时，计算结果保留1位有效数字。数值修约按照</w:t>
      </w:r>
      <w:r>
        <w:rPr>
          <w:rFonts w:hAnsi="宋体"/>
          <w:bCs/>
          <w:color w:val="auto"/>
          <w:szCs w:val="21"/>
        </w:rPr>
        <w:t>G</w:t>
      </w:r>
      <w:r>
        <w:rPr>
          <w:rFonts w:hint="eastAsia" w:hAnsi="宋体"/>
          <w:bCs/>
          <w:color w:val="auto"/>
          <w:szCs w:val="21"/>
        </w:rPr>
        <w:t>B/T</w:t>
      </w:r>
      <w:r>
        <w:rPr>
          <w:rFonts w:hAnsi="宋体"/>
          <w:bCs/>
          <w:color w:val="auto"/>
          <w:szCs w:val="21"/>
        </w:rPr>
        <w:t xml:space="preserve"> </w:t>
      </w:r>
      <w:r>
        <w:rPr>
          <w:rFonts w:hint="eastAsia" w:hAnsi="宋体"/>
          <w:bCs/>
          <w:color w:val="auto"/>
          <w:szCs w:val="21"/>
        </w:rPr>
        <w:t>8170规定执行。</w:t>
      </w:r>
    </w:p>
    <w:p>
      <w:pPr>
        <w:pStyle w:val="76"/>
        <w:numPr>
          <w:ilvl w:val="0"/>
          <w:numId w:val="1"/>
        </w:numPr>
        <w:tabs>
          <w:tab w:val="left" w:pos="420"/>
        </w:tabs>
        <w:adjustRightInd w:val="0"/>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精密度</w:t>
      </w:r>
    </w:p>
    <w:p>
      <w:pPr>
        <w:numPr>
          <w:ilvl w:val="0"/>
          <w:numId w:val="5"/>
        </w:numPr>
        <w:autoSpaceDE w:val="0"/>
        <w:autoSpaceDN w:val="0"/>
        <w:adjustRightInd w:val="0"/>
        <w:snapToGrid w:val="0"/>
        <w:spacing w:after="156" w:afterLines="50" w:line="360" w:lineRule="exact"/>
        <w:ind w:left="0" w:firstLine="0"/>
        <w:jc w:val="left"/>
        <w:rPr>
          <w:rFonts w:ascii="黑体" w:hAnsi="黑体" w:eastAsia="黑体"/>
          <w:color w:val="auto"/>
          <w:szCs w:val="21"/>
        </w:rPr>
      </w:pPr>
      <w:r>
        <w:rPr>
          <w:rFonts w:hint="eastAsia" w:ascii="黑体" w:hAnsi="黑体" w:eastAsia="黑体"/>
          <w:color w:val="auto"/>
          <w:szCs w:val="21"/>
        </w:rPr>
        <w:t xml:space="preserve">  重复性</w:t>
      </w:r>
    </w:p>
    <w:p>
      <w:pPr>
        <w:adjustRightInd w:val="0"/>
        <w:snapToGrid w:val="0"/>
        <w:spacing w:line="360" w:lineRule="exact"/>
        <w:ind w:firstLine="444" w:firstLineChars="200"/>
        <w:rPr>
          <w:color w:val="auto"/>
        </w:rPr>
      </w:pPr>
      <w:r>
        <w:rPr>
          <w:color w:val="auto"/>
          <w:spacing w:val="6"/>
        </w:rPr>
        <w:t>在重复性条件下获得的两次独立测试结果的测定值，在表</w:t>
      </w:r>
      <w:r>
        <w:rPr>
          <w:rFonts w:hint="eastAsia"/>
          <w:color w:val="auto"/>
          <w:spacing w:val="6"/>
        </w:rPr>
        <w:t>4</w:t>
      </w:r>
      <w:r>
        <w:rPr>
          <w:color w:val="auto"/>
          <w:spacing w:val="6"/>
        </w:rPr>
        <w:t>给出的平均值范围内，这两个测试结果的绝对差值不超过重复性限（</w:t>
      </w:r>
      <w:r>
        <w:rPr>
          <w:i/>
          <w:color w:val="auto"/>
          <w:spacing w:val="6"/>
        </w:rPr>
        <w:t>r</w:t>
      </w:r>
      <w:r>
        <w:rPr>
          <w:color w:val="auto"/>
          <w:spacing w:val="6"/>
        </w:rPr>
        <w:t>），超过重复性限（</w:t>
      </w:r>
      <w:r>
        <w:rPr>
          <w:i/>
          <w:color w:val="auto"/>
          <w:spacing w:val="6"/>
        </w:rPr>
        <w:t>r</w:t>
      </w:r>
      <w:r>
        <w:rPr>
          <w:color w:val="auto"/>
          <w:spacing w:val="6"/>
        </w:rPr>
        <w:t>）的情况不超过5%，重复性限（</w:t>
      </w:r>
      <w:r>
        <w:rPr>
          <w:i/>
          <w:color w:val="auto"/>
          <w:spacing w:val="6"/>
        </w:rPr>
        <w:t>r</w:t>
      </w:r>
      <w:r>
        <w:rPr>
          <w:color w:val="auto"/>
          <w:spacing w:val="6"/>
        </w:rPr>
        <w:t>）按表</w:t>
      </w:r>
      <w:r>
        <w:rPr>
          <w:rFonts w:hint="eastAsia"/>
          <w:color w:val="auto"/>
          <w:spacing w:val="6"/>
        </w:rPr>
        <w:t>4</w:t>
      </w:r>
      <w:r>
        <w:rPr>
          <w:color w:val="auto"/>
          <w:spacing w:val="6"/>
        </w:rPr>
        <w:t>数据采用线性内插法求得。</w:t>
      </w:r>
      <w:r>
        <w:rPr>
          <w:rFonts w:hint="eastAsia"/>
          <w:color w:val="auto"/>
        </w:rPr>
        <w:t>实验室间试验结果得到的统计数据</w:t>
      </w:r>
      <w:r>
        <w:rPr>
          <w:color w:val="auto"/>
        </w:rPr>
        <w:t>见</w:t>
      </w:r>
      <w:r>
        <w:rPr>
          <w:rFonts w:hint="eastAsia"/>
          <w:color w:val="auto"/>
        </w:rPr>
        <w:t>附录B。</w:t>
      </w:r>
    </w:p>
    <w:p>
      <w:pPr>
        <w:pStyle w:val="5"/>
        <w:adjustRightInd w:val="0"/>
        <w:snapToGrid w:val="0"/>
        <w:spacing w:before="156" w:beforeLines="50" w:after="156" w:afterLines="50"/>
        <w:ind w:firstLine="0" w:firstLineChars="0"/>
        <w:jc w:val="center"/>
        <w:rPr>
          <w:rFonts w:eastAsia="黑体"/>
          <w:bCs/>
          <w:color w:val="auto"/>
          <w:szCs w:val="21"/>
        </w:rPr>
      </w:pPr>
      <w:r>
        <w:rPr>
          <w:rFonts w:hint="eastAsia" w:eastAsia="黑体"/>
          <w:bCs/>
          <w:color w:val="auto"/>
          <w:szCs w:val="21"/>
        </w:rPr>
        <w:t>表4 重复性限</w:t>
      </w:r>
    </w:p>
    <w:tbl>
      <w:tblPr>
        <w:tblStyle w:val="18"/>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94"/>
        <w:gridCol w:w="1196"/>
        <w:gridCol w:w="1196"/>
        <w:gridCol w:w="1196"/>
        <w:gridCol w:w="1196"/>
        <w:gridCol w:w="1196"/>
        <w:gridCol w:w="11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24" w:type="pct"/>
            <w:tcBorders>
              <w:top w:val="single" w:color="auto" w:sz="12" w:space="0"/>
              <w:left w:val="single" w:color="auto" w:sz="12" w:space="0"/>
              <w:bottom w:val="single" w:color="auto" w:sz="4" w:space="0"/>
              <w:right w:val="single" w:color="auto" w:sz="8" w:space="0"/>
            </w:tcBorders>
            <w:vAlign w:val="center"/>
          </w:tcPr>
          <w:p>
            <w:pPr>
              <w:adjustRightInd w:val="0"/>
              <w:snapToGrid w:val="0"/>
              <w:jc w:val="center"/>
              <w:rPr>
                <w:rFonts w:ascii="黑体" w:hAnsi="黑体" w:eastAsia="黑体" w:cs="黑体"/>
                <w:color w:val="auto"/>
                <w:sz w:val="18"/>
                <w:szCs w:val="18"/>
              </w:rPr>
            </w:pPr>
            <w:r>
              <w:rPr>
                <w:i/>
                <w:color w:val="auto"/>
                <w:spacing w:val="6"/>
                <w:sz w:val="18"/>
                <w:szCs w:val="18"/>
              </w:rPr>
              <w:t>w</w:t>
            </w:r>
            <w:r>
              <w:rPr>
                <w:i/>
                <w:color w:val="auto"/>
                <w:spacing w:val="6"/>
                <w:sz w:val="18"/>
                <w:szCs w:val="18"/>
                <w:vertAlign w:val="subscript"/>
              </w:rPr>
              <w:t>x</w:t>
            </w:r>
            <w:r>
              <w:rPr>
                <w:rFonts w:hint="eastAsia"/>
                <w:color w:val="auto"/>
                <w:spacing w:val="6"/>
                <w:sz w:val="18"/>
                <w:szCs w:val="18"/>
                <w:vertAlign w:val="subscript"/>
              </w:rPr>
              <w:t xml:space="preserve"> </w:t>
            </w:r>
            <w:r>
              <w:rPr>
                <w:rFonts w:hint="eastAsia" w:cs="宋体"/>
                <w:color w:val="auto"/>
                <w:kern w:val="0"/>
                <w:sz w:val="18"/>
                <w:szCs w:val="18"/>
              </w:rPr>
              <w:t>/</w:t>
            </w:r>
            <w:r>
              <w:rPr>
                <w:color w:val="auto"/>
                <w:kern w:val="0"/>
                <w:sz w:val="18"/>
                <w:szCs w:val="18"/>
              </w:rPr>
              <w:t>%</w:t>
            </w:r>
          </w:p>
        </w:tc>
        <w:tc>
          <w:tcPr>
            <w:tcW w:w="624" w:type="pct"/>
            <w:tcBorders>
              <w:top w:val="single" w:color="auto" w:sz="12" w:space="0"/>
              <w:left w:val="single" w:color="auto" w:sz="8"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0.00001</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0.00010 </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0.0080 </w:t>
            </w:r>
          </w:p>
        </w:tc>
        <w:tc>
          <w:tcPr>
            <w:tcW w:w="625" w:type="pct"/>
            <w:tcBorders>
              <w:top w:val="single" w:color="auto" w:sz="12" w:space="0"/>
              <w:bottom w:val="single" w:color="auto" w:sz="4" w:space="0"/>
              <w:right w:val="single" w:color="auto" w:sz="12"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24" w:type="pct"/>
            <w:tcBorders>
              <w:top w:val="single" w:color="auto" w:sz="4" w:space="0"/>
              <w:left w:val="single" w:color="auto" w:sz="12" w:space="0"/>
              <w:bottom w:val="single" w:color="auto" w:sz="12" w:space="0"/>
              <w:right w:val="single" w:color="auto" w:sz="8" w:space="0"/>
            </w:tcBorders>
            <w:vAlign w:val="center"/>
          </w:tcPr>
          <w:p>
            <w:pPr>
              <w:adjustRightInd w:val="0"/>
              <w:snapToGrid w:val="0"/>
              <w:jc w:val="center"/>
              <w:rPr>
                <w:rFonts w:ascii="黑体" w:hAnsi="黑体" w:eastAsia="黑体" w:cs="黑体"/>
                <w:color w:val="auto"/>
                <w:sz w:val="18"/>
                <w:szCs w:val="18"/>
              </w:rPr>
            </w:pPr>
            <w:r>
              <w:rPr>
                <w:rFonts w:hint="eastAsia" w:cs="宋体"/>
                <w:i/>
                <w:iCs/>
                <w:color w:val="auto"/>
                <w:kern w:val="0"/>
                <w:sz w:val="18"/>
                <w:szCs w:val="18"/>
              </w:rPr>
              <w:t>r</w:t>
            </w:r>
            <w:r>
              <w:rPr>
                <w:rFonts w:hint="eastAsia" w:cs="宋体"/>
                <w:color w:val="auto"/>
                <w:kern w:val="0"/>
                <w:sz w:val="18"/>
                <w:szCs w:val="18"/>
              </w:rPr>
              <w:t>/</w:t>
            </w:r>
            <w:r>
              <w:rPr>
                <w:color w:val="auto"/>
                <w:kern w:val="0"/>
                <w:sz w:val="18"/>
                <w:szCs w:val="18"/>
              </w:rPr>
              <w:t>%</w:t>
            </w:r>
          </w:p>
        </w:tc>
        <w:tc>
          <w:tcPr>
            <w:tcW w:w="624" w:type="pct"/>
            <w:tcBorders>
              <w:top w:val="single" w:color="auto" w:sz="4" w:space="0"/>
              <w:left w:val="single" w:color="auto" w:sz="8"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0.00002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0.00005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625" w:type="pct"/>
            <w:tcBorders>
              <w:top w:val="single" w:color="auto" w:sz="4" w:space="0"/>
              <w:bottom w:val="single" w:color="auto" w:sz="12" w:space="0"/>
              <w:right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pPr>
        <w:numPr>
          <w:ilvl w:val="0"/>
          <w:numId w:val="5"/>
        </w:numPr>
        <w:autoSpaceDE w:val="0"/>
        <w:autoSpaceDN w:val="0"/>
        <w:adjustRightInd w:val="0"/>
        <w:snapToGrid w:val="0"/>
        <w:spacing w:before="312" w:beforeLines="100" w:after="156" w:afterLines="50" w:line="360" w:lineRule="exact"/>
        <w:ind w:left="0" w:firstLine="0"/>
        <w:jc w:val="left"/>
        <w:rPr>
          <w:rFonts w:ascii="黑体" w:hAnsi="黑体" w:eastAsia="黑体"/>
          <w:color w:val="auto"/>
          <w:szCs w:val="21"/>
        </w:rPr>
      </w:pPr>
      <w:r>
        <w:rPr>
          <w:rFonts w:hint="eastAsia" w:ascii="黑体" w:hAnsi="黑体" w:eastAsia="黑体"/>
          <w:color w:val="auto"/>
          <w:szCs w:val="21"/>
        </w:rPr>
        <w:t xml:space="preserve">  再现性</w:t>
      </w:r>
    </w:p>
    <w:p>
      <w:pPr>
        <w:adjustRightInd w:val="0"/>
        <w:snapToGrid w:val="0"/>
        <w:spacing w:line="360" w:lineRule="exact"/>
        <w:ind w:firstLine="444" w:firstLineChars="200"/>
        <w:rPr>
          <w:color w:val="auto"/>
          <w:spacing w:val="6"/>
        </w:rPr>
      </w:pPr>
      <w:r>
        <w:rPr>
          <w:color w:val="auto"/>
          <w:spacing w:val="6"/>
        </w:rPr>
        <w:t>在再现性条件下获得的两次独立测试结果的测定值，在</w:t>
      </w:r>
      <w:bookmarkStart w:id="52" w:name="OLE_LINK11"/>
      <w:r>
        <w:rPr>
          <w:color w:val="auto"/>
          <w:spacing w:val="6"/>
        </w:rPr>
        <w:t>表</w:t>
      </w:r>
      <w:bookmarkEnd w:id="52"/>
      <w:r>
        <w:rPr>
          <w:rFonts w:hint="eastAsia"/>
          <w:color w:val="auto"/>
          <w:spacing w:val="6"/>
        </w:rPr>
        <w:t>5</w:t>
      </w:r>
      <w:r>
        <w:rPr>
          <w:color w:val="auto"/>
          <w:spacing w:val="6"/>
        </w:rPr>
        <w:t>给出的平均值范围内，这两个测试结果的绝对差值不超过再现性限（</w:t>
      </w:r>
      <w:r>
        <w:rPr>
          <w:i/>
          <w:color w:val="auto"/>
          <w:spacing w:val="6"/>
        </w:rPr>
        <w:t>R</w:t>
      </w:r>
      <w:r>
        <w:rPr>
          <w:color w:val="auto"/>
          <w:spacing w:val="6"/>
        </w:rPr>
        <w:t>），超过再现性限（</w:t>
      </w:r>
      <w:r>
        <w:rPr>
          <w:i/>
          <w:color w:val="auto"/>
          <w:spacing w:val="6"/>
        </w:rPr>
        <w:t>R</w:t>
      </w:r>
      <w:r>
        <w:rPr>
          <w:color w:val="auto"/>
          <w:spacing w:val="6"/>
        </w:rPr>
        <w:t>）的情况不超过5%，再现性限（</w:t>
      </w:r>
      <w:r>
        <w:rPr>
          <w:i/>
          <w:color w:val="auto"/>
          <w:spacing w:val="6"/>
        </w:rPr>
        <w:t>R</w:t>
      </w:r>
      <w:r>
        <w:rPr>
          <w:color w:val="auto"/>
          <w:spacing w:val="6"/>
        </w:rPr>
        <w:t>）按表</w:t>
      </w:r>
      <w:r>
        <w:rPr>
          <w:rFonts w:hint="eastAsia"/>
          <w:color w:val="auto"/>
          <w:spacing w:val="6"/>
        </w:rPr>
        <w:t>5</w:t>
      </w:r>
      <w:r>
        <w:rPr>
          <w:color w:val="auto"/>
          <w:spacing w:val="6"/>
        </w:rPr>
        <w:t>数据采用线性内插法求得。</w:t>
      </w:r>
    </w:p>
    <w:p>
      <w:pPr>
        <w:pStyle w:val="5"/>
        <w:adjustRightInd w:val="0"/>
        <w:snapToGrid w:val="0"/>
        <w:spacing w:before="156" w:beforeLines="50" w:after="156" w:afterLines="50"/>
        <w:ind w:firstLine="0" w:firstLineChars="0"/>
        <w:jc w:val="center"/>
        <w:rPr>
          <w:rFonts w:eastAsia="黑体"/>
          <w:bCs/>
          <w:color w:val="auto"/>
          <w:szCs w:val="21"/>
        </w:rPr>
      </w:pPr>
      <w:r>
        <w:rPr>
          <w:rFonts w:hint="eastAsia" w:eastAsia="黑体"/>
          <w:bCs/>
          <w:color w:val="auto"/>
          <w:szCs w:val="21"/>
        </w:rPr>
        <w:t>表5 再现性限</w:t>
      </w:r>
    </w:p>
    <w:tbl>
      <w:tblPr>
        <w:tblStyle w:val="18"/>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344"/>
        <w:gridCol w:w="1344"/>
        <w:gridCol w:w="1193"/>
        <w:gridCol w:w="1193"/>
        <w:gridCol w:w="1193"/>
        <w:gridCol w:w="1193"/>
        <w:gridCol w:w="1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left w:val="single" w:color="auto" w:sz="12" w:space="0"/>
              <w:bottom w:val="single" w:color="auto" w:sz="4" w:space="0"/>
              <w:right w:val="single" w:color="auto" w:sz="8" w:space="0"/>
            </w:tcBorders>
            <w:vAlign w:val="center"/>
          </w:tcPr>
          <w:p>
            <w:pPr>
              <w:adjustRightInd w:val="0"/>
              <w:snapToGrid w:val="0"/>
              <w:jc w:val="center"/>
              <w:rPr>
                <w:rFonts w:ascii="黑体" w:hAnsi="黑体" w:eastAsia="黑体" w:cs="黑体"/>
                <w:color w:val="auto"/>
                <w:sz w:val="18"/>
                <w:szCs w:val="18"/>
              </w:rPr>
            </w:pPr>
            <w:r>
              <w:rPr>
                <w:i/>
                <w:color w:val="auto"/>
                <w:spacing w:val="6"/>
                <w:sz w:val="18"/>
                <w:szCs w:val="18"/>
              </w:rPr>
              <w:t>w</w:t>
            </w:r>
            <w:r>
              <w:rPr>
                <w:i/>
                <w:color w:val="auto"/>
                <w:spacing w:val="6"/>
                <w:sz w:val="18"/>
                <w:szCs w:val="18"/>
                <w:vertAlign w:val="subscript"/>
              </w:rPr>
              <w:t>x</w:t>
            </w:r>
            <w:r>
              <w:rPr>
                <w:rFonts w:hint="eastAsia"/>
                <w:color w:val="auto"/>
                <w:spacing w:val="6"/>
                <w:sz w:val="18"/>
                <w:szCs w:val="18"/>
                <w:vertAlign w:val="subscript"/>
              </w:rPr>
              <w:t xml:space="preserve"> </w:t>
            </w:r>
            <w:r>
              <w:rPr>
                <w:rFonts w:hint="eastAsia" w:cs="宋体"/>
                <w:color w:val="auto"/>
                <w:kern w:val="0"/>
                <w:sz w:val="18"/>
                <w:szCs w:val="18"/>
              </w:rPr>
              <w:t>/</w:t>
            </w:r>
            <w:r>
              <w:rPr>
                <w:color w:val="auto"/>
                <w:kern w:val="0"/>
                <w:sz w:val="18"/>
                <w:szCs w:val="18"/>
              </w:rPr>
              <w:t>%</w:t>
            </w:r>
          </w:p>
        </w:tc>
        <w:tc>
          <w:tcPr>
            <w:tcW w:w="702" w:type="pct"/>
            <w:tcBorders>
              <w:top w:val="single" w:color="auto" w:sz="12" w:space="0"/>
              <w:left w:val="single" w:color="auto" w:sz="8"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0.00001</w:t>
            </w:r>
          </w:p>
        </w:tc>
        <w:tc>
          <w:tcPr>
            <w:tcW w:w="702"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0.00010 </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0.0080 </w:t>
            </w:r>
          </w:p>
        </w:tc>
        <w:tc>
          <w:tcPr>
            <w:tcW w:w="544" w:type="pct"/>
            <w:tcBorders>
              <w:top w:val="single" w:color="auto" w:sz="12" w:space="0"/>
              <w:bottom w:val="single" w:color="auto" w:sz="4" w:space="0"/>
              <w:right w:val="single" w:color="auto" w:sz="12"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4" w:space="0"/>
              <w:left w:val="single" w:color="auto" w:sz="12" w:space="0"/>
              <w:bottom w:val="single" w:color="auto" w:sz="12" w:space="0"/>
              <w:right w:val="single" w:color="auto" w:sz="8" w:space="0"/>
            </w:tcBorders>
            <w:vAlign w:val="center"/>
          </w:tcPr>
          <w:p>
            <w:pPr>
              <w:adjustRightInd w:val="0"/>
              <w:snapToGrid w:val="0"/>
              <w:jc w:val="center"/>
              <w:rPr>
                <w:rFonts w:ascii="黑体" w:hAnsi="黑体" w:eastAsia="黑体" w:cs="黑体"/>
                <w:color w:val="auto"/>
                <w:sz w:val="18"/>
                <w:szCs w:val="18"/>
              </w:rPr>
            </w:pPr>
            <w:r>
              <w:rPr>
                <w:rFonts w:hint="eastAsia" w:cs="宋体"/>
                <w:i/>
                <w:iCs/>
                <w:color w:val="auto"/>
                <w:kern w:val="0"/>
                <w:sz w:val="18"/>
                <w:szCs w:val="18"/>
              </w:rPr>
              <w:t>R</w:t>
            </w:r>
            <w:r>
              <w:rPr>
                <w:rFonts w:hint="eastAsia"/>
                <w:color w:val="auto"/>
                <w:spacing w:val="6"/>
                <w:sz w:val="18"/>
                <w:szCs w:val="18"/>
                <w:vertAlign w:val="subscript"/>
              </w:rPr>
              <w:t xml:space="preserve"> </w:t>
            </w:r>
            <w:r>
              <w:rPr>
                <w:rFonts w:hint="eastAsia" w:cs="宋体"/>
                <w:color w:val="auto"/>
                <w:kern w:val="0"/>
                <w:sz w:val="18"/>
                <w:szCs w:val="18"/>
              </w:rPr>
              <w:t>/</w:t>
            </w:r>
            <w:r>
              <w:rPr>
                <w:color w:val="auto"/>
                <w:kern w:val="0"/>
                <w:sz w:val="18"/>
                <w:szCs w:val="18"/>
              </w:rPr>
              <w:t>%</w:t>
            </w:r>
          </w:p>
        </w:tc>
        <w:tc>
          <w:tcPr>
            <w:tcW w:w="702" w:type="pct"/>
            <w:tcBorders>
              <w:top w:val="single" w:color="auto" w:sz="4" w:space="0"/>
              <w:left w:val="single" w:color="auto" w:sz="8"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0.00003 </w:t>
            </w:r>
          </w:p>
        </w:tc>
        <w:tc>
          <w:tcPr>
            <w:tcW w:w="702"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0.00009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0.0009 </w:t>
            </w:r>
          </w:p>
        </w:tc>
        <w:tc>
          <w:tcPr>
            <w:tcW w:w="544" w:type="pct"/>
            <w:tcBorders>
              <w:top w:val="single" w:color="auto" w:sz="4" w:space="0"/>
              <w:bottom w:val="single" w:color="auto" w:sz="12" w:space="0"/>
              <w:right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bl>
    <w:p>
      <w:pPr>
        <w:pStyle w:val="76"/>
        <w:numPr>
          <w:ilvl w:val="0"/>
          <w:numId w:val="1"/>
        </w:numPr>
        <w:tabs>
          <w:tab w:val="left" w:pos="420"/>
        </w:tabs>
        <w:snapToGrid w:val="0"/>
        <w:spacing w:before="312" w:beforeLines="100" w:after="312" w:afterLines="100" w:line="360" w:lineRule="atLeast"/>
        <w:ind w:firstLineChars="0"/>
        <w:outlineLvl w:val="1"/>
        <w:rPr>
          <w:rFonts w:ascii="黑体" w:hAnsi="黑体" w:eastAsia="黑体"/>
          <w:color w:val="auto"/>
          <w:szCs w:val="21"/>
        </w:rPr>
      </w:pPr>
      <w:r>
        <w:rPr>
          <w:rFonts w:hint="eastAsia" w:ascii="黑体" w:hAnsi="黑体" w:eastAsia="黑体"/>
          <w:color w:val="auto"/>
          <w:szCs w:val="21"/>
        </w:rPr>
        <w:t xml:space="preserve">  试验报告</w:t>
      </w:r>
    </w:p>
    <w:p>
      <w:pPr>
        <w:adjustRightInd w:val="0"/>
        <w:snapToGrid w:val="0"/>
        <w:spacing w:line="360" w:lineRule="exact"/>
        <w:ind w:firstLine="420"/>
        <w:rPr>
          <w:color w:val="auto"/>
          <w:szCs w:val="21"/>
        </w:rPr>
      </w:pPr>
      <w:r>
        <w:rPr>
          <w:color w:val="auto"/>
          <w:szCs w:val="21"/>
        </w:rPr>
        <w:t>试验报告至少应给出以下几个方面的内容：</w:t>
      </w:r>
    </w:p>
    <w:p>
      <w:pPr>
        <w:pStyle w:val="32"/>
        <w:adjustRightInd w:val="0"/>
        <w:snapToGrid w:val="0"/>
        <w:spacing w:line="360" w:lineRule="exact"/>
        <w:ind w:left="420" w:firstLine="0" w:firstLineChars="0"/>
        <w:rPr>
          <w:rFonts w:ascii="Times New Roman" w:hAnsi="Times New Roman" w:cs="Times New Roman"/>
          <w:color w:val="auto"/>
          <w:szCs w:val="21"/>
        </w:rPr>
      </w:pPr>
      <w:r>
        <w:rPr>
          <w:rFonts w:ascii="Times New Roman" w:hAnsi="Times New Roman" w:cs="Times New Roman"/>
          <w:color w:val="auto"/>
          <w:szCs w:val="21"/>
        </w:rPr>
        <w:t>——试验对象；</w:t>
      </w:r>
    </w:p>
    <w:p>
      <w:pPr>
        <w:pStyle w:val="32"/>
        <w:adjustRightInd w:val="0"/>
        <w:snapToGrid w:val="0"/>
        <w:spacing w:line="360" w:lineRule="exact"/>
        <w:ind w:left="420" w:firstLine="0" w:firstLineChars="0"/>
        <w:rPr>
          <w:rFonts w:ascii="Times New Roman" w:hAnsi="Times New Roman" w:cs="Times New Roman"/>
          <w:color w:val="auto"/>
          <w:szCs w:val="21"/>
        </w:rPr>
      </w:pPr>
      <w:r>
        <w:rPr>
          <w:rFonts w:ascii="Times New Roman" w:hAnsi="Times New Roman" w:cs="Times New Roman"/>
          <w:color w:val="auto"/>
          <w:szCs w:val="21"/>
        </w:rPr>
        <w:t>——本文件编号；</w:t>
      </w:r>
    </w:p>
    <w:p>
      <w:pPr>
        <w:pStyle w:val="32"/>
        <w:adjustRightInd w:val="0"/>
        <w:snapToGrid w:val="0"/>
        <w:spacing w:line="360" w:lineRule="exact"/>
        <w:ind w:left="420" w:firstLine="0" w:firstLineChars="0"/>
        <w:rPr>
          <w:rFonts w:ascii="Times New Roman" w:hAnsi="Times New Roman" w:cs="Times New Roman"/>
          <w:color w:val="auto"/>
          <w:szCs w:val="21"/>
        </w:rPr>
      </w:pPr>
      <w:r>
        <w:rPr>
          <w:rFonts w:ascii="Times New Roman" w:hAnsi="Times New Roman" w:cs="Times New Roman"/>
          <w:color w:val="auto"/>
          <w:szCs w:val="21"/>
        </w:rPr>
        <w:t>——分析结果及其表示；</w:t>
      </w:r>
    </w:p>
    <w:p>
      <w:pPr>
        <w:adjustRightInd w:val="0"/>
        <w:snapToGrid w:val="0"/>
        <w:spacing w:line="360" w:lineRule="exact"/>
        <w:ind w:firstLine="396" w:firstLineChars="189"/>
        <w:rPr>
          <w:color w:val="auto"/>
          <w:szCs w:val="21"/>
        </w:rPr>
      </w:pPr>
      <w:r>
        <w:rPr>
          <w:color w:val="auto"/>
          <w:szCs w:val="21"/>
        </w:rPr>
        <w:t>——</w:t>
      </w:r>
      <w:r>
        <w:rPr>
          <w:color w:val="auto"/>
        </w:rPr>
        <w:t>与基本分析步骤的差异；</w:t>
      </w:r>
    </w:p>
    <w:p>
      <w:pPr>
        <w:pStyle w:val="32"/>
        <w:adjustRightInd w:val="0"/>
        <w:snapToGrid w:val="0"/>
        <w:spacing w:line="360" w:lineRule="exact"/>
        <w:ind w:left="420" w:firstLine="0" w:firstLineChars="0"/>
        <w:rPr>
          <w:rFonts w:ascii="Times New Roman" w:hAnsi="Times New Roman" w:cs="Times New Roman"/>
          <w:color w:val="auto"/>
          <w:szCs w:val="21"/>
        </w:rPr>
      </w:pPr>
      <w:r>
        <w:rPr>
          <w:rFonts w:ascii="Times New Roman" w:hAnsi="Times New Roman" w:cs="Times New Roman"/>
          <w:color w:val="auto"/>
          <w:szCs w:val="21"/>
        </w:rPr>
        <w:t>——观测到的异常现象；</w:t>
      </w:r>
    </w:p>
    <w:p>
      <w:pPr>
        <w:adjustRightInd w:val="0"/>
        <w:snapToGrid w:val="0"/>
        <w:spacing w:line="360" w:lineRule="exact"/>
        <w:ind w:firstLine="420" w:firstLineChars="200"/>
        <w:rPr>
          <w:color w:val="auto"/>
          <w:spacing w:val="6"/>
        </w:rPr>
      </w:pPr>
      <w:r>
        <w:rPr>
          <w:color w:val="auto"/>
          <w:szCs w:val="21"/>
        </w:rPr>
        <w:t>——试验日期。</w:t>
      </w:r>
      <w:r>
        <w:rPr>
          <w:color w:val="auto"/>
          <w:spacing w:val="6"/>
        </w:rPr>
        <w:tab/>
      </w:r>
    </w:p>
    <w:p>
      <w:pPr>
        <w:adjustRightInd w:val="0"/>
        <w:snapToGrid w:val="0"/>
        <w:spacing w:line="360" w:lineRule="exact"/>
        <w:ind w:firstLine="444" w:firstLineChars="200"/>
        <w:rPr>
          <w:color w:val="auto"/>
          <w:spacing w:val="6"/>
        </w:rPr>
      </w:pPr>
    </w:p>
    <w:p>
      <w:pPr>
        <w:rPr>
          <w:color w:val="auto"/>
          <w:spacing w:val="6"/>
        </w:rPr>
      </w:pPr>
      <w:r>
        <w:rPr>
          <w:color w:val="auto"/>
          <w:spacing w:val="6"/>
        </w:rPr>
        <w:br w:type="page"/>
      </w:r>
    </w:p>
    <w:p>
      <w:pPr>
        <w:pageBreakBefore/>
        <w:adjustRightInd w:val="0"/>
        <w:snapToGrid w:val="0"/>
        <w:spacing w:before="567"/>
        <w:jc w:val="center"/>
        <w:rPr>
          <w:rFonts w:ascii="黑体" w:hAnsi="黑体" w:eastAsia="黑体"/>
          <w:color w:val="auto"/>
          <w:szCs w:val="21"/>
        </w:rPr>
      </w:pPr>
      <w:bookmarkStart w:id="53" w:name="OLE_LINK8"/>
      <w:r>
        <w:rPr>
          <w:rFonts w:hint="eastAsia" w:ascii="黑体" w:hAnsi="黑体" w:eastAsia="黑体"/>
          <w:color w:val="auto"/>
          <w:szCs w:val="21"/>
        </w:rPr>
        <w:t>附</w:t>
      </w:r>
      <w:r>
        <w:rPr>
          <w:rFonts w:ascii="黑体" w:hAnsi="黑体" w:eastAsia="黑体"/>
          <w:color w:val="auto"/>
          <w:szCs w:val="21"/>
        </w:rPr>
        <w:t xml:space="preserve"> </w:t>
      </w:r>
      <w:r>
        <w:rPr>
          <w:rFonts w:hint="eastAsia" w:ascii="黑体" w:hAnsi="黑体" w:eastAsia="黑体"/>
          <w:color w:val="auto"/>
          <w:szCs w:val="21"/>
        </w:rPr>
        <w:t xml:space="preserve">录 </w:t>
      </w:r>
      <w:r>
        <w:rPr>
          <w:rFonts w:ascii="黑体" w:hAnsi="黑体" w:eastAsia="黑体"/>
          <w:color w:val="auto"/>
          <w:szCs w:val="21"/>
        </w:rPr>
        <w:t>A</w:t>
      </w:r>
    </w:p>
    <w:p>
      <w:pPr>
        <w:adjustRightInd w:val="0"/>
        <w:snapToGrid w:val="0"/>
        <w:jc w:val="center"/>
        <w:rPr>
          <w:rFonts w:ascii="黑体" w:hAnsi="黑体" w:eastAsia="黑体"/>
          <w:color w:val="auto"/>
        </w:rPr>
      </w:pPr>
      <w:r>
        <w:rPr>
          <w:rFonts w:hint="eastAsia" w:ascii="黑体" w:hAnsi="黑体" w:eastAsia="黑体"/>
          <w:color w:val="auto"/>
        </w:rPr>
        <w:t>（资料性）</w:t>
      </w:r>
    </w:p>
    <w:p>
      <w:pPr>
        <w:adjustRightInd w:val="0"/>
        <w:snapToGrid w:val="0"/>
        <w:jc w:val="center"/>
        <w:rPr>
          <w:rFonts w:ascii="黑体" w:hAnsi="黑体" w:eastAsia="黑体"/>
          <w:color w:val="auto"/>
        </w:rPr>
      </w:pPr>
      <w:r>
        <w:rPr>
          <w:rFonts w:hint="eastAsia" w:ascii="黑体" w:hAnsi="黑体" w:eastAsia="黑体"/>
          <w:color w:val="auto"/>
        </w:rPr>
        <w:t>镍基合金粉常见质谱干扰</w:t>
      </w:r>
    </w:p>
    <w:p>
      <w:pPr>
        <w:adjustRightInd w:val="0"/>
        <w:snapToGrid w:val="0"/>
        <w:spacing w:before="284" w:line="360" w:lineRule="exact"/>
        <w:ind w:firstLine="420" w:firstLineChars="200"/>
        <w:rPr>
          <w:color w:val="auto"/>
        </w:rPr>
      </w:pPr>
      <w:r>
        <w:rPr>
          <w:rFonts w:hint="eastAsia"/>
          <w:color w:val="auto"/>
        </w:rPr>
        <w:t>镍基合金粉是以镍为主要元素，并含有一定量的铁、铬、钴、钨、钼、钛、铌等元素的合金粉末</w:t>
      </w:r>
      <w:r>
        <w:rPr>
          <w:color w:val="auto"/>
        </w:rPr>
        <w:t>。</w:t>
      </w:r>
      <w:r>
        <w:rPr>
          <w:rFonts w:ascii="宋体" w:hAnsi="宋体"/>
          <w:color w:val="auto"/>
        </w:rPr>
        <w:t>表</w:t>
      </w:r>
      <w:r>
        <w:rPr>
          <w:color w:val="auto"/>
        </w:rPr>
        <w:t>A.1</w:t>
      </w:r>
      <w:r>
        <w:rPr>
          <w:rFonts w:hint="eastAsia"/>
          <w:color w:val="auto"/>
        </w:rPr>
        <w:t>给出了采用电感耦合等离子体质谱法测定</w:t>
      </w:r>
      <w:r>
        <w:rPr>
          <w:rFonts w:hint="eastAsia"/>
          <w:color w:val="auto"/>
          <w:lang w:val="en-US" w:eastAsia="zh-CN"/>
        </w:rPr>
        <w:t>镍基合金粉中</w:t>
      </w:r>
      <w:r>
        <w:rPr>
          <w:rFonts w:hint="eastAsia"/>
          <w:color w:val="auto"/>
          <w:spacing w:val="6"/>
        </w:rPr>
        <w:t>痕量杂质元素含量时常见的质谱干扰。</w:t>
      </w:r>
    </w:p>
    <w:p>
      <w:pPr>
        <w:adjustRightInd w:val="0"/>
        <w:snapToGrid w:val="0"/>
        <w:spacing w:before="156" w:beforeLines="50" w:after="156" w:afterLines="50"/>
        <w:jc w:val="center"/>
        <w:rPr>
          <w:rFonts w:ascii="黑体" w:hAnsi="黑体" w:eastAsia="黑体"/>
          <w:color w:val="auto"/>
        </w:rPr>
      </w:pPr>
      <w:bookmarkStart w:id="54" w:name="OLE_LINK15"/>
      <w:r>
        <w:rPr>
          <w:rFonts w:hint="eastAsia" w:ascii="黑体" w:hAnsi="黑体" w:eastAsia="黑体"/>
          <w:color w:val="auto"/>
        </w:rPr>
        <w:t>表A.1  常见质谱干扰</w:t>
      </w:r>
      <w:bookmarkEnd w:id="54"/>
    </w:p>
    <w:bookmarkEnd w:id="53"/>
    <w:tbl>
      <w:tblPr>
        <w:tblStyle w:val="18"/>
        <w:tblW w:w="5124"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1616"/>
        <w:gridCol w:w="3188"/>
        <w:gridCol w:w="1655"/>
        <w:gridCol w:w="3158"/>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PrEx>
        <w:trPr>
          <w:trHeight w:val="346" w:hRule="atLeast"/>
          <w:tblHeader/>
          <w:jc w:val="center"/>
        </w:trPr>
        <w:tc>
          <w:tcPr>
            <w:tcW w:w="840" w:type="pct"/>
            <w:tcBorders>
              <w:bottom w:val="single" w:color="000000" w:sz="12" w:space="0"/>
              <w:right w:val="single" w:color="000000" w:sz="6" w:space="0"/>
            </w:tcBorders>
            <w:vAlign w:val="center"/>
          </w:tcPr>
          <w:p>
            <w:pPr>
              <w:widowControl/>
              <w:jc w:val="center"/>
              <w:rPr>
                <w:color w:val="auto"/>
                <w:kern w:val="0"/>
                <w:sz w:val="18"/>
                <w:szCs w:val="18"/>
              </w:rPr>
            </w:pPr>
            <w:r>
              <w:rPr>
                <w:rFonts w:hint="eastAsia"/>
                <w:color w:val="auto"/>
                <w:kern w:val="0"/>
                <w:sz w:val="18"/>
                <w:szCs w:val="18"/>
              </w:rPr>
              <w:t>同位素</w:t>
            </w:r>
          </w:p>
        </w:tc>
        <w:tc>
          <w:tcPr>
            <w:tcW w:w="1657" w:type="pct"/>
            <w:tcBorders>
              <w:left w:val="single" w:color="000000" w:sz="6" w:space="0"/>
              <w:bottom w:val="single" w:color="000000" w:sz="12" w:space="0"/>
              <w:right w:val="double" w:color="000000" w:sz="6" w:space="0"/>
            </w:tcBorders>
            <w:vAlign w:val="center"/>
          </w:tcPr>
          <w:p>
            <w:pPr>
              <w:widowControl/>
              <w:jc w:val="center"/>
              <w:rPr>
                <w:color w:val="auto"/>
                <w:kern w:val="0"/>
                <w:sz w:val="18"/>
                <w:szCs w:val="18"/>
              </w:rPr>
            </w:pPr>
            <w:r>
              <w:rPr>
                <w:rFonts w:hint="eastAsia"/>
                <w:color w:val="auto"/>
                <w:sz w:val="18"/>
                <w:szCs w:val="18"/>
              </w:rPr>
              <w:t>干扰</w:t>
            </w:r>
          </w:p>
        </w:tc>
        <w:tc>
          <w:tcPr>
            <w:tcW w:w="860" w:type="pct"/>
            <w:tcBorders>
              <w:left w:val="double" w:color="000000" w:sz="6" w:space="0"/>
              <w:bottom w:val="single" w:color="000000" w:sz="12" w:space="0"/>
              <w:right w:val="single" w:color="000000" w:sz="6" w:space="0"/>
            </w:tcBorders>
            <w:vAlign w:val="center"/>
          </w:tcPr>
          <w:p>
            <w:pPr>
              <w:widowControl/>
              <w:jc w:val="center"/>
              <w:rPr>
                <w:color w:val="auto"/>
                <w:kern w:val="0"/>
                <w:sz w:val="18"/>
                <w:szCs w:val="18"/>
              </w:rPr>
            </w:pPr>
            <w:r>
              <w:rPr>
                <w:rFonts w:hint="eastAsia"/>
                <w:color w:val="auto"/>
                <w:kern w:val="0"/>
                <w:sz w:val="18"/>
                <w:szCs w:val="18"/>
              </w:rPr>
              <w:t>同位素</w:t>
            </w:r>
          </w:p>
        </w:tc>
        <w:tc>
          <w:tcPr>
            <w:tcW w:w="1641" w:type="pct"/>
            <w:tcBorders>
              <w:left w:val="single" w:color="000000" w:sz="6" w:space="0"/>
              <w:bottom w:val="single" w:color="000000" w:sz="12" w:space="0"/>
            </w:tcBorders>
            <w:vAlign w:val="center"/>
          </w:tcPr>
          <w:p>
            <w:pPr>
              <w:widowControl/>
              <w:jc w:val="center"/>
              <w:rPr>
                <w:color w:val="auto"/>
                <w:kern w:val="0"/>
                <w:sz w:val="18"/>
                <w:szCs w:val="18"/>
              </w:rPr>
            </w:pPr>
            <w:r>
              <w:rPr>
                <w:rFonts w:hint="eastAsia"/>
                <w:color w:val="auto"/>
                <w:sz w:val="18"/>
                <w:szCs w:val="18"/>
              </w:rPr>
              <w:t>干扰</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840" w:type="pct"/>
            <w:tcBorders>
              <w:top w:val="single" w:color="000000" w:sz="12" w:space="0"/>
              <w:bottom w:val="single" w:color="000000" w:sz="6" w:space="0"/>
              <w:right w:val="single" w:color="000000" w:sz="6" w:space="0"/>
            </w:tcBorders>
            <w:shd w:val="clear" w:color="auto" w:fill="auto"/>
          </w:tcPr>
          <w:p>
            <w:pPr>
              <w:jc w:val="center"/>
              <w:rPr>
                <w:color w:val="auto"/>
                <w:sz w:val="18"/>
                <w:szCs w:val="18"/>
              </w:rPr>
            </w:pPr>
            <w:r>
              <w:rPr>
                <w:bCs/>
                <w:color w:val="auto"/>
                <w:sz w:val="18"/>
                <w:szCs w:val="18"/>
                <w:vertAlign w:val="superscript"/>
              </w:rPr>
              <w:t>24</w:t>
            </w:r>
            <w:r>
              <w:rPr>
                <w:bCs/>
                <w:color w:val="auto"/>
                <w:sz w:val="18"/>
                <w:szCs w:val="18"/>
              </w:rPr>
              <w:t>Mg</w:t>
            </w:r>
          </w:p>
        </w:tc>
        <w:tc>
          <w:tcPr>
            <w:tcW w:w="1657" w:type="pct"/>
            <w:tcBorders>
              <w:top w:val="single" w:color="000000" w:sz="12" w:space="0"/>
              <w:left w:val="single" w:color="000000" w:sz="6"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vertAlign w:val="superscript"/>
                <w:lang w:bidi="ar"/>
              </w:rPr>
              <w:t>48</w:t>
            </w:r>
            <w:r>
              <w:rPr>
                <w:color w:val="auto"/>
                <w:kern w:val="0"/>
                <w:sz w:val="18"/>
                <w:szCs w:val="18"/>
                <w:lang w:bidi="ar"/>
              </w:rPr>
              <w:t>Ti</w:t>
            </w:r>
            <w:r>
              <w:rPr>
                <w:color w:val="auto"/>
                <w:kern w:val="0"/>
                <w:sz w:val="18"/>
                <w:szCs w:val="18"/>
                <w:vertAlign w:val="superscript"/>
                <w:lang w:bidi="ar"/>
              </w:rPr>
              <w:t>2+</w:t>
            </w:r>
          </w:p>
        </w:tc>
        <w:tc>
          <w:tcPr>
            <w:tcW w:w="860" w:type="pct"/>
            <w:tcBorders>
              <w:top w:val="single" w:color="000000" w:sz="12" w:space="0"/>
              <w:left w:val="double" w:color="000000" w:sz="6" w:space="0"/>
              <w:bottom w:val="single" w:color="000000" w:sz="4" w:space="0"/>
              <w:right w:val="single" w:color="000000" w:sz="4" w:space="0"/>
            </w:tcBorders>
            <w:shd w:val="clear" w:color="auto" w:fill="auto"/>
            <w:vAlign w:val="center"/>
          </w:tcPr>
          <w:p>
            <w:pPr>
              <w:jc w:val="center"/>
              <w:rPr>
                <w:color w:val="auto"/>
                <w:sz w:val="18"/>
                <w:szCs w:val="18"/>
              </w:rPr>
            </w:pPr>
            <w:r>
              <w:rPr>
                <w:bCs/>
                <w:color w:val="auto"/>
                <w:sz w:val="18"/>
                <w:szCs w:val="18"/>
                <w:vertAlign w:val="superscript"/>
              </w:rPr>
              <w:t>111</w:t>
            </w:r>
            <w:r>
              <w:rPr>
                <w:bCs/>
                <w:color w:val="auto"/>
                <w:sz w:val="18"/>
                <w:szCs w:val="18"/>
              </w:rPr>
              <w:t>Cd</w:t>
            </w:r>
          </w:p>
        </w:tc>
        <w:tc>
          <w:tcPr>
            <w:tcW w:w="1641" w:type="pct"/>
            <w:tcBorders>
              <w:top w:val="single" w:color="000000" w:sz="12" w:space="0"/>
              <w:left w:val="single" w:color="000000" w:sz="4" w:space="0"/>
              <w:bottom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vertAlign w:val="superscript"/>
                <w:lang w:bidi="ar"/>
              </w:rPr>
              <w:t>95</w:t>
            </w:r>
            <w:r>
              <w:rPr>
                <w:color w:val="auto"/>
                <w:kern w:val="0"/>
                <w:sz w:val="18"/>
                <w:szCs w:val="18"/>
                <w:lang w:bidi="ar"/>
              </w:rPr>
              <w:t>Mo</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93</w:t>
            </w:r>
            <w:r>
              <w:rPr>
                <w:color w:val="auto"/>
                <w:kern w:val="0"/>
                <w:sz w:val="18"/>
                <w:szCs w:val="18"/>
                <w:lang w:bidi="ar"/>
              </w:rPr>
              <w:t>Nb</w:t>
            </w:r>
            <w:r>
              <w:rPr>
                <w:color w:val="auto"/>
                <w:kern w:val="0"/>
                <w:sz w:val="18"/>
                <w:szCs w:val="18"/>
                <w:vertAlign w:val="superscript"/>
                <w:lang w:bidi="ar"/>
              </w:rPr>
              <w:t>18</w:t>
            </w:r>
            <w:r>
              <w:rPr>
                <w:color w:val="auto"/>
                <w:kern w:val="0"/>
                <w:sz w:val="18"/>
                <w:szCs w:val="18"/>
                <w:lang w:bidi="ar"/>
              </w:rPr>
              <w:t>O</w:t>
            </w:r>
            <w:r>
              <w:rPr>
                <w:color w:val="auto"/>
                <w:kern w:val="0"/>
                <w:sz w:val="18"/>
                <w:szCs w:val="18"/>
                <w:vertAlign w:val="superscript"/>
                <w:lang w:bidi="ar"/>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0" w:type="pct"/>
            <w:tcBorders>
              <w:top w:val="single" w:color="000000" w:sz="6" w:space="0"/>
              <w:bottom w:val="single" w:color="000000" w:sz="6" w:space="0"/>
              <w:right w:val="single" w:color="000000" w:sz="6" w:space="0"/>
            </w:tcBorders>
            <w:shd w:val="clear" w:color="auto" w:fill="auto"/>
            <w:vAlign w:val="center"/>
          </w:tcPr>
          <w:p>
            <w:pPr>
              <w:jc w:val="center"/>
              <w:rPr>
                <w:color w:val="auto"/>
                <w:sz w:val="18"/>
                <w:szCs w:val="18"/>
              </w:rPr>
            </w:pPr>
            <w:r>
              <w:rPr>
                <w:bCs/>
                <w:color w:val="auto"/>
                <w:sz w:val="18"/>
                <w:szCs w:val="18"/>
                <w:vertAlign w:val="superscript"/>
              </w:rPr>
              <w:t>66</w:t>
            </w:r>
            <w:r>
              <w:rPr>
                <w:bCs/>
                <w:color w:val="auto"/>
                <w:sz w:val="18"/>
                <w:szCs w:val="18"/>
              </w:rPr>
              <w:t>Zn</w:t>
            </w:r>
          </w:p>
        </w:tc>
        <w:tc>
          <w:tcPr>
            <w:tcW w:w="1657" w:type="pct"/>
            <w:tcBorders>
              <w:top w:val="single" w:color="000000" w:sz="4" w:space="0"/>
              <w:left w:val="single" w:color="000000" w:sz="6"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vertAlign w:val="superscript"/>
                <w:lang w:bidi="ar"/>
              </w:rPr>
              <w:t>50</w:t>
            </w:r>
            <w:r>
              <w:rPr>
                <w:color w:val="auto"/>
                <w:kern w:val="0"/>
                <w:sz w:val="18"/>
                <w:szCs w:val="18"/>
                <w:lang w:bidi="ar"/>
              </w:rPr>
              <w:t>Ti</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50</w:t>
            </w:r>
            <w:r>
              <w:rPr>
                <w:color w:val="auto"/>
                <w:kern w:val="0"/>
                <w:sz w:val="18"/>
                <w:szCs w:val="18"/>
                <w:lang w:bidi="ar"/>
              </w:rPr>
              <w:t>Cr</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p>
        </w:tc>
        <w:tc>
          <w:tcPr>
            <w:tcW w:w="860"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vertAlign w:val="superscript"/>
              </w:rPr>
              <w:t>125</w:t>
            </w:r>
            <w:r>
              <w:rPr>
                <w:bCs/>
                <w:color w:val="auto"/>
                <w:sz w:val="18"/>
                <w:szCs w:val="18"/>
              </w:rPr>
              <w:t>Te</w:t>
            </w:r>
          </w:p>
        </w:tc>
        <w:tc>
          <w:tcPr>
            <w:tcW w:w="1641"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rFonts w:eastAsia="等线"/>
                <w:color w:val="auto"/>
                <w:kern w:val="0"/>
                <w:sz w:val="18"/>
                <w:szCs w:val="18"/>
                <w:vertAlign w:val="superscript"/>
              </w:rPr>
              <w:t>93</w:t>
            </w:r>
            <w:r>
              <w:rPr>
                <w:rFonts w:eastAsia="等线"/>
                <w:color w:val="auto"/>
                <w:kern w:val="0"/>
                <w:sz w:val="18"/>
                <w:szCs w:val="18"/>
              </w:rPr>
              <w:t>Nb</w:t>
            </w:r>
            <w:r>
              <w:rPr>
                <w:rFonts w:eastAsia="等线"/>
                <w:color w:val="auto"/>
                <w:kern w:val="0"/>
                <w:sz w:val="18"/>
                <w:szCs w:val="18"/>
                <w:vertAlign w:val="superscript"/>
              </w:rPr>
              <w:t>16</w:t>
            </w:r>
            <w:r>
              <w:rPr>
                <w:rFonts w:eastAsia="等线"/>
                <w:color w:val="auto"/>
                <w:kern w:val="0"/>
                <w:sz w:val="18"/>
                <w:szCs w:val="18"/>
              </w:rPr>
              <w:t>O</w:t>
            </w:r>
            <w:r>
              <w:rPr>
                <w:rFonts w:eastAsia="等线"/>
                <w:color w:val="auto"/>
                <w:kern w:val="0"/>
                <w:sz w:val="18"/>
                <w:szCs w:val="18"/>
                <w:vertAlign w:val="superscript"/>
              </w:rPr>
              <w:t>16</w:t>
            </w:r>
            <w:r>
              <w:rPr>
                <w:rFonts w:eastAsia="等线"/>
                <w:color w:val="auto"/>
                <w:kern w:val="0"/>
                <w:sz w:val="18"/>
                <w:szCs w:val="18"/>
              </w:rPr>
              <w:t>O</w:t>
            </w:r>
            <w:r>
              <w:rPr>
                <w:rFonts w:eastAsia="等线"/>
                <w:color w:val="auto"/>
                <w:kern w:val="0"/>
                <w:sz w:val="18"/>
                <w:szCs w:val="18"/>
                <w:vertAlign w:val="superscript"/>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0" w:type="pct"/>
            <w:tcBorders>
              <w:top w:val="single" w:color="000000" w:sz="6" w:space="0"/>
              <w:bottom w:val="single" w:color="000000" w:sz="6" w:space="0"/>
              <w:right w:val="single" w:color="000000" w:sz="6" w:space="0"/>
            </w:tcBorders>
            <w:shd w:val="clear" w:color="auto" w:fill="auto"/>
            <w:vAlign w:val="center"/>
          </w:tcPr>
          <w:p>
            <w:pPr>
              <w:jc w:val="center"/>
              <w:rPr>
                <w:color w:val="auto"/>
                <w:sz w:val="18"/>
                <w:szCs w:val="18"/>
              </w:rPr>
            </w:pPr>
            <w:r>
              <w:rPr>
                <w:rFonts w:hint="eastAsia"/>
                <w:bCs/>
                <w:color w:val="auto"/>
                <w:sz w:val="18"/>
                <w:szCs w:val="18"/>
                <w:vertAlign w:val="superscript"/>
              </w:rPr>
              <w:t>71</w:t>
            </w:r>
            <w:r>
              <w:rPr>
                <w:bCs/>
                <w:color w:val="auto"/>
                <w:sz w:val="18"/>
                <w:szCs w:val="18"/>
              </w:rPr>
              <w:t>Ga</w:t>
            </w:r>
          </w:p>
        </w:tc>
        <w:tc>
          <w:tcPr>
            <w:tcW w:w="1657" w:type="pct"/>
            <w:tcBorders>
              <w:top w:val="single" w:color="000000" w:sz="4" w:space="0"/>
              <w:left w:val="single" w:color="000000" w:sz="6"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vertAlign w:val="superscript"/>
                <w:lang w:bidi="ar"/>
              </w:rPr>
              <w:t>53</w:t>
            </w:r>
            <w:r>
              <w:rPr>
                <w:color w:val="auto"/>
                <w:kern w:val="0"/>
                <w:sz w:val="18"/>
                <w:szCs w:val="18"/>
                <w:lang w:bidi="ar"/>
              </w:rPr>
              <w:t>Cr</w:t>
            </w:r>
            <w:r>
              <w:rPr>
                <w:rFonts w:hint="eastAsia"/>
                <w:color w:val="auto"/>
                <w:kern w:val="0"/>
                <w:sz w:val="18"/>
                <w:szCs w:val="18"/>
                <w:vertAlign w:val="superscript"/>
                <w:lang w:bidi="ar"/>
              </w:rPr>
              <w:t>1</w:t>
            </w:r>
            <w:r>
              <w:rPr>
                <w:color w:val="auto"/>
                <w:kern w:val="0"/>
                <w:sz w:val="18"/>
                <w:szCs w:val="18"/>
                <w:vertAlign w:val="superscript"/>
                <w:lang w:bidi="ar"/>
              </w:rPr>
              <w:t>8</w:t>
            </w:r>
            <w:r>
              <w:rPr>
                <w:rFonts w:hint="eastAsia"/>
                <w:color w:val="auto"/>
                <w:kern w:val="0"/>
                <w:sz w:val="18"/>
                <w:szCs w:val="18"/>
                <w:lang w:bidi="ar"/>
              </w:rPr>
              <w:t>O</w:t>
            </w:r>
            <w:r>
              <w:rPr>
                <w:rFonts w:hint="eastAsia"/>
                <w:color w:val="auto"/>
                <w:kern w:val="0"/>
                <w:sz w:val="18"/>
                <w:szCs w:val="18"/>
                <w:vertAlign w:val="superscript"/>
                <w:lang w:bidi="ar"/>
              </w:rPr>
              <w:t>+</w:t>
            </w:r>
            <w:r>
              <w:rPr>
                <w:rFonts w:hint="eastAsia"/>
                <w:color w:val="auto"/>
                <w:kern w:val="0"/>
                <w:sz w:val="18"/>
                <w:szCs w:val="18"/>
                <w:lang w:bidi="ar"/>
              </w:rPr>
              <w:t>、</w:t>
            </w:r>
            <w:r>
              <w:rPr>
                <w:color w:val="auto"/>
                <w:kern w:val="0"/>
                <w:sz w:val="18"/>
                <w:szCs w:val="18"/>
                <w:vertAlign w:val="superscript"/>
                <w:lang w:bidi="ar"/>
              </w:rPr>
              <w:t>35</w:t>
            </w:r>
            <w:r>
              <w:rPr>
                <w:color w:val="auto"/>
                <w:kern w:val="0"/>
                <w:sz w:val="18"/>
                <w:szCs w:val="18"/>
                <w:lang w:bidi="ar"/>
              </w:rPr>
              <w:t>Cl</w:t>
            </w:r>
            <w:r>
              <w:rPr>
                <w:color w:val="auto"/>
                <w:kern w:val="0"/>
                <w:sz w:val="18"/>
                <w:szCs w:val="18"/>
                <w:vertAlign w:val="superscript"/>
                <w:lang w:bidi="ar"/>
              </w:rPr>
              <w:t>36</w:t>
            </w:r>
            <w:r>
              <w:rPr>
                <w:color w:val="auto"/>
                <w:kern w:val="0"/>
                <w:sz w:val="18"/>
                <w:szCs w:val="18"/>
                <w:lang w:bidi="ar"/>
              </w:rPr>
              <w:t>Ar</w:t>
            </w:r>
            <w:r>
              <w:rPr>
                <w:color w:val="auto"/>
                <w:kern w:val="0"/>
                <w:sz w:val="18"/>
                <w:szCs w:val="18"/>
                <w:vertAlign w:val="superscript"/>
                <w:lang w:bidi="ar"/>
              </w:rPr>
              <w:t>+</w:t>
            </w:r>
            <w:r>
              <w:rPr>
                <w:rFonts w:hint="eastAsia"/>
                <w:color w:val="auto"/>
                <w:kern w:val="0"/>
                <w:sz w:val="18"/>
                <w:szCs w:val="18"/>
                <w:lang w:bidi="ar"/>
              </w:rPr>
              <w:t>、</w:t>
            </w:r>
            <w:r>
              <w:rPr>
                <w:color w:val="auto"/>
                <w:kern w:val="0"/>
                <w:sz w:val="18"/>
                <w:szCs w:val="18"/>
                <w:vertAlign w:val="superscript"/>
                <w:lang w:bidi="ar"/>
              </w:rPr>
              <w:t>53</w:t>
            </w:r>
            <w:r>
              <w:rPr>
                <w:color w:val="auto"/>
                <w:kern w:val="0"/>
                <w:sz w:val="18"/>
                <w:szCs w:val="18"/>
                <w:lang w:bidi="ar"/>
              </w:rPr>
              <w:t>Cr</w:t>
            </w:r>
            <w:r>
              <w:rPr>
                <w:rFonts w:hint="eastAsia"/>
                <w:color w:val="auto"/>
                <w:kern w:val="0"/>
                <w:sz w:val="18"/>
                <w:szCs w:val="18"/>
                <w:vertAlign w:val="superscript"/>
                <w:lang w:bidi="ar"/>
              </w:rPr>
              <w:t>1</w:t>
            </w:r>
            <w:r>
              <w:rPr>
                <w:color w:val="auto"/>
                <w:kern w:val="0"/>
                <w:sz w:val="18"/>
                <w:szCs w:val="18"/>
                <w:vertAlign w:val="superscript"/>
                <w:lang w:bidi="ar"/>
              </w:rPr>
              <w:t>8</w:t>
            </w:r>
            <w:r>
              <w:rPr>
                <w:rFonts w:hint="eastAsia"/>
                <w:color w:val="auto"/>
                <w:kern w:val="0"/>
                <w:sz w:val="18"/>
                <w:szCs w:val="18"/>
                <w:lang w:bidi="ar"/>
              </w:rPr>
              <w:t>O</w:t>
            </w:r>
            <w:r>
              <w:rPr>
                <w:rFonts w:hint="eastAsia"/>
                <w:color w:val="auto"/>
                <w:kern w:val="0"/>
                <w:sz w:val="18"/>
                <w:szCs w:val="18"/>
                <w:vertAlign w:val="superscript"/>
                <w:lang w:bidi="ar"/>
              </w:rPr>
              <w:t>+</w:t>
            </w:r>
          </w:p>
        </w:tc>
        <w:tc>
          <w:tcPr>
            <w:tcW w:w="860"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vertAlign w:val="superscript"/>
              </w:rPr>
              <w:t>128</w:t>
            </w:r>
            <w:r>
              <w:rPr>
                <w:bCs/>
                <w:color w:val="auto"/>
                <w:sz w:val="18"/>
                <w:szCs w:val="18"/>
              </w:rPr>
              <w:t>Te</w:t>
            </w:r>
          </w:p>
        </w:tc>
        <w:tc>
          <w:tcPr>
            <w:tcW w:w="1641"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vertAlign w:val="superscript"/>
                <w:lang w:bidi="ar"/>
              </w:rPr>
              <w:t>92</w:t>
            </w:r>
            <w:r>
              <w:rPr>
                <w:color w:val="auto"/>
                <w:kern w:val="0"/>
                <w:sz w:val="18"/>
                <w:szCs w:val="18"/>
                <w:lang w:bidi="ar"/>
              </w:rPr>
              <w:t>Mo</w:t>
            </w:r>
            <w:r>
              <w:rPr>
                <w:color w:val="auto"/>
                <w:kern w:val="0"/>
                <w:sz w:val="18"/>
                <w:szCs w:val="18"/>
                <w:vertAlign w:val="superscript"/>
                <w:lang w:bidi="ar"/>
              </w:rPr>
              <w:t>36</w:t>
            </w:r>
            <w:r>
              <w:rPr>
                <w:color w:val="auto"/>
                <w:kern w:val="0"/>
                <w:sz w:val="18"/>
                <w:szCs w:val="18"/>
                <w:lang w:bidi="ar"/>
              </w:rPr>
              <w:t>Ar</w:t>
            </w:r>
            <w:r>
              <w:rPr>
                <w:color w:val="auto"/>
                <w:kern w:val="0"/>
                <w:sz w:val="18"/>
                <w:szCs w:val="18"/>
                <w:vertAlign w:val="superscript"/>
                <w:lang w:bidi="ar"/>
              </w:rPr>
              <w:t>+</w:t>
            </w:r>
            <w:r>
              <w:rPr>
                <w:color w:val="auto"/>
                <w:kern w:val="0"/>
                <w:sz w:val="18"/>
                <w:szCs w:val="18"/>
                <w:lang w:bidi="ar"/>
              </w:rPr>
              <w:t>、</w:t>
            </w:r>
            <w:r>
              <w:rPr>
                <w:rFonts w:eastAsia="等线"/>
                <w:color w:val="auto"/>
                <w:kern w:val="0"/>
                <w:sz w:val="18"/>
                <w:szCs w:val="18"/>
                <w:vertAlign w:val="superscript"/>
              </w:rPr>
              <w:t>96</w:t>
            </w:r>
            <w:r>
              <w:rPr>
                <w:rFonts w:eastAsia="等线"/>
                <w:color w:val="auto"/>
                <w:kern w:val="0"/>
                <w:sz w:val="18"/>
                <w:szCs w:val="18"/>
              </w:rPr>
              <w:t>Mo</w:t>
            </w:r>
            <w:r>
              <w:rPr>
                <w:rFonts w:eastAsia="等线"/>
                <w:color w:val="auto"/>
                <w:kern w:val="0"/>
                <w:sz w:val="18"/>
                <w:szCs w:val="18"/>
                <w:vertAlign w:val="superscript"/>
              </w:rPr>
              <w:t>16</w:t>
            </w:r>
            <w:r>
              <w:rPr>
                <w:rFonts w:eastAsia="等线"/>
                <w:color w:val="auto"/>
                <w:kern w:val="0"/>
                <w:sz w:val="18"/>
                <w:szCs w:val="18"/>
              </w:rPr>
              <w:t>O</w:t>
            </w:r>
            <w:r>
              <w:rPr>
                <w:rFonts w:eastAsia="等线"/>
                <w:color w:val="auto"/>
                <w:kern w:val="0"/>
                <w:sz w:val="18"/>
                <w:szCs w:val="18"/>
                <w:vertAlign w:val="superscript"/>
              </w:rPr>
              <w:t>16</w:t>
            </w:r>
            <w:r>
              <w:rPr>
                <w:rFonts w:eastAsia="等线"/>
                <w:color w:val="auto"/>
                <w:kern w:val="0"/>
                <w:sz w:val="18"/>
                <w:szCs w:val="18"/>
              </w:rPr>
              <w:t>O</w:t>
            </w:r>
            <w:r>
              <w:rPr>
                <w:rFonts w:eastAsia="等线"/>
                <w:color w:val="auto"/>
                <w:kern w:val="0"/>
                <w:sz w:val="18"/>
                <w:szCs w:val="18"/>
                <w:vertAlign w:val="superscript"/>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0" w:type="pct"/>
            <w:tcBorders>
              <w:top w:val="single" w:color="000000" w:sz="6" w:space="0"/>
              <w:bottom w:val="single" w:color="000000" w:sz="6" w:space="0"/>
              <w:right w:val="single" w:color="000000" w:sz="6" w:space="0"/>
            </w:tcBorders>
            <w:shd w:val="clear" w:color="auto" w:fill="auto"/>
            <w:vAlign w:val="center"/>
          </w:tcPr>
          <w:p>
            <w:pPr>
              <w:jc w:val="center"/>
              <w:rPr>
                <w:color w:val="auto"/>
                <w:sz w:val="18"/>
                <w:szCs w:val="18"/>
              </w:rPr>
            </w:pPr>
            <w:r>
              <w:rPr>
                <w:bCs/>
                <w:color w:val="auto"/>
                <w:sz w:val="18"/>
                <w:szCs w:val="18"/>
                <w:vertAlign w:val="superscript"/>
              </w:rPr>
              <w:t>75</w:t>
            </w:r>
            <w:r>
              <w:rPr>
                <w:bCs/>
                <w:color w:val="auto"/>
                <w:sz w:val="18"/>
                <w:szCs w:val="18"/>
              </w:rPr>
              <w:t>As</w:t>
            </w:r>
          </w:p>
        </w:tc>
        <w:tc>
          <w:tcPr>
            <w:tcW w:w="1657" w:type="pct"/>
            <w:tcBorders>
              <w:top w:val="single" w:color="000000" w:sz="4" w:space="0"/>
              <w:left w:val="single" w:color="000000" w:sz="6"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vertAlign w:val="superscript"/>
                <w:lang w:bidi="ar"/>
              </w:rPr>
              <w:t>59</w:t>
            </w:r>
            <w:r>
              <w:rPr>
                <w:color w:val="auto"/>
                <w:kern w:val="0"/>
                <w:sz w:val="18"/>
                <w:szCs w:val="18"/>
                <w:lang w:bidi="ar"/>
              </w:rPr>
              <w:t>Co</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58</w:t>
            </w:r>
            <w:r>
              <w:rPr>
                <w:color w:val="auto"/>
                <w:kern w:val="0"/>
                <w:sz w:val="18"/>
                <w:szCs w:val="18"/>
                <w:lang w:bidi="ar"/>
              </w:rPr>
              <w:t>Ni</w:t>
            </w:r>
            <w:r>
              <w:rPr>
                <w:color w:val="auto"/>
                <w:kern w:val="0"/>
                <w:sz w:val="18"/>
                <w:szCs w:val="18"/>
                <w:vertAlign w:val="superscript"/>
                <w:lang w:bidi="ar"/>
              </w:rPr>
              <w:t>17</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35</w:t>
            </w:r>
            <w:r>
              <w:rPr>
                <w:color w:val="auto"/>
                <w:kern w:val="0"/>
                <w:sz w:val="18"/>
                <w:szCs w:val="18"/>
                <w:lang w:bidi="ar"/>
              </w:rPr>
              <w:t>Cl</w:t>
            </w:r>
            <w:r>
              <w:rPr>
                <w:color w:val="auto"/>
                <w:kern w:val="0"/>
                <w:sz w:val="18"/>
                <w:szCs w:val="18"/>
                <w:vertAlign w:val="superscript"/>
                <w:lang w:bidi="ar"/>
              </w:rPr>
              <w:t>40</w:t>
            </w:r>
            <w:r>
              <w:rPr>
                <w:color w:val="auto"/>
                <w:kern w:val="0"/>
                <w:sz w:val="18"/>
                <w:szCs w:val="18"/>
                <w:lang w:bidi="ar"/>
              </w:rPr>
              <w:t>Ar</w:t>
            </w:r>
            <w:r>
              <w:rPr>
                <w:color w:val="auto"/>
                <w:kern w:val="0"/>
                <w:sz w:val="18"/>
                <w:szCs w:val="18"/>
                <w:vertAlign w:val="superscript"/>
                <w:lang w:bidi="ar"/>
              </w:rPr>
              <w:t>+</w:t>
            </w:r>
          </w:p>
        </w:tc>
        <w:tc>
          <w:tcPr>
            <w:tcW w:w="860"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vertAlign w:val="superscript"/>
              </w:rPr>
              <w:t>195</w:t>
            </w:r>
            <w:r>
              <w:rPr>
                <w:bCs/>
                <w:color w:val="auto"/>
                <w:sz w:val="18"/>
                <w:szCs w:val="18"/>
              </w:rPr>
              <w:t>Pt</w:t>
            </w:r>
          </w:p>
        </w:tc>
        <w:tc>
          <w:tcPr>
            <w:tcW w:w="1641"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vertAlign w:val="superscript"/>
                <w:lang w:bidi="ar"/>
              </w:rPr>
              <w:t>179</w:t>
            </w:r>
            <w:r>
              <w:rPr>
                <w:color w:val="auto"/>
                <w:kern w:val="0"/>
                <w:sz w:val="18"/>
                <w:szCs w:val="18"/>
                <w:lang w:bidi="ar"/>
              </w:rPr>
              <w:t>Hf</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840"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vertAlign w:val="superscript"/>
              </w:rPr>
              <w:t>78</w:t>
            </w:r>
            <w:r>
              <w:rPr>
                <w:bCs/>
                <w:color w:val="auto"/>
                <w:sz w:val="18"/>
                <w:szCs w:val="18"/>
              </w:rPr>
              <w:t>Se</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vertAlign w:val="superscript"/>
                <w:lang w:bidi="ar"/>
              </w:rPr>
              <w:t>62</w:t>
            </w:r>
            <w:r>
              <w:rPr>
                <w:color w:val="auto"/>
                <w:kern w:val="0"/>
                <w:sz w:val="18"/>
                <w:szCs w:val="18"/>
                <w:lang w:bidi="ar"/>
              </w:rPr>
              <w:t>Ni</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60</w:t>
            </w:r>
            <w:r>
              <w:rPr>
                <w:color w:val="auto"/>
                <w:kern w:val="0"/>
                <w:sz w:val="18"/>
                <w:szCs w:val="18"/>
                <w:lang w:bidi="ar"/>
              </w:rPr>
              <w:t>Ni</w:t>
            </w:r>
            <w:r>
              <w:rPr>
                <w:color w:val="auto"/>
                <w:kern w:val="0"/>
                <w:sz w:val="18"/>
                <w:szCs w:val="18"/>
                <w:vertAlign w:val="superscript"/>
                <w:lang w:bidi="ar"/>
              </w:rPr>
              <w:t>18</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38</w:t>
            </w:r>
            <w:r>
              <w:rPr>
                <w:color w:val="auto"/>
                <w:kern w:val="0"/>
                <w:sz w:val="18"/>
                <w:szCs w:val="18"/>
                <w:lang w:bidi="ar"/>
              </w:rPr>
              <w:t>Ar</w:t>
            </w:r>
            <w:r>
              <w:rPr>
                <w:color w:val="auto"/>
                <w:kern w:val="0"/>
                <w:sz w:val="18"/>
                <w:szCs w:val="18"/>
                <w:vertAlign w:val="superscript"/>
                <w:lang w:bidi="ar"/>
              </w:rPr>
              <w:t>40</w:t>
            </w:r>
            <w:r>
              <w:rPr>
                <w:color w:val="auto"/>
                <w:kern w:val="0"/>
                <w:sz w:val="18"/>
                <w:szCs w:val="18"/>
                <w:lang w:bidi="ar"/>
              </w:rPr>
              <w:t>Ar</w:t>
            </w:r>
            <w:r>
              <w:rPr>
                <w:color w:val="auto"/>
                <w:kern w:val="0"/>
                <w:sz w:val="18"/>
                <w:szCs w:val="18"/>
                <w:vertAlign w:val="superscript"/>
                <w:lang w:bidi="ar"/>
              </w:rPr>
              <w:t>+</w:t>
            </w:r>
          </w:p>
        </w:tc>
        <w:tc>
          <w:tcPr>
            <w:tcW w:w="860" w:type="pct"/>
            <w:tcBorders>
              <w:top w:val="single" w:color="000000" w:sz="4" w:space="0"/>
              <w:left w:val="double" w:color="000000" w:sz="6" w:space="0"/>
              <w:bottom w:val="single" w:color="000000" w:sz="4" w:space="0"/>
              <w:right w:val="single" w:color="000000" w:sz="4" w:space="0"/>
            </w:tcBorders>
            <w:shd w:val="clear" w:color="auto" w:fill="auto"/>
            <w:vAlign w:val="center"/>
          </w:tcPr>
          <w:p>
            <w:pPr>
              <w:jc w:val="center"/>
              <w:rPr>
                <w:color w:val="auto"/>
                <w:sz w:val="18"/>
                <w:szCs w:val="18"/>
              </w:rPr>
            </w:pPr>
            <w:r>
              <w:rPr>
                <w:bCs/>
                <w:color w:val="auto"/>
                <w:sz w:val="18"/>
                <w:szCs w:val="18"/>
                <w:vertAlign w:val="superscript"/>
              </w:rPr>
              <w:t>198</w:t>
            </w:r>
            <w:r>
              <w:rPr>
                <w:bCs/>
                <w:color w:val="auto"/>
                <w:sz w:val="18"/>
                <w:szCs w:val="18"/>
              </w:rPr>
              <w:t>Pt</w:t>
            </w:r>
          </w:p>
        </w:tc>
        <w:tc>
          <w:tcPr>
            <w:tcW w:w="1641" w:type="pc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vertAlign w:val="superscript"/>
                <w:lang w:bidi="ar"/>
              </w:rPr>
              <w:t>182</w:t>
            </w:r>
            <w:r>
              <w:rPr>
                <w:color w:val="auto"/>
                <w:kern w:val="0"/>
                <w:sz w:val="18"/>
                <w:szCs w:val="18"/>
                <w:lang w:bidi="ar"/>
              </w:rPr>
              <w:t>W</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PrEx>
        <w:trPr>
          <w:trHeight w:val="305" w:hRule="atLeast"/>
          <w:jc w:val="center"/>
        </w:trPr>
        <w:tc>
          <w:tcPr>
            <w:tcW w:w="840" w:type="pct"/>
            <w:tcBorders>
              <w:top w:val="single" w:color="000000" w:sz="6" w:space="0"/>
              <w:bottom w:val="single" w:color="000000" w:sz="6" w:space="0"/>
              <w:right w:val="single" w:color="000000" w:sz="6" w:space="0"/>
            </w:tcBorders>
            <w:vAlign w:val="center"/>
          </w:tcPr>
          <w:p>
            <w:pPr>
              <w:jc w:val="center"/>
              <w:rPr>
                <w:color w:val="auto"/>
                <w:sz w:val="18"/>
                <w:szCs w:val="18"/>
              </w:rPr>
            </w:pPr>
            <w:r>
              <w:rPr>
                <w:bCs/>
                <w:color w:val="auto"/>
                <w:sz w:val="18"/>
                <w:szCs w:val="18"/>
                <w:vertAlign w:val="superscript"/>
              </w:rPr>
              <w:t>80</w:t>
            </w:r>
            <w:r>
              <w:rPr>
                <w:bCs/>
                <w:color w:val="auto"/>
                <w:sz w:val="18"/>
                <w:szCs w:val="18"/>
              </w:rPr>
              <w:t>Se</w:t>
            </w:r>
          </w:p>
        </w:tc>
        <w:tc>
          <w:tcPr>
            <w:tcW w:w="1657" w:type="pct"/>
            <w:tcBorders>
              <w:top w:val="single" w:color="000000" w:sz="4" w:space="0"/>
              <w:left w:val="single" w:color="000000" w:sz="6" w:space="0"/>
              <w:bottom w:val="single" w:color="000000" w:sz="4" w:space="0"/>
              <w:right w:val="single" w:color="000000" w:sz="4" w:space="0"/>
            </w:tcBorders>
            <w:vAlign w:val="center"/>
          </w:tcPr>
          <w:p>
            <w:pPr>
              <w:widowControl/>
              <w:jc w:val="center"/>
              <w:textAlignment w:val="center"/>
              <w:rPr>
                <w:color w:val="auto"/>
                <w:sz w:val="18"/>
                <w:szCs w:val="18"/>
              </w:rPr>
            </w:pPr>
            <w:r>
              <w:rPr>
                <w:color w:val="auto"/>
                <w:kern w:val="0"/>
                <w:sz w:val="18"/>
                <w:szCs w:val="18"/>
                <w:vertAlign w:val="superscript"/>
                <w:lang w:bidi="ar"/>
              </w:rPr>
              <w:t>64</w:t>
            </w:r>
            <w:r>
              <w:rPr>
                <w:color w:val="auto"/>
                <w:kern w:val="0"/>
                <w:sz w:val="18"/>
                <w:szCs w:val="18"/>
                <w:lang w:bidi="ar"/>
              </w:rPr>
              <w:t>Ni</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40</w:t>
            </w:r>
            <w:r>
              <w:rPr>
                <w:color w:val="auto"/>
                <w:kern w:val="0"/>
                <w:sz w:val="18"/>
                <w:szCs w:val="18"/>
                <w:lang w:bidi="ar"/>
              </w:rPr>
              <w:t>Ar</w:t>
            </w:r>
            <w:r>
              <w:rPr>
                <w:color w:val="auto"/>
                <w:kern w:val="0"/>
                <w:sz w:val="18"/>
                <w:szCs w:val="18"/>
                <w:vertAlign w:val="superscript"/>
                <w:lang w:bidi="ar"/>
              </w:rPr>
              <w:t>40</w:t>
            </w:r>
            <w:r>
              <w:rPr>
                <w:color w:val="auto"/>
                <w:kern w:val="0"/>
                <w:sz w:val="18"/>
                <w:szCs w:val="18"/>
                <w:lang w:bidi="ar"/>
              </w:rPr>
              <w:t>Ar</w:t>
            </w:r>
            <w:r>
              <w:rPr>
                <w:color w:val="auto"/>
                <w:kern w:val="0"/>
                <w:sz w:val="18"/>
                <w:szCs w:val="18"/>
                <w:vertAlign w:val="superscript"/>
                <w:lang w:bidi="ar"/>
              </w:rPr>
              <w:t>+</w:t>
            </w:r>
          </w:p>
        </w:tc>
        <w:tc>
          <w:tcPr>
            <w:tcW w:w="860" w:type="pct"/>
            <w:tcBorders>
              <w:top w:val="single" w:color="000000" w:sz="4" w:space="0"/>
              <w:left w:val="double" w:color="000000" w:sz="6" w:space="0"/>
              <w:bottom w:val="single" w:color="000000" w:sz="4" w:space="0"/>
              <w:right w:val="single" w:color="000000" w:sz="4" w:space="0"/>
            </w:tcBorders>
            <w:vAlign w:val="center"/>
          </w:tcPr>
          <w:p>
            <w:pPr>
              <w:jc w:val="center"/>
              <w:rPr>
                <w:color w:val="auto"/>
                <w:sz w:val="18"/>
                <w:szCs w:val="18"/>
              </w:rPr>
            </w:pPr>
            <w:r>
              <w:rPr>
                <w:bCs/>
                <w:color w:val="auto"/>
                <w:sz w:val="18"/>
                <w:szCs w:val="18"/>
                <w:vertAlign w:val="superscript"/>
              </w:rPr>
              <w:t>197</w:t>
            </w:r>
            <w:r>
              <w:rPr>
                <w:bCs/>
                <w:color w:val="auto"/>
                <w:sz w:val="18"/>
                <w:szCs w:val="18"/>
              </w:rPr>
              <w:t>Au</w:t>
            </w:r>
          </w:p>
        </w:tc>
        <w:tc>
          <w:tcPr>
            <w:tcW w:w="1641" w:type="pct"/>
            <w:tcBorders>
              <w:top w:val="single" w:color="000000" w:sz="4" w:space="0"/>
              <w:left w:val="single" w:color="000000" w:sz="4" w:space="0"/>
              <w:bottom w:val="single" w:color="000000" w:sz="4" w:space="0"/>
            </w:tcBorders>
            <w:vAlign w:val="center"/>
          </w:tcPr>
          <w:p>
            <w:pPr>
              <w:widowControl/>
              <w:jc w:val="center"/>
              <w:textAlignment w:val="center"/>
              <w:rPr>
                <w:color w:val="auto"/>
                <w:sz w:val="18"/>
                <w:szCs w:val="18"/>
              </w:rPr>
            </w:pPr>
            <w:r>
              <w:rPr>
                <w:color w:val="auto"/>
                <w:kern w:val="0"/>
                <w:sz w:val="18"/>
                <w:szCs w:val="18"/>
                <w:vertAlign w:val="superscript"/>
                <w:lang w:bidi="ar"/>
              </w:rPr>
              <w:t>181</w:t>
            </w:r>
            <w:r>
              <w:rPr>
                <w:color w:val="auto"/>
                <w:kern w:val="0"/>
                <w:sz w:val="18"/>
                <w:szCs w:val="18"/>
                <w:lang w:bidi="ar"/>
              </w:rPr>
              <w:t>Ta</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r>
              <w:rPr>
                <w:color w:val="auto"/>
                <w:kern w:val="0"/>
                <w:sz w:val="18"/>
                <w:szCs w:val="18"/>
                <w:lang w:bidi="ar"/>
              </w:rPr>
              <w:t>、</w:t>
            </w:r>
            <w:r>
              <w:rPr>
                <w:color w:val="auto"/>
                <w:kern w:val="0"/>
                <w:sz w:val="18"/>
                <w:szCs w:val="18"/>
                <w:vertAlign w:val="superscript"/>
                <w:lang w:bidi="ar"/>
              </w:rPr>
              <w:t>180</w:t>
            </w:r>
            <w:r>
              <w:rPr>
                <w:color w:val="auto"/>
                <w:kern w:val="0"/>
                <w:sz w:val="18"/>
                <w:szCs w:val="18"/>
                <w:lang w:bidi="ar"/>
              </w:rPr>
              <w:t>Hf</w:t>
            </w:r>
            <w:r>
              <w:rPr>
                <w:color w:val="auto"/>
                <w:kern w:val="0"/>
                <w:sz w:val="18"/>
                <w:szCs w:val="18"/>
                <w:vertAlign w:val="superscript"/>
                <w:lang w:bidi="ar"/>
              </w:rPr>
              <w:t>17</w:t>
            </w:r>
            <w:r>
              <w:rPr>
                <w:color w:val="auto"/>
                <w:kern w:val="0"/>
                <w:sz w:val="18"/>
                <w:szCs w:val="18"/>
                <w:lang w:bidi="ar"/>
              </w:rPr>
              <w:t>O</w:t>
            </w:r>
            <w:r>
              <w:rPr>
                <w:color w:val="auto"/>
                <w:kern w:val="0"/>
                <w:sz w:val="18"/>
                <w:szCs w:val="18"/>
                <w:vertAlign w:val="superscript"/>
                <w:lang w:bidi="ar"/>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0" w:type="pct"/>
            <w:tcBorders>
              <w:top w:val="single" w:color="000000" w:sz="6" w:space="0"/>
              <w:bottom w:val="single" w:color="000000" w:sz="12" w:space="0"/>
              <w:right w:val="single" w:color="000000" w:sz="6" w:space="0"/>
            </w:tcBorders>
            <w:shd w:val="clear" w:color="auto" w:fill="auto"/>
            <w:vAlign w:val="center"/>
          </w:tcPr>
          <w:p>
            <w:pPr>
              <w:jc w:val="center"/>
              <w:rPr>
                <w:color w:val="auto"/>
                <w:sz w:val="18"/>
                <w:szCs w:val="18"/>
              </w:rPr>
            </w:pPr>
            <w:r>
              <w:rPr>
                <w:bCs/>
                <w:color w:val="auto"/>
                <w:sz w:val="18"/>
                <w:szCs w:val="18"/>
                <w:vertAlign w:val="superscript"/>
              </w:rPr>
              <w:t>107</w:t>
            </w:r>
            <w:r>
              <w:rPr>
                <w:bCs/>
                <w:color w:val="auto"/>
                <w:sz w:val="18"/>
                <w:szCs w:val="18"/>
              </w:rPr>
              <w:t>Ag</w:t>
            </w:r>
          </w:p>
        </w:tc>
        <w:tc>
          <w:tcPr>
            <w:tcW w:w="1657" w:type="pct"/>
            <w:tcBorders>
              <w:top w:val="single" w:color="000000" w:sz="4" w:space="0"/>
              <w:left w:val="single" w:color="000000" w:sz="6" w:space="0"/>
              <w:bottom w:val="single" w:color="000000" w:sz="12" w:space="0"/>
              <w:right w:val="single" w:color="000000" w:sz="4" w:space="0"/>
            </w:tcBorders>
            <w:shd w:val="clear" w:color="auto" w:fill="auto"/>
            <w:vAlign w:val="center"/>
          </w:tcPr>
          <w:p>
            <w:pPr>
              <w:widowControl/>
              <w:jc w:val="center"/>
              <w:textAlignment w:val="center"/>
              <w:rPr>
                <w:color w:val="auto"/>
                <w:sz w:val="18"/>
                <w:szCs w:val="18"/>
              </w:rPr>
            </w:pPr>
            <w:bookmarkStart w:id="55" w:name="OLE_LINK5"/>
            <w:r>
              <w:rPr>
                <w:color w:val="auto"/>
                <w:kern w:val="0"/>
                <w:sz w:val="18"/>
                <w:szCs w:val="18"/>
                <w:vertAlign w:val="superscript"/>
                <w:lang w:bidi="ar"/>
              </w:rPr>
              <w:t>91</w:t>
            </w:r>
            <w:r>
              <w:rPr>
                <w:color w:val="auto"/>
                <w:kern w:val="0"/>
                <w:sz w:val="18"/>
                <w:szCs w:val="18"/>
                <w:lang w:bidi="ar"/>
              </w:rPr>
              <w:t>Zr</w:t>
            </w:r>
            <w:r>
              <w:rPr>
                <w:color w:val="auto"/>
                <w:kern w:val="0"/>
                <w:sz w:val="18"/>
                <w:szCs w:val="18"/>
                <w:vertAlign w:val="superscript"/>
                <w:lang w:bidi="ar"/>
              </w:rPr>
              <w:t>16</w:t>
            </w:r>
            <w:r>
              <w:rPr>
                <w:color w:val="auto"/>
                <w:kern w:val="0"/>
                <w:sz w:val="18"/>
                <w:szCs w:val="18"/>
                <w:lang w:bidi="ar"/>
              </w:rPr>
              <w:t>O</w:t>
            </w:r>
            <w:r>
              <w:rPr>
                <w:color w:val="auto"/>
                <w:kern w:val="0"/>
                <w:sz w:val="18"/>
                <w:szCs w:val="18"/>
                <w:vertAlign w:val="superscript"/>
                <w:lang w:bidi="ar"/>
              </w:rPr>
              <w:t>+</w:t>
            </w:r>
            <w:bookmarkEnd w:id="55"/>
          </w:p>
        </w:tc>
        <w:tc>
          <w:tcPr>
            <w:tcW w:w="860" w:type="pct"/>
            <w:tcBorders>
              <w:top w:val="single" w:color="000000" w:sz="4" w:space="0"/>
              <w:left w:val="double" w:color="000000" w:sz="6" w:space="0"/>
              <w:bottom w:val="single" w:color="000000" w:sz="12" w:space="0"/>
              <w:right w:val="single" w:color="000000" w:sz="4" w:space="0"/>
            </w:tcBorders>
            <w:vAlign w:val="center"/>
          </w:tcPr>
          <w:p>
            <w:pPr>
              <w:jc w:val="center"/>
              <w:rPr>
                <w:color w:val="auto"/>
                <w:sz w:val="18"/>
                <w:szCs w:val="18"/>
              </w:rPr>
            </w:pPr>
          </w:p>
        </w:tc>
        <w:tc>
          <w:tcPr>
            <w:tcW w:w="1641" w:type="pct"/>
            <w:tcBorders>
              <w:top w:val="single" w:color="000000" w:sz="4" w:space="0"/>
              <w:left w:val="single" w:color="000000" w:sz="4" w:space="0"/>
              <w:bottom w:val="single" w:color="000000" w:sz="12" w:space="0"/>
            </w:tcBorders>
            <w:vAlign w:val="center"/>
          </w:tcPr>
          <w:p>
            <w:pPr>
              <w:widowControl/>
              <w:jc w:val="center"/>
              <w:textAlignment w:val="center"/>
              <w:rPr>
                <w:color w:val="auto"/>
                <w:sz w:val="18"/>
                <w:szCs w:val="18"/>
              </w:rPr>
            </w:pPr>
          </w:p>
        </w:tc>
      </w:tr>
    </w:tbl>
    <w:p>
      <w:pPr>
        <w:pageBreakBefore/>
        <w:adjustRightInd w:val="0"/>
        <w:snapToGrid w:val="0"/>
        <w:spacing w:before="567"/>
        <w:jc w:val="center"/>
        <w:rPr>
          <w:rFonts w:ascii="黑体" w:hAnsi="黑体" w:eastAsia="黑体"/>
          <w:color w:val="auto"/>
          <w:szCs w:val="21"/>
        </w:rPr>
      </w:pPr>
      <w:r>
        <w:rPr>
          <w:rFonts w:hint="eastAsia" w:ascii="黑体" w:hAnsi="黑体" w:eastAsia="黑体"/>
          <w:color w:val="auto"/>
          <w:szCs w:val="21"/>
        </w:rPr>
        <w:t>附</w:t>
      </w:r>
      <w:r>
        <w:rPr>
          <w:rFonts w:ascii="黑体" w:hAnsi="黑体" w:eastAsia="黑体"/>
          <w:color w:val="auto"/>
          <w:szCs w:val="21"/>
        </w:rPr>
        <w:t xml:space="preserve"> </w:t>
      </w:r>
      <w:r>
        <w:rPr>
          <w:rFonts w:hint="eastAsia" w:ascii="黑体" w:hAnsi="黑体" w:eastAsia="黑体"/>
          <w:color w:val="auto"/>
          <w:szCs w:val="21"/>
        </w:rPr>
        <w:t>录 B</w:t>
      </w:r>
    </w:p>
    <w:p>
      <w:pPr>
        <w:adjustRightInd w:val="0"/>
        <w:snapToGrid w:val="0"/>
        <w:jc w:val="center"/>
        <w:rPr>
          <w:rFonts w:ascii="黑体" w:hAnsi="黑体" w:eastAsia="黑体"/>
          <w:color w:val="auto"/>
        </w:rPr>
      </w:pPr>
      <w:r>
        <w:rPr>
          <w:rFonts w:hint="eastAsia" w:ascii="黑体" w:hAnsi="黑体" w:eastAsia="黑体"/>
          <w:color w:val="auto"/>
        </w:rPr>
        <w:t>（资料性）</w:t>
      </w:r>
    </w:p>
    <w:p>
      <w:pPr>
        <w:adjustRightInd w:val="0"/>
        <w:snapToGrid w:val="0"/>
        <w:jc w:val="center"/>
        <w:rPr>
          <w:rFonts w:ascii="黑体" w:hAnsi="黑体" w:eastAsia="黑体"/>
          <w:color w:val="auto"/>
        </w:rPr>
      </w:pPr>
      <w:r>
        <w:rPr>
          <w:rFonts w:hint="eastAsia" w:ascii="黑体" w:hAnsi="黑体" w:eastAsia="黑体"/>
          <w:color w:val="auto"/>
        </w:rPr>
        <w:t>从实验室间试验结果得到的统计数据</w:t>
      </w:r>
    </w:p>
    <w:p>
      <w:pPr>
        <w:adjustRightInd w:val="0"/>
        <w:snapToGrid w:val="0"/>
        <w:spacing w:before="284" w:line="360" w:lineRule="exact"/>
        <w:ind w:firstLine="420" w:firstLineChars="200"/>
        <w:rPr>
          <w:rFonts w:ascii="宋体" w:hAnsi="宋体"/>
          <w:color w:val="auto"/>
        </w:rPr>
      </w:pPr>
      <w:r>
        <w:rPr>
          <w:rFonts w:hint="eastAsia"/>
          <w:color w:val="auto"/>
        </w:rPr>
        <w:t>精密度</w:t>
      </w:r>
      <w:r>
        <w:rPr>
          <w:color w:val="auto"/>
        </w:rPr>
        <w:t>数据是在</w:t>
      </w:r>
      <w:r>
        <w:rPr>
          <w:rFonts w:hint="eastAsia"/>
          <w:color w:val="auto"/>
        </w:rPr>
        <w:t>2025年由7家</w:t>
      </w:r>
      <w:r>
        <w:rPr>
          <w:rFonts w:hint="eastAsia"/>
          <w:color w:val="auto"/>
          <w:lang w:val="en-US" w:eastAsia="zh-CN"/>
        </w:rPr>
        <w:t>实验室</w:t>
      </w:r>
      <w:r>
        <w:rPr>
          <w:color w:val="auto"/>
        </w:rPr>
        <w:t>对不同水平</w:t>
      </w:r>
      <w:r>
        <w:rPr>
          <w:rFonts w:hint="eastAsia"/>
          <w:color w:val="auto"/>
        </w:rPr>
        <w:t>镍基合金粉</w:t>
      </w:r>
      <w:r>
        <w:rPr>
          <w:color w:val="auto"/>
        </w:rPr>
        <w:t>样品进行</w:t>
      </w:r>
      <w:r>
        <w:rPr>
          <w:rFonts w:hint="eastAsia"/>
          <w:color w:val="auto"/>
        </w:rPr>
        <w:t>共同</w:t>
      </w:r>
      <w:r>
        <w:rPr>
          <w:color w:val="auto"/>
        </w:rPr>
        <w:t>试验确定的。</w:t>
      </w:r>
      <w:r>
        <w:rPr>
          <w:rFonts w:hint="eastAsia"/>
          <w:color w:val="auto"/>
        </w:rPr>
        <w:t>每个实验室对</w:t>
      </w:r>
      <w:r>
        <w:rPr>
          <w:color w:val="auto"/>
        </w:rPr>
        <w:t>每个水平</w:t>
      </w:r>
      <w:r>
        <w:rPr>
          <w:rFonts w:hint="eastAsia"/>
          <w:color w:val="auto"/>
          <w:lang w:val="en-US" w:eastAsia="zh-CN"/>
        </w:rPr>
        <w:t>杂质元素</w:t>
      </w:r>
      <w:r>
        <w:rPr>
          <w:rStyle w:val="81"/>
          <w:rFonts w:hint="eastAsia" w:ascii="Times New Roman"/>
          <w:color w:val="auto"/>
          <w:szCs w:val="21"/>
        </w:rPr>
        <w:t>含</w:t>
      </w:r>
      <w:r>
        <w:rPr>
          <w:rStyle w:val="81"/>
          <w:rFonts w:ascii="Times New Roman"/>
          <w:color w:val="auto"/>
          <w:szCs w:val="21"/>
        </w:rPr>
        <w:t>量</w:t>
      </w:r>
      <w:r>
        <w:rPr>
          <w:color w:val="auto"/>
        </w:rPr>
        <w:t>在重复性条件下独立测定</w:t>
      </w:r>
      <w:r>
        <w:rPr>
          <w:rFonts w:hint="eastAsia"/>
          <w:color w:val="auto"/>
        </w:rPr>
        <w:t>7次</w:t>
      </w:r>
      <w:r>
        <w:rPr>
          <w:color w:val="auto"/>
        </w:rPr>
        <w:t>。</w:t>
      </w:r>
      <w:r>
        <w:rPr>
          <w:rFonts w:ascii="宋体" w:hAnsi="宋体"/>
          <w:color w:val="auto"/>
        </w:rPr>
        <w:t>数据统计结果见表</w:t>
      </w:r>
      <w:r>
        <w:rPr>
          <w:rFonts w:hint="eastAsia"/>
          <w:color w:val="auto"/>
        </w:rPr>
        <w:t>B</w:t>
      </w:r>
      <w:r>
        <w:rPr>
          <w:color w:val="auto"/>
        </w:rPr>
        <w:t>.1</w:t>
      </w:r>
      <w:r>
        <w:rPr>
          <w:rFonts w:ascii="宋体" w:hAnsi="宋体"/>
          <w:color w:val="auto"/>
        </w:rPr>
        <w:t>。</w:t>
      </w:r>
    </w:p>
    <w:p>
      <w:pPr>
        <w:adjustRightInd w:val="0"/>
        <w:snapToGrid w:val="0"/>
        <w:spacing w:before="156" w:beforeLines="50" w:after="156" w:afterLines="50"/>
        <w:jc w:val="center"/>
        <w:rPr>
          <w:rFonts w:ascii="黑体" w:hAnsi="黑体" w:eastAsia="黑体"/>
          <w:color w:val="auto"/>
        </w:rPr>
      </w:pPr>
      <w:r>
        <w:rPr>
          <w:rFonts w:hint="eastAsia" w:ascii="黑体" w:hAnsi="黑体" w:eastAsia="黑体"/>
          <w:color w:val="auto"/>
        </w:rPr>
        <w:t>表B.1  实验室间数据统计结果</w:t>
      </w:r>
    </w:p>
    <w:tbl>
      <w:tblPr>
        <w:tblStyle w:val="18"/>
        <w:tblW w:w="499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499"/>
        <w:gridCol w:w="499"/>
        <w:gridCol w:w="864"/>
        <w:gridCol w:w="682"/>
        <w:gridCol w:w="818"/>
        <w:gridCol w:w="1728"/>
        <w:gridCol w:w="1755"/>
        <w:gridCol w:w="1299"/>
        <w:gridCol w:w="13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7" w:hRule="atLeast"/>
          <w:tblHeader/>
          <w:jc w:val="center"/>
        </w:trPr>
        <w:tc>
          <w:tcPr>
            <w:tcW w:w="263"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 w:val="18"/>
                <w:szCs w:val="18"/>
              </w:rPr>
              <w:t>元素</w:t>
            </w:r>
          </w:p>
        </w:tc>
        <w:tc>
          <w:tcPr>
            <w:tcW w:w="263"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 w:val="18"/>
                <w:szCs w:val="18"/>
              </w:rPr>
              <w:t>水平</w:t>
            </w:r>
          </w:p>
        </w:tc>
        <w:tc>
          <w:tcPr>
            <w:tcW w:w="455" w:type="pct"/>
            <w:tcBorders>
              <w:bottom w:val="single" w:color="000000" w:sz="12" w:space="0"/>
            </w:tcBorders>
            <w:shd w:val="clear" w:color="auto" w:fill="auto"/>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kern w:val="0"/>
                <w:sz w:val="18"/>
                <w:szCs w:val="18"/>
              </w:rPr>
            </w:pPr>
            <w:r>
              <w:rPr>
                <w:rFonts w:hint="eastAsia" w:cs="Times New Roman"/>
                <w:color w:val="auto"/>
                <w:kern w:val="0"/>
                <w:sz w:val="18"/>
                <w:szCs w:val="18"/>
                <w:lang w:val="en-US" w:eastAsia="zh-CN"/>
              </w:rPr>
              <w:t>结果</w:t>
            </w:r>
            <w:r>
              <w:rPr>
                <w:rFonts w:hint="default" w:ascii="Times New Roman" w:hAnsi="Times New Roman" w:cs="Times New Roman"/>
                <w:color w:val="auto"/>
                <w:kern w:val="0"/>
                <w:sz w:val="18"/>
                <w:szCs w:val="18"/>
              </w:rPr>
              <w:t>可接</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受的实验</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 w:val="18"/>
                <w:szCs w:val="18"/>
              </w:rPr>
              <w:t>室个数</w:t>
            </w:r>
          </w:p>
        </w:tc>
        <w:tc>
          <w:tcPr>
            <w:tcW w:w="359" w:type="pct"/>
            <w:tcBorders>
              <w:bottom w:val="single" w:color="000000" w:sz="12" w:space="0"/>
            </w:tcBorders>
            <w:shd w:val="clear" w:color="auto" w:fill="auto"/>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可接受</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的数据</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 w:val="18"/>
                <w:szCs w:val="18"/>
              </w:rPr>
              <w:t>个数</w:t>
            </w:r>
          </w:p>
        </w:tc>
        <w:tc>
          <w:tcPr>
            <w:tcW w:w="431"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平均值</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rPr>
              <w:t>%</w:t>
            </w:r>
          </w:p>
        </w:tc>
        <w:tc>
          <w:tcPr>
            <w:tcW w:w="910"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cs="Times New Roman"/>
                <w:color w:val="auto"/>
                <w:kern w:val="0"/>
                <w:sz w:val="18"/>
                <w:szCs w:val="18"/>
                <w:lang w:eastAsia="zh-CN"/>
              </w:rPr>
            </w:pPr>
            <w:r>
              <w:rPr>
                <w:rFonts w:hint="default" w:ascii="Times New Roman" w:hAnsi="Times New Roman" w:cs="Times New Roman"/>
                <w:color w:val="auto"/>
                <w:kern w:val="0"/>
                <w:sz w:val="18"/>
                <w:szCs w:val="18"/>
              </w:rPr>
              <w:t>重复性标准差</w:t>
            </w:r>
            <w:r>
              <w:rPr>
                <w:rFonts w:hint="eastAsia" w:cs="Times New Roman"/>
                <w:color w:val="auto"/>
                <w:kern w:val="0"/>
                <w:sz w:val="18"/>
                <w:szCs w:val="18"/>
                <w:lang w:eastAsia="zh-CN"/>
              </w:rPr>
              <w:t>（</w:t>
            </w:r>
            <w:r>
              <w:rPr>
                <w:rFonts w:hint="default" w:ascii="Times New Roman" w:hAnsi="Times New Roman" w:cs="Times New Roman"/>
                <w:i/>
                <w:color w:val="auto"/>
                <w:kern w:val="0"/>
                <w:sz w:val="18"/>
                <w:szCs w:val="18"/>
              </w:rPr>
              <w:t>S</w:t>
            </w:r>
            <w:r>
              <w:rPr>
                <w:rFonts w:hint="default" w:ascii="Times New Roman" w:hAnsi="Times New Roman" w:cs="Times New Roman"/>
                <w:i/>
                <w:color w:val="auto"/>
                <w:kern w:val="0"/>
                <w:sz w:val="18"/>
                <w:szCs w:val="18"/>
                <w:vertAlign w:val="subscript"/>
              </w:rPr>
              <w:t>r</w:t>
            </w:r>
            <w:r>
              <w:rPr>
                <w:rFonts w:hint="eastAsia"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lang w:val="en-US" w:eastAsia="zh-CN"/>
              </w:rPr>
            </w:pPr>
            <w:r>
              <w:rPr>
                <w:rFonts w:hint="default" w:ascii="Times New Roman" w:hAnsi="Times New Roman" w:cs="Times New Roman"/>
                <w:color w:val="auto"/>
                <w:kern w:val="0"/>
                <w:sz w:val="18"/>
                <w:szCs w:val="18"/>
              </w:rPr>
              <w:t>%</w:t>
            </w:r>
          </w:p>
        </w:tc>
        <w:tc>
          <w:tcPr>
            <w:tcW w:w="924"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cs="Times New Roman"/>
                <w:color w:val="auto"/>
                <w:kern w:val="0"/>
                <w:sz w:val="18"/>
                <w:szCs w:val="18"/>
                <w:lang w:eastAsia="zh-CN"/>
              </w:rPr>
            </w:pPr>
            <w:r>
              <w:rPr>
                <w:rFonts w:hint="default" w:ascii="Times New Roman" w:hAnsi="Times New Roman" w:cs="Times New Roman"/>
                <w:color w:val="auto"/>
                <w:kern w:val="0"/>
                <w:sz w:val="18"/>
                <w:szCs w:val="18"/>
              </w:rPr>
              <w:t>再现性标准差</w:t>
            </w:r>
            <w:r>
              <w:rPr>
                <w:rFonts w:hint="eastAsia" w:cs="Times New Roman"/>
                <w:color w:val="auto"/>
                <w:kern w:val="0"/>
                <w:sz w:val="18"/>
                <w:szCs w:val="18"/>
                <w:lang w:eastAsia="zh-CN"/>
              </w:rPr>
              <w:t>（</w:t>
            </w:r>
            <w:r>
              <w:rPr>
                <w:rFonts w:hint="default" w:ascii="Times New Roman" w:hAnsi="Times New Roman" w:cs="Times New Roman"/>
                <w:i/>
                <w:color w:val="auto"/>
                <w:kern w:val="0"/>
                <w:sz w:val="18"/>
                <w:szCs w:val="18"/>
              </w:rPr>
              <w:t>S</w:t>
            </w:r>
            <w:r>
              <w:rPr>
                <w:rFonts w:hint="default" w:ascii="Times New Roman" w:hAnsi="Times New Roman" w:cs="Times New Roman"/>
                <w:i/>
                <w:color w:val="auto"/>
                <w:kern w:val="0"/>
                <w:sz w:val="18"/>
                <w:szCs w:val="18"/>
                <w:vertAlign w:val="subscript"/>
              </w:rPr>
              <w:t>R</w:t>
            </w:r>
            <w:r>
              <w:rPr>
                <w:rFonts w:hint="eastAsia"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cs="Times New Roman"/>
                <w:color w:val="auto"/>
                <w:lang w:val="en-US" w:eastAsia="zh-CN"/>
              </w:rPr>
            </w:pPr>
            <w:r>
              <w:rPr>
                <w:rFonts w:hint="default" w:ascii="Times New Roman" w:hAnsi="Times New Roman" w:cs="Times New Roman"/>
                <w:color w:val="auto"/>
                <w:kern w:val="0"/>
                <w:sz w:val="18"/>
                <w:szCs w:val="18"/>
              </w:rPr>
              <w:t>%</w:t>
            </w:r>
          </w:p>
        </w:tc>
        <w:tc>
          <w:tcPr>
            <w:tcW w:w="684"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cs="Times New Roman"/>
                <w:color w:val="auto"/>
                <w:kern w:val="0"/>
                <w:sz w:val="18"/>
                <w:szCs w:val="18"/>
                <w:lang w:eastAsia="zh-CN"/>
              </w:rPr>
            </w:pPr>
            <w:r>
              <w:rPr>
                <w:rFonts w:hint="default" w:ascii="Times New Roman" w:hAnsi="Times New Roman" w:cs="Times New Roman"/>
                <w:color w:val="auto"/>
                <w:kern w:val="0"/>
                <w:sz w:val="18"/>
                <w:szCs w:val="18"/>
              </w:rPr>
              <w:t>重复性限</w:t>
            </w:r>
            <w:r>
              <w:rPr>
                <w:rFonts w:hint="eastAsia" w:cs="Times New Roman"/>
                <w:color w:val="auto"/>
                <w:kern w:val="0"/>
                <w:sz w:val="18"/>
                <w:szCs w:val="18"/>
                <w:lang w:eastAsia="zh-CN"/>
              </w:rPr>
              <w:t>（</w:t>
            </w:r>
            <w:r>
              <w:rPr>
                <w:rFonts w:hint="default" w:ascii="Times New Roman" w:hAnsi="Times New Roman" w:cs="Times New Roman"/>
                <w:i/>
                <w:color w:val="auto"/>
                <w:kern w:val="0"/>
                <w:sz w:val="18"/>
                <w:szCs w:val="18"/>
              </w:rPr>
              <w:t>r</w:t>
            </w:r>
            <w:r>
              <w:rPr>
                <w:rFonts w:hint="eastAsia"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iCs/>
                <w:color w:val="auto"/>
                <w:kern w:val="0"/>
                <w:sz w:val="18"/>
                <w:szCs w:val="18"/>
                <w:lang w:val="en-US" w:eastAsia="zh-CN" w:bidi="ar"/>
              </w:rPr>
            </w:pPr>
            <w:r>
              <w:rPr>
                <w:rFonts w:hint="default" w:ascii="Times New Roman" w:hAnsi="Times New Roman" w:cs="Times New Roman"/>
                <w:color w:val="auto"/>
                <w:kern w:val="0"/>
                <w:sz w:val="18"/>
                <w:szCs w:val="18"/>
              </w:rPr>
              <w:t>%</w:t>
            </w:r>
          </w:p>
        </w:tc>
        <w:tc>
          <w:tcPr>
            <w:tcW w:w="705" w:type="pct"/>
            <w:tcBorders>
              <w:bottom w:val="single" w:color="000000" w:sz="12" w:space="0"/>
            </w:tcBorders>
            <w:shd w:val="clear" w:color="auto" w:fill="auto"/>
            <w:noWrap/>
            <w:tcMar>
              <w:top w:w="0" w:type="dxa"/>
              <w:left w:w="68" w:type="dxa"/>
              <w:bottom w:w="0" w:type="dxa"/>
              <w:right w:w="68"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cs="Times New Roman"/>
                <w:color w:val="auto"/>
                <w:kern w:val="0"/>
                <w:sz w:val="18"/>
                <w:szCs w:val="18"/>
                <w:lang w:eastAsia="zh-CN"/>
              </w:rPr>
            </w:pPr>
            <w:r>
              <w:rPr>
                <w:rFonts w:hint="default" w:ascii="Times New Roman" w:hAnsi="Times New Roman" w:cs="Times New Roman"/>
                <w:color w:val="auto"/>
                <w:kern w:val="0"/>
                <w:sz w:val="18"/>
                <w:szCs w:val="18"/>
              </w:rPr>
              <w:t>再现性限</w:t>
            </w:r>
            <w:r>
              <w:rPr>
                <w:rFonts w:hint="eastAsia" w:cs="Times New Roman"/>
                <w:color w:val="auto"/>
                <w:kern w:val="0"/>
                <w:sz w:val="18"/>
                <w:szCs w:val="18"/>
                <w:lang w:eastAsia="zh-CN"/>
              </w:rPr>
              <w:t>（</w:t>
            </w:r>
            <w:r>
              <w:rPr>
                <w:rFonts w:hint="default" w:ascii="Times New Roman" w:hAnsi="Times New Roman" w:cs="Times New Roman"/>
                <w:i/>
                <w:color w:val="auto"/>
                <w:kern w:val="0"/>
                <w:sz w:val="18"/>
                <w:szCs w:val="18"/>
              </w:rPr>
              <w:t>R</w:t>
            </w:r>
            <w:r>
              <w:rPr>
                <w:rFonts w:hint="eastAsia"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iCs/>
                <w:color w:val="auto"/>
                <w:kern w:val="0"/>
                <w:sz w:val="18"/>
                <w:szCs w:val="18"/>
                <w:lang w:val="en-US" w:eastAsia="zh-CN" w:bidi="ar"/>
              </w:rPr>
            </w:pPr>
            <w:r>
              <w:rPr>
                <w:rFonts w:hint="default" w:ascii="Times New Roman" w:hAnsi="Times New Roman" w:cs="Times New Roman"/>
                <w:color w:val="auto"/>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B</w:t>
            </w:r>
          </w:p>
        </w:tc>
        <w:tc>
          <w:tcPr>
            <w:tcW w:w="263"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0.00044</w:t>
            </w:r>
          </w:p>
        </w:tc>
        <w:tc>
          <w:tcPr>
            <w:tcW w:w="910"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0.000028</w:t>
            </w:r>
          </w:p>
        </w:tc>
        <w:tc>
          <w:tcPr>
            <w:tcW w:w="924"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0.000051</w:t>
            </w:r>
          </w:p>
        </w:tc>
        <w:tc>
          <w:tcPr>
            <w:tcW w:w="684"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0.00008</w:t>
            </w:r>
          </w:p>
        </w:tc>
        <w:tc>
          <w:tcPr>
            <w:tcW w:w="705" w:type="pct"/>
            <w:tcBorders>
              <w:top w:val="single" w:color="000000" w:sz="12" w:space="0"/>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0.00337</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0.000116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0.000185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0.00033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eastAsia"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0.0102</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0.000379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0.000498</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0.0011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Mg</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0.00090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0.000076</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0.00091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0.000044</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0.000087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0.00408</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0.000122</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0.000163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0.00815</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0.000212</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0.000287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0.00060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Zn</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0.00082</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0.000035</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0.00417</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0.000130</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0.000227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0.00037</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0.00064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Ga</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0.000010</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0.00169</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0.000084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0.00016</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0.00512</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0.000136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0.000162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0.00039</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0.00808</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0.000189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0.000215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0.00054</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0.00061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As</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0.00019</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0.000030</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0.00044</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0.000017</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0.00094</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0.000066</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0.00426</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0.000117</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0.000172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Se</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0.00019</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0.000029</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0.00070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0.00008</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Ag</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0.000054</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0.000004</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0.000012</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0.000016</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0.00036</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0.000022</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0.00082</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Cd</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0.000027</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0.000002</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0.000006</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0.000010</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Sn</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0.00079</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0.00007</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0.00436</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0.00833</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0.000149</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Sb</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0.000062</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0.000004</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0.00019</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0.000020</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0.00007</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0.00409</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0.000128</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0.000139</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0.00036</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0.00815</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0.000171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0.000184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0.00048</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Te</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0.000054</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0.000003</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0.000008</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0.000009</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0.00043</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0.000020</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0.000051</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0.00006</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0.000033</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0.000039</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0.00009</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Pt</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0.000010</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0.000025</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0.00007</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0.00407</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0.000147</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0.000157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0.00042</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Au</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0.000009</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0.000032</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0.000047</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0.00009</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0.00414</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0.000144</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0.000242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0.00069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Tl</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0.000052</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0.000003</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0.000009</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0.000011</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0.000036</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0.000048</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Pb</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0.000020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0.000002</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0.00035</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0.000017</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0.00090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0.000035</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0.000075</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0.00403</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0.000125</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0.000146</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0.00035</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0.00807</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0.000174</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0.000166</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0.00049</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restar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Bi</w:t>
            </w: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0.000003</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0.000004</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0.000008</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00"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0.00010</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0.000010</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0.000012</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15" w:hRule="atLeast"/>
          <w:jc w:val="center"/>
        </w:trPr>
        <w:tc>
          <w:tcPr>
            <w:tcW w:w="263" w:type="pct"/>
            <w:vMerge w:val="continue"/>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kinsoku/>
              <w:wordWrap/>
              <w:overflowPunct/>
              <w:topLinePunct w:val="0"/>
              <w:autoSpaceDE/>
              <w:autoSpaceDN/>
              <w:bidi w:val="0"/>
              <w:adjustRightInd/>
              <w:snapToGrid/>
              <w:spacing w:after="0"/>
              <w:jc w:val="center"/>
              <w:rPr>
                <w:rFonts w:hint="default" w:ascii="Times New Roman" w:hAnsi="Times New Roman" w:eastAsia="宋体" w:cs="Times New Roman"/>
                <w:i w:val="0"/>
                <w:iCs w:val="0"/>
                <w:color w:val="auto"/>
                <w:sz w:val="18"/>
                <w:szCs w:val="18"/>
                <w:u w:val="none"/>
              </w:rPr>
            </w:pPr>
          </w:p>
        </w:tc>
        <w:tc>
          <w:tcPr>
            <w:tcW w:w="263"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45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59"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431"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0.00081</w:t>
            </w:r>
          </w:p>
        </w:tc>
        <w:tc>
          <w:tcPr>
            <w:tcW w:w="910"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0.000038</w:t>
            </w:r>
          </w:p>
        </w:tc>
        <w:tc>
          <w:tcPr>
            <w:tcW w:w="92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0.000053</w:t>
            </w:r>
          </w:p>
        </w:tc>
        <w:tc>
          <w:tcPr>
            <w:tcW w:w="684"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0.00011</w:t>
            </w:r>
          </w:p>
        </w:tc>
        <w:tc>
          <w:tcPr>
            <w:tcW w:w="705" w:type="pct"/>
            <w:tcBorders>
              <w:tl2br w:val="nil"/>
              <w:tr2bl w:val="nil"/>
            </w:tcBorders>
            <w:shd w:val="clear" w:color="auto" w:fill="auto"/>
            <w:noWrap/>
            <w:tcMar>
              <w:top w:w="0" w:type="dxa"/>
              <w:left w:w="68" w:type="dxa"/>
              <w:bottom w:w="0" w:type="dxa"/>
              <w:right w:w="68"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0.00015</w:t>
            </w:r>
          </w:p>
        </w:tc>
      </w:tr>
    </w:tbl>
    <w:p>
      <w:pPr>
        <w:pStyle w:val="2"/>
        <w:jc w:val="center"/>
        <w:rPr>
          <w:rFonts w:ascii="黑体" w:hAnsi="黑体" w:eastAsia="黑体"/>
          <w:color w:val="auto"/>
        </w:rPr>
      </w:pPr>
    </w:p>
    <w:p>
      <w:pPr>
        <w:pStyle w:val="2"/>
        <w:jc w:val="center"/>
        <w:rPr>
          <w:rFonts w:ascii="黑体" w:hAnsi="黑体" w:eastAsia="黑体"/>
          <w:color w:val="auto"/>
        </w:rPr>
      </w:pPr>
    </w:p>
    <w:p>
      <w:pPr>
        <w:pStyle w:val="2"/>
        <w:jc w:val="center"/>
        <w:rPr>
          <w:rFonts w:ascii="黑体" w:hAnsi="黑体" w:eastAsia="黑体"/>
          <w:color w:val="auto"/>
        </w:rPr>
      </w:pPr>
    </w:p>
    <w:p>
      <w:pPr>
        <w:pStyle w:val="2"/>
        <w:jc w:val="center"/>
        <w:rPr>
          <w:rFonts w:ascii="黑体" w:hAnsi="黑体" w:eastAsia="黑体"/>
          <w:color w:val="auto"/>
        </w:rPr>
      </w:pPr>
    </w:p>
    <w:p>
      <w:pPr>
        <w:pStyle w:val="2"/>
        <w:jc w:val="center"/>
        <w:rPr>
          <w:rFonts w:ascii="黑体" w:hAnsi="黑体" w:eastAsia="黑体"/>
          <w:color w:val="auto"/>
        </w:rPr>
      </w:pPr>
    </w:p>
    <w:p>
      <w:pPr>
        <w:pStyle w:val="2"/>
        <w:jc w:val="center"/>
        <w:rPr>
          <w:rFonts w:ascii="黑体" w:hAnsi="黑体" w:eastAsia="黑体"/>
          <w:color w:val="auto"/>
        </w:rPr>
      </w:pPr>
    </w:p>
    <w:p>
      <w:pPr>
        <w:spacing w:before="156" w:beforeLines="50" w:after="156" w:afterLines="50" w:line="360" w:lineRule="auto"/>
        <w:rPr>
          <w:color w:val="auto"/>
        </w:rPr>
      </w:pPr>
      <w:r>
        <w:rPr>
          <w:rFonts w:ascii="宋体" w:hAnsi="宋体"/>
          <w:color w:val="auto"/>
        </w:rPr>
        <mc:AlternateContent>
          <mc:Choice Requires="wps">
            <w:drawing>
              <wp:anchor distT="0" distB="0" distL="114300" distR="114300" simplePos="0" relativeHeight="251666432" behindDoc="0" locked="0" layoutInCell="1" allowOverlap="1">
                <wp:simplePos x="0" y="0"/>
                <wp:positionH relativeFrom="column">
                  <wp:posOffset>2003425</wp:posOffset>
                </wp:positionH>
                <wp:positionV relativeFrom="paragraph">
                  <wp:posOffset>273685</wp:posOffset>
                </wp:positionV>
                <wp:extent cx="1866900" cy="635"/>
                <wp:effectExtent l="0" t="0" r="0" b="0"/>
                <wp:wrapNone/>
                <wp:docPr id="3" name="Line 1035"/>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line">
                          <a:avLst/>
                        </a:prstGeom>
                        <a:noFill/>
                        <a:ln w="12700">
                          <a:solidFill>
                            <a:srgbClr val="000000"/>
                          </a:solidFill>
                          <a:round/>
                        </a:ln>
                        <a:effectLst/>
                      </wps:spPr>
                      <wps:bodyPr/>
                    </wps:wsp>
                  </a:graphicData>
                </a:graphic>
              </wp:anchor>
            </w:drawing>
          </mc:Choice>
          <mc:Fallback>
            <w:pict>
              <v:line id="Line 1035" o:spid="_x0000_s1026" o:spt="20" style="position:absolute;left:0pt;margin-left:157.75pt;margin-top:21.55pt;height:0.05pt;width:147pt;z-index:251666432;mso-width-relative:page;mso-height-relative:page;" filled="f" stroked="t" coordsize="21600,21600" o:gfxdata="UEsDBAoAAAAAAIdO4kAAAAAAAAAAAAAAAAAEAAAAZHJzL1BLAwQUAAAACACHTuJAh1nuyNkAAAAJ&#10;AQAADwAAAGRycy9kb3ducmV2LnhtbE2PTU/DMAyG70j8h8hI3FjSjo2uNN0BNE2gXbYh7eq1oSk0&#10;TtdkH/x7vBMc/frR68fF/OI6cTJDaD1pSEYKhKHK1y01Gj62i4cMRIhINXaejIYfE2Be3t4UmNf+&#10;TGtz2sRGcAmFHDXYGPtcylBZ4zCMfG+Id59+cBh5HBpZD3jmctfJVKmpdNgSX7DYmxdrqu/N0WnA&#10;1+U67rL0/al9s6uv7eKwtNlB6/u7RD2DiOYS/2C46rM6lOy090eqg+g0jJPJhFENj+MEBANTNeNg&#10;fw1SkGUh/39Q/gJQSwMEFAAAAAgAh07iQPizth/RAQAAswMAAA4AAABkcnMvZTJvRG9jLnhtbK1T&#10;sY7bMAzdC/QfBO2N7RyaXo04NyS4Lmkb4K4fwMiyLVQSBUmJk78vJSdpmy431IMgiuQj3yO9fDoZ&#10;zY7SB4W24dWs5Exaga2yfcN/vD5/eOQsRLAtaLSy4WcZ+NPq/bvl6Go5xwF1Kz0jEBvq0TV8iNHV&#10;RRHEIA2EGTppydmhNxDJ9H3RehgJ3ehiXpaLYkTfOo9ChkCvm8nJL4j+LYDYdUrIDYqDkTZOqF5q&#10;iEQpDMoFvsrddp0U8XvXBRmZbjgxjfmkInTfp7NYLaHuPbhBiUsL8JYW7jgZUJaK3qA2EIEdvPoH&#10;yijhMWAXZwJNMRHJihCLqrzT5mUAJzMXkjq4m+jh/8GKb8edZ6pt+ANnFgwNfKusZFX58DGJM7pQ&#10;U8za7nyiJ072xW1R/AzM4noA28vc5OvZUWaVMoq/UpIRHJXYj1+xpRg4RMxKnTpvEiRpwE55IOfb&#10;QOQpMkGP1eNi8bmkWQnyLaaOCqivqc6H+EWiYenScE2NZ2g4bkNMrUB9DUmVLD4rrfPEtWUjwc8/&#10;EXhyBdSqTd5s+H6/1p4dIS1N/jKxuzCPB9tOVbRNeTLv26X0lfgk4R7b885f1aFZ5uYue5eW5U87&#10;a/j7X1v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dZ7sjZAAAACQEAAA8AAAAAAAAAAQAgAAAA&#10;IgAAAGRycy9kb3ducmV2LnhtbFBLAQIUABQAAAAIAIdO4kD4s7Yf0QEAALMDAAAOAAAAAAAAAAEA&#10;IAAAACgBAABkcnMvZTJvRG9jLnhtbFBLBQYAAAAABgAGAFkBAABrBQAAAAA=&#10;">
                <v:fill on="f" focussize="0,0"/>
                <v:stroke weight="1pt" color="#000000" joinstyle="round"/>
                <v:imagedata o:title=""/>
                <o:lock v:ext="edit" aspectratio="f"/>
              </v:line>
            </w:pict>
          </mc:Fallback>
        </mc:AlternateContent>
      </w:r>
    </w:p>
    <w:sectPr>
      <w:headerReference r:id="rId10" w:type="default"/>
      <w:pgSz w:w="11906" w:h="16838"/>
      <w:pgMar w:top="1417" w:right="1134" w:bottom="1134" w:left="1418" w:header="1418" w:footer="1134"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21"/>
      </w:rPr>
    </w:pPr>
    <w:r>
      <w:fldChar w:fldCharType="begin"/>
    </w:r>
    <w:r>
      <w:rPr>
        <w:rStyle w:val="21"/>
      </w:rPr>
      <w:instrText xml:space="preserve">PAGE  </w:instrText>
    </w:r>
    <w:r>
      <w:fldChar w:fldCharType="separate"/>
    </w:r>
    <w:r>
      <w:rPr>
        <w:rStyle w:val="21"/>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21"/>
      </w:rPr>
    </w:pPr>
    <w:r>
      <w:fldChar w:fldCharType="begin"/>
    </w:r>
    <w:r>
      <w:rPr>
        <w:rStyle w:val="21"/>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5760" w:right="360" w:hanging="5760" w:hangingChars="3200"/>
      <w:jc w:val="right"/>
    </w:pPr>
    <w:r>
      <w:fldChar w:fldCharType="begin"/>
    </w:r>
    <w:r>
      <w:rPr>
        <w:rStyle w:val="21"/>
      </w:rPr>
      <w:instrText xml:space="preserve"> PAGE </w:instrText>
    </w:r>
    <w:r>
      <w:fldChar w:fldCharType="separate"/>
    </w:r>
    <w:r>
      <w:rPr>
        <w:rStyle w:val="2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080" w:firstLine="360" w:firstLineChars="200"/>
    </w:pPr>
    <w:r>
      <w:fldChar w:fldCharType="begin"/>
    </w:r>
    <w:r>
      <w:rPr>
        <w:rStyle w:val="21"/>
      </w:rPr>
      <w:instrText xml:space="preserve"> PAGE </w:instrText>
    </w:r>
    <w:r>
      <w:fldChar w:fldCharType="separate"/>
    </w:r>
    <w:r>
      <w:rPr>
        <w:rStyle w:val="21"/>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rPr>
        <w:rFonts w:ascii="黑体" w:eastAsia="黑体"/>
        <w:szCs w:val="21"/>
      </w:rPr>
    </w:pPr>
    <w:r>
      <w:rPr>
        <w:rFonts w:hint="eastAsia" w:ascii="黑体" w:eastAsia="黑体"/>
        <w:szCs w:val="21"/>
      </w:rPr>
      <w:t xml:space="preserve">YS/T </w:t>
    </w:r>
    <w:r>
      <w:rPr>
        <w:rFonts w:ascii="黑体" w:eastAsia="黑体"/>
        <w:szCs w:val="21"/>
      </w:rPr>
      <w:t>539.10</w:t>
    </w:r>
    <w:r>
      <w:rPr>
        <w:rFonts w:hint="eastAsia" w:ascii="黑体" w:eastAsia="黑体"/>
        <w:szCs w:val="21"/>
      </w:rPr>
      <w:t>—20</w:t>
    </w:r>
    <w:r>
      <w:rPr>
        <w:rFonts w:ascii="黑体" w:eastAsia="黑体"/>
        <w:szCs w:val="21"/>
      </w:rPr>
      <w:t>2</w:t>
    </w:r>
    <w:r>
      <w:rPr>
        <w:rFonts w:hint="eastAsia" w:ascii="黑体" w:eastAsia="黑体"/>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ind w:right="735"/>
      <w:jc w:val="both"/>
      <w:rPr>
        <w:rFonts w:ascii="黑体" w:eastAsia="黑体"/>
        <w:szCs w:val="21"/>
      </w:rPr>
    </w:pPr>
    <w:r>
      <w:rPr>
        <w:rFonts w:hint="eastAsia" w:ascii="黑体" w:eastAsia="黑体"/>
        <w:szCs w:val="21"/>
      </w:rPr>
      <w:t xml:space="preserve">YS/T </w:t>
    </w:r>
    <w:r>
      <w:rPr>
        <w:rFonts w:ascii="黑体" w:eastAsia="黑体"/>
        <w:szCs w:val="21"/>
      </w:rPr>
      <w:t>539.10</w:t>
    </w:r>
    <w:r>
      <w:rPr>
        <w:rFonts w:hint="eastAsia" w:ascii="黑体" w:eastAsia="黑体"/>
        <w:szCs w:val="21"/>
      </w:rPr>
      <w:t>—20</w:t>
    </w:r>
    <w:r>
      <w:rPr>
        <w:rFonts w:ascii="黑体" w:eastAsia="黑体"/>
        <w:szCs w:val="21"/>
      </w:rPr>
      <w:t>2</w:t>
    </w:r>
    <w:r>
      <w:rPr>
        <w:rFonts w:hint="eastAsia" w:ascii="黑体" w:eastAsia="黑体"/>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rPr>
        <w:rFonts w:ascii="黑体" w:eastAsia="黑体"/>
      </w:rPr>
    </w:pPr>
  </w:p>
  <w:p>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ind w:right="315"/>
      <w:rPr>
        <w:rFonts w:ascii="黑体" w:eastAsia="黑体"/>
        <w:szCs w:val="21"/>
      </w:rPr>
    </w:pPr>
    <w:r>
      <w:rPr>
        <w:rFonts w:hint="eastAsia" w:ascii="黑体" w:eastAsia="黑体"/>
        <w:szCs w:val="21"/>
      </w:rPr>
      <w:t xml:space="preserve">YS/T </w:t>
    </w:r>
    <w:r>
      <w:rPr>
        <w:rFonts w:ascii="黑体" w:eastAsia="黑体"/>
        <w:szCs w:val="21"/>
      </w:rPr>
      <w:t>539</w:t>
    </w:r>
    <w:r>
      <w:rPr>
        <w:rFonts w:hint="eastAsia" w:ascii="黑体" w:eastAsia="黑体"/>
        <w:szCs w:val="21"/>
      </w:rPr>
      <w:t>.</w:t>
    </w:r>
    <w:r>
      <w:rPr>
        <w:rFonts w:ascii="黑体" w:eastAsia="黑体"/>
        <w:szCs w:val="21"/>
      </w:rPr>
      <w:t>10</w:t>
    </w:r>
    <w:r>
      <w:rPr>
        <w:rFonts w:hint="eastAsia" w:ascii="黑体" w:eastAsia="黑体"/>
        <w:szCs w:val="21"/>
      </w:rPr>
      <w:t>—20</w:t>
    </w:r>
    <w:r>
      <w:rPr>
        <w:rFonts w:ascii="黑体" w:eastAsia="黑体"/>
        <w:szCs w:val="21"/>
      </w:rPr>
      <w:t>2</w:t>
    </w:r>
    <w:r>
      <w:rPr>
        <w:rFonts w:hint="eastAsia" w:ascii="黑体" w:eastAsia="黑体"/>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A3392"/>
    <w:multiLevelType w:val="multilevel"/>
    <w:tmpl w:val="20BA3392"/>
    <w:lvl w:ilvl="0" w:tentative="0">
      <w:start w:val="1"/>
      <w:numFmt w:val="decimal"/>
      <w:lvlText w:val="3.%1"/>
      <w:lvlJc w:val="left"/>
      <w:pPr>
        <w:ind w:left="420" w:hanging="420"/>
      </w:pPr>
      <w:rPr>
        <w:rFonts w:hint="eastAsia" w:ascii="黑体" w:hAnsi="黑体" w:eastAsia="黑体"/>
      </w:rPr>
    </w:lvl>
    <w:lvl w:ilvl="1" w:tentative="0">
      <w:start w:val="1"/>
      <w:numFmt w:val="decimal"/>
      <w:suff w:val="nothing"/>
      <w:lvlText w:val="5.%2"/>
      <w:lvlJc w:val="left"/>
      <w:pPr>
        <w:ind w:left="840" w:hanging="420"/>
      </w:pPr>
      <w:rPr>
        <w:rFonts w:hint="eastAsia" w:ascii="黑体" w:hAnsi="黑体" w:eastAsia="黑体"/>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39E656C"/>
    <w:multiLevelType w:val="multilevel"/>
    <w:tmpl w:val="339E656C"/>
    <w:lvl w:ilvl="0" w:tentative="0">
      <w:start w:val="1"/>
      <w:numFmt w:val="decimal"/>
      <w:suff w:val="nothing"/>
      <w:lvlText w:val="%1"/>
      <w:lvlJc w:val="left"/>
      <w:pPr>
        <w:ind w:left="420" w:hanging="420"/>
      </w:pPr>
      <w:rPr>
        <w:rFonts w:hint="default"/>
      </w:rPr>
    </w:lvl>
    <w:lvl w:ilvl="1" w:tentative="0">
      <w:start w:val="1"/>
      <w:numFmt w:val="decimal"/>
      <w:isLgl/>
      <w:lvlText w:val="%1.%2"/>
      <w:lvlJc w:val="left"/>
      <w:pPr>
        <w:ind w:left="405" w:hanging="40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080" w:hanging="1080"/>
      </w:pPr>
      <w:rPr>
        <w:rFonts w:hint="default" w:ascii="黑体" w:hAnsi="黑体" w:eastAsia="黑体"/>
      </w:rPr>
    </w:lvl>
    <w:lvl w:ilvl="6" w:tentative="0">
      <w:start w:val="1"/>
      <w:numFmt w:val="decimal"/>
      <w:isLgl/>
      <w:lvlText w:val="%1.%2.%3.%4.%5.%6.%7"/>
      <w:lvlJc w:val="left"/>
      <w:pPr>
        <w:ind w:left="1080" w:hanging="1080"/>
      </w:pPr>
      <w:rPr>
        <w:rFonts w:hint="default" w:ascii="黑体" w:hAnsi="黑体" w:eastAsia="黑体"/>
      </w:rPr>
    </w:lvl>
    <w:lvl w:ilvl="7" w:tentative="0">
      <w:start w:val="1"/>
      <w:numFmt w:val="decimal"/>
      <w:isLgl/>
      <w:lvlText w:val="%1.%2.%3.%4.%5.%6.%7.%8"/>
      <w:lvlJc w:val="left"/>
      <w:pPr>
        <w:ind w:left="1440" w:hanging="1440"/>
      </w:pPr>
      <w:rPr>
        <w:rFonts w:hint="default" w:ascii="黑体" w:hAnsi="黑体" w:eastAsia="黑体"/>
      </w:rPr>
    </w:lvl>
    <w:lvl w:ilvl="8" w:tentative="0">
      <w:start w:val="1"/>
      <w:numFmt w:val="decimal"/>
      <w:isLgl/>
      <w:lvlText w:val="%1.%2.%3.%4.%5.%6.%7.%8.%9"/>
      <w:lvlJc w:val="left"/>
      <w:pPr>
        <w:ind w:left="1440" w:hanging="1440"/>
      </w:pPr>
      <w:rPr>
        <w:rFonts w:hint="default" w:ascii="黑体" w:hAnsi="黑体" w:eastAsia="黑体"/>
      </w:rPr>
    </w:lvl>
  </w:abstractNum>
  <w:abstractNum w:abstractNumId="2">
    <w:nsid w:val="3A434D35"/>
    <w:multiLevelType w:val="multilevel"/>
    <w:tmpl w:val="3A434D35"/>
    <w:lvl w:ilvl="0" w:tentative="0">
      <w:start w:val="1"/>
      <w:numFmt w:val="decimal"/>
      <w:suff w:val="nothing"/>
      <w:lvlText w:val="6.%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48D25D52"/>
    <w:multiLevelType w:val="multilevel"/>
    <w:tmpl w:val="48D25D52"/>
    <w:lvl w:ilvl="0" w:tentative="0">
      <w:start w:val="1"/>
      <w:numFmt w:val="decimal"/>
      <w:suff w:val="nothing"/>
      <w:lvlText w:val="8.%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6F0B5A1F"/>
    <w:multiLevelType w:val="multilevel"/>
    <w:tmpl w:val="6F0B5A1F"/>
    <w:lvl w:ilvl="0" w:tentative="0">
      <w:start w:val="1"/>
      <w:numFmt w:val="decimal"/>
      <w:suff w:val="nothing"/>
      <w:lvlText w:val="10.%1"/>
      <w:lvlJc w:val="left"/>
      <w:pPr>
        <w:ind w:left="840" w:hanging="420"/>
      </w:pPr>
      <w:rPr>
        <w:rFonts w:hint="eastAsia" w:ascii="黑体" w:hAnsi="黑体" w:eastAsia="黑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08"/>
    <w:rsid w:val="00011531"/>
    <w:rsid w:val="00015B72"/>
    <w:rsid w:val="000226CE"/>
    <w:rsid w:val="00025CAC"/>
    <w:rsid w:val="00026E23"/>
    <w:rsid w:val="00027EC5"/>
    <w:rsid w:val="000375D9"/>
    <w:rsid w:val="00044B38"/>
    <w:rsid w:val="00047117"/>
    <w:rsid w:val="000501F6"/>
    <w:rsid w:val="00060AC7"/>
    <w:rsid w:val="0006521B"/>
    <w:rsid w:val="00077544"/>
    <w:rsid w:val="00081BD0"/>
    <w:rsid w:val="00085911"/>
    <w:rsid w:val="0009171E"/>
    <w:rsid w:val="0009235A"/>
    <w:rsid w:val="00095E32"/>
    <w:rsid w:val="000A0871"/>
    <w:rsid w:val="000A605E"/>
    <w:rsid w:val="000B0AEB"/>
    <w:rsid w:val="000C45D9"/>
    <w:rsid w:val="000C51C7"/>
    <w:rsid w:val="000D0EDE"/>
    <w:rsid w:val="000D6DC6"/>
    <w:rsid w:val="000E079C"/>
    <w:rsid w:val="000E1301"/>
    <w:rsid w:val="000E4C95"/>
    <w:rsid w:val="000F1157"/>
    <w:rsid w:val="000F14F6"/>
    <w:rsid w:val="000F1E08"/>
    <w:rsid w:val="00101F7A"/>
    <w:rsid w:val="00106436"/>
    <w:rsid w:val="00111D50"/>
    <w:rsid w:val="00112CA3"/>
    <w:rsid w:val="00116A9E"/>
    <w:rsid w:val="00121280"/>
    <w:rsid w:val="00121A03"/>
    <w:rsid w:val="00122BAB"/>
    <w:rsid w:val="001303EE"/>
    <w:rsid w:val="00132043"/>
    <w:rsid w:val="001344B9"/>
    <w:rsid w:val="00137C48"/>
    <w:rsid w:val="00141170"/>
    <w:rsid w:val="00143CA8"/>
    <w:rsid w:val="00154051"/>
    <w:rsid w:val="00170A6D"/>
    <w:rsid w:val="00174FEA"/>
    <w:rsid w:val="00175740"/>
    <w:rsid w:val="001826D4"/>
    <w:rsid w:val="00182D41"/>
    <w:rsid w:val="001858C4"/>
    <w:rsid w:val="001904AB"/>
    <w:rsid w:val="00192C4F"/>
    <w:rsid w:val="00194684"/>
    <w:rsid w:val="00197747"/>
    <w:rsid w:val="001A05FF"/>
    <w:rsid w:val="001A1F39"/>
    <w:rsid w:val="001B46B1"/>
    <w:rsid w:val="001B4CFC"/>
    <w:rsid w:val="001C1340"/>
    <w:rsid w:val="001C4858"/>
    <w:rsid w:val="001D648A"/>
    <w:rsid w:val="001D6D53"/>
    <w:rsid w:val="001E2810"/>
    <w:rsid w:val="001E29A5"/>
    <w:rsid w:val="001E30FD"/>
    <w:rsid w:val="001E3AC6"/>
    <w:rsid w:val="001F42C8"/>
    <w:rsid w:val="00202A96"/>
    <w:rsid w:val="00203BF6"/>
    <w:rsid w:val="0020611F"/>
    <w:rsid w:val="00211F4A"/>
    <w:rsid w:val="00217F9C"/>
    <w:rsid w:val="00230AB8"/>
    <w:rsid w:val="00242B78"/>
    <w:rsid w:val="00245446"/>
    <w:rsid w:val="0025061E"/>
    <w:rsid w:val="0025163F"/>
    <w:rsid w:val="00251765"/>
    <w:rsid w:val="002651F8"/>
    <w:rsid w:val="0028203A"/>
    <w:rsid w:val="0029112A"/>
    <w:rsid w:val="00291B3B"/>
    <w:rsid w:val="00292F26"/>
    <w:rsid w:val="002938E7"/>
    <w:rsid w:val="00294CDE"/>
    <w:rsid w:val="002A4502"/>
    <w:rsid w:val="002B34C1"/>
    <w:rsid w:val="002B58E6"/>
    <w:rsid w:val="002B6676"/>
    <w:rsid w:val="002B7603"/>
    <w:rsid w:val="002C1F9F"/>
    <w:rsid w:val="002C43E9"/>
    <w:rsid w:val="002C5BB6"/>
    <w:rsid w:val="002D2777"/>
    <w:rsid w:val="002E2B7D"/>
    <w:rsid w:val="002E4368"/>
    <w:rsid w:val="002E5371"/>
    <w:rsid w:val="002F40D5"/>
    <w:rsid w:val="003003CE"/>
    <w:rsid w:val="00300419"/>
    <w:rsid w:val="00304590"/>
    <w:rsid w:val="00315C09"/>
    <w:rsid w:val="00316D4A"/>
    <w:rsid w:val="00332F47"/>
    <w:rsid w:val="003379F6"/>
    <w:rsid w:val="00340DE9"/>
    <w:rsid w:val="0034354E"/>
    <w:rsid w:val="003527A9"/>
    <w:rsid w:val="00354674"/>
    <w:rsid w:val="00356573"/>
    <w:rsid w:val="00370378"/>
    <w:rsid w:val="00373167"/>
    <w:rsid w:val="00376B5C"/>
    <w:rsid w:val="00386EE0"/>
    <w:rsid w:val="0039103E"/>
    <w:rsid w:val="00394450"/>
    <w:rsid w:val="003978B9"/>
    <w:rsid w:val="003A2EC5"/>
    <w:rsid w:val="003B147B"/>
    <w:rsid w:val="003B45FE"/>
    <w:rsid w:val="003C1D18"/>
    <w:rsid w:val="003C25E2"/>
    <w:rsid w:val="003C4A90"/>
    <w:rsid w:val="003D69EA"/>
    <w:rsid w:val="003E6E08"/>
    <w:rsid w:val="003F0B44"/>
    <w:rsid w:val="003F6E60"/>
    <w:rsid w:val="00402FA2"/>
    <w:rsid w:val="0040344B"/>
    <w:rsid w:val="0040444D"/>
    <w:rsid w:val="00404EA6"/>
    <w:rsid w:val="004053CA"/>
    <w:rsid w:val="00407A36"/>
    <w:rsid w:val="0042306B"/>
    <w:rsid w:val="00430209"/>
    <w:rsid w:val="00430770"/>
    <w:rsid w:val="0043601C"/>
    <w:rsid w:val="004421EE"/>
    <w:rsid w:val="00443ED9"/>
    <w:rsid w:val="004470A4"/>
    <w:rsid w:val="00464DB1"/>
    <w:rsid w:val="00470CB6"/>
    <w:rsid w:val="004766A1"/>
    <w:rsid w:val="00476C9F"/>
    <w:rsid w:val="00493869"/>
    <w:rsid w:val="00495FF2"/>
    <w:rsid w:val="004A079A"/>
    <w:rsid w:val="004A2EB5"/>
    <w:rsid w:val="004A7247"/>
    <w:rsid w:val="004A79A1"/>
    <w:rsid w:val="004C35D5"/>
    <w:rsid w:val="004C6DC4"/>
    <w:rsid w:val="004E0605"/>
    <w:rsid w:val="004E4D12"/>
    <w:rsid w:val="004E5BF1"/>
    <w:rsid w:val="004E66EC"/>
    <w:rsid w:val="004E74A8"/>
    <w:rsid w:val="004F04A9"/>
    <w:rsid w:val="004F2663"/>
    <w:rsid w:val="004F6AD2"/>
    <w:rsid w:val="00503064"/>
    <w:rsid w:val="00506877"/>
    <w:rsid w:val="005107BA"/>
    <w:rsid w:val="005123F2"/>
    <w:rsid w:val="00517C40"/>
    <w:rsid w:val="00524233"/>
    <w:rsid w:val="0052698E"/>
    <w:rsid w:val="005278B4"/>
    <w:rsid w:val="00533937"/>
    <w:rsid w:val="00536D03"/>
    <w:rsid w:val="00541772"/>
    <w:rsid w:val="00551AE0"/>
    <w:rsid w:val="005608A9"/>
    <w:rsid w:val="005610A6"/>
    <w:rsid w:val="005638A7"/>
    <w:rsid w:val="00567FA4"/>
    <w:rsid w:val="00571313"/>
    <w:rsid w:val="00571C60"/>
    <w:rsid w:val="0057314E"/>
    <w:rsid w:val="00576E70"/>
    <w:rsid w:val="00580AAF"/>
    <w:rsid w:val="00580C1D"/>
    <w:rsid w:val="00581221"/>
    <w:rsid w:val="0059359C"/>
    <w:rsid w:val="0059732B"/>
    <w:rsid w:val="005A6101"/>
    <w:rsid w:val="005B4311"/>
    <w:rsid w:val="005C0D53"/>
    <w:rsid w:val="005C5ADC"/>
    <w:rsid w:val="005D0816"/>
    <w:rsid w:val="005D084D"/>
    <w:rsid w:val="005D30F1"/>
    <w:rsid w:val="005D3D2C"/>
    <w:rsid w:val="005D5AD8"/>
    <w:rsid w:val="005E38CE"/>
    <w:rsid w:val="005E6494"/>
    <w:rsid w:val="005F0004"/>
    <w:rsid w:val="00604796"/>
    <w:rsid w:val="00610C50"/>
    <w:rsid w:val="006135FE"/>
    <w:rsid w:val="00613731"/>
    <w:rsid w:val="00614646"/>
    <w:rsid w:val="0061788C"/>
    <w:rsid w:val="006178E9"/>
    <w:rsid w:val="0062429A"/>
    <w:rsid w:val="00624BED"/>
    <w:rsid w:val="00626962"/>
    <w:rsid w:val="00630686"/>
    <w:rsid w:val="006324F8"/>
    <w:rsid w:val="00637A0D"/>
    <w:rsid w:val="00646BC7"/>
    <w:rsid w:val="00646FFF"/>
    <w:rsid w:val="00651CB7"/>
    <w:rsid w:val="0065268E"/>
    <w:rsid w:val="0066395A"/>
    <w:rsid w:val="00663D46"/>
    <w:rsid w:val="00666CA6"/>
    <w:rsid w:val="00667A46"/>
    <w:rsid w:val="0067402B"/>
    <w:rsid w:val="00677D84"/>
    <w:rsid w:val="00680775"/>
    <w:rsid w:val="006824FC"/>
    <w:rsid w:val="006A4BD3"/>
    <w:rsid w:val="006A5535"/>
    <w:rsid w:val="006B3E88"/>
    <w:rsid w:val="006B48E9"/>
    <w:rsid w:val="006B628A"/>
    <w:rsid w:val="006C0101"/>
    <w:rsid w:val="006C15C9"/>
    <w:rsid w:val="006C2B13"/>
    <w:rsid w:val="006D1323"/>
    <w:rsid w:val="006D1869"/>
    <w:rsid w:val="006E1C22"/>
    <w:rsid w:val="006E2CC6"/>
    <w:rsid w:val="006F0DB3"/>
    <w:rsid w:val="006F356C"/>
    <w:rsid w:val="006F5CE2"/>
    <w:rsid w:val="006F747A"/>
    <w:rsid w:val="00704A3B"/>
    <w:rsid w:val="00704B3B"/>
    <w:rsid w:val="00706BDC"/>
    <w:rsid w:val="00711D74"/>
    <w:rsid w:val="007148AA"/>
    <w:rsid w:val="00717B5F"/>
    <w:rsid w:val="00723401"/>
    <w:rsid w:val="00741BAF"/>
    <w:rsid w:val="00741EDD"/>
    <w:rsid w:val="00743941"/>
    <w:rsid w:val="00752B56"/>
    <w:rsid w:val="007567C2"/>
    <w:rsid w:val="007654B1"/>
    <w:rsid w:val="00765BE2"/>
    <w:rsid w:val="00765FAC"/>
    <w:rsid w:val="007712A9"/>
    <w:rsid w:val="00772218"/>
    <w:rsid w:val="0078373D"/>
    <w:rsid w:val="00791FC6"/>
    <w:rsid w:val="00794233"/>
    <w:rsid w:val="00796018"/>
    <w:rsid w:val="007A6EF8"/>
    <w:rsid w:val="007A7883"/>
    <w:rsid w:val="007B7224"/>
    <w:rsid w:val="007C215F"/>
    <w:rsid w:val="007C4007"/>
    <w:rsid w:val="007C5937"/>
    <w:rsid w:val="007D3E17"/>
    <w:rsid w:val="007E0690"/>
    <w:rsid w:val="007E3D2E"/>
    <w:rsid w:val="007E5517"/>
    <w:rsid w:val="007F28D5"/>
    <w:rsid w:val="007F63BE"/>
    <w:rsid w:val="008030D0"/>
    <w:rsid w:val="00804BF8"/>
    <w:rsid w:val="00804F83"/>
    <w:rsid w:val="00806013"/>
    <w:rsid w:val="00810178"/>
    <w:rsid w:val="00823515"/>
    <w:rsid w:val="00837021"/>
    <w:rsid w:val="00841D4A"/>
    <w:rsid w:val="00846688"/>
    <w:rsid w:val="0085417F"/>
    <w:rsid w:val="00860210"/>
    <w:rsid w:val="00861024"/>
    <w:rsid w:val="00866583"/>
    <w:rsid w:val="00873183"/>
    <w:rsid w:val="00874B46"/>
    <w:rsid w:val="00874EE0"/>
    <w:rsid w:val="00884CDE"/>
    <w:rsid w:val="00885D21"/>
    <w:rsid w:val="008A3156"/>
    <w:rsid w:val="008A761C"/>
    <w:rsid w:val="008B2E80"/>
    <w:rsid w:val="008B3609"/>
    <w:rsid w:val="008B450B"/>
    <w:rsid w:val="008C3B3D"/>
    <w:rsid w:val="008C4A90"/>
    <w:rsid w:val="008C6C3D"/>
    <w:rsid w:val="008C7C6B"/>
    <w:rsid w:val="008D38FC"/>
    <w:rsid w:val="008D4C01"/>
    <w:rsid w:val="008E03B2"/>
    <w:rsid w:val="008E3B6B"/>
    <w:rsid w:val="008E5C03"/>
    <w:rsid w:val="008F3389"/>
    <w:rsid w:val="0090018C"/>
    <w:rsid w:val="00923942"/>
    <w:rsid w:val="0092792F"/>
    <w:rsid w:val="00947333"/>
    <w:rsid w:val="00950986"/>
    <w:rsid w:val="009519A7"/>
    <w:rsid w:val="009524FF"/>
    <w:rsid w:val="00954761"/>
    <w:rsid w:val="00962C84"/>
    <w:rsid w:val="00963300"/>
    <w:rsid w:val="00964FDE"/>
    <w:rsid w:val="009661EE"/>
    <w:rsid w:val="0096799B"/>
    <w:rsid w:val="00970ABA"/>
    <w:rsid w:val="0097264D"/>
    <w:rsid w:val="00973567"/>
    <w:rsid w:val="009737EE"/>
    <w:rsid w:val="00975044"/>
    <w:rsid w:val="00981E6B"/>
    <w:rsid w:val="00982AD2"/>
    <w:rsid w:val="00985484"/>
    <w:rsid w:val="00986BD4"/>
    <w:rsid w:val="00986C64"/>
    <w:rsid w:val="00992464"/>
    <w:rsid w:val="009953DC"/>
    <w:rsid w:val="00997CA8"/>
    <w:rsid w:val="009A0D0F"/>
    <w:rsid w:val="009A6CD0"/>
    <w:rsid w:val="009B5E5C"/>
    <w:rsid w:val="009C1AAE"/>
    <w:rsid w:val="009C6558"/>
    <w:rsid w:val="009D262B"/>
    <w:rsid w:val="009D7507"/>
    <w:rsid w:val="009E02A7"/>
    <w:rsid w:val="009E177B"/>
    <w:rsid w:val="009F191F"/>
    <w:rsid w:val="009F517E"/>
    <w:rsid w:val="00A10DAD"/>
    <w:rsid w:val="00A3091E"/>
    <w:rsid w:val="00A355B9"/>
    <w:rsid w:val="00A35C3E"/>
    <w:rsid w:val="00A40CC0"/>
    <w:rsid w:val="00A443CA"/>
    <w:rsid w:val="00A530B6"/>
    <w:rsid w:val="00A57BD6"/>
    <w:rsid w:val="00A60610"/>
    <w:rsid w:val="00A61237"/>
    <w:rsid w:val="00A713A6"/>
    <w:rsid w:val="00A7227F"/>
    <w:rsid w:val="00A72F4D"/>
    <w:rsid w:val="00A747AF"/>
    <w:rsid w:val="00A7601E"/>
    <w:rsid w:val="00A87570"/>
    <w:rsid w:val="00A91982"/>
    <w:rsid w:val="00AA0F1A"/>
    <w:rsid w:val="00AA64BF"/>
    <w:rsid w:val="00AA655A"/>
    <w:rsid w:val="00AB195F"/>
    <w:rsid w:val="00AB1BC4"/>
    <w:rsid w:val="00AB25EE"/>
    <w:rsid w:val="00AB61D8"/>
    <w:rsid w:val="00AD1BF1"/>
    <w:rsid w:val="00AE13C2"/>
    <w:rsid w:val="00AE62D6"/>
    <w:rsid w:val="00AE7CEF"/>
    <w:rsid w:val="00AF2E87"/>
    <w:rsid w:val="00AF4FAB"/>
    <w:rsid w:val="00AF6090"/>
    <w:rsid w:val="00B06E4D"/>
    <w:rsid w:val="00B15C94"/>
    <w:rsid w:val="00B33003"/>
    <w:rsid w:val="00B36977"/>
    <w:rsid w:val="00B40FDC"/>
    <w:rsid w:val="00B42771"/>
    <w:rsid w:val="00B450E5"/>
    <w:rsid w:val="00B53CA4"/>
    <w:rsid w:val="00B67211"/>
    <w:rsid w:val="00B7224B"/>
    <w:rsid w:val="00B722B1"/>
    <w:rsid w:val="00B761CC"/>
    <w:rsid w:val="00B7731F"/>
    <w:rsid w:val="00B8029B"/>
    <w:rsid w:val="00B822AF"/>
    <w:rsid w:val="00B8337C"/>
    <w:rsid w:val="00B840F0"/>
    <w:rsid w:val="00B86DC3"/>
    <w:rsid w:val="00BA59B9"/>
    <w:rsid w:val="00BA5DA6"/>
    <w:rsid w:val="00BB143E"/>
    <w:rsid w:val="00BB1665"/>
    <w:rsid w:val="00BB7259"/>
    <w:rsid w:val="00BC3A1D"/>
    <w:rsid w:val="00BC3E2B"/>
    <w:rsid w:val="00BC4F7A"/>
    <w:rsid w:val="00BC6FE6"/>
    <w:rsid w:val="00BD0F88"/>
    <w:rsid w:val="00BD1D07"/>
    <w:rsid w:val="00BD39B4"/>
    <w:rsid w:val="00BD3F61"/>
    <w:rsid w:val="00BD6A47"/>
    <w:rsid w:val="00BD72BB"/>
    <w:rsid w:val="00BD76AF"/>
    <w:rsid w:val="00BE0D29"/>
    <w:rsid w:val="00BE75B1"/>
    <w:rsid w:val="00BF223A"/>
    <w:rsid w:val="00BF2C98"/>
    <w:rsid w:val="00BF59D7"/>
    <w:rsid w:val="00C03D41"/>
    <w:rsid w:val="00C06317"/>
    <w:rsid w:val="00C06E7D"/>
    <w:rsid w:val="00C06F1C"/>
    <w:rsid w:val="00C138CB"/>
    <w:rsid w:val="00C224B3"/>
    <w:rsid w:val="00C30480"/>
    <w:rsid w:val="00C31ACC"/>
    <w:rsid w:val="00C401E9"/>
    <w:rsid w:val="00C531AD"/>
    <w:rsid w:val="00C60170"/>
    <w:rsid w:val="00C6025D"/>
    <w:rsid w:val="00C65AE6"/>
    <w:rsid w:val="00C70602"/>
    <w:rsid w:val="00C722EE"/>
    <w:rsid w:val="00C73420"/>
    <w:rsid w:val="00C75F2F"/>
    <w:rsid w:val="00C777EB"/>
    <w:rsid w:val="00C834DB"/>
    <w:rsid w:val="00C83D32"/>
    <w:rsid w:val="00C87DA4"/>
    <w:rsid w:val="00C911D0"/>
    <w:rsid w:val="00C91227"/>
    <w:rsid w:val="00C92CD0"/>
    <w:rsid w:val="00C96920"/>
    <w:rsid w:val="00CA0996"/>
    <w:rsid w:val="00CA40C9"/>
    <w:rsid w:val="00CA4C1A"/>
    <w:rsid w:val="00CB2C2E"/>
    <w:rsid w:val="00CC4693"/>
    <w:rsid w:val="00CC5CEB"/>
    <w:rsid w:val="00CC655C"/>
    <w:rsid w:val="00CD2097"/>
    <w:rsid w:val="00CD2AE4"/>
    <w:rsid w:val="00CD48EC"/>
    <w:rsid w:val="00CE3DA9"/>
    <w:rsid w:val="00CE6A3E"/>
    <w:rsid w:val="00CE71AE"/>
    <w:rsid w:val="00CF5B9E"/>
    <w:rsid w:val="00D02AEE"/>
    <w:rsid w:val="00D04ED1"/>
    <w:rsid w:val="00D102A9"/>
    <w:rsid w:val="00D10FBB"/>
    <w:rsid w:val="00D1231B"/>
    <w:rsid w:val="00D16FDF"/>
    <w:rsid w:val="00D22814"/>
    <w:rsid w:val="00D25CE1"/>
    <w:rsid w:val="00D26626"/>
    <w:rsid w:val="00D27588"/>
    <w:rsid w:val="00D36077"/>
    <w:rsid w:val="00D363E7"/>
    <w:rsid w:val="00D57A12"/>
    <w:rsid w:val="00D63B88"/>
    <w:rsid w:val="00D71B87"/>
    <w:rsid w:val="00D73EE4"/>
    <w:rsid w:val="00D75BA3"/>
    <w:rsid w:val="00D82D81"/>
    <w:rsid w:val="00D85666"/>
    <w:rsid w:val="00D85FE4"/>
    <w:rsid w:val="00D86A43"/>
    <w:rsid w:val="00D919B4"/>
    <w:rsid w:val="00D9439B"/>
    <w:rsid w:val="00D95856"/>
    <w:rsid w:val="00DA1E25"/>
    <w:rsid w:val="00DA305F"/>
    <w:rsid w:val="00DA4273"/>
    <w:rsid w:val="00DB7233"/>
    <w:rsid w:val="00DB755A"/>
    <w:rsid w:val="00DB7F1C"/>
    <w:rsid w:val="00DC55ED"/>
    <w:rsid w:val="00DC7B26"/>
    <w:rsid w:val="00DD0857"/>
    <w:rsid w:val="00DD224A"/>
    <w:rsid w:val="00DD6234"/>
    <w:rsid w:val="00DE28BC"/>
    <w:rsid w:val="00DE2D7E"/>
    <w:rsid w:val="00E03C80"/>
    <w:rsid w:val="00E13E50"/>
    <w:rsid w:val="00E15160"/>
    <w:rsid w:val="00E16BEF"/>
    <w:rsid w:val="00E20F6B"/>
    <w:rsid w:val="00E21781"/>
    <w:rsid w:val="00E258F6"/>
    <w:rsid w:val="00E31FF2"/>
    <w:rsid w:val="00E32186"/>
    <w:rsid w:val="00E3781C"/>
    <w:rsid w:val="00E378F8"/>
    <w:rsid w:val="00E4677B"/>
    <w:rsid w:val="00E473C0"/>
    <w:rsid w:val="00E51AAE"/>
    <w:rsid w:val="00E51E78"/>
    <w:rsid w:val="00E56E9A"/>
    <w:rsid w:val="00E6190C"/>
    <w:rsid w:val="00E62CD5"/>
    <w:rsid w:val="00E656C7"/>
    <w:rsid w:val="00E7071E"/>
    <w:rsid w:val="00E75416"/>
    <w:rsid w:val="00E8609A"/>
    <w:rsid w:val="00E86A65"/>
    <w:rsid w:val="00E950F5"/>
    <w:rsid w:val="00E9760C"/>
    <w:rsid w:val="00E97F1D"/>
    <w:rsid w:val="00EA2E15"/>
    <w:rsid w:val="00ED7577"/>
    <w:rsid w:val="00ED7A5C"/>
    <w:rsid w:val="00EE1133"/>
    <w:rsid w:val="00EE3C91"/>
    <w:rsid w:val="00EE3E5E"/>
    <w:rsid w:val="00EE68E5"/>
    <w:rsid w:val="00EF1180"/>
    <w:rsid w:val="00EF1488"/>
    <w:rsid w:val="00EF2822"/>
    <w:rsid w:val="00EF3507"/>
    <w:rsid w:val="00EF4FE4"/>
    <w:rsid w:val="00EF51C1"/>
    <w:rsid w:val="00EF6509"/>
    <w:rsid w:val="00F00623"/>
    <w:rsid w:val="00F02997"/>
    <w:rsid w:val="00F03C14"/>
    <w:rsid w:val="00F1092D"/>
    <w:rsid w:val="00F1291F"/>
    <w:rsid w:val="00F14C95"/>
    <w:rsid w:val="00F27C6B"/>
    <w:rsid w:val="00F34B81"/>
    <w:rsid w:val="00F462A0"/>
    <w:rsid w:val="00F6230C"/>
    <w:rsid w:val="00F624E7"/>
    <w:rsid w:val="00F62EBE"/>
    <w:rsid w:val="00F64154"/>
    <w:rsid w:val="00F736F5"/>
    <w:rsid w:val="00F763B9"/>
    <w:rsid w:val="00F82150"/>
    <w:rsid w:val="00F82EA4"/>
    <w:rsid w:val="00F83BAB"/>
    <w:rsid w:val="00F85144"/>
    <w:rsid w:val="00F91FA6"/>
    <w:rsid w:val="00FA359B"/>
    <w:rsid w:val="00FA4EC0"/>
    <w:rsid w:val="00FA5755"/>
    <w:rsid w:val="00FA59E6"/>
    <w:rsid w:val="00FB1F8B"/>
    <w:rsid w:val="00FB3211"/>
    <w:rsid w:val="00FB39C7"/>
    <w:rsid w:val="00FB4104"/>
    <w:rsid w:val="00FE2ECA"/>
    <w:rsid w:val="00FE2FD8"/>
    <w:rsid w:val="00FE5898"/>
    <w:rsid w:val="00FF20B1"/>
    <w:rsid w:val="00FF23EF"/>
    <w:rsid w:val="00FF4520"/>
    <w:rsid w:val="00FF6ECC"/>
    <w:rsid w:val="00FF7573"/>
    <w:rsid w:val="0102732C"/>
    <w:rsid w:val="020531A4"/>
    <w:rsid w:val="02EB2B3C"/>
    <w:rsid w:val="031C2068"/>
    <w:rsid w:val="058C52DE"/>
    <w:rsid w:val="08353B79"/>
    <w:rsid w:val="08E61B30"/>
    <w:rsid w:val="09186479"/>
    <w:rsid w:val="09D4019B"/>
    <w:rsid w:val="0A084B1E"/>
    <w:rsid w:val="0B9C1282"/>
    <w:rsid w:val="0BCB401C"/>
    <w:rsid w:val="0CC62566"/>
    <w:rsid w:val="0D081726"/>
    <w:rsid w:val="0D330F98"/>
    <w:rsid w:val="0DA5781F"/>
    <w:rsid w:val="0DDC2B21"/>
    <w:rsid w:val="0E132027"/>
    <w:rsid w:val="0E1B3DDC"/>
    <w:rsid w:val="0EA3178A"/>
    <w:rsid w:val="0EA832DE"/>
    <w:rsid w:val="0FAE7301"/>
    <w:rsid w:val="107668EC"/>
    <w:rsid w:val="10BB03B9"/>
    <w:rsid w:val="11296EEE"/>
    <w:rsid w:val="115377F4"/>
    <w:rsid w:val="11CB0F47"/>
    <w:rsid w:val="120370C0"/>
    <w:rsid w:val="125570EF"/>
    <w:rsid w:val="131961E1"/>
    <w:rsid w:val="139B1299"/>
    <w:rsid w:val="15684174"/>
    <w:rsid w:val="15BC147F"/>
    <w:rsid w:val="17B46DA6"/>
    <w:rsid w:val="19DE4A1C"/>
    <w:rsid w:val="1B610A1C"/>
    <w:rsid w:val="1C280533"/>
    <w:rsid w:val="1C992CFB"/>
    <w:rsid w:val="1CD74D5A"/>
    <w:rsid w:val="1D1B416E"/>
    <w:rsid w:val="1D484C98"/>
    <w:rsid w:val="1D4E3E71"/>
    <w:rsid w:val="1E545BDE"/>
    <w:rsid w:val="1EF53F2C"/>
    <w:rsid w:val="207E013C"/>
    <w:rsid w:val="20B74C9E"/>
    <w:rsid w:val="20EE444B"/>
    <w:rsid w:val="21600819"/>
    <w:rsid w:val="21764BB4"/>
    <w:rsid w:val="242F0D64"/>
    <w:rsid w:val="243F4048"/>
    <w:rsid w:val="24A57D3D"/>
    <w:rsid w:val="261D00C3"/>
    <w:rsid w:val="27482BFF"/>
    <w:rsid w:val="27624D47"/>
    <w:rsid w:val="2A061D6F"/>
    <w:rsid w:val="2AD576A6"/>
    <w:rsid w:val="2B7A3786"/>
    <w:rsid w:val="2BCE61AA"/>
    <w:rsid w:val="2D862153"/>
    <w:rsid w:val="2F4C62DB"/>
    <w:rsid w:val="2F60716A"/>
    <w:rsid w:val="2FFF28E3"/>
    <w:rsid w:val="316A620F"/>
    <w:rsid w:val="31B93455"/>
    <w:rsid w:val="326A6064"/>
    <w:rsid w:val="33553CA6"/>
    <w:rsid w:val="345D63A4"/>
    <w:rsid w:val="36E20E17"/>
    <w:rsid w:val="38704382"/>
    <w:rsid w:val="38E21624"/>
    <w:rsid w:val="39015189"/>
    <w:rsid w:val="392B516D"/>
    <w:rsid w:val="394919D0"/>
    <w:rsid w:val="396B765C"/>
    <w:rsid w:val="3A374711"/>
    <w:rsid w:val="3B082D4B"/>
    <w:rsid w:val="3C07613E"/>
    <w:rsid w:val="3C555F2E"/>
    <w:rsid w:val="3D0C293C"/>
    <w:rsid w:val="3D622C7D"/>
    <w:rsid w:val="3E886B03"/>
    <w:rsid w:val="3E931F89"/>
    <w:rsid w:val="3ECD6522"/>
    <w:rsid w:val="3F1033EB"/>
    <w:rsid w:val="3F13002C"/>
    <w:rsid w:val="414663AC"/>
    <w:rsid w:val="417D0D16"/>
    <w:rsid w:val="4186196B"/>
    <w:rsid w:val="42847B0C"/>
    <w:rsid w:val="42946633"/>
    <w:rsid w:val="44C5017A"/>
    <w:rsid w:val="453F54BA"/>
    <w:rsid w:val="45514C30"/>
    <w:rsid w:val="463F7673"/>
    <w:rsid w:val="46C36BC2"/>
    <w:rsid w:val="48E35E7A"/>
    <w:rsid w:val="4AA96F28"/>
    <w:rsid w:val="4B3317B5"/>
    <w:rsid w:val="4B405D3D"/>
    <w:rsid w:val="4C480F30"/>
    <w:rsid w:val="4C4C16A7"/>
    <w:rsid w:val="4C8037FA"/>
    <w:rsid w:val="4C89323B"/>
    <w:rsid w:val="4D9F5EA6"/>
    <w:rsid w:val="4FF36326"/>
    <w:rsid w:val="51526840"/>
    <w:rsid w:val="52232BF0"/>
    <w:rsid w:val="5272764F"/>
    <w:rsid w:val="534A086B"/>
    <w:rsid w:val="53691F9B"/>
    <w:rsid w:val="53C90016"/>
    <w:rsid w:val="542B0B31"/>
    <w:rsid w:val="56F8161E"/>
    <w:rsid w:val="56F83DC4"/>
    <w:rsid w:val="57C71D36"/>
    <w:rsid w:val="594E091A"/>
    <w:rsid w:val="59934F39"/>
    <w:rsid w:val="5A4A15C3"/>
    <w:rsid w:val="5B271CAD"/>
    <w:rsid w:val="5B405276"/>
    <w:rsid w:val="5B927303"/>
    <w:rsid w:val="5C0E7A99"/>
    <w:rsid w:val="5CB03044"/>
    <w:rsid w:val="5D225C11"/>
    <w:rsid w:val="5DA805E2"/>
    <w:rsid w:val="5DAA6A4F"/>
    <w:rsid w:val="5E300EDA"/>
    <w:rsid w:val="5E610402"/>
    <w:rsid w:val="5E73581B"/>
    <w:rsid w:val="5EAB639B"/>
    <w:rsid w:val="5F2A7D2E"/>
    <w:rsid w:val="5F7F592E"/>
    <w:rsid w:val="5F916509"/>
    <w:rsid w:val="5FAC6111"/>
    <w:rsid w:val="605E50CE"/>
    <w:rsid w:val="608950C2"/>
    <w:rsid w:val="608E0034"/>
    <w:rsid w:val="60D97963"/>
    <w:rsid w:val="60ED2D8C"/>
    <w:rsid w:val="61B06043"/>
    <w:rsid w:val="620F3ECA"/>
    <w:rsid w:val="62A169BE"/>
    <w:rsid w:val="62FA5C22"/>
    <w:rsid w:val="65661CED"/>
    <w:rsid w:val="65DD3B56"/>
    <w:rsid w:val="67522059"/>
    <w:rsid w:val="67A261D5"/>
    <w:rsid w:val="68442558"/>
    <w:rsid w:val="68940BB6"/>
    <w:rsid w:val="6938776C"/>
    <w:rsid w:val="695C62BB"/>
    <w:rsid w:val="6A764478"/>
    <w:rsid w:val="6BA04486"/>
    <w:rsid w:val="6CC452A4"/>
    <w:rsid w:val="6CFE584D"/>
    <w:rsid w:val="6E6E561F"/>
    <w:rsid w:val="6EE9485F"/>
    <w:rsid w:val="716342F2"/>
    <w:rsid w:val="72C20D55"/>
    <w:rsid w:val="72DB5C6F"/>
    <w:rsid w:val="73370F84"/>
    <w:rsid w:val="746F690E"/>
    <w:rsid w:val="74D015E5"/>
    <w:rsid w:val="75154903"/>
    <w:rsid w:val="760E481F"/>
    <w:rsid w:val="79224C5E"/>
    <w:rsid w:val="79F849F1"/>
    <w:rsid w:val="7BCD7AFB"/>
    <w:rsid w:val="7C372F4A"/>
    <w:rsid w:val="7F5C5228"/>
    <w:rsid w:val="7F983D01"/>
    <w:rsid w:val="7FF66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64"/>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toc 7"/>
    <w:basedOn w:val="1"/>
    <w:next w:val="1"/>
    <w:qFormat/>
    <w:uiPriority w:val="0"/>
    <w:pPr>
      <w:ind w:left="2520" w:leftChars="1200"/>
    </w:pPr>
  </w:style>
  <w:style w:type="paragraph" w:styleId="5">
    <w:name w:val="Normal Indent"/>
    <w:basedOn w:val="1"/>
    <w:qFormat/>
    <w:uiPriority w:val="0"/>
    <w:pPr>
      <w:ind w:firstLine="420" w:firstLineChars="200"/>
    </w:pPr>
    <w:rPr>
      <w:szCs w:val="24"/>
    </w:rPr>
  </w:style>
  <w:style w:type="paragraph" w:styleId="6">
    <w:name w:val="Document Map"/>
    <w:basedOn w:val="1"/>
    <w:link w:val="68"/>
    <w:qFormat/>
    <w:uiPriority w:val="0"/>
    <w:pPr>
      <w:shd w:val="clear" w:color="auto" w:fill="000080"/>
    </w:pPr>
  </w:style>
  <w:style w:type="paragraph" w:styleId="7">
    <w:name w:val="annotation text"/>
    <w:basedOn w:val="1"/>
    <w:link w:val="71"/>
    <w:qFormat/>
    <w:uiPriority w:val="0"/>
    <w:pPr>
      <w:jc w:val="left"/>
    </w:pPr>
  </w:style>
  <w:style w:type="paragraph" w:styleId="8">
    <w:name w:val="Body Text Indent"/>
    <w:basedOn w:val="1"/>
    <w:link w:val="67"/>
    <w:qFormat/>
    <w:uiPriority w:val="0"/>
    <w:pPr>
      <w:ind w:firstLine="480" w:firstLineChars="200"/>
    </w:pPr>
    <w:rPr>
      <w:sz w:val="24"/>
    </w:rPr>
  </w:style>
  <w:style w:type="paragraph" w:styleId="9">
    <w:name w:val="List 2"/>
    <w:basedOn w:val="1"/>
    <w:qFormat/>
    <w:uiPriority w:val="0"/>
    <w:pPr>
      <w:ind w:left="100" w:leftChars="200" w:hanging="200" w:hangingChars="200"/>
      <w:contextualSpacing/>
    </w:pPr>
    <w:rPr>
      <w:szCs w:val="24"/>
    </w:rPr>
  </w:style>
  <w:style w:type="paragraph" w:styleId="10">
    <w:name w:val="Plain Text"/>
    <w:basedOn w:val="1"/>
    <w:link w:val="70"/>
    <w:qFormat/>
    <w:uiPriority w:val="0"/>
    <w:rPr>
      <w:rFonts w:ascii="宋体" w:hAnsi="Courier New" w:cs="Courier New"/>
      <w:szCs w:val="21"/>
    </w:rPr>
  </w:style>
  <w:style w:type="paragraph" w:styleId="11">
    <w:name w:val="toc 8"/>
    <w:basedOn w:val="4"/>
    <w:next w:val="1"/>
    <w:qFormat/>
    <w:uiPriority w:val="0"/>
    <w:pPr>
      <w:widowControl/>
      <w:tabs>
        <w:tab w:val="left" w:pos="9000"/>
      </w:tabs>
      <w:ind w:left="0" w:leftChars="0"/>
    </w:pPr>
    <w:rPr>
      <w:rFonts w:ascii="宋体"/>
      <w:kern w:val="0"/>
    </w:rPr>
  </w:style>
  <w:style w:type="paragraph" w:styleId="12">
    <w:name w:val="Date"/>
    <w:basedOn w:val="1"/>
    <w:next w:val="1"/>
    <w:link w:val="74"/>
    <w:qFormat/>
    <w:uiPriority w:val="0"/>
    <w:pPr>
      <w:ind w:left="100" w:leftChars="2500"/>
    </w:pPr>
  </w:style>
  <w:style w:type="paragraph" w:styleId="13">
    <w:name w:val="Balloon Text"/>
    <w:basedOn w:val="1"/>
    <w:link w:val="69"/>
    <w:qFormat/>
    <w:uiPriority w:val="0"/>
    <w:rPr>
      <w:sz w:val="18"/>
    </w:rPr>
  </w:style>
  <w:style w:type="paragraph" w:styleId="14">
    <w:name w:val="footer"/>
    <w:basedOn w:val="1"/>
    <w:link w:val="63"/>
    <w:unhideWhenUsed/>
    <w:qFormat/>
    <w:uiPriority w:val="0"/>
    <w:pPr>
      <w:tabs>
        <w:tab w:val="center" w:pos="4153"/>
        <w:tab w:val="right" w:pos="8306"/>
      </w:tabs>
      <w:snapToGrid w:val="0"/>
      <w:jc w:val="left"/>
    </w:pPr>
    <w:rPr>
      <w:sz w:val="18"/>
      <w:szCs w:val="18"/>
    </w:rPr>
  </w:style>
  <w:style w:type="paragraph" w:styleId="15">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66"/>
    <w:qFormat/>
    <w:uiPriority w:val="0"/>
    <w:pPr>
      <w:snapToGrid w:val="0"/>
      <w:jc w:val="left"/>
    </w:pPr>
    <w:rPr>
      <w:sz w:val="18"/>
    </w:rPr>
  </w:style>
  <w:style w:type="paragraph" w:styleId="17">
    <w:name w:val="annotation subject"/>
    <w:basedOn w:val="7"/>
    <w:next w:val="7"/>
    <w:link w:val="72"/>
    <w:qFormat/>
    <w:uiPriority w:val="0"/>
    <w:rPr>
      <w:b/>
      <w:bCs/>
    </w:rPr>
  </w:style>
  <w:style w:type="table" w:styleId="19">
    <w:name w:val="Table Grid"/>
    <w:basedOn w:val="1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Emphasis"/>
    <w:basedOn w:val="20"/>
    <w:qFormat/>
    <w:uiPriority w:val="20"/>
    <w:rPr>
      <w:i/>
      <w:iCs/>
    </w:rPr>
  </w:style>
  <w:style w:type="character" w:styleId="23">
    <w:name w:val="Hyperlink"/>
    <w:basedOn w:val="20"/>
    <w:qFormat/>
    <w:uiPriority w:val="0"/>
    <w:rPr>
      <w:color w:val="261CDC"/>
      <w:u w:val="single"/>
    </w:rPr>
  </w:style>
  <w:style w:type="character" w:styleId="24">
    <w:name w:val="annotation reference"/>
    <w:basedOn w:val="20"/>
    <w:qFormat/>
    <w:uiPriority w:val="0"/>
    <w:rPr>
      <w:sz w:val="21"/>
      <w:szCs w:val="21"/>
    </w:rPr>
  </w:style>
  <w:style w:type="character" w:styleId="25">
    <w:name w:val="footnote reference"/>
    <w:basedOn w:val="20"/>
    <w:qFormat/>
    <w:uiPriority w:val="0"/>
    <w:rPr>
      <w:vertAlign w:val="superscript"/>
    </w:rPr>
  </w:style>
  <w:style w:type="paragraph" w:customStyle="1" w:styleId="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2">
    <w:name w:val="段"/>
    <w:link w:val="65"/>
    <w:qFormat/>
    <w:uiPriority w:val="0"/>
    <w:pPr>
      <w:autoSpaceDE w:val="0"/>
      <w:autoSpaceDN w:val="0"/>
      <w:ind w:firstLine="200" w:firstLineChars="200"/>
      <w:jc w:val="both"/>
    </w:pPr>
    <w:rPr>
      <w:rFonts w:ascii="宋体" w:hAnsi="Calibri" w:eastAsia="宋体" w:cs="黑体"/>
      <w:kern w:val="2"/>
      <w:sz w:val="21"/>
      <w:szCs w:val="22"/>
      <w:lang w:val="en-US" w:eastAsia="zh-CN" w:bidi="ar-SA"/>
    </w:rPr>
  </w:style>
  <w:style w:type="paragraph" w:customStyle="1" w:styleId="33">
    <w:name w:val="附录三级条标题"/>
    <w:basedOn w:val="34"/>
    <w:next w:val="32"/>
    <w:qFormat/>
    <w:uiPriority w:val="0"/>
    <w:pPr>
      <w:outlineLvl w:val="4"/>
    </w:pPr>
  </w:style>
  <w:style w:type="paragraph" w:customStyle="1" w:styleId="34">
    <w:name w:val="附录二级条标题"/>
    <w:basedOn w:val="35"/>
    <w:next w:val="32"/>
    <w:qFormat/>
    <w:uiPriority w:val="0"/>
    <w:pPr>
      <w:outlineLvl w:val="3"/>
    </w:pPr>
  </w:style>
  <w:style w:type="paragraph" w:customStyle="1" w:styleId="35">
    <w:name w:val="附录一级条标题"/>
    <w:basedOn w:val="1"/>
    <w:next w:val="32"/>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6">
    <w:name w:val="附录标识"/>
    <w:basedOn w:val="28"/>
    <w:qFormat/>
    <w:uiPriority w:val="0"/>
    <w:pPr>
      <w:tabs>
        <w:tab w:val="left" w:pos="6405"/>
        <w:tab w:val="clear" w:pos="720"/>
      </w:tabs>
      <w:spacing w:after="200"/>
    </w:pPr>
    <w:rPr>
      <w:sz w:val="21"/>
    </w:rPr>
  </w:style>
  <w:style w:type="paragraph" w:customStyle="1" w:styleId="37">
    <w:name w:val="二级条标题"/>
    <w:basedOn w:val="38"/>
    <w:next w:val="32"/>
    <w:qFormat/>
    <w:uiPriority w:val="0"/>
  </w:style>
  <w:style w:type="paragraph" w:customStyle="1" w:styleId="38">
    <w:name w:val="一级条标题"/>
    <w:basedOn w:val="39"/>
    <w:next w:val="32"/>
    <w:qFormat/>
    <w:uiPriority w:val="0"/>
    <w:pPr>
      <w:spacing w:beforeLines="0" w:afterLines="0"/>
      <w:outlineLvl w:val="2"/>
    </w:pPr>
  </w:style>
  <w:style w:type="paragraph" w:customStyle="1" w:styleId="39">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
    <w:name w:val="标准书眉_偶数页"/>
    <w:basedOn w:val="29"/>
    <w:next w:val="1"/>
    <w:qFormat/>
    <w:uiPriority w:val="0"/>
    <w:pPr>
      <w:jc w:val="left"/>
    </w:pPr>
  </w:style>
  <w:style w:type="paragraph" w:customStyle="1" w:styleId="44">
    <w:name w:val="三级条标题"/>
    <w:basedOn w:val="1"/>
    <w:next w:val="32"/>
    <w:qFormat/>
    <w:uiPriority w:val="0"/>
    <w:pPr>
      <w:widowControl/>
      <w:outlineLvl w:val="4"/>
    </w:pPr>
    <w:rPr>
      <w:rFonts w:ascii="黑体" w:hAnsi="宋体" w:eastAsia="黑体"/>
      <w:kern w:val="0"/>
    </w:rPr>
  </w:style>
  <w:style w:type="paragraph" w:customStyle="1" w:styleId="45">
    <w:name w:val="四级条标题"/>
    <w:basedOn w:val="44"/>
    <w:next w:val="32"/>
    <w:qFormat/>
    <w:uiPriority w:val="0"/>
    <w:pPr>
      <w:outlineLvl w:val="5"/>
    </w:pPr>
  </w:style>
  <w:style w:type="paragraph" w:customStyle="1" w:styleId="46">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47">
    <w:name w:val="附录图标题"/>
    <w:next w:val="32"/>
    <w:qFormat/>
    <w:uiPriority w:val="0"/>
    <w:pPr>
      <w:tabs>
        <w:tab w:val="left" w:pos="360"/>
      </w:tabs>
      <w:jc w:val="center"/>
    </w:pPr>
    <w:rPr>
      <w:rFonts w:ascii="黑体" w:hAnsi="Times New Roman" w:eastAsia="黑体" w:cs="Times New Roman"/>
      <w:sz w:val="21"/>
      <w:lang w:val="en-US" w:eastAsia="zh-CN" w:bidi="ar-SA"/>
    </w:rPr>
  </w:style>
  <w:style w:type="paragraph" w:customStyle="1" w:styleId="48">
    <w:name w:val="图表脚注"/>
    <w:next w:val="32"/>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4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0">
    <w:name w:val="标准书眉一"/>
    <w:qFormat/>
    <w:uiPriority w:val="0"/>
    <w:pPr>
      <w:jc w:val="both"/>
    </w:pPr>
    <w:rPr>
      <w:rFonts w:ascii="Times New Roman" w:hAnsi="Times New Roman" w:eastAsia="宋体" w:cs="Times New Roman"/>
      <w:lang w:val="en-US" w:eastAsia="zh-CN" w:bidi="ar-SA"/>
    </w:rPr>
  </w:style>
  <w:style w:type="paragraph" w:customStyle="1" w:styleId="51">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3">
    <w:name w:val="发布日期"/>
    <w:qFormat/>
    <w:uiPriority w:val="0"/>
    <w:rPr>
      <w:rFonts w:ascii="Times New Roman" w:hAnsi="Times New Roman" w:eastAsia="黑体" w:cs="Times New Roman"/>
      <w:sz w:val="28"/>
      <w:lang w:val="en-US" w:eastAsia="zh-CN" w:bidi="ar-SA"/>
    </w:rPr>
  </w:style>
  <w:style w:type="paragraph" w:customStyle="1" w:styleId="54">
    <w:name w:val="五级条标题"/>
    <w:basedOn w:val="45"/>
    <w:next w:val="32"/>
    <w:qFormat/>
    <w:uiPriority w:val="0"/>
    <w:pPr>
      <w:outlineLvl w:val="6"/>
    </w:pPr>
  </w:style>
  <w:style w:type="paragraph" w:customStyle="1" w:styleId="55">
    <w:name w:val="附录四级条标题"/>
    <w:basedOn w:val="33"/>
    <w:next w:val="32"/>
    <w:qFormat/>
    <w:uiPriority w:val="0"/>
    <w:pPr>
      <w:outlineLvl w:val="5"/>
    </w:pPr>
  </w:style>
  <w:style w:type="paragraph" w:customStyle="1" w:styleId="56">
    <w:name w:val="附录表标题"/>
    <w:next w:val="32"/>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8">
    <w:name w:val="实施日期"/>
    <w:basedOn w:val="53"/>
    <w:qFormat/>
    <w:uiPriority w:val="0"/>
    <w:pPr>
      <w:jc w:val="right"/>
    </w:pPr>
  </w:style>
  <w:style w:type="paragraph" w:customStyle="1" w:styleId="59">
    <w:name w:val="列出段落1"/>
    <w:basedOn w:val="1"/>
    <w:qFormat/>
    <w:uiPriority w:val="34"/>
    <w:pPr>
      <w:ind w:firstLine="420" w:firstLineChars="200"/>
    </w:pPr>
  </w:style>
  <w:style w:type="paragraph" w:customStyle="1" w:styleId="60">
    <w:name w:val="封面标准号2"/>
    <w:basedOn w:val="27"/>
    <w:qFormat/>
    <w:uiPriority w:val="0"/>
    <w:pPr>
      <w:framePr w:w="9138" w:h="1244" w:hRule="exact" w:wrap="around" w:vAnchor="page" w:hAnchor="margin" w:y="2908" w:anchorLock="1"/>
      <w:adjustRightInd w:val="0"/>
      <w:spacing w:before="357" w:line="280" w:lineRule="exact"/>
    </w:pPr>
  </w:style>
  <w:style w:type="paragraph" w:customStyle="1" w:styleId="61">
    <w:name w:val="封面标准代替信息"/>
    <w:basedOn w:val="60"/>
    <w:qFormat/>
    <w:uiPriority w:val="0"/>
    <w:pPr>
      <w:framePr w:wrap="around"/>
      <w:spacing w:before="57"/>
    </w:pPr>
    <w:rPr>
      <w:rFonts w:ascii="宋体"/>
      <w:sz w:val="21"/>
    </w:rPr>
  </w:style>
  <w:style w:type="character" w:customStyle="1" w:styleId="62">
    <w:name w:val="页眉 字符"/>
    <w:basedOn w:val="20"/>
    <w:link w:val="15"/>
    <w:qFormat/>
    <w:uiPriority w:val="0"/>
    <w:rPr>
      <w:sz w:val="18"/>
      <w:szCs w:val="18"/>
    </w:rPr>
  </w:style>
  <w:style w:type="character" w:customStyle="1" w:styleId="63">
    <w:name w:val="页脚 字符"/>
    <w:basedOn w:val="20"/>
    <w:link w:val="14"/>
    <w:qFormat/>
    <w:uiPriority w:val="0"/>
    <w:rPr>
      <w:sz w:val="18"/>
      <w:szCs w:val="18"/>
    </w:rPr>
  </w:style>
  <w:style w:type="character" w:customStyle="1" w:styleId="64">
    <w:name w:val="标题 2 字符"/>
    <w:basedOn w:val="20"/>
    <w:link w:val="3"/>
    <w:qFormat/>
    <w:uiPriority w:val="0"/>
    <w:rPr>
      <w:rFonts w:ascii="Arial" w:hAnsi="Arial" w:eastAsia="黑体" w:cs="Times New Roman"/>
      <w:b/>
      <w:sz w:val="32"/>
      <w:szCs w:val="20"/>
    </w:rPr>
  </w:style>
  <w:style w:type="character" w:customStyle="1" w:styleId="65">
    <w:name w:val="段 Char"/>
    <w:link w:val="32"/>
    <w:qFormat/>
    <w:uiPriority w:val="0"/>
    <w:rPr>
      <w:rFonts w:ascii="宋体"/>
    </w:rPr>
  </w:style>
  <w:style w:type="character" w:customStyle="1" w:styleId="66">
    <w:name w:val="脚注文本 字符"/>
    <w:basedOn w:val="20"/>
    <w:link w:val="16"/>
    <w:qFormat/>
    <w:uiPriority w:val="0"/>
    <w:rPr>
      <w:rFonts w:ascii="Times New Roman" w:hAnsi="Times New Roman" w:eastAsia="宋体" w:cs="Times New Roman"/>
      <w:sz w:val="18"/>
      <w:szCs w:val="20"/>
    </w:rPr>
  </w:style>
  <w:style w:type="character" w:customStyle="1" w:styleId="67">
    <w:name w:val="正文文本缩进 字符"/>
    <w:basedOn w:val="20"/>
    <w:link w:val="8"/>
    <w:qFormat/>
    <w:uiPriority w:val="0"/>
    <w:rPr>
      <w:rFonts w:ascii="Times New Roman" w:hAnsi="Times New Roman" w:eastAsia="宋体" w:cs="Times New Roman"/>
      <w:sz w:val="24"/>
      <w:szCs w:val="20"/>
    </w:rPr>
  </w:style>
  <w:style w:type="character" w:customStyle="1" w:styleId="68">
    <w:name w:val="文档结构图 字符"/>
    <w:basedOn w:val="20"/>
    <w:link w:val="6"/>
    <w:qFormat/>
    <w:uiPriority w:val="0"/>
    <w:rPr>
      <w:rFonts w:ascii="Times New Roman" w:hAnsi="Times New Roman" w:eastAsia="宋体" w:cs="Times New Roman"/>
      <w:szCs w:val="20"/>
      <w:shd w:val="clear" w:color="auto" w:fill="000080"/>
    </w:rPr>
  </w:style>
  <w:style w:type="character" w:customStyle="1" w:styleId="69">
    <w:name w:val="批注框文本 字符"/>
    <w:basedOn w:val="20"/>
    <w:link w:val="13"/>
    <w:qFormat/>
    <w:uiPriority w:val="0"/>
    <w:rPr>
      <w:rFonts w:ascii="Times New Roman" w:hAnsi="Times New Roman" w:eastAsia="宋体" w:cs="Times New Roman"/>
      <w:sz w:val="18"/>
      <w:szCs w:val="20"/>
    </w:rPr>
  </w:style>
  <w:style w:type="character" w:customStyle="1" w:styleId="70">
    <w:name w:val="纯文本 字符"/>
    <w:basedOn w:val="20"/>
    <w:link w:val="10"/>
    <w:qFormat/>
    <w:uiPriority w:val="0"/>
    <w:rPr>
      <w:rFonts w:ascii="宋体" w:hAnsi="Courier New" w:eastAsia="宋体" w:cs="Courier New"/>
      <w:szCs w:val="21"/>
    </w:rPr>
  </w:style>
  <w:style w:type="character" w:customStyle="1" w:styleId="71">
    <w:name w:val="批注文字 字符"/>
    <w:basedOn w:val="20"/>
    <w:link w:val="7"/>
    <w:qFormat/>
    <w:uiPriority w:val="0"/>
    <w:rPr>
      <w:rFonts w:ascii="Times New Roman" w:hAnsi="Times New Roman" w:eastAsia="宋体" w:cs="Times New Roman"/>
      <w:szCs w:val="20"/>
    </w:rPr>
  </w:style>
  <w:style w:type="character" w:customStyle="1" w:styleId="72">
    <w:name w:val="批注主题 字符"/>
    <w:basedOn w:val="71"/>
    <w:link w:val="17"/>
    <w:qFormat/>
    <w:uiPriority w:val="0"/>
    <w:rPr>
      <w:rFonts w:ascii="Times New Roman" w:hAnsi="Times New Roman" w:eastAsia="宋体" w:cs="Times New Roman"/>
      <w:b/>
      <w:bCs/>
      <w:szCs w:val="20"/>
    </w:rPr>
  </w:style>
  <w:style w:type="character" w:customStyle="1" w:styleId="73">
    <w:name w:val="sh141"/>
    <w:basedOn w:val="20"/>
    <w:qFormat/>
    <w:uiPriority w:val="0"/>
    <w:rPr>
      <w:color w:val="2B2B2B"/>
      <w:sz w:val="18"/>
      <w:szCs w:val="18"/>
    </w:rPr>
  </w:style>
  <w:style w:type="character" w:customStyle="1" w:styleId="74">
    <w:name w:val="日期 字符"/>
    <w:basedOn w:val="20"/>
    <w:link w:val="12"/>
    <w:qFormat/>
    <w:uiPriority w:val="0"/>
    <w:rPr>
      <w:rFonts w:ascii="Times New Roman" w:hAnsi="Times New Roman" w:eastAsia="宋体" w:cs="Times New Roman"/>
      <w:szCs w:val="20"/>
    </w:rPr>
  </w:style>
  <w:style w:type="character" w:customStyle="1" w:styleId="75">
    <w:name w:val="占位符文本1"/>
    <w:basedOn w:val="20"/>
    <w:semiHidden/>
    <w:qFormat/>
    <w:uiPriority w:val="99"/>
    <w:rPr>
      <w:color w:val="808080"/>
    </w:rPr>
  </w:style>
  <w:style w:type="paragraph" w:styleId="76">
    <w:name w:val="List Paragraph"/>
    <w:basedOn w:val="1"/>
    <w:qFormat/>
    <w:uiPriority w:val="34"/>
    <w:pPr>
      <w:ind w:firstLine="420" w:firstLineChars="200"/>
    </w:pPr>
    <w:rPr>
      <w:szCs w:val="24"/>
    </w:rPr>
  </w:style>
  <w:style w:type="character" w:customStyle="1" w:styleId="77">
    <w:name w:val="font01"/>
    <w:basedOn w:val="20"/>
    <w:qFormat/>
    <w:uiPriority w:val="0"/>
    <w:rPr>
      <w:rFonts w:hint="eastAsia" w:ascii="宋体" w:hAnsi="宋体" w:eastAsia="宋体" w:cs="宋体"/>
      <w:color w:val="000000"/>
      <w:sz w:val="22"/>
      <w:szCs w:val="22"/>
      <w:u w:val="none"/>
    </w:rPr>
  </w:style>
  <w:style w:type="character" w:customStyle="1" w:styleId="78">
    <w:name w:val="font11"/>
    <w:basedOn w:val="20"/>
    <w:qFormat/>
    <w:uiPriority w:val="0"/>
    <w:rPr>
      <w:rFonts w:hint="default" w:ascii="Times New Roman" w:hAnsi="Times New Roman" w:cs="Times New Roman"/>
      <w:color w:val="000000"/>
      <w:sz w:val="22"/>
      <w:szCs w:val="22"/>
      <w:u w:val="none"/>
    </w:rPr>
  </w:style>
  <w:style w:type="character" w:customStyle="1" w:styleId="79">
    <w:name w:val="font41"/>
    <w:basedOn w:val="20"/>
    <w:qFormat/>
    <w:uiPriority w:val="0"/>
    <w:rPr>
      <w:rFonts w:hint="eastAsia" w:ascii="宋体" w:hAnsi="宋体" w:eastAsia="宋体" w:cs="宋体"/>
      <w:color w:val="FF0000"/>
      <w:sz w:val="22"/>
      <w:szCs w:val="22"/>
      <w:u w:val="none"/>
    </w:rPr>
  </w:style>
  <w:style w:type="character" w:customStyle="1" w:styleId="80">
    <w:name w:val="font21"/>
    <w:basedOn w:val="20"/>
    <w:qFormat/>
    <w:uiPriority w:val="0"/>
    <w:rPr>
      <w:rFonts w:hint="default" w:ascii="Times New Roman" w:hAnsi="Times New Roman" w:cs="Times New Roman"/>
      <w:color w:val="FF0000"/>
      <w:sz w:val="22"/>
      <w:szCs w:val="22"/>
      <w:u w:val="none"/>
    </w:rPr>
  </w:style>
  <w:style w:type="character" w:customStyle="1" w:styleId="81">
    <w:name w:val="列项——（一级） Char"/>
    <w:link w:val="82"/>
    <w:qFormat/>
    <w:locked/>
    <w:uiPriority w:val="0"/>
    <w:rPr>
      <w:rFonts w:ascii="宋体" w:hAnsi="Times New Roman" w:eastAsia="宋体" w:cs="Times New Roman"/>
      <w:sz w:val="21"/>
      <w:szCs w:val="22"/>
      <w:lang w:val="en-US" w:eastAsia="zh-CN" w:bidi="ar-SA"/>
    </w:rPr>
  </w:style>
  <w:style w:type="paragraph" w:customStyle="1" w:styleId="82">
    <w:name w:val="列项——（一级）"/>
    <w:link w:val="81"/>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8A434-28A1-4939-9400-004E6959808B}">
  <ds:schemaRefs/>
</ds:datastoreItem>
</file>

<file path=customXml/itemProps3.xml><?xml version="1.0" encoding="utf-8"?>
<ds:datastoreItem xmlns:ds="http://schemas.openxmlformats.org/officeDocument/2006/customXml" ds:itemID="{A7A55C0B-D5DD-48AB-A385-D2D2A40677FA}">
  <ds:schemaRefs/>
</ds:datastoreItem>
</file>

<file path=customXml/itemProps4.xml><?xml version="1.0" encoding="utf-8"?>
<ds:datastoreItem xmlns:ds="http://schemas.openxmlformats.org/officeDocument/2006/customXml" ds:itemID="{3FB57FB7-7A67-490E-B0B1-B38D9108AB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4283</Words>
  <Characters>5473</Characters>
  <Lines>45</Lines>
  <Paragraphs>12</Paragraphs>
  <TotalTime>16</TotalTime>
  <ScaleCrop>false</ScaleCrop>
  <LinksUpToDate>false</LinksUpToDate>
  <CharactersWithSpaces>5746</CharactersWithSpaces>
  <Application>WPS Office_11.8.0.16969_F1E327BC-269C-435d-A152-05C5408002CA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2025-04-03T02:59:00Z</dcterms:created>
  <dc:creator>俞金生</dc:creator>
  <cp:lastModifiedBy>min</cp:lastModifiedBy>
  <cp:lastPrinted>2020-07-23T07:24:00Z</cp:lastPrinted>
  <dcterms:modified xsi:type="dcterms:W3CDTF">2025-06-10T07:35:53Z</dcterms:modified>
  <dc:title>_x0001_</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2052-11.8.0.16969</vt:lpwstr>
  </property>
  <property fmtid="{D5CDD505-2E9C-101B-9397-08002B2CF9AE}" pid="3" name="ICV">
    <vt:lpwstr>49BA0426F0804CB9AD493143B2577F80</vt:lpwstr>
  </property>
  <property fmtid="{D5CDD505-2E9C-101B-9397-08002B2CF9AE}" pid="4" name="KSOTemplateDocerSaveRecord">
    <vt:lpwstr>eyJoZGlkIjoiMTc1ZGY4N2MyZGU2ZDBiZjhlNmExNjUwN2U0MGI0OTEiLCJ1c2VySWQiOiI2NjY3MTM5NzIifQ==</vt:lpwstr>
  </property>
</Properties>
</file>