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796F3">
      <w:pPr>
        <w:spacing w:line="276" w:lineRule="auto"/>
        <w:ind w:firstLine="480"/>
        <w:rPr>
          <w:sz w:val="21"/>
          <w:szCs w:val="21"/>
        </w:rPr>
      </w:pPr>
    </w:p>
    <w:p w14:paraId="55A6B1EE">
      <w:pPr>
        <w:spacing w:line="276" w:lineRule="auto"/>
        <w:ind w:firstLine="480"/>
        <w:rPr>
          <w:sz w:val="21"/>
          <w:szCs w:val="21"/>
        </w:rPr>
      </w:pPr>
    </w:p>
    <w:p w14:paraId="7704E680">
      <w:pPr>
        <w:spacing w:line="276" w:lineRule="auto"/>
        <w:ind w:firstLine="480"/>
        <w:rPr>
          <w:sz w:val="21"/>
          <w:szCs w:val="21"/>
        </w:rPr>
      </w:pPr>
    </w:p>
    <w:p w14:paraId="5BD68B87">
      <w:pPr>
        <w:spacing w:line="276" w:lineRule="auto"/>
        <w:ind w:firstLine="480"/>
        <w:rPr>
          <w:sz w:val="21"/>
          <w:szCs w:val="21"/>
        </w:rPr>
      </w:pPr>
    </w:p>
    <w:p w14:paraId="120BC40C">
      <w:pPr>
        <w:spacing w:line="276" w:lineRule="auto"/>
        <w:ind w:firstLine="480"/>
        <w:rPr>
          <w:sz w:val="21"/>
          <w:szCs w:val="21"/>
        </w:rPr>
      </w:pPr>
    </w:p>
    <w:p w14:paraId="686CCA76">
      <w:pPr>
        <w:spacing w:line="276" w:lineRule="auto"/>
        <w:jc w:val="center"/>
        <w:rPr>
          <w:rFonts w:eastAsia="黑体"/>
          <w:sz w:val="44"/>
          <w:szCs w:val="44"/>
        </w:rPr>
      </w:pPr>
      <w:r>
        <w:rPr>
          <w:rFonts w:hint="eastAsia" w:eastAsia="黑体"/>
          <w:sz w:val="44"/>
          <w:szCs w:val="44"/>
        </w:rPr>
        <w:t>无定形硼粉</w:t>
      </w:r>
      <w:r>
        <w:rPr>
          <w:rFonts w:hint="eastAsia" w:eastAsia="黑体"/>
          <w:sz w:val="44"/>
          <w:szCs w:val="44"/>
          <w:lang w:val="en-US" w:eastAsia="zh-CN"/>
        </w:rPr>
        <w:t xml:space="preserve"> </w:t>
      </w:r>
      <w:r>
        <w:rPr>
          <w:rFonts w:hint="eastAsia" w:eastAsia="黑体"/>
          <w:sz w:val="44"/>
          <w:szCs w:val="44"/>
        </w:rPr>
        <w:t>第</w:t>
      </w:r>
      <w:r>
        <w:rPr>
          <w:rFonts w:hint="eastAsia" w:eastAsia="黑体"/>
          <w:sz w:val="44"/>
          <w:szCs w:val="44"/>
          <w:lang w:val="en-US" w:eastAsia="zh-CN"/>
        </w:rPr>
        <w:t>3</w:t>
      </w:r>
      <w:r>
        <w:rPr>
          <w:rFonts w:hint="eastAsia" w:eastAsia="黑体"/>
          <w:sz w:val="44"/>
          <w:szCs w:val="44"/>
        </w:rPr>
        <w:t>部分：</w:t>
      </w:r>
      <w:r>
        <w:rPr>
          <w:rFonts w:hint="eastAsia" w:eastAsia="黑体"/>
          <w:sz w:val="44"/>
          <w:szCs w:val="44"/>
          <w:lang w:val="en-US" w:eastAsia="zh-CN"/>
        </w:rPr>
        <w:t>过氧化氢不溶物含量的测定</w:t>
      </w:r>
    </w:p>
    <w:p w14:paraId="05ADA8E2">
      <w:pPr>
        <w:spacing w:line="276" w:lineRule="auto"/>
        <w:ind w:firstLine="480"/>
        <w:jc w:val="center"/>
        <w:rPr>
          <w:sz w:val="44"/>
          <w:szCs w:val="44"/>
        </w:rPr>
      </w:pPr>
    </w:p>
    <w:p w14:paraId="72348C03">
      <w:pPr>
        <w:spacing w:line="276" w:lineRule="auto"/>
        <w:jc w:val="center"/>
        <w:rPr>
          <w:rFonts w:eastAsia="黑体"/>
          <w:sz w:val="44"/>
          <w:szCs w:val="44"/>
        </w:rPr>
      </w:pPr>
      <w:r>
        <w:rPr>
          <w:rFonts w:eastAsia="黑体"/>
          <w:sz w:val="44"/>
          <w:szCs w:val="44"/>
        </w:rPr>
        <w:t>编制说明</w:t>
      </w:r>
    </w:p>
    <w:p w14:paraId="582687F1">
      <w:pPr>
        <w:spacing w:line="360" w:lineRule="auto"/>
        <w:rPr>
          <w:rFonts w:eastAsia="黑体"/>
          <w:sz w:val="44"/>
          <w:szCs w:val="44"/>
        </w:rPr>
      </w:pPr>
    </w:p>
    <w:p w14:paraId="593A06A9">
      <w:pPr>
        <w:spacing w:line="360" w:lineRule="auto"/>
        <w:jc w:val="center"/>
        <w:rPr>
          <w:rFonts w:eastAsia="黑体"/>
          <w:bCs/>
          <w:szCs w:val="28"/>
        </w:rPr>
      </w:pPr>
      <w:r>
        <w:rPr>
          <w:rFonts w:eastAsia="黑体"/>
          <w:szCs w:val="28"/>
        </w:rPr>
        <w:t>（</w:t>
      </w:r>
      <w:r>
        <w:rPr>
          <w:rFonts w:hint="eastAsia" w:eastAsia="黑体"/>
          <w:szCs w:val="28"/>
          <w:lang w:val="en-US" w:eastAsia="zh-CN"/>
        </w:rPr>
        <w:t>送审讨论稿</w:t>
      </w:r>
      <w:bookmarkStart w:id="0" w:name="_GoBack"/>
      <w:bookmarkEnd w:id="0"/>
      <w:r>
        <w:rPr>
          <w:rFonts w:eastAsia="黑体"/>
          <w:szCs w:val="28"/>
        </w:rPr>
        <w:t>）</w:t>
      </w:r>
    </w:p>
    <w:p w14:paraId="221E60A1">
      <w:pPr>
        <w:spacing w:line="276" w:lineRule="auto"/>
        <w:ind w:firstLine="480"/>
        <w:jc w:val="center"/>
        <w:rPr>
          <w:rFonts w:eastAsia="黑体"/>
          <w:b w:val="0"/>
          <w:sz w:val="44"/>
          <w:szCs w:val="44"/>
        </w:rPr>
      </w:pPr>
    </w:p>
    <w:p w14:paraId="026DD529">
      <w:pPr>
        <w:spacing w:line="276" w:lineRule="auto"/>
        <w:ind w:firstLine="480"/>
        <w:jc w:val="center"/>
        <w:rPr>
          <w:sz w:val="44"/>
          <w:szCs w:val="44"/>
        </w:rPr>
      </w:pPr>
    </w:p>
    <w:p w14:paraId="4A97431C">
      <w:pPr>
        <w:spacing w:line="276" w:lineRule="auto"/>
        <w:ind w:firstLine="480"/>
        <w:jc w:val="center"/>
        <w:rPr>
          <w:sz w:val="44"/>
          <w:szCs w:val="44"/>
        </w:rPr>
      </w:pPr>
    </w:p>
    <w:p w14:paraId="27F67260">
      <w:pPr>
        <w:spacing w:line="276" w:lineRule="auto"/>
        <w:ind w:firstLine="480"/>
        <w:jc w:val="center"/>
        <w:rPr>
          <w:sz w:val="44"/>
          <w:szCs w:val="44"/>
        </w:rPr>
      </w:pPr>
    </w:p>
    <w:p w14:paraId="348E9841">
      <w:pPr>
        <w:spacing w:line="276" w:lineRule="auto"/>
        <w:ind w:firstLine="480"/>
        <w:jc w:val="center"/>
        <w:rPr>
          <w:sz w:val="44"/>
          <w:szCs w:val="44"/>
        </w:rPr>
      </w:pPr>
    </w:p>
    <w:p w14:paraId="5D73C51C">
      <w:pPr>
        <w:spacing w:line="276" w:lineRule="auto"/>
        <w:ind w:firstLine="480"/>
        <w:jc w:val="center"/>
        <w:rPr>
          <w:sz w:val="44"/>
          <w:szCs w:val="44"/>
        </w:rPr>
      </w:pPr>
    </w:p>
    <w:p w14:paraId="50B39AC6">
      <w:pPr>
        <w:spacing w:line="276" w:lineRule="auto"/>
        <w:ind w:firstLine="480"/>
        <w:jc w:val="center"/>
        <w:rPr>
          <w:sz w:val="44"/>
          <w:szCs w:val="44"/>
        </w:rPr>
      </w:pPr>
    </w:p>
    <w:p w14:paraId="15458AE1">
      <w:pPr>
        <w:spacing w:line="276" w:lineRule="auto"/>
        <w:ind w:firstLine="480"/>
        <w:jc w:val="center"/>
        <w:rPr>
          <w:sz w:val="44"/>
          <w:szCs w:val="44"/>
        </w:rPr>
      </w:pPr>
    </w:p>
    <w:p w14:paraId="3D5DB8A9">
      <w:pPr>
        <w:spacing w:line="276" w:lineRule="auto"/>
        <w:ind w:firstLine="480"/>
        <w:jc w:val="center"/>
        <w:rPr>
          <w:sz w:val="44"/>
          <w:szCs w:val="44"/>
        </w:rPr>
      </w:pPr>
    </w:p>
    <w:p w14:paraId="4F81FE0A">
      <w:pPr>
        <w:spacing w:line="276" w:lineRule="auto"/>
        <w:rPr>
          <w:kern w:val="0"/>
          <w:sz w:val="30"/>
          <w:szCs w:val="30"/>
        </w:rPr>
      </w:pPr>
    </w:p>
    <w:p w14:paraId="48FBACE2">
      <w:pPr>
        <w:spacing w:line="276" w:lineRule="auto"/>
        <w:rPr>
          <w:kern w:val="0"/>
          <w:sz w:val="30"/>
          <w:szCs w:val="30"/>
        </w:rPr>
      </w:pPr>
    </w:p>
    <w:p w14:paraId="7A243F7A">
      <w:pPr>
        <w:spacing w:line="276" w:lineRule="auto"/>
        <w:rPr>
          <w:rFonts w:eastAsia="黑体"/>
          <w:b w:val="0"/>
          <w:kern w:val="0"/>
          <w:sz w:val="30"/>
          <w:szCs w:val="30"/>
        </w:rPr>
      </w:pPr>
    </w:p>
    <w:p w14:paraId="5BA4224E">
      <w:pPr>
        <w:spacing w:line="276" w:lineRule="auto"/>
        <w:rPr>
          <w:rFonts w:eastAsia="黑体"/>
          <w:b w:val="0"/>
          <w:kern w:val="0"/>
          <w:sz w:val="30"/>
          <w:szCs w:val="30"/>
        </w:rPr>
      </w:pPr>
    </w:p>
    <w:p w14:paraId="42C4F542">
      <w:pPr>
        <w:spacing w:line="276" w:lineRule="auto"/>
        <w:rPr>
          <w:rFonts w:eastAsia="黑体"/>
          <w:b w:val="0"/>
          <w:kern w:val="0"/>
          <w:sz w:val="30"/>
          <w:szCs w:val="30"/>
        </w:rPr>
      </w:pPr>
    </w:p>
    <w:p w14:paraId="2B1EE730">
      <w:pPr>
        <w:spacing w:line="360" w:lineRule="auto"/>
        <w:jc w:val="center"/>
        <w:rPr>
          <w:rFonts w:eastAsia="黑体"/>
          <w:sz w:val="30"/>
          <w:szCs w:val="30"/>
        </w:rPr>
      </w:pPr>
      <w:r>
        <w:rPr>
          <w:rFonts w:eastAsia="黑体"/>
          <w:sz w:val="30"/>
          <w:szCs w:val="30"/>
        </w:rPr>
        <w:t>《</w:t>
      </w:r>
      <w:r>
        <w:rPr>
          <w:rFonts w:hint="eastAsia" w:eastAsia="黑体"/>
          <w:sz w:val="30"/>
          <w:szCs w:val="30"/>
        </w:rPr>
        <w:t>无定形硼粉</w:t>
      </w:r>
      <w:r>
        <w:rPr>
          <w:rFonts w:hint="eastAsia" w:eastAsia="黑体"/>
          <w:sz w:val="30"/>
          <w:szCs w:val="30"/>
          <w:lang w:val="en-US" w:eastAsia="zh-CN"/>
        </w:rPr>
        <w:t xml:space="preserve"> </w:t>
      </w:r>
      <w:r>
        <w:rPr>
          <w:rFonts w:hint="eastAsia" w:eastAsia="黑体"/>
          <w:sz w:val="30"/>
          <w:szCs w:val="30"/>
        </w:rPr>
        <w:t>第3部分：过氧化氢不溶物含量的测定</w:t>
      </w:r>
      <w:r>
        <w:rPr>
          <w:rFonts w:eastAsia="黑体"/>
          <w:sz w:val="30"/>
          <w:szCs w:val="30"/>
        </w:rPr>
        <w:t>》</w:t>
      </w:r>
    </w:p>
    <w:p w14:paraId="1901C689">
      <w:pPr>
        <w:spacing w:line="360" w:lineRule="auto"/>
        <w:jc w:val="center"/>
        <w:rPr>
          <w:rFonts w:eastAsia="黑体"/>
          <w:b w:val="0"/>
          <w:sz w:val="30"/>
          <w:szCs w:val="30"/>
        </w:rPr>
      </w:pPr>
      <w:r>
        <w:rPr>
          <w:rStyle w:val="25"/>
          <w:rFonts w:hint="eastAsia" w:eastAsia="黑体"/>
          <w:b/>
          <w:sz w:val="30"/>
          <w:szCs w:val="30"/>
          <w:lang w:val="en-US" w:eastAsia="zh-CN"/>
        </w:rPr>
        <w:t xml:space="preserve"> </w:t>
      </w:r>
      <w:r>
        <w:rPr>
          <w:rStyle w:val="25"/>
          <w:rFonts w:ascii="Times New Roman" w:hAnsi="Times New Roman"/>
          <w:b/>
          <w:sz w:val="30"/>
          <w:szCs w:val="30"/>
        </w:rPr>
        <w:t>标准编制说明</w:t>
      </w:r>
    </w:p>
    <w:p w14:paraId="742A3C46">
      <w:pPr>
        <w:spacing w:line="360" w:lineRule="auto"/>
        <w:rPr>
          <w:rFonts w:eastAsia="黑体"/>
          <w:b w:val="0"/>
          <w:bCs/>
          <w:sz w:val="24"/>
        </w:rPr>
      </w:pPr>
      <w:r>
        <w:rPr>
          <w:rFonts w:eastAsia="黑体"/>
          <w:b w:val="0"/>
          <w:bCs/>
          <w:sz w:val="24"/>
        </w:rPr>
        <w:t>一、工作简况</w:t>
      </w:r>
    </w:p>
    <w:p w14:paraId="135746B6">
      <w:pPr>
        <w:spacing w:line="360" w:lineRule="auto"/>
        <w:rPr>
          <w:rFonts w:eastAsia="黑体"/>
          <w:b w:val="0"/>
          <w:bCs/>
          <w:sz w:val="24"/>
        </w:rPr>
      </w:pPr>
      <w:r>
        <w:rPr>
          <w:rFonts w:eastAsia="黑体"/>
          <w:b w:val="0"/>
          <w:bCs/>
          <w:sz w:val="24"/>
        </w:rPr>
        <w:t>1.1  任务来源</w:t>
      </w:r>
    </w:p>
    <w:p w14:paraId="16408292">
      <w:pPr>
        <w:spacing w:line="360" w:lineRule="auto"/>
        <w:ind w:firstLine="420" w:firstLineChars="200"/>
        <w:rPr>
          <w:b w:val="0"/>
          <w:sz w:val="21"/>
          <w:szCs w:val="21"/>
        </w:rPr>
      </w:pPr>
      <w:r>
        <w:rPr>
          <w:b w:val="0"/>
          <w:sz w:val="21"/>
          <w:szCs w:val="21"/>
        </w:rPr>
        <w:t>根据工业和信息化部办公厅关于印发“</w:t>
      </w:r>
      <w:r>
        <w:rPr>
          <w:rFonts w:hint="eastAsia"/>
          <w:b w:val="0"/>
          <w:sz w:val="21"/>
          <w:szCs w:val="21"/>
        </w:rPr>
        <w:t>2024年第一批行业标准制修订计划的通知</w:t>
      </w:r>
      <w:r>
        <w:rPr>
          <w:b w:val="0"/>
          <w:sz w:val="21"/>
          <w:szCs w:val="21"/>
        </w:rPr>
        <w:t>”（</w:t>
      </w:r>
      <w:r>
        <w:rPr>
          <w:rFonts w:hint="eastAsia"/>
          <w:b w:val="0"/>
          <w:sz w:val="21"/>
          <w:szCs w:val="21"/>
        </w:rPr>
        <w:t>工信厅科〔2024〕18号</w:t>
      </w:r>
      <w:r>
        <w:rPr>
          <w:b w:val="0"/>
          <w:sz w:val="21"/>
          <w:szCs w:val="21"/>
        </w:rPr>
        <w:t>）的文件精神，行业标准《</w:t>
      </w:r>
      <w:r>
        <w:rPr>
          <w:rFonts w:hint="eastAsia"/>
          <w:b w:val="0"/>
          <w:sz w:val="21"/>
          <w:szCs w:val="21"/>
        </w:rPr>
        <w:t>无定形硼粉</w:t>
      </w:r>
      <w:r>
        <w:rPr>
          <w:rFonts w:hint="eastAsia"/>
          <w:b w:val="0"/>
          <w:sz w:val="21"/>
          <w:szCs w:val="21"/>
          <w:lang w:val="en-US" w:eastAsia="zh-CN"/>
        </w:rPr>
        <w:t xml:space="preserve"> </w:t>
      </w:r>
      <w:r>
        <w:rPr>
          <w:rFonts w:hint="eastAsia"/>
          <w:b w:val="0"/>
          <w:sz w:val="21"/>
          <w:szCs w:val="21"/>
        </w:rPr>
        <w:t>第3部分：过氧化氢不溶物含量的测定</w:t>
      </w:r>
      <w:r>
        <w:rPr>
          <w:b w:val="0"/>
          <w:sz w:val="21"/>
          <w:szCs w:val="21"/>
        </w:rPr>
        <w:t>》由全国有色金属标准化技术委员会（SAC/TC 243）提出并归口，项目计划编号：202</w:t>
      </w:r>
      <w:r>
        <w:rPr>
          <w:rFonts w:hint="eastAsia"/>
          <w:b w:val="0"/>
          <w:sz w:val="21"/>
          <w:szCs w:val="21"/>
          <w:lang w:val="en-US" w:eastAsia="zh-CN"/>
        </w:rPr>
        <w:t>4</w:t>
      </w:r>
      <w:r>
        <w:rPr>
          <w:b w:val="0"/>
          <w:sz w:val="21"/>
          <w:szCs w:val="21"/>
        </w:rPr>
        <w:t>-</w:t>
      </w:r>
      <w:r>
        <w:rPr>
          <w:rFonts w:hint="eastAsia"/>
          <w:b w:val="0"/>
          <w:sz w:val="21"/>
          <w:szCs w:val="21"/>
          <w:lang w:val="en-US" w:eastAsia="zh-CN"/>
        </w:rPr>
        <w:t>0399</w:t>
      </w:r>
      <w:r>
        <w:rPr>
          <w:b w:val="0"/>
          <w:sz w:val="21"/>
          <w:szCs w:val="21"/>
        </w:rPr>
        <w:t>T-YS，</w:t>
      </w:r>
      <w:r>
        <w:rPr>
          <w:rFonts w:hint="eastAsia"/>
          <w:b w:val="0"/>
          <w:sz w:val="21"/>
          <w:szCs w:val="21"/>
          <w:lang w:val="en-US" w:eastAsia="zh-CN"/>
        </w:rPr>
        <w:t>北矿新材科技有限公司</w:t>
      </w:r>
      <w:r>
        <w:rPr>
          <w:b w:val="0"/>
          <w:sz w:val="21"/>
          <w:szCs w:val="21"/>
        </w:rPr>
        <w:t>牵头起草，该标准计划完成年限202</w:t>
      </w:r>
      <w:r>
        <w:rPr>
          <w:rFonts w:hint="eastAsia"/>
          <w:b w:val="0"/>
          <w:sz w:val="21"/>
          <w:szCs w:val="21"/>
          <w:lang w:val="en-US" w:eastAsia="zh-CN"/>
        </w:rPr>
        <w:t>5</w:t>
      </w:r>
      <w:r>
        <w:rPr>
          <w:b w:val="0"/>
          <w:sz w:val="21"/>
          <w:szCs w:val="21"/>
        </w:rPr>
        <w:t>年。</w:t>
      </w:r>
    </w:p>
    <w:p w14:paraId="43DDD555">
      <w:pPr>
        <w:spacing w:line="360" w:lineRule="auto"/>
        <w:rPr>
          <w:rFonts w:eastAsia="黑体"/>
          <w:b w:val="0"/>
          <w:bCs/>
          <w:sz w:val="24"/>
        </w:rPr>
      </w:pPr>
      <w:r>
        <w:rPr>
          <w:rFonts w:eastAsia="黑体"/>
          <w:b w:val="0"/>
          <w:bCs/>
          <w:sz w:val="24"/>
        </w:rPr>
        <w:t>1.2 本标准所涉及的产品简况</w:t>
      </w:r>
    </w:p>
    <w:p w14:paraId="0BD4F326">
      <w:pPr>
        <w:spacing w:line="360" w:lineRule="auto"/>
        <w:ind w:firstLine="420" w:firstLineChars="200"/>
        <w:rPr>
          <w:rFonts w:hint="eastAsia"/>
          <w:b w:val="0"/>
          <w:sz w:val="21"/>
          <w:szCs w:val="21"/>
        </w:rPr>
      </w:pPr>
      <w:r>
        <w:rPr>
          <w:rFonts w:hint="eastAsia"/>
          <w:b w:val="0"/>
          <w:sz w:val="21"/>
          <w:szCs w:val="21"/>
        </w:rPr>
        <w:t>无定形硼粉是一类重要的精细化工产品，主要应用于航天、兵器、核工业、化工、冶金及陶瓷等多个领域，特别是作为高能固体燃料、火炸药、高温抗氧化涂层、核反应堆的控制棒及火工产品点火剂等关键原材料，年需求量已超过10吨，且后期需求逐年上升。过氧化氢不溶物作为无定形硼粉中的杂质，会降低硼粉的有效硼含量，从而影响其高能量发挥。近年来，国内无定形硼粉应用单位非常重视过氧化氢不溶物含量对产品性能的影响，无定形硼粉生产企业一般都将过氧化氢不溶物含量作为内控指标进行限制。</w:t>
      </w:r>
    </w:p>
    <w:p w14:paraId="5877B45A">
      <w:pPr>
        <w:spacing w:line="360" w:lineRule="auto"/>
        <w:ind w:firstLine="420" w:firstLineChars="200"/>
        <w:rPr>
          <w:rFonts w:hint="eastAsia"/>
          <w:b w:val="0"/>
          <w:sz w:val="21"/>
          <w:szCs w:val="21"/>
        </w:rPr>
      </w:pPr>
      <w:r>
        <w:rPr>
          <w:rFonts w:hint="eastAsia"/>
          <w:b w:val="0"/>
          <w:sz w:val="21"/>
          <w:szCs w:val="21"/>
        </w:rPr>
        <w:t>过氧化氢不溶物含量业内通常采用化学方法将样品溶解，并测定不溶物质含量。但是，过氧化氢本身酸度较小，在硼粉中单独使用过氧化氢不能充分发挥其溶解能力，需加入一定量同时具有酸性和氧化性的物质对试样的溶解过程起到催化作用，从而保证过氧化氢溶液对硼粉样品的溶解效果。无定形硼粉过氧化氢不溶物含量测定无其他的国内国标和行标、国际标准，国内生产和使用单位均以企业内部方法为准，未实现检测方法的对标。目前，国内各单位测定过氧化氢不溶物方法不尽相同，主要体现在催化剂的种类不同，包括亚硝酸盐、硫酸或硝酸等，此外，加入量也有差异。国内硼粉生产和使用单位在过氧化氢不溶物测定方面存在的上述差异，导致各单位检测结果有所差异，给供需双方在生产控制和质量检验中带来许多不便。因此，为了指导无定型硼粉的生产，提高产品质量的控制水平，规范供需双方贸易过程，亟需制定无定形硼粉过氧化氢不溶物含量测试方法的行业标准。</w:t>
      </w:r>
    </w:p>
    <w:p w14:paraId="05806BB2">
      <w:pPr>
        <w:spacing w:line="360" w:lineRule="auto"/>
        <w:ind w:firstLine="420" w:firstLineChars="200"/>
        <w:rPr>
          <w:rFonts w:hint="eastAsia"/>
          <w:b w:val="0"/>
          <w:sz w:val="21"/>
          <w:szCs w:val="21"/>
        </w:rPr>
      </w:pPr>
      <w:r>
        <w:rPr>
          <w:rFonts w:hint="eastAsia"/>
          <w:b w:val="0"/>
          <w:sz w:val="21"/>
          <w:szCs w:val="21"/>
        </w:rPr>
        <w:t>本标准的制定可对无定形硼粉过氧化氢不溶物含量的测定方法进行规范，为航天、兵器、核工业、化工、冶金及陶瓷等军工和民用领域供货提供过氧化氢不溶物含量的检测依据，满足我国经济和国防多个领域的建设急需性要求，为不同行业、不同生产及用户单位的产品质量控制、应用验证等提供技术保障，规范相关贸易过程，具有重要社会和JS价值。同时，本标准的制定对于无定形硼粉关键战略原材料标准体系的建立具有重要意义。</w:t>
      </w:r>
    </w:p>
    <w:p w14:paraId="05C5E6A2">
      <w:pPr>
        <w:spacing w:line="360" w:lineRule="auto"/>
        <w:rPr>
          <w:rFonts w:eastAsia="黑体"/>
          <w:b w:val="0"/>
          <w:bCs/>
          <w:sz w:val="24"/>
        </w:rPr>
      </w:pPr>
      <w:r>
        <w:rPr>
          <w:rFonts w:eastAsia="黑体"/>
          <w:b w:val="0"/>
          <w:bCs/>
          <w:sz w:val="24"/>
        </w:rPr>
        <w:t>1.3  主要参加单位和工作组成员及其工作</w:t>
      </w:r>
    </w:p>
    <w:p w14:paraId="142D930C">
      <w:pPr>
        <w:spacing w:line="360" w:lineRule="auto"/>
        <w:ind w:firstLine="420" w:firstLineChars="200"/>
        <w:rPr>
          <w:b w:val="0"/>
          <w:sz w:val="21"/>
          <w:szCs w:val="21"/>
        </w:rPr>
      </w:pPr>
      <w:r>
        <w:rPr>
          <w:b w:val="0"/>
          <w:sz w:val="21"/>
          <w:szCs w:val="21"/>
        </w:rPr>
        <w:t>本文件起草单位有：矿冶科技集团有限公司、</w:t>
      </w:r>
      <w:r>
        <w:rPr>
          <w:rFonts w:hint="eastAsia"/>
          <w:b w:val="0"/>
          <w:sz w:val="21"/>
          <w:szCs w:val="21"/>
          <w:lang w:val="en-US" w:eastAsia="zh-CN"/>
        </w:rPr>
        <w:t>北矿检测技术有限公司、</w:t>
      </w:r>
      <w:r>
        <w:rPr>
          <w:b w:val="0"/>
          <w:sz w:val="21"/>
          <w:szCs w:val="21"/>
        </w:rPr>
        <w:t>国标（北京）检验认证有限公司、</w:t>
      </w:r>
      <w:r>
        <w:rPr>
          <w:rFonts w:hint="eastAsia"/>
          <w:b w:val="0"/>
          <w:sz w:val="21"/>
          <w:szCs w:val="21"/>
          <w:lang w:val="en-US" w:eastAsia="zh-CN"/>
        </w:rPr>
        <w:t>国合通用（青岛）测试评价有限公司</w:t>
      </w:r>
      <w:r>
        <w:rPr>
          <w:b w:val="0"/>
          <w:sz w:val="21"/>
          <w:szCs w:val="21"/>
        </w:rPr>
        <w:t>。</w:t>
      </w:r>
    </w:p>
    <w:p w14:paraId="336EDDB2">
      <w:pPr>
        <w:spacing w:line="360" w:lineRule="auto"/>
        <w:ind w:firstLine="420" w:firstLineChars="200"/>
        <w:rPr>
          <w:b w:val="0"/>
          <w:sz w:val="21"/>
          <w:szCs w:val="21"/>
        </w:rPr>
      </w:pPr>
      <w:r>
        <w:rPr>
          <w:rFonts w:hint="eastAsia"/>
          <w:b w:val="0"/>
          <w:sz w:val="21"/>
          <w:szCs w:val="21"/>
          <w:lang w:val="en-US" w:eastAsia="zh-CN"/>
        </w:rPr>
        <w:t>北矿新材科技有限公司</w:t>
      </w:r>
      <w:r>
        <w:rPr>
          <w:b w:val="0"/>
          <w:sz w:val="21"/>
          <w:szCs w:val="21"/>
        </w:rPr>
        <w:t>负责统一样品的收集和分发，分析方法的实验研究，样品测试结果的收集和处理，标准文本、实验报告和编制说明的撰写。</w:t>
      </w:r>
      <w:r>
        <w:rPr>
          <w:rFonts w:hint="eastAsia"/>
          <w:b w:val="0"/>
          <w:sz w:val="21"/>
          <w:szCs w:val="21"/>
          <w:lang w:val="en-US" w:eastAsia="zh-CN"/>
        </w:rPr>
        <w:t>矿冶科技集团有限公司</w:t>
      </w:r>
      <w:r>
        <w:rPr>
          <w:b w:val="0"/>
          <w:sz w:val="21"/>
          <w:szCs w:val="21"/>
        </w:rPr>
        <w:t>为一验单位，负责对实验报告中的条件实验进行验证，提供精密度和准确度测试数据，并对标准文本提出修改意见。</w:t>
      </w:r>
      <w:r>
        <w:rPr>
          <w:rFonts w:hint="eastAsia"/>
          <w:b w:val="0"/>
          <w:sz w:val="21"/>
          <w:szCs w:val="21"/>
        </w:rPr>
        <w:t>北矿检测技术有限公司、国标（北京）检验认证有限公司、国合通用（青岛）测试评价有限公司</w:t>
      </w:r>
      <w:r>
        <w:rPr>
          <w:b w:val="0"/>
          <w:sz w:val="21"/>
          <w:szCs w:val="21"/>
        </w:rPr>
        <w:t>为二验单位，负责提供精密度实验数据，并对标准文本提出修改意见。</w:t>
      </w:r>
    </w:p>
    <w:p w14:paraId="3F3BC131">
      <w:pPr>
        <w:spacing w:line="360" w:lineRule="auto"/>
        <w:ind w:firstLine="420" w:firstLineChars="200"/>
        <w:rPr>
          <w:b w:val="0"/>
          <w:sz w:val="21"/>
          <w:szCs w:val="21"/>
        </w:rPr>
      </w:pPr>
      <w:r>
        <w:rPr>
          <w:rFonts w:hint="eastAsia"/>
          <w:b w:val="0"/>
          <w:sz w:val="21"/>
          <w:szCs w:val="21"/>
        </w:rPr>
        <w:t>北矿新材科技有限公司拥有众多一流的表面材料、难熔金属材料及热喷涂技术专家，各种专业技术人才占员工总人数达到50%，是真正的科技先导型企业。公司及其前身历年来承担国家科研项目近200项，曾获国家科技进步奖、全国科学大会奖、国家发明奖、部级科技奖等65项，获国家、有色协会及北京市重点新产品奖22项，拥有国家发明专利75项。</w:t>
      </w:r>
      <w:r>
        <w:rPr>
          <w:b w:val="0"/>
          <w:sz w:val="21"/>
          <w:szCs w:val="21"/>
        </w:rPr>
        <w:t>在国内外同行中有较大的影响。</w:t>
      </w:r>
    </w:p>
    <w:p w14:paraId="726F523C">
      <w:pPr>
        <w:spacing w:line="360" w:lineRule="auto"/>
        <w:rPr>
          <w:b w:val="0"/>
          <w:sz w:val="21"/>
          <w:szCs w:val="21"/>
        </w:rPr>
      </w:pPr>
      <w:r>
        <w:rPr>
          <w:b w:val="0"/>
          <w:sz w:val="21"/>
          <w:szCs w:val="21"/>
        </w:rPr>
        <w:t xml:space="preserve">   本文件主要起草人有：</w:t>
      </w:r>
    </w:p>
    <w:p w14:paraId="33B2B50B">
      <w:pPr>
        <w:spacing w:line="360" w:lineRule="auto"/>
        <w:rPr>
          <w:rFonts w:eastAsia="黑体"/>
          <w:b w:val="0"/>
          <w:bCs/>
          <w:sz w:val="24"/>
        </w:rPr>
      </w:pPr>
      <w:r>
        <w:rPr>
          <w:rFonts w:eastAsia="黑体"/>
          <w:b w:val="0"/>
          <w:bCs/>
          <w:sz w:val="24"/>
        </w:rPr>
        <w:t>1.4  主要工作过程</w:t>
      </w:r>
    </w:p>
    <w:p w14:paraId="69D83A8A">
      <w:pPr>
        <w:spacing w:line="360" w:lineRule="auto"/>
        <w:ind w:firstLine="420" w:firstLineChars="200"/>
        <w:rPr>
          <w:b w:val="0"/>
          <w:sz w:val="21"/>
          <w:szCs w:val="21"/>
        </w:rPr>
      </w:pPr>
      <w:r>
        <w:rPr>
          <w:rFonts w:hint="eastAsia"/>
          <w:b w:val="0"/>
          <w:sz w:val="21"/>
          <w:szCs w:val="21"/>
          <w:lang w:val="en-US" w:eastAsia="zh-CN"/>
        </w:rPr>
        <w:t>北矿新材科技有限公司</w:t>
      </w:r>
      <w:r>
        <w:rPr>
          <w:b w:val="0"/>
          <w:sz w:val="21"/>
          <w:szCs w:val="21"/>
        </w:rPr>
        <w:t>在接到该标准制订任务后，立即组织骨干人员成立了标准编制组，制定了该标准的研究内容、技术路线、任务分工和进度安排。主要工作过程经历以下阶段：</w:t>
      </w:r>
    </w:p>
    <w:p w14:paraId="274AAE47">
      <w:pPr>
        <w:spacing w:line="360" w:lineRule="auto"/>
        <w:rPr>
          <w:rFonts w:eastAsia="黑体"/>
          <w:b w:val="0"/>
          <w:bCs/>
          <w:sz w:val="24"/>
        </w:rPr>
      </w:pPr>
      <w:r>
        <w:rPr>
          <w:rFonts w:eastAsia="黑体"/>
          <w:b w:val="0"/>
          <w:bCs/>
          <w:sz w:val="24"/>
        </w:rPr>
        <w:t>1.4.1 起草阶段</w:t>
      </w:r>
    </w:p>
    <w:p w14:paraId="770CB414">
      <w:pPr>
        <w:spacing w:line="360" w:lineRule="auto"/>
        <w:ind w:firstLine="420" w:firstLineChars="200"/>
        <w:rPr>
          <w:b w:val="0"/>
          <w:sz w:val="21"/>
          <w:szCs w:val="21"/>
        </w:rPr>
      </w:pPr>
      <w:r>
        <w:rPr>
          <w:b w:val="0"/>
          <w:sz w:val="21"/>
          <w:szCs w:val="21"/>
        </w:rPr>
        <w:t>（1）任务落实：</w:t>
      </w:r>
    </w:p>
    <w:p w14:paraId="3D655EBF">
      <w:pPr>
        <w:spacing w:line="360" w:lineRule="auto"/>
        <w:ind w:firstLine="420" w:firstLineChars="200"/>
        <w:rPr>
          <w:b w:val="0"/>
          <w:sz w:val="21"/>
          <w:szCs w:val="21"/>
        </w:rPr>
      </w:pPr>
      <w:r>
        <w:rPr>
          <w:b w:val="0"/>
          <w:sz w:val="21"/>
          <w:szCs w:val="21"/>
        </w:rPr>
        <w:t>全国有色金属标准化技术委员会于202</w:t>
      </w:r>
      <w:r>
        <w:rPr>
          <w:rFonts w:hint="eastAsia"/>
          <w:b w:val="0"/>
          <w:sz w:val="21"/>
          <w:szCs w:val="21"/>
          <w:lang w:val="en-US" w:eastAsia="zh-CN"/>
        </w:rPr>
        <w:t>4</w:t>
      </w:r>
      <w:r>
        <w:rPr>
          <w:b w:val="0"/>
          <w:sz w:val="21"/>
          <w:szCs w:val="21"/>
        </w:rPr>
        <w:t>年</w:t>
      </w:r>
      <w:r>
        <w:rPr>
          <w:rFonts w:hint="eastAsia"/>
          <w:b w:val="0"/>
          <w:sz w:val="21"/>
          <w:szCs w:val="21"/>
          <w:lang w:val="en-US" w:eastAsia="zh-CN"/>
        </w:rPr>
        <w:t>5</w:t>
      </w:r>
      <w:r>
        <w:rPr>
          <w:b w:val="0"/>
          <w:sz w:val="21"/>
          <w:szCs w:val="21"/>
        </w:rPr>
        <w:t>月</w:t>
      </w:r>
      <w:r>
        <w:rPr>
          <w:rFonts w:hint="eastAsia"/>
          <w:b w:val="0"/>
          <w:sz w:val="21"/>
          <w:szCs w:val="21"/>
          <w:lang w:val="en-US" w:eastAsia="zh-CN"/>
        </w:rPr>
        <w:t>21</w:t>
      </w:r>
      <w:r>
        <w:rPr>
          <w:b w:val="0"/>
          <w:sz w:val="21"/>
          <w:szCs w:val="21"/>
        </w:rPr>
        <w:t>日~</w:t>
      </w:r>
      <w:r>
        <w:rPr>
          <w:rFonts w:hint="eastAsia"/>
          <w:b w:val="0"/>
          <w:sz w:val="21"/>
          <w:szCs w:val="21"/>
          <w:lang w:val="en-US" w:eastAsia="zh-CN"/>
        </w:rPr>
        <w:t>24</w:t>
      </w:r>
      <w:r>
        <w:rPr>
          <w:b w:val="0"/>
          <w:sz w:val="21"/>
          <w:szCs w:val="21"/>
        </w:rPr>
        <w:t>日在</w:t>
      </w:r>
      <w:r>
        <w:rPr>
          <w:rFonts w:hint="eastAsia"/>
          <w:b w:val="0"/>
          <w:sz w:val="21"/>
          <w:szCs w:val="21"/>
          <w:lang w:val="en-US" w:eastAsia="zh-CN"/>
        </w:rPr>
        <w:t>江苏无锡</w:t>
      </w:r>
      <w:r>
        <w:rPr>
          <w:b w:val="0"/>
          <w:sz w:val="21"/>
          <w:szCs w:val="21"/>
        </w:rPr>
        <w:t>组织召开了《</w:t>
      </w:r>
      <w:r>
        <w:rPr>
          <w:rFonts w:hint="eastAsia"/>
          <w:b w:val="0"/>
          <w:sz w:val="21"/>
          <w:szCs w:val="21"/>
        </w:rPr>
        <w:t>无定形硼粉</w:t>
      </w:r>
      <w:r>
        <w:rPr>
          <w:rFonts w:hint="eastAsia"/>
          <w:b w:val="0"/>
          <w:sz w:val="21"/>
          <w:szCs w:val="21"/>
          <w:lang w:val="en-US" w:eastAsia="zh-CN"/>
        </w:rPr>
        <w:t xml:space="preserve"> </w:t>
      </w:r>
      <w:r>
        <w:rPr>
          <w:rFonts w:hint="eastAsia"/>
          <w:b w:val="0"/>
          <w:sz w:val="21"/>
          <w:szCs w:val="21"/>
        </w:rPr>
        <w:t>第3部分：过氧化氢不溶物含量的测定</w:t>
      </w:r>
      <w:r>
        <w:rPr>
          <w:b w:val="0"/>
          <w:sz w:val="21"/>
          <w:szCs w:val="21"/>
        </w:rPr>
        <w:t>》行业标准任务落实会，会上确定了各部分的负责起草单位、验证单位及工作进度安排。</w:t>
      </w:r>
      <w:r>
        <w:rPr>
          <w:rFonts w:hint="eastAsia"/>
          <w:b w:val="0"/>
          <w:sz w:val="21"/>
          <w:szCs w:val="21"/>
          <w:lang w:val="en-US" w:eastAsia="zh-CN"/>
        </w:rPr>
        <w:t>北矿新材科技有限公司</w:t>
      </w:r>
      <w:r>
        <w:rPr>
          <w:b w:val="0"/>
          <w:color w:val="000000"/>
          <w:sz w:val="21"/>
          <w:szCs w:val="21"/>
        </w:rPr>
        <w:t>承担《</w:t>
      </w:r>
      <w:r>
        <w:rPr>
          <w:rFonts w:hint="eastAsia"/>
          <w:b w:val="0"/>
          <w:sz w:val="21"/>
          <w:szCs w:val="21"/>
        </w:rPr>
        <w:t>无定形硼粉</w:t>
      </w:r>
      <w:r>
        <w:rPr>
          <w:rFonts w:hint="eastAsia"/>
          <w:b w:val="0"/>
          <w:sz w:val="21"/>
          <w:szCs w:val="21"/>
          <w:lang w:val="en-US" w:eastAsia="zh-CN"/>
        </w:rPr>
        <w:t xml:space="preserve"> </w:t>
      </w:r>
      <w:r>
        <w:rPr>
          <w:rFonts w:hint="eastAsia"/>
          <w:b w:val="0"/>
          <w:sz w:val="21"/>
          <w:szCs w:val="21"/>
        </w:rPr>
        <w:t>第3部分：过氧化氢不溶物含量的测定</w:t>
      </w:r>
      <w:r>
        <w:rPr>
          <w:b w:val="0"/>
          <w:sz w:val="21"/>
          <w:szCs w:val="21"/>
        </w:rPr>
        <w:t>》起草任务，矿冶科技集团有限公司、</w:t>
      </w:r>
      <w:r>
        <w:rPr>
          <w:rFonts w:hint="eastAsia"/>
          <w:b w:val="0"/>
          <w:sz w:val="21"/>
          <w:szCs w:val="21"/>
          <w:lang w:val="en-US" w:eastAsia="zh-CN"/>
        </w:rPr>
        <w:t>北矿检测技术有限公司、</w:t>
      </w:r>
      <w:r>
        <w:rPr>
          <w:b w:val="0"/>
          <w:sz w:val="21"/>
          <w:szCs w:val="21"/>
        </w:rPr>
        <w:t>国标（北京）检验认证有限公司、</w:t>
      </w:r>
      <w:r>
        <w:rPr>
          <w:rFonts w:hint="eastAsia"/>
          <w:b w:val="0"/>
          <w:sz w:val="21"/>
          <w:szCs w:val="21"/>
          <w:lang w:val="en-US" w:eastAsia="zh-CN"/>
        </w:rPr>
        <w:t>国合通用（青岛）测试评价有限公司</w:t>
      </w:r>
      <w:r>
        <w:rPr>
          <w:b w:val="0"/>
          <w:sz w:val="21"/>
          <w:szCs w:val="21"/>
        </w:rPr>
        <w:t>等单位协助起草，会议确定了采用</w:t>
      </w:r>
      <w:r>
        <w:rPr>
          <w:rFonts w:hint="eastAsia"/>
          <w:b w:val="0"/>
          <w:sz w:val="21"/>
          <w:szCs w:val="21"/>
          <w:lang w:val="en-US" w:eastAsia="zh-CN"/>
        </w:rPr>
        <w:t>称重法测定过氧化氢不溶物</w:t>
      </w:r>
      <w:r>
        <w:rPr>
          <w:b w:val="0"/>
          <w:sz w:val="21"/>
          <w:szCs w:val="21"/>
        </w:rPr>
        <w:t>含量，同时确定了样品提供单位、制订计划、时间节点等事项。具体分工见表1。</w:t>
      </w:r>
    </w:p>
    <w:p w14:paraId="74F0AC69">
      <w:pPr>
        <w:spacing w:line="360" w:lineRule="auto"/>
        <w:jc w:val="center"/>
        <w:rPr>
          <w:rFonts w:eastAsia="黑体"/>
          <w:b w:val="0"/>
          <w:sz w:val="21"/>
          <w:szCs w:val="21"/>
        </w:rPr>
      </w:pPr>
      <w:r>
        <w:rPr>
          <w:rFonts w:eastAsia="黑体"/>
          <w:b w:val="0"/>
          <w:sz w:val="21"/>
          <w:szCs w:val="21"/>
        </w:rPr>
        <w:t>表1  起草单位、起草人及其所作工作</w:t>
      </w:r>
    </w:p>
    <w:tbl>
      <w:tblPr>
        <w:tblStyle w:val="9"/>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686"/>
        <w:gridCol w:w="1842"/>
        <w:gridCol w:w="2177"/>
      </w:tblGrid>
      <w:tr w14:paraId="156095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vAlign w:val="center"/>
          </w:tcPr>
          <w:p w14:paraId="50132EFB">
            <w:pPr>
              <w:jc w:val="center"/>
              <w:rPr>
                <w:rFonts w:eastAsia="黑体"/>
                <w:b w:val="0"/>
                <w:sz w:val="21"/>
                <w:szCs w:val="21"/>
              </w:rPr>
            </w:pPr>
            <w:r>
              <w:rPr>
                <w:rFonts w:eastAsia="黑体"/>
                <w:b w:val="0"/>
                <w:sz w:val="21"/>
                <w:szCs w:val="21"/>
              </w:rPr>
              <w:t>序号</w:t>
            </w:r>
          </w:p>
        </w:tc>
        <w:tc>
          <w:tcPr>
            <w:tcW w:w="3686" w:type="dxa"/>
            <w:vAlign w:val="center"/>
          </w:tcPr>
          <w:p w14:paraId="0AFE3053">
            <w:pPr>
              <w:jc w:val="center"/>
              <w:rPr>
                <w:rFonts w:eastAsia="黑体"/>
                <w:b w:val="0"/>
                <w:sz w:val="21"/>
                <w:szCs w:val="21"/>
              </w:rPr>
            </w:pPr>
            <w:r>
              <w:rPr>
                <w:rFonts w:eastAsia="黑体"/>
                <w:b w:val="0"/>
                <w:sz w:val="21"/>
                <w:szCs w:val="21"/>
              </w:rPr>
              <w:t>起草单位</w:t>
            </w:r>
          </w:p>
        </w:tc>
        <w:tc>
          <w:tcPr>
            <w:tcW w:w="1842" w:type="dxa"/>
            <w:vAlign w:val="center"/>
          </w:tcPr>
          <w:p w14:paraId="54908B29">
            <w:pPr>
              <w:jc w:val="center"/>
              <w:rPr>
                <w:rFonts w:eastAsia="黑体"/>
                <w:b w:val="0"/>
                <w:sz w:val="21"/>
                <w:szCs w:val="21"/>
              </w:rPr>
            </w:pPr>
            <w:r>
              <w:rPr>
                <w:rFonts w:eastAsia="黑体"/>
                <w:b w:val="0"/>
                <w:sz w:val="21"/>
                <w:szCs w:val="21"/>
              </w:rPr>
              <w:t>主要联络人</w:t>
            </w:r>
          </w:p>
        </w:tc>
        <w:tc>
          <w:tcPr>
            <w:tcW w:w="2177" w:type="dxa"/>
            <w:vAlign w:val="center"/>
          </w:tcPr>
          <w:p w14:paraId="483787C6">
            <w:pPr>
              <w:jc w:val="center"/>
              <w:rPr>
                <w:rFonts w:eastAsia="黑体"/>
                <w:b w:val="0"/>
                <w:sz w:val="21"/>
                <w:szCs w:val="21"/>
              </w:rPr>
            </w:pPr>
            <w:r>
              <w:rPr>
                <w:rFonts w:eastAsia="黑体"/>
                <w:b w:val="0"/>
                <w:sz w:val="21"/>
                <w:szCs w:val="21"/>
              </w:rPr>
              <w:t>所作工作</w:t>
            </w:r>
          </w:p>
        </w:tc>
      </w:tr>
      <w:tr w14:paraId="5EEFA4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vAlign w:val="center"/>
          </w:tcPr>
          <w:p w14:paraId="35597ED5">
            <w:pPr>
              <w:jc w:val="center"/>
              <w:rPr>
                <w:rFonts w:eastAsiaTheme="minorEastAsia"/>
                <w:b w:val="0"/>
                <w:sz w:val="18"/>
                <w:szCs w:val="18"/>
              </w:rPr>
            </w:pPr>
            <w:r>
              <w:rPr>
                <w:rFonts w:eastAsiaTheme="minorEastAsia"/>
                <w:b w:val="0"/>
                <w:sz w:val="18"/>
                <w:szCs w:val="18"/>
              </w:rPr>
              <w:t>1</w:t>
            </w:r>
          </w:p>
        </w:tc>
        <w:tc>
          <w:tcPr>
            <w:tcW w:w="3686" w:type="dxa"/>
            <w:vAlign w:val="center"/>
          </w:tcPr>
          <w:p w14:paraId="45638B71">
            <w:pPr>
              <w:jc w:val="center"/>
              <w:rPr>
                <w:rFonts w:eastAsiaTheme="minorEastAsia"/>
                <w:b w:val="0"/>
                <w:sz w:val="18"/>
                <w:szCs w:val="18"/>
              </w:rPr>
            </w:pPr>
            <w:r>
              <w:rPr>
                <w:rFonts w:hint="eastAsia" w:eastAsiaTheme="minorEastAsia"/>
                <w:b w:val="0"/>
                <w:sz w:val="18"/>
                <w:szCs w:val="18"/>
                <w:lang w:val="en-US" w:eastAsia="zh-CN"/>
              </w:rPr>
              <w:t>北矿新材科技有限公司</w:t>
            </w:r>
          </w:p>
        </w:tc>
        <w:tc>
          <w:tcPr>
            <w:tcW w:w="1842" w:type="dxa"/>
            <w:vAlign w:val="center"/>
          </w:tcPr>
          <w:p w14:paraId="16E954A1">
            <w:pPr>
              <w:jc w:val="center"/>
              <w:rPr>
                <w:rFonts w:eastAsiaTheme="minorEastAsia"/>
                <w:b w:val="0"/>
                <w:sz w:val="18"/>
                <w:szCs w:val="18"/>
              </w:rPr>
            </w:pPr>
            <w:r>
              <w:rPr>
                <w:rFonts w:eastAsiaTheme="minorEastAsia"/>
                <w:b w:val="0"/>
                <w:sz w:val="18"/>
                <w:szCs w:val="18"/>
              </w:rPr>
              <w:t>张思源</w:t>
            </w:r>
          </w:p>
        </w:tc>
        <w:tc>
          <w:tcPr>
            <w:tcW w:w="2177" w:type="dxa"/>
            <w:vAlign w:val="center"/>
          </w:tcPr>
          <w:p w14:paraId="10607185">
            <w:pPr>
              <w:jc w:val="center"/>
              <w:rPr>
                <w:rFonts w:eastAsiaTheme="minorEastAsia"/>
                <w:b w:val="0"/>
                <w:sz w:val="18"/>
                <w:szCs w:val="18"/>
              </w:rPr>
            </w:pPr>
            <w:r>
              <w:rPr>
                <w:rFonts w:eastAsiaTheme="minorEastAsia"/>
                <w:b w:val="0"/>
                <w:sz w:val="18"/>
                <w:szCs w:val="18"/>
              </w:rPr>
              <w:t>主起草单位</w:t>
            </w:r>
          </w:p>
        </w:tc>
      </w:tr>
      <w:tr w14:paraId="06AB44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vAlign w:val="center"/>
          </w:tcPr>
          <w:p w14:paraId="2A7F0586">
            <w:pPr>
              <w:jc w:val="center"/>
              <w:rPr>
                <w:rFonts w:eastAsiaTheme="minorEastAsia"/>
                <w:b w:val="0"/>
                <w:sz w:val="18"/>
                <w:szCs w:val="18"/>
              </w:rPr>
            </w:pPr>
            <w:r>
              <w:rPr>
                <w:rFonts w:eastAsiaTheme="minorEastAsia"/>
                <w:b w:val="0"/>
                <w:sz w:val="18"/>
                <w:szCs w:val="18"/>
              </w:rPr>
              <w:t>2</w:t>
            </w:r>
          </w:p>
        </w:tc>
        <w:tc>
          <w:tcPr>
            <w:tcW w:w="3686" w:type="dxa"/>
            <w:vAlign w:val="center"/>
          </w:tcPr>
          <w:p w14:paraId="6603C091">
            <w:pPr>
              <w:jc w:val="center"/>
              <w:rPr>
                <w:rFonts w:hint="eastAsia" w:eastAsiaTheme="minorEastAsia"/>
                <w:b w:val="0"/>
                <w:sz w:val="18"/>
                <w:szCs w:val="18"/>
                <w:lang w:val="en-US" w:eastAsia="zh-CN"/>
              </w:rPr>
            </w:pPr>
            <w:r>
              <w:rPr>
                <w:rFonts w:hint="eastAsia" w:eastAsiaTheme="minorEastAsia"/>
                <w:b w:val="0"/>
                <w:sz w:val="18"/>
                <w:szCs w:val="18"/>
                <w:lang w:val="en-US" w:eastAsia="zh-CN"/>
              </w:rPr>
              <w:t>矿冶科技集团有限公司</w:t>
            </w:r>
          </w:p>
        </w:tc>
        <w:tc>
          <w:tcPr>
            <w:tcW w:w="1842" w:type="dxa"/>
            <w:vAlign w:val="center"/>
          </w:tcPr>
          <w:p w14:paraId="38FF612E">
            <w:pPr>
              <w:jc w:val="center"/>
              <w:rPr>
                <w:rFonts w:hint="eastAsia" w:eastAsiaTheme="minorEastAsia"/>
                <w:b w:val="0"/>
                <w:sz w:val="18"/>
                <w:szCs w:val="18"/>
                <w:lang w:eastAsia="zh-CN"/>
              </w:rPr>
            </w:pPr>
            <w:r>
              <w:rPr>
                <w:rFonts w:hint="eastAsia" w:eastAsiaTheme="minorEastAsia"/>
                <w:b w:val="0"/>
                <w:sz w:val="18"/>
                <w:szCs w:val="18"/>
                <w:lang w:val="en-US" w:eastAsia="zh-CN"/>
              </w:rPr>
              <w:t>阴荫</w:t>
            </w:r>
          </w:p>
        </w:tc>
        <w:tc>
          <w:tcPr>
            <w:tcW w:w="2177" w:type="dxa"/>
            <w:vAlign w:val="center"/>
          </w:tcPr>
          <w:p w14:paraId="383FE7C5">
            <w:pPr>
              <w:jc w:val="center"/>
              <w:rPr>
                <w:rFonts w:eastAsiaTheme="minorEastAsia"/>
                <w:b w:val="0"/>
                <w:sz w:val="18"/>
                <w:szCs w:val="18"/>
              </w:rPr>
            </w:pPr>
            <w:r>
              <w:rPr>
                <w:rFonts w:eastAsiaTheme="minorEastAsia"/>
                <w:b w:val="0"/>
                <w:sz w:val="18"/>
                <w:szCs w:val="18"/>
              </w:rPr>
              <w:t>共同起草单位、一验</w:t>
            </w:r>
          </w:p>
        </w:tc>
      </w:tr>
      <w:tr w14:paraId="4552E0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vAlign w:val="center"/>
          </w:tcPr>
          <w:p w14:paraId="735DF471">
            <w:pPr>
              <w:jc w:val="center"/>
              <w:rPr>
                <w:rFonts w:eastAsiaTheme="minorEastAsia"/>
                <w:b w:val="0"/>
                <w:sz w:val="18"/>
                <w:szCs w:val="18"/>
              </w:rPr>
            </w:pPr>
            <w:r>
              <w:rPr>
                <w:rFonts w:eastAsiaTheme="minorEastAsia"/>
                <w:b w:val="0"/>
                <w:sz w:val="18"/>
                <w:szCs w:val="18"/>
              </w:rPr>
              <w:t>3</w:t>
            </w:r>
          </w:p>
        </w:tc>
        <w:tc>
          <w:tcPr>
            <w:tcW w:w="3686" w:type="dxa"/>
            <w:vAlign w:val="center"/>
          </w:tcPr>
          <w:p w14:paraId="767797D2">
            <w:pPr>
              <w:jc w:val="center"/>
              <w:rPr>
                <w:rFonts w:hint="eastAsia" w:eastAsiaTheme="minorEastAsia"/>
                <w:b w:val="0"/>
                <w:sz w:val="18"/>
                <w:szCs w:val="18"/>
                <w:lang w:val="en-US" w:eastAsia="zh-CN"/>
              </w:rPr>
            </w:pPr>
            <w:r>
              <w:rPr>
                <w:rFonts w:hint="eastAsia" w:eastAsiaTheme="minorEastAsia"/>
                <w:b w:val="0"/>
                <w:sz w:val="18"/>
                <w:szCs w:val="18"/>
                <w:lang w:val="en-US" w:eastAsia="zh-CN"/>
              </w:rPr>
              <w:t>北矿检测技术有限公司</w:t>
            </w:r>
          </w:p>
        </w:tc>
        <w:tc>
          <w:tcPr>
            <w:tcW w:w="1842" w:type="dxa"/>
            <w:vAlign w:val="center"/>
          </w:tcPr>
          <w:p w14:paraId="65084E65">
            <w:pPr>
              <w:jc w:val="center"/>
              <w:rPr>
                <w:rFonts w:hint="default" w:eastAsiaTheme="minorEastAsia"/>
                <w:b w:val="0"/>
                <w:color w:val="FF0000"/>
                <w:sz w:val="18"/>
                <w:szCs w:val="18"/>
                <w:lang w:val="en-US" w:eastAsia="zh-CN"/>
              </w:rPr>
            </w:pPr>
            <w:r>
              <w:rPr>
                <w:rFonts w:hint="eastAsia" w:eastAsiaTheme="minorEastAsia"/>
                <w:b w:val="0"/>
                <w:color w:val="auto"/>
                <w:sz w:val="18"/>
                <w:szCs w:val="18"/>
                <w:lang w:val="en-US" w:eastAsia="zh-CN"/>
              </w:rPr>
              <w:t>阮桂色</w:t>
            </w:r>
          </w:p>
        </w:tc>
        <w:tc>
          <w:tcPr>
            <w:tcW w:w="2177" w:type="dxa"/>
            <w:vAlign w:val="center"/>
          </w:tcPr>
          <w:p w14:paraId="0AB46351">
            <w:pPr>
              <w:jc w:val="center"/>
              <w:rPr>
                <w:rFonts w:eastAsiaTheme="minorEastAsia"/>
                <w:b w:val="0"/>
                <w:sz w:val="18"/>
                <w:szCs w:val="18"/>
              </w:rPr>
            </w:pPr>
            <w:r>
              <w:rPr>
                <w:rFonts w:eastAsiaTheme="minorEastAsia"/>
                <w:b w:val="0"/>
                <w:sz w:val="18"/>
                <w:szCs w:val="18"/>
              </w:rPr>
              <w:t>共同起草单位、</w:t>
            </w:r>
            <w:r>
              <w:rPr>
                <w:rFonts w:hint="eastAsia" w:eastAsiaTheme="minorEastAsia"/>
                <w:b w:val="0"/>
                <w:sz w:val="18"/>
                <w:szCs w:val="18"/>
                <w:lang w:val="en-US" w:eastAsia="zh-CN"/>
              </w:rPr>
              <w:t>二</w:t>
            </w:r>
            <w:r>
              <w:rPr>
                <w:rFonts w:eastAsiaTheme="minorEastAsia"/>
                <w:b w:val="0"/>
                <w:sz w:val="18"/>
                <w:szCs w:val="18"/>
              </w:rPr>
              <w:t>验</w:t>
            </w:r>
          </w:p>
        </w:tc>
      </w:tr>
      <w:tr w14:paraId="2D4DBA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vAlign w:val="center"/>
          </w:tcPr>
          <w:p w14:paraId="176C692B">
            <w:pPr>
              <w:jc w:val="center"/>
              <w:rPr>
                <w:rFonts w:eastAsiaTheme="minorEastAsia"/>
                <w:b w:val="0"/>
                <w:sz w:val="18"/>
                <w:szCs w:val="18"/>
              </w:rPr>
            </w:pPr>
            <w:r>
              <w:rPr>
                <w:rFonts w:eastAsiaTheme="minorEastAsia"/>
                <w:b w:val="0"/>
                <w:sz w:val="18"/>
                <w:szCs w:val="18"/>
              </w:rPr>
              <w:t>4</w:t>
            </w:r>
          </w:p>
        </w:tc>
        <w:tc>
          <w:tcPr>
            <w:tcW w:w="3686" w:type="dxa"/>
            <w:vAlign w:val="center"/>
          </w:tcPr>
          <w:p w14:paraId="350B45AD">
            <w:pPr>
              <w:jc w:val="center"/>
              <w:rPr>
                <w:rFonts w:hint="eastAsia" w:eastAsiaTheme="minorEastAsia"/>
                <w:b w:val="0"/>
                <w:sz w:val="18"/>
                <w:szCs w:val="18"/>
                <w:lang w:val="en-US" w:eastAsia="zh-CN"/>
              </w:rPr>
            </w:pPr>
            <w:r>
              <w:rPr>
                <w:rFonts w:hint="eastAsia" w:eastAsiaTheme="minorEastAsia"/>
                <w:b w:val="0"/>
                <w:sz w:val="18"/>
                <w:szCs w:val="18"/>
                <w:lang w:val="en-US" w:eastAsia="zh-CN"/>
              </w:rPr>
              <w:t>国标（北京）检验认证有限公司</w:t>
            </w:r>
          </w:p>
        </w:tc>
        <w:tc>
          <w:tcPr>
            <w:tcW w:w="1842" w:type="dxa"/>
            <w:vAlign w:val="center"/>
          </w:tcPr>
          <w:p w14:paraId="0C7CDA63">
            <w:pPr>
              <w:jc w:val="center"/>
              <w:rPr>
                <w:rFonts w:hint="default" w:eastAsiaTheme="minorEastAsia"/>
                <w:b w:val="0"/>
                <w:color w:val="auto"/>
                <w:sz w:val="18"/>
                <w:szCs w:val="18"/>
                <w:lang w:val="en-US" w:eastAsia="zh-CN"/>
              </w:rPr>
            </w:pPr>
            <w:r>
              <w:rPr>
                <w:rFonts w:hint="eastAsia" w:eastAsiaTheme="minorEastAsia"/>
                <w:b w:val="0"/>
                <w:color w:val="auto"/>
                <w:sz w:val="18"/>
                <w:szCs w:val="18"/>
                <w:lang w:val="en-US" w:eastAsia="zh-CN"/>
              </w:rPr>
              <w:t>李甜</w:t>
            </w:r>
          </w:p>
        </w:tc>
        <w:tc>
          <w:tcPr>
            <w:tcW w:w="2177" w:type="dxa"/>
            <w:vAlign w:val="center"/>
          </w:tcPr>
          <w:p w14:paraId="2CD2C7F5">
            <w:pPr>
              <w:jc w:val="center"/>
              <w:rPr>
                <w:rFonts w:eastAsiaTheme="minorEastAsia"/>
                <w:b w:val="0"/>
                <w:sz w:val="18"/>
                <w:szCs w:val="18"/>
              </w:rPr>
            </w:pPr>
            <w:r>
              <w:rPr>
                <w:rFonts w:eastAsiaTheme="minorEastAsia"/>
                <w:b w:val="0"/>
                <w:sz w:val="18"/>
                <w:szCs w:val="18"/>
              </w:rPr>
              <w:t>共同起草单位、</w:t>
            </w:r>
            <w:r>
              <w:rPr>
                <w:rFonts w:hint="eastAsia" w:eastAsiaTheme="minorEastAsia"/>
                <w:b w:val="0"/>
                <w:sz w:val="18"/>
                <w:szCs w:val="18"/>
              </w:rPr>
              <w:t>二</w:t>
            </w:r>
            <w:r>
              <w:rPr>
                <w:rFonts w:eastAsiaTheme="minorEastAsia"/>
                <w:b w:val="0"/>
                <w:sz w:val="18"/>
                <w:szCs w:val="18"/>
              </w:rPr>
              <w:t>验</w:t>
            </w:r>
          </w:p>
        </w:tc>
      </w:tr>
      <w:tr w14:paraId="233E82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vAlign w:val="center"/>
          </w:tcPr>
          <w:p w14:paraId="5F718316">
            <w:pPr>
              <w:jc w:val="center"/>
              <w:rPr>
                <w:rFonts w:eastAsiaTheme="minorEastAsia"/>
                <w:b w:val="0"/>
                <w:sz w:val="18"/>
                <w:szCs w:val="18"/>
              </w:rPr>
            </w:pPr>
            <w:r>
              <w:rPr>
                <w:rFonts w:eastAsiaTheme="minorEastAsia"/>
                <w:b w:val="0"/>
                <w:sz w:val="18"/>
                <w:szCs w:val="18"/>
              </w:rPr>
              <w:t>5</w:t>
            </w:r>
          </w:p>
        </w:tc>
        <w:tc>
          <w:tcPr>
            <w:tcW w:w="3686" w:type="dxa"/>
            <w:vAlign w:val="center"/>
          </w:tcPr>
          <w:p w14:paraId="20BEDA0E">
            <w:pPr>
              <w:jc w:val="center"/>
              <w:rPr>
                <w:rFonts w:hint="eastAsia" w:eastAsiaTheme="minorEastAsia"/>
                <w:b w:val="0"/>
                <w:sz w:val="18"/>
                <w:szCs w:val="18"/>
                <w:highlight w:val="none"/>
                <w:lang w:val="en-US" w:eastAsia="zh-CN"/>
              </w:rPr>
            </w:pPr>
            <w:r>
              <w:rPr>
                <w:rFonts w:hint="eastAsia" w:eastAsiaTheme="minorEastAsia"/>
                <w:b w:val="0"/>
                <w:sz w:val="18"/>
                <w:szCs w:val="18"/>
                <w:highlight w:val="none"/>
                <w:lang w:val="en-US" w:eastAsia="zh-CN"/>
              </w:rPr>
              <w:t>国合通用（青岛）测试评价有限公司</w:t>
            </w:r>
          </w:p>
        </w:tc>
        <w:tc>
          <w:tcPr>
            <w:tcW w:w="1842" w:type="dxa"/>
            <w:vAlign w:val="center"/>
          </w:tcPr>
          <w:p w14:paraId="54C0169D">
            <w:pPr>
              <w:jc w:val="center"/>
              <w:rPr>
                <w:rFonts w:hint="default" w:eastAsiaTheme="minorEastAsia"/>
                <w:b w:val="0"/>
                <w:color w:val="auto"/>
                <w:sz w:val="18"/>
                <w:szCs w:val="18"/>
                <w:highlight w:val="none"/>
                <w:lang w:val="en-US" w:eastAsia="zh-CN"/>
              </w:rPr>
            </w:pPr>
            <w:r>
              <w:rPr>
                <w:rFonts w:hint="eastAsia" w:eastAsiaTheme="minorEastAsia"/>
                <w:b w:val="0"/>
                <w:color w:val="auto"/>
                <w:sz w:val="18"/>
                <w:szCs w:val="18"/>
                <w:highlight w:val="none"/>
                <w:lang w:val="en-US" w:eastAsia="zh-CN"/>
              </w:rPr>
              <w:t>刘凯</w:t>
            </w:r>
          </w:p>
        </w:tc>
        <w:tc>
          <w:tcPr>
            <w:tcW w:w="2177" w:type="dxa"/>
            <w:vAlign w:val="center"/>
          </w:tcPr>
          <w:p w14:paraId="68306278">
            <w:pPr>
              <w:jc w:val="center"/>
              <w:rPr>
                <w:rFonts w:eastAsiaTheme="minorEastAsia"/>
                <w:b w:val="0"/>
                <w:sz w:val="18"/>
                <w:szCs w:val="18"/>
                <w:highlight w:val="none"/>
              </w:rPr>
            </w:pPr>
            <w:r>
              <w:rPr>
                <w:rFonts w:eastAsiaTheme="minorEastAsia"/>
                <w:b w:val="0"/>
                <w:sz w:val="18"/>
                <w:szCs w:val="18"/>
                <w:highlight w:val="none"/>
              </w:rPr>
              <w:t>共同起草单位、二验</w:t>
            </w:r>
          </w:p>
        </w:tc>
      </w:tr>
    </w:tbl>
    <w:p w14:paraId="2AA6882B">
      <w:pPr>
        <w:spacing w:line="360" w:lineRule="auto"/>
        <w:ind w:firstLine="420" w:firstLineChars="200"/>
        <w:rPr>
          <w:b w:val="0"/>
          <w:sz w:val="21"/>
          <w:szCs w:val="21"/>
        </w:rPr>
      </w:pPr>
      <w:r>
        <w:rPr>
          <w:b w:val="0"/>
          <w:sz w:val="21"/>
          <w:szCs w:val="21"/>
        </w:rPr>
        <w:t>（2）样品收集实验研究及标准讨论稿编制：</w:t>
      </w:r>
    </w:p>
    <w:p w14:paraId="51C2B063">
      <w:pPr>
        <w:spacing w:line="360" w:lineRule="auto"/>
        <w:ind w:firstLine="420" w:firstLineChars="200"/>
        <w:rPr>
          <w:b w:val="0"/>
          <w:sz w:val="21"/>
          <w:szCs w:val="21"/>
        </w:rPr>
      </w:pPr>
      <w:r>
        <w:rPr>
          <w:rFonts w:hint="eastAsia"/>
          <w:b w:val="0"/>
          <w:sz w:val="21"/>
          <w:szCs w:val="21"/>
          <w:lang w:val="en-US" w:eastAsia="zh-CN"/>
        </w:rPr>
        <w:t>北矿新材科技有限公司</w:t>
      </w:r>
      <w:r>
        <w:rPr>
          <w:b w:val="0"/>
          <w:sz w:val="21"/>
          <w:szCs w:val="21"/>
        </w:rPr>
        <w:t>接到《</w:t>
      </w:r>
      <w:r>
        <w:rPr>
          <w:rFonts w:hint="eastAsia"/>
          <w:b w:val="0"/>
          <w:sz w:val="21"/>
          <w:szCs w:val="21"/>
        </w:rPr>
        <w:t>无定形硼粉</w:t>
      </w:r>
      <w:r>
        <w:rPr>
          <w:rFonts w:hint="eastAsia"/>
          <w:b w:val="0"/>
          <w:sz w:val="21"/>
          <w:szCs w:val="21"/>
          <w:lang w:val="en-US" w:eastAsia="zh-CN"/>
        </w:rPr>
        <w:t xml:space="preserve"> </w:t>
      </w:r>
      <w:r>
        <w:rPr>
          <w:rFonts w:hint="eastAsia"/>
          <w:b w:val="0"/>
          <w:sz w:val="21"/>
          <w:szCs w:val="21"/>
        </w:rPr>
        <w:t>第3部分：过氧化氢不溶物含量的测定</w:t>
      </w:r>
      <w:r>
        <w:rPr>
          <w:b w:val="0"/>
          <w:sz w:val="21"/>
          <w:szCs w:val="21"/>
        </w:rPr>
        <w:t>》编写任务后，组织矿冶科技集团有限公司、</w:t>
      </w:r>
      <w:r>
        <w:rPr>
          <w:rFonts w:hint="eastAsia"/>
          <w:b w:val="0"/>
          <w:sz w:val="21"/>
          <w:szCs w:val="21"/>
          <w:lang w:val="en-US" w:eastAsia="zh-CN"/>
        </w:rPr>
        <w:t>北矿检测技术有限公司、</w:t>
      </w:r>
      <w:r>
        <w:rPr>
          <w:b w:val="0"/>
          <w:sz w:val="21"/>
          <w:szCs w:val="21"/>
        </w:rPr>
        <w:t>国标（北京）检验认证有限公司、</w:t>
      </w:r>
      <w:r>
        <w:rPr>
          <w:rFonts w:hint="eastAsia"/>
          <w:b w:val="0"/>
          <w:sz w:val="21"/>
          <w:szCs w:val="21"/>
          <w:lang w:val="en-US" w:eastAsia="zh-CN"/>
        </w:rPr>
        <w:t>国合通用（青岛）测试评价有限公司</w:t>
      </w:r>
      <w:r>
        <w:rPr>
          <w:b w:val="0"/>
          <w:sz w:val="21"/>
          <w:szCs w:val="21"/>
        </w:rPr>
        <w:t>等相关的技术人员，成立了标准编制小组。202</w:t>
      </w:r>
      <w:r>
        <w:rPr>
          <w:rFonts w:hint="eastAsia"/>
          <w:b w:val="0"/>
          <w:sz w:val="21"/>
          <w:szCs w:val="21"/>
          <w:lang w:val="en-US" w:eastAsia="zh-CN"/>
        </w:rPr>
        <w:t>4</w:t>
      </w:r>
      <w:r>
        <w:rPr>
          <w:b w:val="0"/>
          <w:sz w:val="21"/>
          <w:szCs w:val="21"/>
        </w:rPr>
        <w:t>年</w:t>
      </w:r>
      <w:r>
        <w:rPr>
          <w:rFonts w:hint="eastAsia"/>
          <w:b w:val="0"/>
          <w:sz w:val="21"/>
          <w:szCs w:val="21"/>
          <w:lang w:val="en-US" w:eastAsia="zh-CN"/>
        </w:rPr>
        <w:t>6</w:t>
      </w:r>
      <w:r>
        <w:rPr>
          <w:b w:val="0"/>
          <w:sz w:val="21"/>
          <w:szCs w:val="21"/>
        </w:rPr>
        <w:t>月~</w:t>
      </w:r>
      <w:r>
        <w:rPr>
          <w:rFonts w:hint="eastAsia"/>
          <w:b w:val="0"/>
          <w:sz w:val="21"/>
          <w:szCs w:val="21"/>
          <w:lang w:val="en-US" w:eastAsia="zh-CN"/>
        </w:rPr>
        <w:t>7</w:t>
      </w:r>
      <w:r>
        <w:rPr>
          <w:b w:val="0"/>
          <w:sz w:val="21"/>
          <w:szCs w:val="21"/>
        </w:rPr>
        <w:t>月编制组在国内无定形硼粉研发和生产的企业、机构内广泛征集实验样品，完成3个梯度样品的收集；</w:t>
      </w:r>
    </w:p>
    <w:p w14:paraId="34F5ACD8">
      <w:pPr>
        <w:spacing w:line="360" w:lineRule="auto"/>
        <w:ind w:firstLine="420" w:firstLineChars="200"/>
        <w:rPr>
          <w:b w:val="0"/>
          <w:sz w:val="21"/>
          <w:szCs w:val="21"/>
        </w:rPr>
      </w:pPr>
      <w:r>
        <w:rPr>
          <w:b w:val="0"/>
          <w:sz w:val="21"/>
          <w:szCs w:val="21"/>
        </w:rPr>
        <w:t>202</w:t>
      </w:r>
      <w:r>
        <w:rPr>
          <w:rFonts w:hint="eastAsia"/>
          <w:b w:val="0"/>
          <w:sz w:val="21"/>
          <w:szCs w:val="21"/>
          <w:lang w:val="en-US" w:eastAsia="zh-CN"/>
        </w:rPr>
        <w:t>4</w:t>
      </w:r>
      <w:r>
        <w:rPr>
          <w:b w:val="0"/>
          <w:sz w:val="21"/>
          <w:szCs w:val="21"/>
        </w:rPr>
        <w:t>年</w:t>
      </w:r>
      <w:r>
        <w:rPr>
          <w:rFonts w:hint="eastAsia"/>
          <w:b w:val="0"/>
          <w:sz w:val="21"/>
          <w:szCs w:val="21"/>
          <w:lang w:val="en-US" w:eastAsia="zh-CN"/>
        </w:rPr>
        <w:t>8</w:t>
      </w:r>
      <w:r>
        <w:rPr>
          <w:b w:val="0"/>
          <w:sz w:val="21"/>
          <w:szCs w:val="21"/>
        </w:rPr>
        <w:t>月~</w:t>
      </w:r>
      <w:r>
        <w:rPr>
          <w:rFonts w:hint="eastAsia"/>
          <w:b w:val="0"/>
          <w:sz w:val="21"/>
          <w:szCs w:val="21"/>
          <w:lang w:val="en-US" w:eastAsia="zh-CN"/>
        </w:rPr>
        <w:t>10</w:t>
      </w:r>
      <w:r>
        <w:rPr>
          <w:b w:val="0"/>
          <w:sz w:val="21"/>
          <w:szCs w:val="21"/>
        </w:rPr>
        <w:t>月，</w:t>
      </w:r>
      <w:r>
        <w:rPr>
          <w:rFonts w:hint="eastAsia"/>
          <w:b w:val="0"/>
          <w:sz w:val="21"/>
          <w:szCs w:val="21"/>
          <w:lang w:val="en-US" w:eastAsia="zh-CN"/>
        </w:rPr>
        <w:t>北矿新材科技有限公司</w:t>
      </w:r>
      <w:r>
        <w:rPr>
          <w:b w:val="0"/>
          <w:sz w:val="21"/>
          <w:szCs w:val="21"/>
        </w:rPr>
        <w:t>开展了大量实验研究工作，并同编组成员对目前分析测试方法的具体内容进行了充分的沟通和协商，于202</w:t>
      </w:r>
      <w:r>
        <w:rPr>
          <w:rFonts w:hint="eastAsia"/>
          <w:b w:val="0"/>
          <w:sz w:val="21"/>
          <w:szCs w:val="21"/>
          <w:lang w:val="en-US" w:eastAsia="zh-CN"/>
        </w:rPr>
        <w:t>4</w:t>
      </w:r>
      <w:r>
        <w:rPr>
          <w:b w:val="0"/>
          <w:sz w:val="21"/>
          <w:szCs w:val="21"/>
        </w:rPr>
        <w:t>年11月形成了有色行业标准《</w:t>
      </w:r>
      <w:r>
        <w:rPr>
          <w:rFonts w:hint="eastAsia"/>
          <w:b w:val="0"/>
          <w:sz w:val="21"/>
          <w:szCs w:val="21"/>
        </w:rPr>
        <w:t>无定形硼粉</w:t>
      </w:r>
      <w:r>
        <w:rPr>
          <w:rFonts w:hint="eastAsia"/>
          <w:b w:val="0"/>
          <w:sz w:val="21"/>
          <w:szCs w:val="21"/>
          <w:lang w:val="en-US" w:eastAsia="zh-CN"/>
        </w:rPr>
        <w:t xml:space="preserve"> </w:t>
      </w:r>
      <w:r>
        <w:rPr>
          <w:rFonts w:hint="eastAsia"/>
          <w:b w:val="0"/>
          <w:sz w:val="21"/>
          <w:szCs w:val="21"/>
        </w:rPr>
        <w:t>第3部分：过氧化氢不溶物含量的测定</w:t>
      </w:r>
      <w:r>
        <w:rPr>
          <w:b w:val="0"/>
          <w:sz w:val="21"/>
          <w:szCs w:val="21"/>
        </w:rPr>
        <w:t>》标准讨论稿和编制说明，并形成了实验报告。</w:t>
      </w:r>
    </w:p>
    <w:p w14:paraId="190AEDD4">
      <w:pPr>
        <w:spacing w:line="360" w:lineRule="auto"/>
        <w:ind w:firstLine="420" w:firstLineChars="200"/>
        <w:rPr>
          <w:rFonts w:hint="eastAsia"/>
          <w:b w:val="0"/>
          <w:sz w:val="21"/>
          <w:szCs w:val="21"/>
          <w:lang w:val="en-US" w:eastAsia="zh-CN"/>
        </w:rPr>
      </w:pPr>
      <w:r>
        <w:rPr>
          <w:rFonts w:hint="eastAsia"/>
          <w:b w:val="0"/>
          <w:sz w:val="21"/>
          <w:szCs w:val="21"/>
          <w:lang w:val="en-US" w:eastAsia="zh-CN"/>
        </w:rPr>
        <w:t>2024年12月16~19日全国有色金属标准化技术委员会在黑龙江哈尔滨市组织召开了行业标准《</w:t>
      </w:r>
      <w:r>
        <w:rPr>
          <w:rFonts w:hint="eastAsia"/>
          <w:b w:val="0"/>
          <w:sz w:val="21"/>
          <w:szCs w:val="21"/>
        </w:rPr>
        <w:t>无定形硼粉</w:t>
      </w:r>
      <w:r>
        <w:rPr>
          <w:rFonts w:hint="eastAsia"/>
          <w:b w:val="0"/>
          <w:sz w:val="21"/>
          <w:szCs w:val="21"/>
          <w:lang w:val="en-US" w:eastAsia="zh-CN"/>
        </w:rPr>
        <w:t xml:space="preserve"> </w:t>
      </w:r>
      <w:r>
        <w:rPr>
          <w:rFonts w:hint="eastAsia"/>
          <w:b w:val="0"/>
          <w:sz w:val="21"/>
          <w:szCs w:val="21"/>
        </w:rPr>
        <w:t>第3部分：过氧化氢不溶物含量的测定</w:t>
      </w:r>
      <w:r>
        <w:rPr>
          <w:rFonts w:hint="eastAsia"/>
          <w:b w:val="0"/>
          <w:sz w:val="21"/>
          <w:szCs w:val="21"/>
          <w:lang w:val="en-US" w:eastAsia="zh-CN"/>
        </w:rPr>
        <w:t>》讨论会。来自深圳铸成科技有限公司、广东省科学院新材料研究所、西部宝德科技股份有限公司、西北有色金属研究院、北京钢研高纳科技股份有限公司等单位的20余位专家对《</w:t>
      </w:r>
      <w:r>
        <w:rPr>
          <w:rFonts w:hint="eastAsia"/>
          <w:b w:val="0"/>
          <w:sz w:val="21"/>
          <w:szCs w:val="21"/>
        </w:rPr>
        <w:t>无定形硼粉</w:t>
      </w:r>
      <w:r>
        <w:rPr>
          <w:rFonts w:hint="eastAsia"/>
          <w:b w:val="0"/>
          <w:sz w:val="21"/>
          <w:szCs w:val="21"/>
          <w:lang w:val="en-US" w:eastAsia="zh-CN"/>
        </w:rPr>
        <w:t xml:space="preserve"> </w:t>
      </w:r>
      <w:r>
        <w:rPr>
          <w:rFonts w:hint="eastAsia"/>
          <w:b w:val="0"/>
          <w:sz w:val="21"/>
          <w:szCs w:val="21"/>
        </w:rPr>
        <w:t>第3部分：过氧化氢不溶物含量的测定</w:t>
      </w:r>
      <w:r>
        <w:rPr>
          <w:rFonts w:hint="eastAsia"/>
          <w:b w:val="0"/>
          <w:sz w:val="21"/>
          <w:szCs w:val="21"/>
          <w:lang w:val="en-US" w:eastAsia="zh-CN"/>
        </w:rPr>
        <w:t>》的标准讨论稿、试验报告进行了仔细、认真的讨论，并提出了修改意见和建议。</w:t>
      </w:r>
    </w:p>
    <w:p w14:paraId="76381497">
      <w:pPr>
        <w:spacing w:line="360" w:lineRule="auto"/>
        <w:ind w:firstLine="420" w:firstLineChars="200"/>
        <w:rPr>
          <w:b w:val="0"/>
          <w:sz w:val="21"/>
          <w:szCs w:val="21"/>
        </w:rPr>
      </w:pPr>
      <w:r>
        <w:rPr>
          <w:b w:val="0"/>
          <w:sz w:val="21"/>
          <w:szCs w:val="21"/>
        </w:rPr>
        <w:t>（3）试验验证</w:t>
      </w:r>
    </w:p>
    <w:p w14:paraId="0A2801E2">
      <w:pPr>
        <w:spacing w:line="360" w:lineRule="auto"/>
        <w:ind w:firstLine="420" w:firstLineChars="200"/>
        <w:rPr>
          <w:b w:val="0"/>
          <w:sz w:val="21"/>
          <w:szCs w:val="21"/>
        </w:rPr>
      </w:pPr>
      <w:r>
        <w:rPr>
          <w:b w:val="0"/>
          <w:sz w:val="21"/>
          <w:szCs w:val="21"/>
        </w:rPr>
        <w:t>202</w:t>
      </w:r>
      <w:r>
        <w:rPr>
          <w:rFonts w:hint="eastAsia"/>
          <w:b w:val="0"/>
          <w:sz w:val="21"/>
          <w:szCs w:val="21"/>
          <w:lang w:val="en-US" w:eastAsia="zh-CN"/>
        </w:rPr>
        <w:t>5</w:t>
      </w:r>
      <w:r>
        <w:rPr>
          <w:b w:val="0"/>
          <w:sz w:val="21"/>
          <w:szCs w:val="21"/>
        </w:rPr>
        <w:t>年1月~</w:t>
      </w:r>
      <w:r>
        <w:rPr>
          <w:rFonts w:hint="eastAsia"/>
          <w:b w:val="0"/>
          <w:sz w:val="21"/>
          <w:szCs w:val="21"/>
          <w:lang w:val="en-US" w:eastAsia="zh-CN"/>
        </w:rPr>
        <w:t>5</w:t>
      </w:r>
      <w:r>
        <w:rPr>
          <w:b w:val="0"/>
          <w:sz w:val="21"/>
          <w:szCs w:val="21"/>
        </w:rPr>
        <w:t>月编制组将修改后标准讨论稿、试验报告连同统一样品寄给</w:t>
      </w:r>
      <w:r>
        <w:rPr>
          <w:rFonts w:hint="eastAsia"/>
          <w:b w:val="0"/>
          <w:sz w:val="21"/>
          <w:szCs w:val="21"/>
          <w:lang w:val="en-US" w:eastAsia="zh-CN"/>
        </w:rPr>
        <w:t>4</w:t>
      </w:r>
      <w:r>
        <w:rPr>
          <w:b w:val="0"/>
          <w:sz w:val="21"/>
          <w:szCs w:val="21"/>
        </w:rPr>
        <w:t>家验证单位，开展验证试验。202</w:t>
      </w:r>
      <w:r>
        <w:rPr>
          <w:rFonts w:hint="eastAsia"/>
          <w:b w:val="0"/>
          <w:sz w:val="21"/>
          <w:szCs w:val="21"/>
          <w:lang w:val="en-US" w:eastAsia="zh-CN"/>
        </w:rPr>
        <w:t>5</w:t>
      </w:r>
      <w:r>
        <w:rPr>
          <w:b w:val="0"/>
          <w:sz w:val="21"/>
          <w:szCs w:val="21"/>
        </w:rPr>
        <w:t>年</w:t>
      </w:r>
      <w:r>
        <w:rPr>
          <w:rFonts w:hint="eastAsia"/>
          <w:b w:val="0"/>
          <w:sz w:val="21"/>
          <w:szCs w:val="21"/>
          <w:lang w:val="en-US" w:eastAsia="zh-CN"/>
        </w:rPr>
        <w:t>6</w:t>
      </w:r>
      <w:r>
        <w:rPr>
          <w:b w:val="0"/>
          <w:sz w:val="21"/>
          <w:szCs w:val="21"/>
        </w:rPr>
        <w:t>月编制组陆续收到</w:t>
      </w:r>
      <w:r>
        <w:rPr>
          <w:rFonts w:hint="eastAsia"/>
          <w:b w:val="0"/>
          <w:sz w:val="21"/>
          <w:szCs w:val="21"/>
          <w:lang w:val="en-US" w:eastAsia="zh-CN"/>
        </w:rPr>
        <w:t>4</w:t>
      </w:r>
      <w:r>
        <w:rPr>
          <w:b w:val="0"/>
          <w:sz w:val="21"/>
          <w:szCs w:val="21"/>
        </w:rPr>
        <w:t>家验证单位发来的验证报告和反馈意见，随即进行汇总、统计和分析，完善标准征求意见稿、试验报告和编制说明。</w:t>
      </w:r>
    </w:p>
    <w:p w14:paraId="623A0A3B">
      <w:pPr>
        <w:spacing w:line="276" w:lineRule="auto"/>
        <w:rPr>
          <w:rFonts w:eastAsia="黑体"/>
          <w:b w:val="0"/>
          <w:bCs/>
          <w:sz w:val="24"/>
        </w:rPr>
      </w:pPr>
      <w:r>
        <w:rPr>
          <w:rFonts w:eastAsia="黑体"/>
          <w:b w:val="0"/>
          <w:bCs/>
          <w:sz w:val="24"/>
        </w:rPr>
        <w:t>1.4.2 征求意见阶段</w:t>
      </w:r>
    </w:p>
    <w:p w14:paraId="25EB0311">
      <w:pPr>
        <w:spacing w:line="276" w:lineRule="auto"/>
        <w:ind w:firstLine="420" w:firstLineChars="200"/>
        <w:rPr>
          <w:b w:val="0"/>
          <w:sz w:val="21"/>
          <w:szCs w:val="21"/>
        </w:rPr>
      </w:pPr>
      <w:r>
        <w:rPr>
          <w:b w:val="0"/>
          <w:sz w:val="21"/>
          <w:szCs w:val="21"/>
        </w:rPr>
        <w:t>编制组在中国有色金属标准质量信息网上公开和会议讨论等形式对《</w:t>
      </w:r>
      <w:r>
        <w:rPr>
          <w:rFonts w:hint="eastAsia"/>
          <w:b w:val="0"/>
          <w:sz w:val="21"/>
          <w:szCs w:val="21"/>
        </w:rPr>
        <w:t>无定形硼粉</w:t>
      </w:r>
      <w:r>
        <w:rPr>
          <w:rFonts w:hint="eastAsia"/>
          <w:b w:val="0"/>
          <w:sz w:val="21"/>
          <w:szCs w:val="21"/>
          <w:lang w:val="en-US" w:eastAsia="zh-CN"/>
        </w:rPr>
        <w:t xml:space="preserve"> </w:t>
      </w:r>
      <w:r>
        <w:rPr>
          <w:rFonts w:hint="eastAsia"/>
          <w:b w:val="0"/>
          <w:sz w:val="21"/>
          <w:szCs w:val="21"/>
        </w:rPr>
        <w:t>第3部分：过氧化氢不溶物含量的测定</w:t>
      </w:r>
      <w:r>
        <w:rPr>
          <w:b w:val="0"/>
          <w:sz w:val="21"/>
          <w:szCs w:val="21"/>
        </w:rPr>
        <w:t>》标准征求意见稿进行意见征询。</w:t>
      </w:r>
    </w:p>
    <w:p w14:paraId="1C547206">
      <w:pPr>
        <w:spacing w:line="360" w:lineRule="auto"/>
        <w:rPr>
          <w:rFonts w:eastAsia="黑体"/>
          <w:b w:val="0"/>
          <w:bCs/>
          <w:sz w:val="24"/>
        </w:rPr>
      </w:pPr>
      <w:r>
        <w:rPr>
          <w:rFonts w:eastAsia="黑体"/>
          <w:b w:val="0"/>
          <w:bCs/>
          <w:sz w:val="24"/>
        </w:rPr>
        <w:t>二、标准编制原则</w:t>
      </w:r>
    </w:p>
    <w:p w14:paraId="6EA70454">
      <w:pPr>
        <w:spacing w:line="360" w:lineRule="auto"/>
        <w:rPr>
          <w:rFonts w:eastAsia="黑体"/>
          <w:b w:val="0"/>
          <w:bCs/>
          <w:sz w:val="24"/>
        </w:rPr>
      </w:pPr>
      <w:r>
        <w:rPr>
          <w:rFonts w:eastAsia="黑体"/>
          <w:b w:val="0"/>
          <w:bCs/>
          <w:sz w:val="24"/>
        </w:rPr>
        <w:t>2.1 符合性</w:t>
      </w:r>
    </w:p>
    <w:p w14:paraId="185DF48B">
      <w:pPr>
        <w:spacing w:line="360" w:lineRule="auto"/>
        <w:ind w:firstLine="420" w:firstLineChars="200"/>
        <w:rPr>
          <w:b w:val="0"/>
          <w:sz w:val="21"/>
          <w:szCs w:val="21"/>
        </w:rPr>
      </w:pPr>
      <w:r>
        <w:rPr>
          <w:b w:val="0"/>
          <w:sz w:val="21"/>
          <w:szCs w:val="21"/>
        </w:rPr>
        <w:t>本文件严格按照GB/T 1.1-2020《标准化工作导则 第1部分：标准化文件的结构和起草规则》、GB/T 20001.4-2015《标准编写规则 第4部分：实验方法标准》、GB/T 6379.2-2004《测量方法与结果的准确度》的要求进行编制。</w:t>
      </w:r>
    </w:p>
    <w:p w14:paraId="677B2CDE">
      <w:pPr>
        <w:spacing w:line="360" w:lineRule="auto"/>
        <w:rPr>
          <w:rFonts w:eastAsia="黑体"/>
          <w:b w:val="0"/>
          <w:bCs/>
          <w:sz w:val="24"/>
        </w:rPr>
      </w:pPr>
      <w:r>
        <w:rPr>
          <w:rFonts w:eastAsia="黑体"/>
          <w:b w:val="0"/>
          <w:bCs/>
          <w:sz w:val="24"/>
        </w:rPr>
        <w:t>2.2 适用性</w:t>
      </w:r>
    </w:p>
    <w:p w14:paraId="7B753F93">
      <w:pPr>
        <w:spacing w:line="360" w:lineRule="auto"/>
        <w:ind w:firstLine="420" w:firstLineChars="200"/>
        <w:rPr>
          <w:b w:val="0"/>
          <w:sz w:val="21"/>
          <w:szCs w:val="21"/>
        </w:rPr>
      </w:pPr>
      <w:r>
        <w:rPr>
          <w:b w:val="0"/>
          <w:sz w:val="21"/>
          <w:szCs w:val="21"/>
        </w:rPr>
        <w:t>结合无定形硼粉生产和使用的实际需求，确定测定方法和测定范围，提高了本标准的适用性。</w:t>
      </w:r>
    </w:p>
    <w:p w14:paraId="5C14DF10">
      <w:pPr>
        <w:spacing w:line="360" w:lineRule="auto"/>
        <w:rPr>
          <w:rFonts w:eastAsia="黑体"/>
          <w:b w:val="0"/>
          <w:bCs/>
          <w:sz w:val="24"/>
        </w:rPr>
      </w:pPr>
      <w:r>
        <w:rPr>
          <w:rFonts w:eastAsia="黑体"/>
          <w:b w:val="0"/>
          <w:bCs/>
          <w:sz w:val="24"/>
        </w:rPr>
        <w:t>2.3先进性</w:t>
      </w:r>
    </w:p>
    <w:p w14:paraId="27BE61F9">
      <w:pPr>
        <w:spacing w:line="360" w:lineRule="auto"/>
        <w:ind w:firstLine="420" w:firstLineChars="200"/>
        <w:rPr>
          <w:b w:val="0"/>
          <w:sz w:val="21"/>
          <w:szCs w:val="21"/>
        </w:rPr>
      </w:pPr>
      <w:r>
        <w:rPr>
          <w:b w:val="0"/>
          <w:sz w:val="21"/>
          <w:szCs w:val="21"/>
        </w:rPr>
        <w:t>通过充分调研，采用操作简便、精密度和准确好、在行业内普及的</w:t>
      </w:r>
      <w:r>
        <w:rPr>
          <w:rFonts w:hint="eastAsia"/>
          <w:b w:val="0"/>
          <w:sz w:val="21"/>
          <w:szCs w:val="21"/>
          <w:lang w:val="en-US" w:eastAsia="zh-CN"/>
        </w:rPr>
        <w:t>称重法</w:t>
      </w:r>
      <w:r>
        <w:rPr>
          <w:b w:val="0"/>
          <w:sz w:val="21"/>
          <w:szCs w:val="21"/>
        </w:rPr>
        <w:t>，能很好地满足行业对无定形硼粉</w:t>
      </w:r>
      <w:r>
        <w:rPr>
          <w:rFonts w:hint="eastAsia"/>
          <w:b w:val="0"/>
          <w:sz w:val="21"/>
          <w:szCs w:val="21"/>
          <w:lang w:val="en-US" w:eastAsia="zh-CN"/>
        </w:rPr>
        <w:t>过氧化氢不溶物含量的</w:t>
      </w:r>
      <w:r>
        <w:rPr>
          <w:b w:val="0"/>
          <w:sz w:val="21"/>
          <w:szCs w:val="21"/>
        </w:rPr>
        <w:t>测试需求，提高了本标准的可操作性和先进性。</w:t>
      </w:r>
    </w:p>
    <w:p w14:paraId="4DC15C48">
      <w:pPr>
        <w:spacing w:line="360" w:lineRule="auto"/>
        <w:rPr>
          <w:rFonts w:eastAsia="黑体"/>
          <w:b w:val="0"/>
          <w:bCs/>
          <w:sz w:val="24"/>
        </w:rPr>
      </w:pPr>
      <w:r>
        <w:rPr>
          <w:rFonts w:eastAsia="黑体"/>
          <w:b w:val="0"/>
          <w:bCs/>
          <w:sz w:val="24"/>
        </w:rPr>
        <w:t>三、确定标准主要内容的依据</w:t>
      </w:r>
    </w:p>
    <w:p w14:paraId="0DFE134C">
      <w:pPr>
        <w:spacing w:line="360" w:lineRule="auto"/>
        <w:ind w:firstLine="420" w:firstLineChars="200"/>
        <w:rPr>
          <w:bCs/>
          <w:sz w:val="21"/>
          <w:szCs w:val="21"/>
        </w:rPr>
      </w:pPr>
      <w:r>
        <w:rPr>
          <w:b w:val="0"/>
          <w:sz w:val="21"/>
          <w:szCs w:val="21"/>
        </w:rPr>
        <w:t>本文件是首次制定，并且是在充分调研了无定形硼粉生产和应用的实际情况以及相关标准、文献的基础上完成的。</w:t>
      </w:r>
    </w:p>
    <w:p w14:paraId="753587F6">
      <w:pPr>
        <w:spacing w:line="360" w:lineRule="auto"/>
        <w:rPr>
          <w:rFonts w:eastAsia="黑体"/>
          <w:b w:val="0"/>
          <w:bCs/>
          <w:sz w:val="24"/>
        </w:rPr>
      </w:pPr>
      <w:r>
        <w:rPr>
          <w:rFonts w:eastAsia="黑体"/>
          <w:b w:val="0"/>
          <w:bCs/>
          <w:sz w:val="24"/>
        </w:rPr>
        <w:t>3.</w:t>
      </w:r>
      <w:r>
        <w:rPr>
          <w:rFonts w:hint="eastAsia" w:eastAsia="黑体"/>
          <w:b w:val="0"/>
          <w:bCs/>
          <w:sz w:val="24"/>
          <w:lang w:val="en-US" w:eastAsia="zh-CN"/>
        </w:rPr>
        <w:t>1</w:t>
      </w:r>
      <w:r>
        <w:rPr>
          <w:rFonts w:eastAsia="黑体"/>
          <w:b w:val="0"/>
          <w:bCs/>
          <w:sz w:val="24"/>
        </w:rPr>
        <w:t xml:space="preserve">  分析方法概述</w:t>
      </w:r>
    </w:p>
    <w:p w14:paraId="21ADCEF2">
      <w:pPr>
        <w:pStyle w:val="15"/>
        <w:tabs>
          <w:tab w:val="center" w:pos="4201"/>
          <w:tab w:val="right" w:leader="dot" w:pos="9298"/>
        </w:tabs>
        <w:spacing w:line="360" w:lineRule="auto"/>
        <w:ind w:firstLine="420"/>
        <w:rPr>
          <w:rFonts w:hint="eastAsia" w:ascii="Times New Roman"/>
          <w:szCs w:val="21"/>
        </w:rPr>
      </w:pPr>
      <w:r>
        <w:rPr>
          <w:rFonts w:hint="eastAsia" w:ascii="Times New Roman"/>
          <w:szCs w:val="21"/>
        </w:rPr>
        <w:t>用过氧化氢溶液、硝酸将硼粉试样溶解，溶解后对试液进行抽滤，洗涤抽滤得到的不溶物，烘干称重，最终通过不溶物质量计算出过氧化氢不溶物含量。</w:t>
      </w:r>
    </w:p>
    <w:p w14:paraId="6FB06812">
      <w:pPr>
        <w:pStyle w:val="15"/>
        <w:tabs>
          <w:tab w:val="center" w:pos="4201"/>
          <w:tab w:val="right" w:leader="dot" w:pos="9298"/>
        </w:tabs>
        <w:spacing w:line="360" w:lineRule="auto"/>
        <w:ind w:firstLine="420"/>
        <w:rPr>
          <w:rFonts w:hint="default" w:ascii="Times New Roman" w:eastAsia="宋体"/>
          <w:szCs w:val="21"/>
          <w:lang w:val="en-US" w:eastAsia="zh-CN"/>
        </w:rPr>
      </w:pPr>
      <w:r>
        <w:rPr>
          <w:rFonts w:hint="eastAsia" w:ascii="Times New Roman"/>
          <w:szCs w:val="21"/>
          <w:lang w:val="en-US" w:eastAsia="zh-CN"/>
        </w:rPr>
        <w:t>90级硼粉中的过氧化氢含量最高，后续条件探索实验均使用90级硼粉。</w:t>
      </w:r>
    </w:p>
    <w:p w14:paraId="4801FC54">
      <w:pPr>
        <w:spacing w:line="360" w:lineRule="auto"/>
        <w:rPr>
          <w:rFonts w:hint="default" w:eastAsia="黑体"/>
          <w:b w:val="0"/>
          <w:bCs/>
          <w:sz w:val="24"/>
          <w:highlight w:val="none"/>
          <w:lang w:val="en-US" w:eastAsia="zh-CN"/>
        </w:rPr>
      </w:pPr>
      <w:r>
        <w:rPr>
          <w:rFonts w:hint="eastAsia" w:eastAsia="黑体"/>
          <w:b w:val="0"/>
          <w:bCs/>
          <w:sz w:val="24"/>
          <w:highlight w:val="none"/>
        </w:rPr>
        <w:t>3.</w:t>
      </w:r>
      <w:r>
        <w:rPr>
          <w:rFonts w:hint="eastAsia" w:eastAsia="黑体"/>
          <w:b w:val="0"/>
          <w:bCs/>
          <w:sz w:val="24"/>
          <w:highlight w:val="none"/>
          <w:lang w:val="en-US" w:eastAsia="zh-CN"/>
        </w:rPr>
        <w:t>2</w:t>
      </w:r>
      <w:r>
        <w:rPr>
          <w:rFonts w:hint="eastAsia" w:eastAsia="黑体"/>
          <w:b w:val="0"/>
          <w:bCs/>
          <w:sz w:val="24"/>
          <w:highlight w:val="none"/>
        </w:rPr>
        <w:t xml:space="preserve">  </w:t>
      </w:r>
      <w:r>
        <w:rPr>
          <w:rFonts w:hint="eastAsia" w:eastAsia="黑体"/>
          <w:b w:val="0"/>
          <w:bCs/>
          <w:sz w:val="24"/>
          <w:highlight w:val="none"/>
          <w:lang w:val="en-US" w:eastAsia="zh-CN"/>
        </w:rPr>
        <w:t>试样加入量的选择</w:t>
      </w:r>
    </w:p>
    <w:p w14:paraId="0B9BD5F9">
      <w:pPr>
        <w:spacing w:line="360" w:lineRule="auto"/>
        <w:ind w:firstLine="480"/>
        <w:rPr>
          <w:b w:val="0"/>
          <w:kern w:val="0"/>
          <w:sz w:val="21"/>
          <w:szCs w:val="21"/>
        </w:rPr>
      </w:pPr>
      <w:r>
        <w:rPr>
          <w:rFonts w:hint="eastAsia"/>
          <w:b w:val="0"/>
          <w:kern w:val="0"/>
          <w:sz w:val="21"/>
          <w:szCs w:val="21"/>
          <w:lang w:val="en-US" w:eastAsia="zh-CN"/>
        </w:rPr>
        <w:t>硼粉的过氧化氢不溶物含量一般在2%以下，试样加入量过少，过氧化氢不溶物含量较少，称量时波动较大</w:t>
      </w:r>
      <w:r>
        <w:rPr>
          <w:rFonts w:hint="eastAsia"/>
          <w:b w:val="0"/>
          <w:kern w:val="0"/>
          <w:sz w:val="21"/>
          <w:szCs w:val="21"/>
        </w:rPr>
        <w:t>，</w:t>
      </w:r>
      <w:r>
        <w:rPr>
          <w:rFonts w:hint="eastAsia"/>
          <w:b w:val="0"/>
          <w:kern w:val="0"/>
          <w:sz w:val="21"/>
          <w:szCs w:val="21"/>
          <w:lang w:val="en-US" w:eastAsia="zh-CN"/>
        </w:rPr>
        <w:t>探索试样加入量对实验的影响，</w:t>
      </w:r>
      <w:r>
        <w:rPr>
          <w:rFonts w:hint="eastAsia"/>
          <w:b w:val="0"/>
          <w:kern w:val="0"/>
          <w:sz w:val="21"/>
          <w:szCs w:val="21"/>
        </w:rPr>
        <w:t>实验结果如表2所示。</w:t>
      </w:r>
    </w:p>
    <w:p w14:paraId="2BC99B3E">
      <w:pPr>
        <w:spacing w:line="360" w:lineRule="auto"/>
        <w:jc w:val="center"/>
        <w:rPr>
          <w:rFonts w:eastAsia="黑体"/>
          <w:b w:val="0"/>
          <w:sz w:val="21"/>
          <w:szCs w:val="21"/>
        </w:rPr>
      </w:pPr>
      <w:r>
        <w:rPr>
          <w:rFonts w:hint="eastAsia" w:eastAsia="黑体"/>
          <w:b w:val="0"/>
          <w:sz w:val="21"/>
          <w:szCs w:val="21"/>
        </w:rPr>
        <w:t>表2 不同</w:t>
      </w:r>
      <w:r>
        <w:rPr>
          <w:rFonts w:hint="eastAsia" w:eastAsia="黑体"/>
          <w:b w:val="0"/>
          <w:sz w:val="21"/>
          <w:szCs w:val="21"/>
          <w:lang w:val="en-US" w:eastAsia="zh-CN"/>
        </w:rPr>
        <w:t>试样加入量</w:t>
      </w:r>
      <w:r>
        <w:rPr>
          <w:rFonts w:hint="eastAsia" w:eastAsia="黑体"/>
          <w:b w:val="0"/>
          <w:sz w:val="21"/>
          <w:szCs w:val="21"/>
        </w:rPr>
        <w:t>的</w:t>
      </w:r>
      <w:r>
        <w:rPr>
          <w:rFonts w:hint="eastAsia" w:eastAsia="黑体"/>
          <w:b w:val="0"/>
          <w:sz w:val="21"/>
          <w:szCs w:val="21"/>
          <w:lang w:val="en-US" w:eastAsia="zh-CN"/>
        </w:rPr>
        <w:t>过氧化氢不溶物</w:t>
      </w:r>
      <w:r>
        <w:rPr>
          <w:rFonts w:hint="eastAsia" w:eastAsia="黑体"/>
          <w:b w:val="0"/>
          <w:sz w:val="21"/>
          <w:szCs w:val="21"/>
        </w:rPr>
        <w:t>含量</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82"/>
        <w:gridCol w:w="1534"/>
        <w:gridCol w:w="1556"/>
        <w:gridCol w:w="2128"/>
        <w:gridCol w:w="1275"/>
        <w:gridCol w:w="1579"/>
      </w:tblGrid>
      <w:tr w14:paraId="6B57FA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2" w:type="pct"/>
            <w:vAlign w:val="center"/>
          </w:tcPr>
          <w:p w14:paraId="3CA4C0DD">
            <w:pPr>
              <w:spacing w:line="360" w:lineRule="auto"/>
              <w:jc w:val="center"/>
              <w:rPr>
                <w:rFonts w:hint="default" w:eastAsia="黑体"/>
                <w:b w:val="0"/>
                <w:sz w:val="18"/>
                <w:szCs w:val="18"/>
                <w:lang w:val="en-US" w:eastAsia="zh-CN"/>
              </w:rPr>
            </w:pPr>
            <w:r>
              <w:rPr>
                <w:rFonts w:hint="eastAsia" w:eastAsia="黑体"/>
                <w:b w:val="0"/>
                <w:sz w:val="18"/>
                <w:szCs w:val="18"/>
                <w:lang w:val="en-US" w:eastAsia="zh-CN"/>
              </w:rPr>
              <w:t>试样量/g</w:t>
            </w:r>
          </w:p>
        </w:tc>
        <w:tc>
          <w:tcPr>
            <w:tcW w:w="4457" w:type="pct"/>
            <w:gridSpan w:val="5"/>
            <w:vAlign w:val="center"/>
          </w:tcPr>
          <w:p w14:paraId="57441EA1">
            <w:pPr>
              <w:spacing w:line="360" w:lineRule="auto"/>
              <w:jc w:val="center"/>
              <w:rPr>
                <w:rFonts w:hint="default" w:eastAsia="黑体"/>
                <w:b w:val="0"/>
                <w:sz w:val="18"/>
                <w:szCs w:val="18"/>
                <w:lang w:val="en-US" w:eastAsia="zh-CN"/>
              </w:rPr>
            </w:pPr>
            <w:r>
              <w:rPr>
                <w:rFonts w:hint="eastAsia" w:eastAsia="黑体"/>
                <w:b w:val="0"/>
                <w:sz w:val="18"/>
                <w:szCs w:val="18"/>
                <w:lang w:val="en-US" w:eastAsia="zh-CN"/>
              </w:rPr>
              <w:t>五次结果/%</w:t>
            </w:r>
          </w:p>
        </w:tc>
      </w:tr>
      <w:tr w14:paraId="6DC2C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542" w:type="pct"/>
            <w:vAlign w:val="center"/>
          </w:tcPr>
          <w:p w14:paraId="29285B71">
            <w:pPr>
              <w:spacing w:line="360" w:lineRule="auto"/>
              <w:jc w:val="center"/>
              <w:rPr>
                <w:rFonts w:hint="default" w:eastAsia="宋体"/>
                <w:b w:val="0"/>
                <w:sz w:val="18"/>
                <w:szCs w:val="18"/>
                <w:lang w:val="en-US" w:eastAsia="zh-CN"/>
              </w:rPr>
            </w:pPr>
            <w:r>
              <w:rPr>
                <w:rFonts w:hint="eastAsia"/>
                <w:b w:val="0"/>
                <w:sz w:val="18"/>
                <w:szCs w:val="18"/>
                <w:lang w:val="en-US" w:eastAsia="zh-CN"/>
              </w:rPr>
              <w:t>0.1</w:t>
            </w:r>
          </w:p>
        </w:tc>
        <w:tc>
          <w:tcPr>
            <w:tcW w:w="847" w:type="pct"/>
            <w:vAlign w:val="center"/>
          </w:tcPr>
          <w:p w14:paraId="78EA207B">
            <w:pPr>
              <w:spacing w:line="360" w:lineRule="auto"/>
              <w:jc w:val="center"/>
              <w:rPr>
                <w:rFonts w:hint="default" w:eastAsia="宋体"/>
                <w:b w:val="0"/>
                <w:sz w:val="18"/>
                <w:szCs w:val="18"/>
                <w:lang w:val="en-US" w:eastAsia="zh-CN"/>
              </w:rPr>
            </w:pPr>
            <w:r>
              <w:rPr>
                <w:rFonts w:hint="eastAsia"/>
                <w:b w:val="0"/>
                <w:sz w:val="18"/>
                <w:szCs w:val="18"/>
                <w:lang w:val="en-US" w:eastAsia="zh-CN"/>
              </w:rPr>
              <w:t>1.16</w:t>
            </w:r>
          </w:p>
        </w:tc>
        <w:tc>
          <w:tcPr>
            <w:tcW w:w="859" w:type="pct"/>
            <w:vAlign w:val="center"/>
          </w:tcPr>
          <w:p w14:paraId="0C48D100">
            <w:pPr>
              <w:spacing w:line="360" w:lineRule="auto"/>
              <w:jc w:val="center"/>
              <w:rPr>
                <w:rFonts w:hint="default" w:eastAsia="宋体"/>
                <w:b w:val="0"/>
                <w:sz w:val="18"/>
                <w:szCs w:val="18"/>
                <w:lang w:val="en-US" w:eastAsia="zh-CN"/>
              </w:rPr>
            </w:pPr>
            <w:r>
              <w:rPr>
                <w:rFonts w:hint="eastAsia"/>
                <w:b w:val="0"/>
                <w:sz w:val="18"/>
                <w:szCs w:val="18"/>
                <w:lang w:val="en-US" w:eastAsia="zh-CN"/>
              </w:rPr>
              <w:t>1.27</w:t>
            </w:r>
          </w:p>
        </w:tc>
        <w:tc>
          <w:tcPr>
            <w:tcW w:w="1175" w:type="pct"/>
            <w:vAlign w:val="center"/>
          </w:tcPr>
          <w:p w14:paraId="44CF631B">
            <w:pPr>
              <w:spacing w:line="360" w:lineRule="auto"/>
              <w:jc w:val="center"/>
              <w:rPr>
                <w:rFonts w:hint="default" w:eastAsia="宋体"/>
                <w:b w:val="0"/>
                <w:sz w:val="18"/>
                <w:szCs w:val="18"/>
                <w:lang w:val="en-US" w:eastAsia="zh-CN"/>
              </w:rPr>
            </w:pPr>
            <w:r>
              <w:rPr>
                <w:rFonts w:hint="eastAsia"/>
                <w:b w:val="0"/>
                <w:sz w:val="18"/>
                <w:szCs w:val="18"/>
                <w:lang w:val="en-US" w:eastAsia="zh-CN"/>
              </w:rPr>
              <w:t>1.01</w:t>
            </w:r>
          </w:p>
        </w:tc>
        <w:tc>
          <w:tcPr>
            <w:tcW w:w="704" w:type="pct"/>
            <w:vAlign w:val="center"/>
          </w:tcPr>
          <w:p w14:paraId="6319D202">
            <w:pPr>
              <w:spacing w:line="360" w:lineRule="auto"/>
              <w:jc w:val="center"/>
              <w:rPr>
                <w:rFonts w:hint="default" w:eastAsia="宋体"/>
                <w:b w:val="0"/>
                <w:sz w:val="18"/>
                <w:szCs w:val="18"/>
                <w:lang w:val="en-US" w:eastAsia="zh-CN"/>
              </w:rPr>
            </w:pPr>
            <w:r>
              <w:rPr>
                <w:rFonts w:hint="eastAsia"/>
                <w:b w:val="0"/>
                <w:sz w:val="18"/>
                <w:szCs w:val="18"/>
                <w:lang w:val="en-US" w:eastAsia="zh-CN"/>
              </w:rPr>
              <w:t>1.52</w:t>
            </w:r>
          </w:p>
        </w:tc>
        <w:tc>
          <w:tcPr>
            <w:tcW w:w="871" w:type="pct"/>
            <w:vAlign w:val="center"/>
          </w:tcPr>
          <w:p w14:paraId="283754F3">
            <w:pPr>
              <w:spacing w:line="360" w:lineRule="auto"/>
              <w:jc w:val="center"/>
              <w:rPr>
                <w:rFonts w:hint="default" w:eastAsia="宋体"/>
                <w:b w:val="0"/>
                <w:sz w:val="18"/>
                <w:szCs w:val="18"/>
                <w:lang w:val="en-US" w:eastAsia="zh-CN"/>
              </w:rPr>
            </w:pPr>
            <w:r>
              <w:rPr>
                <w:rFonts w:hint="eastAsia"/>
                <w:b w:val="0"/>
                <w:sz w:val="18"/>
                <w:szCs w:val="18"/>
                <w:lang w:val="en-US" w:eastAsia="zh-CN"/>
              </w:rPr>
              <w:t>1.38</w:t>
            </w:r>
          </w:p>
        </w:tc>
      </w:tr>
      <w:tr w14:paraId="0A30A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542" w:type="pct"/>
            <w:vAlign w:val="center"/>
          </w:tcPr>
          <w:p w14:paraId="635BE5E4">
            <w:pPr>
              <w:spacing w:line="360" w:lineRule="auto"/>
              <w:jc w:val="center"/>
              <w:rPr>
                <w:rFonts w:hint="default" w:eastAsia="宋体"/>
                <w:b w:val="0"/>
                <w:sz w:val="18"/>
                <w:szCs w:val="18"/>
                <w:lang w:val="en-US" w:eastAsia="zh-CN"/>
              </w:rPr>
            </w:pPr>
            <w:r>
              <w:rPr>
                <w:rFonts w:hint="eastAsia"/>
                <w:b w:val="0"/>
                <w:sz w:val="18"/>
                <w:szCs w:val="18"/>
                <w:lang w:val="en-US" w:eastAsia="zh-CN"/>
              </w:rPr>
              <w:t>0.3</w:t>
            </w:r>
          </w:p>
        </w:tc>
        <w:tc>
          <w:tcPr>
            <w:tcW w:w="847" w:type="pct"/>
            <w:vAlign w:val="center"/>
          </w:tcPr>
          <w:p w14:paraId="46D189B3">
            <w:pPr>
              <w:spacing w:line="360" w:lineRule="auto"/>
              <w:jc w:val="center"/>
              <w:rPr>
                <w:rFonts w:hint="default" w:eastAsia="宋体"/>
                <w:b w:val="0"/>
                <w:sz w:val="18"/>
                <w:szCs w:val="18"/>
                <w:lang w:val="en-US" w:eastAsia="zh-CN"/>
              </w:rPr>
            </w:pPr>
            <w:r>
              <w:rPr>
                <w:rFonts w:hint="eastAsia"/>
                <w:b w:val="0"/>
                <w:sz w:val="18"/>
                <w:szCs w:val="18"/>
                <w:lang w:val="en-US" w:eastAsia="zh-CN"/>
              </w:rPr>
              <w:t>1.24</w:t>
            </w:r>
          </w:p>
        </w:tc>
        <w:tc>
          <w:tcPr>
            <w:tcW w:w="859" w:type="pct"/>
            <w:vAlign w:val="center"/>
          </w:tcPr>
          <w:p w14:paraId="578F37C4">
            <w:pPr>
              <w:spacing w:line="360" w:lineRule="auto"/>
              <w:jc w:val="center"/>
              <w:rPr>
                <w:rFonts w:hint="default" w:eastAsia="宋体"/>
                <w:b w:val="0"/>
                <w:sz w:val="18"/>
                <w:szCs w:val="18"/>
                <w:lang w:val="en-US" w:eastAsia="zh-CN"/>
              </w:rPr>
            </w:pPr>
            <w:r>
              <w:rPr>
                <w:rFonts w:hint="eastAsia"/>
                <w:b w:val="0"/>
                <w:sz w:val="18"/>
                <w:szCs w:val="18"/>
                <w:lang w:val="en-US" w:eastAsia="zh-CN"/>
              </w:rPr>
              <w:t>1.18</w:t>
            </w:r>
          </w:p>
        </w:tc>
        <w:tc>
          <w:tcPr>
            <w:tcW w:w="1175" w:type="pct"/>
            <w:vAlign w:val="center"/>
          </w:tcPr>
          <w:p w14:paraId="72EE989D">
            <w:pPr>
              <w:spacing w:line="360" w:lineRule="auto"/>
              <w:jc w:val="center"/>
              <w:rPr>
                <w:rFonts w:hint="default" w:eastAsia="宋体"/>
                <w:b w:val="0"/>
                <w:sz w:val="18"/>
                <w:szCs w:val="18"/>
                <w:lang w:val="en-US" w:eastAsia="zh-CN"/>
              </w:rPr>
            </w:pPr>
            <w:r>
              <w:rPr>
                <w:rFonts w:hint="eastAsia"/>
                <w:b w:val="0"/>
                <w:sz w:val="18"/>
                <w:szCs w:val="18"/>
                <w:lang w:val="en-US" w:eastAsia="zh-CN"/>
              </w:rPr>
              <w:t>1.20</w:t>
            </w:r>
          </w:p>
        </w:tc>
        <w:tc>
          <w:tcPr>
            <w:tcW w:w="704" w:type="pct"/>
            <w:vAlign w:val="center"/>
          </w:tcPr>
          <w:p w14:paraId="4661BD97">
            <w:pPr>
              <w:spacing w:line="360" w:lineRule="auto"/>
              <w:jc w:val="center"/>
              <w:rPr>
                <w:rFonts w:hint="default" w:eastAsia="宋体"/>
                <w:b w:val="0"/>
                <w:sz w:val="18"/>
                <w:szCs w:val="18"/>
                <w:lang w:val="en-US" w:eastAsia="zh-CN"/>
              </w:rPr>
            </w:pPr>
            <w:r>
              <w:rPr>
                <w:rFonts w:hint="eastAsia"/>
                <w:b w:val="0"/>
                <w:sz w:val="18"/>
                <w:szCs w:val="18"/>
                <w:lang w:val="en-US" w:eastAsia="zh-CN"/>
              </w:rPr>
              <w:t>1.19</w:t>
            </w:r>
          </w:p>
        </w:tc>
        <w:tc>
          <w:tcPr>
            <w:tcW w:w="871" w:type="pct"/>
            <w:vAlign w:val="center"/>
          </w:tcPr>
          <w:p w14:paraId="412D8413">
            <w:pPr>
              <w:spacing w:line="360" w:lineRule="auto"/>
              <w:jc w:val="center"/>
              <w:rPr>
                <w:rFonts w:hint="default" w:eastAsia="宋体"/>
                <w:b w:val="0"/>
                <w:sz w:val="18"/>
                <w:szCs w:val="18"/>
                <w:lang w:val="en-US" w:eastAsia="zh-CN"/>
              </w:rPr>
            </w:pPr>
            <w:r>
              <w:rPr>
                <w:rFonts w:hint="eastAsia"/>
                <w:b w:val="0"/>
                <w:sz w:val="18"/>
                <w:szCs w:val="18"/>
                <w:lang w:val="en-US" w:eastAsia="zh-CN"/>
              </w:rPr>
              <w:t>1.15</w:t>
            </w:r>
          </w:p>
        </w:tc>
      </w:tr>
      <w:tr w14:paraId="5BFFEF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542" w:type="pct"/>
            <w:vAlign w:val="center"/>
          </w:tcPr>
          <w:p w14:paraId="074E7AA4">
            <w:pPr>
              <w:spacing w:line="360" w:lineRule="auto"/>
              <w:jc w:val="center"/>
              <w:rPr>
                <w:rFonts w:hint="default" w:eastAsia="宋体"/>
                <w:b w:val="0"/>
                <w:sz w:val="18"/>
                <w:szCs w:val="18"/>
                <w:lang w:val="en-US" w:eastAsia="zh-CN"/>
              </w:rPr>
            </w:pPr>
            <w:r>
              <w:rPr>
                <w:rFonts w:hint="eastAsia"/>
                <w:b w:val="0"/>
                <w:sz w:val="18"/>
                <w:szCs w:val="18"/>
                <w:lang w:val="en-US" w:eastAsia="zh-CN"/>
              </w:rPr>
              <w:t>0.5</w:t>
            </w:r>
          </w:p>
        </w:tc>
        <w:tc>
          <w:tcPr>
            <w:tcW w:w="847" w:type="pct"/>
            <w:vAlign w:val="center"/>
          </w:tcPr>
          <w:p w14:paraId="5DD7D9B1">
            <w:pPr>
              <w:spacing w:line="360" w:lineRule="auto"/>
              <w:jc w:val="center"/>
              <w:rPr>
                <w:rFonts w:hint="default" w:eastAsia="宋体"/>
                <w:b w:val="0"/>
                <w:sz w:val="18"/>
                <w:szCs w:val="18"/>
                <w:lang w:val="en-US" w:eastAsia="zh-CN"/>
              </w:rPr>
            </w:pPr>
            <w:r>
              <w:rPr>
                <w:rFonts w:hint="eastAsia"/>
                <w:b w:val="0"/>
                <w:sz w:val="18"/>
                <w:szCs w:val="18"/>
                <w:lang w:val="en-US" w:eastAsia="zh-CN"/>
              </w:rPr>
              <w:t>1.82</w:t>
            </w:r>
          </w:p>
        </w:tc>
        <w:tc>
          <w:tcPr>
            <w:tcW w:w="859" w:type="pct"/>
            <w:vAlign w:val="center"/>
          </w:tcPr>
          <w:p w14:paraId="68C389B1">
            <w:pPr>
              <w:spacing w:line="360" w:lineRule="auto"/>
              <w:jc w:val="center"/>
              <w:rPr>
                <w:rFonts w:hint="default" w:eastAsia="宋体"/>
                <w:b w:val="0"/>
                <w:sz w:val="18"/>
                <w:szCs w:val="18"/>
                <w:lang w:val="en-US" w:eastAsia="zh-CN"/>
              </w:rPr>
            </w:pPr>
            <w:r>
              <w:rPr>
                <w:rFonts w:hint="eastAsia"/>
                <w:b w:val="0"/>
                <w:sz w:val="18"/>
                <w:szCs w:val="18"/>
                <w:lang w:val="en-US" w:eastAsia="zh-CN"/>
              </w:rPr>
              <w:t>1.79</w:t>
            </w:r>
          </w:p>
        </w:tc>
        <w:tc>
          <w:tcPr>
            <w:tcW w:w="1175" w:type="pct"/>
            <w:vAlign w:val="center"/>
          </w:tcPr>
          <w:p w14:paraId="220F04B7">
            <w:pPr>
              <w:spacing w:line="360" w:lineRule="auto"/>
              <w:jc w:val="center"/>
              <w:rPr>
                <w:rFonts w:hint="default" w:eastAsia="宋体"/>
                <w:b w:val="0"/>
                <w:sz w:val="18"/>
                <w:szCs w:val="18"/>
                <w:lang w:val="en-US" w:eastAsia="zh-CN"/>
              </w:rPr>
            </w:pPr>
            <w:r>
              <w:rPr>
                <w:rFonts w:hint="eastAsia"/>
                <w:b w:val="0"/>
                <w:sz w:val="18"/>
                <w:szCs w:val="18"/>
                <w:lang w:val="en-US" w:eastAsia="zh-CN"/>
              </w:rPr>
              <w:t>1.93</w:t>
            </w:r>
          </w:p>
        </w:tc>
        <w:tc>
          <w:tcPr>
            <w:tcW w:w="704" w:type="pct"/>
            <w:vAlign w:val="center"/>
          </w:tcPr>
          <w:p w14:paraId="35349442">
            <w:pPr>
              <w:spacing w:line="360" w:lineRule="auto"/>
              <w:jc w:val="center"/>
              <w:rPr>
                <w:rFonts w:hint="default" w:eastAsia="宋体"/>
                <w:b w:val="0"/>
                <w:sz w:val="18"/>
                <w:szCs w:val="18"/>
                <w:lang w:val="en-US" w:eastAsia="zh-CN"/>
              </w:rPr>
            </w:pPr>
            <w:r>
              <w:rPr>
                <w:rFonts w:hint="eastAsia"/>
                <w:b w:val="0"/>
                <w:sz w:val="18"/>
                <w:szCs w:val="18"/>
                <w:lang w:val="en-US" w:eastAsia="zh-CN"/>
              </w:rPr>
              <w:t>1.88</w:t>
            </w:r>
          </w:p>
        </w:tc>
        <w:tc>
          <w:tcPr>
            <w:tcW w:w="871" w:type="pct"/>
            <w:vAlign w:val="center"/>
          </w:tcPr>
          <w:p w14:paraId="28764348">
            <w:pPr>
              <w:spacing w:line="360" w:lineRule="auto"/>
              <w:jc w:val="center"/>
              <w:rPr>
                <w:rFonts w:hint="default" w:eastAsia="宋体"/>
                <w:b w:val="0"/>
                <w:sz w:val="18"/>
                <w:szCs w:val="18"/>
                <w:lang w:val="en-US" w:eastAsia="zh-CN"/>
              </w:rPr>
            </w:pPr>
            <w:r>
              <w:rPr>
                <w:rFonts w:hint="eastAsia"/>
                <w:b w:val="0"/>
                <w:sz w:val="18"/>
                <w:szCs w:val="18"/>
                <w:lang w:val="en-US" w:eastAsia="zh-CN"/>
              </w:rPr>
              <w:t>1.72</w:t>
            </w:r>
          </w:p>
        </w:tc>
      </w:tr>
    </w:tbl>
    <w:p w14:paraId="55F7EB55">
      <w:pPr>
        <w:snapToGrid w:val="0"/>
        <w:spacing w:before="156" w:beforeLines="50" w:line="360" w:lineRule="auto"/>
        <w:ind w:firstLine="420" w:firstLineChars="200"/>
        <w:outlineLvl w:val="0"/>
        <w:rPr>
          <w:rFonts w:hint="eastAsia"/>
          <w:b w:val="0"/>
          <w:kern w:val="0"/>
          <w:sz w:val="21"/>
          <w:szCs w:val="20"/>
          <w:lang w:val="en-US" w:eastAsia="zh-CN"/>
        </w:rPr>
      </w:pPr>
      <w:r>
        <w:rPr>
          <w:b w:val="0"/>
          <w:kern w:val="0"/>
          <w:sz w:val="21"/>
          <w:szCs w:val="20"/>
        </w:rPr>
        <w:t>由表</w:t>
      </w:r>
      <w:r>
        <w:rPr>
          <w:rFonts w:hint="eastAsia"/>
          <w:b w:val="0"/>
          <w:kern w:val="0"/>
          <w:sz w:val="21"/>
          <w:szCs w:val="20"/>
        </w:rPr>
        <w:t>2</w:t>
      </w:r>
      <w:r>
        <w:rPr>
          <w:b w:val="0"/>
          <w:kern w:val="0"/>
          <w:sz w:val="21"/>
          <w:szCs w:val="20"/>
        </w:rPr>
        <w:t xml:space="preserve"> 可知，</w:t>
      </w:r>
      <w:r>
        <w:rPr>
          <w:rFonts w:hint="eastAsia"/>
          <w:b w:val="0"/>
          <w:kern w:val="0"/>
          <w:sz w:val="21"/>
          <w:szCs w:val="20"/>
          <w:lang w:val="en-US" w:eastAsia="zh-CN"/>
        </w:rPr>
        <w:t>试样量0.1g时，测量结果波动较大，稳定性较差；试样量0.5g时，样品部分未溶解，测试结果偏大</w:t>
      </w:r>
      <w:r>
        <w:rPr>
          <w:rFonts w:hint="eastAsia"/>
          <w:b w:val="0"/>
          <w:kern w:val="0"/>
          <w:sz w:val="21"/>
          <w:szCs w:val="20"/>
        </w:rPr>
        <w:t>。</w:t>
      </w:r>
      <w:r>
        <w:rPr>
          <w:rFonts w:hint="eastAsia"/>
          <w:b w:val="0"/>
          <w:kern w:val="0"/>
          <w:sz w:val="21"/>
          <w:szCs w:val="20"/>
          <w:lang w:val="en-US" w:eastAsia="zh-CN"/>
        </w:rPr>
        <w:t>综合考虑，试样量选择在0.3g。</w:t>
      </w:r>
    </w:p>
    <w:p w14:paraId="0748C617">
      <w:pPr>
        <w:autoSpaceDE w:val="0"/>
        <w:autoSpaceDN w:val="0"/>
        <w:adjustRightInd w:val="0"/>
        <w:spacing w:line="360" w:lineRule="auto"/>
        <w:ind w:firstLine="420"/>
        <w:jc w:val="left"/>
        <w:rPr>
          <w:rFonts w:hint="eastAsia"/>
          <w:b w:val="0"/>
          <w:kern w:val="0"/>
          <w:sz w:val="21"/>
          <w:szCs w:val="20"/>
          <w:lang w:val="en-US" w:eastAsia="zh-CN"/>
        </w:rPr>
      </w:pPr>
      <w:r>
        <w:rPr>
          <w:rFonts w:hint="eastAsia" w:cs="Times New Roman"/>
          <w:b w:val="0"/>
          <w:kern w:val="0"/>
          <w:sz w:val="21"/>
          <w:szCs w:val="21"/>
          <w:highlight w:val="none"/>
          <w:lang w:val="en-US" w:eastAsia="zh-CN" w:bidi="ar-SA"/>
        </w:rPr>
        <w:t>经一验单位矿冶科技集团有限公司验证，得到的结论与起草单位基本一致。</w:t>
      </w:r>
    </w:p>
    <w:p w14:paraId="4D710A75">
      <w:pPr>
        <w:spacing w:line="360" w:lineRule="auto"/>
        <w:rPr>
          <w:rFonts w:hint="default" w:eastAsia="黑体"/>
          <w:b w:val="0"/>
          <w:bCs/>
          <w:sz w:val="24"/>
          <w:highlight w:val="none"/>
          <w:lang w:val="en-US" w:eastAsia="zh-CN"/>
        </w:rPr>
      </w:pPr>
      <w:r>
        <w:rPr>
          <w:rFonts w:hint="eastAsia" w:eastAsia="黑体"/>
          <w:b w:val="0"/>
          <w:bCs/>
          <w:sz w:val="24"/>
          <w:highlight w:val="none"/>
        </w:rPr>
        <w:t>3.</w:t>
      </w:r>
      <w:r>
        <w:rPr>
          <w:rFonts w:hint="eastAsia" w:eastAsia="黑体"/>
          <w:b w:val="0"/>
          <w:bCs/>
          <w:sz w:val="24"/>
          <w:highlight w:val="none"/>
          <w:lang w:val="en-US" w:eastAsia="zh-CN"/>
        </w:rPr>
        <w:t>3</w:t>
      </w:r>
      <w:r>
        <w:rPr>
          <w:rFonts w:hint="eastAsia" w:eastAsia="黑体"/>
          <w:b w:val="0"/>
          <w:bCs/>
          <w:sz w:val="24"/>
          <w:highlight w:val="none"/>
        </w:rPr>
        <w:t xml:space="preserve">  </w:t>
      </w:r>
      <w:r>
        <w:rPr>
          <w:rFonts w:hint="eastAsia" w:eastAsia="黑体"/>
          <w:b w:val="0"/>
          <w:bCs/>
          <w:sz w:val="24"/>
          <w:highlight w:val="none"/>
          <w:lang w:val="en-US" w:eastAsia="zh-CN"/>
        </w:rPr>
        <w:t>过氧化氢量的选择</w:t>
      </w:r>
    </w:p>
    <w:p w14:paraId="6AA6F27D">
      <w:pPr>
        <w:spacing w:line="360" w:lineRule="auto"/>
        <w:ind w:firstLine="480"/>
        <w:rPr>
          <w:b w:val="0"/>
          <w:kern w:val="0"/>
          <w:sz w:val="21"/>
          <w:szCs w:val="21"/>
        </w:rPr>
      </w:pPr>
      <w:r>
        <w:rPr>
          <w:rFonts w:hint="eastAsia"/>
          <w:b w:val="0"/>
          <w:kern w:val="0"/>
          <w:sz w:val="21"/>
          <w:szCs w:val="21"/>
          <w:lang w:val="en-US" w:eastAsia="zh-CN"/>
        </w:rPr>
        <w:t>称取0.3g试样，加入不同体积的过氧化氢</w:t>
      </w:r>
      <w:r>
        <w:rPr>
          <w:rFonts w:hint="eastAsia"/>
          <w:b w:val="0"/>
          <w:kern w:val="0"/>
          <w:sz w:val="21"/>
          <w:szCs w:val="21"/>
        </w:rPr>
        <w:t>，</w:t>
      </w:r>
      <w:r>
        <w:rPr>
          <w:rFonts w:hint="eastAsia"/>
          <w:b w:val="0"/>
          <w:kern w:val="0"/>
          <w:sz w:val="21"/>
          <w:szCs w:val="21"/>
          <w:lang w:val="en-US" w:eastAsia="zh-CN"/>
        </w:rPr>
        <w:t>探索过氧化氢加入量对实验的影响，</w:t>
      </w:r>
      <w:r>
        <w:rPr>
          <w:rFonts w:hint="eastAsia"/>
          <w:b w:val="0"/>
          <w:kern w:val="0"/>
          <w:sz w:val="21"/>
          <w:szCs w:val="21"/>
        </w:rPr>
        <w:t>实验结果如表</w:t>
      </w:r>
      <w:r>
        <w:rPr>
          <w:rFonts w:hint="eastAsia"/>
          <w:b w:val="0"/>
          <w:kern w:val="0"/>
          <w:sz w:val="21"/>
          <w:szCs w:val="21"/>
          <w:lang w:val="en-US" w:eastAsia="zh-CN"/>
        </w:rPr>
        <w:t>3</w:t>
      </w:r>
      <w:r>
        <w:rPr>
          <w:rFonts w:hint="eastAsia"/>
          <w:b w:val="0"/>
          <w:kern w:val="0"/>
          <w:sz w:val="21"/>
          <w:szCs w:val="21"/>
        </w:rPr>
        <w:t>所示。</w:t>
      </w:r>
    </w:p>
    <w:p w14:paraId="024FCFA8">
      <w:pPr>
        <w:spacing w:line="360" w:lineRule="auto"/>
        <w:jc w:val="center"/>
        <w:rPr>
          <w:rFonts w:eastAsia="黑体"/>
          <w:b w:val="0"/>
          <w:sz w:val="21"/>
          <w:szCs w:val="21"/>
        </w:rPr>
      </w:pPr>
      <w:r>
        <w:rPr>
          <w:rFonts w:hint="eastAsia" w:eastAsia="黑体"/>
          <w:b w:val="0"/>
          <w:sz w:val="21"/>
          <w:szCs w:val="21"/>
        </w:rPr>
        <w:t>表</w:t>
      </w:r>
      <w:r>
        <w:rPr>
          <w:rFonts w:hint="eastAsia" w:eastAsia="黑体"/>
          <w:b w:val="0"/>
          <w:sz w:val="21"/>
          <w:szCs w:val="21"/>
          <w:lang w:val="en-US" w:eastAsia="zh-CN"/>
        </w:rPr>
        <w:t>3</w:t>
      </w:r>
      <w:r>
        <w:rPr>
          <w:rFonts w:hint="eastAsia" w:eastAsia="黑体"/>
          <w:b w:val="0"/>
          <w:sz w:val="21"/>
          <w:szCs w:val="21"/>
        </w:rPr>
        <w:t xml:space="preserve"> 不同</w:t>
      </w:r>
      <w:r>
        <w:rPr>
          <w:rFonts w:hint="eastAsia" w:eastAsia="黑体"/>
          <w:b w:val="0"/>
          <w:sz w:val="21"/>
          <w:szCs w:val="21"/>
          <w:lang w:val="en-US" w:eastAsia="zh-CN"/>
        </w:rPr>
        <w:t>过氧化氢加入量</w:t>
      </w:r>
      <w:r>
        <w:rPr>
          <w:rFonts w:hint="eastAsia" w:eastAsia="黑体"/>
          <w:b w:val="0"/>
          <w:sz w:val="21"/>
          <w:szCs w:val="21"/>
        </w:rPr>
        <w:t>的</w:t>
      </w:r>
      <w:r>
        <w:rPr>
          <w:rFonts w:hint="eastAsia" w:eastAsia="黑体"/>
          <w:b w:val="0"/>
          <w:sz w:val="21"/>
          <w:szCs w:val="21"/>
          <w:lang w:val="en-US" w:eastAsia="zh-CN"/>
        </w:rPr>
        <w:t>不溶物</w:t>
      </w:r>
      <w:r>
        <w:rPr>
          <w:rFonts w:hint="eastAsia" w:eastAsia="黑体"/>
          <w:b w:val="0"/>
          <w:sz w:val="21"/>
          <w:szCs w:val="21"/>
        </w:rPr>
        <w:t>含量</w:t>
      </w:r>
    </w:p>
    <w:tbl>
      <w:tblPr>
        <w:tblStyle w:val="9"/>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351"/>
        <w:gridCol w:w="1674"/>
        <w:gridCol w:w="1675"/>
        <w:gridCol w:w="1675"/>
        <w:gridCol w:w="1675"/>
      </w:tblGrid>
      <w:tr w14:paraId="6197BC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99" w:type="pct"/>
            <w:vAlign w:val="center"/>
          </w:tcPr>
          <w:p w14:paraId="70E188E0">
            <w:pPr>
              <w:spacing w:line="360" w:lineRule="auto"/>
              <w:jc w:val="center"/>
              <w:rPr>
                <w:rFonts w:hint="default" w:eastAsia="黑体"/>
                <w:b w:val="0"/>
                <w:sz w:val="18"/>
                <w:szCs w:val="18"/>
                <w:lang w:val="en-US" w:eastAsia="zh-CN"/>
              </w:rPr>
            </w:pPr>
            <w:r>
              <w:rPr>
                <w:rFonts w:hint="eastAsia" w:eastAsia="黑体"/>
                <w:b w:val="0"/>
                <w:sz w:val="18"/>
                <w:szCs w:val="18"/>
                <w:lang w:val="en-US" w:eastAsia="zh-CN"/>
              </w:rPr>
              <w:t>过氧化氢加入量/mL</w:t>
            </w:r>
          </w:p>
        </w:tc>
        <w:tc>
          <w:tcPr>
            <w:tcW w:w="925" w:type="pct"/>
            <w:vAlign w:val="center"/>
          </w:tcPr>
          <w:p w14:paraId="4A409AEA">
            <w:pPr>
              <w:spacing w:line="360" w:lineRule="auto"/>
              <w:jc w:val="center"/>
              <w:rPr>
                <w:rFonts w:hint="default" w:eastAsia="黑体"/>
                <w:b w:val="0"/>
                <w:sz w:val="18"/>
                <w:szCs w:val="18"/>
                <w:lang w:val="en-US" w:eastAsia="zh-CN"/>
              </w:rPr>
            </w:pPr>
            <w:r>
              <w:rPr>
                <w:rFonts w:hint="eastAsia" w:eastAsia="黑体"/>
                <w:b w:val="0"/>
                <w:sz w:val="18"/>
                <w:szCs w:val="18"/>
                <w:lang w:val="en-US" w:eastAsia="zh-CN"/>
              </w:rPr>
              <w:t>50</w:t>
            </w:r>
          </w:p>
        </w:tc>
        <w:tc>
          <w:tcPr>
            <w:tcW w:w="925" w:type="pct"/>
            <w:vAlign w:val="center"/>
          </w:tcPr>
          <w:p w14:paraId="00A388B4">
            <w:pPr>
              <w:spacing w:line="360" w:lineRule="auto"/>
              <w:jc w:val="center"/>
              <w:rPr>
                <w:rFonts w:hint="default" w:eastAsia="黑体"/>
                <w:b w:val="0"/>
                <w:sz w:val="18"/>
                <w:szCs w:val="18"/>
                <w:lang w:val="en-US" w:eastAsia="zh-CN"/>
              </w:rPr>
            </w:pPr>
            <w:r>
              <w:rPr>
                <w:rFonts w:hint="eastAsia" w:eastAsia="黑体"/>
                <w:b w:val="0"/>
                <w:sz w:val="18"/>
                <w:szCs w:val="18"/>
                <w:lang w:val="en-US" w:eastAsia="zh-CN"/>
              </w:rPr>
              <w:t>75</w:t>
            </w:r>
          </w:p>
        </w:tc>
        <w:tc>
          <w:tcPr>
            <w:tcW w:w="925" w:type="pct"/>
            <w:vAlign w:val="center"/>
          </w:tcPr>
          <w:p w14:paraId="24430B2C">
            <w:pPr>
              <w:spacing w:line="360" w:lineRule="auto"/>
              <w:jc w:val="center"/>
              <w:rPr>
                <w:rFonts w:hint="default" w:eastAsia="黑体"/>
                <w:b w:val="0"/>
                <w:sz w:val="18"/>
                <w:szCs w:val="18"/>
                <w:lang w:val="en-US" w:eastAsia="zh-CN"/>
              </w:rPr>
            </w:pPr>
            <w:r>
              <w:rPr>
                <w:rFonts w:hint="eastAsia" w:eastAsia="黑体"/>
                <w:b w:val="0"/>
                <w:sz w:val="18"/>
                <w:szCs w:val="18"/>
                <w:lang w:val="en-US" w:eastAsia="zh-CN"/>
              </w:rPr>
              <w:t>100</w:t>
            </w:r>
          </w:p>
        </w:tc>
        <w:tc>
          <w:tcPr>
            <w:tcW w:w="925" w:type="pct"/>
            <w:vAlign w:val="center"/>
          </w:tcPr>
          <w:p w14:paraId="739B0B86">
            <w:pPr>
              <w:spacing w:line="360" w:lineRule="auto"/>
              <w:jc w:val="center"/>
              <w:rPr>
                <w:rFonts w:hint="default" w:eastAsia="黑体"/>
                <w:b w:val="0"/>
                <w:sz w:val="18"/>
                <w:szCs w:val="18"/>
                <w:lang w:val="en-US" w:eastAsia="zh-CN"/>
              </w:rPr>
            </w:pPr>
            <w:r>
              <w:rPr>
                <w:rFonts w:hint="eastAsia" w:eastAsia="黑体"/>
                <w:b w:val="0"/>
                <w:sz w:val="18"/>
                <w:szCs w:val="18"/>
                <w:lang w:val="en-US" w:eastAsia="zh-CN"/>
              </w:rPr>
              <w:t>125</w:t>
            </w:r>
          </w:p>
        </w:tc>
      </w:tr>
      <w:tr w14:paraId="1EB1B4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99" w:type="pct"/>
            <w:vAlign w:val="center"/>
          </w:tcPr>
          <w:p w14:paraId="52C381EF">
            <w:pPr>
              <w:spacing w:line="360" w:lineRule="auto"/>
              <w:jc w:val="center"/>
              <w:rPr>
                <w:rFonts w:hint="default" w:eastAsia="宋体"/>
                <w:b w:val="0"/>
                <w:sz w:val="18"/>
                <w:szCs w:val="18"/>
                <w:lang w:val="en-US" w:eastAsia="zh-CN"/>
              </w:rPr>
            </w:pPr>
            <w:r>
              <w:rPr>
                <w:rFonts w:hint="eastAsia" w:eastAsia="黑体"/>
                <w:b w:val="0"/>
                <w:sz w:val="18"/>
                <w:szCs w:val="18"/>
                <w:lang w:val="en-US" w:eastAsia="zh-CN"/>
              </w:rPr>
              <w:t>过氧化氢不溶物含量/%</w:t>
            </w:r>
          </w:p>
        </w:tc>
        <w:tc>
          <w:tcPr>
            <w:tcW w:w="925" w:type="pct"/>
            <w:vAlign w:val="center"/>
          </w:tcPr>
          <w:p w14:paraId="3778B902">
            <w:pPr>
              <w:spacing w:line="360" w:lineRule="auto"/>
              <w:jc w:val="center"/>
              <w:rPr>
                <w:rFonts w:hint="default" w:eastAsia="宋体"/>
                <w:b w:val="0"/>
                <w:sz w:val="18"/>
                <w:szCs w:val="18"/>
                <w:lang w:val="en-US" w:eastAsia="zh-CN"/>
              </w:rPr>
            </w:pPr>
            <w:r>
              <w:rPr>
                <w:rFonts w:hint="eastAsia"/>
                <w:b w:val="0"/>
                <w:sz w:val="18"/>
                <w:szCs w:val="18"/>
                <w:lang w:val="en-US" w:eastAsia="zh-CN"/>
              </w:rPr>
              <w:t>32.15</w:t>
            </w:r>
          </w:p>
        </w:tc>
        <w:tc>
          <w:tcPr>
            <w:tcW w:w="925" w:type="pct"/>
            <w:vAlign w:val="center"/>
          </w:tcPr>
          <w:p w14:paraId="6D10D614">
            <w:pPr>
              <w:spacing w:line="360" w:lineRule="auto"/>
              <w:jc w:val="center"/>
              <w:rPr>
                <w:rFonts w:hint="default" w:eastAsia="宋体"/>
                <w:b w:val="0"/>
                <w:sz w:val="18"/>
                <w:szCs w:val="18"/>
                <w:lang w:val="en-US" w:eastAsia="zh-CN"/>
              </w:rPr>
            </w:pPr>
            <w:r>
              <w:rPr>
                <w:rFonts w:hint="eastAsia"/>
                <w:b w:val="0"/>
                <w:sz w:val="18"/>
                <w:szCs w:val="18"/>
                <w:lang w:val="en-US" w:eastAsia="zh-CN"/>
              </w:rPr>
              <w:t>12.81</w:t>
            </w:r>
          </w:p>
        </w:tc>
        <w:tc>
          <w:tcPr>
            <w:tcW w:w="925" w:type="pct"/>
            <w:vAlign w:val="center"/>
          </w:tcPr>
          <w:p w14:paraId="4A830313">
            <w:pPr>
              <w:spacing w:line="360" w:lineRule="auto"/>
              <w:jc w:val="center"/>
              <w:rPr>
                <w:rFonts w:hint="default" w:eastAsia="宋体"/>
                <w:b w:val="0"/>
                <w:sz w:val="18"/>
                <w:szCs w:val="18"/>
                <w:lang w:val="en-US" w:eastAsia="zh-CN"/>
              </w:rPr>
            </w:pPr>
            <w:r>
              <w:rPr>
                <w:rFonts w:hint="eastAsia"/>
                <w:b w:val="0"/>
                <w:sz w:val="18"/>
                <w:szCs w:val="18"/>
                <w:lang w:val="en-US" w:eastAsia="zh-CN"/>
              </w:rPr>
              <w:t>1.19</w:t>
            </w:r>
          </w:p>
        </w:tc>
        <w:tc>
          <w:tcPr>
            <w:tcW w:w="925" w:type="pct"/>
            <w:vAlign w:val="center"/>
          </w:tcPr>
          <w:p w14:paraId="197FED37">
            <w:pPr>
              <w:spacing w:line="360" w:lineRule="auto"/>
              <w:jc w:val="center"/>
              <w:rPr>
                <w:rFonts w:hint="default" w:eastAsia="宋体"/>
                <w:b w:val="0"/>
                <w:sz w:val="18"/>
                <w:szCs w:val="18"/>
                <w:lang w:val="en-US" w:eastAsia="zh-CN"/>
              </w:rPr>
            </w:pPr>
            <w:r>
              <w:rPr>
                <w:rFonts w:hint="eastAsia"/>
                <w:b w:val="0"/>
                <w:sz w:val="18"/>
                <w:szCs w:val="18"/>
                <w:lang w:val="en-US" w:eastAsia="zh-CN"/>
              </w:rPr>
              <w:t>1.21</w:t>
            </w:r>
          </w:p>
        </w:tc>
      </w:tr>
    </w:tbl>
    <w:p w14:paraId="2E95AA5A">
      <w:pPr>
        <w:snapToGrid w:val="0"/>
        <w:spacing w:before="156" w:beforeLines="50" w:line="360" w:lineRule="auto"/>
        <w:ind w:firstLine="420" w:firstLineChars="200"/>
        <w:outlineLvl w:val="0"/>
        <w:rPr>
          <w:rFonts w:hint="eastAsia"/>
          <w:b w:val="0"/>
          <w:kern w:val="0"/>
          <w:sz w:val="21"/>
          <w:szCs w:val="20"/>
          <w:lang w:val="en-US" w:eastAsia="zh-CN"/>
        </w:rPr>
      </w:pPr>
      <w:r>
        <w:rPr>
          <w:b w:val="0"/>
          <w:kern w:val="0"/>
          <w:sz w:val="21"/>
          <w:szCs w:val="20"/>
        </w:rPr>
        <w:t>由表</w:t>
      </w:r>
      <w:r>
        <w:rPr>
          <w:rFonts w:hint="eastAsia"/>
          <w:b w:val="0"/>
          <w:kern w:val="0"/>
          <w:sz w:val="21"/>
          <w:szCs w:val="20"/>
          <w:lang w:val="en-US" w:eastAsia="zh-CN"/>
        </w:rPr>
        <w:t>3</w:t>
      </w:r>
      <w:r>
        <w:rPr>
          <w:b w:val="0"/>
          <w:kern w:val="0"/>
          <w:sz w:val="21"/>
          <w:szCs w:val="20"/>
        </w:rPr>
        <w:t xml:space="preserve"> 可知，</w:t>
      </w:r>
      <w:r>
        <w:rPr>
          <w:rFonts w:hint="eastAsia"/>
          <w:b w:val="0"/>
          <w:kern w:val="0"/>
          <w:sz w:val="21"/>
          <w:szCs w:val="20"/>
          <w:lang w:val="en-US" w:eastAsia="zh-CN"/>
        </w:rPr>
        <w:t>过氧化氢加入量50mL、75mL时，样品分解不完全，测试结果偏高，加入量100mL以上时，测试结果保持稳定，综合考虑，过氧化氢加入量选择在100mL。</w:t>
      </w:r>
    </w:p>
    <w:p w14:paraId="59B9B383">
      <w:pPr>
        <w:autoSpaceDE w:val="0"/>
        <w:autoSpaceDN w:val="0"/>
        <w:adjustRightInd w:val="0"/>
        <w:spacing w:line="360" w:lineRule="auto"/>
        <w:ind w:firstLine="420"/>
        <w:jc w:val="left"/>
        <w:rPr>
          <w:rFonts w:hint="default"/>
          <w:b w:val="0"/>
          <w:kern w:val="0"/>
          <w:sz w:val="21"/>
          <w:szCs w:val="20"/>
          <w:lang w:val="en-US" w:eastAsia="zh-CN"/>
        </w:rPr>
      </w:pPr>
      <w:r>
        <w:rPr>
          <w:rFonts w:hint="eastAsia" w:cs="Times New Roman"/>
          <w:b w:val="0"/>
          <w:kern w:val="0"/>
          <w:sz w:val="21"/>
          <w:szCs w:val="21"/>
          <w:highlight w:val="none"/>
          <w:lang w:val="en-US" w:eastAsia="zh-CN" w:bidi="ar-SA"/>
        </w:rPr>
        <w:t>经一验单位矿冶科技集团有限公司验证，得到的结论与起草单位基本一致。</w:t>
      </w:r>
    </w:p>
    <w:p w14:paraId="2F10A1F2">
      <w:pPr>
        <w:autoSpaceDE w:val="0"/>
        <w:autoSpaceDN w:val="0"/>
        <w:adjustRightInd w:val="0"/>
        <w:spacing w:line="360" w:lineRule="auto"/>
        <w:jc w:val="left"/>
        <w:rPr>
          <w:rFonts w:hint="default" w:eastAsia="黑体"/>
          <w:b w:val="0"/>
          <w:bCs/>
          <w:sz w:val="24"/>
          <w:highlight w:val="none"/>
          <w:lang w:val="en-US" w:eastAsia="zh-CN"/>
        </w:rPr>
      </w:pPr>
      <w:r>
        <w:rPr>
          <w:rFonts w:eastAsia="黑体"/>
          <w:b w:val="0"/>
          <w:bCs/>
          <w:sz w:val="24"/>
          <w:highlight w:val="none"/>
        </w:rPr>
        <w:t>3.</w:t>
      </w:r>
      <w:r>
        <w:rPr>
          <w:rFonts w:hint="eastAsia" w:eastAsia="黑体"/>
          <w:b w:val="0"/>
          <w:bCs/>
          <w:sz w:val="24"/>
          <w:highlight w:val="none"/>
          <w:lang w:val="en-US" w:eastAsia="zh-CN"/>
        </w:rPr>
        <w:t>4</w:t>
      </w:r>
      <w:r>
        <w:rPr>
          <w:rFonts w:eastAsia="黑体"/>
          <w:b w:val="0"/>
          <w:bCs/>
          <w:sz w:val="24"/>
          <w:highlight w:val="none"/>
        </w:rPr>
        <w:t xml:space="preserve"> </w:t>
      </w:r>
      <w:r>
        <w:rPr>
          <w:rFonts w:hint="eastAsia" w:eastAsia="黑体"/>
          <w:b w:val="0"/>
          <w:bCs/>
          <w:sz w:val="24"/>
          <w:highlight w:val="none"/>
          <w:lang w:val="en-US" w:eastAsia="zh-CN"/>
        </w:rPr>
        <w:t>硝酸加入量的选择</w:t>
      </w:r>
    </w:p>
    <w:p w14:paraId="4B19727A">
      <w:pPr>
        <w:spacing w:line="360" w:lineRule="auto"/>
        <w:ind w:firstLine="480"/>
        <w:rPr>
          <w:rFonts w:hint="eastAsia" w:eastAsia="黑体"/>
          <w:b w:val="0"/>
          <w:sz w:val="21"/>
          <w:szCs w:val="21"/>
        </w:rPr>
      </w:pPr>
      <w:r>
        <w:rPr>
          <w:rFonts w:hint="eastAsia"/>
          <w:b w:val="0"/>
          <w:kern w:val="0"/>
          <w:sz w:val="21"/>
          <w:szCs w:val="21"/>
          <w:lang w:val="en-US" w:eastAsia="zh-CN"/>
        </w:rPr>
        <w:t>称取0.3g试样，加入100mL过氧化氢，加入不同体积的硝酸（分析纯）</w:t>
      </w:r>
      <w:r>
        <w:rPr>
          <w:rFonts w:hint="eastAsia"/>
          <w:b w:val="0"/>
          <w:kern w:val="0"/>
          <w:sz w:val="21"/>
          <w:szCs w:val="21"/>
        </w:rPr>
        <w:t>，</w:t>
      </w:r>
      <w:r>
        <w:rPr>
          <w:rFonts w:hint="eastAsia"/>
          <w:b w:val="0"/>
          <w:kern w:val="0"/>
          <w:sz w:val="21"/>
          <w:szCs w:val="21"/>
          <w:lang w:val="en-US" w:eastAsia="zh-CN"/>
        </w:rPr>
        <w:t>探索硝酸加入量对实验的影响，</w:t>
      </w:r>
      <w:r>
        <w:rPr>
          <w:rFonts w:hint="eastAsia"/>
          <w:b w:val="0"/>
          <w:kern w:val="0"/>
          <w:sz w:val="21"/>
          <w:szCs w:val="21"/>
        </w:rPr>
        <w:t>实验结果如表</w:t>
      </w:r>
      <w:r>
        <w:rPr>
          <w:rFonts w:hint="eastAsia"/>
          <w:b w:val="0"/>
          <w:kern w:val="0"/>
          <w:sz w:val="21"/>
          <w:szCs w:val="21"/>
          <w:lang w:val="en-US" w:eastAsia="zh-CN"/>
        </w:rPr>
        <w:t>4</w:t>
      </w:r>
      <w:r>
        <w:rPr>
          <w:rFonts w:hint="eastAsia"/>
          <w:b w:val="0"/>
          <w:kern w:val="0"/>
          <w:sz w:val="21"/>
          <w:szCs w:val="21"/>
        </w:rPr>
        <w:t>所示。</w:t>
      </w:r>
    </w:p>
    <w:p w14:paraId="3D655C8E">
      <w:pPr>
        <w:spacing w:line="360" w:lineRule="auto"/>
        <w:jc w:val="center"/>
        <w:rPr>
          <w:rFonts w:eastAsia="黑体"/>
          <w:b w:val="0"/>
          <w:sz w:val="21"/>
          <w:szCs w:val="21"/>
        </w:rPr>
      </w:pPr>
      <w:r>
        <w:rPr>
          <w:rFonts w:hint="eastAsia" w:eastAsia="黑体"/>
          <w:b w:val="0"/>
          <w:sz w:val="21"/>
          <w:szCs w:val="21"/>
        </w:rPr>
        <w:t>表</w:t>
      </w:r>
      <w:r>
        <w:rPr>
          <w:rFonts w:hint="eastAsia" w:eastAsia="黑体"/>
          <w:b w:val="0"/>
          <w:sz w:val="21"/>
          <w:szCs w:val="21"/>
          <w:lang w:val="en-US" w:eastAsia="zh-CN"/>
        </w:rPr>
        <w:t>4</w:t>
      </w:r>
      <w:r>
        <w:rPr>
          <w:rFonts w:hint="eastAsia" w:eastAsia="黑体"/>
          <w:b w:val="0"/>
          <w:sz w:val="21"/>
          <w:szCs w:val="21"/>
        </w:rPr>
        <w:t xml:space="preserve"> 不同</w:t>
      </w:r>
      <w:r>
        <w:rPr>
          <w:rFonts w:hint="eastAsia" w:eastAsia="黑体"/>
          <w:b w:val="0"/>
          <w:sz w:val="21"/>
          <w:szCs w:val="21"/>
          <w:lang w:val="en-US" w:eastAsia="zh-CN"/>
        </w:rPr>
        <w:t>硝酸加入量</w:t>
      </w:r>
      <w:r>
        <w:rPr>
          <w:rFonts w:hint="eastAsia" w:eastAsia="黑体"/>
          <w:b w:val="0"/>
          <w:sz w:val="21"/>
          <w:szCs w:val="21"/>
        </w:rPr>
        <w:t>的</w:t>
      </w:r>
      <w:r>
        <w:rPr>
          <w:rFonts w:hint="eastAsia" w:eastAsia="黑体"/>
          <w:b w:val="0"/>
          <w:sz w:val="21"/>
          <w:szCs w:val="21"/>
          <w:lang w:val="en-US" w:eastAsia="zh-CN"/>
        </w:rPr>
        <w:t>不溶物</w:t>
      </w:r>
      <w:r>
        <w:rPr>
          <w:rFonts w:hint="eastAsia" w:eastAsia="黑体"/>
          <w:b w:val="0"/>
          <w:sz w:val="21"/>
          <w:szCs w:val="21"/>
        </w:rPr>
        <w:t>含量</w:t>
      </w:r>
    </w:p>
    <w:tbl>
      <w:tblPr>
        <w:tblStyle w:val="9"/>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351"/>
        <w:gridCol w:w="1674"/>
        <w:gridCol w:w="1675"/>
        <w:gridCol w:w="1675"/>
        <w:gridCol w:w="1675"/>
      </w:tblGrid>
      <w:tr w14:paraId="5C79C7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99" w:type="pct"/>
            <w:vAlign w:val="center"/>
          </w:tcPr>
          <w:p w14:paraId="55FD0EB1">
            <w:pPr>
              <w:spacing w:line="360" w:lineRule="auto"/>
              <w:jc w:val="center"/>
              <w:rPr>
                <w:rFonts w:hint="default" w:eastAsia="黑体"/>
                <w:b w:val="0"/>
                <w:sz w:val="18"/>
                <w:szCs w:val="18"/>
                <w:lang w:val="en-US" w:eastAsia="zh-CN"/>
              </w:rPr>
            </w:pPr>
            <w:r>
              <w:rPr>
                <w:rFonts w:hint="eastAsia" w:eastAsia="黑体"/>
                <w:b w:val="0"/>
                <w:sz w:val="18"/>
                <w:szCs w:val="18"/>
                <w:lang w:val="en-US" w:eastAsia="zh-CN"/>
              </w:rPr>
              <w:t>硝酸加入量/mL</w:t>
            </w:r>
          </w:p>
        </w:tc>
        <w:tc>
          <w:tcPr>
            <w:tcW w:w="925" w:type="pct"/>
            <w:vAlign w:val="center"/>
          </w:tcPr>
          <w:p w14:paraId="7E62607F">
            <w:pPr>
              <w:spacing w:line="360" w:lineRule="auto"/>
              <w:jc w:val="center"/>
              <w:rPr>
                <w:rFonts w:hint="default" w:eastAsia="黑体"/>
                <w:b w:val="0"/>
                <w:sz w:val="18"/>
                <w:szCs w:val="18"/>
                <w:lang w:val="en-US" w:eastAsia="zh-CN"/>
              </w:rPr>
            </w:pPr>
            <w:r>
              <w:rPr>
                <w:rFonts w:hint="eastAsia" w:eastAsia="黑体"/>
                <w:b w:val="0"/>
                <w:sz w:val="18"/>
                <w:szCs w:val="18"/>
                <w:lang w:val="en-US" w:eastAsia="zh-CN"/>
              </w:rPr>
              <w:t>0.5</w:t>
            </w:r>
          </w:p>
        </w:tc>
        <w:tc>
          <w:tcPr>
            <w:tcW w:w="925" w:type="pct"/>
            <w:vAlign w:val="center"/>
          </w:tcPr>
          <w:p w14:paraId="622E014E">
            <w:pPr>
              <w:spacing w:line="360" w:lineRule="auto"/>
              <w:jc w:val="center"/>
              <w:rPr>
                <w:rFonts w:hint="default" w:eastAsia="黑体"/>
                <w:b w:val="0"/>
                <w:sz w:val="18"/>
                <w:szCs w:val="18"/>
                <w:lang w:val="en-US" w:eastAsia="zh-CN"/>
              </w:rPr>
            </w:pPr>
            <w:r>
              <w:rPr>
                <w:rFonts w:hint="eastAsia" w:eastAsia="黑体"/>
                <w:b w:val="0"/>
                <w:sz w:val="18"/>
                <w:szCs w:val="18"/>
                <w:lang w:val="en-US" w:eastAsia="zh-CN"/>
              </w:rPr>
              <w:t>1.0</w:t>
            </w:r>
          </w:p>
        </w:tc>
        <w:tc>
          <w:tcPr>
            <w:tcW w:w="925" w:type="pct"/>
            <w:vAlign w:val="center"/>
          </w:tcPr>
          <w:p w14:paraId="48886F86">
            <w:pPr>
              <w:spacing w:line="360" w:lineRule="auto"/>
              <w:jc w:val="center"/>
              <w:rPr>
                <w:rFonts w:hint="default" w:eastAsia="黑体"/>
                <w:b w:val="0"/>
                <w:sz w:val="18"/>
                <w:szCs w:val="18"/>
                <w:lang w:val="en-US" w:eastAsia="zh-CN"/>
              </w:rPr>
            </w:pPr>
            <w:r>
              <w:rPr>
                <w:rFonts w:hint="eastAsia" w:eastAsia="黑体"/>
                <w:b w:val="0"/>
                <w:sz w:val="18"/>
                <w:szCs w:val="18"/>
                <w:lang w:val="en-US" w:eastAsia="zh-CN"/>
              </w:rPr>
              <w:t>1.5</w:t>
            </w:r>
          </w:p>
        </w:tc>
        <w:tc>
          <w:tcPr>
            <w:tcW w:w="925" w:type="pct"/>
            <w:vAlign w:val="center"/>
          </w:tcPr>
          <w:p w14:paraId="082333CE">
            <w:pPr>
              <w:spacing w:line="360" w:lineRule="auto"/>
              <w:jc w:val="center"/>
              <w:rPr>
                <w:rFonts w:hint="default" w:eastAsia="黑体"/>
                <w:b w:val="0"/>
                <w:sz w:val="18"/>
                <w:szCs w:val="18"/>
                <w:lang w:val="en-US" w:eastAsia="zh-CN"/>
              </w:rPr>
            </w:pPr>
            <w:r>
              <w:rPr>
                <w:rFonts w:hint="eastAsia" w:eastAsia="黑体"/>
                <w:b w:val="0"/>
                <w:sz w:val="18"/>
                <w:szCs w:val="18"/>
                <w:lang w:val="en-US" w:eastAsia="zh-CN"/>
              </w:rPr>
              <w:t>2.0</w:t>
            </w:r>
          </w:p>
        </w:tc>
      </w:tr>
      <w:tr w14:paraId="5568AF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1299" w:type="pct"/>
            <w:vAlign w:val="center"/>
          </w:tcPr>
          <w:p w14:paraId="215EAD2A">
            <w:pPr>
              <w:spacing w:line="360" w:lineRule="auto"/>
              <w:jc w:val="center"/>
              <w:rPr>
                <w:rFonts w:hint="default" w:eastAsia="宋体"/>
                <w:b w:val="0"/>
                <w:sz w:val="18"/>
                <w:szCs w:val="18"/>
                <w:lang w:val="en-US" w:eastAsia="zh-CN"/>
              </w:rPr>
            </w:pPr>
            <w:r>
              <w:rPr>
                <w:rFonts w:hint="eastAsia" w:eastAsia="黑体"/>
                <w:b w:val="0"/>
                <w:sz w:val="18"/>
                <w:szCs w:val="18"/>
                <w:lang w:val="en-US" w:eastAsia="zh-CN"/>
              </w:rPr>
              <w:t>过氧化氢不溶物含量/%</w:t>
            </w:r>
          </w:p>
        </w:tc>
        <w:tc>
          <w:tcPr>
            <w:tcW w:w="925" w:type="pct"/>
            <w:vAlign w:val="center"/>
          </w:tcPr>
          <w:p w14:paraId="68588CAE">
            <w:pPr>
              <w:spacing w:line="360" w:lineRule="auto"/>
              <w:jc w:val="center"/>
              <w:rPr>
                <w:rFonts w:hint="default" w:eastAsia="宋体"/>
                <w:b w:val="0"/>
                <w:sz w:val="18"/>
                <w:szCs w:val="18"/>
                <w:lang w:val="en-US" w:eastAsia="zh-CN"/>
              </w:rPr>
            </w:pPr>
            <w:r>
              <w:rPr>
                <w:rFonts w:hint="eastAsia"/>
                <w:b w:val="0"/>
                <w:sz w:val="18"/>
                <w:szCs w:val="18"/>
                <w:lang w:val="en-US" w:eastAsia="zh-CN"/>
              </w:rPr>
              <w:t>1.53</w:t>
            </w:r>
          </w:p>
        </w:tc>
        <w:tc>
          <w:tcPr>
            <w:tcW w:w="925" w:type="pct"/>
            <w:vAlign w:val="center"/>
          </w:tcPr>
          <w:p w14:paraId="370596A5">
            <w:pPr>
              <w:spacing w:line="360" w:lineRule="auto"/>
              <w:jc w:val="center"/>
              <w:rPr>
                <w:rFonts w:hint="default" w:eastAsia="宋体"/>
                <w:b w:val="0"/>
                <w:sz w:val="18"/>
                <w:szCs w:val="18"/>
                <w:lang w:val="en-US" w:eastAsia="zh-CN"/>
              </w:rPr>
            </w:pPr>
            <w:r>
              <w:rPr>
                <w:rFonts w:hint="eastAsia"/>
                <w:b w:val="0"/>
                <w:sz w:val="18"/>
                <w:szCs w:val="18"/>
                <w:lang w:val="en-US" w:eastAsia="zh-CN"/>
              </w:rPr>
              <w:t>1.24</w:t>
            </w:r>
          </w:p>
        </w:tc>
        <w:tc>
          <w:tcPr>
            <w:tcW w:w="925" w:type="pct"/>
            <w:vAlign w:val="center"/>
          </w:tcPr>
          <w:p w14:paraId="0688E1ED">
            <w:pPr>
              <w:spacing w:line="360" w:lineRule="auto"/>
              <w:jc w:val="center"/>
              <w:rPr>
                <w:rFonts w:hint="default" w:eastAsia="宋体"/>
                <w:b w:val="0"/>
                <w:sz w:val="18"/>
                <w:szCs w:val="18"/>
                <w:lang w:val="en-US" w:eastAsia="zh-CN"/>
              </w:rPr>
            </w:pPr>
            <w:r>
              <w:rPr>
                <w:rFonts w:hint="eastAsia"/>
                <w:b w:val="0"/>
                <w:sz w:val="18"/>
                <w:szCs w:val="18"/>
                <w:lang w:val="en-US" w:eastAsia="zh-CN"/>
              </w:rPr>
              <w:t>1.20</w:t>
            </w:r>
          </w:p>
        </w:tc>
        <w:tc>
          <w:tcPr>
            <w:tcW w:w="925" w:type="pct"/>
            <w:vAlign w:val="center"/>
          </w:tcPr>
          <w:p w14:paraId="38752C78">
            <w:pPr>
              <w:spacing w:line="360" w:lineRule="auto"/>
              <w:jc w:val="center"/>
              <w:rPr>
                <w:rFonts w:hint="default" w:eastAsia="宋体"/>
                <w:b w:val="0"/>
                <w:sz w:val="18"/>
                <w:szCs w:val="18"/>
                <w:lang w:val="en-US" w:eastAsia="zh-CN"/>
              </w:rPr>
            </w:pPr>
            <w:r>
              <w:rPr>
                <w:rFonts w:hint="eastAsia"/>
                <w:b w:val="0"/>
                <w:sz w:val="18"/>
                <w:szCs w:val="18"/>
                <w:lang w:val="en-US" w:eastAsia="zh-CN"/>
              </w:rPr>
              <w:t>1.06</w:t>
            </w:r>
          </w:p>
        </w:tc>
      </w:tr>
    </w:tbl>
    <w:p w14:paraId="7806C5C2">
      <w:pPr>
        <w:spacing w:line="360" w:lineRule="auto"/>
        <w:ind w:firstLine="420" w:firstLineChars="200"/>
        <w:rPr>
          <w:b w:val="0"/>
          <w:sz w:val="21"/>
          <w:szCs w:val="21"/>
        </w:rPr>
      </w:pPr>
      <w:r>
        <w:rPr>
          <w:b w:val="0"/>
          <w:sz w:val="21"/>
          <w:szCs w:val="21"/>
        </w:rPr>
        <w:t>由表</w:t>
      </w:r>
      <w:r>
        <w:rPr>
          <w:rFonts w:hint="eastAsia"/>
          <w:b w:val="0"/>
          <w:sz w:val="21"/>
          <w:szCs w:val="21"/>
          <w:lang w:val="en-US" w:eastAsia="zh-CN"/>
        </w:rPr>
        <w:t>4</w:t>
      </w:r>
      <w:r>
        <w:rPr>
          <w:b w:val="0"/>
          <w:sz w:val="21"/>
          <w:szCs w:val="21"/>
        </w:rPr>
        <w:t>可知，</w:t>
      </w:r>
      <w:r>
        <w:rPr>
          <w:rFonts w:hint="eastAsia"/>
          <w:b w:val="0"/>
          <w:sz w:val="21"/>
          <w:szCs w:val="21"/>
          <w:lang w:val="en-US" w:eastAsia="zh-CN"/>
        </w:rPr>
        <w:t>硝酸酸加入量为0.5mL时，加入量过少，样品溶解不完全，含量偏高；硝酸加入量为2.0mL时，结果偏低</w:t>
      </w:r>
      <w:r>
        <w:rPr>
          <w:b w:val="0"/>
          <w:sz w:val="21"/>
          <w:szCs w:val="21"/>
        </w:rPr>
        <w:t>。</w:t>
      </w:r>
      <w:r>
        <w:rPr>
          <w:rFonts w:hint="eastAsia"/>
          <w:b w:val="0"/>
          <w:sz w:val="21"/>
          <w:szCs w:val="21"/>
          <w:lang w:val="en-US" w:eastAsia="zh-CN"/>
        </w:rPr>
        <w:t>综合考虑，硝酸加入量为1.0mL。</w:t>
      </w:r>
      <w:r>
        <w:rPr>
          <w:b w:val="0"/>
          <w:sz w:val="21"/>
          <w:szCs w:val="21"/>
        </w:rPr>
        <w:t xml:space="preserve">  </w:t>
      </w:r>
    </w:p>
    <w:p w14:paraId="686A629D">
      <w:pPr>
        <w:autoSpaceDE w:val="0"/>
        <w:autoSpaceDN w:val="0"/>
        <w:adjustRightInd w:val="0"/>
        <w:spacing w:line="360" w:lineRule="auto"/>
        <w:ind w:firstLine="420"/>
        <w:jc w:val="left"/>
        <w:rPr>
          <w:rFonts w:hint="eastAsia"/>
          <w:b w:val="0"/>
          <w:sz w:val="21"/>
          <w:szCs w:val="21"/>
        </w:rPr>
      </w:pPr>
      <w:r>
        <w:rPr>
          <w:rFonts w:hint="eastAsia" w:cs="Times New Roman"/>
          <w:b w:val="0"/>
          <w:kern w:val="0"/>
          <w:sz w:val="21"/>
          <w:szCs w:val="21"/>
          <w:highlight w:val="none"/>
          <w:lang w:val="en-US" w:eastAsia="zh-CN" w:bidi="ar-SA"/>
        </w:rPr>
        <w:t>经一验单位矿冶科技集团有限公司验证，得到的结论与起草单位基本一致。</w:t>
      </w:r>
    </w:p>
    <w:p w14:paraId="23E8E704">
      <w:pPr>
        <w:snapToGrid w:val="0"/>
        <w:spacing w:before="156" w:beforeLines="50" w:line="360" w:lineRule="auto"/>
        <w:ind w:left="-140" w:leftChars="-50" w:firstLine="120" w:firstLineChars="50"/>
        <w:outlineLvl w:val="0"/>
        <w:rPr>
          <w:rFonts w:eastAsia="黑体"/>
          <w:b w:val="0"/>
          <w:bCs/>
          <w:sz w:val="24"/>
          <w:highlight w:val="none"/>
        </w:rPr>
      </w:pPr>
      <w:r>
        <w:rPr>
          <w:rFonts w:eastAsia="黑体"/>
          <w:b w:val="0"/>
          <w:bCs/>
          <w:sz w:val="24"/>
          <w:highlight w:val="none"/>
        </w:rPr>
        <w:t>3.</w:t>
      </w:r>
      <w:r>
        <w:rPr>
          <w:rFonts w:hint="eastAsia" w:eastAsia="黑体"/>
          <w:b w:val="0"/>
          <w:bCs/>
          <w:sz w:val="24"/>
          <w:highlight w:val="none"/>
          <w:lang w:val="en-US" w:eastAsia="zh-CN"/>
        </w:rPr>
        <w:t>5</w:t>
      </w:r>
      <w:r>
        <w:rPr>
          <w:rFonts w:eastAsia="黑体"/>
          <w:b w:val="0"/>
          <w:bCs/>
          <w:sz w:val="24"/>
          <w:highlight w:val="none"/>
        </w:rPr>
        <w:t xml:space="preserve">  </w:t>
      </w:r>
      <w:r>
        <w:rPr>
          <w:rFonts w:hint="eastAsia" w:eastAsia="黑体"/>
          <w:b w:val="0"/>
          <w:bCs/>
          <w:sz w:val="24"/>
          <w:highlight w:val="none"/>
          <w:lang w:val="en-US" w:eastAsia="zh-CN"/>
        </w:rPr>
        <w:t>沸腾保温时间</w:t>
      </w:r>
      <w:r>
        <w:rPr>
          <w:rFonts w:eastAsia="黑体"/>
          <w:b w:val="0"/>
          <w:bCs/>
          <w:sz w:val="24"/>
          <w:highlight w:val="none"/>
        </w:rPr>
        <w:t>的选择</w:t>
      </w:r>
    </w:p>
    <w:p w14:paraId="05671EA8">
      <w:pPr>
        <w:spacing w:line="360" w:lineRule="auto"/>
        <w:ind w:firstLine="480"/>
        <w:rPr>
          <w:rFonts w:hint="eastAsia" w:eastAsia="黑体"/>
          <w:b w:val="0"/>
          <w:sz w:val="21"/>
          <w:szCs w:val="21"/>
        </w:rPr>
      </w:pPr>
      <w:r>
        <w:rPr>
          <w:rFonts w:hint="eastAsia"/>
          <w:b w:val="0"/>
          <w:kern w:val="0"/>
          <w:sz w:val="21"/>
          <w:szCs w:val="21"/>
          <w:lang w:val="en-US" w:eastAsia="zh-CN"/>
        </w:rPr>
        <w:t>称取0.3g试样，加入100mL过氧化氢，1mL硝酸，探索不同的沸腾保温时间对实验的影响，</w:t>
      </w:r>
      <w:r>
        <w:rPr>
          <w:rFonts w:hint="eastAsia"/>
          <w:b w:val="0"/>
          <w:kern w:val="0"/>
          <w:sz w:val="21"/>
          <w:szCs w:val="21"/>
        </w:rPr>
        <w:t>实验结果如表</w:t>
      </w:r>
      <w:r>
        <w:rPr>
          <w:rFonts w:hint="eastAsia"/>
          <w:b w:val="0"/>
          <w:kern w:val="0"/>
          <w:sz w:val="21"/>
          <w:szCs w:val="21"/>
          <w:lang w:val="en-US" w:eastAsia="zh-CN"/>
        </w:rPr>
        <w:t>5</w:t>
      </w:r>
      <w:r>
        <w:rPr>
          <w:rFonts w:hint="eastAsia"/>
          <w:b w:val="0"/>
          <w:kern w:val="0"/>
          <w:sz w:val="21"/>
          <w:szCs w:val="21"/>
        </w:rPr>
        <w:t>所示。</w:t>
      </w:r>
    </w:p>
    <w:p w14:paraId="2B90780F">
      <w:pPr>
        <w:spacing w:line="360" w:lineRule="auto"/>
        <w:jc w:val="center"/>
        <w:rPr>
          <w:rFonts w:eastAsia="黑体"/>
          <w:b w:val="0"/>
          <w:sz w:val="21"/>
          <w:szCs w:val="21"/>
        </w:rPr>
      </w:pPr>
      <w:r>
        <w:rPr>
          <w:rFonts w:hint="eastAsia" w:eastAsia="黑体"/>
          <w:b w:val="0"/>
          <w:sz w:val="21"/>
          <w:szCs w:val="21"/>
        </w:rPr>
        <w:t>表</w:t>
      </w:r>
      <w:r>
        <w:rPr>
          <w:rFonts w:hint="eastAsia" w:eastAsia="黑体"/>
          <w:b w:val="0"/>
          <w:sz w:val="21"/>
          <w:szCs w:val="21"/>
          <w:lang w:val="en-US" w:eastAsia="zh-CN"/>
        </w:rPr>
        <w:t>5</w:t>
      </w:r>
      <w:r>
        <w:rPr>
          <w:rFonts w:hint="eastAsia" w:eastAsia="黑体"/>
          <w:b w:val="0"/>
          <w:sz w:val="21"/>
          <w:szCs w:val="21"/>
        </w:rPr>
        <w:t xml:space="preserve"> 不同</w:t>
      </w:r>
      <w:r>
        <w:rPr>
          <w:rFonts w:hint="eastAsia" w:eastAsia="黑体"/>
          <w:b w:val="0"/>
          <w:sz w:val="21"/>
          <w:szCs w:val="21"/>
          <w:lang w:val="en-US" w:eastAsia="zh-CN"/>
        </w:rPr>
        <w:t>沸腾保温时间</w:t>
      </w:r>
      <w:r>
        <w:rPr>
          <w:rFonts w:hint="eastAsia" w:eastAsia="黑体"/>
          <w:b w:val="0"/>
          <w:sz w:val="21"/>
          <w:szCs w:val="21"/>
        </w:rPr>
        <w:t>的</w:t>
      </w:r>
      <w:r>
        <w:rPr>
          <w:rFonts w:hint="eastAsia" w:eastAsia="黑体"/>
          <w:b w:val="0"/>
          <w:sz w:val="21"/>
          <w:szCs w:val="21"/>
          <w:lang w:val="en-US" w:eastAsia="zh-CN"/>
        </w:rPr>
        <w:t>不溶物</w:t>
      </w:r>
      <w:r>
        <w:rPr>
          <w:rFonts w:hint="eastAsia" w:eastAsia="黑体"/>
          <w:b w:val="0"/>
          <w:sz w:val="21"/>
          <w:szCs w:val="21"/>
        </w:rPr>
        <w:t>含量</w:t>
      </w:r>
    </w:p>
    <w:tbl>
      <w:tblPr>
        <w:tblStyle w:val="9"/>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351"/>
        <w:gridCol w:w="1674"/>
        <w:gridCol w:w="1675"/>
        <w:gridCol w:w="1675"/>
        <w:gridCol w:w="1675"/>
      </w:tblGrid>
      <w:tr w14:paraId="3A297D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99" w:type="pct"/>
            <w:vAlign w:val="center"/>
          </w:tcPr>
          <w:p w14:paraId="7CD43612">
            <w:pPr>
              <w:spacing w:line="360" w:lineRule="auto"/>
              <w:jc w:val="center"/>
              <w:rPr>
                <w:rFonts w:hint="default" w:eastAsia="黑体"/>
                <w:b w:val="0"/>
                <w:sz w:val="18"/>
                <w:szCs w:val="18"/>
                <w:lang w:val="en-US" w:eastAsia="zh-CN"/>
              </w:rPr>
            </w:pPr>
            <w:r>
              <w:rPr>
                <w:rFonts w:hint="eastAsia" w:eastAsia="黑体"/>
                <w:b w:val="0"/>
                <w:sz w:val="18"/>
                <w:szCs w:val="18"/>
                <w:lang w:val="en-US" w:eastAsia="zh-CN"/>
              </w:rPr>
              <w:t>沸腾保温时间</w:t>
            </w:r>
          </w:p>
        </w:tc>
        <w:tc>
          <w:tcPr>
            <w:tcW w:w="925" w:type="pct"/>
            <w:vAlign w:val="center"/>
          </w:tcPr>
          <w:p w14:paraId="5BB03B6E">
            <w:pPr>
              <w:spacing w:line="360" w:lineRule="auto"/>
              <w:jc w:val="center"/>
              <w:rPr>
                <w:rFonts w:hint="default" w:eastAsia="黑体"/>
                <w:b w:val="0"/>
                <w:sz w:val="18"/>
                <w:szCs w:val="18"/>
                <w:lang w:val="en-US" w:eastAsia="zh-CN"/>
              </w:rPr>
            </w:pPr>
            <w:r>
              <w:rPr>
                <w:rFonts w:hint="eastAsia" w:eastAsia="黑体"/>
                <w:b w:val="0"/>
                <w:sz w:val="18"/>
                <w:szCs w:val="18"/>
                <w:lang w:val="en-US" w:eastAsia="zh-CN"/>
              </w:rPr>
              <w:t>30</w:t>
            </w:r>
          </w:p>
        </w:tc>
        <w:tc>
          <w:tcPr>
            <w:tcW w:w="925" w:type="pct"/>
            <w:vAlign w:val="center"/>
          </w:tcPr>
          <w:p w14:paraId="5CBEFE77">
            <w:pPr>
              <w:spacing w:line="360" w:lineRule="auto"/>
              <w:jc w:val="center"/>
              <w:rPr>
                <w:rFonts w:hint="default" w:eastAsia="黑体"/>
                <w:b w:val="0"/>
                <w:sz w:val="18"/>
                <w:szCs w:val="18"/>
                <w:lang w:val="en-US" w:eastAsia="zh-CN"/>
              </w:rPr>
            </w:pPr>
            <w:r>
              <w:rPr>
                <w:rFonts w:hint="eastAsia" w:eastAsia="黑体"/>
                <w:b w:val="0"/>
                <w:sz w:val="18"/>
                <w:szCs w:val="18"/>
                <w:lang w:val="en-US" w:eastAsia="zh-CN"/>
              </w:rPr>
              <w:t>60</w:t>
            </w:r>
          </w:p>
        </w:tc>
        <w:tc>
          <w:tcPr>
            <w:tcW w:w="925" w:type="pct"/>
            <w:vAlign w:val="center"/>
          </w:tcPr>
          <w:p w14:paraId="171937EC">
            <w:pPr>
              <w:spacing w:line="360" w:lineRule="auto"/>
              <w:jc w:val="center"/>
              <w:rPr>
                <w:rFonts w:hint="default" w:eastAsia="黑体"/>
                <w:b w:val="0"/>
                <w:sz w:val="18"/>
                <w:szCs w:val="18"/>
                <w:lang w:val="en-US" w:eastAsia="zh-CN"/>
              </w:rPr>
            </w:pPr>
            <w:r>
              <w:rPr>
                <w:rFonts w:hint="eastAsia" w:eastAsia="黑体"/>
                <w:b w:val="0"/>
                <w:sz w:val="18"/>
                <w:szCs w:val="18"/>
                <w:lang w:val="en-US" w:eastAsia="zh-CN"/>
              </w:rPr>
              <w:t>90</w:t>
            </w:r>
          </w:p>
        </w:tc>
        <w:tc>
          <w:tcPr>
            <w:tcW w:w="925" w:type="pct"/>
            <w:vAlign w:val="center"/>
          </w:tcPr>
          <w:p w14:paraId="1421AD2A">
            <w:pPr>
              <w:spacing w:line="360" w:lineRule="auto"/>
              <w:jc w:val="center"/>
              <w:rPr>
                <w:rFonts w:hint="default" w:eastAsia="黑体"/>
                <w:b w:val="0"/>
                <w:sz w:val="18"/>
                <w:szCs w:val="18"/>
                <w:lang w:val="en-US" w:eastAsia="zh-CN"/>
              </w:rPr>
            </w:pPr>
            <w:r>
              <w:rPr>
                <w:rFonts w:hint="eastAsia" w:eastAsia="黑体"/>
                <w:b w:val="0"/>
                <w:sz w:val="18"/>
                <w:szCs w:val="18"/>
                <w:lang w:val="en-US" w:eastAsia="zh-CN"/>
              </w:rPr>
              <w:t>120</w:t>
            </w:r>
          </w:p>
        </w:tc>
      </w:tr>
      <w:tr w14:paraId="2A6BEB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299" w:type="pct"/>
            <w:vAlign w:val="center"/>
          </w:tcPr>
          <w:p w14:paraId="06572F21">
            <w:pPr>
              <w:spacing w:line="360" w:lineRule="auto"/>
              <w:jc w:val="center"/>
              <w:rPr>
                <w:rFonts w:hint="default" w:eastAsia="宋体"/>
                <w:b w:val="0"/>
                <w:sz w:val="18"/>
                <w:szCs w:val="18"/>
                <w:lang w:val="en-US" w:eastAsia="zh-CN"/>
              </w:rPr>
            </w:pPr>
            <w:r>
              <w:rPr>
                <w:rFonts w:hint="eastAsia" w:eastAsia="黑体"/>
                <w:b w:val="0"/>
                <w:sz w:val="18"/>
                <w:szCs w:val="18"/>
                <w:lang w:val="en-US" w:eastAsia="zh-CN"/>
              </w:rPr>
              <w:t>过氧化氢不溶物含量/%</w:t>
            </w:r>
          </w:p>
        </w:tc>
        <w:tc>
          <w:tcPr>
            <w:tcW w:w="925" w:type="pct"/>
            <w:vAlign w:val="center"/>
          </w:tcPr>
          <w:p w14:paraId="5FA7D81A">
            <w:pPr>
              <w:spacing w:line="360" w:lineRule="auto"/>
              <w:jc w:val="center"/>
              <w:rPr>
                <w:rFonts w:hint="default" w:eastAsia="宋体"/>
                <w:b w:val="0"/>
                <w:sz w:val="18"/>
                <w:szCs w:val="18"/>
                <w:lang w:val="en-US" w:eastAsia="zh-CN"/>
              </w:rPr>
            </w:pPr>
            <w:r>
              <w:rPr>
                <w:rFonts w:hint="eastAsia"/>
                <w:b w:val="0"/>
                <w:sz w:val="18"/>
                <w:szCs w:val="18"/>
                <w:lang w:val="en-US" w:eastAsia="zh-CN"/>
              </w:rPr>
              <w:t>3.53</w:t>
            </w:r>
          </w:p>
        </w:tc>
        <w:tc>
          <w:tcPr>
            <w:tcW w:w="925" w:type="pct"/>
            <w:vAlign w:val="center"/>
          </w:tcPr>
          <w:p w14:paraId="7BDFB8C1">
            <w:pPr>
              <w:spacing w:line="360" w:lineRule="auto"/>
              <w:jc w:val="center"/>
              <w:rPr>
                <w:rFonts w:hint="default" w:eastAsia="宋体"/>
                <w:b w:val="0"/>
                <w:sz w:val="18"/>
                <w:szCs w:val="18"/>
                <w:lang w:val="en-US" w:eastAsia="zh-CN"/>
              </w:rPr>
            </w:pPr>
            <w:r>
              <w:rPr>
                <w:rFonts w:hint="eastAsia"/>
                <w:b w:val="0"/>
                <w:sz w:val="18"/>
                <w:szCs w:val="18"/>
                <w:lang w:val="en-US" w:eastAsia="zh-CN"/>
              </w:rPr>
              <w:t>1.34</w:t>
            </w:r>
          </w:p>
        </w:tc>
        <w:tc>
          <w:tcPr>
            <w:tcW w:w="925" w:type="pct"/>
            <w:vAlign w:val="center"/>
          </w:tcPr>
          <w:p w14:paraId="4CC40BEF">
            <w:pPr>
              <w:spacing w:line="360" w:lineRule="auto"/>
              <w:jc w:val="center"/>
              <w:rPr>
                <w:rFonts w:hint="default" w:eastAsia="宋体"/>
                <w:b w:val="0"/>
                <w:sz w:val="18"/>
                <w:szCs w:val="18"/>
                <w:lang w:val="en-US" w:eastAsia="zh-CN"/>
              </w:rPr>
            </w:pPr>
            <w:r>
              <w:rPr>
                <w:rFonts w:hint="eastAsia"/>
                <w:b w:val="0"/>
                <w:sz w:val="18"/>
                <w:szCs w:val="18"/>
                <w:lang w:val="en-US" w:eastAsia="zh-CN"/>
              </w:rPr>
              <w:t>1.20</w:t>
            </w:r>
          </w:p>
        </w:tc>
        <w:tc>
          <w:tcPr>
            <w:tcW w:w="925" w:type="pct"/>
            <w:vAlign w:val="center"/>
          </w:tcPr>
          <w:p w14:paraId="3AC24678">
            <w:pPr>
              <w:spacing w:line="360" w:lineRule="auto"/>
              <w:jc w:val="center"/>
              <w:rPr>
                <w:rFonts w:hint="default" w:eastAsia="宋体"/>
                <w:b w:val="0"/>
                <w:sz w:val="18"/>
                <w:szCs w:val="18"/>
                <w:lang w:val="en-US" w:eastAsia="zh-CN"/>
              </w:rPr>
            </w:pPr>
            <w:r>
              <w:rPr>
                <w:rFonts w:hint="eastAsia"/>
                <w:b w:val="0"/>
                <w:sz w:val="18"/>
                <w:szCs w:val="18"/>
                <w:lang w:val="en-US" w:eastAsia="zh-CN"/>
              </w:rPr>
              <w:t>1.22</w:t>
            </w:r>
          </w:p>
        </w:tc>
      </w:tr>
    </w:tbl>
    <w:p w14:paraId="3B040304">
      <w:pPr>
        <w:snapToGrid w:val="0"/>
        <w:spacing w:line="360" w:lineRule="auto"/>
        <w:ind w:left="-140" w:leftChars="-50" w:firstLine="525" w:firstLineChars="250"/>
        <w:outlineLvl w:val="0"/>
        <w:rPr>
          <w:rFonts w:hint="eastAsia"/>
          <w:b w:val="0"/>
          <w:sz w:val="21"/>
          <w:szCs w:val="21"/>
          <w:lang w:val="en-US" w:eastAsia="zh-CN"/>
        </w:rPr>
      </w:pPr>
      <w:r>
        <w:rPr>
          <w:b w:val="0"/>
          <w:sz w:val="21"/>
          <w:szCs w:val="21"/>
        </w:rPr>
        <w:t>由表</w:t>
      </w:r>
      <w:r>
        <w:rPr>
          <w:rFonts w:hint="eastAsia"/>
          <w:b w:val="0"/>
          <w:sz w:val="21"/>
          <w:szCs w:val="21"/>
          <w:lang w:val="en-US" w:eastAsia="zh-CN"/>
        </w:rPr>
        <w:t>5</w:t>
      </w:r>
      <w:r>
        <w:rPr>
          <w:b w:val="0"/>
          <w:sz w:val="21"/>
          <w:szCs w:val="21"/>
        </w:rPr>
        <w:t>可知，</w:t>
      </w:r>
      <w:r>
        <w:rPr>
          <w:rFonts w:hint="eastAsia"/>
          <w:b w:val="0"/>
          <w:sz w:val="21"/>
          <w:szCs w:val="21"/>
          <w:lang w:val="en-US" w:eastAsia="zh-CN"/>
        </w:rPr>
        <w:t>沸腾保温时间小于90分钟时，过氧化氢不溶物含量偏高，大于90min后，不溶物含量趋于稳定，沸腾保温时间为90分钟。</w:t>
      </w:r>
    </w:p>
    <w:p w14:paraId="087A3838">
      <w:pPr>
        <w:autoSpaceDE w:val="0"/>
        <w:autoSpaceDN w:val="0"/>
        <w:adjustRightInd w:val="0"/>
        <w:spacing w:line="360" w:lineRule="auto"/>
        <w:ind w:firstLine="420"/>
        <w:jc w:val="left"/>
        <w:rPr>
          <w:rFonts w:hint="default"/>
          <w:b w:val="0"/>
          <w:sz w:val="21"/>
          <w:szCs w:val="21"/>
          <w:lang w:val="en-US" w:eastAsia="zh-CN"/>
        </w:rPr>
      </w:pPr>
      <w:r>
        <w:rPr>
          <w:rFonts w:hint="eastAsia" w:cs="Times New Roman"/>
          <w:b w:val="0"/>
          <w:kern w:val="0"/>
          <w:sz w:val="21"/>
          <w:szCs w:val="21"/>
          <w:highlight w:val="none"/>
          <w:lang w:val="en-US" w:eastAsia="zh-CN" w:bidi="ar-SA"/>
        </w:rPr>
        <w:t>经一验单位矿冶科技集团有限公司验证，得到的结论与起草单位基本一致。</w:t>
      </w:r>
    </w:p>
    <w:p w14:paraId="33F8A726">
      <w:pPr>
        <w:spacing w:before="156" w:beforeLines="50" w:line="360" w:lineRule="auto"/>
        <w:rPr>
          <w:rFonts w:eastAsia="黑体"/>
          <w:b w:val="0"/>
          <w:bCs/>
          <w:sz w:val="24"/>
        </w:rPr>
      </w:pPr>
      <w:r>
        <w:rPr>
          <w:rFonts w:eastAsia="黑体"/>
          <w:b w:val="0"/>
          <w:bCs/>
          <w:sz w:val="24"/>
        </w:rPr>
        <w:t>3.</w:t>
      </w:r>
      <w:r>
        <w:rPr>
          <w:rFonts w:hint="eastAsia" w:eastAsia="黑体"/>
          <w:b w:val="0"/>
          <w:bCs/>
          <w:sz w:val="24"/>
          <w:lang w:val="en-US" w:eastAsia="zh-CN"/>
        </w:rPr>
        <w:t>6</w:t>
      </w:r>
      <w:r>
        <w:rPr>
          <w:rFonts w:eastAsia="黑体"/>
          <w:b w:val="0"/>
          <w:bCs/>
          <w:sz w:val="24"/>
        </w:rPr>
        <w:t xml:space="preserve">  方法精密度</w:t>
      </w:r>
    </w:p>
    <w:p w14:paraId="653133F2">
      <w:pPr>
        <w:spacing w:before="156" w:beforeLines="50" w:line="360" w:lineRule="auto"/>
        <w:rPr>
          <w:b w:val="0"/>
          <w:sz w:val="21"/>
          <w:szCs w:val="21"/>
        </w:rPr>
      </w:pPr>
      <w:r>
        <w:rPr>
          <w:rFonts w:eastAsia="黑体"/>
          <w:b w:val="0"/>
          <w:bCs/>
          <w:sz w:val="24"/>
        </w:rPr>
        <w:t>3.</w:t>
      </w:r>
      <w:r>
        <w:rPr>
          <w:rFonts w:hint="eastAsia" w:eastAsia="黑体"/>
          <w:b w:val="0"/>
          <w:bCs/>
          <w:sz w:val="24"/>
          <w:lang w:val="en-US" w:eastAsia="zh-CN"/>
        </w:rPr>
        <w:t>6</w:t>
      </w:r>
      <w:r>
        <w:rPr>
          <w:rFonts w:eastAsia="黑体"/>
          <w:b w:val="0"/>
          <w:bCs/>
          <w:sz w:val="24"/>
        </w:rPr>
        <w:t>.1 起草单位的精密度实验</w:t>
      </w:r>
    </w:p>
    <w:p w14:paraId="2BA2BCA8">
      <w:pPr>
        <w:tabs>
          <w:tab w:val="left" w:pos="840"/>
        </w:tabs>
        <w:snapToGrid w:val="0"/>
        <w:spacing w:before="156" w:beforeLines="50" w:line="360" w:lineRule="auto"/>
        <w:ind w:firstLine="420" w:firstLineChars="200"/>
        <w:rPr>
          <w:b w:val="0"/>
          <w:sz w:val="21"/>
          <w:szCs w:val="21"/>
        </w:rPr>
      </w:pPr>
      <w:r>
        <w:rPr>
          <w:b w:val="0"/>
          <w:sz w:val="21"/>
          <w:szCs w:val="21"/>
        </w:rPr>
        <w:t>按照实验方法，对收集到的三个总硼含量不同的无定形硼粉样品进行9次测定，结果见表</w:t>
      </w:r>
      <w:r>
        <w:rPr>
          <w:rFonts w:hint="eastAsia"/>
          <w:b w:val="0"/>
          <w:sz w:val="21"/>
          <w:szCs w:val="21"/>
          <w:lang w:val="en-US" w:eastAsia="zh-CN"/>
        </w:rPr>
        <w:t>6</w:t>
      </w:r>
      <w:r>
        <w:rPr>
          <w:b w:val="0"/>
          <w:sz w:val="21"/>
          <w:szCs w:val="21"/>
        </w:rPr>
        <w:t>。</w:t>
      </w:r>
    </w:p>
    <w:p w14:paraId="1D2C4888">
      <w:pPr>
        <w:tabs>
          <w:tab w:val="left" w:pos="840"/>
        </w:tabs>
        <w:snapToGrid w:val="0"/>
        <w:spacing w:line="360" w:lineRule="auto"/>
        <w:jc w:val="center"/>
        <w:rPr>
          <w:rFonts w:eastAsia="黑体"/>
          <w:b w:val="0"/>
          <w:sz w:val="21"/>
          <w:szCs w:val="21"/>
        </w:rPr>
      </w:pPr>
      <w:r>
        <w:rPr>
          <w:rFonts w:eastAsia="黑体"/>
          <w:b w:val="0"/>
          <w:sz w:val="21"/>
          <w:szCs w:val="21"/>
        </w:rPr>
        <w:t>表</w:t>
      </w:r>
      <w:r>
        <w:rPr>
          <w:rFonts w:hint="eastAsia" w:eastAsia="黑体"/>
          <w:b w:val="0"/>
          <w:sz w:val="21"/>
          <w:szCs w:val="21"/>
          <w:lang w:val="en-US" w:eastAsia="zh-CN"/>
        </w:rPr>
        <w:t>6</w:t>
      </w:r>
      <w:r>
        <w:rPr>
          <w:rFonts w:hint="eastAsia" w:eastAsia="黑体"/>
          <w:b w:val="0"/>
          <w:sz w:val="21"/>
          <w:szCs w:val="21"/>
        </w:rPr>
        <w:t xml:space="preserve"> </w:t>
      </w:r>
      <w:r>
        <w:rPr>
          <w:rFonts w:eastAsia="黑体"/>
          <w:b w:val="0"/>
          <w:sz w:val="21"/>
          <w:szCs w:val="21"/>
        </w:rPr>
        <w:t xml:space="preserve"> 样品测定结果及精密度（n=9）</w:t>
      </w:r>
    </w:p>
    <w:tbl>
      <w:tblPr>
        <w:tblStyle w:val="9"/>
        <w:tblW w:w="8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4"/>
        <w:gridCol w:w="2842"/>
        <w:gridCol w:w="1112"/>
        <w:gridCol w:w="1317"/>
        <w:gridCol w:w="1317"/>
      </w:tblGrid>
      <w:tr w14:paraId="7127B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3" w:hRule="atLeast"/>
          <w:jc w:val="center"/>
        </w:trPr>
        <w:tc>
          <w:tcPr>
            <w:tcW w:w="1484" w:type="dxa"/>
            <w:vAlign w:val="center"/>
          </w:tcPr>
          <w:p w14:paraId="46E75888">
            <w:pPr>
              <w:tabs>
                <w:tab w:val="left" w:pos="840"/>
              </w:tabs>
              <w:snapToGrid w:val="0"/>
              <w:spacing w:line="360" w:lineRule="auto"/>
              <w:jc w:val="center"/>
              <w:rPr>
                <w:rFonts w:eastAsia="黑体"/>
                <w:b w:val="0"/>
                <w:sz w:val="18"/>
                <w:szCs w:val="18"/>
              </w:rPr>
            </w:pPr>
            <w:r>
              <w:rPr>
                <w:rFonts w:eastAsia="黑体"/>
                <w:b w:val="0"/>
                <w:sz w:val="18"/>
                <w:szCs w:val="18"/>
              </w:rPr>
              <w:t>样品编号</w:t>
            </w:r>
          </w:p>
        </w:tc>
        <w:tc>
          <w:tcPr>
            <w:tcW w:w="2842" w:type="dxa"/>
            <w:vAlign w:val="center"/>
          </w:tcPr>
          <w:p w14:paraId="343C2C0E">
            <w:pPr>
              <w:tabs>
                <w:tab w:val="left" w:pos="840"/>
              </w:tabs>
              <w:snapToGrid w:val="0"/>
              <w:spacing w:line="360" w:lineRule="auto"/>
              <w:jc w:val="center"/>
              <w:rPr>
                <w:rFonts w:eastAsia="黑体"/>
                <w:b w:val="0"/>
                <w:sz w:val="18"/>
                <w:szCs w:val="18"/>
              </w:rPr>
            </w:pPr>
            <w:r>
              <w:rPr>
                <w:rFonts w:eastAsia="黑体"/>
                <w:b w:val="0"/>
                <w:i/>
                <w:sz w:val="18"/>
                <w:szCs w:val="18"/>
              </w:rPr>
              <w:t>w</w:t>
            </w:r>
            <w:r>
              <w:rPr>
                <w:rFonts w:eastAsia="黑体"/>
                <w:b w:val="0"/>
                <w:sz w:val="18"/>
                <w:szCs w:val="18"/>
              </w:rPr>
              <w:t>/%（两位小数）</w:t>
            </w:r>
          </w:p>
        </w:tc>
        <w:tc>
          <w:tcPr>
            <w:tcW w:w="1112" w:type="dxa"/>
            <w:vAlign w:val="center"/>
          </w:tcPr>
          <w:p w14:paraId="0372D5FA">
            <w:pPr>
              <w:tabs>
                <w:tab w:val="left" w:pos="840"/>
              </w:tabs>
              <w:snapToGrid w:val="0"/>
              <w:spacing w:line="360" w:lineRule="auto"/>
              <w:jc w:val="center"/>
              <w:rPr>
                <w:rFonts w:eastAsia="黑体"/>
                <w:b w:val="0"/>
                <w:sz w:val="18"/>
                <w:szCs w:val="18"/>
              </w:rPr>
            </w:pPr>
            <w:r>
              <w:rPr>
                <w:rFonts w:eastAsia="黑体"/>
                <w:b w:val="0"/>
                <w:sz w:val="18"/>
                <w:szCs w:val="18"/>
              </w:rPr>
              <w:t>平均值</w:t>
            </w:r>
            <w:r>
              <w:rPr>
                <w:rFonts w:eastAsia="黑体"/>
                <w:b w:val="0"/>
                <w:i/>
                <w:sz w:val="18"/>
                <w:szCs w:val="18"/>
              </w:rPr>
              <w:t>w</w:t>
            </w:r>
            <w:r>
              <w:rPr>
                <w:rFonts w:eastAsia="黑体"/>
                <w:b w:val="0"/>
                <w:sz w:val="18"/>
                <w:szCs w:val="18"/>
              </w:rPr>
              <w:t>/%</w:t>
            </w:r>
          </w:p>
        </w:tc>
        <w:tc>
          <w:tcPr>
            <w:tcW w:w="1317" w:type="dxa"/>
          </w:tcPr>
          <w:p w14:paraId="678796D5">
            <w:pPr>
              <w:tabs>
                <w:tab w:val="left" w:pos="840"/>
              </w:tabs>
              <w:snapToGrid w:val="0"/>
              <w:spacing w:line="360" w:lineRule="auto"/>
              <w:ind w:left="-140" w:leftChars="-50" w:right="-140" w:rightChars="-50"/>
              <w:jc w:val="center"/>
              <w:rPr>
                <w:rFonts w:eastAsia="黑体"/>
                <w:b w:val="0"/>
                <w:sz w:val="18"/>
                <w:szCs w:val="18"/>
              </w:rPr>
            </w:pPr>
            <w:r>
              <w:rPr>
                <w:rFonts w:eastAsia="黑体"/>
                <w:b w:val="0"/>
                <w:sz w:val="18"/>
                <w:szCs w:val="18"/>
              </w:rPr>
              <w:t>标准偏差</w:t>
            </w:r>
          </w:p>
        </w:tc>
        <w:tc>
          <w:tcPr>
            <w:tcW w:w="1317" w:type="dxa"/>
            <w:vAlign w:val="center"/>
          </w:tcPr>
          <w:p w14:paraId="57B2605D">
            <w:pPr>
              <w:tabs>
                <w:tab w:val="left" w:pos="840"/>
              </w:tabs>
              <w:snapToGrid w:val="0"/>
              <w:spacing w:line="360" w:lineRule="auto"/>
              <w:ind w:left="-140" w:leftChars="-50" w:right="-140" w:rightChars="-50"/>
              <w:jc w:val="center"/>
              <w:rPr>
                <w:rFonts w:eastAsia="黑体"/>
                <w:b w:val="0"/>
                <w:sz w:val="18"/>
                <w:szCs w:val="18"/>
              </w:rPr>
            </w:pPr>
            <w:r>
              <w:rPr>
                <w:rFonts w:eastAsia="黑体"/>
                <w:b w:val="0"/>
                <w:sz w:val="18"/>
                <w:szCs w:val="18"/>
              </w:rPr>
              <w:t>RSD%</w:t>
            </w:r>
          </w:p>
        </w:tc>
      </w:tr>
      <w:tr w14:paraId="76F5C1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484" w:type="dxa"/>
            <w:shd w:val="clear" w:color="auto" w:fill="auto"/>
            <w:vAlign w:val="center"/>
          </w:tcPr>
          <w:p w14:paraId="3457DF1D">
            <w:pPr>
              <w:widowControl/>
              <w:spacing w:line="360" w:lineRule="auto"/>
              <w:jc w:val="center"/>
              <w:rPr>
                <w:rFonts w:ascii="Times New Roman" w:hAnsi="Times New Roman" w:eastAsia="宋体" w:cs="Times New Roman"/>
                <w:b w:val="0"/>
                <w:kern w:val="2"/>
                <w:sz w:val="18"/>
                <w:szCs w:val="18"/>
                <w:lang w:val="en-US" w:eastAsia="zh-CN" w:bidi="ar-SA"/>
              </w:rPr>
            </w:pPr>
            <w:r>
              <w:rPr>
                <w:b w:val="0"/>
                <w:sz w:val="18"/>
                <w:szCs w:val="18"/>
              </w:rPr>
              <w:t>B00</w:t>
            </w:r>
            <w:r>
              <w:rPr>
                <w:rFonts w:hint="eastAsia"/>
                <w:b w:val="0"/>
                <w:sz w:val="18"/>
                <w:szCs w:val="18"/>
                <w:lang w:val="en-US" w:eastAsia="zh-CN"/>
              </w:rPr>
              <w:t>1</w:t>
            </w:r>
            <w:r>
              <w:rPr>
                <w:rFonts w:hint="eastAsia"/>
                <w:b w:val="0"/>
                <w:sz w:val="18"/>
                <w:szCs w:val="18"/>
                <w:lang w:eastAsia="zh-CN"/>
              </w:rPr>
              <w:t>（</w:t>
            </w:r>
            <w:r>
              <w:rPr>
                <w:rFonts w:hint="eastAsia"/>
                <w:b w:val="0"/>
                <w:sz w:val="18"/>
                <w:szCs w:val="18"/>
                <w:lang w:val="en-US" w:eastAsia="zh-CN"/>
              </w:rPr>
              <w:t>95级</w:t>
            </w:r>
            <w:r>
              <w:rPr>
                <w:rFonts w:hint="eastAsia"/>
                <w:b w:val="0"/>
                <w:sz w:val="18"/>
                <w:szCs w:val="18"/>
                <w:lang w:eastAsia="zh-CN"/>
              </w:rPr>
              <w:t>）</w:t>
            </w:r>
          </w:p>
        </w:tc>
        <w:tc>
          <w:tcPr>
            <w:tcW w:w="2842" w:type="dxa"/>
            <w:shd w:val="clear" w:color="auto" w:fill="auto"/>
            <w:vAlign w:val="center"/>
          </w:tcPr>
          <w:p w14:paraId="00472367">
            <w:pPr>
              <w:tabs>
                <w:tab w:val="left" w:pos="105"/>
              </w:tabs>
              <w:snapToGrid w:val="0"/>
              <w:spacing w:line="360" w:lineRule="auto"/>
              <w:ind w:firstLine="90" w:firstLineChars="50"/>
              <w:jc w:val="left"/>
              <w:rPr>
                <w:rFonts w:hint="eastAsia"/>
                <w:b w:val="0"/>
                <w:sz w:val="18"/>
                <w:szCs w:val="18"/>
                <w:lang w:val="en-US" w:eastAsia="zh-CN"/>
              </w:rPr>
            </w:pPr>
            <w:r>
              <w:rPr>
                <w:rFonts w:hint="eastAsia"/>
                <w:b w:val="0"/>
                <w:sz w:val="18"/>
                <w:szCs w:val="18"/>
                <w:lang w:val="en-US" w:eastAsia="zh-CN"/>
              </w:rPr>
              <w:t>0.18     0.17      0.18</w:t>
            </w:r>
          </w:p>
          <w:p w14:paraId="490D3EC1">
            <w:pPr>
              <w:tabs>
                <w:tab w:val="left" w:pos="105"/>
              </w:tabs>
              <w:snapToGrid w:val="0"/>
              <w:spacing w:line="360" w:lineRule="auto"/>
              <w:ind w:firstLine="90" w:firstLineChars="50"/>
              <w:jc w:val="left"/>
              <w:rPr>
                <w:rFonts w:hint="eastAsia"/>
                <w:b w:val="0"/>
                <w:sz w:val="18"/>
                <w:szCs w:val="18"/>
                <w:lang w:val="en-US" w:eastAsia="zh-CN"/>
              </w:rPr>
            </w:pPr>
            <w:r>
              <w:rPr>
                <w:rFonts w:hint="eastAsia"/>
                <w:b w:val="0"/>
                <w:sz w:val="18"/>
                <w:szCs w:val="18"/>
                <w:lang w:val="en-US" w:eastAsia="zh-CN"/>
              </w:rPr>
              <w:t>0.19     0.16      0.18</w:t>
            </w:r>
          </w:p>
          <w:p w14:paraId="0CC13B77">
            <w:pPr>
              <w:tabs>
                <w:tab w:val="left" w:pos="105"/>
              </w:tabs>
              <w:snapToGrid w:val="0"/>
              <w:spacing w:line="360" w:lineRule="auto"/>
              <w:ind w:firstLine="90" w:firstLineChars="50"/>
              <w:jc w:val="left"/>
              <w:rPr>
                <w:rFonts w:hint="eastAsia" w:ascii="Times New Roman" w:hAnsi="Times New Roman" w:eastAsia="宋体" w:cs="Times New Roman"/>
                <w:b w:val="0"/>
                <w:kern w:val="2"/>
                <w:sz w:val="18"/>
                <w:szCs w:val="18"/>
                <w:lang w:val="en-US" w:eastAsia="zh-CN" w:bidi="ar-SA"/>
              </w:rPr>
            </w:pPr>
            <w:r>
              <w:rPr>
                <w:rFonts w:hint="eastAsia"/>
                <w:b w:val="0"/>
                <w:sz w:val="18"/>
                <w:szCs w:val="18"/>
                <w:lang w:val="en-US" w:eastAsia="zh-CN"/>
              </w:rPr>
              <w:t>0.19     0.20      0.17</w:t>
            </w:r>
          </w:p>
        </w:tc>
        <w:tc>
          <w:tcPr>
            <w:tcW w:w="1112" w:type="dxa"/>
            <w:shd w:val="clear" w:color="auto" w:fill="auto"/>
            <w:vAlign w:val="center"/>
          </w:tcPr>
          <w:p w14:paraId="0A312F85">
            <w:pPr>
              <w:spacing w:line="360" w:lineRule="auto"/>
              <w:jc w:val="center"/>
              <w:rPr>
                <w:rFonts w:hint="default" w:ascii="Times New Roman" w:hAnsi="Times New Roman" w:eastAsia="宋体" w:cs="Times New Roman"/>
                <w:b w:val="0"/>
                <w:kern w:val="2"/>
                <w:sz w:val="18"/>
                <w:szCs w:val="18"/>
                <w:lang w:val="en-US" w:eastAsia="zh-CN" w:bidi="ar-SA"/>
              </w:rPr>
            </w:pPr>
            <w:r>
              <w:rPr>
                <w:rFonts w:hint="eastAsia"/>
                <w:b w:val="0"/>
                <w:sz w:val="18"/>
                <w:szCs w:val="18"/>
                <w:lang w:val="en-US" w:eastAsia="zh-CN"/>
              </w:rPr>
              <w:t>0.18</w:t>
            </w:r>
          </w:p>
        </w:tc>
        <w:tc>
          <w:tcPr>
            <w:tcW w:w="1317" w:type="dxa"/>
            <w:shd w:val="clear" w:color="auto" w:fill="auto"/>
            <w:vAlign w:val="center"/>
          </w:tcPr>
          <w:p w14:paraId="712D27B1">
            <w:pPr>
              <w:jc w:val="center"/>
              <w:rPr>
                <w:rFonts w:hint="default" w:ascii="Times New Roman" w:hAnsi="Times New Roman" w:eastAsia="宋体" w:cs="Times New Roman"/>
                <w:b w:val="0"/>
                <w:kern w:val="0"/>
                <w:sz w:val="18"/>
                <w:szCs w:val="18"/>
                <w:lang w:val="en-US" w:eastAsia="zh-CN" w:bidi="ar-SA"/>
              </w:rPr>
            </w:pPr>
            <w:r>
              <w:rPr>
                <w:b w:val="0"/>
                <w:kern w:val="0"/>
                <w:sz w:val="18"/>
                <w:szCs w:val="18"/>
              </w:rPr>
              <w:t>0.</w:t>
            </w:r>
            <w:r>
              <w:rPr>
                <w:rFonts w:hint="eastAsia"/>
                <w:b w:val="0"/>
                <w:kern w:val="0"/>
                <w:sz w:val="18"/>
                <w:szCs w:val="18"/>
                <w:lang w:val="en-US" w:eastAsia="zh-CN"/>
              </w:rPr>
              <w:t>012</w:t>
            </w:r>
          </w:p>
        </w:tc>
        <w:tc>
          <w:tcPr>
            <w:tcW w:w="1317" w:type="dxa"/>
            <w:shd w:val="clear" w:color="auto" w:fill="auto"/>
            <w:vAlign w:val="center"/>
          </w:tcPr>
          <w:p w14:paraId="2FE855F7">
            <w:pPr>
              <w:spacing w:line="360" w:lineRule="auto"/>
              <w:jc w:val="center"/>
              <w:rPr>
                <w:rFonts w:hint="default" w:ascii="Times New Roman" w:hAnsi="Times New Roman" w:eastAsia="宋体" w:cs="Times New Roman"/>
                <w:b w:val="0"/>
                <w:kern w:val="2"/>
                <w:sz w:val="18"/>
                <w:szCs w:val="18"/>
                <w:lang w:val="en-US" w:eastAsia="zh-CN" w:bidi="ar-SA"/>
              </w:rPr>
            </w:pPr>
            <w:r>
              <w:rPr>
                <w:rFonts w:hint="eastAsia"/>
                <w:b w:val="0"/>
                <w:sz w:val="18"/>
                <w:szCs w:val="18"/>
                <w:lang w:val="en-US" w:eastAsia="zh-CN"/>
              </w:rPr>
              <w:t>6.80</w:t>
            </w:r>
          </w:p>
        </w:tc>
      </w:tr>
      <w:tr w14:paraId="1153C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484" w:type="dxa"/>
            <w:vAlign w:val="center"/>
          </w:tcPr>
          <w:p w14:paraId="49365DA8">
            <w:pPr>
              <w:widowControl/>
              <w:spacing w:line="360" w:lineRule="auto"/>
              <w:jc w:val="center"/>
              <w:rPr>
                <w:b w:val="0"/>
                <w:sz w:val="18"/>
                <w:szCs w:val="18"/>
              </w:rPr>
            </w:pPr>
            <w:r>
              <w:rPr>
                <w:b w:val="0"/>
                <w:sz w:val="18"/>
                <w:szCs w:val="18"/>
              </w:rPr>
              <w:t>B00</w:t>
            </w:r>
            <w:r>
              <w:rPr>
                <w:rFonts w:hint="eastAsia"/>
                <w:b w:val="0"/>
                <w:sz w:val="18"/>
                <w:szCs w:val="18"/>
                <w:lang w:val="en-US" w:eastAsia="zh-CN"/>
              </w:rPr>
              <w:t>2</w:t>
            </w:r>
            <w:r>
              <w:rPr>
                <w:rFonts w:hint="eastAsia"/>
                <w:b w:val="0"/>
                <w:sz w:val="18"/>
                <w:szCs w:val="18"/>
                <w:lang w:eastAsia="zh-CN"/>
              </w:rPr>
              <w:t>（</w:t>
            </w:r>
            <w:r>
              <w:rPr>
                <w:rFonts w:hint="eastAsia"/>
                <w:b w:val="0"/>
                <w:sz w:val="18"/>
                <w:szCs w:val="18"/>
                <w:lang w:val="en-US" w:eastAsia="zh-CN"/>
              </w:rPr>
              <w:t>85级</w:t>
            </w:r>
            <w:r>
              <w:rPr>
                <w:rFonts w:hint="eastAsia"/>
                <w:b w:val="0"/>
                <w:sz w:val="18"/>
                <w:szCs w:val="18"/>
                <w:lang w:eastAsia="zh-CN"/>
              </w:rPr>
              <w:t>）</w:t>
            </w:r>
          </w:p>
        </w:tc>
        <w:tc>
          <w:tcPr>
            <w:tcW w:w="2842" w:type="dxa"/>
            <w:shd w:val="clear" w:color="auto" w:fill="auto"/>
            <w:vAlign w:val="center"/>
          </w:tcPr>
          <w:p w14:paraId="4D00D169">
            <w:pPr>
              <w:tabs>
                <w:tab w:val="left" w:pos="105"/>
              </w:tabs>
              <w:snapToGrid w:val="0"/>
              <w:spacing w:line="360" w:lineRule="auto"/>
              <w:ind w:firstLine="90" w:firstLineChars="50"/>
              <w:jc w:val="left"/>
              <w:rPr>
                <w:rFonts w:hint="eastAsia"/>
                <w:b w:val="0"/>
                <w:sz w:val="18"/>
                <w:szCs w:val="18"/>
                <w:lang w:val="en-US" w:eastAsia="zh-CN"/>
              </w:rPr>
            </w:pPr>
            <w:r>
              <w:rPr>
                <w:rFonts w:hint="eastAsia"/>
                <w:b w:val="0"/>
                <w:sz w:val="18"/>
                <w:szCs w:val="18"/>
                <w:lang w:val="en-US" w:eastAsia="zh-CN"/>
              </w:rPr>
              <w:t>0.34     0.36      0.33</w:t>
            </w:r>
          </w:p>
          <w:p w14:paraId="50A94CF1">
            <w:pPr>
              <w:tabs>
                <w:tab w:val="left" w:pos="105"/>
              </w:tabs>
              <w:snapToGrid w:val="0"/>
              <w:spacing w:line="360" w:lineRule="auto"/>
              <w:ind w:firstLine="90" w:firstLineChars="50"/>
              <w:jc w:val="left"/>
              <w:rPr>
                <w:rFonts w:hint="eastAsia"/>
                <w:b w:val="0"/>
                <w:sz w:val="18"/>
                <w:szCs w:val="18"/>
                <w:lang w:val="en-US" w:eastAsia="zh-CN"/>
              </w:rPr>
            </w:pPr>
            <w:r>
              <w:rPr>
                <w:rFonts w:hint="eastAsia"/>
                <w:b w:val="0"/>
                <w:sz w:val="18"/>
                <w:szCs w:val="18"/>
                <w:lang w:val="en-US" w:eastAsia="zh-CN"/>
              </w:rPr>
              <w:t>0.32     0.35      0.31</w:t>
            </w:r>
          </w:p>
          <w:p w14:paraId="0A87C4D1">
            <w:pPr>
              <w:tabs>
                <w:tab w:val="left" w:pos="105"/>
              </w:tabs>
              <w:snapToGrid w:val="0"/>
              <w:spacing w:line="360" w:lineRule="auto"/>
              <w:ind w:firstLine="90" w:firstLineChars="50"/>
              <w:jc w:val="left"/>
              <w:rPr>
                <w:rFonts w:hint="eastAsia" w:ascii="Times New Roman" w:hAnsi="Times New Roman" w:eastAsia="宋体" w:cs="Times New Roman"/>
                <w:b w:val="0"/>
                <w:kern w:val="2"/>
                <w:sz w:val="18"/>
                <w:szCs w:val="18"/>
                <w:lang w:val="en-US" w:eastAsia="zh-CN" w:bidi="ar-SA"/>
              </w:rPr>
            </w:pPr>
            <w:r>
              <w:rPr>
                <w:rFonts w:hint="eastAsia"/>
                <w:b w:val="0"/>
                <w:sz w:val="18"/>
                <w:szCs w:val="18"/>
                <w:lang w:val="en-US" w:eastAsia="zh-CN"/>
              </w:rPr>
              <w:t>0.33     0.30      0.35</w:t>
            </w:r>
          </w:p>
        </w:tc>
        <w:tc>
          <w:tcPr>
            <w:tcW w:w="1112" w:type="dxa"/>
            <w:shd w:val="clear" w:color="auto" w:fill="auto"/>
            <w:vAlign w:val="center"/>
          </w:tcPr>
          <w:p w14:paraId="2A86B5A7">
            <w:pPr>
              <w:spacing w:line="360" w:lineRule="auto"/>
              <w:jc w:val="center"/>
              <w:rPr>
                <w:rFonts w:hint="eastAsia" w:ascii="Times New Roman" w:hAnsi="Times New Roman" w:eastAsia="宋体" w:cs="Times New Roman"/>
                <w:b w:val="0"/>
                <w:kern w:val="2"/>
                <w:sz w:val="18"/>
                <w:szCs w:val="18"/>
                <w:lang w:val="en-US" w:eastAsia="zh-CN" w:bidi="ar-SA"/>
              </w:rPr>
            </w:pPr>
            <w:r>
              <w:rPr>
                <w:rFonts w:hint="eastAsia"/>
                <w:b w:val="0"/>
                <w:sz w:val="18"/>
                <w:szCs w:val="18"/>
                <w:lang w:val="en-US" w:eastAsia="zh-CN"/>
              </w:rPr>
              <w:t>0.33</w:t>
            </w:r>
          </w:p>
        </w:tc>
        <w:tc>
          <w:tcPr>
            <w:tcW w:w="1317" w:type="dxa"/>
            <w:shd w:val="clear" w:color="auto" w:fill="auto"/>
            <w:vAlign w:val="center"/>
          </w:tcPr>
          <w:p w14:paraId="2ED17FC9">
            <w:pPr>
              <w:jc w:val="center"/>
              <w:rPr>
                <w:rFonts w:hint="default" w:ascii="Times New Roman" w:hAnsi="Times New Roman" w:eastAsia="宋体" w:cs="Times New Roman"/>
                <w:b w:val="0"/>
                <w:kern w:val="0"/>
                <w:sz w:val="18"/>
                <w:szCs w:val="18"/>
                <w:lang w:val="en-US" w:eastAsia="zh-CN" w:bidi="ar-SA"/>
              </w:rPr>
            </w:pPr>
            <w:r>
              <w:rPr>
                <w:b w:val="0"/>
                <w:kern w:val="0"/>
                <w:sz w:val="18"/>
                <w:szCs w:val="18"/>
              </w:rPr>
              <w:t>0.</w:t>
            </w:r>
            <w:r>
              <w:rPr>
                <w:rFonts w:hint="eastAsia"/>
                <w:b w:val="0"/>
                <w:kern w:val="0"/>
                <w:sz w:val="18"/>
                <w:szCs w:val="18"/>
                <w:lang w:val="en-US" w:eastAsia="zh-CN"/>
              </w:rPr>
              <w:t>020</w:t>
            </w:r>
          </w:p>
        </w:tc>
        <w:tc>
          <w:tcPr>
            <w:tcW w:w="1317" w:type="dxa"/>
            <w:shd w:val="clear" w:color="auto" w:fill="auto"/>
            <w:vAlign w:val="center"/>
          </w:tcPr>
          <w:p w14:paraId="69EAEE97">
            <w:pPr>
              <w:spacing w:line="360" w:lineRule="auto"/>
              <w:jc w:val="center"/>
              <w:rPr>
                <w:rFonts w:hint="default" w:ascii="Times New Roman" w:hAnsi="Times New Roman" w:eastAsia="宋体" w:cs="Times New Roman"/>
                <w:b w:val="0"/>
                <w:kern w:val="2"/>
                <w:sz w:val="18"/>
                <w:szCs w:val="18"/>
                <w:lang w:val="en-US" w:eastAsia="zh-CN" w:bidi="ar-SA"/>
              </w:rPr>
            </w:pPr>
            <w:r>
              <w:rPr>
                <w:rFonts w:hint="eastAsia"/>
                <w:b w:val="0"/>
                <w:sz w:val="18"/>
                <w:szCs w:val="18"/>
                <w:lang w:val="en-US" w:eastAsia="zh-CN"/>
              </w:rPr>
              <w:t>5.98</w:t>
            </w:r>
          </w:p>
        </w:tc>
      </w:tr>
      <w:tr w14:paraId="75A7F2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1484" w:type="dxa"/>
            <w:vAlign w:val="center"/>
          </w:tcPr>
          <w:p w14:paraId="3A4BFFD0">
            <w:pPr>
              <w:widowControl/>
              <w:spacing w:line="360" w:lineRule="auto"/>
              <w:jc w:val="center"/>
              <w:rPr>
                <w:b w:val="0"/>
                <w:sz w:val="18"/>
                <w:szCs w:val="18"/>
              </w:rPr>
            </w:pPr>
            <w:r>
              <w:rPr>
                <w:b w:val="0"/>
                <w:sz w:val="18"/>
                <w:szCs w:val="18"/>
              </w:rPr>
              <w:t>B00</w:t>
            </w:r>
            <w:r>
              <w:rPr>
                <w:rFonts w:hint="eastAsia"/>
                <w:b w:val="0"/>
                <w:sz w:val="18"/>
                <w:szCs w:val="18"/>
                <w:lang w:val="en-US" w:eastAsia="zh-CN"/>
              </w:rPr>
              <w:t>3</w:t>
            </w:r>
            <w:r>
              <w:rPr>
                <w:rFonts w:hint="eastAsia"/>
                <w:b w:val="0"/>
                <w:sz w:val="18"/>
                <w:szCs w:val="18"/>
                <w:lang w:eastAsia="zh-CN"/>
              </w:rPr>
              <w:t>（</w:t>
            </w:r>
            <w:r>
              <w:rPr>
                <w:rFonts w:hint="eastAsia"/>
                <w:b w:val="0"/>
                <w:sz w:val="18"/>
                <w:szCs w:val="18"/>
                <w:lang w:val="en-US" w:eastAsia="zh-CN"/>
              </w:rPr>
              <w:t>90级</w:t>
            </w:r>
            <w:r>
              <w:rPr>
                <w:rFonts w:hint="eastAsia"/>
                <w:b w:val="0"/>
                <w:sz w:val="18"/>
                <w:szCs w:val="18"/>
                <w:lang w:eastAsia="zh-CN"/>
              </w:rPr>
              <w:t>）</w:t>
            </w:r>
          </w:p>
        </w:tc>
        <w:tc>
          <w:tcPr>
            <w:tcW w:w="2842" w:type="dxa"/>
            <w:shd w:val="clear" w:color="auto" w:fill="auto"/>
            <w:vAlign w:val="center"/>
          </w:tcPr>
          <w:p w14:paraId="243D2927">
            <w:pPr>
              <w:tabs>
                <w:tab w:val="left" w:pos="105"/>
              </w:tabs>
              <w:snapToGrid w:val="0"/>
              <w:spacing w:line="360" w:lineRule="auto"/>
              <w:ind w:firstLine="90" w:firstLineChars="50"/>
              <w:jc w:val="left"/>
              <w:rPr>
                <w:rFonts w:hint="eastAsia"/>
                <w:b w:val="0"/>
                <w:sz w:val="18"/>
                <w:szCs w:val="18"/>
                <w:lang w:val="en-US" w:eastAsia="zh-CN"/>
              </w:rPr>
            </w:pPr>
            <w:r>
              <w:rPr>
                <w:rFonts w:hint="eastAsia"/>
                <w:b w:val="0"/>
                <w:sz w:val="18"/>
                <w:szCs w:val="18"/>
                <w:lang w:val="en-US" w:eastAsia="zh-CN"/>
              </w:rPr>
              <w:t xml:space="preserve">1.24 </w:t>
            </w:r>
            <w:r>
              <w:rPr>
                <w:b w:val="0"/>
                <w:sz w:val="18"/>
                <w:szCs w:val="18"/>
              </w:rPr>
              <w:tab/>
            </w:r>
            <w:r>
              <w:rPr>
                <w:rFonts w:hint="eastAsia"/>
                <w:b w:val="0"/>
                <w:sz w:val="18"/>
                <w:szCs w:val="18"/>
                <w:lang w:val="en-US" w:eastAsia="zh-CN"/>
              </w:rPr>
              <w:t xml:space="preserve">1.18 </w:t>
            </w:r>
            <w:r>
              <w:rPr>
                <w:b w:val="0"/>
                <w:sz w:val="18"/>
                <w:szCs w:val="18"/>
              </w:rPr>
              <w:t xml:space="preserve"> </w:t>
            </w:r>
            <w:r>
              <w:rPr>
                <w:b w:val="0"/>
                <w:sz w:val="18"/>
                <w:szCs w:val="18"/>
              </w:rPr>
              <w:tab/>
            </w:r>
            <w:r>
              <w:rPr>
                <w:rFonts w:hint="eastAsia"/>
                <w:b w:val="0"/>
                <w:sz w:val="18"/>
                <w:szCs w:val="18"/>
                <w:lang w:val="en-US" w:eastAsia="zh-CN"/>
              </w:rPr>
              <w:t>1.20</w:t>
            </w:r>
          </w:p>
          <w:p w14:paraId="6F120E0E">
            <w:pPr>
              <w:tabs>
                <w:tab w:val="left" w:pos="105"/>
              </w:tabs>
              <w:snapToGrid w:val="0"/>
              <w:spacing w:line="360" w:lineRule="auto"/>
              <w:ind w:firstLine="90" w:firstLineChars="50"/>
              <w:jc w:val="left"/>
              <w:rPr>
                <w:rFonts w:hint="eastAsia"/>
                <w:b w:val="0"/>
                <w:sz w:val="18"/>
                <w:szCs w:val="18"/>
                <w:lang w:val="en-US" w:eastAsia="zh-CN"/>
              </w:rPr>
            </w:pPr>
            <w:r>
              <w:rPr>
                <w:rFonts w:hint="eastAsia"/>
                <w:b w:val="0"/>
                <w:sz w:val="18"/>
                <w:szCs w:val="18"/>
                <w:lang w:val="en-US" w:eastAsia="zh-CN"/>
              </w:rPr>
              <w:t>1.19     1.15      1.17</w:t>
            </w:r>
          </w:p>
          <w:p w14:paraId="247D7184">
            <w:pPr>
              <w:tabs>
                <w:tab w:val="left" w:pos="105"/>
              </w:tabs>
              <w:snapToGrid w:val="0"/>
              <w:spacing w:line="360" w:lineRule="auto"/>
              <w:ind w:firstLine="90" w:firstLineChars="50"/>
              <w:jc w:val="left"/>
              <w:rPr>
                <w:rFonts w:hint="default" w:ascii="Times New Roman" w:hAnsi="Times New Roman" w:eastAsia="宋体" w:cs="Times New Roman"/>
                <w:b w:val="0"/>
                <w:kern w:val="2"/>
                <w:sz w:val="18"/>
                <w:szCs w:val="18"/>
                <w:lang w:val="en-US" w:eastAsia="zh-CN" w:bidi="ar-SA"/>
              </w:rPr>
            </w:pPr>
            <w:r>
              <w:rPr>
                <w:rFonts w:hint="eastAsia"/>
                <w:b w:val="0"/>
                <w:sz w:val="18"/>
                <w:szCs w:val="18"/>
                <w:lang w:val="en-US" w:eastAsia="zh-CN"/>
              </w:rPr>
              <w:t>1.22     1.25      1.18</w:t>
            </w:r>
          </w:p>
        </w:tc>
        <w:tc>
          <w:tcPr>
            <w:tcW w:w="1112" w:type="dxa"/>
            <w:shd w:val="clear" w:color="auto" w:fill="auto"/>
            <w:vAlign w:val="center"/>
          </w:tcPr>
          <w:p w14:paraId="22F49E0B">
            <w:pPr>
              <w:spacing w:line="360" w:lineRule="auto"/>
              <w:jc w:val="center"/>
              <w:rPr>
                <w:rFonts w:hint="default" w:ascii="Times New Roman" w:hAnsi="Times New Roman" w:eastAsia="宋体" w:cs="Times New Roman"/>
                <w:b w:val="0"/>
                <w:kern w:val="2"/>
                <w:sz w:val="18"/>
                <w:szCs w:val="18"/>
                <w:lang w:val="en-US" w:eastAsia="zh-CN" w:bidi="ar-SA"/>
              </w:rPr>
            </w:pPr>
            <w:r>
              <w:rPr>
                <w:rFonts w:hint="eastAsia"/>
                <w:b w:val="0"/>
                <w:sz w:val="18"/>
                <w:szCs w:val="18"/>
                <w:lang w:val="en-US" w:eastAsia="zh-CN"/>
              </w:rPr>
              <w:t>1.20</w:t>
            </w:r>
          </w:p>
        </w:tc>
        <w:tc>
          <w:tcPr>
            <w:tcW w:w="1317" w:type="dxa"/>
            <w:shd w:val="clear" w:color="auto" w:fill="auto"/>
            <w:vAlign w:val="center"/>
          </w:tcPr>
          <w:p w14:paraId="1D5FCE76">
            <w:pPr>
              <w:jc w:val="center"/>
              <w:rPr>
                <w:rFonts w:hint="default" w:ascii="Times New Roman" w:hAnsi="Times New Roman" w:eastAsia="宋体" w:cs="Times New Roman"/>
                <w:b w:val="0"/>
                <w:kern w:val="0"/>
                <w:sz w:val="18"/>
                <w:szCs w:val="18"/>
                <w:lang w:val="en-US" w:eastAsia="zh-CN" w:bidi="ar-SA"/>
              </w:rPr>
            </w:pPr>
            <w:r>
              <w:rPr>
                <w:b w:val="0"/>
                <w:kern w:val="0"/>
                <w:sz w:val="18"/>
                <w:szCs w:val="18"/>
              </w:rPr>
              <w:t>0.</w:t>
            </w:r>
            <w:r>
              <w:rPr>
                <w:rFonts w:hint="eastAsia"/>
                <w:b w:val="0"/>
                <w:kern w:val="0"/>
                <w:sz w:val="18"/>
                <w:szCs w:val="18"/>
                <w:lang w:val="en-US" w:eastAsia="zh-CN"/>
              </w:rPr>
              <w:t>033</w:t>
            </w:r>
          </w:p>
        </w:tc>
        <w:tc>
          <w:tcPr>
            <w:tcW w:w="1317" w:type="dxa"/>
            <w:shd w:val="clear" w:color="auto" w:fill="auto"/>
            <w:vAlign w:val="center"/>
          </w:tcPr>
          <w:p w14:paraId="7F803CC3">
            <w:pPr>
              <w:spacing w:line="360" w:lineRule="auto"/>
              <w:jc w:val="center"/>
              <w:rPr>
                <w:rFonts w:hint="default" w:ascii="Times New Roman" w:hAnsi="Times New Roman" w:eastAsia="宋体" w:cs="Times New Roman"/>
                <w:b w:val="0"/>
                <w:kern w:val="2"/>
                <w:sz w:val="18"/>
                <w:szCs w:val="18"/>
                <w:lang w:val="en-US" w:eastAsia="zh-CN" w:bidi="ar-SA"/>
              </w:rPr>
            </w:pPr>
            <w:r>
              <w:rPr>
                <w:rFonts w:hint="eastAsia"/>
                <w:b w:val="0"/>
                <w:sz w:val="18"/>
                <w:szCs w:val="18"/>
                <w:lang w:val="en-US" w:eastAsia="zh-CN"/>
              </w:rPr>
              <w:t>2.76</w:t>
            </w:r>
          </w:p>
        </w:tc>
      </w:tr>
    </w:tbl>
    <w:p w14:paraId="2998F5C8">
      <w:pPr>
        <w:tabs>
          <w:tab w:val="left" w:pos="840"/>
        </w:tabs>
        <w:snapToGrid w:val="0"/>
        <w:spacing w:before="50" w:after="50" w:line="360" w:lineRule="auto"/>
        <w:ind w:firstLine="420" w:firstLineChars="200"/>
        <w:jc w:val="left"/>
        <w:rPr>
          <w:b w:val="0"/>
          <w:sz w:val="21"/>
          <w:szCs w:val="21"/>
        </w:rPr>
      </w:pPr>
      <w:r>
        <w:rPr>
          <w:b w:val="0"/>
          <w:sz w:val="21"/>
          <w:szCs w:val="21"/>
        </w:rPr>
        <w:t>由实验结果可知，本方法测定无定形硼粉中的</w:t>
      </w:r>
      <w:r>
        <w:rPr>
          <w:rFonts w:hint="eastAsia"/>
          <w:b w:val="0"/>
          <w:sz w:val="21"/>
          <w:szCs w:val="21"/>
          <w:lang w:val="en-US" w:eastAsia="zh-CN"/>
        </w:rPr>
        <w:t>过氧化氢不溶物含量</w:t>
      </w:r>
      <w:r>
        <w:rPr>
          <w:b w:val="0"/>
          <w:sz w:val="21"/>
          <w:szCs w:val="21"/>
        </w:rPr>
        <w:t>RSD在</w:t>
      </w:r>
      <w:r>
        <w:rPr>
          <w:rFonts w:hint="eastAsia"/>
          <w:b w:val="0"/>
          <w:sz w:val="21"/>
          <w:szCs w:val="21"/>
          <w:lang w:val="en-US" w:eastAsia="zh-CN"/>
        </w:rPr>
        <w:t>2.76</w:t>
      </w:r>
      <w:r>
        <w:rPr>
          <w:b w:val="0"/>
          <w:sz w:val="21"/>
          <w:szCs w:val="21"/>
        </w:rPr>
        <w:t>%～</w:t>
      </w:r>
      <w:r>
        <w:rPr>
          <w:rFonts w:hint="eastAsia"/>
          <w:b w:val="0"/>
          <w:sz w:val="21"/>
          <w:szCs w:val="21"/>
          <w:lang w:val="en-US" w:eastAsia="zh-CN"/>
        </w:rPr>
        <w:t>6.80</w:t>
      </w:r>
      <w:r>
        <w:rPr>
          <w:b w:val="0"/>
          <w:sz w:val="21"/>
          <w:szCs w:val="21"/>
        </w:rPr>
        <w:t>%之间，满足无定形硼粉中</w:t>
      </w:r>
      <w:r>
        <w:rPr>
          <w:rFonts w:hint="eastAsia"/>
          <w:b w:val="0"/>
          <w:sz w:val="21"/>
          <w:szCs w:val="21"/>
          <w:lang w:val="en-US" w:eastAsia="zh-CN"/>
        </w:rPr>
        <w:t>过氧化氢不溶物含量的测定要求</w:t>
      </w:r>
      <w:r>
        <w:rPr>
          <w:b w:val="0"/>
          <w:sz w:val="21"/>
          <w:szCs w:val="21"/>
        </w:rPr>
        <w:t>。</w:t>
      </w:r>
    </w:p>
    <w:p w14:paraId="60C2A4C5">
      <w:pPr>
        <w:spacing w:before="156" w:beforeLines="50" w:line="360" w:lineRule="auto"/>
        <w:rPr>
          <w:rFonts w:eastAsia="黑体"/>
          <w:b w:val="0"/>
          <w:bCs/>
          <w:sz w:val="24"/>
        </w:rPr>
      </w:pPr>
      <w:r>
        <w:rPr>
          <w:rFonts w:eastAsia="黑体"/>
          <w:b w:val="0"/>
          <w:bCs/>
          <w:sz w:val="24"/>
        </w:rPr>
        <w:t>3.</w:t>
      </w:r>
      <w:r>
        <w:rPr>
          <w:rFonts w:hint="eastAsia" w:eastAsia="黑体"/>
          <w:b w:val="0"/>
          <w:bCs/>
          <w:sz w:val="24"/>
          <w:lang w:val="en-US" w:eastAsia="zh-CN"/>
        </w:rPr>
        <w:t>6</w:t>
      </w:r>
      <w:r>
        <w:rPr>
          <w:rFonts w:eastAsia="黑体"/>
          <w:b w:val="0"/>
          <w:bCs/>
          <w:sz w:val="24"/>
        </w:rPr>
        <w:t>.2 验证单位的精密度试验</w:t>
      </w:r>
    </w:p>
    <w:p w14:paraId="26380517">
      <w:pPr>
        <w:spacing w:before="156" w:beforeLines="50" w:line="360" w:lineRule="auto"/>
        <w:rPr>
          <w:rFonts w:eastAsia="黑体"/>
          <w:b w:val="0"/>
          <w:bCs/>
          <w:sz w:val="24"/>
        </w:rPr>
      </w:pPr>
      <w:r>
        <w:rPr>
          <w:rFonts w:eastAsia="黑体"/>
          <w:b w:val="0"/>
          <w:bCs/>
          <w:sz w:val="24"/>
        </w:rPr>
        <w:t xml:space="preserve">    </w:t>
      </w:r>
      <w:r>
        <w:rPr>
          <w:b w:val="0"/>
          <w:sz w:val="21"/>
          <w:szCs w:val="21"/>
        </w:rPr>
        <w:t>为了考察本方法的重复性和再现性，在国内选择</w:t>
      </w:r>
      <w:r>
        <w:rPr>
          <w:rFonts w:hint="eastAsia"/>
          <w:b w:val="0"/>
          <w:sz w:val="21"/>
          <w:szCs w:val="21"/>
          <w:lang w:val="en-US" w:eastAsia="zh-CN"/>
        </w:rPr>
        <w:t>4</w:t>
      </w:r>
      <w:r>
        <w:rPr>
          <w:b w:val="0"/>
          <w:sz w:val="21"/>
          <w:szCs w:val="21"/>
        </w:rPr>
        <w:t>家实验室，按照起草单位制定的实验方案进行了协同试验，并对</w:t>
      </w:r>
      <w:r>
        <w:rPr>
          <w:rFonts w:hint="eastAsia"/>
          <w:b w:val="0"/>
          <w:sz w:val="21"/>
          <w:szCs w:val="21"/>
          <w:lang w:val="en-US" w:eastAsia="zh-CN"/>
        </w:rPr>
        <w:t>3</w:t>
      </w:r>
      <w:r>
        <w:rPr>
          <w:b w:val="0"/>
          <w:sz w:val="21"/>
          <w:szCs w:val="21"/>
        </w:rPr>
        <w:t>种无定形硼粉样品分别独立测定7次~9次，测定结果见表9所示。</w:t>
      </w:r>
    </w:p>
    <w:p w14:paraId="4E280FEF">
      <w:pPr>
        <w:spacing w:line="276" w:lineRule="auto"/>
        <w:jc w:val="center"/>
        <w:rPr>
          <w:rFonts w:eastAsia="黑体"/>
          <w:b w:val="0"/>
          <w:sz w:val="18"/>
          <w:szCs w:val="18"/>
        </w:rPr>
      </w:pPr>
      <w:r>
        <w:rPr>
          <w:rFonts w:eastAsia="黑体"/>
          <w:b w:val="0"/>
          <w:sz w:val="21"/>
          <w:szCs w:val="21"/>
        </w:rPr>
        <w:t>表9各实验室精密度数据</w:t>
      </w:r>
    </w:p>
    <w:tbl>
      <w:tblPr>
        <w:tblStyle w:val="9"/>
        <w:tblW w:w="903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20"/>
        <w:gridCol w:w="741"/>
        <w:gridCol w:w="4436"/>
        <w:gridCol w:w="846"/>
        <w:gridCol w:w="946"/>
        <w:gridCol w:w="946"/>
      </w:tblGrid>
      <w:tr w14:paraId="0F976B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20" w:type="dxa"/>
          </w:tcPr>
          <w:p w14:paraId="71F80FB9">
            <w:pPr>
              <w:jc w:val="center"/>
              <w:rPr>
                <w:b w:val="0"/>
                <w:sz w:val="21"/>
                <w:szCs w:val="21"/>
              </w:rPr>
            </w:pPr>
            <w:r>
              <w:rPr>
                <w:b w:val="0"/>
                <w:sz w:val="21"/>
                <w:szCs w:val="21"/>
              </w:rPr>
              <w:t>验证</w:t>
            </w:r>
          </w:p>
          <w:p w14:paraId="54802C7C">
            <w:pPr>
              <w:jc w:val="center"/>
              <w:rPr>
                <w:b w:val="0"/>
                <w:sz w:val="21"/>
                <w:szCs w:val="21"/>
              </w:rPr>
            </w:pPr>
            <w:r>
              <w:rPr>
                <w:b w:val="0"/>
                <w:sz w:val="21"/>
                <w:szCs w:val="21"/>
              </w:rPr>
              <w:t>单位</w:t>
            </w:r>
          </w:p>
        </w:tc>
        <w:tc>
          <w:tcPr>
            <w:tcW w:w="741" w:type="dxa"/>
          </w:tcPr>
          <w:p w14:paraId="543769B0">
            <w:pPr>
              <w:jc w:val="center"/>
              <w:rPr>
                <w:b w:val="0"/>
                <w:sz w:val="21"/>
                <w:szCs w:val="21"/>
              </w:rPr>
            </w:pPr>
            <w:r>
              <w:rPr>
                <w:b w:val="0"/>
                <w:sz w:val="21"/>
                <w:szCs w:val="21"/>
              </w:rPr>
              <w:t>样品</w:t>
            </w:r>
          </w:p>
          <w:p w14:paraId="6CDE5A34">
            <w:pPr>
              <w:jc w:val="center"/>
              <w:rPr>
                <w:b w:val="0"/>
                <w:sz w:val="21"/>
                <w:szCs w:val="21"/>
              </w:rPr>
            </w:pPr>
            <w:r>
              <w:rPr>
                <w:b w:val="0"/>
                <w:sz w:val="21"/>
                <w:szCs w:val="21"/>
              </w:rPr>
              <w:t>编号</w:t>
            </w:r>
          </w:p>
        </w:tc>
        <w:tc>
          <w:tcPr>
            <w:tcW w:w="4436" w:type="dxa"/>
          </w:tcPr>
          <w:p w14:paraId="293771DB">
            <w:pPr>
              <w:jc w:val="center"/>
              <w:rPr>
                <w:b w:val="0"/>
                <w:sz w:val="21"/>
                <w:szCs w:val="21"/>
              </w:rPr>
            </w:pPr>
            <w:r>
              <w:rPr>
                <w:b w:val="0"/>
                <w:sz w:val="21"/>
                <w:szCs w:val="21"/>
              </w:rPr>
              <w:t>测定结果</w:t>
            </w:r>
            <w:r>
              <w:rPr>
                <w:rFonts w:eastAsia="黑体"/>
                <w:b w:val="0"/>
                <w:i/>
                <w:sz w:val="18"/>
                <w:szCs w:val="18"/>
              </w:rPr>
              <w:t>w</w:t>
            </w:r>
            <w:r>
              <w:rPr>
                <w:rFonts w:eastAsia="黑体"/>
                <w:b w:val="0"/>
                <w:sz w:val="18"/>
                <w:szCs w:val="18"/>
              </w:rPr>
              <w:t>/%</w:t>
            </w:r>
          </w:p>
          <w:p w14:paraId="4F17A6DD">
            <w:pPr>
              <w:jc w:val="center"/>
              <w:rPr>
                <w:b w:val="0"/>
                <w:sz w:val="21"/>
                <w:szCs w:val="21"/>
              </w:rPr>
            </w:pPr>
            <w:r>
              <w:rPr>
                <w:b w:val="0"/>
                <w:sz w:val="21"/>
                <w:szCs w:val="21"/>
              </w:rPr>
              <w:t>（n=9）</w:t>
            </w:r>
          </w:p>
        </w:tc>
        <w:tc>
          <w:tcPr>
            <w:tcW w:w="846" w:type="dxa"/>
          </w:tcPr>
          <w:p w14:paraId="3854D88C">
            <w:pPr>
              <w:jc w:val="center"/>
              <w:rPr>
                <w:b w:val="0"/>
                <w:sz w:val="21"/>
                <w:szCs w:val="21"/>
              </w:rPr>
            </w:pPr>
            <w:r>
              <w:rPr>
                <w:b w:val="0"/>
                <w:sz w:val="21"/>
                <w:szCs w:val="21"/>
              </w:rPr>
              <w:t>平均值</w:t>
            </w:r>
            <w:r>
              <w:rPr>
                <w:rFonts w:eastAsia="黑体"/>
                <w:b w:val="0"/>
                <w:i/>
                <w:sz w:val="18"/>
                <w:szCs w:val="18"/>
              </w:rPr>
              <w:t>w</w:t>
            </w:r>
            <w:r>
              <w:rPr>
                <w:rFonts w:eastAsia="黑体"/>
                <w:b w:val="0"/>
                <w:sz w:val="18"/>
                <w:szCs w:val="18"/>
              </w:rPr>
              <w:t>/%</w:t>
            </w:r>
          </w:p>
        </w:tc>
        <w:tc>
          <w:tcPr>
            <w:tcW w:w="946" w:type="dxa"/>
          </w:tcPr>
          <w:p w14:paraId="2A043626">
            <w:pPr>
              <w:jc w:val="center"/>
              <w:rPr>
                <w:b w:val="0"/>
                <w:sz w:val="21"/>
                <w:szCs w:val="21"/>
              </w:rPr>
            </w:pPr>
            <w:r>
              <w:rPr>
                <w:b w:val="0"/>
                <w:sz w:val="21"/>
                <w:szCs w:val="21"/>
              </w:rPr>
              <w:t>标准偏差</w:t>
            </w:r>
          </w:p>
        </w:tc>
        <w:tc>
          <w:tcPr>
            <w:tcW w:w="946" w:type="dxa"/>
          </w:tcPr>
          <w:p w14:paraId="7E9E079F">
            <w:pPr>
              <w:jc w:val="center"/>
              <w:rPr>
                <w:b w:val="0"/>
                <w:sz w:val="21"/>
                <w:szCs w:val="21"/>
              </w:rPr>
            </w:pPr>
            <w:r>
              <w:rPr>
                <w:b w:val="0"/>
                <w:sz w:val="21"/>
                <w:szCs w:val="21"/>
              </w:rPr>
              <w:t>RSD/%</w:t>
            </w:r>
          </w:p>
        </w:tc>
      </w:tr>
      <w:tr w14:paraId="4343A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20" w:type="dxa"/>
            <w:vMerge w:val="restart"/>
            <w:vAlign w:val="center"/>
          </w:tcPr>
          <w:p w14:paraId="3EFD4610">
            <w:pPr>
              <w:rPr>
                <w:rFonts w:hint="default" w:eastAsia="宋体"/>
                <w:b w:val="0"/>
                <w:sz w:val="21"/>
                <w:szCs w:val="21"/>
                <w:lang w:val="en-US" w:eastAsia="zh-CN"/>
              </w:rPr>
            </w:pPr>
            <w:r>
              <w:rPr>
                <w:rFonts w:hint="eastAsia"/>
                <w:b w:val="0"/>
                <w:sz w:val="21"/>
                <w:szCs w:val="21"/>
                <w:lang w:val="en-US" w:eastAsia="zh-CN"/>
              </w:rPr>
              <w:t>矿冶科技集团有限公司</w:t>
            </w:r>
          </w:p>
        </w:tc>
        <w:tc>
          <w:tcPr>
            <w:tcW w:w="741" w:type="dxa"/>
            <w:vAlign w:val="center"/>
          </w:tcPr>
          <w:p w14:paraId="1575B7C5">
            <w:pPr>
              <w:jc w:val="center"/>
              <w:rPr>
                <w:b w:val="0"/>
                <w:sz w:val="21"/>
                <w:szCs w:val="21"/>
              </w:rPr>
            </w:pPr>
            <w:r>
              <w:rPr>
                <w:b w:val="0"/>
                <w:sz w:val="21"/>
                <w:szCs w:val="21"/>
              </w:rPr>
              <w:t>B001</w:t>
            </w:r>
          </w:p>
        </w:tc>
        <w:tc>
          <w:tcPr>
            <w:tcW w:w="4436" w:type="dxa"/>
            <w:vAlign w:val="center"/>
          </w:tcPr>
          <w:p w14:paraId="6017BFE1">
            <w:pPr>
              <w:tabs>
                <w:tab w:val="left" w:pos="840"/>
              </w:tabs>
              <w:snapToGrid w:val="0"/>
              <w:spacing w:line="276" w:lineRule="auto"/>
              <w:jc w:val="left"/>
              <w:rPr>
                <w:rFonts w:hint="default"/>
                <w:b w:val="0"/>
                <w:sz w:val="21"/>
                <w:szCs w:val="21"/>
                <w:lang w:val="en-US"/>
              </w:rPr>
            </w:pPr>
            <w:r>
              <w:rPr>
                <w:rFonts w:hint="eastAsia"/>
                <w:b w:val="0"/>
                <w:sz w:val="21"/>
                <w:szCs w:val="21"/>
                <w:lang w:val="en-US" w:eastAsia="zh-CN"/>
              </w:rPr>
              <w:t>0.17</w:t>
            </w:r>
            <w:r>
              <w:rPr>
                <w:b w:val="0"/>
                <w:sz w:val="21"/>
                <w:szCs w:val="21"/>
              </w:rPr>
              <w:t xml:space="preserve">  </w:t>
            </w:r>
            <w:r>
              <w:rPr>
                <w:rFonts w:hint="eastAsia"/>
                <w:b w:val="0"/>
                <w:sz w:val="21"/>
                <w:szCs w:val="21"/>
                <w:lang w:val="en-US" w:eastAsia="zh-CN"/>
              </w:rPr>
              <w:t>0.19</w:t>
            </w:r>
            <w:r>
              <w:rPr>
                <w:b w:val="0"/>
                <w:sz w:val="21"/>
                <w:szCs w:val="21"/>
              </w:rPr>
              <w:t xml:space="preserve">  </w:t>
            </w:r>
            <w:r>
              <w:rPr>
                <w:rFonts w:hint="eastAsia"/>
                <w:b w:val="0"/>
                <w:sz w:val="21"/>
                <w:szCs w:val="21"/>
                <w:lang w:val="en-US" w:eastAsia="zh-CN"/>
              </w:rPr>
              <w:t>0.19</w:t>
            </w:r>
            <w:r>
              <w:rPr>
                <w:b w:val="0"/>
                <w:sz w:val="21"/>
                <w:szCs w:val="21"/>
              </w:rPr>
              <w:t xml:space="preserve">  </w:t>
            </w:r>
            <w:r>
              <w:rPr>
                <w:rFonts w:hint="eastAsia"/>
                <w:b w:val="0"/>
                <w:sz w:val="21"/>
                <w:szCs w:val="21"/>
                <w:lang w:val="en-US" w:eastAsia="zh-CN"/>
              </w:rPr>
              <w:t>0.18</w:t>
            </w:r>
            <w:r>
              <w:rPr>
                <w:b w:val="0"/>
                <w:sz w:val="21"/>
                <w:szCs w:val="21"/>
              </w:rPr>
              <w:t xml:space="preserve">  </w:t>
            </w:r>
            <w:r>
              <w:rPr>
                <w:rFonts w:hint="eastAsia"/>
                <w:b w:val="0"/>
                <w:sz w:val="21"/>
                <w:szCs w:val="21"/>
                <w:lang w:val="en-US" w:eastAsia="zh-CN"/>
              </w:rPr>
              <w:t>0.19</w:t>
            </w:r>
            <w:r>
              <w:rPr>
                <w:b w:val="0"/>
                <w:sz w:val="21"/>
                <w:szCs w:val="21"/>
              </w:rPr>
              <w:t xml:space="preserve">  </w:t>
            </w:r>
            <w:r>
              <w:rPr>
                <w:rFonts w:hint="eastAsia"/>
                <w:b w:val="0"/>
                <w:sz w:val="21"/>
                <w:szCs w:val="21"/>
                <w:lang w:val="en-US" w:eastAsia="zh-CN"/>
              </w:rPr>
              <w:t>0.21  0.18</w:t>
            </w:r>
            <w:r>
              <w:rPr>
                <w:b w:val="0"/>
                <w:sz w:val="21"/>
                <w:szCs w:val="21"/>
              </w:rPr>
              <w:t xml:space="preserve">  </w:t>
            </w:r>
            <w:r>
              <w:rPr>
                <w:rFonts w:hint="eastAsia"/>
                <w:b w:val="0"/>
                <w:sz w:val="21"/>
                <w:szCs w:val="21"/>
                <w:lang w:val="en-US" w:eastAsia="zh-CN"/>
              </w:rPr>
              <w:t>0.17  0.20</w:t>
            </w:r>
          </w:p>
        </w:tc>
        <w:tc>
          <w:tcPr>
            <w:tcW w:w="846" w:type="dxa"/>
            <w:vAlign w:val="center"/>
          </w:tcPr>
          <w:p w14:paraId="0A29073D">
            <w:pPr>
              <w:jc w:val="center"/>
              <w:rPr>
                <w:rFonts w:hint="default" w:eastAsia="宋体"/>
                <w:b w:val="0"/>
                <w:sz w:val="21"/>
                <w:szCs w:val="21"/>
                <w:lang w:val="en-US" w:eastAsia="zh-CN"/>
              </w:rPr>
            </w:pPr>
            <w:r>
              <w:rPr>
                <w:rFonts w:hint="eastAsia"/>
                <w:b w:val="0"/>
                <w:sz w:val="21"/>
                <w:szCs w:val="21"/>
                <w:lang w:val="en-US" w:eastAsia="zh-CN"/>
              </w:rPr>
              <w:t>0.19</w:t>
            </w:r>
          </w:p>
        </w:tc>
        <w:tc>
          <w:tcPr>
            <w:tcW w:w="946" w:type="dxa"/>
            <w:vAlign w:val="center"/>
          </w:tcPr>
          <w:p w14:paraId="6307633C">
            <w:pPr>
              <w:jc w:val="center"/>
              <w:rPr>
                <w:rFonts w:hint="default" w:eastAsia="宋体"/>
                <w:b w:val="0"/>
                <w:sz w:val="21"/>
                <w:szCs w:val="21"/>
                <w:lang w:val="en-US" w:eastAsia="zh-CN"/>
              </w:rPr>
            </w:pPr>
            <w:r>
              <w:rPr>
                <w:b w:val="0"/>
                <w:sz w:val="21"/>
                <w:szCs w:val="21"/>
              </w:rPr>
              <w:t>0.</w:t>
            </w:r>
            <w:r>
              <w:rPr>
                <w:rFonts w:hint="eastAsia"/>
                <w:b w:val="0"/>
                <w:sz w:val="21"/>
                <w:szCs w:val="21"/>
                <w:lang w:val="en-US" w:eastAsia="zh-CN"/>
              </w:rPr>
              <w:t>013</w:t>
            </w:r>
          </w:p>
        </w:tc>
        <w:tc>
          <w:tcPr>
            <w:tcW w:w="946" w:type="dxa"/>
            <w:vAlign w:val="center"/>
          </w:tcPr>
          <w:p w14:paraId="2D76D7DB">
            <w:pPr>
              <w:jc w:val="center"/>
              <w:rPr>
                <w:rFonts w:hint="default" w:eastAsia="宋体"/>
                <w:b w:val="0"/>
                <w:sz w:val="21"/>
                <w:szCs w:val="21"/>
                <w:lang w:val="en-US" w:eastAsia="zh-CN"/>
              </w:rPr>
            </w:pPr>
            <w:r>
              <w:rPr>
                <w:rFonts w:hint="eastAsia"/>
                <w:b w:val="0"/>
                <w:sz w:val="21"/>
                <w:szCs w:val="21"/>
                <w:lang w:val="en-US" w:eastAsia="zh-CN"/>
              </w:rPr>
              <w:t>7.09</w:t>
            </w:r>
          </w:p>
        </w:tc>
      </w:tr>
      <w:tr w14:paraId="0C69A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20" w:type="dxa"/>
            <w:vMerge w:val="continue"/>
            <w:vAlign w:val="center"/>
          </w:tcPr>
          <w:p w14:paraId="151D0269">
            <w:pPr>
              <w:rPr>
                <w:b w:val="0"/>
                <w:sz w:val="21"/>
                <w:szCs w:val="21"/>
              </w:rPr>
            </w:pPr>
          </w:p>
        </w:tc>
        <w:tc>
          <w:tcPr>
            <w:tcW w:w="741" w:type="dxa"/>
            <w:vAlign w:val="center"/>
          </w:tcPr>
          <w:p w14:paraId="14F225BA">
            <w:pPr>
              <w:jc w:val="center"/>
              <w:rPr>
                <w:b w:val="0"/>
                <w:sz w:val="21"/>
                <w:szCs w:val="21"/>
              </w:rPr>
            </w:pPr>
            <w:r>
              <w:rPr>
                <w:b w:val="0"/>
                <w:sz w:val="21"/>
                <w:szCs w:val="21"/>
              </w:rPr>
              <w:t>B002</w:t>
            </w:r>
          </w:p>
        </w:tc>
        <w:tc>
          <w:tcPr>
            <w:tcW w:w="4436" w:type="dxa"/>
            <w:vAlign w:val="center"/>
          </w:tcPr>
          <w:p w14:paraId="289E1129">
            <w:pPr>
              <w:tabs>
                <w:tab w:val="left" w:pos="840"/>
              </w:tabs>
              <w:snapToGrid w:val="0"/>
              <w:spacing w:line="276" w:lineRule="auto"/>
              <w:jc w:val="left"/>
              <w:rPr>
                <w:rFonts w:hint="default"/>
                <w:b w:val="0"/>
                <w:sz w:val="21"/>
                <w:szCs w:val="21"/>
                <w:lang w:val="en-US"/>
              </w:rPr>
            </w:pPr>
            <w:r>
              <w:rPr>
                <w:rFonts w:hint="eastAsia"/>
                <w:b w:val="0"/>
                <w:sz w:val="21"/>
                <w:szCs w:val="21"/>
                <w:lang w:val="en-US" w:eastAsia="zh-CN"/>
              </w:rPr>
              <w:t>0.31</w:t>
            </w:r>
            <w:r>
              <w:rPr>
                <w:b w:val="0"/>
                <w:sz w:val="21"/>
                <w:szCs w:val="21"/>
              </w:rPr>
              <w:t xml:space="preserve">  </w:t>
            </w:r>
            <w:r>
              <w:rPr>
                <w:rFonts w:hint="eastAsia"/>
                <w:b w:val="0"/>
                <w:sz w:val="21"/>
                <w:szCs w:val="21"/>
                <w:lang w:val="en-US" w:eastAsia="zh-CN"/>
              </w:rPr>
              <w:t>0.28</w:t>
            </w:r>
            <w:r>
              <w:rPr>
                <w:b w:val="0"/>
                <w:sz w:val="21"/>
                <w:szCs w:val="21"/>
              </w:rPr>
              <w:t xml:space="preserve">  </w:t>
            </w:r>
            <w:r>
              <w:rPr>
                <w:rFonts w:hint="eastAsia"/>
                <w:b w:val="0"/>
                <w:sz w:val="21"/>
                <w:szCs w:val="21"/>
                <w:lang w:val="en-US" w:eastAsia="zh-CN"/>
              </w:rPr>
              <w:t>0.33</w:t>
            </w:r>
            <w:r>
              <w:rPr>
                <w:b w:val="0"/>
                <w:sz w:val="21"/>
                <w:szCs w:val="21"/>
              </w:rPr>
              <w:t xml:space="preserve">  </w:t>
            </w:r>
            <w:r>
              <w:rPr>
                <w:rFonts w:hint="eastAsia"/>
                <w:b w:val="0"/>
                <w:sz w:val="21"/>
                <w:szCs w:val="21"/>
                <w:lang w:val="en-US" w:eastAsia="zh-CN"/>
              </w:rPr>
              <w:t>0.26</w:t>
            </w:r>
            <w:r>
              <w:rPr>
                <w:b w:val="0"/>
                <w:sz w:val="21"/>
                <w:szCs w:val="21"/>
              </w:rPr>
              <w:t xml:space="preserve">  </w:t>
            </w:r>
            <w:r>
              <w:rPr>
                <w:rFonts w:hint="eastAsia"/>
                <w:b w:val="0"/>
                <w:sz w:val="21"/>
                <w:szCs w:val="21"/>
                <w:lang w:val="en-US" w:eastAsia="zh-CN"/>
              </w:rPr>
              <w:t>0.29</w:t>
            </w:r>
            <w:r>
              <w:rPr>
                <w:b w:val="0"/>
                <w:sz w:val="21"/>
                <w:szCs w:val="21"/>
              </w:rPr>
              <w:t xml:space="preserve">  </w:t>
            </w:r>
            <w:r>
              <w:rPr>
                <w:rFonts w:hint="eastAsia"/>
                <w:b w:val="0"/>
                <w:sz w:val="21"/>
                <w:szCs w:val="21"/>
                <w:lang w:val="en-US" w:eastAsia="zh-CN"/>
              </w:rPr>
              <w:t>0.32  0.33</w:t>
            </w:r>
            <w:r>
              <w:rPr>
                <w:b w:val="0"/>
                <w:sz w:val="21"/>
                <w:szCs w:val="21"/>
              </w:rPr>
              <w:t xml:space="preserve">  </w:t>
            </w:r>
            <w:r>
              <w:rPr>
                <w:rFonts w:hint="eastAsia"/>
                <w:b w:val="0"/>
                <w:sz w:val="21"/>
                <w:szCs w:val="21"/>
                <w:lang w:val="en-US" w:eastAsia="zh-CN"/>
              </w:rPr>
              <w:t>0.29  0.30</w:t>
            </w:r>
          </w:p>
        </w:tc>
        <w:tc>
          <w:tcPr>
            <w:tcW w:w="846" w:type="dxa"/>
            <w:vAlign w:val="center"/>
          </w:tcPr>
          <w:p w14:paraId="53051B66">
            <w:pPr>
              <w:jc w:val="center"/>
              <w:rPr>
                <w:rFonts w:hint="default"/>
                <w:b w:val="0"/>
                <w:sz w:val="21"/>
                <w:szCs w:val="21"/>
                <w:lang w:val="en-US"/>
              </w:rPr>
            </w:pPr>
            <w:r>
              <w:rPr>
                <w:rFonts w:hint="eastAsia"/>
                <w:b w:val="0"/>
                <w:sz w:val="21"/>
                <w:szCs w:val="21"/>
                <w:lang w:val="en-US" w:eastAsia="zh-CN"/>
              </w:rPr>
              <w:t>0.30</w:t>
            </w:r>
          </w:p>
        </w:tc>
        <w:tc>
          <w:tcPr>
            <w:tcW w:w="946" w:type="dxa"/>
            <w:vAlign w:val="center"/>
          </w:tcPr>
          <w:p w14:paraId="05F8F92A">
            <w:pPr>
              <w:jc w:val="center"/>
              <w:rPr>
                <w:rFonts w:hint="default"/>
                <w:b w:val="0"/>
                <w:sz w:val="21"/>
                <w:szCs w:val="21"/>
                <w:lang w:val="en-US"/>
              </w:rPr>
            </w:pPr>
            <w:r>
              <w:rPr>
                <w:b w:val="0"/>
                <w:sz w:val="21"/>
                <w:szCs w:val="21"/>
              </w:rPr>
              <w:t>0.</w:t>
            </w:r>
            <w:r>
              <w:rPr>
                <w:rFonts w:hint="eastAsia"/>
                <w:b w:val="0"/>
                <w:sz w:val="21"/>
                <w:szCs w:val="21"/>
                <w:lang w:val="en-US" w:eastAsia="zh-CN"/>
              </w:rPr>
              <w:t>024</w:t>
            </w:r>
          </w:p>
        </w:tc>
        <w:tc>
          <w:tcPr>
            <w:tcW w:w="946" w:type="dxa"/>
            <w:vAlign w:val="center"/>
          </w:tcPr>
          <w:p w14:paraId="3B7B8352">
            <w:pPr>
              <w:jc w:val="center"/>
              <w:rPr>
                <w:rFonts w:hint="default"/>
                <w:b w:val="0"/>
                <w:sz w:val="21"/>
                <w:szCs w:val="21"/>
                <w:lang w:val="en-US"/>
              </w:rPr>
            </w:pPr>
            <w:r>
              <w:rPr>
                <w:rFonts w:hint="eastAsia"/>
                <w:b w:val="0"/>
                <w:sz w:val="21"/>
                <w:szCs w:val="21"/>
                <w:lang w:val="en-US" w:eastAsia="zh-CN"/>
              </w:rPr>
              <w:t>7.87</w:t>
            </w:r>
          </w:p>
        </w:tc>
      </w:tr>
      <w:tr w14:paraId="4C2BE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20" w:type="dxa"/>
            <w:vMerge w:val="continue"/>
            <w:vAlign w:val="center"/>
          </w:tcPr>
          <w:p w14:paraId="4CAE40BE">
            <w:pPr>
              <w:rPr>
                <w:b w:val="0"/>
                <w:sz w:val="21"/>
                <w:szCs w:val="21"/>
              </w:rPr>
            </w:pPr>
          </w:p>
        </w:tc>
        <w:tc>
          <w:tcPr>
            <w:tcW w:w="741" w:type="dxa"/>
            <w:vAlign w:val="center"/>
          </w:tcPr>
          <w:p w14:paraId="53F68872">
            <w:pPr>
              <w:jc w:val="center"/>
              <w:rPr>
                <w:b w:val="0"/>
                <w:sz w:val="21"/>
                <w:szCs w:val="21"/>
              </w:rPr>
            </w:pPr>
            <w:r>
              <w:rPr>
                <w:b w:val="0"/>
                <w:sz w:val="21"/>
                <w:szCs w:val="21"/>
              </w:rPr>
              <w:t>B003</w:t>
            </w:r>
          </w:p>
        </w:tc>
        <w:tc>
          <w:tcPr>
            <w:tcW w:w="4436" w:type="dxa"/>
            <w:vAlign w:val="center"/>
          </w:tcPr>
          <w:p w14:paraId="33DD6BEF">
            <w:pPr>
              <w:tabs>
                <w:tab w:val="left" w:pos="840"/>
              </w:tabs>
              <w:snapToGrid w:val="0"/>
              <w:spacing w:line="276" w:lineRule="auto"/>
              <w:jc w:val="left"/>
              <w:rPr>
                <w:rFonts w:hint="default"/>
                <w:b w:val="0"/>
                <w:sz w:val="21"/>
                <w:szCs w:val="21"/>
                <w:lang w:val="en-US"/>
              </w:rPr>
            </w:pPr>
            <w:r>
              <w:rPr>
                <w:rFonts w:hint="eastAsia"/>
                <w:b w:val="0"/>
                <w:sz w:val="21"/>
                <w:szCs w:val="21"/>
                <w:lang w:val="en-US" w:eastAsia="zh-CN"/>
              </w:rPr>
              <w:t>1.16</w:t>
            </w:r>
            <w:r>
              <w:rPr>
                <w:b w:val="0"/>
                <w:sz w:val="21"/>
                <w:szCs w:val="21"/>
              </w:rPr>
              <w:t xml:space="preserve">  </w:t>
            </w:r>
            <w:r>
              <w:rPr>
                <w:rFonts w:hint="eastAsia"/>
                <w:b w:val="0"/>
                <w:sz w:val="21"/>
                <w:szCs w:val="21"/>
                <w:lang w:val="en-US" w:eastAsia="zh-CN"/>
              </w:rPr>
              <w:t>1.09</w:t>
            </w:r>
            <w:r>
              <w:rPr>
                <w:b w:val="0"/>
                <w:sz w:val="21"/>
                <w:szCs w:val="21"/>
              </w:rPr>
              <w:t xml:space="preserve">  </w:t>
            </w:r>
            <w:r>
              <w:rPr>
                <w:rFonts w:hint="eastAsia"/>
                <w:b w:val="0"/>
                <w:sz w:val="21"/>
                <w:szCs w:val="21"/>
                <w:lang w:val="en-US" w:eastAsia="zh-CN"/>
              </w:rPr>
              <w:t>1.08</w:t>
            </w:r>
            <w:r>
              <w:rPr>
                <w:b w:val="0"/>
                <w:sz w:val="21"/>
                <w:szCs w:val="21"/>
              </w:rPr>
              <w:t xml:space="preserve">  </w:t>
            </w:r>
            <w:r>
              <w:rPr>
                <w:rFonts w:hint="eastAsia"/>
                <w:b w:val="0"/>
                <w:sz w:val="21"/>
                <w:szCs w:val="21"/>
                <w:lang w:val="en-US" w:eastAsia="zh-CN"/>
              </w:rPr>
              <w:t>1.18</w:t>
            </w:r>
            <w:r>
              <w:rPr>
                <w:b w:val="0"/>
                <w:sz w:val="21"/>
                <w:szCs w:val="21"/>
              </w:rPr>
              <w:t xml:space="preserve">  </w:t>
            </w:r>
            <w:r>
              <w:rPr>
                <w:rFonts w:hint="eastAsia"/>
                <w:b w:val="0"/>
                <w:sz w:val="21"/>
                <w:szCs w:val="21"/>
                <w:lang w:val="en-US" w:eastAsia="zh-CN"/>
              </w:rPr>
              <w:t>1.07</w:t>
            </w:r>
            <w:r>
              <w:rPr>
                <w:b w:val="0"/>
                <w:sz w:val="21"/>
                <w:szCs w:val="21"/>
              </w:rPr>
              <w:t xml:space="preserve">  </w:t>
            </w:r>
            <w:r>
              <w:rPr>
                <w:rFonts w:hint="eastAsia"/>
                <w:b w:val="0"/>
                <w:sz w:val="21"/>
                <w:szCs w:val="21"/>
                <w:lang w:val="en-US" w:eastAsia="zh-CN"/>
              </w:rPr>
              <w:t>1.08  1.17</w:t>
            </w:r>
            <w:r>
              <w:rPr>
                <w:b w:val="0"/>
                <w:sz w:val="21"/>
                <w:szCs w:val="21"/>
              </w:rPr>
              <w:t xml:space="preserve">  </w:t>
            </w:r>
            <w:r>
              <w:rPr>
                <w:rFonts w:hint="eastAsia"/>
                <w:b w:val="0"/>
                <w:sz w:val="21"/>
                <w:szCs w:val="21"/>
                <w:lang w:val="en-US" w:eastAsia="zh-CN"/>
              </w:rPr>
              <w:t>1.17  1.22</w:t>
            </w:r>
          </w:p>
        </w:tc>
        <w:tc>
          <w:tcPr>
            <w:tcW w:w="846" w:type="dxa"/>
            <w:vAlign w:val="center"/>
          </w:tcPr>
          <w:p w14:paraId="50828697">
            <w:pPr>
              <w:jc w:val="center"/>
              <w:rPr>
                <w:rFonts w:hint="default" w:eastAsia="宋体"/>
                <w:b w:val="0"/>
                <w:sz w:val="21"/>
                <w:szCs w:val="21"/>
                <w:lang w:val="en-US" w:eastAsia="zh-CN"/>
              </w:rPr>
            </w:pPr>
            <w:r>
              <w:rPr>
                <w:rFonts w:hint="eastAsia"/>
                <w:b w:val="0"/>
                <w:sz w:val="21"/>
                <w:szCs w:val="21"/>
                <w:lang w:val="en-US" w:eastAsia="zh-CN"/>
              </w:rPr>
              <w:t>1.13</w:t>
            </w:r>
          </w:p>
        </w:tc>
        <w:tc>
          <w:tcPr>
            <w:tcW w:w="946" w:type="dxa"/>
            <w:vAlign w:val="center"/>
          </w:tcPr>
          <w:p w14:paraId="3A7235BC">
            <w:pPr>
              <w:jc w:val="center"/>
              <w:rPr>
                <w:rFonts w:hint="default"/>
                <w:b w:val="0"/>
                <w:sz w:val="21"/>
                <w:szCs w:val="21"/>
                <w:lang w:val="en-US"/>
              </w:rPr>
            </w:pPr>
            <w:r>
              <w:rPr>
                <w:b w:val="0"/>
                <w:sz w:val="21"/>
                <w:szCs w:val="21"/>
              </w:rPr>
              <w:t>0.</w:t>
            </w:r>
            <w:r>
              <w:rPr>
                <w:rFonts w:hint="eastAsia"/>
                <w:b w:val="0"/>
                <w:sz w:val="21"/>
                <w:szCs w:val="21"/>
                <w:lang w:val="en-US" w:eastAsia="zh-CN"/>
              </w:rPr>
              <w:t>055</w:t>
            </w:r>
          </w:p>
        </w:tc>
        <w:tc>
          <w:tcPr>
            <w:tcW w:w="946" w:type="dxa"/>
            <w:vAlign w:val="center"/>
          </w:tcPr>
          <w:p w14:paraId="4A842FD5">
            <w:pPr>
              <w:jc w:val="center"/>
              <w:rPr>
                <w:rFonts w:hint="default" w:eastAsia="宋体"/>
                <w:b w:val="0"/>
                <w:sz w:val="21"/>
                <w:szCs w:val="21"/>
                <w:lang w:val="en-US" w:eastAsia="zh-CN"/>
              </w:rPr>
            </w:pPr>
            <w:r>
              <w:rPr>
                <w:rFonts w:hint="eastAsia" w:eastAsia="宋体"/>
                <w:b w:val="0"/>
                <w:sz w:val="21"/>
                <w:szCs w:val="21"/>
                <w:lang w:val="en-US" w:eastAsia="zh-CN"/>
              </w:rPr>
              <w:t>4.83</w:t>
            </w:r>
          </w:p>
        </w:tc>
      </w:tr>
      <w:tr w14:paraId="4690D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20" w:type="dxa"/>
            <w:vMerge w:val="restart"/>
            <w:shd w:val="clear" w:color="auto" w:fill="auto"/>
            <w:vAlign w:val="center"/>
          </w:tcPr>
          <w:p w14:paraId="506C0CA2">
            <w:pPr>
              <w:rPr>
                <w:rFonts w:ascii="Times New Roman" w:hAnsi="Times New Roman" w:eastAsia="宋体" w:cs="Times New Roman"/>
                <w:b w:val="0"/>
                <w:kern w:val="2"/>
                <w:sz w:val="21"/>
                <w:szCs w:val="21"/>
                <w:lang w:val="en-US" w:eastAsia="zh-CN" w:bidi="ar-SA"/>
              </w:rPr>
            </w:pPr>
            <w:r>
              <w:rPr>
                <w:b w:val="0"/>
                <w:sz w:val="21"/>
                <w:szCs w:val="21"/>
              </w:rPr>
              <w:t>北矿检测技术有限公司</w:t>
            </w:r>
          </w:p>
          <w:p w14:paraId="5D7880D6">
            <w:pPr>
              <w:rPr>
                <w:b w:val="0"/>
                <w:sz w:val="21"/>
                <w:szCs w:val="21"/>
              </w:rPr>
            </w:pPr>
          </w:p>
        </w:tc>
        <w:tc>
          <w:tcPr>
            <w:tcW w:w="741" w:type="dxa"/>
            <w:vAlign w:val="center"/>
          </w:tcPr>
          <w:p w14:paraId="66798839">
            <w:pPr>
              <w:jc w:val="center"/>
              <w:rPr>
                <w:b w:val="0"/>
                <w:sz w:val="21"/>
                <w:szCs w:val="21"/>
              </w:rPr>
            </w:pPr>
            <w:r>
              <w:rPr>
                <w:b w:val="0"/>
                <w:sz w:val="21"/>
                <w:szCs w:val="21"/>
              </w:rPr>
              <w:t>B001</w:t>
            </w:r>
          </w:p>
        </w:tc>
        <w:tc>
          <w:tcPr>
            <w:tcW w:w="4436" w:type="dxa"/>
            <w:vAlign w:val="center"/>
          </w:tcPr>
          <w:p w14:paraId="5F6BD383">
            <w:pPr>
              <w:tabs>
                <w:tab w:val="left" w:pos="840"/>
              </w:tabs>
              <w:snapToGrid w:val="0"/>
              <w:spacing w:line="276" w:lineRule="auto"/>
              <w:jc w:val="left"/>
              <w:rPr>
                <w:rFonts w:hint="default"/>
                <w:b w:val="0"/>
                <w:sz w:val="21"/>
                <w:szCs w:val="21"/>
                <w:lang w:val="en-US"/>
              </w:rPr>
            </w:pPr>
            <w:r>
              <w:rPr>
                <w:rFonts w:hint="eastAsia"/>
                <w:b w:val="0"/>
                <w:sz w:val="21"/>
                <w:szCs w:val="21"/>
                <w:lang w:val="en-US" w:eastAsia="zh-CN"/>
              </w:rPr>
              <w:t>0.17</w:t>
            </w:r>
            <w:r>
              <w:rPr>
                <w:b w:val="0"/>
                <w:sz w:val="21"/>
                <w:szCs w:val="21"/>
              </w:rPr>
              <w:t xml:space="preserve">  </w:t>
            </w:r>
            <w:r>
              <w:rPr>
                <w:rFonts w:hint="eastAsia"/>
                <w:b w:val="0"/>
                <w:sz w:val="21"/>
                <w:szCs w:val="21"/>
                <w:lang w:val="en-US" w:eastAsia="zh-CN"/>
              </w:rPr>
              <w:t>0.16</w:t>
            </w:r>
            <w:r>
              <w:rPr>
                <w:b w:val="0"/>
                <w:sz w:val="21"/>
                <w:szCs w:val="21"/>
              </w:rPr>
              <w:t xml:space="preserve">  </w:t>
            </w:r>
            <w:r>
              <w:rPr>
                <w:rFonts w:hint="eastAsia"/>
                <w:b w:val="0"/>
                <w:sz w:val="21"/>
                <w:szCs w:val="21"/>
                <w:lang w:val="en-US" w:eastAsia="zh-CN"/>
              </w:rPr>
              <w:t>0.16</w:t>
            </w:r>
            <w:r>
              <w:rPr>
                <w:b w:val="0"/>
                <w:sz w:val="21"/>
                <w:szCs w:val="21"/>
              </w:rPr>
              <w:t xml:space="preserve">  </w:t>
            </w:r>
            <w:r>
              <w:rPr>
                <w:rFonts w:hint="eastAsia"/>
                <w:b w:val="0"/>
                <w:sz w:val="21"/>
                <w:szCs w:val="21"/>
                <w:lang w:val="en-US" w:eastAsia="zh-CN"/>
              </w:rPr>
              <w:t>0.17</w:t>
            </w:r>
            <w:r>
              <w:rPr>
                <w:b w:val="0"/>
                <w:sz w:val="21"/>
                <w:szCs w:val="21"/>
              </w:rPr>
              <w:t xml:space="preserve">  </w:t>
            </w:r>
            <w:r>
              <w:rPr>
                <w:rFonts w:hint="eastAsia"/>
                <w:b w:val="0"/>
                <w:sz w:val="21"/>
                <w:szCs w:val="21"/>
                <w:lang w:val="en-US" w:eastAsia="zh-CN"/>
              </w:rPr>
              <w:t>0.20</w:t>
            </w:r>
            <w:r>
              <w:rPr>
                <w:b w:val="0"/>
                <w:sz w:val="21"/>
                <w:szCs w:val="21"/>
              </w:rPr>
              <w:t xml:space="preserve">  </w:t>
            </w:r>
            <w:r>
              <w:rPr>
                <w:rFonts w:hint="eastAsia"/>
                <w:b w:val="0"/>
                <w:sz w:val="21"/>
                <w:szCs w:val="21"/>
                <w:lang w:val="en-US" w:eastAsia="zh-CN"/>
              </w:rPr>
              <w:t>0.16  0.18</w:t>
            </w:r>
            <w:r>
              <w:rPr>
                <w:b w:val="0"/>
                <w:sz w:val="21"/>
                <w:szCs w:val="21"/>
              </w:rPr>
              <w:t xml:space="preserve">  </w:t>
            </w:r>
            <w:r>
              <w:rPr>
                <w:rFonts w:hint="eastAsia"/>
                <w:b w:val="0"/>
                <w:sz w:val="21"/>
                <w:szCs w:val="21"/>
                <w:lang w:val="en-US" w:eastAsia="zh-CN"/>
              </w:rPr>
              <w:t>0.17  0.18</w:t>
            </w:r>
          </w:p>
        </w:tc>
        <w:tc>
          <w:tcPr>
            <w:tcW w:w="846" w:type="dxa"/>
            <w:vAlign w:val="center"/>
          </w:tcPr>
          <w:p w14:paraId="469E3C81">
            <w:pPr>
              <w:jc w:val="center"/>
              <w:rPr>
                <w:rFonts w:hint="default"/>
                <w:b w:val="0"/>
                <w:sz w:val="21"/>
                <w:szCs w:val="21"/>
                <w:lang w:val="en-US"/>
              </w:rPr>
            </w:pPr>
            <w:r>
              <w:rPr>
                <w:rFonts w:hint="eastAsia"/>
                <w:b w:val="0"/>
                <w:sz w:val="21"/>
                <w:szCs w:val="21"/>
                <w:lang w:val="en-US" w:eastAsia="zh-CN"/>
              </w:rPr>
              <w:t>0.17</w:t>
            </w:r>
          </w:p>
        </w:tc>
        <w:tc>
          <w:tcPr>
            <w:tcW w:w="946" w:type="dxa"/>
            <w:vAlign w:val="center"/>
          </w:tcPr>
          <w:p w14:paraId="3F83FAA1">
            <w:pPr>
              <w:jc w:val="center"/>
              <w:rPr>
                <w:rFonts w:hint="default"/>
                <w:b w:val="0"/>
                <w:sz w:val="21"/>
                <w:szCs w:val="21"/>
                <w:lang w:val="en-US"/>
              </w:rPr>
            </w:pPr>
            <w:r>
              <w:rPr>
                <w:b w:val="0"/>
                <w:sz w:val="21"/>
                <w:szCs w:val="21"/>
              </w:rPr>
              <w:t>0.</w:t>
            </w:r>
            <w:r>
              <w:rPr>
                <w:rFonts w:hint="eastAsia"/>
                <w:b w:val="0"/>
                <w:sz w:val="21"/>
                <w:szCs w:val="21"/>
                <w:lang w:val="en-US" w:eastAsia="zh-CN"/>
              </w:rPr>
              <w:t>013</w:t>
            </w:r>
          </w:p>
        </w:tc>
        <w:tc>
          <w:tcPr>
            <w:tcW w:w="946" w:type="dxa"/>
            <w:vAlign w:val="center"/>
          </w:tcPr>
          <w:p w14:paraId="4532BD31">
            <w:pPr>
              <w:jc w:val="center"/>
              <w:rPr>
                <w:rFonts w:hint="default" w:eastAsia="宋体"/>
                <w:b w:val="0"/>
                <w:sz w:val="21"/>
                <w:szCs w:val="21"/>
                <w:lang w:val="en-US" w:eastAsia="zh-CN"/>
              </w:rPr>
            </w:pPr>
            <w:r>
              <w:rPr>
                <w:rFonts w:hint="eastAsia"/>
                <w:b w:val="0"/>
                <w:sz w:val="21"/>
                <w:szCs w:val="21"/>
                <w:lang w:val="en-US" w:eastAsia="zh-CN"/>
              </w:rPr>
              <w:t>7.56</w:t>
            </w:r>
          </w:p>
        </w:tc>
      </w:tr>
      <w:tr w14:paraId="4B4AD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20" w:type="dxa"/>
            <w:vMerge w:val="continue"/>
            <w:vAlign w:val="center"/>
          </w:tcPr>
          <w:p w14:paraId="3EAD70EA">
            <w:pPr>
              <w:rPr>
                <w:b w:val="0"/>
                <w:sz w:val="21"/>
                <w:szCs w:val="21"/>
              </w:rPr>
            </w:pPr>
          </w:p>
        </w:tc>
        <w:tc>
          <w:tcPr>
            <w:tcW w:w="741" w:type="dxa"/>
            <w:vAlign w:val="center"/>
          </w:tcPr>
          <w:p w14:paraId="1ED19049">
            <w:pPr>
              <w:jc w:val="center"/>
              <w:rPr>
                <w:b w:val="0"/>
                <w:sz w:val="21"/>
                <w:szCs w:val="21"/>
              </w:rPr>
            </w:pPr>
            <w:r>
              <w:rPr>
                <w:b w:val="0"/>
                <w:sz w:val="21"/>
                <w:szCs w:val="21"/>
              </w:rPr>
              <w:t>B002</w:t>
            </w:r>
          </w:p>
        </w:tc>
        <w:tc>
          <w:tcPr>
            <w:tcW w:w="4436" w:type="dxa"/>
            <w:vAlign w:val="center"/>
          </w:tcPr>
          <w:p w14:paraId="6898FABD">
            <w:pPr>
              <w:tabs>
                <w:tab w:val="left" w:pos="840"/>
              </w:tabs>
              <w:snapToGrid w:val="0"/>
              <w:spacing w:line="276" w:lineRule="auto"/>
              <w:jc w:val="left"/>
              <w:rPr>
                <w:rFonts w:hint="default"/>
                <w:b w:val="0"/>
                <w:sz w:val="21"/>
                <w:szCs w:val="21"/>
                <w:lang w:val="en-US"/>
              </w:rPr>
            </w:pPr>
            <w:r>
              <w:rPr>
                <w:rFonts w:hint="eastAsia"/>
                <w:b w:val="0"/>
                <w:sz w:val="21"/>
                <w:szCs w:val="21"/>
                <w:lang w:val="en-US" w:eastAsia="zh-CN"/>
              </w:rPr>
              <w:t>0.26</w:t>
            </w:r>
            <w:r>
              <w:rPr>
                <w:b w:val="0"/>
                <w:sz w:val="21"/>
                <w:szCs w:val="21"/>
              </w:rPr>
              <w:t xml:space="preserve">  </w:t>
            </w:r>
            <w:r>
              <w:rPr>
                <w:rFonts w:hint="eastAsia"/>
                <w:b w:val="0"/>
                <w:sz w:val="21"/>
                <w:szCs w:val="21"/>
                <w:lang w:val="en-US" w:eastAsia="zh-CN"/>
              </w:rPr>
              <w:t>0.32</w:t>
            </w:r>
            <w:r>
              <w:rPr>
                <w:b w:val="0"/>
                <w:sz w:val="21"/>
                <w:szCs w:val="21"/>
              </w:rPr>
              <w:t xml:space="preserve">  </w:t>
            </w:r>
            <w:r>
              <w:rPr>
                <w:rFonts w:hint="eastAsia"/>
                <w:b w:val="0"/>
                <w:sz w:val="21"/>
                <w:szCs w:val="21"/>
                <w:lang w:val="en-US" w:eastAsia="zh-CN"/>
              </w:rPr>
              <w:t>0.34</w:t>
            </w:r>
            <w:r>
              <w:rPr>
                <w:b w:val="0"/>
                <w:sz w:val="21"/>
                <w:szCs w:val="21"/>
              </w:rPr>
              <w:t xml:space="preserve">  </w:t>
            </w:r>
            <w:r>
              <w:rPr>
                <w:rFonts w:hint="eastAsia"/>
                <w:b w:val="0"/>
                <w:sz w:val="21"/>
                <w:szCs w:val="21"/>
                <w:lang w:val="en-US" w:eastAsia="zh-CN"/>
              </w:rPr>
              <w:t>0.33</w:t>
            </w:r>
            <w:r>
              <w:rPr>
                <w:b w:val="0"/>
                <w:sz w:val="21"/>
                <w:szCs w:val="21"/>
              </w:rPr>
              <w:t xml:space="preserve">  </w:t>
            </w:r>
            <w:r>
              <w:rPr>
                <w:rFonts w:hint="eastAsia"/>
                <w:b w:val="0"/>
                <w:sz w:val="21"/>
                <w:szCs w:val="21"/>
                <w:lang w:val="en-US" w:eastAsia="zh-CN"/>
              </w:rPr>
              <w:t>0.33</w:t>
            </w:r>
            <w:r>
              <w:rPr>
                <w:b w:val="0"/>
                <w:sz w:val="21"/>
                <w:szCs w:val="21"/>
              </w:rPr>
              <w:t xml:space="preserve">  </w:t>
            </w:r>
            <w:r>
              <w:rPr>
                <w:rFonts w:hint="eastAsia"/>
                <w:b w:val="0"/>
                <w:sz w:val="21"/>
                <w:szCs w:val="21"/>
                <w:lang w:val="en-US" w:eastAsia="zh-CN"/>
              </w:rPr>
              <w:t>0.33  0.33</w:t>
            </w:r>
            <w:r>
              <w:rPr>
                <w:b w:val="0"/>
                <w:sz w:val="21"/>
                <w:szCs w:val="21"/>
              </w:rPr>
              <w:t xml:space="preserve">  </w:t>
            </w:r>
            <w:r>
              <w:rPr>
                <w:rFonts w:hint="eastAsia"/>
                <w:b w:val="0"/>
                <w:sz w:val="21"/>
                <w:szCs w:val="21"/>
                <w:lang w:val="en-US" w:eastAsia="zh-CN"/>
              </w:rPr>
              <w:t>0.26  0.30</w:t>
            </w:r>
          </w:p>
        </w:tc>
        <w:tc>
          <w:tcPr>
            <w:tcW w:w="846" w:type="dxa"/>
            <w:vAlign w:val="center"/>
          </w:tcPr>
          <w:p w14:paraId="4FD803AB">
            <w:pPr>
              <w:jc w:val="center"/>
              <w:rPr>
                <w:rFonts w:hint="default"/>
                <w:b w:val="0"/>
                <w:sz w:val="21"/>
                <w:szCs w:val="21"/>
                <w:lang w:val="en-US"/>
              </w:rPr>
            </w:pPr>
            <w:r>
              <w:rPr>
                <w:rFonts w:hint="eastAsia"/>
                <w:b w:val="0"/>
                <w:sz w:val="21"/>
                <w:szCs w:val="21"/>
                <w:lang w:val="en-US" w:eastAsia="zh-CN"/>
              </w:rPr>
              <w:t>0.31</w:t>
            </w:r>
          </w:p>
        </w:tc>
        <w:tc>
          <w:tcPr>
            <w:tcW w:w="946" w:type="dxa"/>
            <w:vAlign w:val="center"/>
          </w:tcPr>
          <w:p w14:paraId="2D119D40">
            <w:pPr>
              <w:jc w:val="center"/>
              <w:rPr>
                <w:rFonts w:hint="default"/>
                <w:b w:val="0"/>
                <w:sz w:val="21"/>
                <w:szCs w:val="21"/>
                <w:lang w:val="en-US"/>
              </w:rPr>
            </w:pPr>
            <w:r>
              <w:rPr>
                <w:b w:val="0"/>
                <w:sz w:val="21"/>
                <w:szCs w:val="21"/>
              </w:rPr>
              <w:t>0.</w:t>
            </w:r>
            <w:r>
              <w:rPr>
                <w:rFonts w:hint="eastAsia"/>
                <w:b w:val="0"/>
                <w:sz w:val="21"/>
                <w:szCs w:val="21"/>
                <w:lang w:val="en-US" w:eastAsia="zh-CN"/>
              </w:rPr>
              <w:t>031</w:t>
            </w:r>
          </w:p>
        </w:tc>
        <w:tc>
          <w:tcPr>
            <w:tcW w:w="946" w:type="dxa"/>
            <w:vAlign w:val="center"/>
          </w:tcPr>
          <w:p w14:paraId="17CA69D5">
            <w:pPr>
              <w:jc w:val="center"/>
              <w:rPr>
                <w:rFonts w:hint="default" w:eastAsia="宋体"/>
                <w:b w:val="0"/>
                <w:sz w:val="21"/>
                <w:szCs w:val="21"/>
                <w:lang w:val="en-US" w:eastAsia="zh-CN"/>
              </w:rPr>
            </w:pPr>
            <w:r>
              <w:rPr>
                <w:rFonts w:hint="eastAsia"/>
                <w:b w:val="0"/>
                <w:sz w:val="21"/>
                <w:szCs w:val="21"/>
                <w:lang w:val="en-US" w:eastAsia="zh-CN"/>
              </w:rPr>
              <w:t>9.97</w:t>
            </w:r>
          </w:p>
        </w:tc>
      </w:tr>
      <w:tr w14:paraId="0E6926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20" w:type="dxa"/>
            <w:vMerge w:val="continue"/>
            <w:vAlign w:val="center"/>
          </w:tcPr>
          <w:p w14:paraId="106AA1A9">
            <w:pPr>
              <w:rPr>
                <w:b w:val="0"/>
                <w:sz w:val="21"/>
                <w:szCs w:val="21"/>
              </w:rPr>
            </w:pPr>
          </w:p>
        </w:tc>
        <w:tc>
          <w:tcPr>
            <w:tcW w:w="741" w:type="dxa"/>
            <w:vAlign w:val="center"/>
          </w:tcPr>
          <w:p w14:paraId="65C89A0C">
            <w:pPr>
              <w:jc w:val="center"/>
              <w:rPr>
                <w:b w:val="0"/>
                <w:sz w:val="21"/>
                <w:szCs w:val="21"/>
              </w:rPr>
            </w:pPr>
            <w:r>
              <w:rPr>
                <w:b w:val="0"/>
                <w:sz w:val="21"/>
                <w:szCs w:val="21"/>
              </w:rPr>
              <w:t>B003</w:t>
            </w:r>
          </w:p>
        </w:tc>
        <w:tc>
          <w:tcPr>
            <w:tcW w:w="4436" w:type="dxa"/>
            <w:vAlign w:val="center"/>
          </w:tcPr>
          <w:p w14:paraId="096B299B">
            <w:pPr>
              <w:tabs>
                <w:tab w:val="left" w:pos="840"/>
              </w:tabs>
              <w:snapToGrid w:val="0"/>
              <w:spacing w:line="276" w:lineRule="auto"/>
              <w:jc w:val="left"/>
              <w:rPr>
                <w:rFonts w:hint="default"/>
                <w:b w:val="0"/>
                <w:sz w:val="21"/>
                <w:szCs w:val="21"/>
                <w:lang w:val="en-US"/>
              </w:rPr>
            </w:pPr>
            <w:r>
              <w:rPr>
                <w:rFonts w:hint="eastAsia"/>
                <w:b w:val="0"/>
                <w:sz w:val="21"/>
                <w:szCs w:val="21"/>
                <w:lang w:val="en-US" w:eastAsia="zh-CN"/>
              </w:rPr>
              <w:t>1.19</w:t>
            </w:r>
            <w:r>
              <w:rPr>
                <w:b w:val="0"/>
                <w:sz w:val="21"/>
                <w:szCs w:val="21"/>
              </w:rPr>
              <w:t xml:space="preserve">  </w:t>
            </w:r>
            <w:r>
              <w:rPr>
                <w:rFonts w:hint="eastAsia"/>
                <w:b w:val="0"/>
                <w:sz w:val="21"/>
                <w:szCs w:val="21"/>
                <w:lang w:val="en-US" w:eastAsia="zh-CN"/>
              </w:rPr>
              <w:t>1.18</w:t>
            </w:r>
            <w:r>
              <w:rPr>
                <w:b w:val="0"/>
                <w:sz w:val="21"/>
                <w:szCs w:val="21"/>
              </w:rPr>
              <w:t xml:space="preserve">  </w:t>
            </w:r>
            <w:r>
              <w:rPr>
                <w:rFonts w:hint="eastAsia"/>
                <w:b w:val="0"/>
                <w:sz w:val="21"/>
                <w:szCs w:val="21"/>
                <w:lang w:val="en-US" w:eastAsia="zh-CN"/>
              </w:rPr>
              <w:t>1.16</w:t>
            </w:r>
            <w:r>
              <w:rPr>
                <w:b w:val="0"/>
                <w:sz w:val="21"/>
                <w:szCs w:val="21"/>
              </w:rPr>
              <w:t xml:space="preserve">  </w:t>
            </w:r>
            <w:r>
              <w:rPr>
                <w:rFonts w:hint="eastAsia"/>
                <w:b w:val="0"/>
                <w:sz w:val="21"/>
                <w:szCs w:val="21"/>
                <w:lang w:val="en-US" w:eastAsia="zh-CN"/>
              </w:rPr>
              <w:t>1.18</w:t>
            </w:r>
            <w:r>
              <w:rPr>
                <w:b w:val="0"/>
                <w:sz w:val="21"/>
                <w:szCs w:val="21"/>
              </w:rPr>
              <w:t xml:space="preserve">  </w:t>
            </w:r>
            <w:r>
              <w:rPr>
                <w:rFonts w:hint="eastAsia"/>
                <w:b w:val="0"/>
                <w:sz w:val="21"/>
                <w:szCs w:val="21"/>
                <w:lang w:val="en-US" w:eastAsia="zh-CN"/>
              </w:rPr>
              <w:t>1.19</w:t>
            </w:r>
            <w:r>
              <w:rPr>
                <w:b w:val="0"/>
                <w:sz w:val="21"/>
                <w:szCs w:val="21"/>
              </w:rPr>
              <w:t xml:space="preserve">  </w:t>
            </w:r>
            <w:r>
              <w:rPr>
                <w:rFonts w:hint="eastAsia"/>
                <w:b w:val="0"/>
                <w:sz w:val="21"/>
                <w:szCs w:val="21"/>
                <w:lang w:val="en-US" w:eastAsia="zh-CN"/>
              </w:rPr>
              <w:t>1.20  1.21</w:t>
            </w:r>
            <w:r>
              <w:rPr>
                <w:b w:val="0"/>
                <w:sz w:val="21"/>
                <w:szCs w:val="21"/>
              </w:rPr>
              <w:t xml:space="preserve">  </w:t>
            </w:r>
            <w:r>
              <w:rPr>
                <w:rFonts w:hint="eastAsia"/>
                <w:b w:val="0"/>
                <w:sz w:val="21"/>
                <w:szCs w:val="21"/>
                <w:lang w:val="en-US" w:eastAsia="zh-CN"/>
              </w:rPr>
              <w:t>1.19  1.17</w:t>
            </w:r>
          </w:p>
        </w:tc>
        <w:tc>
          <w:tcPr>
            <w:tcW w:w="846" w:type="dxa"/>
            <w:vAlign w:val="center"/>
          </w:tcPr>
          <w:p w14:paraId="6F27C2F9">
            <w:pPr>
              <w:jc w:val="center"/>
              <w:rPr>
                <w:rFonts w:hint="default"/>
                <w:b w:val="0"/>
                <w:sz w:val="21"/>
                <w:szCs w:val="21"/>
                <w:lang w:val="en-US"/>
              </w:rPr>
            </w:pPr>
            <w:r>
              <w:rPr>
                <w:rFonts w:hint="eastAsia"/>
                <w:b w:val="0"/>
                <w:sz w:val="21"/>
                <w:szCs w:val="21"/>
                <w:lang w:val="en-US" w:eastAsia="zh-CN"/>
              </w:rPr>
              <w:t>1.19</w:t>
            </w:r>
          </w:p>
        </w:tc>
        <w:tc>
          <w:tcPr>
            <w:tcW w:w="946" w:type="dxa"/>
            <w:vAlign w:val="center"/>
          </w:tcPr>
          <w:p w14:paraId="636FB5FA">
            <w:pPr>
              <w:jc w:val="center"/>
              <w:rPr>
                <w:rFonts w:hint="default"/>
                <w:b w:val="0"/>
                <w:sz w:val="21"/>
                <w:szCs w:val="21"/>
                <w:lang w:val="en-US"/>
              </w:rPr>
            </w:pPr>
            <w:r>
              <w:rPr>
                <w:b w:val="0"/>
                <w:sz w:val="21"/>
                <w:szCs w:val="21"/>
              </w:rPr>
              <w:t>0.</w:t>
            </w:r>
            <w:r>
              <w:rPr>
                <w:rFonts w:hint="eastAsia"/>
                <w:b w:val="0"/>
                <w:sz w:val="21"/>
                <w:szCs w:val="21"/>
                <w:lang w:val="en-US" w:eastAsia="zh-CN"/>
              </w:rPr>
              <w:t>015</w:t>
            </w:r>
          </w:p>
        </w:tc>
        <w:tc>
          <w:tcPr>
            <w:tcW w:w="946" w:type="dxa"/>
            <w:vAlign w:val="center"/>
          </w:tcPr>
          <w:p w14:paraId="4FA52AD6">
            <w:pPr>
              <w:jc w:val="center"/>
              <w:rPr>
                <w:rFonts w:hint="default" w:eastAsia="宋体"/>
                <w:b w:val="0"/>
                <w:sz w:val="21"/>
                <w:szCs w:val="21"/>
                <w:lang w:val="en-US" w:eastAsia="zh-CN"/>
              </w:rPr>
            </w:pPr>
            <w:r>
              <w:rPr>
                <w:rFonts w:hint="eastAsia" w:eastAsia="宋体"/>
                <w:b w:val="0"/>
                <w:sz w:val="21"/>
                <w:szCs w:val="21"/>
                <w:lang w:val="en-US" w:eastAsia="zh-CN"/>
              </w:rPr>
              <w:t>1.27</w:t>
            </w:r>
          </w:p>
        </w:tc>
      </w:tr>
      <w:tr w14:paraId="60701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20" w:type="dxa"/>
            <w:vMerge w:val="restart"/>
            <w:shd w:val="clear" w:color="auto" w:fill="auto"/>
            <w:vAlign w:val="center"/>
          </w:tcPr>
          <w:p w14:paraId="72FB2AD3">
            <w:pPr>
              <w:rPr>
                <w:rFonts w:ascii="Times New Roman" w:hAnsi="Times New Roman" w:eastAsia="宋体" w:cs="Times New Roman"/>
                <w:b w:val="0"/>
                <w:kern w:val="2"/>
                <w:sz w:val="21"/>
                <w:szCs w:val="21"/>
                <w:lang w:val="en-US" w:eastAsia="zh-CN" w:bidi="ar-SA"/>
              </w:rPr>
            </w:pPr>
            <w:r>
              <w:rPr>
                <w:b w:val="0"/>
                <w:sz w:val="21"/>
                <w:szCs w:val="21"/>
              </w:rPr>
              <w:t>国标（北京）检验认证有限公司</w:t>
            </w:r>
          </w:p>
        </w:tc>
        <w:tc>
          <w:tcPr>
            <w:tcW w:w="741" w:type="dxa"/>
            <w:vAlign w:val="center"/>
          </w:tcPr>
          <w:p w14:paraId="28A6E008">
            <w:pPr>
              <w:jc w:val="center"/>
              <w:rPr>
                <w:b w:val="0"/>
                <w:sz w:val="21"/>
                <w:szCs w:val="21"/>
              </w:rPr>
            </w:pPr>
            <w:r>
              <w:rPr>
                <w:b w:val="0"/>
                <w:sz w:val="21"/>
                <w:szCs w:val="21"/>
              </w:rPr>
              <w:t>B001</w:t>
            </w:r>
          </w:p>
        </w:tc>
        <w:tc>
          <w:tcPr>
            <w:tcW w:w="4436" w:type="dxa"/>
            <w:vAlign w:val="center"/>
          </w:tcPr>
          <w:p w14:paraId="24ED64A8">
            <w:pPr>
              <w:tabs>
                <w:tab w:val="left" w:pos="840"/>
              </w:tabs>
              <w:snapToGrid w:val="0"/>
              <w:spacing w:line="276" w:lineRule="auto"/>
              <w:jc w:val="left"/>
              <w:rPr>
                <w:rFonts w:hint="default"/>
                <w:b w:val="0"/>
                <w:sz w:val="21"/>
                <w:szCs w:val="21"/>
                <w:lang w:val="en-US"/>
              </w:rPr>
            </w:pPr>
            <w:r>
              <w:rPr>
                <w:rFonts w:hint="eastAsia"/>
                <w:b w:val="0"/>
                <w:sz w:val="21"/>
                <w:szCs w:val="21"/>
                <w:lang w:val="en-US" w:eastAsia="zh-CN"/>
              </w:rPr>
              <w:t>0.15</w:t>
            </w:r>
            <w:r>
              <w:rPr>
                <w:b w:val="0"/>
                <w:sz w:val="21"/>
                <w:szCs w:val="21"/>
              </w:rPr>
              <w:t xml:space="preserve">  </w:t>
            </w:r>
            <w:r>
              <w:rPr>
                <w:rFonts w:hint="eastAsia"/>
                <w:b w:val="0"/>
                <w:sz w:val="21"/>
                <w:szCs w:val="21"/>
                <w:lang w:val="en-US" w:eastAsia="zh-CN"/>
              </w:rPr>
              <w:t>0.16</w:t>
            </w:r>
            <w:r>
              <w:rPr>
                <w:b w:val="0"/>
                <w:sz w:val="21"/>
                <w:szCs w:val="21"/>
              </w:rPr>
              <w:t xml:space="preserve">  </w:t>
            </w:r>
            <w:r>
              <w:rPr>
                <w:rFonts w:hint="eastAsia"/>
                <w:b w:val="0"/>
                <w:sz w:val="21"/>
                <w:szCs w:val="21"/>
                <w:lang w:val="en-US" w:eastAsia="zh-CN"/>
              </w:rPr>
              <w:t>0.18</w:t>
            </w:r>
            <w:r>
              <w:rPr>
                <w:b w:val="0"/>
                <w:sz w:val="21"/>
                <w:szCs w:val="21"/>
              </w:rPr>
              <w:t xml:space="preserve">  </w:t>
            </w:r>
            <w:r>
              <w:rPr>
                <w:rFonts w:hint="eastAsia"/>
                <w:b w:val="0"/>
                <w:sz w:val="21"/>
                <w:szCs w:val="21"/>
                <w:lang w:val="en-US" w:eastAsia="zh-CN"/>
              </w:rPr>
              <w:t>0.17</w:t>
            </w:r>
            <w:r>
              <w:rPr>
                <w:b w:val="0"/>
                <w:sz w:val="21"/>
                <w:szCs w:val="21"/>
              </w:rPr>
              <w:t xml:space="preserve">  </w:t>
            </w:r>
            <w:r>
              <w:rPr>
                <w:rFonts w:hint="eastAsia"/>
                <w:b w:val="0"/>
                <w:sz w:val="21"/>
                <w:szCs w:val="21"/>
                <w:lang w:val="en-US" w:eastAsia="zh-CN"/>
              </w:rPr>
              <w:t>0.15</w:t>
            </w:r>
            <w:r>
              <w:rPr>
                <w:b w:val="0"/>
                <w:sz w:val="21"/>
                <w:szCs w:val="21"/>
              </w:rPr>
              <w:t xml:space="preserve">  </w:t>
            </w:r>
            <w:r>
              <w:rPr>
                <w:rFonts w:hint="eastAsia"/>
                <w:b w:val="0"/>
                <w:sz w:val="21"/>
                <w:szCs w:val="21"/>
                <w:lang w:val="en-US" w:eastAsia="zh-CN"/>
              </w:rPr>
              <w:t>0.18  0.18</w:t>
            </w:r>
            <w:r>
              <w:rPr>
                <w:b w:val="0"/>
                <w:sz w:val="21"/>
                <w:szCs w:val="21"/>
              </w:rPr>
              <w:t xml:space="preserve">  </w:t>
            </w:r>
            <w:r>
              <w:rPr>
                <w:rFonts w:hint="eastAsia"/>
                <w:b w:val="0"/>
                <w:sz w:val="21"/>
                <w:szCs w:val="21"/>
                <w:lang w:val="en-US" w:eastAsia="zh-CN"/>
              </w:rPr>
              <w:t>0.17  0.16</w:t>
            </w:r>
          </w:p>
        </w:tc>
        <w:tc>
          <w:tcPr>
            <w:tcW w:w="846" w:type="dxa"/>
            <w:vAlign w:val="center"/>
          </w:tcPr>
          <w:p w14:paraId="423B3B07">
            <w:pPr>
              <w:jc w:val="center"/>
              <w:rPr>
                <w:rFonts w:hint="default"/>
                <w:b w:val="0"/>
                <w:sz w:val="21"/>
                <w:szCs w:val="21"/>
                <w:lang w:val="en-US"/>
              </w:rPr>
            </w:pPr>
            <w:r>
              <w:rPr>
                <w:rFonts w:hint="eastAsia"/>
                <w:b w:val="0"/>
                <w:sz w:val="21"/>
                <w:szCs w:val="21"/>
                <w:lang w:val="en-US" w:eastAsia="zh-CN"/>
              </w:rPr>
              <w:t>0.17</w:t>
            </w:r>
          </w:p>
        </w:tc>
        <w:tc>
          <w:tcPr>
            <w:tcW w:w="946" w:type="dxa"/>
            <w:vAlign w:val="center"/>
          </w:tcPr>
          <w:p w14:paraId="755445A5">
            <w:pPr>
              <w:jc w:val="center"/>
              <w:rPr>
                <w:rFonts w:hint="default"/>
                <w:b w:val="0"/>
                <w:sz w:val="21"/>
                <w:szCs w:val="21"/>
                <w:lang w:val="en-US"/>
              </w:rPr>
            </w:pPr>
            <w:r>
              <w:rPr>
                <w:b w:val="0"/>
                <w:sz w:val="21"/>
                <w:szCs w:val="21"/>
              </w:rPr>
              <w:t>0.</w:t>
            </w:r>
            <w:r>
              <w:rPr>
                <w:rFonts w:hint="eastAsia"/>
                <w:b w:val="0"/>
                <w:sz w:val="21"/>
                <w:szCs w:val="21"/>
                <w:lang w:val="en-US" w:eastAsia="zh-CN"/>
              </w:rPr>
              <w:t>012</w:t>
            </w:r>
          </w:p>
        </w:tc>
        <w:tc>
          <w:tcPr>
            <w:tcW w:w="946" w:type="dxa"/>
            <w:vAlign w:val="center"/>
          </w:tcPr>
          <w:p w14:paraId="3D00BD6F">
            <w:pPr>
              <w:jc w:val="center"/>
              <w:rPr>
                <w:rFonts w:hint="default" w:eastAsia="宋体"/>
                <w:b w:val="0"/>
                <w:sz w:val="21"/>
                <w:szCs w:val="21"/>
                <w:lang w:val="en-US" w:eastAsia="zh-CN"/>
              </w:rPr>
            </w:pPr>
            <w:r>
              <w:rPr>
                <w:rFonts w:hint="eastAsia"/>
                <w:b w:val="0"/>
                <w:sz w:val="21"/>
                <w:szCs w:val="21"/>
                <w:lang w:val="en-US" w:eastAsia="zh-CN"/>
              </w:rPr>
              <w:t>7.35</w:t>
            </w:r>
          </w:p>
        </w:tc>
      </w:tr>
      <w:tr w14:paraId="15ACE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20" w:type="dxa"/>
            <w:vMerge w:val="continue"/>
            <w:vAlign w:val="center"/>
          </w:tcPr>
          <w:p w14:paraId="46B3ABEF">
            <w:pPr>
              <w:rPr>
                <w:b w:val="0"/>
                <w:sz w:val="21"/>
                <w:szCs w:val="21"/>
              </w:rPr>
            </w:pPr>
          </w:p>
        </w:tc>
        <w:tc>
          <w:tcPr>
            <w:tcW w:w="741" w:type="dxa"/>
            <w:vAlign w:val="center"/>
          </w:tcPr>
          <w:p w14:paraId="75D7C637">
            <w:pPr>
              <w:jc w:val="center"/>
              <w:rPr>
                <w:b w:val="0"/>
                <w:sz w:val="21"/>
                <w:szCs w:val="21"/>
              </w:rPr>
            </w:pPr>
            <w:r>
              <w:rPr>
                <w:b w:val="0"/>
                <w:sz w:val="21"/>
                <w:szCs w:val="21"/>
              </w:rPr>
              <w:t>B002</w:t>
            </w:r>
          </w:p>
        </w:tc>
        <w:tc>
          <w:tcPr>
            <w:tcW w:w="4436" w:type="dxa"/>
            <w:vAlign w:val="center"/>
          </w:tcPr>
          <w:p w14:paraId="71DC1660">
            <w:pPr>
              <w:tabs>
                <w:tab w:val="left" w:pos="840"/>
              </w:tabs>
              <w:snapToGrid w:val="0"/>
              <w:spacing w:line="276" w:lineRule="auto"/>
              <w:jc w:val="left"/>
              <w:rPr>
                <w:b w:val="0"/>
                <w:sz w:val="21"/>
                <w:szCs w:val="21"/>
              </w:rPr>
            </w:pPr>
            <w:r>
              <w:rPr>
                <w:rFonts w:hint="eastAsia"/>
                <w:b w:val="0"/>
                <w:sz w:val="21"/>
                <w:szCs w:val="21"/>
                <w:lang w:val="en-US" w:eastAsia="zh-CN"/>
              </w:rPr>
              <w:t>0.32</w:t>
            </w:r>
            <w:r>
              <w:rPr>
                <w:b w:val="0"/>
                <w:sz w:val="21"/>
                <w:szCs w:val="21"/>
              </w:rPr>
              <w:t xml:space="preserve">  </w:t>
            </w:r>
            <w:r>
              <w:rPr>
                <w:rFonts w:hint="eastAsia"/>
                <w:b w:val="0"/>
                <w:sz w:val="21"/>
                <w:szCs w:val="21"/>
                <w:lang w:val="en-US" w:eastAsia="zh-CN"/>
              </w:rPr>
              <w:t>0.27</w:t>
            </w:r>
            <w:r>
              <w:rPr>
                <w:b w:val="0"/>
                <w:sz w:val="21"/>
                <w:szCs w:val="21"/>
              </w:rPr>
              <w:t xml:space="preserve">  </w:t>
            </w:r>
            <w:r>
              <w:rPr>
                <w:rFonts w:hint="eastAsia"/>
                <w:b w:val="0"/>
                <w:sz w:val="21"/>
                <w:szCs w:val="21"/>
                <w:lang w:val="en-US" w:eastAsia="zh-CN"/>
              </w:rPr>
              <w:t>0.26</w:t>
            </w:r>
            <w:r>
              <w:rPr>
                <w:b w:val="0"/>
                <w:sz w:val="21"/>
                <w:szCs w:val="21"/>
              </w:rPr>
              <w:t xml:space="preserve">  </w:t>
            </w:r>
            <w:r>
              <w:rPr>
                <w:rFonts w:hint="eastAsia"/>
                <w:b w:val="0"/>
                <w:sz w:val="21"/>
                <w:szCs w:val="21"/>
                <w:lang w:val="en-US" w:eastAsia="zh-CN"/>
              </w:rPr>
              <w:t>0.29</w:t>
            </w:r>
            <w:r>
              <w:rPr>
                <w:b w:val="0"/>
                <w:sz w:val="21"/>
                <w:szCs w:val="21"/>
              </w:rPr>
              <w:t xml:space="preserve">  </w:t>
            </w:r>
            <w:r>
              <w:rPr>
                <w:rFonts w:hint="eastAsia"/>
                <w:b w:val="0"/>
                <w:sz w:val="21"/>
                <w:szCs w:val="21"/>
                <w:lang w:val="en-US" w:eastAsia="zh-CN"/>
              </w:rPr>
              <w:t>0.25</w:t>
            </w:r>
            <w:r>
              <w:rPr>
                <w:b w:val="0"/>
                <w:sz w:val="21"/>
                <w:szCs w:val="21"/>
              </w:rPr>
              <w:t xml:space="preserve">  </w:t>
            </w:r>
            <w:r>
              <w:rPr>
                <w:rFonts w:hint="eastAsia"/>
                <w:b w:val="0"/>
                <w:sz w:val="21"/>
                <w:szCs w:val="21"/>
                <w:lang w:val="en-US" w:eastAsia="zh-CN"/>
              </w:rPr>
              <w:t>0.27  0.31</w:t>
            </w:r>
            <w:r>
              <w:rPr>
                <w:b w:val="0"/>
                <w:sz w:val="21"/>
                <w:szCs w:val="21"/>
              </w:rPr>
              <w:t xml:space="preserve">  </w:t>
            </w:r>
            <w:r>
              <w:rPr>
                <w:rFonts w:hint="eastAsia"/>
                <w:b w:val="0"/>
                <w:sz w:val="21"/>
                <w:szCs w:val="21"/>
                <w:lang w:val="en-US" w:eastAsia="zh-CN"/>
              </w:rPr>
              <w:t>0.31  0.30</w:t>
            </w:r>
          </w:p>
        </w:tc>
        <w:tc>
          <w:tcPr>
            <w:tcW w:w="846" w:type="dxa"/>
            <w:vAlign w:val="center"/>
          </w:tcPr>
          <w:p w14:paraId="23535E62">
            <w:pPr>
              <w:jc w:val="center"/>
              <w:rPr>
                <w:rFonts w:hint="default"/>
                <w:b w:val="0"/>
                <w:sz w:val="21"/>
                <w:szCs w:val="21"/>
                <w:lang w:val="en-US"/>
              </w:rPr>
            </w:pPr>
            <w:r>
              <w:rPr>
                <w:rFonts w:hint="eastAsia"/>
                <w:b w:val="0"/>
                <w:sz w:val="21"/>
                <w:szCs w:val="21"/>
                <w:lang w:val="en-US" w:eastAsia="zh-CN"/>
              </w:rPr>
              <w:t>0.29</w:t>
            </w:r>
          </w:p>
        </w:tc>
        <w:tc>
          <w:tcPr>
            <w:tcW w:w="946" w:type="dxa"/>
            <w:vAlign w:val="center"/>
          </w:tcPr>
          <w:p w14:paraId="505892AB">
            <w:pPr>
              <w:jc w:val="center"/>
              <w:rPr>
                <w:rFonts w:hint="default"/>
                <w:b w:val="0"/>
                <w:sz w:val="21"/>
                <w:szCs w:val="21"/>
                <w:lang w:val="en-US"/>
              </w:rPr>
            </w:pPr>
            <w:r>
              <w:rPr>
                <w:b w:val="0"/>
                <w:sz w:val="21"/>
                <w:szCs w:val="21"/>
              </w:rPr>
              <w:t>0.</w:t>
            </w:r>
            <w:r>
              <w:rPr>
                <w:rFonts w:hint="eastAsia"/>
                <w:b w:val="0"/>
                <w:sz w:val="21"/>
                <w:szCs w:val="21"/>
                <w:lang w:val="en-US" w:eastAsia="zh-CN"/>
              </w:rPr>
              <w:t>025</w:t>
            </w:r>
          </w:p>
        </w:tc>
        <w:tc>
          <w:tcPr>
            <w:tcW w:w="946" w:type="dxa"/>
            <w:vAlign w:val="center"/>
          </w:tcPr>
          <w:p w14:paraId="70FF8562">
            <w:pPr>
              <w:jc w:val="center"/>
              <w:rPr>
                <w:rFonts w:hint="default" w:eastAsia="宋体"/>
                <w:b w:val="0"/>
                <w:sz w:val="21"/>
                <w:szCs w:val="21"/>
                <w:lang w:val="en-US" w:eastAsia="zh-CN"/>
              </w:rPr>
            </w:pPr>
            <w:r>
              <w:rPr>
                <w:rFonts w:hint="eastAsia" w:eastAsia="宋体"/>
                <w:b w:val="0"/>
                <w:sz w:val="21"/>
                <w:szCs w:val="21"/>
                <w:lang w:val="en-US" w:eastAsia="zh-CN"/>
              </w:rPr>
              <w:t>8.72</w:t>
            </w:r>
          </w:p>
        </w:tc>
      </w:tr>
      <w:tr w14:paraId="6FADAD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20" w:type="dxa"/>
            <w:vMerge w:val="continue"/>
            <w:vAlign w:val="center"/>
          </w:tcPr>
          <w:p w14:paraId="24A3A306">
            <w:pPr>
              <w:rPr>
                <w:b w:val="0"/>
                <w:sz w:val="21"/>
                <w:szCs w:val="21"/>
              </w:rPr>
            </w:pPr>
          </w:p>
        </w:tc>
        <w:tc>
          <w:tcPr>
            <w:tcW w:w="741" w:type="dxa"/>
            <w:vAlign w:val="center"/>
          </w:tcPr>
          <w:p w14:paraId="34B1D321">
            <w:pPr>
              <w:jc w:val="center"/>
              <w:rPr>
                <w:b w:val="0"/>
                <w:sz w:val="21"/>
                <w:szCs w:val="21"/>
              </w:rPr>
            </w:pPr>
            <w:r>
              <w:rPr>
                <w:b w:val="0"/>
                <w:sz w:val="21"/>
                <w:szCs w:val="21"/>
              </w:rPr>
              <w:t>B003</w:t>
            </w:r>
          </w:p>
        </w:tc>
        <w:tc>
          <w:tcPr>
            <w:tcW w:w="4436" w:type="dxa"/>
            <w:vAlign w:val="center"/>
          </w:tcPr>
          <w:p w14:paraId="28E90F2C">
            <w:pPr>
              <w:tabs>
                <w:tab w:val="left" w:pos="840"/>
              </w:tabs>
              <w:snapToGrid w:val="0"/>
              <w:spacing w:line="276" w:lineRule="auto"/>
              <w:jc w:val="left"/>
              <w:rPr>
                <w:rFonts w:hint="default"/>
                <w:b w:val="0"/>
                <w:sz w:val="21"/>
                <w:szCs w:val="21"/>
                <w:lang w:val="en-US"/>
              </w:rPr>
            </w:pPr>
            <w:r>
              <w:rPr>
                <w:rFonts w:hint="eastAsia"/>
                <w:b w:val="0"/>
                <w:sz w:val="21"/>
                <w:szCs w:val="21"/>
                <w:lang w:val="en-US" w:eastAsia="zh-CN"/>
              </w:rPr>
              <w:t>0.97</w:t>
            </w:r>
            <w:r>
              <w:rPr>
                <w:b w:val="0"/>
                <w:sz w:val="21"/>
                <w:szCs w:val="21"/>
              </w:rPr>
              <w:t xml:space="preserve">  </w:t>
            </w:r>
            <w:r>
              <w:rPr>
                <w:rFonts w:hint="eastAsia"/>
                <w:b w:val="0"/>
                <w:sz w:val="21"/>
                <w:szCs w:val="21"/>
                <w:lang w:val="en-US" w:eastAsia="zh-CN"/>
              </w:rPr>
              <w:t>1.11</w:t>
            </w:r>
            <w:r>
              <w:rPr>
                <w:b w:val="0"/>
                <w:sz w:val="21"/>
                <w:szCs w:val="21"/>
              </w:rPr>
              <w:t xml:space="preserve">  </w:t>
            </w:r>
            <w:r>
              <w:rPr>
                <w:rFonts w:hint="eastAsia"/>
                <w:b w:val="0"/>
                <w:sz w:val="21"/>
                <w:szCs w:val="21"/>
                <w:lang w:val="en-US" w:eastAsia="zh-CN"/>
              </w:rPr>
              <w:t>0.99</w:t>
            </w:r>
            <w:r>
              <w:rPr>
                <w:b w:val="0"/>
                <w:sz w:val="21"/>
                <w:szCs w:val="21"/>
              </w:rPr>
              <w:t xml:space="preserve">  </w:t>
            </w:r>
            <w:r>
              <w:rPr>
                <w:rFonts w:hint="eastAsia"/>
                <w:b w:val="0"/>
                <w:sz w:val="21"/>
                <w:szCs w:val="21"/>
                <w:lang w:val="en-US" w:eastAsia="zh-CN"/>
              </w:rPr>
              <w:t>0.95</w:t>
            </w:r>
            <w:r>
              <w:rPr>
                <w:b w:val="0"/>
                <w:sz w:val="21"/>
                <w:szCs w:val="21"/>
              </w:rPr>
              <w:t xml:space="preserve">  </w:t>
            </w:r>
            <w:r>
              <w:rPr>
                <w:rFonts w:hint="eastAsia"/>
                <w:b w:val="0"/>
                <w:sz w:val="21"/>
                <w:szCs w:val="21"/>
                <w:lang w:val="en-US" w:eastAsia="zh-CN"/>
              </w:rPr>
              <w:t>0.97</w:t>
            </w:r>
            <w:r>
              <w:rPr>
                <w:b w:val="0"/>
                <w:sz w:val="21"/>
                <w:szCs w:val="21"/>
              </w:rPr>
              <w:t xml:space="preserve">  </w:t>
            </w:r>
            <w:r>
              <w:rPr>
                <w:rFonts w:hint="eastAsia"/>
                <w:b w:val="0"/>
                <w:sz w:val="21"/>
                <w:szCs w:val="21"/>
                <w:lang w:val="en-US" w:eastAsia="zh-CN"/>
              </w:rPr>
              <w:t>1.11  0.99</w:t>
            </w:r>
            <w:r>
              <w:rPr>
                <w:b w:val="0"/>
                <w:sz w:val="21"/>
                <w:szCs w:val="21"/>
              </w:rPr>
              <w:t xml:space="preserve">  </w:t>
            </w:r>
            <w:r>
              <w:rPr>
                <w:rFonts w:hint="eastAsia"/>
                <w:b w:val="0"/>
                <w:sz w:val="21"/>
                <w:szCs w:val="21"/>
                <w:lang w:val="en-US" w:eastAsia="zh-CN"/>
              </w:rPr>
              <w:t>1.12  1.01</w:t>
            </w:r>
          </w:p>
        </w:tc>
        <w:tc>
          <w:tcPr>
            <w:tcW w:w="846" w:type="dxa"/>
            <w:vAlign w:val="center"/>
          </w:tcPr>
          <w:p w14:paraId="0FF7E593">
            <w:pPr>
              <w:jc w:val="center"/>
              <w:rPr>
                <w:rFonts w:hint="default"/>
                <w:b w:val="0"/>
                <w:sz w:val="21"/>
                <w:szCs w:val="21"/>
                <w:lang w:val="en-US"/>
              </w:rPr>
            </w:pPr>
            <w:r>
              <w:rPr>
                <w:rFonts w:hint="eastAsia"/>
                <w:b w:val="0"/>
                <w:sz w:val="21"/>
                <w:szCs w:val="21"/>
                <w:lang w:val="en-US" w:eastAsia="zh-CN"/>
              </w:rPr>
              <w:t>1.02</w:t>
            </w:r>
          </w:p>
        </w:tc>
        <w:tc>
          <w:tcPr>
            <w:tcW w:w="946" w:type="dxa"/>
            <w:vAlign w:val="center"/>
          </w:tcPr>
          <w:p w14:paraId="342F0308">
            <w:pPr>
              <w:jc w:val="center"/>
              <w:rPr>
                <w:rFonts w:hint="default"/>
                <w:b w:val="0"/>
                <w:sz w:val="21"/>
                <w:szCs w:val="21"/>
                <w:lang w:val="en-US"/>
              </w:rPr>
            </w:pPr>
            <w:r>
              <w:rPr>
                <w:b w:val="0"/>
                <w:sz w:val="21"/>
                <w:szCs w:val="21"/>
              </w:rPr>
              <w:t>0.</w:t>
            </w:r>
            <w:r>
              <w:rPr>
                <w:rFonts w:hint="eastAsia"/>
                <w:b w:val="0"/>
                <w:sz w:val="21"/>
                <w:szCs w:val="21"/>
                <w:lang w:val="en-US" w:eastAsia="zh-CN"/>
              </w:rPr>
              <w:t>069</w:t>
            </w:r>
          </w:p>
        </w:tc>
        <w:tc>
          <w:tcPr>
            <w:tcW w:w="946" w:type="dxa"/>
            <w:vAlign w:val="center"/>
          </w:tcPr>
          <w:p w14:paraId="0A942074">
            <w:pPr>
              <w:jc w:val="center"/>
              <w:rPr>
                <w:rFonts w:hint="default" w:eastAsia="宋体"/>
                <w:b w:val="0"/>
                <w:sz w:val="21"/>
                <w:szCs w:val="21"/>
                <w:lang w:val="en-US" w:eastAsia="zh-CN"/>
              </w:rPr>
            </w:pPr>
            <w:r>
              <w:rPr>
                <w:rFonts w:hint="eastAsia" w:eastAsia="宋体"/>
                <w:b w:val="0"/>
                <w:sz w:val="21"/>
                <w:szCs w:val="21"/>
                <w:lang w:val="en-US" w:eastAsia="zh-CN"/>
              </w:rPr>
              <w:t>6.71</w:t>
            </w:r>
          </w:p>
        </w:tc>
      </w:tr>
      <w:tr w14:paraId="40D502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20" w:type="dxa"/>
            <w:vMerge w:val="restart"/>
            <w:vAlign w:val="center"/>
          </w:tcPr>
          <w:p w14:paraId="74EF6DA6">
            <w:pPr>
              <w:rPr>
                <w:b w:val="0"/>
                <w:sz w:val="21"/>
                <w:szCs w:val="21"/>
              </w:rPr>
            </w:pPr>
            <w:r>
              <w:rPr>
                <w:rFonts w:hint="eastAsia"/>
                <w:b w:val="0"/>
                <w:sz w:val="21"/>
                <w:szCs w:val="21"/>
              </w:rPr>
              <w:t>国合通用（青岛）测试评价有限公司</w:t>
            </w:r>
          </w:p>
        </w:tc>
        <w:tc>
          <w:tcPr>
            <w:tcW w:w="741" w:type="dxa"/>
            <w:vAlign w:val="center"/>
          </w:tcPr>
          <w:p w14:paraId="204E5D7C">
            <w:pPr>
              <w:jc w:val="center"/>
              <w:rPr>
                <w:b w:val="0"/>
                <w:sz w:val="21"/>
                <w:szCs w:val="21"/>
              </w:rPr>
            </w:pPr>
            <w:r>
              <w:rPr>
                <w:b w:val="0"/>
                <w:sz w:val="21"/>
                <w:szCs w:val="21"/>
              </w:rPr>
              <w:t>B001</w:t>
            </w:r>
          </w:p>
        </w:tc>
        <w:tc>
          <w:tcPr>
            <w:tcW w:w="4436" w:type="dxa"/>
            <w:vAlign w:val="center"/>
          </w:tcPr>
          <w:p w14:paraId="79653257">
            <w:pPr>
              <w:tabs>
                <w:tab w:val="left" w:pos="840"/>
              </w:tabs>
              <w:snapToGrid w:val="0"/>
              <w:spacing w:line="276" w:lineRule="auto"/>
              <w:jc w:val="left"/>
              <w:rPr>
                <w:rFonts w:hint="default"/>
                <w:b w:val="0"/>
                <w:sz w:val="21"/>
                <w:szCs w:val="21"/>
                <w:lang w:val="en-US"/>
              </w:rPr>
            </w:pPr>
            <w:r>
              <w:rPr>
                <w:rFonts w:hint="eastAsia"/>
                <w:b w:val="0"/>
                <w:sz w:val="21"/>
                <w:szCs w:val="21"/>
                <w:lang w:val="en-US" w:eastAsia="zh-CN"/>
              </w:rPr>
              <w:t>0.23</w:t>
            </w:r>
            <w:r>
              <w:rPr>
                <w:b w:val="0"/>
                <w:sz w:val="21"/>
                <w:szCs w:val="21"/>
              </w:rPr>
              <w:t xml:space="preserve">  </w:t>
            </w:r>
            <w:r>
              <w:rPr>
                <w:rFonts w:hint="eastAsia"/>
                <w:b w:val="0"/>
                <w:sz w:val="21"/>
                <w:szCs w:val="21"/>
                <w:lang w:val="en-US" w:eastAsia="zh-CN"/>
              </w:rPr>
              <w:t>0.22</w:t>
            </w:r>
            <w:r>
              <w:rPr>
                <w:b w:val="0"/>
                <w:sz w:val="21"/>
                <w:szCs w:val="21"/>
              </w:rPr>
              <w:t xml:space="preserve">  </w:t>
            </w:r>
            <w:r>
              <w:rPr>
                <w:rFonts w:hint="eastAsia"/>
                <w:b w:val="0"/>
                <w:sz w:val="21"/>
                <w:szCs w:val="21"/>
                <w:lang w:val="en-US" w:eastAsia="zh-CN"/>
              </w:rPr>
              <w:t>0.20</w:t>
            </w:r>
            <w:r>
              <w:rPr>
                <w:b w:val="0"/>
                <w:sz w:val="21"/>
                <w:szCs w:val="21"/>
              </w:rPr>
              <w:t xml:space="preserve">  </w:t>
            </w:r>
            <w:r>
              <w:rPr>
                <w:rFonts w:hint="eastAsia"/>
                <w:b w:val="0"/>
                <w:sz w:val="21"/>
                <w:szCs w:val="21"/>
                <w:lang w:val="en-US" w:eastAsia="zh-CN"/>
              </w:rPr>
              <w:t>0.20</w:t>
            </w:r>
            <w:r>
              <w:rPr>
                <w:b w:val="0"/>
                <w:sz w:val="21"/>
                <w:szCs w:val="21"/>
              </w:rPr>
              <w:t xml:space="preserve">  </w:t>
            </w:r>
            <w:r>
              <w:rPr>
                <w:rFonts w:hint="eastAsia"/>
                <w:b w:val="0"/>
                <w:sz w:val="21"/>
                <w:szCs w:val="21"/>
                <w:lang w:val="en-US" w:eastAsia="zh-CN"/>
              </w:rPr>
              <w:t>0.20</w:t>
            </w:r>
            <w:r>
              <w:rPr>
                <w:b w:val="0"/>
                <w:sz w:val="21"/>
                <w:szCs w:val="21"/>
              </w:rPr>
              <w:t xml:space="preserve">  </w:t>
            </w:r>
            <w:r>
              <w:rPr>
                <w:rFonts w:hint="eastAsia"/>
                <w:b w:val="0"/>
                <w:sz w:val="21"/>
                <w:szCs w:val="21"/>
                <w:lang w:val="en-US" w:eastAsia="zh-CN"/>
              </w:rPr>
              <w:t>0.20  0.19</w:t>
            </w:r>
          </w:p>
        </w:tc>
        <w:tc>
          <w:tcPr>
            <w:tcW w:w="846" w:type="dxa"/>
            <w:vAlign w:val="center"/>
          </w:tcPr>
          <w:p w14:paraId="3A491AB5">
            <w:pPr>
              <w:jc w:val="center"/>
              <w:rPr>
                <w:rFonts w:hint="default"/>
                <w:b w:val="0"/>
                <w:sz w:val="21"/>
                <w:szCs w:val="21"/>
                <w:lang w:val="en-US"/>
              </w:rPr>
            </w:pPr>
            <w:r>
              <w:rPr>
                <w:rFonts w:hint="eastAsia"/>
                <w:b w:val="0"/>
                <w:sz w:val="21"/>
                <w:szCs w:val="21"/>
                <w:lang w:val="en-US" w:eastAsia="zh-CN"/>
              </w:rPr>
              <w:t>0.21</w:t>
            </w:r>
          </w:p>
        </w:tc>
        <w:tc>
          <w:tcPr>
            <w:tcW w:w="946" w:type="dxa"/>
            <w:vAlign w:val="center"/>
          </w:tcPr>
          <w:p w14:paraId="21926933">
            <w:pPr>
              <w:jc w:val="center"/>
              <w:rPr>
                <w:rFonts w:hint="default"/>
                <w:b w:val="0"/>
                <w:sz w:val="21"/>
                <w:szCs w:val="21"/>
                <w:lang w:val="en-US"/>
              </w:rPr>
            </w:pPr>
            <w:r>
              <w:rPr>
                <w:b w:val="0"/>
                <w:sz w:val="21"/>
                <w:szCs w:val="21"/>
              </w:rPr>
              <w:t>0.</w:t>
            </w:r>
            <w:r>
              <w:rPr>
                <w:rFonts w:hint="eastAsia"/>
                <w:b w:val="0"/>
                <w:sz w:val="21"/>
                <w:szCs w:val="21"/>
                <w:lang w:val="en-US" w:eastAsia="zh-CN"/>
              </w:rPr>
              <w:t>014</w:t>
            </w:r>
          </w:p>
        </w:tc>
        <w:tc>
          <w:tcPr>
            <w:tcW w:w="946" w:type="dxa"/>
            <w:vAlign w:val="center"/>
          </w:tcPr>
          <w:p w14:paraId="08DA7C08">
            <w:pPr>
              <w:jc w:val="center"/>
              <w:rPr>
                <w:rFonts w:hint="default" w:eastAsia="宋体"/>
                <w:b w:val="0"/>
                <w:sz w:val="21"/>
                <w:szCs w:val="21"/>
                <w:lang w:val="en-US" w:eastAsia="zh-CN"/>
              </w:rPr>
            </w:pPr>
            <w:r>
              <w:rPr>
                <w:rFonts w:hint="eastAsia"/>
                <w:b w:val="0"/>
                <w:sz w:val="21"/>
                <w:szCs w:val="21"/>
                <w:lang w:val="en-US" w:eastAsia="zh-CN"/>
              </w:rPr>
              <w:t>6.79</w:t>
            </w:r>
          </w:p>
        </w:tc>
      </w:tr>
      <w:tr w14:paraId="308D8E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20" w:type="dxa"/>
            <w:vMerge w:val="continue"/>
            <w:vAlign w:val="center"/>
          </w:tcPr>
          <w:p w14:paraId="46D60F15">
            <w:pPr>
              <w:jc w:val="center"/>
              <w:rPr>
                <w:b w:val="0"/>
                <w:sz w:val="21"/>
                <w:szCs w:val="21"/>
              </w:rPr>
            </w:pPr>
          </w:p>
        </w:tc>
        <w:tc>
          <w:tcPr>
            <w:tcW w:w="741" w:type="dxa"/>
            <w:vAlign w:val="center"/>
          </w:tcPr>
          <w:p w14:paraId="1D0D61FC">
            <w:pPr>
              <w:jc w:val="center"/>
              <w:rPr>
                <w:b w:val="0"/>
                <w:sz w:val="21"/>
                <w:szCs w:val="21"/>
              </w:rPr>
            </w:pPr>
            <w:r>
              <w:rPr>
                <w:b w:val="0"/>
                <w:sz w:val="21"/>
                <w:szCs w:val="21"/>
              </w:rPr>
              <w:t>B002</w:t>
            </w:r>
          </w:p>
        </w:tc>
        <w:tc>
          <w:tcPr>
            <w:tcW w:w="4436" w:type="dxa"/>
            <w:vAlign w:val="center"/>
          </w:tcPr>
          <w:p w14:paraId="2574D3B8">
            <w:pPr>
              <w:tabs>
                <w:tab w:val="left" w:pos="840"/>
              </w:tabs>
              <w:snapToGrid w:val="0"/>
              <w:spacing w:line="276" w:lineRule="auto"/>
              <w:jc w:val="left"/>
              <w:rPr>
                <w:rFonts w:hint="default"/>
                <w:b w:val="0"/>
                <w:sz w:val="21"/>
                <w:szCs w:val="21"/>
                <w:lang w:val="en-US"/>
              </w:rPr>
            </w:pPr>
            <w:r>
              <w:rPr>
                <w:rFonts w:hint="eastAsia"/>
                <w:b w:val="0"/>
                <w:sz w:val="21"/>
                <w:szCs w:val="21"/>
                <w:lang w:val="en-US" w:eastAsia="zh-CN"/>
              </w:rPr>
              <w:t>0.30</w:t>
            </w:r>
            <w:r>
              <w:rPr>
                <w:b w:val="0"/>
                <w:sz w:val="21"/>
                <w:szCs w:val="21"/>
              </w:rPr>
              <w:t xml:space="preserve">  </w:t>
            </w:r>
            <w:r>
              <w:rPr>
                <w:rFonts w:hint="eastAsia"/>
                <w:b w:val="0"/>
                <w:sz w:val="21"/>
                <w:szCs w:val="21"/>
                <w:lang w:val="en-US" w:eastAsia="zh-CN"/>
              </w:rPr>
              <w:t>0.33</w:t>
            </w:r>
            <w:r>
              <w:rPr>
                <w:b w:val="0"/>
                <w:sz w:val="21"/>
                <w:szCs w:val="21"/>
              </w:rPr>
              <w:t xml:space="preserve">  </w:t>
            </w:r>
            <w:r>
              <w:rPr>
                <w:rFonts w:hint="eastAsia"/>
                <w:b w:val="0"/>
                <w:sz w:val="21"/>
                <w:szCs w:val="21"/>
                <w:lang w:val="en-US" w:eastAsia="zh-CN"/>
              </w:rPr>
              <w:t>0.33</w:t>
            </w:r>
            <w:r>
              <w:rPr>
                <w:b w:val="0"/>
                <w:sz w:val="21"/>
                <w:szCs w:val="21"/>
              </w:rPr>
              <w:t xml:space="preserve">  </w:t>
            </w:r>
            <w:r>
              <w:rPr>
                <w:rFonts w:hint="eastAsia"/>
                <w:b w:val="0"/>
                <w:sz w:val="21"/>
                <w:szCs w:val="21"/>
                <w:lang w:val="en-US" w:eastAsia="zh-CN"/>
              </w:rPr>
              <w:t>0.30</w:t>
            </w:r>
            <w:r>
              <w:rPr>
                <w:b w:val="0"/>
                <w:sz w:val="21"/>
                <w:szCs w:val="21"/>
              </w:rPr>
              <w:t xml:space="preserve">  </w:t>
            </w:r>
            <w:r>
              <w:rPr>
                <w:rFonts w:hint="eastAsia"/>
                <w:b w:val="0"/>
                <w:sz w:val="21"/>
                <w:szCs w:val="21"/>
                <w:lang w:val="en-US" w:eastAsia="zh-CN"/>
              </w:rPr>
              <w:t>0.33</w:t>
            </w:r>
            <w:r>
              <w:rPr>
                <w:b w:val="0"/>
                <w:sz w:val="21"/>
                <w:szCs w:val="21"/>
              </w:rPr>
              <w:t xml:space="preserve">  </w:t>
            </w:r>
            <w:r>
              <w:rPr>
                <w:rFonts w:hint="eastAsia"/>
                <w:b w:val="0"/>
                <w:sz w:val="21"/>
                <w:szCs w:val="21"/>
                <w:lang w:val="en-US" w:eastAsia="zh-CN"/>
              </w:rPr>
              <w:t>0.30  0.29</w:t>
            </w:r>
          </w:p>
        </w:tc>
        <w:tc>
          <w:tcPr>
            <w:tcW w:w="846" w:type="dxa"/>
            <w:vAlign w:val="center"/>
          </w:tcPr>
          <w:p w14:paraId="0DEB0526">
            <w:pPr>
              <w:jc w:val="center"/>
              <w:rPr>
                <w:rFonts w:hint="default"/>
                <w:b w:val="0"/>
                <w:sz w:val="21"/>
                <w:szCs w:val="21"/>
                <w:lang w:val="en-US"/>
              </w:rPr>
            </w:pPr>
            <w:r>
              <w:rPr>
                <w:rFonts w:hint="eastAsia"/>
                <w:b w:val="0"/>
                <w:sz w:val="21"/>
                <w:szCs w:val="21"/>
                <w:lang w:val="en-US" w:eastAsia="zh-CN"/>
              </w:rPr>
              <w:t>0.31</w:t>
            </w:r>
          </w:p>
        </w:tc>
        <w:tc>
          <w:tcPr>
            <w:tcW w:w="946" w:type="dxa"/>
            <w:vAlign w:val="center"/>
          </w:tcPr>
          <w:p w14:paraId="0C314B57">
            <w:pPr>
              <w:jc w:val="center"/>
              <w:rPr>
                <w:rFonts w:hint="default"/>
                <w:b w:val="0"/>
                <w:sz w:val="21"/>
                <w:szCs w:val="21"/>
                <w:lang w:val="en-US"/>
              </w:rPr>
            </w:pPr>
            <w:r>
              <w:rPr>
                <w:b w:val="0"/>
                <w:sz w:val="21"/>
                <w:szCs w:val="21"/>
              </w:rPr>
              <w:t>0.</w:t>
            </w:r>
            <w:r>
              <w:rPr>
                <w:rFonts w:hint="eastAsia"/>
                <w:b w:val="0"/>
                <w:sz w:val="21"/>
                <w:szCs w:val="21"/>
                <w:lang w:val="en-US" w:eastAsia="zh-CN"/>
              </w:rPr>
              <w:t>018</w:t>
            </w:r>
          </w:p>
        </w:tc>
        <w:tc>
          <w:tcPr>
            <w:tcW w:w="946" w:type="dxa"/>
            <w:vAlign w:val="center"/>
          </w:tcPr>
          <w:p w14:paraId="5A23F57C">
            <w:pPr>
              <w:jc w:val="center"/>
              <w:rPr>
                <w:rFonts w:hint="default" w:eastAsia="宋体"/>
                <w:b w:val="0"/>
                <w:sz w:val="21"/>
                <w:szCs w:val="21"/>
                <w:lang w:val="en-US" w:eastAsia="zh-CN"/>
              </w:rPr>
            </w:pPr>
            <w:r>
              <w:rPr>
                <w:rFonts w:hint="eastAsia" w:eastAsia="宋体"/>
                <w:b w:val="0"/>
                <w:sz w:val="21"/>
                <w:szCs w:val="21"/>
                <w:lang w:val="en-US" w:eastAsia="zh-CN"/>
              </w:rPr>
              <w:t>5.69</w:t>
            </w:r>
          </w:p>
        </w:tc>
      </w:tr>
      <w:tr w14:paraId="2648D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120" w:type="dxa"/>
            <w:vMerge w:val="continue"/>
            <w:vAlign w:val="center"/>
          </w:tcPr>
          <w:p w14:paraId="41A793FC">
            <w:pPr>
              <w:jc w:val="center"/>
              <w:rPr>
                <w:b w:val="0"/>
                <w:sz w:val="21"/>
                <w:szCs w:val="21"/>
              </w:rPr>
            </w:pPr>
          </w:p>
        </w:tc>
        <w:tc>
          <w:tcPr>
            <w:tcW w:w="741" w:type="dxa"/>
            <w:vAlign w:val="center"/>
          </w:tcPr>
          <w:p w14:paraId="54E4FE2A">
            <w:pPr>
              <w:jc w:val="center"/>
              <w:rPr>
                <w:b w:val="0"/>
                <w:sz w:val="21"/>
                <w:szCs w:val="21"/>
              </w:rPr>
            </w:pPr>
            <w:r>
              <w:rPr>
                <w:b w:val="0"/>
                <w:sz w:val="21"/>
                <w:szCs w:val="21"/>
              </w:rPr>
              <w:t>B003</w:t>
            </w:r>
          </w:p>
        </w:tc>
        <w:tc>
          <w:tcPr>
            <w:tcW w:w="4436" w:type="dxa"/>
            <w:vAlign w:val="center"/>
          </w:tcPr>
          <w:p w14:paraId="6FF7865E">
            <w:pPr>
              <w:tabs>
                <w:tab w:val="left" w:pos="840"/>
              </w:tabs>
              <w:snapToGrid w:val="0"/>
              <w:spacing w:line="276" w:lineRule="auto"/>
              <w:jc w:val="left"/>
              <w:rPr>
                <w:rFonts w:hint="default"/>
                <w:b w:val="0"/>
                <w:sz w:val="21"/>
                <w:szCs w:val="21"/>
                <w:lang w:val="en-US"/>
              </w:rPr>
            </w:pPr>
            <w:r>
              <w:rPr>
                <w:rFonts w:hint="eastAsia"/>
                <w:b w:val="0"/>
                <w:sz w:val="21"/>
                <w:szCs w:val="21"/>
                <w:lang w:val="en-US" w:eastAsia="zh-CN"/>
              </w:rPr>
              <w:t>1.15</w:t>
            </w:r>
            <w:r>
              <w:rPr>
                <w:b w:val="0"/>
                <w:sz w:val="21"/>
                <w:szCs w:val="21"/>
              </w:rPr>
              <w:t xml:space="preserve">  </w:t>
            </w:r>
            <w:r>
              <w:rPr>
                <w:rFonts w:hint="eastAsia"/>
                <w:b w:val="0"/>
                <w:sz w:val="21"/>
                <w:szCs w:val="21"/>
                <w:lang w:val="en-US" w:eastAsia="zh-CN"/>
              </w:rPr>
              <w:t>1.18</w:t>
            </w:r>
            <w:r>
              <w:rPr>
                <w:b w:val="0"/>
                <w:sz w:val="21"/>
                <w:szCs w:val="21"/>
              </w:rPr>
              <w:t xml:space="preserve">  </w:t>
            </w:r>
            <w:r>
              <w:rPr>
                <w:rFonts w:hint="eastAsia"/>
                <w:b w:val="0"/>
                <w:sz w:val="21"/>
                <w:szCs w:val="21"/>
                <w:lang w:val="en-US" w:eastAsia="zh-CN"/>
              </w:rPr>
              <w:t>1.23</w:t>
            </w:r>
            <w:r>
              <w:rPr>
                <w:b w:val="0"/>
                <w:sz w:val="21"/>
                <w:szCs w:val="21"/>
              </w:rPr>
              <w:t xml:space="preserve">  </w:t>
            </w:r>
            <w:r>
              <w:rPr>
                <w:rFonts w:hint="eastAsia"/>
                <w:b w:val="0"/>
                <w:sz w:val="21"/>
                <w:szCs w:val="21"/>
                <w:lang w:val="en-US" w:eastAsia="zh-CN"/>
              </w:rPr>
              <w:t>1.15</w:t>
            </w:r>
            <w:r>
              <w:rPr>
                <w:b w:val="0"/>
                <w:sz w:val="21"/>
                <w:szCs w:val="21"/>
              </w:rPr>
              <w:t xml:space="preserve">  </w:t>
            </w:r>
            <w:r>
              <w:rPr>
                <w:rFonts w:hint="eastAsia"/>
                <w:b w:val="0"/>
                <w:sz w:val="21"/>
                <w:szCs w:val="21"/>
                <w:lang w:val="en-US" w:eastAsia="zh-CN"/>
              </w:rPr>
              <w:t>1.20</w:t>
            </w:r>
            <w:r>
              <w:rPr>
                <w:b w:val="0"/>
                <w:sz w:val="21"/>
                <w:szCs w:val="21"/>
              </w:rPr>
              <w:t xml:space="preserve">  </w:t>
            </w:r>
            <w:r>
              <w:rPr>
                <w:rFonts w:hint="eastAsia"/>
                <w:b w:val="0"/>
                <w:sz w:val="21"/>
                <w:szCs w:val="21"/>
                <w:lang w:val="en-US" w:eastAsia="zh-CN"/>
              </w:rPr>
              <w:t>1.17  1.17</w:t>
            </w:r>
          </w:p>
        </w:tc>
        <w:tc>
          <w:tcPr>
            <w:tcW w:w="846" w:type="dxa"/>
            <w:vAlign w:val="center"/>
          </w:tcPr>
          <w:p w14:paraId="05EAC0AF">
            <w:pPr>
              <w:jc w:val="center"/>
              <w:rPr>
                <w:rFonts w:hint="default" w:eastAsia="宋体"/>
                <w:b w:val="0"/>
                <w:sz w:val="21"/>
                <w:szCs w:val="21"/>
                <w:lang w:val="en-US" w:eastAsia="zh-CN"/>
              </w:rPr>
            </w:pPr>
            <w:r>
              <w:rPr>
                <w:rFonts w:hint="eastAsia"/>
                <w:b w:val="0"/>
                <w:sz w:val="21"/>
                <w:szCs w:val="21"/>
                <w:lang w:val="en-US" w:eastAsia="zh-CN"/>
              </w:rPr>
              <w:t>1.18</w:t>
            </w:r>
          </w:p>
        </w:tc>
        <w:tc>
          <w:tcPr>
            <w:tcW w:w="946" w:type="dxa"/>
            <w:vAlign w:val="center"/>
          </w:tcPr>
          <w:p w14:paraId="19EEA8DB">
            <w:pPr>
              <w:jc w:val="center"/>
              <w:rPr>
                <w:rFonts w:hint="default"/>
                <w:b w:val="0"/>
                <w:sz w:val="21"/>
                <w:szCs w:val="21"/>
                <w:lang w:val="en-US"/>
              </w:rPr>
            </w:pPr>
            <w:r>
              <w:rPr>
                <w:b w:val="0"/>
                <w:sz w:val="21"/>
                <w:szCs w:val="21"/>
              </w:rPr>
              <w:t>0.</w:t>
            </w:r>
            <w:r>
              <w:rPr>
                <w:rFonts w:hint="eastAsia"/>
                <w:b w:val="0"/>
                <w:sz w:val="21"/>
                <w:szCs w:val="21"/>
                <w:lang w:val="en-US" w:eastAsia="zh-CN"/>
              </w:rPr>
              <w:t>029</w:t>
            </w:r>
          </w:p>
        </w:tc>
        <w:tc>
          <w:tcPr>
            <w:tcW w:w="946" w:type="dxa"/>
            <w:vAlign w:val="center"/>
          </w:tcPr>
          <w:p w14:paraId="73D0A4A2">
            <w:pPr>
              <w:jc w:val="center"/>
              <w:rPr>
                <w:rFonts w:hint="default" w:eastAsia="宋体"/>
                <w:b w:val="0"/>
                <w:sz w:val="21"/>
                <w:szCs w:val="21"/>
                <w:lang w:val="en-US" w:eastAsia="zh-CN"/>
              </w:rPr>
            </w:pPr>
            <w:r>
              <w:rPr>
                <w:rFonts w:hint="eastAsia" w:eastAsia="宋体"/>
                <w:b w:val="0"/>
                <w:sz w:val="21"/>
                <w:szCs w:val="21"/>
                <w:lang w:val="en-US" w:eastAsia="zh-CN"/>
              </w:rPr>
              <w:t>2.42</w:t>
            </w:r>
          </w:p>
        </w:tc>
      </w:tr>
    </w:tbl>
    <w:p w14:paraId="36786B3F">
      <w:pPr>
        <w:tabs>
          <w:tab w:val="left" w:pos="840"/>
        </w:tabs>
        <w:snapToGrid w:val="0"/>
        <w:spacing w:before="50" w:after="50" w:line="360" w:lineRule="auto"/>
        <w:jc w:val="left"/>
        <w:rPr>
          <w:rFonts w:eastAsia="黑体"/>
          <w:b w:val="0"/>
          <w:bCs/>
          <w:sz w:val="24"/>
        </w:rPr>
      </w:pPr>
      <w:r>
        <w:rPr>
          <w:rFonts w:eastAsia="黑体"/>
          <w:b w:val="0"/>
          <w:bCs/>
          <w:sz w:val="24"/>
        </w:rPr>
        <w:t>3.</w:t>
      </w:r>
      <w:r>
        <w:rPr>
          <w:rFonts w:hint="eastAsia" w:eastAsia="黑体"/>
          <w:b w:val="0"/>
          <w:bCs/>
          <w:sz w:val="24"/>
          <w:lang w:val="en-US" w:eastAsia="zh-CN"/>
        </w:rPr>
        <w:t>7</w:t>
      </w:r>
      <w:r>
        <w:rPr>
          <w:rFonts w:eastAsia="黑体"/>
          <w:b w:val="0"/>
          <w:bCs/>
          <w:sz w:val="24"/>
        </w:rPr>
        <w:t xml:space="preserve"> 重复性和再现性</w:t>
      </w:r>
    </w:p>
    <w:p w14:paraId="44B70FE0">
      <w:pPr>
        <w:tabs>
          <w:tab w:val="left" w:pos="840"/>
        </w:tabs>
        <w:snapToGrid w:val="0"/>
        <w:spacing w:before="50" w:after="50" w:line="360" w:lineRule="auto"/>
        <w:ind w:firstLine="420" w:firstLineChars="200"/>
        <w:jc w:val="left"/>
        <w:rPr>
          <w:b w:val="0"/>
          <w:sz w:val="21"/>
          <w:szCs w:val="21"/>
        </w:rPr>
      </w:pPr>
      <w:r>
        <w:rPr>
          <w:b w:val="0"/>
          <w:bCs/>
          <w:sz w:val="21"/>
          <w:szCs w:val="21"/>
        </w:rPr>
        <w:t>在完成相关条件试验后，各参编单位按照</w:t>
      </w:r>
      <w:r>
        <w:rPr>
          <w:b w:val="0"/>
          <w:sz w:val="21"/>
          <w:szCs w:val="21"/>
        </w:rPr>
        <w:t>GB/T 1.1-2020《标准化工作导则 第1部分：标准化文件的结构和起草规则》中关于精密度的要求，对3个水平无定形硼粉样品中</w:t>
      </w:r>
      <w:r>
        <w:rPr>
          <w:rFonts w:hint="eastAsia"/>
          <w:b w:val="0"/>
          <w:sz w:val="21"/>
          <w:szCs w:val="21"/>
          <w:lang w:val="en-US" w:eastAsia="zh-CN"/>
        </w:rPr>
        <w:t>过氧化氢不溶物</w:t>
      </w:r>
      <w:r>
        <w:rPr>
          <w:b w:val="0"/>
          <w:sz w:val="21"/>
          <w:szCs w:val="21"/>
        </w:rPr>
        <w:t>含量进行了测定，在汇总数据后，</w:t>
      </w:r>
      <w:r>
        <w:rPr>
          <w:rFonts w:hint="eastAsia"/>
          <w:b w:val="0"/>
          <w:sz w:val="21"/>
          <w:szCs w:val="21"/>
          <w:lang w:val="en-US" w:eastAsia="zh-CN"/>
        </w:rPr>
        <w:t>北矿新材科技有限公司</w:t>
      </w:r>
      <w:r>
        <w:rPr>
          <w:b w:val="0"/>
          <w:sz w:val="21"/>
          <w:szCs w:val="21"/>
        </w:rPr>
        <w:t>按照GB/T 6379.2-2004《测量方法与结果的准确度》的要求对</w:t>
      </w:r>
      <w:r>
        <w:rPr>
          <w:rFonts w:hint="eastAsia"/>
          <w:b w:val="0"/>
          <w:sz w:val="21"/>
          <w:szCs w:val="21"/>
          <w:lang w:val="en-US" w:eastAsia="zh-CN"/>
        </w:rPr>
        <w:t>5</w:t>
      </w:r>
      <w:r>
        <w:rPr>
          <w:b w:val="0"/>
          <w:sz w:val="21"/>
          <w:szCs w:val="21"/>
        </w:rPr>
        <w:t>家参编单位的试验数据进行统计计算，并结合线性内插或外延法，计算出不同含量梯度的重复性限和再现性限。</w:t>
      </w:r>
    </w:p>
    <w:p w14:paraId="3DE8E2DC">
      <w:pPr>
        <w:spacing w:before="156" w:beforeLines="50" w:line="360" w:lineRule="auto"/>
        <w:rPr>
          <w:rFonts w:eastAsia="黑体"/>
          <w:b w:val="0"/>
          <w:bCs/>
          <w:sz w:val="24"/>
        </w:rPr>
      </w:pPr>
      <w:r>
        <w:rPr>
          <w:rFonts w:eastAsia="黑体"/>
          <w:b w:val="0"/>
          <w:bCs/>
          <w:sz w:val="24"/>
        </w:rPr>
        <w:t>3.</w:t>
      </w:r>
      <w:r>
        <w:rPr>
          <w:rFonts w:hint="eastAsia" w:eastAsia="黑体"/>
          <w:b w:val="0"/>
          <w:bCs/>
          <w:sz w:val="24"/>
          <w:lang w:val="en-US" w:eastAsia="zh-CN"/>
        </w:rPr>
        <w:t>7</w:t>
      </w:r>
      <w:r>
        <w:rPr>
          <w:rFonts w:eastAsia="黑体"/>
          <w:b w:val="0"/>
          <w:bCs/>
          <w:sz w:val="24"/>
        </w:rPr>
        <w:t>.1 各参与单位使用数据平均值统计</w:t>
      </w:r>
    </w:p>
    <w:p w14:paraId="2A53EDA3">
      <w:pPr>
        <w:spacing w:line="440" w:lineRule="exact"/>
        <w:jc w:val="center"/>
        <w:rPr>
          <w:rFonts w:eastAsia="黑体"/>
          <w:b w:val="0"/>
          <w:sz w:val="21"/>
          <w:szCs w:val="21"/>
        </w:rPr>
      </w:pPr>
      <w:r>
        <w:rPr>
          <w:rFonts w:eastAsia="黑体"/>
          <w:b w:val="0"/>
          <w:sz w:val="21"/>
          <w:szCs w:val="21"/>
        </w:rPr>
        <w:t>表10 各参与单位实验数据平均值统计</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29"/>
        <w:gridCol w:w="1505"/>
        <w:gridCol w:w="1505"/>
        <w:gridCol w:w="1505"/>
      </w:tblGrid>
      <w:tr w14:paraId="5E43D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529" w:type="dxa"/>
          </w:tcPr>
          <w:p w14:paraId="70D04647">
            <w:pPr>
              <w:snapToGrid w:val="0"/>
              <w:ind w:firstLine="420" w:firstLineChars="200"/>
              <w:rPr>
                <w:b w:val="0"/>
                <w:sz w:val="21"/>
                <w:szCs w:val="21"/>
              </w:rPr>
            </w:pPr>
            <w:r>
              <w:rPr>
                <w:b w:val="0"/>
                <w:sz w:val="21"/>
                <w:szCs w:val="21"/>
              </w:rPr>
              <w:t>样品编号单位编号</w:t>
            </w:r>
          </w:p>
        </w:tc>
        <w:tc>
          <w:tcPr>
            <w:tcW w:w="1505" w:type="dxa"/>
            <w:vAlign w:val="center"/>
          </w:tcPr>
          <w:p w14:paraId="0124F740">
            <w:pPr>
              <w:jc w:val="center"/>
              <w:rPr>
                <w:b w:val="0"/>
                <w:sz w:val="21"/>
                <w:szCs w:val="21"/>
              </w:rPr>
            </w:pPr>
            <w:r>
              <w:rPr>
                <w:b w:val="0"/>
                <w:sz w:val="21"/>
                <w:szCs w:val="21"/>
              </w:rPr>
              <w:t>B001</w:t>
            </w:r>
          </w:p>
        </w:tc>
        <w:tc>
          <w:tcPr>
            <w:tcW w:w="1505" w:type="dxa"/>
            <w:vAlign w:val="center"/>
          </w:tcPr>
          <w:p w14:paraId="022E03A2">
            <w:pPr>
              <w:jc w:val="center"/>
              <w:rPr>
                <w:b w:val="0"/>
                <w:sz w:val="21"/>
                <w:szCs w:val="21"/>
              </w:rPr>
            </w:pPr>
            <w:r>
              <w:rPr>
                <w:b w:val="0"/>
                <w:sz w:val="21"/>
                <w:szCs w:val="21"/>
              </w:rPr>
              <w:t>B002</w:t>
            </w:r>
          </w:p>
        </w:tc>
        <w:tc>
          <w:tcPr>
            <w:tcW w:w="1505" w:type="dxa"/>
            <w:vAlign w:val="center"/>
          </w:tcPr>
          <w:p w14:paraId="3A4E05DD">
            <w:pPr>
              <w:jc w:val="center"/>
              <w:rPr>
                <w:b w:val="0"/>
                <w:sz w:val="21"/>
                <w:szCs w:val="21"/>
              </w:rPr>
            </w:pPr>
            <w:r>
              <w:rPr>
                <w:b w:val="0"/>
                <w:sz w:val="21"/>
                <w:szCs w:val="21"/>
              </w:rPr>
              <w:t>B003</w:t>
            </w:r>
          </w:p>
        </w:tc>
      </w:tr>
      <w:tr w14:paraId="26836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29" w:type="dxa"/>
          </w:tcPr>
          <w:p w14:paraId="6B3B07BC">
            <w:pPr>
              <w:jc w:val="center"/>
              <w:rPr>
                <w:b w:val="0"/>
                <w:sz w:val="21"/>
                <w:szCs w:val="21"/>
              </w:rPr>
            </w:pPr>
            <w:r>
              <w:rPr>
                <w:b w:val="0"/>
                <w:sz w:val="21"/>
                <w:szCs w:val="21"/>
              </w:rPr>
              <w:t xml:space="preserve">1 </w:t>
            </w:r>
          </w:p>
        </w:tc>
        <w:tc>
          <w:tcPr>
            <w:tcW w:w="1505" w:type="dxa"/>
            <w:vAlign w:val="center"/>
          </w:tcPr>
          <w:p w14:paraId="52A4B912">
            <w:pPr>
              <w:jc w:val="center"/>
              <w:rPr>
                <w:rFonts w:hint="default" w:eastAsia="宋体"/>
                <w:b w:val="0"/>
                <w:sz w:val="21"/>
                <w:szCs w:val="21"/>
                <w:lang w:val="en-US" w:eastAsia="zh-CN"/>
              </w:rPr>
            </w:pPr>
            <w:r>
              <w:rPr>
                <w:rFonts w:hint="eastAsia"/>
                <w:b w:val="0"/>
                <w:sz w:val="21"/>
                <w:szCs w:val="21"/>
                <w:lang w:val="en-US" w:eastAsia="zh-CN"/>
              </w:rPr>
              <w:t>0.18</w:t>
            </w:r>
          </w:p>
        </w:tc>
        <w:tc>
          <w:tcPr>
            <w:tcW w:w="1505" w:type="dxa"/>
            <w:vAlign w:val="center"/>
          </w:tcPr>
          <w:p w14:paraId="145CD876">
            <w:pPr>
              <w:jc w:val="center"/>
              <w:rPr>
                <w:rFonts w:hint="default" w:eastAsia="宋体"/>
                <w:b w:val="0"/>
                <w:sz w:val="21"/>
                <w:szCs w:val="21"/>
                <w:lang w:val="en-US" w:eastAsia="zh-CN"/>
              </w:rPr>
            </w:pPr>
            <w:r>
              <w:rPr>
                <w:rFonts w:hint="eastAsia"/>
                <w:b w:val="0"/>
                <w:sz w:val="21"/>
                <w:szCs w:val="21"/>
                <w:lang w:val="en-US" w:eastAsia="zh-CN"/>
              </w:rPr>
              <w:t>0.33</w:t>
            </w:r>
          </w:p>
        </w:tc>
        <w:tc>
          <w:tcPr>
            <w:tcW w:w="1505" w:type="dxa"/>
            <w:vAlign w:val="center"/>
          </w:tcPr>
          <w:p w14:paraId="48E8D014">
            <w:pPr>
              <w:jc w:val="center"/>
              <w:rPr>
                <w:rFonts w:hint="default" w:eastAsia="宋体"/>
                <w:b w:val="0"/>
                <w:sz w:val="21"/>
                <w:szCs w:val="21"/>
                <w:lang w:val="en-US" w:eastAsia="zh-CN"/>
              </w:rPr>
            </w:pPr>
            <w:r>
              <w:rPr>
                <w:rFonts w:hint="eastAsia" w:eastAsia="宋体"/>
                <w:b w:val="0"/>
                <w:sz w:val="21"/>
                <w:szCs w:val="21"/>
                <w:lang w:val="en-US" w:eastAsia="zh-CN"/>
              </w:rPr>
              <w:t>1.20</w:t>
            </w:r>
          </w:p>
        </w:tc>
      </w:tr>
      <w:tr w14:paraId="2D9AC5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29" w:type="dxa"/>
          </w:tcPr>
          <w:p w14:paraId="19D448F3">
            <w:pPr>
              <w:jc w:val="center"/>
              <w:rPr>
                <w:b w:val="0"/>
                <w:sz w:val="21"/>
                <w:szCs w:val="21"/>
              </w:rPr>
            </w:pPr>
            <w:r>
              <w:rPr>
                <w:b w:val="0"/>
                <w:sz w:val="21"/>
                <w:szCs w:val="21"/>
              </w:rPr>
              <w:t xml:space="preserve">2 </w:t>
            </w:r>
          </w:p>
        </w:tc>
        <w:tc>
          <w:tcPr>
            <w:tcW w:w="1505" w:type="dxa"/>
            <w:vAlign w:val="center"/>
          </w:tcPr>
          <w:p w14:paraId="7FFF5389">
            <w:pPr>
              <w:jc w:val="center"/>
              <w:rPr>
                <w:rFonts w:hint="default" w:eastAsia="宋体"/>
                <w:b w:val="0"/>
                <w:sz w:val="21"/>
                <w:szCs w:val="21"/>
                <w:lang w:val="en-US" w:eastAsia="zh-CN"/>
              </w:rPr>
            </w:pPr>
            <w:r>
              <w:rPr>
                <w:rFonts w:hint="eastAsia"/>
                <w:b w:val="0"/>
                <w:sz w:val="21"/>
                <w:szCs w:val="21"/>
                <w:lang w:val="en-US" w:eastAsia="zh-CN"/>
              </w:rPr>
              <w:t>0.19</w:t>
            </w:r>
          </w:p>
        </w:tc>
        <w:tc>
          <w:tcPr>
            <w:tcW w:w="1505" w:type="dxa"/>
            <w:vAlign w:val="center"/>
          </w:tcPr>
          <w:p w14:paraId="0134B6FE">
            <w:pPr>
              <w:jc w:val="center"/>
              <w:rPr>
                <w:rFonts w:hint="default" w:eastAsia="宋体"/>
                <w:b w:val="0"/>
                <w:sz w:val="21"/>
                <w:szCs w:val="21"/>
                <w:lang w:val="en-US" w:eastAsia="zh-CN"/>
              </w:rPr>
            </w:pPr>
            <w:r>
              <w:rPr>
                <w:rFonts w:hint="eastAsia"/>
                <w:b w:val="0"/>
                <w:sz w:val="21"/>
                <w:szCs w:val="21"/>
                <w:lang w:val="en-US" w:eastAsia="zh-CN"/>
              </w:rPr>
              <w:t>0.30</w:t>
            </w:r>
          </w:p>
        </w:tc>
        <w:tc>
          <w:tcPr>
            <w:tcW w:w="1505" w:type="dxa"/>
            <w:vAlign w:val="center"/>
          </w:tcPr>
          <w:p w14:paraId="5E5CEA70">
            <w:pPr>
              <w:jc w:val="center"/>
              <w:rPr>
                <w:rFonts w:hint="default" w:eastAsia="宋体"/>
                <w:b w:val="0"/>
                <w:sz w:val="21"/>
                <w:szCs w:val="21"/>
                <w:lang w:val="en-US" w:eastAsia="zh-CN"/>
              </w:rPr>
            </w:pPr>
            <w:r>
              <w:rPr>
                <w:rFonts w:hint="eastAsia" w:eastAsia="宋体"/>
                <w:b w:val="0"/>
                <w:sz w:val="21"/>
                <w:szCs w:val="21"/>
                <w:lang w:val="en-US" w:eastAsia="zh-CN"/>
              </w:rPr>
              <w:t>1.13</w:t>
            </w:r>
          </w:p>
        </w:tc>
      </w:tr>
      <w:tr w14:paraId="5E98DD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29" w:type="dxa"/>
          </w:tcPr>
          <w:p w14:paraId="25949368">
            <w:pPr>
              <w:jc w:val="center"/>
              <w:rPr>
                <w:b w:val="0"/>
                <w:sz w:val="21"/>
                <w:szCs w:val="21"/>
              </w:rPr>
            </w:pPr>
            <w:r>
              <w:rPr>
                <w:b w:val="0"/>
                <w:sz w:val="21"/>
                <w:szCs w:val="21"/>
              </w:rPr>
              <w:t xml:space="preserve">3 </w:t>
            </w:r>
          </w:p>
        </w:tc>
        <w:tc>
          <w:tcPr>
            <w:tcW w:w="1505" w:type="dxa"/>
            <w:vAlign w:val="center"/>
          </w:tcPr>
          <w:p w14:paraId="4FE7C815">
            <w:pPr>
              <w:jc w:val="center"/>
              <w:rPr>
                <w:rFonts w:hint="default" w:eastAsia="宋体"/>
                <w:b w:val="0"/>
                <w:sz w:val="21"/>
                <w:szCs w:val="21"/>
                <w:lang w:val="en-US" w:eastAsia="zh-CN"/>
              </w:rPr>
            </w:pPr>
            <w:r>
              <w:rPr>
                <w:rFonts w:hint="eastAsia"/>
                <w:b w:val="0"/>
                <w:sz w:val="21"/>
                <w:szCs w:val="21"/>
                <w:lang w:val="en-US" w:eastAsia="zh-CN"/>
              </w:rPr>
              <w:t>0.17</w:t>
            </w:r>
          </w:p>
        </w:tc>
        <w:tc>
          <w:tcPr>
            <w:tcW w:w="1505" w:type="dxa"/>
            <w:vAlign w:val="center"/>
          </w:tcPr>
          <w:p w14:paraId="09F3BC87">
            <w:pPr>
              <w:jc w:val="center"/>
              <w:rPr>
                <w:rFonts w:hint="default" w:eastAsia="宋体"/>
                <w:b w:val="0"/>
                <w:sz w:val="21"/>
                <w:szCs w:val="21"/>
                <w:lang w:val="en-US" w:eastAsia="zh-CN"/>
              </w:rPr>
            </w:pPr>
            <w:r>
              <w:rPr>
                <w:rFonts w:hint="eastAsia"/>
                <w:b w:val="0"/>
                <w:sz w:val="21"/>
                <w:szCs w:val="21"/>
                <w:lang w:val="en-US" w:eastAsia="zh-CN"/>
              </w:rPr>
              <w:t>0.31</w:t>
            </w:r>
          </w:p>
        </w:tc>
        <w:tc>
          <w:tcPr>
            <w:tcW w:w="1505" w:type="dxa"/>
            <w:vAlign w:val="center"/>
          </w:tcPr>
          <w:p w14:paraId="669433EC">
            <w:pPr>
              <w:jc w:val="center"/>
              <w:rPr>
                <w:rFonts w:hint="default" w:eastAsia="宋体"/>
                <w:b w:val="0"/>
                <w:sz w:val="21"/>
                <w:szCs w:val="21"/>
                <w:lang w:val="en-US" w:eastAsia="zh-CN"/>
              </w:rPr>
            </w:pPr>
            <w:r>
              <w:rPr>
                <w:rFonts w:hint="eastAsia" w:eastAsia="宋体"/>
                <w:b w:val="0"/>
                <w:sz w:val="21"/>
                <w:szCs w:val="21"/>
                <w:lang w:val="en-US" w:eastAsia="zh-CN"/>
              </w:rPr>
              <w:t>1.19</w:t>
            </w:r>
          </w:p>
        </w:tc>
      </w:tr>
      <w:tr w14:paraId="33D2A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29" w:type="dxa"/>
          </w:tcPr>
          <w:p w14:paraId="297149EC">
            <w:pPr>
              <w:jc w:val="center"/>
              <w:rPr>
                <w:b w:val="0"/>
                <w:sz w:val="21"/>
                <w:szCs w:val="21"/>
              </w:rPr>
            </w:pPr>
            <w:r>
              <w:rPr>
                <w:b w:val="0"/>
                <w:sz w:val="21"/>
                <w:szCs w:val="21"/>
              </w:rPr>
              <w:t xml:space="preserve">4 </w:t>
            </w:r>
          </w:p>
        </w:tc>
        <w:tc>
          <w:tcPr>
            <w:tcW w:w="1505" w:type="dxa"/>
            <w:vAlign w:val="center"/>
          </w:tcPr>
          <w:p w14:paraId="7A2DB65A">
            <w:pPr>
              <w:jc w:val="center"/>
              <w:rPr>
                <w:rFonts w:hint="default" w:eastAsia="宋体"/>
                <w:b w:val="0"/>
                <w:sz w:val="21"/>
                <w:szCs w:val="21"/>
                <w:lang w:val="en-US" w:eastAsia="zh-CN"/>
              </w:rPr>
            </w:pPr>
            <w:r>
              <w:rPr>
                <w:rFonts w:hint="eastAsia"/>
                <w:b w:val="0"/>
                <w:sz w:val="21"/>
                <w:szCs w:val="21"/>
                <w:lang w:val="en-US" w:eastAsia="zh-CN"/>
              </w:rPr>
              <w:t>0.17</w:t>
            </w:r>
          </w:p>
        </w:tc>
        <w:tc>
          <w:tcPr>
            <w:tcW w:w="1505" w:type="dxa"/>
            <w:vAlign w:val="center"/>
          </w:tcPr>
          <w:p w14:paraId="46B98FCF">
            <w:pPr>
              <w:jc w:val="center"/>
              <w:rPr>
                <w:rFonts w:hint="default" w:eastAsia="宋体"/>
                <w:b w:val="0"/>
                <w:sz w:val="21"/>
                <w:szCs w:val="21"/>
                <w:lang w:val="en-US" w:eastAsia="zh-CN"/>
              </w:rPr>
            </w:pPr>
            <w:r>
              <w:rPr>
                <w:rFonts w:hint="eastAsia"/>
                <w:b w:val="0"/>
                <w:sz w:val="21"/>
                <w:szCs w:val="21"/>
                <w:lang w:val="en-US" w:eastAsia="zh-CN"/>
              </w:rPr>
              <w:t>0.29</w:t>
            </w:r>
          </w:p>
        </w:tc>
        <w:tc>
          <w:tcPr>
            <w:tcW w:w="1505" w:type="dxa"/>
            <w:vAlign w:val="center"/>
          </w:tcPr>
          <w:p w14:paraId="57CECE71">
            <w:pPr>
              <w:jc w:val="center"/>
              <w:rPr>
                <w:rFonts w:hint="default" w:eastAsia="宋体"/>
                <w:b w:val="0"/>
                <w:sz w:val="21"/>
                <w:szCs w:val="21"/>
                <w:lang w:val="en-US" w:eastAsia="zh-CN"/>
              </w:rPr>
            </w:pPr>
            <w:r>
              <w:rPr>
                <w:rFonts w:hint="eastAsia" w:eastAsia="宋体"/>
                <w:b w:val="0"/>
                <w:sz w:val="21"/>
                <w:szCs w:val="21"/>
                <w:lang w:val="en-US" w:eastAsia="zh-CN"/>
              </w:rPr>
              <w:t>1.02</w:t>
            </w:r>
          </w:p>
        </w:tc>
      </w:tr>
      <w:tr w14:paraId="4CFBA3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29" w:type="dxa"/>
          </w:tcPr>
          <w:p w14:paraId="328AFDFA">
            <w:pPr>
              <w:jc w:val="center"/>
              <w:rPr>
                <w:b w:val="0"/>
                <w:sz w:val="21"/>
                <w:szCs w:val="21"/>
              </w:rPr>
            </w:pPr>
            <w:r>
              <w:rPr>
                <w:b w:val="0"/>
                <w:sz w:val="21"/>
                <w:szCs w:val="21"/>
              </w:rPr>
              <w:t xml:space="preserve">5 </w:t>
            </w:r>
          </w:p>
        </w:tc>
        <w:tc>
          <w:tcPr>
            <w:tcW w:w="1505" w:type="dxa"/>
            <w:vAlign w:val="center"/>
          </w:tcPr>
          <w:p w14:paraId="193E1C11">
            <w:pPr>
              <w:jc w:val="center"/>
              <w:rPr>
                <w:rFonts w:hint="default" w:eastAsia="宋体"/>
                <w:b w:val="0"/>
                <w:sz w:val="21"/>
                <w:szCs w:val="21"/>
                <w:lang w:val="en-US" w:eastAsia="zh-CN"/>
              </w:rPr>
            </w:pPr>
            <w:r>
              <w:rPr>
                <w:rFonts w:hint="eastAsia"/>
                <w:b w:val="0"/>
                <w:sz w:val="21"/>
                <w:szCs w:val="21"/>
                <w:lang w:val="en-US" w:eastAsia="zh-CN"/>
              </w:rPr>
              <w:t>0.21</w:t>
            </w:r>
          </w:p>
        </w:tc>
        <w:tc>
          <w:tcPr>
            <w:tcW w:w="1505" w:type="dxa"/>
            <w:vAlign w:val="center"/>
          </w:tcPr>
          <w:p w14:paraId="7EC76D26">
            <w:pPr>
              <w:jc w:val="center"/>
              <w:rPr>
                <w:rFonts w:hint="default" w:eastAsia="宋体"/>
                <w:b w:val="0"/>
                <w:sz w:val="21"/>
                <w:szCs w:val="21"/>
                <w:lang w:val="en-US" w:eastAsia="zh-CN"/>
              </w:rPr>
            </w:pPr>
            <w:r>
              <w:rPr>
                <w:rFonts w:hint="eastAsia"/>
                <w:b w:val="0"/>
                <w:sz w:val="21"/>
                <w:szCs w:val="21"/>
                <w:lang w:val="en-US" w:eastAsia="zh-CN"/>
              </w:rPr>
              <w:t>0.31</w:t>
            </w:r>
          </w:p>
        </w:tc>
        <w:tc>
          <w:tcPr>
            <w:tcW w:w="1505" w:type="dxa"/>
            <w:vAlign w:val="center"/>
          </w:tcPr>
          <w:p w14:paraId="43B334C1">
            <w:pPr>
              <w:jc w:val="center"/>
              <w:rPr>
                <w:rFonts w:hint="default" w:eastAsia="宋体"/>
                <w:b w:val="0"/>
                <w:sz w:val="21"/>
                <w:szCs w:val="21"/>
                <w:lang w:val="en-US" w:eastAsia="zh-CN"/>
              </w:rPr>
            </w:pPr>
            <w:r>
              <w:rPr>
                <w:rFonts w:hint="eastAsia" w:eastAsia="宋体"/>
                <w:b w:val="0"/>
                <w:sz w:val="21"/>
                <w:szCs w:val="21"/>
                <w:lang w:val="en-US" w:eastAsia="zh-CN"/>
              </w:rPr>
              <w:t>1.18</w:t>
            </w:r>
          </w:p>
        </w:tc>
      </w:tr>
      <w:tr w14:paraId="205BC2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29" w:type="dxa"/>
          </w:tcPr>
          <w:p w14:paraId="731124EB">
            <w:pPr>
              <w:jc w:val="center"/>
              <w:rPr>
                <w:b w:val="0"/>
                <w:sz w:val="21"/>
                <w:szCs w:val="21"/>
              </w:rPr>
            </w:pPr>
            <w:r>
              <w:rPr>
                <w:b w:val="0"/>
                <w:sz w:val="21"/>
                <w:szCs w:val="21"/>
              </w:rPr>
              <w:t>总平均值</w:t>
            </w:r>
            <w:r>
              <w:rPr>
                <w:rFonts w:eastAsia="黑体"/>
                <w:b w:val="0"/>
                <w:i/>
                <w:sz w:val="18"/>
                <w:szCs w:val="18"/>
              </w:rPr>
              <w:t>w</w:t>
            </w:r>
            <w:r>
              <w:rPr>
                <w:rFonts w:eastAsia="黑体"/>
                <w:b w:val="0"/>
                <w:sz w:val="18"/>
                <w:szCs w:val="18"/>
              </w:rPr>
              <w:t>/%</w:t>
            </w:r>
          </w:p>
        </w:tc>
        <w:tc>
          <w:tcPr>
            <w:tcW w:w="1505" w:type="dxa"/>
            <w:vAlign w:val="center"/>
          </w:tcPr>
          <w:p w14:paraId="73C237F0">
            <w:pPr>
              <w:jc w:val="center"/>
              <w:rPr>
                <w:rFonts w:hint="default" w:eastAsia="宋体"/>
                <w:b w:val="0"/>
                <w:sz w:val="21"/>
                <w:szCs w:val="21"/>
                <w:lang w:val="en-US" w:eastAsia="zh-CN"/>
              </w:rPr>
            </w:pPr>
            <w:r>
              <w:rPr>
                <w:rFonts w:hint="eastAsia" w:eastAsia="宋体"/>
                <w:b w:val="0"/>
                <w:sz w:val="21"/>
                <w:szCs w:val="21"/>
                <w:lang w:val="en-US" w:eastAsia="zh-CN"/>
              </w:rPr>
              <w:t>0.18</w:t>
            </w:r>
          </w:p>
        </w:tc>
        <w:tc>
          <w:tcPr>
            <w:tcW w:w="1505" w:type="dxa"/>
            <w:vAlign w:val="center"/>
          </w:tcPr>
          <w:p w14:paraId="7CE8FA07">
            <w:pPr>
              <w:jc w:val="center"/>
              <w:rPr>
                <w:rFonts w:hint="default" w:eastAsia="宋体"/>
                <w:b w:val="0"/>
                <w:sz w:val="21"/>
                <w:szCs w:val="21"/>
                <w:lang w:val="en-US" w:eastAsia="zh-CN"/>
              </w:rPr>
            </w:pPr>
            <w:r>
              <w:rPr>
                <w:rFonts w:hint="eastAsia"/>
                <w:b w:val="0"/>
                <w:sz w:val="21"/>
                <w:szCs w:val="21"/>
                <w:lang w:val="en-US" w:eastAsia="zh-CN"/>
              </w:rPr>
              <w:t>0.31</w:t>
            </w:r>
          </w:p>
        </w:tc>
        <w:tc>
          <w:tcPr>
            <w:tcW w:w="1505" w:type="dxa"/>
            <w:vAlign w:val="center"/>
          </w:tcPr>
          <w:p w14:paraId="10CCEAE3">
            <w:pPr>
              <w:jc w:val="center"/>
              <w:rPr>
                <w:b w:val="0"/>
                <w:sz w:val="21"/>
                <w:szCs w:val="21"/>
              </w:rPr>
            </w:pPr>
            <w:r>
              <w:rPr>
                <w:rFonts w:hint="eastAsia"/>
                <w:b w:val="0"/>
                <w:sz w:val="21"/>
                <w:szCs w:val="21"/>
                <w:lang w:val="en-US" w:eastAsia="zh-CN"/>
              </w:rPr>
              <w:t>1.14</w:t>
            </w:r>
            <w:r>
              <w:rPr>
                <w:b w:val="0"/>
                <w:sz w:val="21"/>
                <w:szCs w:val="21"/>
              </w:rPr>
              <w:t xml:space="preserve"> </w:t>
            </w:r>
          </w:p>
        </w:tc>
      </w:tr>
    </w:tbl>
    <w:p w14:paraId="7B3555FE">
      <w:pPr>
        <w:spacing w:before="156" w:beforeLines="50" w:line="360" w:lineRule="auto"/>
        <w:rPr>
          <w:rFonts w:eastAsia="黑体"/>
          <w:b w:val="0"/>
          <w:bCs/>
          <w:sz w:val="24"/>
        </w:rPr>
      </w:pPr>
      <w:r>
        <w:rPr>
          <w:rFonts w:eastAsia="黑体"/>
          <w:b w:val="0"/>
          <w:bCs/>
          <w:sz w:val="24"/>
        </w:rPr>
        <w:t>3.</w:t>
      </w:r>
      <w:r>
        <w:rPr>
          <w:rFonts w:hint="eastAsia" w:eastAsia="黑体"/>
          <w:b w:val="0"/>
          <w:bCs/>
          <w:sz w:val="24"/>
          <w:lang w:val="en-US" w:eastAsia="zh-CN"/>
        </w:rPr>
        <w:t>7</w:t>
      </w:r>
      <w:r>
        <w:rPr>
          <w:rFonts w:eastAsia="黑体"/>
          <w:b w:val="0"/>
          <w:bCs/>
          <w:sz w:val="24"/>
        </w:rPr>
        <w:t>.2 方法重复性限</w:t>
      </w:r>
    </w:p>
    <w:p w14:paraId="4830F812">
      <w:pPr>
        <w:widowControl/>
        <w:tabs>
          <w:tab w:val="center" w:pos="4201"/>
          <w:tab w:val="right" w:leader="dot" w:pos="9298"/>
        </w:tabs>
        <w:autoSpaceDE w:val="0"/>
        <w:autoSpaceDN w:val="0"/>
        <w:spacing w:line="360" w:lineRule="auto"/>
        <w:ind w:firstLine="420" w:firstLineChars="200"/>
        <w:rPr>
          <w:b w:val="0"/>
          <w:sz w:val="21"/>
          <w:szCs w:val="21"/>
        </w:rPr>
      </w:pPr>
      <w:r>
        <w:rPr>
          <w:b w:val="0"/>
          <w:sz w:val="21"/>
          <w:szCs w:val="21"/>
        </w:rPr>
        <w:t>在重复性条件下获得的两次独立测试结果的测定值，在表10给出的平均值范围内，两个测试结果的绝对差值不超过重复性限（r），超过重复性限（r）的情况不超过5%，重复性限（r）按表9数据采用线性内插法或外延法求得：</w:t>
      </w:r>
    </w:p>
    <w:p w14:paraId="19A99BB0">
      <w:pPr>
        <w:spacing w:line="400" w:lineRule="exact"/>
        <w:jc w:val="center"/>
        <w:rPr>
          <w:rFonts w:eastAsia="黑体"/>
          <w:b w:val="0"/>
          <w:sz w:val="21"/>
          <w:szCs w:val="21"/>
        </w:rPr>
      </w:pPr>
      <w:r>
        <w:rPr>
          <w:rFonts w:eastAsia="黑体"/>
          <w:b w:val="0"/>
          <w:sz w:val="21"/>
          <w:szCs w:val="21"/>
        </w:rPr>
        <w:t>表11  重复性限</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65"/>
        <w:gridCol w:w="1164"/>
        <w:gridCol w:w="1164"/>
      </w:tblGrid>
      <w:tr w14:paraId="40B8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tcBorders>
              <w:top w:val="single" w:color="auto" w:sz="12" w:space="0"/>
              <w:left w:val="single" w:color="auto" w:sz="12" w:space="0"/>
            </w:tcBorders>
            <w:vAlign w:val="center"/>
          </w:tcPr>
          <w:p w14:paraId="1AC67DEA">
            <w:pPr>
              <w:spacing w:line="400" w:lineRule="exact"/>
              <w:jc w:val="center"/>
              <w:rPr>
                <w:b w:val="0"/>
                <w:sz w:val="21"/>
                <w:szCs w:val="21"/>
              </w:rPr>
            </w:pPr>
            <w:r>
              <w:rPr>
                <w:b w:val="0"/>
                <w:i/>
                <w:iCs/>
                <w:sz w:val="21"/>
                <w:szCs w:val="21"/>
              </w:rPr>
              <w:t>W</w:t>
            </w:r>
            <w:r>
              <w:rPr>
                <w:b w:val="0"/>
                <w:sz w:val="21"/>
                <w:szCs w:val="21"/>
                <w:vertAlign w:val="subscript"/>
              </w:rPr>
              <w:t xml:space="preserve"> </w:t>
            </w:r>
            <w:r>
              <w:rPr>
                <w:b w:val="0"/>
                <w:sz w:val="21"/>
                <w:szCs w:val="21"/>
              </w:rPr>
              <w:t>/ %</w:t>
            </w:r>
          </w:p>
        </w:tc>
        <w:tc>
          <w:tcPr>
            <w:tcW w:w="1165" w:type="dxa"/>
            <w:tcBorders>
              <w:top w:val="single" w:color="auto" w:sz="12" w:space="0"/>
            </w:tcBorders>
            <w:vAlign w:val="center"/>
          </w:tcPr>
          <w:p w14:paraId="4BD93EB7">
            <w:pPr>
              <w:spacing w:line="400" w:lineRule="exact"/>
              <w:jc w:val="center"/>
              <w:rPr>
                <w:rFonts w:hint="default"/>
                <w:b w:val="0"/>
                <w:sz w:val="21"/>
                <w:szCs w:val="21"/>
                <w:lang w:val="en-US"/>
              </w:rPr>
            </w:pPr>
            <w:r>
              <w:rPr>
                <w:rFonts w:hint="eastAsia"/>
                <w:b w:val="0"/>
                <w:sz w:val="21"/>
                <w:szCs w:val="21"/>
                <w:lang w:val="en-US" w:eastAsia="zh-CN"/>
              </w:rPr>
              <w:t>0.18</w:t>
            </w:r>
          </w:p>
        </w:tc>
        <w:tc>
          <w:tcPr>
            <w:tcW w:w="1164" w:type="dxa"/>
            <w:tcBorders>
              <w:top w:val="single" w:color="auto" w:sz="12" w:space="0"/>
            </w:tcBorders>
            <w:vAlign w:val="center"/>
          </w:tcPr>
          <w:p w14:paraId="6847E1F9">
            <w:pPr>
              <w:spacing w:line="400" w:lineRule="exact"/>
              <w:jc w:val="center"/>
              <w:rPr>
                <w:rFonts w:hint="default"/>
                <w:b w:val="0"/>
                <w:sz w:val="21"/>
                <w:szCs w:val="21"/>
                <w:lang w:val="en-US"/>
              </w:rPr>
            </w:pPr>
            <w:r>
              <w:rPr>
                <w:rFonts w:hint="eastAsia"/>
                <w:b w:val="0"/>
                <w:sz w:val="21"/>
                <w:szCs w:val="21"/>
                <w:lang w:val="en-US" w:eastAsia="zh-CN"/>
              </w:rPr>
              <w:t>0.31</w:t>
            </w:r>
          </w:p>
        </w:tc>
        <w:tc>
          <w:tcPr>
            <w:tcW w:w="1164" w:type="dxa"/>
            <w:tcBorders>
              <w:top w:val="single" w:color="auto" w:sz="12" w:space="0"/>
              <w:right w:val="single" w:color="auto" w:sz="12" w:space="0"/>
            </w:tcBorders>
            <w:vAlign w:val="center"/>
          </w:tcPr>
          <w:p w14:paraId="28B4F216">
            <w:pPr>
              <w:spacing w:line="400" w:lineRule="exact"/>
              <w:jc w:val="center"/>
              <w:rPr>
                <w:rFonts w:hint="default" w:eastAsia="宋体"/>
                <w:b w:val="0"/>
                <w:sz w:val="21"/>
                <w:szCs w:val="21"/>
                <w:lang w:val="en-US" w:eastAsia="zh-CN"/>
              </w:rPr>
            </w:pPr>
            <w:r>
              <w:rPr>
                <w:rFonts w:hint="eastAsia"/>
                <w:b w:val="0"/>
                <w:sz w:val="21"/>
                <w:szCs w:val="21"/>
                <w:lang w:val="en-US" w:eastAsia="zh-CN"/>
              </w:rPr>
              <w:t>1.14</w:t>
            </w:r>
          </w:p>
        </w:tc>
      </w:tr>
      <w:tr w14:paraId="1793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tcBorders>
              <w:left w:val="single" w:color="auto" w:sz="12" w:space="0"/>
              <w:bottom w:val="single" w:color="auto" w:sz="12" w:space="0"/>
            </w:tcBorders>
            <w:vAlign w:val="center"/>
          </w:tcPr>
          <w:p w14:paraId="6FF0D3CC">
            <w:pPr>
              <w:spacing w:line="400" w:lineRule="exact"/>
              <w:jc w:val="center"/>
              <w:rPr>
                <w:b w:val="0"/>
                <w:sz w:val="21"/>
                <w:szCs w:val="21"/>
              </w:rPr>
            </w:pPr>
            <w:r>
              <w:rPr>
                <w:b w:val="0"/>
                <w:i/>
                <w:iCs/>
                <w:sz w:val="21"/>
                <w:szCs w:val="21"/>
              </w:rPr>
              <w:t>r</w:t>
            </w:r>
            <w:r>
              <w:rPr>
                <w:b w:val="0"/>
                <w:sz w:val="21"/>
                <w:szCs w:val="21"/>
              </w:rPr>
              <w:t xml:space="preserve"> / %</w:t>
            </w:r>
          </w:p>
        </w:tc>
        <w:tc>
          <w:tcPr>
            <w:tcW w:w="1165" w:type="dxa"/>
            <w:tcBorders>
              <w:bottom w:val="single" w:color="auto" w:sz="12" w:space="0"/>
            </w:tcBorders>
            <w:vAlign w:val="center"/>
          </w:tcPr>
          <w:p w14:paraId="04FA3D49">
            <w:pPr>
              <w:spacing w:line="400" w:lineRule="exact"/>
              <w:jc w:val="center"/>
              <w:rPr>
                <w:rFonts w:hint="default"/>
                <w:b w:val="0"/>
                <w:sz w:val="21"/>
                <w:szCs w:val="21"/>
                <w:lang w:val="en-US" w:eastAsia="zh-CN"/>
              </w:rPr>
            </w:pPr>
            <w:r>
              <w:rPr>
                <w:rFonts w:hint="eastAsia"/>
                <w:b w:val="0"/>
                <w:sz w:val="21"/>
                <w:szCs w:val="21"/>
                <w:lang w:val="en-US" w:eastAsia="zh-CN"/>
              </w:rPr>
              <w:t>0.039</w:t>
            </w:r>
          </w:p>
        </w:tc>
        <w:tc>
          <w:tcPr>
            <w:tcW w:w="1164" w:type="dxa"/>
            <w:tcBorders>
              <w:bottom w:val="single" w:color="auto" w:sz="12" w:space="0"/>
            </w:tcBorders>
            <w:vAlign w:val="center"/>
          </w:tcPr>
          <w:p w14:paraId="0F0DDCE2">
            <w:pPr>
              <w:spacing w:line="400" w:lineRule="exact"/>
              <w:jc w:val="center"/>
              <w:rPr>
                <w:rFonts w:hint="default"/>
                <w:b w:val="0"/>
                <w:sz w:val="21"/>
                <w:szCs w:val="21"/>
                <w:lang w:val="en-US" w:eastAsia="zh-CN"/>
              </w:rPr>
            </w:pPr>
            <w:r>
              <w:rPr>
                <w:rFonts w:hint="eastAsia"/>
                <w:b w:val="0"/>
                <w:sz w:val="21"/>
                <w:szCs w:val="21"/>
                <w:lang w:val="en-US" w:eastAsia="zh-CN"/>
              </w:rPr>
              <w:t>0.073</w:t>
            </w:r>
          </w:p>
        </w:tc>
        <w:tc>
          <w:tcPr>
            <w:tcW w:w="1164" w:type="dxa"/>
            <w:tcBorders>
              <w:bottom w:val="single" w:color="auto" w:sz="12" w:space="0"/>
              <w:right w:val="single" w:color="auto" w:sz="12" w:space="0"/>
            </w:tcBorders>
            <w:vAlign w:val="center"/>
          </w:tcPr>
          <w:p w14:paraId="21DF88E5">
            <w:pPr>
              <w:spacing w:line="400" w:lineRule="exact"/>
              <w:jc w:val="center"/>
              <w:rPr>
                <w:rFonts w:hint="default"/>
                <w:b w:val="0"/>
                <w:sz w:val="21"/>
                <w:szCs w:val="21"/>
                <w:lang w:val="en-US" w:eastAsia="zh-CN"/>
              </w:rPr>
            </w:pPr>
            <w:r>
              <w:rPr>
                <w:rFonts w:hint="eastAsia"/>
                <w:b w:val="0"/>
                <w:sz w:val="21"/>
                <w:szCs w:val="21"/>
                <w:lang w:val="en-US" w:eastAsia="zh-CN"/>
              </w:rPr>
              <w:t>0.136</w:t>
            </w:r>
          </w:p>
        </w:tc>
      </w:tr>
    </w:tbl>
    <w:p w14:paraId="0EF8DF92">
      <w:pPr>
        <w:spacing w:before="156" w:beforeLines="50" w:line="360" w:lineRule="auto"/>
        <w:rPr>
          <w:rFonts w:eastAsia="黑体"/>
          <w:b w:val="0"/>
          <w:bCs/>
          <w:sz w:val="24"/>
        </w:rPr>
      </w:pPr>
      <w:r>
        <w:rPr>
          <w:rFonts w:eastAsia="黑体"/>
          <w:b w:val="0"/>
          <w:bCs/>
          <w:sz w:val="24"/>
        </w:rPr>
        <w:t>3.</w:t>
      </w:r>
      <w:r>
        <w:rPr>
          <w:rFonts w:hint="eastAsia" w:eastAsia="黑体"/>
          <w:b w:val="0"/>
          <w:bCs/>
          <w:sz w:val="24"/>
          <w:lang w:val="en-US" w:eastAsia="zh-CN"/>
        </w:rPr>
        <w:t>7</w:t>
      </w:r>
      <w:r>
        <w:rPr>
          <w:rFonts w:eastAsia="黑体"/>
          <w:b w:val="0"/>
          <w:bCs/>
          <w:sz w:val="24"/>
        </w:rPr>
        <w:t>.3 方法再现性限</w:t>
      </w:r>
    </w:p>
    <w:p w14:paraId="7CA59E1B">
      <w:pPr>
        <w:widowControl/>
        <w:tabs>
          <w:tab w:val="center" w:pos="4201"/>
          <w:tab w:val="right" w:leader="dot" w:pos="9298"/>
        </w:tabs>
        <w:autoSpaceDE w:val="0"/>
        <w:autoSpaceDN w:val="0"/>
        <w:spacing w:line="360" w:lineRule="auto"/>
        <w:ind w:firstLine="420" w:firstLineChars="200"/>
        <w:rPr>
          <w:b w:val="0"/>
          <w:sz w:val="21"/>
          <w:szCs w:val="21"/>
        </w:rPr>
      </w:pPr>
      <w:r>
        <w:rPr>
          <w:b w:val="0"/>
          <w:sz w:val="21"/>
          <w:szCs w:val="21"/>
        </w:rPr>
        <w:t>在再现性条件下获得的两次独立测试结果的测定值，在表11给出的平均值范围内，两个测试结果的绝对差值不超过再现性限（R），超过再现性限（R）的情况不超过5%，再现性限（R）按表9数据采用线性内插法或外延法求得：</w:t>
      </w:r>
    </w:p>
    <w:p w14:paraId="78AF693E">
      <w:pPr>
        <w:spacing w:line="400" w:lineRule="exact"/>
        <w:jc w:val="center"/>
        <w:rPr>
          <w:rFonts w:eastAsia="黑体"/>
          <w:b w:val="0"/>
          <w:sz w:val="21"/>
          <w:szCs w:val="21"/>
        </w:rPr>
      </w:pPr>
      <w:r>
        <w:rPr>
          <w:rFonts w:eastAsia="黑体"/>
          <w:b w:val="0"/>
          <w:sz w:val="21"/>
          <w:szCs w:val="21"/>
        </w:rPr>
        <w:t>表12  再现性限</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65"/>
        <w:gridCol w:w="1164"/>
        <w:gridCol w:w="1164"/>
      </w:tblGrid>
      <w:tr w14:paraId="18A4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tcBorders>
              <w:top w:val="single" w:color="auto" w:sz="12" w:space="0"/>
              <w:left w:val="single" w:color="auto" w:sz="12" w:space="0"/>
            </w:tcBorders>
            <w:vAlign w:val="center"/>
          </w:tcPr>
          <w:p w14:paraId="7C655E0A">
            <w:pPr>
              <w:spacing w:line="400" w:lineRule="exact"/>
              <w:jc w:val="center"/>
              <w:rPr>
                <w:b w:val="0"/>
                <w:sz w:val="21"/>
                <w:szCs w:val="21"/>
              </w:rPr>
            </w:pPr>
            <w:r>
              <w:rPr>
                <w:b w:val="0"/>
                <w:i/>
                <w:iCs/>
                <w:sz w:val="21"/>
                <w:szCs w:val="21"/>
              </w:rPr>
              <w:t>W</w:t>
            </w:r>
            <w:r>
              <w:rPr>
                <w:b w:val="0"/>
                <w:sz w:val="21"/>
                <w:szCs w:val="21"/>
                <w:vertAlign w:val="subscript"/>
              </w:rPr>
              <w:t xml:space="preserve"> </w:t>
            </w:r>
            <w:r>
              <w:rPr>
                <w:b w:val="0"/>
                <w:sz w:val="21"/>
                <w:szCs w:val="21"/>
              </w:rPr>
              <w:t>/ %</w:t>
            </w:r>
          </w:p>
        </w:tc>
        <w:tc>
          <w:tcPr>
            <w:tcW w:w="1165" w:type="dxa"/>
            <w:tcBorders>
              <w:top w:val="single" w:color="auto" w:sz="12" w:space="0"/>
            </w:tcBorders>
            <w:vAlign w:val="center"/>
          </w:tcPr>
          <w:p w14:paraId="57D5A2D6">
            <w:pPr>
              <w:spacing w:line="400" w:lineRule="exact"/>
              <w:jc w:val="center"/>
              <w:rPr>
                <w:b w:val="0"/>
                <w:sz w:val="21"/>
                <w:szCs w:val="21"/>
              </w:rPr>
            </w:pPr>
            <w:r>
              <w:rPr>
                <w:rFonts w:hint="eastAsia"/>
                <w:b w:val="0"/>
                <w:sz w:val="21"/>
                <w:szCs w:val="21"/>
                <w:lang w:val="en-US" w:eastAsia="zh-CN"/>
              </w:rPr>
              <w:t>0.18</w:t>
            </w:r>
          </w:p>
        </w:tc>
        <w:tc>
          <w:tcPr>
            <w:tcW w:w="1164" w:type="dxa"/>
            <w:tcBorders>
              <w:top w:val="single" w:color="auto" w:sz="12" w:space="0"/>
            </w:tcBorders>
            <w:vAlign w:val="center"/>
          </w:tcPr>
          <w:p w14:paraId="39D4D9AA">
            <w:pPr>
              <w:spacing w:line="400" w:lineRule="exact"/>
              <w:jc w:val="center"/>
              <w:rPr>
                <w:b w:val="0"/>
                <w:sz w:val="21"/>
                <w:szCs w:val="21"/>
              </w:rPr>
            </w:pPr>
            <w:r>
              <w:rPr>
                <w:rFonts w:hint="eastAsia"/>
                <w:b w:val="0"/>
                <w:sz w:val="21"/>
                <w:szCs w:val="21"/>
                <w:lang w:val="en-US" w:eastAsia="zh-CN"/>
              </w:rPr>
              <w:t>0.31</w:t>
            </w:r>
          </w:p>
        </w:tc>
        <w:tc>
          <w:tcPr>
            <w:tcW w:w="1164" w:type="dxa"/>
            <w:tcBorders>
              <w:top w:val="single" w:color="auto" w:sz="12" w:space="0"/>
              <w:right w:val="single" w:color="auto" w:sz="12" w:space="0"/>
            </w:tcBorders>
            <w:vAlign w:val="center"/>
          </w:tcPr>
          <w:p w14:paraId="35AF1424">
            <w:pPr>
              <w:spacing w:line="400" w:lineRule="exact"/>
              <w:jc w:val="center"/>
              <w:rPr>
                <w:b w:val="0"/>
                <w:sz w:val="21"/>
                <w:szCs w:val="21"/>
              </w:rPr>
            </w:pPr>
            <w:r>
              <w:rPr>
                <w:rFonts w:hint="eastAsia"/>
                <w:b w:val="0"/>
                <w:sz w:val="21"/>
                <w:szCs w:val="21"/>
                <w:lang w:val="en-US" w:eastAsia="zh-CN"/>
              </w:rPr>
              <w:t>1.14</w:t>
            </w:r>
          </w:p>
        </w:tc>
      </w:tr>
      <w:tr w14:paraId="6B8C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tcBorders>
              <w:left w:val="single" w:color="auto" w:sz="12" w:space="0"/>
              <w:bottom w:val="single" w:color="auto" w:sz="12" w:space="0"/>
            </w:tcBorders>
            <w:vAlign w:val="center"/>
          </w:tcPr>
          <w:p w14:paraId="7B6475D9">
            <w:pPr>
              <w:spacing w:line="400" w:lineRule="exact"/>
              <w:jc w:val="center"/>
              <w:rPr>
                <w:b w:val="0"/>
                <w:sz w:val="21"/>
                <w:szCs w:val="21"/>
              </w:rPr>
            </w:pPr>
            <w:r>
              <w:rPr>
                <w:b w:val="0"/>
                <w:i/>
                <w:iCs/>
                <w:sz w:val="21"/>
                <w:szCs w:val="21"/>
              </w:rPr>
              <w:t>r</w:t>
            </w:r>
            <w:r>
              <w:rPr>
                <w:b w:val="0"/>
                <w:sz w:val="21"/>
                <w:szCs w:val="21"/>
              </w:rPr>
              <w:t xml:space="preserve"> / %</w:t>
            </w:r>
          </w:p>
        </w:tc>
        <w:tc>
          <w:tcPr>
            <w:tcW w:w="1165" w:type="dxa"/>
            <w:tcBorders>
              <w:bottom w:val="single" w:color="auto" w:sz="12" w:space="0"/>
            </w:tcBorders>
            <w:vAlign w:val="center"/>
          </w:tcPr>
          <w:p w14:paraId="580A073B">
            <w:pPr>
              <w:spacing w:line="400" w:lineRule="exact"/>
              <w:jc w:val="center"/>
              <w:rPr>
                <w:rFonts w:hint="default"/>
                <w:b w:val="0"/>
                <w:sz w:val="21"/>
                <w:szCs w:val="21"/>
                <w:lang w:val="en-US" w:eastAsia="zh-CN"/>
              </w:rPr>
            </w:pPr>
            <w:r>
              <w:rPr>
                <w:rFonts w:hint="eastAsia"/>
                <w:b w:val="0"/>
                <w:sz w:val="21"/>
                <w:szCs w:val="21"/>
                <w:lang w:val="en-US" w:eastAsia="zh-CN"/>
              </w:rPr>
              <w:t>0.055</w:t>
            </w:r>
          </w:p>
        </w:tc>
        <w:tc>
          <w:tcPr>
            <w:tcW w:w="1164" w:type="dxa"/>
            <w:tcBorders>
              <w:bottom w:val="single" w:color="auto" w:sz="12" w:space="0"/>
            </w:tcBorders>
            <w:vAlign w:val="center"/>
          </w:tcPr>
          <w:p w14:paraId="13C456F3">
            <w:pPr>
              <w:spacing w:line="400" w:lineRule="exact"/>
              <w:jc w:val="center"/>
              <w:rPr>
                <w:rFonts w:hint="eastAsia"/>
                <w:b w:val="0"/>
                <w:sz w:val="21"/>
                <w:szCs w:val="21"/>
                <w:lang w:val="en-US" w:eastAsia="zh-CN"/>
              </w:rPr>
            </w:pPr>
            <w:r>
              <w:rPr>
                <w:rFonts w:hint="eastAsia"/>
                <w:b w:val="0"/>
                <w:sz w:val="21"/>
                <w:szCs w:val="21"/>
                <w:lang w:val="en-US" w:eastAsia="zh-CN"/>
              </w:rPr>
              <w:t>0.084</w:t>
            </w:r>
          </w:p>
        </w:tc>
        <w:tc>
          <w:tcPr>
            <w:tcW w:w="1164" w:type="dxa"/>
            <w:tcBorders>
              <w:bottom w:val="single" w:color="auto" w:sz="12" w:space="0"/>
              <w:right w:val="single" w:color="auto" w:sz="12" w:space="0"/>
            </w:tcBorders>
            <w:vAlign w:val="center"/>
          </w:tcPr>
          <w:p w14:paraId="6E486D0F">
            <w:pPr>
              <w:spacing w:line="400" w:lineRule="exact"/>
              <w:jc w:val="center"/>
              <w:rPr>
                <w:rFonts w:hint="default"/>
                <w:b w:val="0"/>
                <w:sz w:val="21"/>
                <w:szCs w:val="21"/>
                <w:lang w:val="en-US" w:eastAsia="zh-CN"/>
              </w:rPr>
            </w:pPr>
            <w:r>
              <w:rPr>
                <w:rFonts w:hint="eastAsia"/>
                <w:b w:val="0"/>
                <w:sz w:val="21"/>
                <w:szCs w:val="21"/>
                <w:lang w:val="en-US" w:eastAsia="zh-CN"/>
              </w:rPr>
              <w:t>0.241</w:t>
            </w:r>
          </w:p>
        </w:tc>
      </w:tr>
    </w:tbl>
    <w:p w14:paraId="13EAA13B">
      <w:pPr>
        <w:tabs>
          <w:tab w:val="left" w:pos="840"/>
        </w:tabs>
        <w:snapToGrid w:val="0"/>
        <w:spacing w:before="50" w:after="50" w:line="360" w:lineRule="auto"/>
        <w:jc w:val="left"/>
        <w:rPr>
          <w:rFonts w:eastAsia="黑体"/>
          <w:b w:val="0"/>
          <w:bCs/>
          <w:sz w:val="24"/>
        </w:rPr>
      </w:pPr>
      <w:r>
        <w:rPr>
          <w:rFonts w:eastAsia="黑体"/>
          <w:b w:val="0"/>
          <w:bCs/>
          <w:sz w:val="24"/>
        </w:rPr>
        <w:t>3.</w:t>
      </w:r>
      <w:r>
        <w:rPr>
          <w:rFonts w:hint="eastAsia" w:eastAsia="黑体"/>
          <w:b w:val="0"/>
          <w:bCs/>
          <w:sz w:val="24"/>
          <w:lang w:val="en-US" w:eastAsia="zh-CN"/>
        </w:rPr>
        <w:t>8</w:t>
      </w:r>
      <w:r>
        <w:rPr>
          <w:rFonts w:eastAsia="黑体"/>
          <w:b w:val="0"/>
          <w:bCs/>
          <w:sz w:val="24"/>
        </w:rPr>
        <w:t xml:space="preserve"> 分析方法水平简析及验证情况</w:t>
      </w:r>
    </w:p>
    <w:p w14:paraId="104A4EF4">
      <w:pPr>
        <w:tabs>
          <w:tab w:val="left" w:pos="840"/>
        </w:tabs>
        <w:snapToGrid w:val="0"/>
        <w:spacing w:before="50" w:after="50" w:line="360" w:lineRule="auto"/>
        <w:ind w:firstLine="420" w:firstLineChars="200"/>
        <w:jc w:val="left"/>
        <w:rPr>
          <w:b w:val="0"/>
          <w:sz w:val="21"/>
          <w:szCs w:val="21"/>
        </w:rPr>
      </w:pPr>
      <w:r>
        <w:rPr>
          <w:b w:val="0"/>
          <w:sz w:val="21"/>
          <w:szCs w:val="21"/>
        </w:rPr>
        <w:t>目前国内外测定无定形硼粉</w:t>
      </w:r>
      <w:r>
        <w:rPr>
          <w:rFonts w:hint="eastAsia"/>
          <w:b w:val="0"/>
          <w:sz w:val="21"/>
          <w:szCs w:val="21"/>
          <w:lang w:val="en-US" w:eastAsia="zh-CN"/>
        </w:rPr>
        <w:t>过氧化氢不溶物</w:t>
      </w:r>
      <w:r>
        <w:rPr>
          <w:b w:val="0"/>
          <w:sz w:val="21"/>
          <w:szCs w:val="21"/>
        </w:rPr>
        <w:t>含量</w:t>
      </w:r>
      <w:r>
        <w:rPr>
          <w:rFonts w:hint="eastAsia"/>
          <w:b w:val="0"/>
          <w:sz w:val="21"/>
          <w:szCs w:val="21"/>
          <w:lang w:eastAsia="zh-CN"/>
        </w:rPr>
        <w:t>的</w:t>
      </w:r>
      <w:r>
        <w:rPr>
          <w:rFonts w:hint="eastAsia"/>
          <w:b w:val="0"/>
          <w:sz w:val="21"/>
          <w:szCs w:val="21"/>
          <w:lang w:val="en-US" w:eastAsia="zh-CN"/>
        </w:rPr>
        <w:t>方法主要为称重法</w:t>
      </w:r>
      <w:r>
        <w:rPr>
          <w:b w:val="0"/>
          <w:sz w:val="21"/>
          <w:szCs w:val="21"/>
        </w:rPr>
        <w:t>，</w:t>
      </w:r>
      <w:r>
        <w:rPr>
          <w:rFonts w:hint="eastAsia"/>
          <w:b w:val="0"/>
          <w:sz w:val="21"/>
          <w:szCs w:val="21"/>
          <w:lang w:val="en-US" w:eastAsia="zh-CN"/>
        </w:rPr>
        <w:t>但各单位过氧化氢加入量、催化剂加入量等重要参数有所差异，测试结果再现性较差</w:t>
      </w:r>
      <w:r>
        <w:rPr>
          <w:b w:val="0"/>
          <w:sz w:val="21"/>
          <w:szCs w:val="21"/>
        </w:rPr>
        <w:t>。本分析方法</w:t>
      </w:r>
      <w:r>
        <w:rPr>
          <w:rFonts w:hint="eastAsia"/>
          <w:b w:val="0"/>
          <w:sz w:val="21"/>
          <w:szCs w:val="21"/>
        </w:rPr>
        <w:t>将</w:t>
      </w:r>
      <w:r>
        <w:rPr>
          <w:rFonts w:hint="eastAsia"/>
          <w:b w:val="0"/>
          <w:sz w:val="21"/>
          <w:szCs w:val="21"/>
          <w:lang w:val="en-US" w:eastAsia="zh-CN"/>
        </w:rPr>
        <w:t>上述条件进行了准确规定，</w:t>
      </w:r>
      <w:r>
        <w:rPr>
          <w:b w:val="0"/>
          <w:sz w:val="21"/>
          <w:szCs w:val="21"/>
        </w:rPr>
        <w:t>经实践证明，该方法</w:t>
      </w:r>
      <w:r>
        <w:rPr>
          <w:rFonts w:hint="eastAsia"/>
          <w:b w:val="0"/>
          <w:sz w:val="21"/>
          <w:szCs w:val="21"/>
          <w:lang w:val="en-US" w:eastAsia="zh-CN"/>
        </w:rPr>
        <w:t>具有</w:t>
      </w:r>
      <w:r>
        <w:rPr>
          <w:b w:val="0"/>
          <w:sz w:val="21"/>
          <w:szCs w:val="21"/>
        </w:rPr>
        <w:t>准确度</w:t>
      </w:r>
      <w:r>
        <w:rPr>
          <w:rFonts w:hint="eastAsia"/>
          <w:b w:val="0"/>
          <w:sz w:val="21"/>
          <w:szCs w:val="21"/>
          <w:lang w:val="en-US" w:eastAsia="zh-CN"/>
        </w:rPr>
        <w:t>高</w:t>
      </w:r>
      <w:r>
        <w:rPr>
          <w:b w:val="0"/>
          <w:sz w:val="21"/>
          <w:szCs w:val="21"/>
        </w:rPr>
        <w:t>、干扰少、分析快速等优点，很好解决了无定形硼粉中</w:t>
      </w:r>
      <w:r>
        <w:rPr>
          <w:rFonts w:hint="eastAsia"/>
          <w:b w:val="0"/>
          <w:sz w:val="21"/>
          <w:szCs w:val="21"/>
          <w:lang w:val="en-US" w:eastAsia="zh-CN"/>
        </w:rPr>
        <w:t>过氧化氢不溶物含量</w:t>
      </w:r>
      <w:r>
        <w:rPr>
          <w:b w:val="0"/>
          <w:sz w:val="21"/>
          <w:szCs w:val="21"/>
        </w:rPr>
        <w:t>快速、准确的分析需求，填补了国内空白</w:t>
      </w:r>
      <w:r>
        <w:rPr>
          <w:rFonts w:hint="eastAsia"/>
          <w:b w:val="0"/>
          <w:sz w:val="21"/>
          <w:szCs w:val="21"/>
          <w:lang w:eastAsia="zh-CN"/>
        </w:rPr>
        <w:t>。</w:t>
      </w:r>
    </w:p>
    <w:p w14:paraId="205D7E44">
      <w:pPr>
        <w:tabs>
          <w:tab w:val="left" w:pos="840"/>
        </w:tabs>
        <w:snapToGrid w:val="0"/>
        <w:spacing w:before="50" w:after="50" w:line="360" w:lineRule="auto"/>
        <w:jc w:val="left"/>
        <w:rPr>
          <w:rFonts w:eastAsia="黑体"/>
          <w:b w:val="0"/>
          <w:bCs/>
          <w:sz w:val="24"/>
        </w:rPr>
      </w:pPr>
      <w:r>
        <w:rPr>
          <w:rFonts w:eastAsia="黑体"/>
          <w:b w:val="0"/>
          <w:bCs/>
          <w:sz w:val="24"/>
        </w:rPr>
        <w:t>四、 标准水平分析</w:t>
      </w:r>
    </w:p>
    <w:p w14:paraId="3DC1BC2A">
      <w:pPr>
        <w:tabs>
          <w:tab w:val="left" w:pos="840"/>
        </w:tabs>
        <w:snapToGrid w:val="0"/>
        <w:spacing w:line="360" w:lineRule="auto"/>
        <w:jc w:val="left"/>
        <w:rPr>
          <w:rFonts w:eastAsia="黑体"/>
          <w:b w:val="0"/>
          <w:bCs/>
          <w:sz w:val="24"/>
        </w:rPr>
      </w:pPr>
      <w:r>
        <w:rPr>
          <w:rFonts w:eastAsia="黑体"/>
          <w:b w:val="0"/>
          <w:bCs/>
          <w:sz w:val="24"/>
        </w:rPr>
        <w:t>4.1采用国际标准和国外先进标准的程度</w:t>
      </w:r>
    </w:p>
    <w:p w14:paraId="4C5C5958">
      <w:pPr>
        <w:spacing w:line="360" w:lineRule="auto"/>
        <w:ind w:firstLine="420" w:firstLineChars="200"/>
        <w:rPr>
          <w:b w:val="0"/>
          <w:sz w:val="21"/>
          <w:szCs w:val="21"/>
        </w:rPr>
      </w:pPr>
      <w:r>
        <w:rPr>
          <w:b w:val="0"/>
          <w:sz w:val="21"/>
          <w:szCs w:val="21"/>
        </w:rPr>
        <w:t>经查，国外无类似标准化文件，因此本标准不采用其他国际或国外标准。</w:t>
      </w:r>
    </w:p>
    <w:p w14:paraId="0DDC66C1">
      <w:pPr>
        <w:tabs>
          <w:tab w:val="left" w:pos="840"/>
        </w:tabs>
        <w:snapToGrid w:val="0"/>
        <w:spacing w:line="360" w:lineRule="auto"/>
        <w:jc w:val="left"/>
        <w:rPr>
          <w:rFonts w:eastAsia="黑体"/>
          <w:b w:val="0"/>
          <w:bCs/>
          <w:sz w:val="24"/>
        </w:rPr>
      </w:pPr>
      <w:r>
        <w:rPr>
          <w:rFonts w:eastAsia="黑体"/>
          <w:b w:val="0"/>
          <w:bCs/>
          <w:sz w:val="24"/>
        </w:rPr>
        <w:t>4.2国际、国外同类标准水平的对比分析</w:t>
      </w:r>
    </w:p>
    <w:p w14:paraId="5B5EAF29">
      <w:pPr>
        <w:spacing w:line="360" w:lineRule="auto"/>
        <w:ind w:firstLine="420" w:firstLineChars="200"/>
        <w:rPr>
          <w:b w:val="0"/>
          <w:sz w:val="21"/>
          <w:szCs w:val="21"/>
        </w:rPr>
      </w:pPr>
      <w:r>
        <w:rPr>
          <w:b w:val="0"/>
          <w:sz w:val="21"/>
          <w:szCs w:val="21"/>
        </w:rPr>
        <w:t>本标准达到了国内先进水平，国外无相同的标准。</w:t>
      </w:r>
    </w:p>
    <w:p w14:paraId="5A72A8CF">
      <w:pPr>
        <w:tabs>
          <w:tab w:val="left" w:pos="840"/>
        </w:tabs>
        <w:snapToGrid w:val="0"/>
        <w:spacing w:line="360" w:lineRule="auto"/>
        <w:jc w:val="left"/>
        <w:rPr>
          <w:rFonts w:eastAsia="黑体"/>
          <w:b w:val="0"/>
          <w:bCs/>
          <w:sz w:val="24"/>
        </w:rPr>
      </w:pPr>
      <w:r>
        <w:rPr>
          <w:rFonts w:eastAsia="黑体"/>
          <w:b w:val="0"/>
          <w:bCs/>
          <w:sz w:val="24"/>
        </w:rPr>
        <w:t>4.3与现有标准及制定中标准协调配套的情况</w:t>
      </w:r>
    </w:p>
    <w:p w14:paraId="7BC30322">
      <w:pPr>
        <w:spacing w:line="360" w:lineRule="auto"/>
        <w:ind w:firstLine="420" w:firstLineChars="200"/>
        <w:rPr>
          <w:b w:val="0"/>
          <w:sz w:val="21"/>
          <w:szCs w:val="21"/>
        </w:rPr>
      </w:pPr>
      <w:r>
        <w:rPr>
          <w:b w:val="0"/>
          <w:sz w:val="21"/>
          <w:szCs w:val="21"/>
        </w:rPr>
        <w:t>经查，标准与现有标准及制定中的标准无重复交叉情况。</w:t>
      </w:r>
    </w:p>
    <w:p w14:paraId="035C2BD0">
      <w:pPr>
        <w:tabs>
          <w:tab w:val="left" w:pos="840"/>
        </w:tabs>
        <w:snapToGrid w:val="0"/>
        <w:spacing w:line="360" w:lineRule="auto"/>
        <w:jc w:val="left"/>
        <w:rPr>
          <w:rFonts w:eastAsia="黑体"/>
          <w:b w:val="0"/>
          <w:bCs/>
          <w:sz w:val="24"/>
        </w:rPr>
      </w:pPr>
      <w:r>
        <w:rPr>
          <w:rFonts w:eastAsia="黑体"/>
          <w:b w:val="0"/>
          <w:bCs/>
          <w:sz w:val="24"/>
        </w:rPr>
        <w:t>4.4 涉及国内外专利及处置情况</w:t>
      </w:r>
    </w:p>
    <w:p w14:paraId="020972CE">
      <w:pPr>
        <w:spacing w:line="360" w:lineRule="auto"/>
        <w:ind w:firstLine="420" w:firstLineChars="200"/>
        <w:rPr>
          <w:b w:val="0"/>
          <w:sz w:val="21"/>
          <w:szCs w:val="21"/>
        </w:rPr>
      </w:pPr>
      <w:r>
        <w:rPr>
          <w:b w:val="0"/>
          <w:sz w:val="21"/>
          <w:szCs w:val="21"/>
        </w:rPr>
        <w:t>经查，本文件不涉及国内外专利。</w:t>
      </w:r>
    </w:p>
    <w:p w14:paraId="3F85EAB4">
      <w:pPr>
        <w:tabs>
          <w:tab w:val="left" w:pos="840"/>
        </w:tabs>
        <w:snapToGrid w:val="0"/>
        <w:spacing w:line="360" w:lineRule="auto"/>
        <w:jc w:val="left"/>
        <w:rPr>
          <w:rFonts w:eastAsia="黑体"/>
          <w:b w:val="0"/>
          <w:bCs/>
          <w:sz w:val="24"/>
        </w:rPr>
      </w:pPr>
      <w:r>
        <w:rPr>
          <w:rFonts w:eastAsia="黑体"/>
          <w:b w:val="0"/>
          <w:bCs/>
          <w:sz w:val="24"/>
        </w:rPr>
        <w:t>五、与有关的现行法律、法规和强制性国家标准的关系</w:t>
      </w:r>
    </w:p>
    <w:p w14:paraId="0F89D922">
      <w:pPr>
        <w:spacing w:line="360" w:lineRule="auto"/>
        <w:ind w:firstLine="420" w:firstLineChars="200"/>
        <w:rPr>
          <w:b w:val="0"/>
          <w:sz w:val="21"/>
          <w:szCs w:val="21"/>
        </w:rPr>
      </w:pPr>
      <w:r>
        <w:rPr>
          <w:b w:val="0"/>
          <w:sz w:val="21"/>
          <w:szCs w:val="21"/>
        </w:rPr>
        <w:t>与有关的现行法律、法规和强制性国家标准没有冲突。</w:t>
      </w:r>
    </w:p>
    <w:p w14:paraId="365B9A62">
      <w:pPr>
        <w:tabs>
          <w:tab w:val="left" w:pos="840"/>
        </w:tabs>
        <w:snapToGrid w:val="0"/>
        <w:spacing w:line="360" w:lineRule="auto"/>
        <w:jc w:val="left"/>
        <w:rPr>
          <w:rFonts w:eastAsia="黑体"/>
          <w:b w:val="0"/>
          <w:bCs/>
          <w:sz w:val="24"/>
        </w:rPr>
      </w:pPr>
      <w:r>
        <w:rPr>
          <w:rFonts w:eastAsia="黑体"/>
          <w:b w:val="0"/>
          <w:bCs/>
          <w:sz w:val="24"/>
        </w:rPr>
        <w:t>六、重大分歧意见的处理经过和依据</w:t>
      </w:r>
    </w:p>
    <w:p w14:paraId="733E81CF">
      <w:pPr>
        <w:spacing w:line="360" w:lineRule="auto"/>
        <w:ind w:firstLine="420" w:firstLineChars="200"/>
        <w:rPr>
          <w:b w:val="0"/>
          <w:sz w:val="21"/>
          <w:szCs w:val="21"/>
        </w:rPr>
      </w:pPr>
      <w:r>
        <w:rPr>
          <w:b w:val="0"/>
          <w:sz w:val="21"/>
          <w:szCs w:val="21"/>
        </w:rPr>
        <w:t>暂无重大分歧意见。</w:t>
      </w:r>
    </w:p>
    <w:p w14:paraId="4006C4BB">
      <w:pPr>
        <w:tabs>
          <w:tab w:val="left" w:pos="840"/>
        </w:tabs>
        <w:snapToGrid w:val="0"/>
        <w:spacing w:line="360" w:lineRule="auto"/>
        <w:jc w:val="left"/>
        <w:rPr>
          <w:rFonts w:eastAsia="黑体"/>
          <w:b w:val="0"/>
          <w:bCs/>
          <w:sz w:val="24"/>
        </w:rPr>
      </w:pPr>
      <w:r>
        <w:rPr>
          <w:rFonts w:eastAsia="黑体"/>
          <w:b w:val="0"/>
          <w:bCs/>
          <w:sz w:val="24"/>
        </w:rPr>
        <w:t>七、标准作为强制性标准或推荐性标准的建议</w:t>
      </w:r>
    </w:p>
    <w:p w14:paraId="5EB60E60">
      <w:pPr>
        <w:spacing w:line="360" w:lineRule="auto"/>
        <w:ind w:firstLine="420" w:firstLineChars="200"/>
        <w:rPr>
          <w:b w:val="0"/>
          <w:sz w:val="21"/>
          <w:szCs w:val="21"/>
        </w:rPr>
      </w:pPr>
      <w:r>
        <w:rPr>
          <w:b w:val="0"/>
          <w:sz w:val="21"/>
          <w:szCs w:val="21"/>
        </w:rPr>
        <w:t>建议作为推荐性有色行业标准。</w:t>
      </w:r>
    </w:p>
    <w:p w14:paraId="09526DEB">
      <w:pPr>
        <w:spacing w:line="360" w:lineRule="auto"/>
        <w:rPr>
          <w:rFonts w:eastAsia="黑体"/>
          <w:b w:val="0"/>
          <w:sz w:val="24"/>
        </w:rPr>
      </w:pPr>
      <w:r>
        <w:rPr>
          <w:rFonts w:eastAsia="黑体"/>
          <w:b w:val="0"/>
          <w:sz w:val="24"/>
        </w:rPr>
        <w:t>八、贯彻标准的要求和措施建议</w:t>
      </w:r>
    </w:p>
    <w:p w14:paraId="3A4F7935">
      <w:pPr>
        <w:spacing w:line="360" w:lineRule="auto"/>
        <w:ind w:firstLine="420" w:firstLineChars="200"/>
        <w:rPr>
          <w:b w:val="0"/>
          <w:sz w:val="21"/>
          <w:szCs w:val="21"/>
        </w:rPr>
      </w:pPr>
      <w:r>
        <w:rPr>
          <w:b w:val="0"/>
          <w:sz w:val="21"/>
          <w:szCs w:val="21"/>
        </w:rPr>
        <w:t>标准发布后宣贯实施。</w:t>
      </w:r>
    </w:p>
    <w:p w14:paraId="15E9BFDF">
      <w:pPr>
        <w:spacing w:line="360" w:lineRule="auto"/>
        <w:rPr>
          <w:rFonts w:eastAsia="黑体"/>
          <w:b w:val="0"/>
          <w:sz w:val="24"/>
        </w:rPr>
      </w:pPr>
      <w:r>
        <w:rPr>
          <w:rFonts w:eastAsia="黑体"/>
          <w:b w:val="0"/>
          <w:sz w:val="24"/>
        </w:rPr>
        <w:t>九、废止现行有关标准的建议</w:t>
      </w:r>
    </w:p>
    <w:p w14:paraId="43728AC7">
      <w:pPr>
        <w:spacing w:line="360" w:lineRule="auto"/>
        <w:ind w:firstLine="420" w:firstLineChars="200"/>
        <w:rPr>
          <w:b w:val="0"/>
          <w:sz w:val="21"/>
          <w:szCs w:val="21"/>
        </w:rPr>
      </w:pPr>
      <w:r>
        <w:rPr>
          <w:b w:val="0"/>
          <w:sz w:val="21"/>
          <w:szCs w:val="21"/>
        </w:rPr>
        <w:t>无。</w:t>
      </w:r>
    </w:p>
    <w:p w14:paraId="1C42DA0C">
      <w:pPr>
        <w:spacing w:line="360" w:lineRule="auto"/>
        <w:rPr>
          <w:rFonts w:eastAsia="黑体"/>
          <w:b w:val="0"/>
          <w:sz w:val="24"/>
        </w:rPr>
      </w:pPr>
      <w:r>
        <w:rPr>
          <w:rFonts w:eastAsia="黑体"/>
          <w:b w:val="0"/>
          <w:sz w:val="24"/>
        </w:rPr>
        <w:t>十、其他应予说明的事项</w:t>
      </w:r>
    </w:p>
    <w:p w14:paraId="4BB3CB76">
      <w:pPr>
        <w:spacing w:line="360" w:lineRule="auto"/>
        <w:ind w:firstLine="420" w:firstLineChars="200"/>
        <w:rPr>
          <w:b w:val="0"/>
          <w:sz w:val="21"/>
          <w:szCs w:val="21"/>
        </w:rPr>
      </w:pPr>
      <w:r>
        <w:rPr>
          <w:b w:val="0"/>
          <w:sz w:val="21"/>
          <w:szCs w:val="21"/>
        </w:rPr>
        <w:t>无。</w:t>
      </w:r>
    </w:p>
    <w:p w14:paraId="4B91442F">
      <w:pPr>
        <w:spacing w:line="360" w:lineRule="auto"/>
        <w:rPr>
          <w:rFonts w:eastAsia="黑体"/>
          <w:b w:val="0"/>
          <w:sz w:val="24"/>
        </w:rPr>
      </w:pPr>
      <w:r>
        <w:rPr>
          <w:rFonts w:eastAsia="黑体"/>
          <w:b w:val="0"/>
          <w:sz w:val="24"/>
        </w:rPr>
        <w:t>十一、预期效果</w:t>
      </w:r>
    </w:p>
    <w:p w14:paraId="1EF1A282">
      <w:pPr>
        <w:tabs>
          <w:tab w:val="left" w:pos="840"/>
        </w:tabs>
        <w:snapToGrid w:val="0"/>
        <w:spacing w:before="50" w:after="50" w:line="360" w:lineRule="auto"/>
        <w:jc w:val="left"/>
        <w:rPr>
          <w:b w:val="0"/>
          <w:sz w:val="21"/>
          <w:szCs w:val="21"/>
        </w:rPr>
      </w:pPr>
      <w:r>
        <w:rPr>
          <w:sz w:val="24"/>
        </w:rPr>
        <w:t xml:space="preserve">   </w:t>
      </w:r>
      <w:r>
        <w:rPr>
          <w:b w:val="0"/>
          <w:sz w:val="21"/>
          <w:szCs w:val="21"/>
        </w:rPr>
        <w:t xml:space="preserve"> 本文件充分考虑了目前国内无定形硼粉材料生产、研发、应用和检测的实际技术水平。本文件颁布执行后，将在国内形成对无定形硼粉材料</w:t>
      </w:r>
      <w:r>
        <w:rPr>
          <w:rFonts w:hint="eastAsia"/>
          <w:b w:val="0"/>
          <w:sz w:val="21"/>
          <w:szCs w:val="21"/>
          <w:lang w:val="en-US" w:eastAsia="zh-CN"/>
        </w:rPr>
        <w:t>过氧化氢</w:t>
      </w:r>
      <w:r>
        <w:rPr>
          <w:b w:val="0"/>
          <w:sz w:val="21"/>
          <w:szCs w:val="21"/>
        </w:rPr>
        <w:t>含量统一的分析测试标准，对于增加各机构检测数据之间的可靠性和可比性，助力我国军工和民用领域的发展发挥重要的作用。</w:t>
      </w:r>
    </w:p>
    <w:p w14:paraId="4B35509B">
      <w:pPr>
        <w:spacing w:line="360" w:lineRule="auto"/>
        <w:rPr>
          <w:bCs/>
          <w:sz w:val="21"/>
          <w:szCs w:val="21"/>
        </w:rPr>
      </w:pPr>
    </w:p>
    <w:p w14:paraId="57622220">
      <w:pPr>
        <w:spacing w:line="360" w:lineRule="auto"/>
        <w:rPr>
          <w:b w:val="0"/>
          <w:sz w:val="24"/>
        </w:rPr>
      </w:pPr>
      <w:r>
        <w:rPr>
          <w:bCs/>
          <w:sz w:val="21"/>
          <w:szCs w:val="21"/>
        </w:rPr>
        <w:t xml:space="preserve">                 </w:t>
      </w:r>
      <w:r>
        <w:rPr>
          <w:b w:val="0"/>
          <w:sz w:val="24"/>
        </w:rPr>
        <w:t>《</w:t>
      </w:r>
      <w:r>
        <w:rPr>
          <w:rFonts w:hint="eastAsia"/>
          <w:b w:val="0"/>
          <w:sz w:val="24"/>
        </w:rPr>
        <w:t>无定形硼粉</w:t>
      </w:r>
      <w:r>
        <w:rPr>
          <w:rFonts w:hint="eastAsia"/>
          <w:b w:val="0"/>
          <w:sz w:val="24"/>
          <w:lang w:val="en-US" w:eastAsia="zh-CN"/>
        </w:rPr>
        <w:t xml:space="preserve"> </w:t>
      </w:r>
      <w:r>
        <w:rPr>
          <w:rFonts w:hint="eastAsia"/>
          <w:b w:val="0"/>
          <w:sz w:val="24"/>
        </w:rPr>
        <w:t>第3部分：过氧化氢不溶物含量的测定</w:t>
      </w:r>
      <w:r>
        <w:rPr>
          <w:b w:val="0"/>
          <w:sz w:val="24"/>
        </w:rPr>
        <w:t>》标准编制组</w:t>
      </w:r>
    </w:p>
    <w:p w14:paraId="6AC3FAF7">
      <w:pPr>
        <w:spacing w:line="360" w:lineRule="auto"/>
        <w:ind w:firstLine="5640" w:firstLineChars="2350"/>
        <w:rPr>
          <w:b w:val="0"/>
          <w:sz w:val="24"/>
        </w:rPr>
      </w:pPr>
      <w:r>
        <w:rPr>
          <w:b w:val="0"/>
          <w:sz w:val="24"/>
        </w:rPr>
        <w:t>二〇二</w:t>
      </w:r>
      <w:r>
        <w:rPr>
          <w:rFonts w:hint="eastAsia"/>
          <w:b w:val="0"/>
          <w:sz w:val="24"/>
          <w:lang w:val="en-US" w:eastAsia="zh-CN"/>
        </w:rPr>
        <w:t>五</w:t>
      </w:r>
      <w:r>
        <w:rPr>
          <w:b w:val="0"/>
          <w:sz w:val="24"/>
        </w:rPr>
        <w:t>年</w:t>
      </w:r>
      <w:r>
        <w:rPr>
          <w:rFonts w:hint="eastAsia"/>
          <w:b w:val="0"/>
          <w:sz w:val="24"/>
          <w:lang w:val="en-US" w:eastAsia="zh-CN"/>
        </w:rPr>
        <w:t>六</w:t>
      </w:r>
      <w:r>
        <w:rPr>
          <w:b w:val="0"/>
          <w:sz w:val="24"/>
        </w:rPr>
        <w:t>月</w:t>
      </w:r>
    </w:p>
    <w:sectPr>
      <w:footerReference r:id="rId3" w:type="default"/>
      <w:footerReference r:id="rId4" w:type="even"/>
      <w:pgSz w:w="12240" w:h="15840"/>
      <w:pgMar w:top="1134" w:right="1701" w:bottom="1134" w:left="1701"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9CEC6">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6CFCE">
    <w:pPr>
      <w:pStyle w:val="5"/>
      <w:ind w:firstLine="360"/>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14:paraId="308EFD5C">
    <w:pPr>
      <w:pStyle w:val="5"/>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14"/>
      <w:suff w:val="nothing"/>
      <w:lvlText w:val="%1"/>
      <w:lvlJc w:val="left"/>
      <w:pPr>
        <w:ind w:left="0" w:firstLine="0"/>
      </w:pPr>
      <w:rPr>
        <w:rFonts w:hint="default" w:ascii="Times New Roman" w:hAnsi="Times New Roman"/>
        <w:b/>
        <w:i w:val="0"/>
        <w:sz w:val="21"/>
      </w:rPr>
    </w:lvl>
    <w:lvl w:ilvl="1" w:tentative="0">
      <w:start w:val="1"/>
      <w:numFmt w:val="decimal"/>
      <w:pStyle w:val="16"/>
      <w:suff w:val="nothing"/>
      <w:lvlText w:val="%1%2　"/>
      <w:lvlJc w:val="left"/>
      <w:pPr>
        <w:ind w:left="0" w:firstLine="0"/>
      </w:pPr>
      <w:rPr>
        <w:rFonts w:hint="default" w:ascii="Times New Roman" w:hAnsi="Times New Roman" w:eastAsia="宋体" w:cs="Times New Roman"/>
        <w:b w:val="0"/>
        <w:i w:val="0"/>
        <w:sz w:val="21"/>
      </w:rPr>
    </w:lvl>
    <w:lvl w:ilvl="2" w:tentative="0">
      <w:start w:val="1"/>
      <w:numFmt w:val="decimal"/>
      <w:pStyle w:val="17"/>
      <w:suff w:val="nothing"/>
      <w:lvlText w:val="%1%2.%3　"/>
      <w:lvlJc w:val="left"/>
      <w:pPr>
        <w:ind w:left="180" w:firstLine="0"/>
      </w:pPr>
      <w:rPr>
        <w:rFonts w:hint="default" w:ascii="Times New Roman" w:hAnsi="Times New Roman" w:eastAsia="宋体" w:cs="Times New Roman"/>
        <w:b w:val="0"/>
        <w:i w:val="0"/>
        <w:sz w:val="21"/>
      </w:rPr>
    </w:lvl>
    <w:lvl w:ilvl="3" w:tentative="0">
      <w:start w:val="1"/>
      <w:numFmt w:val="decimal"/>
      <w:pStyle w:val="18"/>
      <w:suff w:val="nothing"/>
      <w:lvlText w:val="%1%2.%3.%4　"/>
      <w:lvlJc w:val="left"/>
      <w:pPr>
        <w:ind w:left="0" w:firstLine="0"/>
      </w:pPr>
      <w:rPr>
        <w:rFonts w:hint="default" w:ascii="Times New Roman" w:hAnsi="Times New Roman" w:eastAsia="黑体" w:cs="Times New Roman"/>
        <w:b w:val="0"/>
        <w:i w:val="0"/>
        <w:sz w:val="21"/>
      </w:rPr>
    </w:lvl>
    <w:lvl w:ilvl="4" w:tentative="0">
      <w:start w:val="1"/>
      <w:numFmt w:val="decimal"/>
      <w:pStyle w:val="19"/>
      <w:suff w:val="nothing"/>
      <w:lvlText w:val="%1%2.%3.%4.%5　"/>
      <w:lvlJc w:val="left"/>
      <w:pPr>
        <w:ind w:left="0" w:firstLine="0"/>
      </w:pPr>
      <w:rPr>
        <w:rFonts w:hint="eastAsia" w:ascii="黑体" w:hAnsi="Times New Roman" w:eastAsia="黑体"/>
        <w:b w:val="0"/>
        <w:i w:val="0"/>
        <w:sz w:val="21"/>
      </w:rPr>
    </w:lvl>
    <w:lvl w:ilvl="5" w:tentative="0">
      <w:start w:val="1"/>
      <w:numFmt w:val="decimal"/>
      <w:pStyle w:val="20"/>
      <w:suff w:val="nothing"/>
      <w:lvlText w:val="%1%2.%3.%4.%5.%6　"/>
      <w:lvlJc w:val="left"/>
      <w:pPr>
        <w:ind w:left="0" w:firstLine="0"/>
      </w:pPr>
      <w:rPr>
        <w:rFonts w:hint="eastAsia" w:ascii="黑体" w:hAnsi="Times New Roman" w:eastAsia="黑体"/>
        <w:b w:val="0"/>
        <w:i w:val="0"/>
        <w:sz w:val="21"/>
      </w:rPr>
    </w:lvl>
    <w:lvl w:ilvl="6" w:tentative="0">
      <w:start w:val="1"/>
      <w:numFmt w:val="decimal"/>
      <w:pStyle w:val="2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IwOTZiNDBjMzEwYjg0YjE2NDZkZmY2ZWNiZjNkNzgifQ=="/>
  </w:docVars>
  <w:rsids>
    <w:rsidRoot w:val="00A06FE8"/>
    <w:rsid w:val="00013570"/>
    <w:rsid w:val="00013E4B"/>
    <w:rsid w:val="00015BD2"/>
    <w:rsid w:val="0001633E"/>
    <w:rsid w:val="00024BE2"/>
    <w:rsid w:val="00026EF8"/>
    <w:rsid w:val="000337E3"/>
    <w:rsid w:val="000530B7"/>
    <w:rsid w:val="00056FCC"/>
    <w:rsid w:val="000571B9"/>
    <w:rsid w:val="000576E6"/>
    <w:rsid w:val="0006735F"/>
    <w:rsid w:val="00067868"/>
    <w:rsid w:val="00070CBD"/>
    <w:rsid w:val="00071668"/>
    <w:rsid w:val="0007391B"/>
    <w:rsid w:val="00075D58"/>
    <w:rsid w:val="00077F9D"/>
    <w:rsid w:val="00080E02"/>
    <w:rsid w:val="000811D0"/>
    <w:rsid w:val="00097D30"/>
    <w:rsid w:val="000A26FC"/>
    <w:rsid w:val="000B4D08"/>
    <w:rsid w:val="000E2889"/>
    <w:rsid w:val="000E768A"/>
    <w:rsid w:val="00100F71"/>
    <w:rsid w:val="001049EA"/>
    <w:rsid w:val="001059C6"/>
    <w:rsid w:val="00105DF1"/>
    <w:rsid w:val="001141B3"/>
    <w:rsid w:val="00122DED"/>
    <w:rsid w:val="00123246"/>
    <w:rsid w:val="00134633"/>
    <w:rsid w:val="0013778C"/>
    <w:rsid w:val="00155149"/>
    <w:rsid w:val="00157295"/>
    <w:rsid w:val="00164AD1"/>
    <w:rsid w:val="00181FC4"/>
    <w:rsid w:val="0018554C"/>
    <w:rsid w:val="001C4F0B"/>
    <w:rsid w:val="001C72A6"/>
    <w:rsid w:val="001E614C"/>
    <w:rsid w:val="001F0A3D"/>
    <w:rsid w:val="00205631"/>
    <w:rsid w:val="00205714"/>
    <w:rsid w:val="00216E50"/>
    <w:rsid w:val="00217CA3"/>
    <w:rsid w:val="00221004"/>
    <w:rsid w:val="0022343C"/>
    <w:rsid w:val="0024577C"/>
    <w:rsid w:val="002476C4"/>
    <w:rsid w:val="0025635C"/>
    <w:rsid w:val="0025700F"/>
    <w:rsid w:val="00262042"/>
    <w:rsid w:val="00267AC2"/>
    <w:rsid w:val="00281AC6"/>
    <w:rsid w:val="002A23E0"/>
    <w:rsid w:val="002C121A"/>
    <w:rsid w:val="002D4FFB"/>
    <w:rsid w:val="002D6A31"/>
    <w:rsid w:val="002D76B6"/>
    <w:rsid w:val="002E6CC2"/>
    <w:rsid w:val="002F2EB5"/>
    <w:rsid w:val="003129F9"/>
    <w:rsid w:val="003217BC"/>
    <w:rsid w:val="00321806"/>
    <w:rsid w:val="0032740A"/>
    <w:rsid w:val="00332B9C"/>
    <w:rsid w:val="003335CD"/>
    <w:rsid w:val="00343BDB"/>
    <w:rsid w:val="00345CB4"/>
    <w:rsid w:val="003505A5"/>
    <w:rsid w:val="003539FC"/>
    <w:rsid w:val="00380F33"/>
    <w:rsid w:val="00386F06"/>
    <w:rsid w:val="00390C11"/>
    <w:rsid w:val="003E3D53"/>
    <w:rsid w:val="003F1665"/>
    <w:rsid w:val="0040001E"/>
    <w:rsid w:val="004001F0"/>
    <w:rsid w:val="00425DDC"/>
    <w:rsid w:val="00427AF3"/>
    <w:rsid w:val="00436778"/>
    <w:rsid w:val="004376FE"/>
    <w:rsid w:val="00440898"/>
    <w:rsid w:val="00446FB2"/>
    <w:rsid w:val="00451863"/>
    <w:rsid w:val="00454BBB"/>
    <w:rsid w:val="00456A56"/>
    <w:rsid w:val="00456E9B"/>
    <w:rsid w:val="004606EC"/>
    <w:rsid w:val="004650F4"/>
    <w:rsid w:val="004653CE"/>
    <w:rsid w:val="00472C70"/>
    <w:rsid w:val="0047708E"/>
    <w:rsid w:val="00490899"/>
    <w:rsid w:val="00492A39"/>
    <w:rsid w:val="00493001"/>
    <w:rsid w:val="0049784F"/>
    <w:rsid w:val="00497DA1"/>
    <w:rsid w:val="004A4C23"/>
    <w:rsid w:val="004B1B79"/>
    <w:rsid w:val="004B6EC9"/>
    <w:rsid w:val="004C196C"/>
    <w:rsid w:val="004E6FDF"/>
    <w:rsid w:val="004F145E"/>
    <w:rsid w:val="005007B7"/>
    <w:rsid w:val="00501E35"/>
    <w:rsid w:val="005265CA"/>
    <w:rsid w:val="00531F2F"/>
    <w:rsid w:val="00550A77"/>
    <w:rsid w:val="005558D7"/>
    <w:rsid w:val="0057081E"/>
    <w:rsid w:val="0058770C"/>
    <w:rsid w:val="005A6842"/>
    <w:rsid w:val="005A7F3E"/>
    <w:rsid w:val="005B4155"/>
    <w:rsid w:val="005D06A7"/>
    <w:rsid w:val="005D5D51"/>
    <w:rsid w:val="005E184D"/>
    <w:rsid w:val="005E2945"/>
    <w:rsid w:val="005E4182"/>
    <w:rsid w:val="005E7F4E"/>
    <w:rsid w:val="005F1526"/>
    <w:rsid w:val="006049E0"/>
    <w:rsid w:val="00604DC2"/>
    <w:rsid w:val="00610769"/>
    <w:rsid w:val="00615F4D"/>
    <w:rsid w:val="00625AA3"/>
    <w:rsid w:val="006320BB"/>
    <w:rsid w:val="006430C3"/>
    <w:rsid w:val="00655467"/>
    <w:rsid w:val="00662D67"/>
    <w:rsid w:val="006644BD"/>
    <w:rsid w:val="006838CE"/>
    <w:rsid w:val="0069713C"/>
    <w:rsid w:val="006A40F6"/>
    <w:rsid w:val="006A79AC"/>
    <w:rsid w:val="006B15E5"/>
    <w:rsid w:val="006C328D"/>
    <w:rsid w:val="006E0373"/>
    <w:rsid w:val="006E63CB"/>
    <w:rsid w:val="006E6935"/>
    <w:rsid w:val="00716F60"/>
    <w:rsid w:val="00730790"/>
    <w:rsid w:val="007315AC"/>
    <w:rsid w:val="007434F9"/>
    <w:rsid w:val="007477D8"/>
    <w:rsid w:val="00754E91"/>
    <w:rsid w:val="00773193"/>
    <w:rsid w:val="00775AC7"/>
    <w:rsid w:val="00784232"/>
    <w:rsid w:val="00784D7E"/>
    <w:rsid w:val="007855F1"/>
    <w:rsid w:val="00794B3D"/>
    <w:rsid w:val="007A1657"/>
    <w:rsid w:val="007A706B"/>
    <w:rsid w:val="007B0514"/>
    <w:rsid w:val="007B2243"/>
    <w:rsid w:val="007B46DD"/>
    <w:rsid w:val="007C0FBA"/>
    <w:rsid w:val="007C6AC4"/>
    <w:rsid w:val="007D3B90"/>
    <w:rsid w:val="007E5735"/>
    <w:rsid w:val="007E6D55"/>
    <w:rsid w:val="007F21F2"/>
    <w:rsid w:val="007F3A06"/>
    <w:rsid w:val="007F49DF"/>
    <w:rsid w:val="00810984"/>
    <w:rsid w:val="008143E6"/>
    <w:rsid w:val="0082207B"/>
    <w:rsid w:val="00824A0B"/>
    <w:rsid w:val="00844C61"/>
    <w:rsid w:val="00852E30"/>
    <w:rsid w:val="00854A9C"/>
    <w:rsid w:val="00856CB7"/>
    <w:rsid w:val="0087668E"/>
    <w:rsid w:val="00884FAC"/>
    <w:rsid w:val="00887CCC"/>
    <w:rsid w:val="00891753"/>
    <w:rsid w:val="0089238C"/>
    <w:rsid w:val="00892639"/>
    <w:rsid w:val="0089292E"/>
    <w:rsid w:val="00893684"/>
    <w:rsid w:val="00895DDB"/>
    <w:rsid w:val="00897E42"/>
    <w:rsid w:val="008B1B1F"/>
    <w:rsid w:val="008B5CDE"/>
    <w:rsid w:val="008B7D16"/>
    <w:rsid w:val="008E128B"/>
    <w:rsid w:val="008F5109"/>
    <w:rsid w:val="00904CD5"/>
    <w:rsid w:val="009059F6"/>
    <w:rsid w:val="00917A8F"/>
    <w:rsid w:val="009249EB"/>
    <w:rsid w:val="00924B23"/>
    <w:rsid w:val="009359D0"/>
    <w:rsid w:val="00936F37"/>
    <w:rsid w:val="00943D32"/>
    <w:rsid w:val="0094483D"/>
    <w:rsid w:val="009663CC"/>
    <w:rsid w:val="00967B9C"/>
    <w:rsid w:val="009704F6"/>
    <w:rsid w:val="009A3749"/>
    <w:rsid w:val="009A4087"/>
    <w:rsid w:val="009A571E"/>
    <w:rsid w:val="009B4422"/>
    <w:rsid w:val="009C1903"/>
    <w:rsid w:val="009C25BF"/>
    <w:rsid w:val="009C2BEC"/>
    <w:rsid w:val="009C3F0E"/>
    <w:rsid w:val="009D2231"/>
    <w:rsid w:val="009E1466"/>
    <w:rsid w:val="009E5C20"/>
    <w:rsid w:val="009F4A1F"/>
    <w:rsid w:val="009F628E"/>
    <w:rsid w:val="00A06FE8"/>
    <w:rsid w:val="00A20A93"/>
    <w:rsid w:val="00A235D2"/>
    <w:rsid w:val="00A25B1C"/>
    <w:rsid w:val="00A32146"/>
    <w:rsid w:val="00A6649C"/>
    <w:rsid w:val="00A707AA"/>
    <w:rsid w:val="00A71B1E"/>
    <w:rsid w:val="00A84596"/>
    <w:rsid w:val="00A96BF5"/>
    <w:rsid w:val="00AA4D22"/>
    <w:rsid w:val="00AA5666"/>
    <w:rsid w:val="00AB3005"/>
    <w:rsid w:val="00AB45FB"/>
    <w:rsid w:val="00AB55E4"/>
    <w:rsid w:val="00AB6DB4"/>
    <w:rsid w:val="00AC209D"/>
    <w:rsid w:val="00AD5B70"/>
    <w:rsid w:val="00AD7A7B"/>
    <w:rsid w:val="00AE64F5"/>
    <w:rsid w:val="00B01FBE"/>
    <w:rsid w:val="00B11B1A"/>
    <w:rsid w:val="00B1454D"/>
    <w:rsid w:val="00B15163"/>
    <w:rsid w:val="00B20EA9"/>
    <w:rsid w:val="00B20F49"/>
    <w:rsid w:val="00B27F19"/>
    <w:rsid w:val="00B3552B"/>
    <w:rsid w:val="00B357E9"/>
    <w:rsid w:val="00B433D4"/>
    <w:rsid w:val="00B45FFA"/>
    <w:rsid w:val="00B47AC8"/>
    <w:rsid w:val="00B72445"/>
    <w:rsid w:val="00B83863"/>
    <w:rsid w:val="00B86459"/>
    <w:rsid w:val="00B947AA"/>
    <w:rsid w:val="00B959BD"/>
    <w:rsid w:val="00B965D3"/>
    <w:rsid w:val="00BA781D"/>
    <w:rsid w:val="00BC096E"/>
    <w:rsid w:val="00BC1C89"/>
    <w:rsid w:val="00BC2573"/>
    <w:rsid w:val="00BC6FDD"/>
    <w:rsid w:val="00BF463A"/>
    <w:rsid w:val="00C03381"/>
    <w:rsid w:val="00C03B74"/>
    <w:rsid w:val="00C0474C"/>
    <w:rsid w:val="00C16AF4"/>
    <w:rsid w:val="00C16CD4"/>
    <w:rsid w:val="00C20E4D"/>
    <w:rsid w:val="00C231C7"/>
    <w:rsid w:val="00C36D5D"/>
    <w:rsid w:val="00C64066"/>
    <w:rsid w:val="00C7272D"/>
    <w:rsid w:val="00C73A62"/>
    <w:rsid w:val="00C81EE7"/>
    <w:rsid w:val="00C87C42"/>
    <w:rsid w:val="00C9116B"/>
    <w:rsid w:val="00C94835"/>
    <w:rsid w:val="00CA2A39"/>
    <w:rsid w:val="00CA5C46"/>
    <w:rsid w:val="00CA6FDC"/>
    <w:rsid w:val="00CB50E8"/>
    <w:rsid w:val="00CB58E2"/>
    <w:rsid w:val="00CC1E08"/>
    <w:rsid w:val="00CC2094"/>
    <w:rsid w:val="00CC2874"/>
    <w:rsid w:val="00CC51E9"/>
    <w:rsid w:val="00CD2A79"/>
    <w:rsid w:val="00CE69AB"/>
    <w:rsid w:val="00CF3639"/>
    <w:rsid w:val="00CF3728"/>
    <w:rsid w:val="00D005AC"/>
    <w:rsid w:val="00D00823"/>
    <w:rsid w:val="00D02A9B"/>
    <w:rsid w:val="00D02FB9"/>
    <w:rsid w:val="00D143D9"/>
    <w:rsid w:val="00D15FD4"/>
    <w:rsid w:val="00D275FA"/>
    <w:rsid w:val="00D34951"/>
    <w:rsid w:val="00D36C29"/>
    <w:rsid w:val="00D402EC"/>
    <w:rsid w:val="00D6542A"/>
    <w:rsid w:val="00D67909"/>
    <w:rsid w:val="00D67E1A"/>
    <w:rsid w:val="00D7397A"/>
    <w:rsid w:val="00D755D9"/>
    <w:rsid w:val="00D7568A"/>
    <w:rsid w:val="00D86EC1"/>
    <w:rsid w:val="00D90C58"/>
    <w:rsid w:val="00D979ED"/>
    <w:rsid w:val="00DA446D"/>
    <w:rsid w:val="00DA7895"/>
    <w:rsid w:val="00DA7A3E"/>
    <w:rsid w:val="00DB148A"/>
    <w:rsid w:val="00DD20E7"/>
    <w:rsid w:val="00DD6006"/>
    <w:rsid w:val="00DF5447"/>
    <w:rsid w:val="00E12515"/>
    <w:rsid w:val="00E214BE"/>
    <w:rsid w:val="00E26ACC"/>
    <w:rsid w:val="00E37457"/>
    <w:rsid w:val="00E5349A"/>
    <w:rsid w:val="00E841E9"/>
    <w:rsid w:val="00E93133"/>
    <w:rsid w:val="00EE5E1C"/>
    <w:rsid w:val="00F02A23"/>
    <w:rsid w:val="00F10043"/>
    <w:rsid w:val="00F21C3C"/>
    <w:rsid w:val="00F44E5C"/>
    <w:rsid w:val="00F556F2"/>
    <w:rsid w:val="00F558D1"/>
    <w:rsid w:val="00F63A44"/>
    <w:rsid w:val="00F63E23"/>
    <w:rsid w:val="00F65907"/>
    <w:rsid w:val="00F81D99"/>
    <w:rsid w:val="00F82929"/>
    <w:rsid w:val="00F85493"/>
    <w:rsid w:val="00F871EE"/>
    <w:rsid w:val="00FA5A5B"/>
    <w:rsid w:val="00FA64B9"/>
    <w:rsid w:val="00FC27E6"/>
    <w:rsid w:val="00FC37D4"/>
    <w:rsid w:val="00FE3F15"/>
    <w:rsid w:val="00FF160C"/>
    <w:rsid w:val="00FF4A9E"/>
    <w:rsid w:val="0246354F"/>
    <w:rsid w:val="092D7E18"/>
    <w:rsid w:val="14C11521"/>
    <w:rsid w:val="161B2F35"/>
    <w:rsid w:val="16A93A8F"/>
    <w:rsid w:val="18F71640"/>
    <w:rsid w:val="1AA30875"/>
    <w:rsid w:val="1D4D4C64"/>
    <w:rsid w:val="1DFD14A7"/>
    <w:rsid w:val="1F8E12E9"/>
    <w:rsid w:val="28570722"/>
    <w:rsid w:val="2EB942EC"/>
    <w:rsid w:val="38E42F7F"/>
    <w:rsid w:val="3F0E7A06"/>
    <w:rsid w:val="40EA4A47"/>
    <w:rsid w:val="434D4EFB"/>
    <w:rsid w:val="43555A7F"/>
    <w:rsid w:val="59860EDE"/>
    <w:rsid w:val="5A98781E"/>
    <w:rsid w:val="5BC938F7"/>
    <w:rsid w:val="61856718"/>
    <w:rsid w:val="6FD074B9"/>
    <w:rsid w:val="73AF1028"/>
    <w:rsid w:val="790243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kern w:val="2"/>
      <w:sz w:val="28"/>
      <w:szCs w:val="24"/>
      <w:lang w:val="en-US" w:eastAsia="zh-CN" w:bidi="ar-SA"/>
    </w:rPr>
  </w:style>
  <w:style w:type="paragraph" w:styleId="2">
    <w:name w:val="heading 2"/>
    <w:basedOn w:val="1"/>
    <w:next w:val="1"/>
    <w:link w:val="25"/>
    <w:qFormat/>
    <w:uiPriority w:val="0"/>
    <w:pPr>
      <w:keepNext/>
      <w:keepLines/>
      <w:spacing w:before="260" w:after="260" w:line="416" w:lineRule="auto"/>
      <w:outlineLvl w:val="1"/>
    </w:pPr>
    <w:rPr>
      <w:rFonts w:ascii="Arial" w:hAnsi="Arial" w:eastAsia="黑体"/>
      <w:bCs/>
      <w:kern w:val="0"/>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b w:val="0"/>
      <w:sz w:val="21"/>
    </w:rPr>
  </w:style>
  <w:style w:type="paragraph" w:styleId="4">
    <w:name w:val="Balloon Text"/>
    <w:basedOn w:val="1"/>
    <w:link w:val="26"/>
    <w:semiHidden/>
    <w:unhideWhenUsed/>
    <w:qFormat/>
    <w:uiPriority w:val="99"/>
    <w:rPr>
      <w:sz w:val="18"/>
      <w:szCs w:val="18"/>
    </w:rPr>
  </w:style>
  <w:style w:type="paragraph" w:styleId="5">
    <w:name w:val="footer"/>
    <w:basedOn w:val="1"/>
    <w:link w:val="13"/>
    <w:qFormat/>
    <w:uiPriority w:val="0"/>
    <w:pPr>
      <w:tabs>
        <w:tab w:val="center" w:pos="4320"/>
        <w:tab w:val="right" w:pos="8640"/>
      </w:tabs>
      <w:snapToGrid w:val="0"/>
      <w:jc w:val="left"/>
    </w:pPr>
    <w:rPr>
      <w:sz w:val="18"/>
      <w:szCs w:val="18"/>
    </w:rPr>
  </w:style>
  <w:style w:type="paragraph" w:styleId="6">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28"/>
    <w:unhideWhenUsed/>
    <w:qFormat/>
    <w:uiPriority w:val="99"/>
    <w:pPr>
      <w:spacing w:after="120"/>
      <w:ind w:left="420" w:leftChars="200"/>
    </w:pPr>
    <w:rPr>
      <w:b w:val="0"/>
      <w:sz w:val="16"/>
      <w:szCs w:val="16"/>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b w:val="0"/>
      <w:kern w:val="0"/>
      <w:sz w:val="24"/>
    </w:rPr>
  </w:style>
  <w:style w:type="table" w:styleId="10">
    <w:name w:val="Table Grid"/>
    <w:basedOn w:val="9"/>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页脚 Char"/>
    <w:basedOn w:val="11"/>
    <w:link w:val="5"/>
    <w:qFormat/>
    <w:uiPriority w:val="0"/>
    <w:rPr>
      <w:rFonts w:ascii="Times New Roman" w:hAnsi="Times New Roman" w:eastAsia="宋体" w:cs="Times New Roman"/>
      <w:b/>
      <w:sz w:val="18"/>
      <w:szCs w:val="18"/>
    </w:rPr>
  </w:style>
  <w:style w:type="paragraph" w:customStyle="1" w:styleId="14">
    <w:name w:val="前言、引言标题"/>
    <w:next w:val="1"/>
    <w:qFormat/>
    <w:uiPriority w:val="0"/>
    <w:pPr>
      <w:numPr>
        <w:ilvl w:val="0"/>
        <w:numId w:val="1"/>
      </w:num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15">
    <w:name w:val="段"/>
    <w:link w:val="2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章标题"/>
    <w:next w:val="15"/>
    <w:link w:val="23"/>
    <w:qFormat/>
    <w:uiPriority w:val="0"/>
    <w:pPr>
      <w:numPr>
        <w:ilvl w:val="1"/>
        <w:numId w:val="1"/>
      </w:numPr>
      <w:tabs>
        <w:tab w:val="left" w:pos="360"/>
      </w:tabs>
      <w:spacing w:beforeLines="50" w:afterLines="50"/>
      <w:jc w:val="both"/>
      <w:outlineLvl w:val="1"/>
    </w:pPr>
    <w:rPr>
      <w:rFonts w:ascii="黑体" w:hAnsi="Times New Roman" w:eastAsia="黑体" w:cs="Times New Roman"/>
      <w:sz w:val="21"/>
      <w:lang w:val="en-US" w:eastAsia="zh-CN" w:bidi="ar-SA"/>
    </w:rPr>
  </w:style>
  <w:style w:type="paragraph" w:customStyle="1" w:styleId="17">
    <w:name w:val="一级条标题"/>
    <w:basedOn w:val="16"/>
    <w:next w:val="15"/>
    <w:qFormat/>
    <w:uiPriority w:val="0"/>
    <w:pPr>
      <w:numPr>
        <w:ilvl w:val="2"/>
      </w:numPr>
      <w:spacing w:beforeLines="0" w:afterLines="0"/>
      <w:outlineLvl w:val="2"/>
    </w:pPr>
  </w:style>
  <w:style w:type="paragraph" w:customStyle="1" w:styleId="18">
    <w:name w:val="二级条标题"/>
    <w:basedOn w:val="17"/>
    <w:next w:val="15"/>
    <w:qFormat/>
    <w:uiPriority w:val="0"/>
    <w:pPr>
      <w:numPr>
        <w:ilvl w:val="3"/>
      </w:numPr>
      <w:outlineLvl w:val="3"/>
    </w:pPr>
  </w:style>
  <w:style w:type="paragraph" w:customStyle="1" w:styleId="19">
    <w:name w:val="三级条标题"/>
    <w:basedOn w:val="18"/>
    <w:next w:val="15"/>
    <w:qFormat/>
    <w:uiPriority w:val="0"/>
    <w:pPr>
      <w:numPr>
        <w:ilvl w:val="4"/>
      </w:numPr>
      <w:outlineLvl w:val="4"/>
    </w:pPr>
  </w:style>
  <w:style w:type="paragraph" w:customStyle="1" w:styleId="20">
    <w:name w:val="四级条标题"/>
    <w:basedOn w:val="19"/>
    <w:next w:val="15"/>
    <w:qFormat/>
    <w:uiPriority w:val="0"/>
    <w:pPr>
      <w:numPr>
        <w:ilvl w:val="5"/>
      </w:numPr>
      <w:outlineLvl w:val="5"/>
    </w:pPr>
  </w:style>
  <w:style w:type="paragraph" w:customStyle="1" w:styleId="21">
    <w:name w:val="五级条标题"/>
    <w:basedOn w:val="20"/>
    <w:next w:val="15"/>
    <w:qFormat/>
    <w:uiPriority w:val="0"/>
    <w:pPr>
      <w:numPr>
        <w:ilvl w:val="6"/>
      </w:numPr>
      <w:outlineLvl w:val="6"/>
    </w:pPr>
  </w:style>
  <w:style w:type="character" w:customStyle="1" w:styleId="22">
    <w:name w:val="段 Char"/>
    <w:link w:val="15"/>
    <w:qFormat/>
    <w:uiPriority w:val="0"/>
    <w:rPr>
      <w:rFonts w:ascii="宋体" w:hAnsi="Times New Roman" w:eastAsia="宋体" w:cs="Times New Roman"/>
      <w:kern w:val="0"/>
      <w:szCs w:val="20"/>
    </w:rPr>
  </w:style>
  <w:style w:type="character" w:customStyle="1" w:styleId="23">
    <w:name w:val="章标题 Char Char"/>
    <w:link w:val="16"/>
    <w:qFormat/>
    <w:locked/>
    <w:uiPriority w:val="0"/>
    <w:rPr>
      <w:rFonts w:ascii="黑体" w:hAnsi="Times New Roman" w:eastAsia="黑体" w:cs="Times New Roman"/>
      <w:kern w:val="0"/>
      <w:szCs w:val="20"/>
    </w:rPr>
  </w:style>
  <w:style w:type="character" w:customStyle="1" w:styleId="24">
    <w:name w:val="页眉 Char"/>
    <w:basedOn w:val="11"/>
    <w:link w:val="6"/>
    <w:qFormat/>
    <w:uiPriority w:val="99"/>
    <w:rPr>
      <w:rFonts w:ascii="Times New Roman" w:hAnsi="Times New Roman" w:eastAsia="宋体" w:cs="Times New Roman"/>
      <w:b/>
      <w:sz w:val="18"/>
      <w:szCs w:val="18"/>
    </w:rPr>
  </w:style>
  <w:style w:type="character" w:customStyle="1" w:styleId="25">
    <w:name w:val="标题 2 Char"/>
    <w:link w:val="2"/>
    <w:qFormat/>
    <w:uiPriority w:val="0"/>
    <w:rPr>
      <w:rFonts w:ascii="Arial" w:hAnsi="Arial" w:eastAsia="黑体"/>
      <w:b/>
      <w:bCs/>
      <w:kern w:val="0"/>
      <w:sz w:val="32"/>
      <w:szCs w:val="32"/>
    </w:rPr>
  </w:style>
  <w:style w:type="character" w:customStyle="1" w:styleId="26">
    <w:name w:val="批注框文本 Char"/>
    <w:basedOn w:val="11"/>
    <w:link w:val="4"/>
    <w:semiHidden/>
    <w:qFormat/>
    <w:uiPriority w:val="99"/>
    <w:rPr>
      <w:rFonts w:ascii="Times New Roman" w:hAnsi="Times New Roman"/>
      <w:b/>
      <w:kern w:val="2"/>
      <w:sz w:val="18"/>
      <w:szCs w:val="18"/>
    </w:rPr>
  </w:style>
  <w:style w:type="paragraph" w:styleId="27">
    <w:name w:val="List Paragraph"/>
    <w:basedOn w:val="1"/>
    <w:unhideWhenUsed/>
    <w:qFormat/>
    <w:uiPriority w:val="99"/>
    <w:pPr>
      <w:ind w:firstLine="420" w:firstLineChars="200"/>
    </w:pPr>
  </w:style>
  <w:style w:type="character" w:customStyle="1" w:styleId="28">
    <w:name w:val="正文文本缩进 3 Char"/>
    <w:basedOn w:val="11"/>
    <w:link w:val="7"/>
    <w:qFormat/>
    <w:uiPriority w:val="99"/>
    <w:rPr>
      <w:rFonts w:ascii="Times New Roman" w:hAnsi="Times New Roman"/>
      <w:kern w:val="2"/>
      <w:sz w:val="16"/>
      <w:szCs w:val="16"/>
    </w:rPr>
  </w:style>
  <w:style w:type="character" w:customStyle="1" w:styleId="29">
    <w:name w:val="正文文本缩进 3 Char1"/>
    <w:basedOn w:val="11"/>
    <w:semiHidden/>
    <w:qFormat/>
    <w:uiPriority w:val="99"/>
    <w:rPr>
      <w:rFonts w:ascii="Times New Roman" w:hAnsi="Times New Roman"/>
      <w:b/>
      <w:kern w:val="2"/>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4626</Words>
  <Characters>5622</Characters>
  <Lines>93</Lines>
  <Paragraphs>26</Paragraphs>
  <TotalTime>3</TotalTime>
  <ScaleCrop>false</ScaleCrop>
  <LinksUpToDate>false</LinksUpToDate>
  <CharactersWithSpaces>5962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2020-08-02T12:18:00Z</dcterms:created>
  <dc:creator>CXD</dc:creator>
  <cp:lastModifiedBy>张思源</cp:lastModifiedBy>
  <cp:lastPrinted>2024-12-12T05:40:00Z</cp:lastPrinted>
  <dcterms:modified xsi:type="dcterms:W3CDTF">2025-06-12T03:10:06Z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F84701F18B124DDA935D3555BE0643BE_12</vt:lpwstr>
  </property>
  <property fmtid="{D5CDD505-2E9C-101B-9397-08002B2CF9AE}" pid="4" name="KSOTemplateDocerSaveRecord">
    <vt:lpwstr>eyJoZGlkIjoiN2IwOTZiNDBjMzEwYjg0YjE2NDZkZmY2ZWNiZjNkNzgiLCJ1c2VySWQiOiIyMjMxMDA3MDMifQ==</vt:lpwstr>
  </property>
</Properties>
</file>