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int="default" w:hAnsi="黑体" w:eastAsia="黑体" w:cs="黑体"/>
                                <w:sz w:val="44"/>
                                <w:szCs w:val="44"/>
                                <w:lang w:val="en-US" w:eastAsia="zh-CN"/>
                              </w:rPr>
                            </w:pPr>
                            <w:bookmarkStart w:id="83" w:name="_Hlk23687263"/>
                            <w:r>
                              <w:rPr>
                                <w:rFonts w:hint="eastAsia" w:hAnsi="黑体" w:cs="黑体"/>
                                <w:sz w:val="44"/>
                                <w:szCs w:val="44"/>
                              </w:rPr>
                              <w:t>JJF</w:t>
                            </w:r>
                            <w:r>
                              <w:rPr>
                                <w:rFonts w:hint="eastAsia" w:hAnsi="黑体" w:cs="黑体"/>
                                <w:sz w:val="44"/>
                                <w:szCs w:val="44"/>
                                <w:lang w:val="en-US" w:eastAsia="zh-CN"/>
                              </w:rPr>
                              <w:t>Z</w:t>
                            </w:r>
                            <w:r>
                              <w:rPr>
                                <w:rFonts w:hint="eastAsia" w:hAnsi="黑体" w:cs="黑体"/>
                                <w:sz w:val="44"/>
                                <w:szCs w:val="44"/>
                              </w:rPr>
                              <w:t>（有色金属）</w:t>
                            </w:r>
                            <w:r>
                              <w:rPr>
                                <w:rFonts w:hint="eastAsia" w:hAnsi="黑体" w:cs="黑体"/>
                                <w:sz w:val="44"/>
                                <w:szCs w:val="44"/>
                                <w:lang w:val="en-US" w:eastAsia="zh-CN"/>
                              </w:rPr>
                              <w:t>005</w:t>
                            </w:r>
                            <w:r>
                              <w:rPr>
                                <w:rFonts w:hint="eastAsia" w:hAnsi="黑体" w:cs="黑体"/>
                                <w:sz w:val="44"/>
                                <w:szCs w:val="44"/>
                              </w:rPr>
                              <w:t>—</w:t>
                            </w:r>
                            <w:r>
                              <w:rPr>
                                <w:rFonts w:hint="eastAsia" w:hAnsi="黑体" w:cs="黑体"/>
                                <w:sz w:val="44"/>
                                <w:szCs w:val="44"/>
                                <w:lang w:val="en-US" w:eastAsia="zh-CN"/>
                              </w:rPr>
                              <w:t>2024</w:t>
                            </w:r>
                          </w:p>
                          <w:bookmarkEnd w:id="83"/>
                          <w:p w14:paraId="011E22CF">
                            <w:pPr>
                              <w:pStyle w:val="75"/>
                              <w:rPr>
                                <w:rFonts w:hAnsi="黑体" w:cs="黑体"/>
                                <w:szCs w:val="52"/>
                              </w:rPr>
                            </w:pPr>
                            <w:r>
                              <w:rPr>
                                <w:rFonts w:hint="eastAsia" w:hAnsi="黑体" w:cs="黑体"/>
                                <w:szCs w:val="52"/>
                                <w:lang w:val="en-US" w:eastAsia="zh-CN"/>
                              </w:rPr>
                              <w:t>数字式引伸计标定器</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int="default" w:hAnsi="黑体" w:eastAsia="黑体" w:cs="黑体"/>
                          <w:sz w:val="44"/>
                          <w:szCs w:val="44"/>
                          <w:lang w:val="en-US" w:eastAsia="zh-CN"/>
                        </w:rPr>
                      </w:pPr>
                      <w:bookmarkStart w:id="83" w:name="_Hlk23687263"/>
                      <w:r>
                        <w:rPr>
                          <w:rFonts w:hint="eastAsia" w:hAnsi="黑体" w:cs="黑体"/>
                          <w:sz w:val="44"/>
                          <w:szCs w:val="44"/>
                        </w:rPr>
                        <w:t>JJF</w:t>
                      </w:r>
                      <w:r>
                        <w:rPr>
                          <w:rFonts w:hint="eastAsia" w:hAnsi="黑体" w:cs="黑体"/>
                          <w:sz w:val="44"/>
                          <w:szCs w:val="44"/>
                          <w:lang w:val="en-US" w:eastAsia="zh-CN"/>
                        </w:rPr>
                        <w:t>Z</w:t>
                      </w:r>
                      <w:r>
                        <w:rPr>
                          <w:rFonts w:hint="eastAsia" w:hAnsi="黑体" w:cs="黑体"/>
                          <w:sz w:val="44"/>
                          <w:szCs w:val="44"/>
                        </w:rPr>
                        <w:t>（有色金属）</w:t>
                      </w:r>
                      <w:r>
                        <w:rPr>
                          <w:rFonts w:hint="eastAsia" w:hAnsi="黑体" w:cs="黑体"/>
                          <w:sz w:val="44"/>
                          <w:szCs w:val="44"/>
                          <w:lang w:val="en-US" w:eastAsia="zh-CN"/>
                        </w:rPr>
                        <w:t>005</w:t>
                      </w:r>
                      <w:r>
                        <w:rPr>
                          <w:rFonts w:hint="eastAsia" w:hAnsi="黑体" w:cs="黑体"/>
                          <w:sz w:val="44"/>
                          <w:szCs w:val="44"/>
                        </w:rPr>
                        <w:t>—</w:t>
                      </w:r>
                      <w:r>
                        <w:rPr>
                          <w:rFonts w:hint="eastAsia" w:hAnsi="黑体" w:cs="黑体"/>
                          <w:sz w:val="44"/>
                          <w:szCs w:val="44"/>
                          <w:lang w:val="en-US" w:eastAsia="zh-CN"/>
                        </w:rPr>
                        <w:t>2024</w:t>
                      </w:r>
                    </w:p>
                    <w:bookmarkEnd w:id="83"/>
                    <w:p w14:paraId="011E22CF">
                      <w:pPr>
                        <w:pStyle w:val="75"/>
                        <w:rPr>
                          <w:rFonts w:hAnsi="黑体" w:cs="黑体"/>
                          <w:szCs w:val="52"/>
                        </w:rPr>
                      </w:pPr>
                      <w:r>
                        <w:rPr>
                          <w:rFonts w:hint="eastAsia" w:hAnsi="黑体" w:cs="黑体"/>
                          <w:szCs w:val="52"/>
                          <w:lang w:val="en-US" w:eastAsia="zh-CN"/>
                        </w:rPr>
                        <w:t>数字式引伸计标定器</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06</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06</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数字式引伸计标定器</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数字式引伸计标定器</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rPr>
      </w:pPr>
      <w:r>
        <w:rPr>
          <w:rFonts w:hint="eastAsia"/>
          <w:b w:val="0"/>
          <w:bCs w:val="0"/>
        </w:rPr>
        <w:t>一、工作简况</w:t>
      </w:r>
      <w:bookmarkEnd w:id="0"/>
      <w:bookmarkStart w:id="2" w:name="_Toc464728896"/>
    </w:p>
    <w:p w14:paraId="75FBB674">
      <w:pPr>
        <w:pStyle w:val="3"/>
        <w:spacing w:before="156" w:after="156"/>
        <w:rPr>
          <w:b w:val="0"/>
          <w:bCs w:val="0"/>
        </w:rPr>
      </w:pPr>
      <w:r>
        <w:rPr>
          <w:rFonts w:hint="eastAsia"/>
          <w:b w:val="0"/>
          <w:bCs w:val="0"/>
        </w:rPr>
        <w:t>1.立项目的</w:t>
      </w:r>
    </w:p>
    <w:p w14:paraId="483EC574">
      <w:pPr>
        <w:pStyle w:val="21"/>
        <w:spacing w:line="400" w:lineRule="exact"/>
        <w:ind w:firstLine="420" w:firstLineChars="200"/>
        <w:rPr>
          <w:rFonts w:hint="eastAsia" w:hAnsi="宋体"/>
          <w:b w:val="0"/>
          <w:bCs w:val="0"/>
          <w:szCs w:val="21"/>
        </w:rPr>
      </w:pPr>
      <w:r>
        <w:rPr>
          <w:rFonts w:hint="eastAsia" w:hAnsi="宋体"/>
          <w:b w:val="0"/>
          <w:bCs w:val="0"/>
          <w:szCs w:val="21"/>
        </w:rPr>
        <w:t>引伸计是试验机对试样施加轴向力时，测量试样线性变形的装置，它在有色金属材料力学性能检测中应用十分广泛。</w:t>
      </w:r>
    </w:p>
    <w:p w14:paraId="14C50F6D">
      <w:pPr>
        <w:pStyle w:val="21"/>
        <w:spacing w:line="400" w:lineRule="exact"/>
        <w:ind w:firstLine="420" w:firstLineChars="200"/>
        <w:rPr>
          <w:rFonts w:hint="eastAsia" w:hAnsi="宋体"/>
          <w:b w:val="0"/>
          <w:bCs w:val="0"/>
          <w:szCs w:val="21"/>
        </w:rPr>
      </w:pPr>
      <w:r>
        <w:rPr>
          <w:rFonts w:hint="eastAsia" w:hAnsi="宋体"/>
          <w:b w:val="0"/>
          <w:bCs w:val="0"/>
          <w:szCs w:val="21"/>
        </w:rPr>
        <w:t>数字式引伸计标定器是用于校准引伸计的仪器，其准确性直接关系到被校引伸计的计量特性，从而影响有色金属材料力学性能的检测。所以，依据相应检定规程/校准规范开展数字式引伸计标定器校准，满足引伸计校准要求，确保引伸计在有色金属材料力学性能检测数据准确可靠，需对数字式引伸计标定器示值误差等计量特性进行校准和控制。。</w:t>
      </w:r>
    </w:p>
    <w:p w14:paraId="33748486">
      <w:pPr>
        <w:pStyle w:val="3"/>
        <w:spacing w:before="156" w:after="156"/>
        <w:rPr>
          <w:b w:val="0"/>
          <w:bCs w:val="0"/>
        </w:rPr>
      </w:pPr>
      <w:r>
        <w:rPr>
          <w:rFonts w:hint="eastAsia"/>
          <w:b w:val="0"/>
          <w:bCs w:val="0"/>
        </w:rPr>
        <w:t>2.任务来源</w:t>
      </w:r>
      <w:bookmarkEnd w:id="2"/>
    </w:p>
    <w:p w14:paraId="6C4EC016">
      <w:pPr>
        <w:spacing w:after="0" w:line="360" w:lineRule="auto"/>
        <w:ind w:firstLine="420" w:firstLineChars="200"/>
        <w:rPr>
          <w:rFonts w:hint="eastAsia"/>
          <w:szCs w:val="21"/>
        </w:rPr>
      </w:pPr>
      <w:r>
        <w:rPr>
          <w:rFonts w:hint="eastAsia"/>
          <w:szCs w:val="21"/>
        </w:rPr>
        <w:t>根据工</w:t>
      </w:r>
      <w:r>
        <w:rPr>
          <w:rFonts w:hint="eastAsia"/>
          <w:szCs w:val="21"/>
          <w:highlight w:val="none"/>
        </w:rPr>
        <w:t>业和信息化部《关于印发202</w:t>
      </w:r>
      <w:r>
        <w:rPr>
          <w:rFonts w:hint="eastAsia"/>
          <w:szCs w:val="21"/>
          <w:highlight w:val="none"/>
          <w:lang w:val="en-US" w:eastAsia="zh-CN"/>
        </w:rPr>
        <w:t>4</w:t>
      </w:r>
      <w:r>
        <w:rPr>
          <w:rFonts w:hint="eastAsia"/>
          <w:szCs w:val="21"/>
          <w:highlight w:val="none"/>
        </w:rPr>
        <w:t>年行业计量技术规范制修订计划的通知》（工厅科［202</w:t>
      </w:r>
      <w:r>
        <w:rPr>
          <w:rFonts w:hint="eastAsia"/>
          <w:szCs w:val="21"/>
          <w:highlight w:val="none"/>
          <w:lang w:val="en-US" w:eastAsia="zh-CN"/>
        </w:rPr>
        <w:t>4</w:t>
      </w:r>
      <w:r>
        <w:rPr>
          <w:rFonts w:hint="eastAsia"/>
          <w:szCs w:val="21"/>
          <w:highlight w:val="none"/>
        </w:rPr>
        <w:t>］</w:t>
      </w:r>
      <w:r>
        <w:rPr>
          <w:rFonts w:hint="eastAsia"/>
          <w:szCs w:val="21"/>
          <w:highlight w:val="none"/>
          <w:lang w:val="en-US" w:eastAsia="zh-CN"/>
        </w:rPr>
        <w:t>602</w:t>
      </w:r>
      <w:r>
        <w:rPr>
          <w:rFonts w:hint="eastAsia"/>
          <w:szCs w:val="21"/>
          <w:highlight w:val="none"/>
        </w:rPr>
        <w:t>号）文的要求，行业计量技术规范《</w:t>
      </w:r>
      <w:r>
        <w:rPr>
          <w:rFonts w:hint="eastAsia"/>
          <w:szCs w:val="21"/>
          <w:highlight w:val="none"/>
          <w:lang w:val="en-US" w:eastAsia="zh-CN"/>
        </w:rPr>
        <w:t>数字式引伸计标定器</w:t>
      </w:r>
      <w:r>
        <w:rPr>
          <w:rFonts w:hint="eastAsia"/>
          <w:szCs w:val="21"/>
          <w:highlight w:val="none"/>
        </w:rPr>
        <w:t>校准规范》由西南铝业（集团）有限责任公司负责起草。该项目计划编号为JJFZ（有色金属）00</w:t>
      </w:r>
      <w:r>
        <w:rPr>
          <w:rFonts w:hint="eastAsia"/>
          <w:szCs w:val="21"/>
          <w:highlight w:val="none"/>
          <w:lang w:val="en-US" w:eastAsia="zh-CN"/>
        </w:rPr>
        <w:t>5</w:t>
      </w:r>
      <w:r>
        <w:rPr>
          <w:rFonts w:hint="eastAsia"/>
          <w:szCs w:val="21"/>
          <w:highlight w:val="none"/>
        </w:rPr>
        <w:t>-202</w:t>
      </w:r>
      <w:r>
        <w:rPr>
          <w:rFonts w:hint="eastAsia"/>
          <w:szCs w:val="21"/>
          <w:highlight w:val="none"/>
          <w:lang w:val="en-US" w:eastAsia="zh-CN"/>
        </w:rPr>
        <w:t>4</w:t>
      </w:r>
      <w:r>
        <w:rPr>
          <w:rFonts w:hint="eastAsia"/>
          <w:szCs w:val="21"/>
          <w:highlight w:val="none"/>
        </w:rPr>
        <w:t>。按计划</w:t>
      </w:r>
      <w:r>
        <w:rPr>
          <w:rFonts w:hint="eastAsia"/>
          <w:szCs w:val="21"/>
        </w:rPr>
        <w:t>要求，本计量规范应于202</w:t>
      </w:r>
      <w:r>
        <w:rPr>
          <w:rFonts w:hint="eastAsia"/>
          <w:szCs w:val="21"/>
          <w:lang w:val="en-US" w:eastAsia="zh-CN"/>
        </w:rPr>
        <w:t>6</w:t>
      </w:r>
      <w:r>
        <w:rPr>
          <w:rFonts w:hint="eastAsia"/>
          <w:szCs w:val="21"/>
        </w:rPr>
        <w:t>年</w:t>
      </w:r>
      <w:r>
        <w:rPr>
          <w:rFonts w:hint="eastAsia"/>
          <w:szCs w:val="21"/>
          <w:lang w:val="en-US" w:eastAsia="zh-CN"/>
        </w:rPr>
        <w:t>12月</w:t>
      </w:r>
      <w:r>
        <w:rPr>
          <w:rFonts w:hint="eastAsia"/>
          <w:szCs w:val="21"/>
        </w:rPr>
        <w:t>完成制定。</w:t>
      </w:r>
    </w:p>
    <w:p w14:paraId="7285DE43">
      <w:pPr>
        <w:pStyle w:val="3"/>
        <w:spacing w:before="156" w:after="156"/>
        <w:rPr>
          <w:b w:val="0"/>
          <w:bCs w:val="0"/>
        </w:rPr>
      </w:pPr>
      <w:r>
        <w:rPr>
          <w:rFonts w:hint="eastAsia"/>
          <w:b w:val="0"/>
          <w:bCs w:val="0"/>
        </w:rPr>
        <w:t>3.项目编制组单位简况</w:t>
      </w:r>
    </w:p>
    <w:p w14:paraId="5C80AFEB">
      <w:pPr>
        <w:pStyle w:val="4"/>
        <w:spacing w:before="156" w:after="156"/>
        <w:rPr>
          <w:b w:val="0"/>
          <w:bCs w:val="0"/>
        </w:rPr>
      </w:pPr>
      <w:r>
        <w:rPr>
          <w:rFonts w:hint="eastAsia"/>
          <w:b w:val="0"/>
          <w:bCs w:val="0"/>
        </w:rPr>
        <w:t>3.1编制组成员单位</w:t>
      </w:r>
    </w:p>
    <w:p w14:paraId="40014D57">
      <w:pPr>
        <w:widowControl/>
        <w:autoSpaceDE w:val="0"/>
        <w:autoSpaceDN w:val="0"/>
        <w:spacing w:line="400" w:lineRule="exact"/>
        <w:ind w:firstLine="420" w:firstLineChars="200"/>
        <w:rPr>
          <w:rFonts w:hint="default"/>
          <w:b w:val="0"/>
          <w:bCs w:val="0"/>
          <w:szCs w:val="21"/>
        </w:rPr>
      </w:pPr>
      <w:bookmarkStart w:id="3" w:name="_Toc464728900"/>
      <w:bookmarkStart w:id="4" w:name="_Toc462884344"/>
      <w:r>
        <w:rPr>
          <w:rFonts w:hint="eastAsia"/>
          <w:b w:val="0"/>
          <w:bCs w:val="0"/>
          <w:szCs w:val="21"/>
        </w:rPr>
        <w:t>本规范的编制组单位为：西南铝业（集团）有限责任公司</w:t>
      </w:r>
      <w:r>
        <w:rPr>
          <w:rFonts w:hint="eastAsia"/>
          <w:b w:val="0"/>
          <w:bCs w:val="0"/>
          <w:szCs w:val="21"/>
          <w:lang w:eastAsia="zh-CN"/>
        </w:rPr>
        <w:t>、西安汉唐分析检测有限公司、海研测试（重庆）科技有限公司、东北轻合金有限公司、厦门厦钨新能源材料股份有限公司、国标（北京）检验认证有限公司、广东省科学院工业分析检测中心、国合通用（青岛）测试评价有限公司、中国船舶集团有限公司第七二五研究所、中铝瑞闽股份有限公司</w:t>
      </w:r>
      <w:r>
        <w:rPr>
          <w:rFonts w:hint="eastAsia"/>
          <w:b w:val="0"/>
          <w:bCs w:val="0"/>
          <w:szCs w:val="21"/>
        </w:rPr>
        <w:t>。</w:t>
      </w:r>
    </w:p>
    <w:p w14:paraId="7D4F1A94">
      <w:pPr>
        <w:pStyle w:val="4"/>
        <w:spacing w:before="156" w:after="156"/>
        <w:rPr>
          <w:b w:val="0"/>
          <w:bCs w:val="0"/>
        </w:rPr>
      </w:pPr>
      <w:r>
        <w:rPr>
          <w:rFonts w:hint="eastAsia"/>
          <w:b w:val="0"/>
          <w:bCs w:val="0"/>
        </w:rPr>
        <w:t>3.2 主编单位简介</w:t>
      </w:r>
    </w:p>
    <w:bookmarkEnd w:id="3"/>
    <w:bookmarkEnd w:id="4"/>
    <w:p w14:paraId="515BC23A">
      <w:pPr>
        <w:spacing w:line="400" w:lineRule="exact"/>
        <w:ind w:firstLine="420" w:firstLineChars="200"/>
        <w:contextualSpacing/>
        <w:jc w:val="left"/>
        <w:rPr>
          <w:rFonts w:hint="eastAsia"/>
          <w:b w:val="0"/>
          <w:bCs w:val="0"/>
          <w:szCs w:val="21"/>
          <w:lang w:val="en-US" w:eastAsia="zh-CN"/>
        </w:rPr>
      </w:pPr>
      <w:r>
        <w:rPr>
          <w:rFonts w:hint="eastAsia"/>
          <w:b w:val="0"/>
          <w:bCs w:val="0"/>
          <w:szCs w:val="21"/>
          <w:lang w:val="en-US" w:eastAsia="zh-CN"/>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西南铝建有校准实验室与检测实验室，均通过了CNAS认可，具备对闭路循环法铝及铝合金液态测氢仪、衡器、材料试验机、金属布氏硬度计、电子天平、压力表、数字压力计、温度显示仪等123项测量仪器的CNAS校准能力，检测实验室是空客、赛峰等民用航空授权试验室，具备铝合金材料的力学性能、硬度、制耳率、深冲性能、疲劳、断裂韧性等性能检测能力，具备铝合金材料的化学成分、固态测氢等分析检测能力，具备铝合金材料的晶间腐蚀、剥落腐蚀、C形环应力腐蚀、拉伸应力腐蚀等腐蚀性能检测能力，具备铝合金材料显微组织结构、SEM分析、微区组分等分析检测能力，具备铝合金材料的失效分析检测能力，可为铝产业提供金相、机械性能、腐蚀、化学成分等专业检测服务。西南铝主持和参与国家、行业标准277项，作为主编单位起草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w:t>
      </w:r>
    </w:p>
    <w:p w14:paraId="1BFEC3A0">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单位主要负责本规范的起草工作，成立编制组并根据委员会的工作安排组织编制组成员单位开展相关校准工作，组织各单位对规范的《讨论稿》进行认真的讨论，并就提出的意见和建议进行反馈和修改，在编制组中发挥了主要带头作用。</w:t>
      </w:r>
    </w:p>
    <w:p w14:paraId="6220CB61">
      <w:pPr>
        <w:pStyle w:val="60"/>
        <w:numPr>
          <w:ilvl w:val="0"/>
          <w:numId w:val="0"/>
        </w:numPr>
        <w:spacing w:before="156" w:beforeLines="50" w:after="156" w:afterLines="50"/>
        <w:rPr>
          <w:b w:val="0"/>
          <w:bCs w:val="0"/>
          <w:color w:val="auto"/>
        </w:rPr>
      </w:pPr>
      <w:bookmarkStart w:id="5" w:name="_Toc464728901"/>
      <w:bookmarkStart w:id="6" w:name="_Toc462884345"/>
      <w:r>
        <w:rPr>
          <w:rFonts w:hint="eastAsia"/>
          <w:b w:val="0"/>
          <w:bCs w:val="0"/>
          <w:color w:val="auto"/>
        </w:rPr>
        <w:t>3.3成员单位简介</w:t>
      </w:r>
      <w:bookmarkEnd w:id="5"/>
      <w:bookmarkEnd w:id="6"/>
    </w:p>
    <w:p w14:paraId="7DA48B2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1</w:t>
      </w:r>
      <w:r>
        <w:rPr>
          <w:rFonts w:hint="eastAsia" w:ascii="Times New Roman"/>
          <w:b w:val="0"/>
          <w:bCs w:val="0"/>
        </w:rPr>
        <w:t xml:space="preserve">   </w:t>
      </w:r>
      <w:r>
        <w:rPr>
          <w:rFonts w:hint="eastAsia"/>
          <w:b w:val="0"/>
          <w:bCs w:val="0"/>
          <w:szCs w:val="21"/>
          <w:lang w:eastAsia="zh-CN"/>
        </w:rPr>
        <w:t>东北轻合金有限责任公司</w:t>
      </w:r>
    </w:p>
    <w:p w14:paraId="75FC8A2E">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14:paraId="431FBBE0">
      <w:pPr>
        <w:spacing w:line="400" w:lineRule="exact"/>
        <w:ind w:firstLine="420" w:firstLineChars="200"/>
        <w:contextualSpacing/>
        <w:jc w:val="left"/>
        <w:rPr>
          <w:rFonts w:hint="eastAsia"/>
          <w:b w:val="0"/>
          <w:bCs w:val="0"/>
          <w:szCs w:val="21"/>
          <w:lang w:eastAsia="zh-CN"/>
        </w:rPr>
      </w:pPr>
      <w:r>
        <w:rPr>
          <w:rFonts w:hint="eastAsia"/>
          <w:color w:val="auto"/>
          <w:highlight w:val="none"/>
          <w:lang w:val="en-US" w:eastAsia="zh-CN"/>
        </w:rPr>
        <w:t>该单位积极参与</w:t>
      </w:r>
      <w:r>
        <w:rPr>
          <w:rFonts w:hint="eastAsia"/>
          <w:b w:val="0"/>
          <w:bCs w:val="0"/>
          <w:szCs w:val="21"/>
          <w:lang w:val="en-US" w:eastAsia="zh-CN"/>
        </w:rPr>
        <w:t>编制</w:t>
      </w:r>
      <w:r>
        <w:rPr>
          <w:rFonts w:hint="eastAsia"/>
          <w:color w:val="auto"/>
          <w:highlight w:val="none"/>
          <w:lang w:val="en-US" w:eastAsia="zh-CN"/>
        </w:rPr>
        <w:t>组的各项工作会议，对规范的校准方法提出了有效建议，在编制组中发挥了主要作用。</w:t>
      </w:r>
    </w:p>
    <w:p w14:paraId="3173804C">
      <w:pPr>
        <w:pStyle w:val="59"/>
        <w:numPr>
          <w:ilvl w:val="0"/>
          <w:numId w:val="0"/>
        </w:numPr>
        <w:spacing w:before="156" w:beforeLines="50" w:after="156" w:afterLines="50"/>
        <w:contextualSpacing/>
        <w:rPr>
          <w:rFonts w:hint="eastAsia"/>
          <w:b w:val="0"/>
          <w:bCs w:val="0"/>
          <w:szCs w:val="24"/>
          <w:lang w:eastAsia="zh-CN"/>
        </w:rPr>
      </w:pPr>
      <w:r>
        <w:rPr>
          <w:rFonts w:hint="eastAsia"/>
          <w:b w:val="0"/>
          <w:bCs w:val="0"/>
        </w:rPr>
        <w:t>3.3.</w:t>
      </w:r>
      <w:r>
        <w:rPr>
          <w:rFonts w:hint="eastAsia"/>
          <w:b w:val="0"/>
          <w:bCs w:val="0"/>
          <w:lang w:val="en-US" w:eastAsia="zh-CN"/>
        </w:rPr>
        <w:t>2</w:t>
      </w:r>
      <w:r>
        <w:rPr>
          <w:rFonts w:hint="eastAsia" w:ascii="黑体"/>
          <w:b w:val="0"/>
          <w:bCs w:val="0"/>
        </w:rPr>
        <w:t xml:space="preserve"> </w:t>
      </w:r>
      <w:r>
        <w:rPr>
          <w:rFonts w:hint="eastAsia"/>
          <w:b w:val="0"/>
          <w:bCs w:val="0"/>
          <w:szCs w:val="24"/>
          <w:lang w:eastAsia="zh-CN"/>
        </w:rPr>
        <w:t>海研测试（重庆）科技有限公司</w:t>
      </w:r>
    </w:p>
    <w:p w14:paraId="3BB22654">
      <w:pPr>
        <w:pStyle w:val="58"/>
        <w:spacing w:line="360" w:lineRule="auto"/>
        <w:rPr>
          <w:rFonts w:hint="default"/>
        </w:rPr>
      </w:pPr>
      <w:r>
        <w:rPr>
          <w:rFonts w:hint="default" w:ascii="宋体"/>
          <w:b w:val="0"/>
          <w:bCs w:val="0"/>
        </w:rPr>
        <w:t>海研测试（重庆）科技</w:t>
      </w:r>
      <w:r>
        <w:rPr>
          <w:rFonts w:hint="default"/>
        </w:rPr>
        <w:t>有限公司是一家专注于检验检测服务、工程技术研究与试验发展的科技型企业。</w:t>
      </w:r>
      <w:r>
        <w:rPr>
          <w:rFonts w:hint="eastAsia"/>
          <w:lang w:val="en-US" w:eastAsia="zh-CN"/>
        </w:rPr>
        <w:t>公司</w:t>
      </w:r>
      <w:r>
        <w:rPr>
          <w:rFonts w:hint="default"/>
        </w:rPr>
        <w:t>业务涵盖技术开发、计量服务、实验室设备集成等领域，致力于为科研机构、高校及工业领域提供高精度检测解决方案。公司技术团队深耕材料力学性能测试、高精度测量</w:t>
      </w:r>
      <w:r>
        <w:rPr>
          <w:rFonts w:hint="eastAsia"/>
          <w:lang w:eastAsia="zh-CN"/>
        </w:rPr>
        <w:t>，</w:t>
      </w:r>
      <w:r>
        <w:rPr>
          <w:rFonts w:hint="default"/>
        </w:rPr>
        <w:t>熟悉JJG 762-2007《引伸计检定规程》及JJF 1096-2002《引伸计标定器校准规范》等国家标准，在精密仪器</w:t>
      </w:r>
      <w:r>
        <w:rPr>
          <w:rFonts w:hint="eastAsia"/>
          <w:lang w:val="en-US" w:eastAsia="zh-CN"/>
        </w:rPr>
        <w:t>开发</w:t>
      </w:r>
      <w:r>
        <w:rPr>
          <w:rFonts w:hint="default"/>
        </w:rPr>
        <w:t>、</w:t>
      </w:r>
      <w:r>
        <w:rPr>
          <w:rFonts w:hint="eastAsia"/>
          <w:lang w:val="en-US" w:eastAsia="zh-CN"/>
        </w:rPr>
        <w:t>仪器</w:t>
      </w:r>
      <w:r>
        <w:rPr>
          <w:rFonts w:hint="default"/>
        </w:rPr>
        <w:t>校准及标准制定方面具备丰富经验。</w:t>
      </w:r>
    </w:p>
    <w:p w14:paraId="52A6668B">
      <w:pPr>
        <w:spacing w:line="400" w:lineRule="exact"/>
        <w:ind w:firstLine="420" w:firstLineChars="200"/>
        <w:contextualSpacing/>
        <w:jc w:val="left"/>
        <w:rPr>
          <w:rFonts w:hint="default"/>
        </w:rPr>
      </w:pPr>
      <w:r>
        <w:rPr>
          <w:rFonts w:hint="default"/>
        </w:rPr>
        <w:t>该单位积极参与编制组的各项工作会议，对规范的校准方法提出了有效建议，在编制组中发挥了主要作用。</w:t>
      </w:r>
    </w:p>
    <w:p w14:paraId="29BD1177">
      <w:pPr>
        <w:pStyle w:val="59"/>
        <w:numPr>
          <w:ilvl w:val="0"/>
          <w:numId w:val="0"/>
        </w:numPr>
        <w:spacing w:before="156" w:beforeLines="50" w:after="156" w:afterLines="50"/>
        <w:contextualSpacing/>
        <w:rPr>
          <w:rFonts w:hint="eastAsia"/>
          <w:b w:val="0"/>
          <w:bCs w:val="0"/>
          <w:szCs w:val="24"/>
          <w:lang w:eastAsia="zh-CN"/>
        </w:rPr>
      </w:pPr>
      <w:r>
        <w:rPr>
          <w:rFonts w:hint="eastAsia" w:ascii="黑体"/>
          <w:b w:val="0"/>
          <w:bCs w:val="0"/>
          <w:lang w:val="en-US" w:eastAsia="zh-CN"/>
        </w:rPr>
        <w:t>3.3.</w:t>
      </w:r>
      <w:r>
        <w:rPr>
          <w:rFonts w:hint="eastAsia"/>
          <w:b w:val="0"/>
          <w:bCs w:val="0"/>
          <w:lang w:val="en-US" w:eastAsia="zh-CN"/>
        </w:rPr>
        <w:t xml:space="preserve">3 </w:t>
      </w:r>
      <w:r>
        <w:rPr>
          <w:rFonts w:hint="eastAsia"/>
          <w:b w:val="0"/>
          <w:bCs w:val="0"/>
          <w:szCs w:val="24"/>
          <w:lang w:eastAsia="zh-CN"/>
        </w:rPr>
        <w:t>广东省科学院工业分析检测中心</w:t>
      </w:r>
    </w:p>
    <w:p w14:paraId="05EF1B81">
      <w:pPr>
        <w:pStyle w:val="58"/>
        <w:spacing w:line="360" w:lineRule="auto"/>
        <w:rPr>
          <w:rFonts w:hint="eastAsia"/>
          <w:color w:val="auto"/>
          <w:highlight w:val="none"/>
          <w:lang w:val="en-US"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14:paraId="4C9D547A">
      <w:pPr>
        <w:pStyle w:val="58"/>
        <w:spacing w:line="360" w:lineRule="auto"/>
        <w:rPr>
          <w:rFonts w:hint="eastAsia"/>
          <w:color w:val="auto"/>
          <w:highlight w:val="none"/>
          <w:lang w:val="en-US" w:eastAsia="zh-CN"/>
        </w:rPr>
      </w:pPr>
      <w:r>
        <w:rPr>
          <w:rFonts w:hint="eastAsia"/>
          <w:color w:val="auto"/>
          <w:highlight w:val="none"/>
          <w:lang w:val="en-US" w:eastAsia="zh-CN"/>
        </w:rPr>
        <w:t>该单位积极参与编制组的各项工作会议，对规范的校准方法提出了有效建议，在编制组中发挥了主要作用。</w:t>
      </w:r>
    </w:p>
    <w:p w14:paraId="66C3E6BC">
      <w:pPr>
        <w:pStyle w:val="59"/>
        <w:numPr>
          <w:ilvl w:val="0"/>
          <w:numId w:val="0"/>
        </w:numPr>
        <w:spacing w:before="156" w:beforeLines="50" w:after="156" w:afterLines="50"/>
        <w:contextualSpacing/>
        <w:rPr>
          <w:rFonts w:hint="eastAsia"/>
          <w:b w:val="0"/>
          <w:bCs w:val="0"/>
          <w:szCs w:val="24"/>
          <w:lang w:eastAsia="zh-CN"/>
        </w:rPr>
      </w:pPr>
      <w:r>
        <w:rPr>
          <w:rFonts w:hint="eastAsia" w:ascii="黑体"/>
          <w:b w:val="0"/>
          <w:bCs w:val="0"/>
          <w:lang w:val="en-US" w:eastAsia="zh-CN"/>
        </w:rPr>
        <w:t>3.3.</w:t>
      </w:r>
      <w:r>
        <w:rPr>
          <w:rFonts w:hint="eastAsia"/>
          <w:b w:val="0"/>
          <w:bCs w:val="0"/>
          <w:lang w:val="en-US" w:eastAsia="zh-CN"/>
        </w:rPr>
        <w:t>4</w:t>
      </w:r>
      <w:r>
        <w:rPr>
          <w:rFonts w:hint="eastAsia" w:ascii="黑体"/>
          <w:b w:val="0"/>
          <w:bCs w:val="0"/>
          <w:lang w:val="en-US" w:eastAsia="zh-CN"/>
        </w:rPr>
        <w:t xml:space="preserve"> </w:t>
      </w:r>
      <w:r>
        <w:rPr>
          <w:rFonts w:hint="eastAsia"/>
          <w:b w:val="0"/>
          <w:bCs w:val="0"/>
          <w:szCs w:val="24"/>
          <w:lang w:eastAsia="zh-CN"/>
        </w:rPr>
        <w:t>厦门厦钨新能源材料股份有限公司</w:t>
      </w:r>
    </w:p>
    <w:p w14:paraId="69991776">
      <w:pPr>
        <w:pStyle w:val="58"/>
        <w:spacing w:line="360" w:lineRule="auto"/>
        <w:rPr>
          <w:rFonts w:hint="eastAsia"/>
        </w:rPr>
      </w:pPr>
      <w:r>
        <w:rPr>
          <w:rFonts w:hint="eastAsia"/>
        </w:rPr>
        <w:t>厦门厦钨新能源材料股份有限公司是一家研发、生产、销售新能源材料的企业，是国家高新技术企业、国家绿色工厂示范企业、专精特新小巨人、国家知识产权优势企业。</w:t>
      </w:r>
      <w:r>
        <w:rPr>
          <w:rFonts w:hint="eastAsia"/>
          <w:lang w:val="en-US" w:eastAsia="zh-CN"/>
        </w:rPr>
        <w:t>公司</w:t>
      </w:r>
      <w:r>
        <w:rPr>
          <w:rFonts w:hint="eastAsia"/>
        </w:rPr>
        <w:t>检测实验室2024年通过中国合格评定国家认可委员会（CNAS）认可，现有技术人员110余人，检测项目涵盖：理化分析、微区分析、谱学分析和电化学性能测试四个平台，拥有完善的检测检验设备如：粒度分析仪、比表面分析仪、振压实密度分析仪、真密度分析仪、粉体流变分析仪、碳硫分析仪、X射线粉末衍射仪、原位X射线粉末衍射仪、场发射扫描电子显微镜、离子研磨仪、电化学工作站、扣电制作与测试系统、全电制作与测试系统等；校准项目涵盖：温度、力学、流量、压力等，已通过计量建标授权项目4项、2011年通过ISO10012测量管理体系认证；参与多项国家标准、行业标准制定、起草工作。</w:t>
      </w:r>
    </w:p>
    <w:p w14:paraId="49B2F5AC">
      <w:pPr>
        <w:pStyle w:val="58"/>
        <w:spacing w:line="360" w:lineRule="auto"/>
        <w:rPr>
          <w:rFonts w:hint="eastAsia"/>
          <w:lang w:eastAsia="zh-CN"/>
        </w:rPr>
      </w:pPr>
      <w:r>
        <w:rPr>
          <w:rFonts w:hint="eastAsia"/>
          <w:lang w:eastAsia="zh-CN"/>
        </w:rPr>
        <w:t>该单位积极参与编制组的各项工作会议，对规范的校准方法提出了有效建议，在编制组中发挥了主要作用。</w:t>
      </w:r>
    </w:p>
    <w:p w14:paraId="166C7C46">
      <w:pPr>
        <w:pStyle w:val="59"/>
        <w:numPr>
          <w:ilvl w:val="0"/>
          <w:numId w:val="0"/>
        </w:numPr>
        <w:spacing w:before="156" w:beforeLines="50" w:after="156" w:afterLines="50"/>
        <w:contextualSpacing/>
        <w:rPr>
          <w:rFonts w:hint="eastAsia"/>
          <w:color w:val="auto"/>
          <w:highlight w:val="none"/>
          <w:lang w:val="en-US" w:eastAsia="zh-CN"/>
        </w:rPr>
      </w:pPr>
      <w:r>
        <w:rPr>
          <w:rFonts w:hint="eastAsia" w:ascii="黑体"/>
          <w:b w:val="0"/>
          <w:bCs w:val="0"/>
          <w:lang w:val="en-US" w:eastAsia="zh-CN"/>
        </w:rPr>
        <w:t>3.3.</w:t>
      </w:r>
      <w:r>
        <w:rPr>
          <w:rFonts w:hint="eastAsia"/>
          <w:b w:val="0"/>
          <w:bCs w:val="0"/>
          <w:lang w:val="en-US" w:eastAsia="zh-CN"/>
        </w:rPr>
        <w:t xml:space="preserve">5 </w:t>
      </w:r>
      <w:r>
        <w:rPr>
          <w:rFonts w:hint="eastAsia"/>
          <w:color w:val="auto"/>
          <w:highlight w:val="none"/>
          <w:lang w:val="en-US" w:eastAsia="zh-CN"/>
        </w:rPr>
        <w:t>国合</w:t>
      </w:r>
      <w:r>
        <w:rPr>
          <w:rFonts w:hint="eastAsia" w:ascii="黑体" w:cs="Times New Roman"/>
          <w:b w:val="0"/>
          <w:bCs w:val="0"/>
          <w:lang w:val="en-US" w:eastAsia="zh-CN"/>
        </w:rPr>
        <w:t>通用</w:t>
      </w:r>
      <w:r>
        <w:rPr>
          <w:rFonts w:hint="eastAsia"/>
          <w:color w:val="auto"/>
          <w:highlight w:val="none"/>
          <w:lang w:val="en-US" w:eastAsia="zh-CN"/>
        </w:rPr>
        <w:t>（青岛）测试评价有限公司</w:t>
      </w:r>
    </w:p>
    <w:p w14:paraId="12D34891">
      <w:pPr>
        <w:pStyle w:val="58"/>
        <w:spacing w:line="360" w:lineRule="auto"/>
        <w:rPr>
          <w:rFonts w:hint="eastAsia"/>
          <w:color w:val="auto"/>
          <w:highlight w:val="none"/>
          <w:lang w:val="en-US" w:eastAsia="zh-CN"/>
        </w:rPr>
      </w:pPr>
      <w:r>
        <w:rPr>
          <w:rFonts w:hint="eastAsia"/>
          <w:color w:val="auto"/>
          <w:highlight w:val="none"/>
          <w:lang w:val="en-US" w:eastAsia="zh-CN"/>
        </w:rPr>
        <w:t>国合通用（青岛）测试评价有限公司运营着国家新材料测试评价平台-主中心青岛实验室，重点面向新材料行业领域提供测试评价服务与技术标准研究。具有CMA、CNAS、Nadcap等资质，建立以材料力学、设备校准、化学分析、显微组织结构、无损检测、样品加工为核心的分析测试服务平台，具备对产品开展多参数、多尺度、高精度、全成分范围检验评价的能力，在国内实验室处于领先水平。面向航空航天、轨道交通、风电核电、工业润滑、船舶等行业领域，提供化学成分分析、力学性能测试及校准、组织结构分析、失效分析等测试评价服务，满足各类新材料产品研发、生产、应用需要。</w:t>
      </w:r>
    </w:p>
    <w:p w14:paraId="21F68E51">
      <w:pPr>
        <w:pStyle w:val="58"/>
        <w:spacing w:line="360" w:lineRule="auto"/>
        <w:rPr>
          <w:rFonts w:hint="eastAsia"/>
          <w:color w:val="auto"/>
          <w:highlight w:val="none"/>
          <w:lang w:val="en-US" w:eastAsia="zh-CN"/>
        </w:rPr>
      </w:pPr>
      <w:r>
        <w:rPr>
          <w:rFonts w:hint="eastAsia"/>
          <w:lang w:eastAsia="zh-CN"/>
        </w:rPr>
        <w:t>该单位积极参与编制组的各项工作会议，对规范的校准方法提出了有效建议，在编制组中发挥了主要作用。</w:t>
      </w:r>
    </w:p>
    <w:p w14:paraId="132C02EC">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6</w:t>
      </w:r>
      <w:r>
        <w:rPr>
          <w:rFonts w:hint="eastAsia" w:ascii="Times New Roman"/>
          <w:b w:val="0"/>
          <w:bCs w:val="0"/>
        </w:rPr>
        <w:t xml:space="preserve">  </w:t>
      </w:r>
      <w:r>
        <w:rPr>
          <w:rFonts w:hint="eastAsia"/>
          <w:b w:val="0"/>
          <w:bCs w:val="0"/>
          <w:szCs w:val="21"/>
          <w:lang w:eastAsia="zh-CN"/>
        </w:rPr>
        <w:t>西安汉唐分析检测有限公司</w:t>
      </w:r>
    </w:p>
    <w:p w14:paraId="2CA3E685">
      <w:pPr>
        <w:pStyle w:val="58"/>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14:paraId="34BB967A">
      <w:pPr>
        <w:pStyle w:val="58"/>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default"/>
        </w:rPr>
        <w:t>该单位积极参与编制组的各项工作会议，对规范的校准方法提出了有效建议，在编制组中发挥了主要作用。</w:t>
      </w:r>
    </w:p>
    <w:p w14:paraId="16895790">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7</w:t>
      </w:r>
      <w:r>
        <w:rPr>
          <w:rFonts w:hint="eastAsia" w:ascii="Times New Roman"/>
          <w:b w:val="0"/>
          <w:bCs w:val="0"/>
        </w:rPr>
        <w:t xml:space="preserve">  </w:t>
      </w:r>
      <w:r>
        <w:rPr>
          <w:rFonts w:hint="eastAsia"/>
          <w:b w:val="0"/>
          <w:bCs w:val="0"/>
          <w:szCs w:val="21"/>
          <w:lang w:eastAsia="zh-CN"/>
        </w:rPr>
        <w:t>国标（北京）检验认证有限公司</w:t>
      </w:r>
    </w:p>
    <w:p w14:paraId="2F5EB02C">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46F231FC">
      <w:pPr>
        <w:pStyle w:val="58"/>
        <w:spacing w:line="360" w:lineRule="auto"/>
        <w:rPr>
          <w:rFonts w:hint="eastAsia"/>
          <w:color w:val="auto"/>
          <w:highlight w:val="none"/>
          <w:lang w:val="en-US" w:eastAsia="zh-CN"/>
        </w:rPr>
      </w:pPr>
      <w:r>
        <w:rPr>
          <w:rFonts w:hint="eastAsia"/>
          <w:color w:val="auto"/>
          <w:highlight w:val="none"/>
          <w:lang w:val="en-US" w:eastAsia="zh-CN"/>
        </w:rPr>
        <w:t>该单位积极参与编制组的各项工作会议，对规范的校准方法提出了有效建议，在编制组中发挥了主要作用。</w:t>
      </w:r>
    </w:p>
    <w:p w14:paraId="494EF763">
      <w:pPr>
        <w:pStyle w:val="58"/>
        <w:spacing w:line="360" w:lineRule="auto"/>
        <w:rPr>
          <w:rFonts w:hint="eastAsia"/>
          <w:color w:val="auto"/>
          <w:highlight w:val="none"/>
          <w:lang w:val="en-US" w:eastAsia="zh-CN"/>
        </w:rPr>
      </w:pPr>
    </w:p>
    <w:p w14:paraId="3126F503">
      <w:pPr>
        <w:pStyle w:val="4"/>
        <w:spacing w:before="156" w:after="156"/>
        <w:rPr>
          <w:b w:val="0"/>
          <w:bCs w:val="0"/>
        </w:rPr>
      </w:pPr>
      <w:bookmarkStart w:id="7" w:name="_Toc464728913"/>
      <w:bookmarkStart w:id="8" w:name="_Toc462884357"/>
      <w:r>
        <w:rPr>
          <w:rFonts w:hint="eastAsia"/>
          <w:b w:val="0"/>
          <w:bCs w:val="0"/>
        </w:rPr>
        <w:t>4.主要工作过程</w:t>
      </w:r>
      <w:bookmarkEnd w:id="7"/>
      <w:bookmarkEnd w:id="8"/>
    </w:p>
    <w:p w14:paraId="4E957C5B">
      <w:pPr>
        <w:spacing w:line="400" w:lineRule="exact"/>
        <w:ind w:firstLine="420" w:firstLineChars="200"/>
        <w:rPr>
          <w:b w:val="0"/>
          <w:bCs w:val="0"/>
        </w:rPr>
      </w:pPr>
      <w:bookmarkStart w:id="9" w:name="_Hlk134448643"/>
      <w:r>
        <w:rPr>
          <w:rFonts w:hint="eastAsia"/>
          <w:bCs/>
          <w:color w:val="auto"/>
          <w:highlight w:val="none"/>
          <w:lang w:val="en-US" w:eastAsia="zh-CN"/>
        </w:rPr>
        <w:t>西南铝业（集团）有限责任公司于2024年7月</w:t>
      </w:r>
      <w:r>
        <w:rPr>
          <w:rFonts w:hint="eastAsia"/>
          <w:bCs/>
          <w:color w:val="auto"/>
          <w:highlight w:val="none"/>
        </w:rPr>
        <w:t>接到有色金属行业计量技术委员会转发下达的制定任务后，成立了计量规范编</w:t>
      </w:r>
      <w:r>
        <w:rPr>
          <w:rFonts w:hint="eastAsia"/>
          <w:bCs/>
          <w:color w:val="auto"/>
          <w:highlight w:val="none"/>
          <w:lang w:val="en-US" w:eastAsia="zh-CN"/>
        </w:rPr>
        <w:t>制组。对计量技术规范编写工作进行了部署和分工，制定了制定原则及计划工作。本项目主要工作过程经过了以下几个阶段</w:t>
      </w:r>
      <w:r>
        <w:rPr>
          <w:rFonts w:hint="eastAsia"/>
          <w:b w:val="0"/>
          <w:bCs w:val="0"/>
        </w:rPr>
        <w:t>：</w:t>
      </w:r>
    </w:p>
    <w:p w14:paraId="29266DD1">
      <w:pPr>
        <w:spacing w:line="400" w:lineRule="exact"/>
        <w:ind w:firstLine="420" w:firstLineChars="200"/>
        <w:rPr>
          <w:b w:val="0"/>
          <w:bCs w:val="0"/>
        </w:rPr>
      </w:pPr>
      <w:r>
        <w:rPr>
          <w:b w:val="0"/>
          <w:bCs w:val="0"/>
        </w:rPr>
        <w:t>1</w:t>
      </w:r>
      <w:r>
        <w:rPr>
          <w:rFonts w:hint="eastAsia"/>
          <w:b w:val="0"/>
          <w:bCs w:val="0"/>
        </w:rPr>
        <w:t>）</w:t>
      </w:r>
      <w:r>
        <w:rPr>
          <w:b w:val="0"/>
          <w:bCs w:val="0"/>
        </w:rPr>
        <w:t>20</w:t>
      </w:r>
      <w:r>
        <w:rPr>
          <w:rFonts w:hint="eastAsia"/>
          <w:b w:val="0"/>
          <w:bCs w:val="0"/>
        </w:rPr>
        <w:t>2</w:t>
      </w:r>
      <w:r>
        <w:rPr>
          <w:rFonts w:hint="eastAsia"/>
          <w:b w:val="0"/>
          <w:bCs w:val="0"/>
          <w:lang w:val="en-US" w:eastAsia="zh-CN"/>
        </w:rPr>
        <w:t>4</w:t>
      </w:r>
      <w:r>
        <w:rPr>
          <w:rFonts w:hint="eastAsia"/>
          <w:b w:val="0"/>
          <w:bCs w:val="0"/>
        </w:rPr>
        <w:t>年</w:t>
      </w:r>
      <w:r>
        <w:rPr>
          <w:rFonts w:hint="eastAsia"/>
          <w:b w:val="0"/>
          <w:bCs w:val="0"/>
          <w:lang w:val="en-US" w:eastAsia="zh-CN"/>
        </w:rPr>
        <w:t>8</w:t>
      </w:r>
      <w:r>
        <w:rPr>
          <w:rFonts w:hint="eastAsia"/>
          <w:b w:val="0"/>
          <w:bCs w:val="0"/>
        </w:rPr>
        <w:t>月成立了计量规范编制组，明确了编制组成员各自的工作内容和任务。</w:t>
      </w:r>
    </w:p>
    <w:p w14:paraId="3117B2B9">
      <w:pPr>
        <w:spacing w:line="400" w:lineRule="exact"/>
        <w:ind w:firstLine="420" w:firstLineChars="200"/>
        <w:rPr>
          <w:rFonts w:hint="eastAsia"/>
          <w:b w:val="0"/>
          <w:bCs w:val="0"/>
        </w:rPr>
      </w:pPr>
      <w:r>
        <w:rPr>
          <w:rFonts w:hint="eastAsia" w:ascii="Times New Roman" w:hAnsi="Times New Roman" w:cs="Times New Roman"/>
          <w:b w:val="0"/>
          <w:bCs w:val="0"/>
          <w:lang w:val="en-US" w:eastAsia="zh-CN"/>
        </w:rPr>
        <w:t>2</w:t>
      </w:r>
      <w:r>
        <w:rPr>
          <w:rFonts w:hint="eastAsia" w:ascii="Times New Roman" w:hAnsi="Times New Roman" w:cs="Times New Roman"/>
          <w:b w:val="0"/>
          <w:bCs w:val="0"/>
          <w:lang w:eastAsia="zh-CN"/>
        </w:rPr>
        <w:t>）</w:t>
      </w:r>
      <w:r>
        <w:rPr>
          <w:rFonts w:hint="eastAsia" w:ascii="Times New Roman" w:hAnsi="Times New Roman" w:cs="Times New Roman"/>
          <w:b w:val="0"/>
          <w:bCs w:val="0"/>
        </w:rPr>
        <w:t>202</w:t>
      </w:r>
      <w:r>
        <w:rPr>
          <w:rFonts w:hint="eastAsia" w:cs="Times New Roman"/>
          <w:b w:val="0"/>
          <w:bCs w:val="0"/>
          <w:lang w:val="en-US" w:eastAsia="zh-CN"/>
        </w:rPr>
        <w:t>4</w:t>
      </w:r>
      <w:r>
        <w:rPr>
          <w:rFonts w:hint="eastAsia"/>
          <w:b w:val="0"/>
          <w:bCs w:val="0"/>
        </w:rPr>
        <w:t>年8月～202</w:t>
      </w:r>
      <w:r>
        <w:rPr>
          <w:rFonts w:hint="eastAsia"/>
          <w:b w:val="0"/>
          <w:bCs w:val="0"/>
          <w:lang w:val="en-US" w:eastAsia="zh-CN"/>
        </w:rPr>
        <w:t>5</w:t>
      </w:r>
      <w:r>
        <w:rPr>
          <w:rFonts w:hint="eastAsia"/>
          <w:b w:val="0"/>
          <w:bCs w:val="0"/>
        </w:rPr>
        <w:t>年</w:t>
      </w:r>
      <w:r>
        <w:rPr>
          <w:rFonts w:hint="eastAsia"/>
          <w:b w:val="0"/>
          <w:bCs w:val="0"/>
          <w:lang w:val="en-US" w:eastAsia="zh-CN"/>
        </w:rPr>
        <w:t>3</w:t>
      </w:r>
      <w:r>
        <w:rPr>
          <w:rFonts w:hint="eastAsia"/>
          <w:b w:val="0"/>
          <w:bCs w:val="0"/>
        </w:rPr>
        <w:t>月计量规范编制组成员对数字式引伸计标定器</w:t>
      </w:r>
      <w:r>
        <w:rPr>
          <w:rFonts w:hint="eastAsia"/>
          <w:szCs w:val="21"/>
        </w:rPr>
        <w:t>校准规范</w:t>
      </w:r>
      <w:r>
        <w:rPr>
          <w:rFonts w:hint="eastAsia"/>
          <w:b w:val="0"/>
          <w:bCs w:val="0"/>
        </w:rPr>
        <w:t>中的计量特性及校准方法进行了讨论，确定了校准项目和方法，在202</w:t>
      </w:r>
      <w:r>
        <w:rPr>
          <w:rFonts w:hint="eastAsia"/>
          <w:b w:val="0"/>
          <w:bCs w:val="0"/>
          <w:lang w:val="en-US" w:eastAsia="zh-CN"/>
        </w:rPr>
        <w:t>5</w:t>
      </w:r>
      <w:r>
        <w:rPr>
          <w:rFonts w:hint="eastAsia"/>
          <w:b w:val="0"/>
          <w:bCs w:val="0"/>
        </w:rPr>
        <w:t>年</w:t>
      </w:r>
      <w:r>
        <w:rPr>
          <w:rFonts w:hint="eastAsia"/>
          <w:b w:val="0"/>
          <w:bCs w:val="0"/>
          <w:lang w:val="en-US" w:eastAsia="zh-CN"/>
        </w:rPr>
        <w:t>3</w:t>
      </w:r>
      <w:r>
        <w:rPr>
          <w:rFonts w:hint="eastAsia"/>
          <w:b w:val="0"/>
          <w:bCs w:val="0"/>
        </w:rPr>
        <w:t>月形成了计量规范讨论稿。</w:t>
      </w:r>
    </w:p>
    <w:p w14:paraId="7F216024">
      <w:pPr>
        <w:spacing w:line="400" w:lineRule="exact"/>
        <w:ind w:firstLine="420" w:firstLineChars="200"/>
        <w:rPr>
          <w:rFonts w:hint="default" w:ascii="Times New Roman" w:hAnsi="Times New Roman" w:cs="Times New Roman"/>
          <w:b w:val="0"/>
          <w:bCs w:val="0"/>
          <w:lang w:val="en-US" w:eastAsia="zh-CN"/>
        </w:rPr>
      </w:pPr>
      <w:r>
        <w:rPr>
          <w:rFonts w:hint="eastAsia"/>
          <w:bCs/>
          <w:highlight w:val="none"/>
          <w:lang w:val="en-US" w:eastAsia="zh-CN"/>
        </w:rPr>
        <w:t>3）2025</w:t>
      </w:r>
      <w:r>
        <w:rPr>
          <w:rFonts w:hint="eastAsia" w:ascii="Times New Roman" w:hAnsi="Times New Roman" w:cs="Times New Roman"/>
          <w:b w:val="0"/>
          <w:bCs w:val="0"/>
          <w:lang w:val="en-US" w:eastAsia="zh-CN"/>
        </w:rPr>
        <w:t>年</w:t>
      </w:r>
      <w:r>
        <w:rPr>
          <w:rFonts w:hint="eastAsia" w:cs="Times New Roman"/>
          <w:b w:val="0"/>
          <w:bCs w:val="0"/>
          <w:lang w:val="en-US" w:eastAsia="zh-CN"/>
        </w:rPr>
        <w:t>3</w:t>
      </w:r>
      <w:r>
        <w:rPr>
          <w:rFonts w:hint="eastAsia" w:ascii="Times New Roman" w:hAnsi="Times New Roman" w:cs="Times New Roman"/>
          <w:b w:val="0"/>
          <w:bCs w:val="0"/>
          <w:lang w:val="en-US" w:eastAsia="zh-CN"/>
        </w:rPr>
        <w:t>月2</w:t>
      </w:r>
      <w:r>
        <w:rPr>
          <w:rFonts w:hint="eastAsia" w:cs="Times New Roman"/>
          <w:b w:val="0"/>
          <w:bCs w:val="0"/>
          <w:lang w:val="en-US" w:eastAsia="zh-CN"/>
        </w:rPr>
        <w:t>5</w:t>
      </w:r>
      <w:r>
        <w:rPr>
          <w:rFonts w:hint="eastAsia" w:ascii="Times New Roman" w:hAnsi="Times New Roman" w:cs="Times New Roman"/>
          <w:b w:val="0"/>
          <w:bCs w:val="0"/>
          <w:lang w:val="en-US" w:eastAsia="zh-CN"/>
        </w:rPr>
        <w:t>日-2</w:t>
      </w:r>
      <w:r>
        <w:rPr>
          <w:rFonts w:hint="eastAsia" w:cs="Times New Roman"/>
          <w:b w:val="0"/>
          <w:bCs w:val="0"/>
          <w:lang w:val="en-US" w:eastAsia="zh-CN"/>
        </w:rPr>
        <w:t>6</w:t>
      </w:r>
      <w:r>
        <w:rPr>
          <w:rFonts w:hint="eastAsia" w:ascii="Times New Roman" w:hAnsi="Times New Roman" w:cs="Times New Roman"/>
          <w:b w:val="0"/>
          <w:bCs w:val="0"/>
          <w:lang w:val="en-US" w:eastAsia="zh-CN"/>
        </w:rPr>
        <w:t>日，计量规范编制组成员参加了由有色金属行业计量技术委员会组织的在</w:t>
      </w:r>
      <w:r>
        <w:rPr>
          <w:rFonts w:hint="eastAsia" w:cs="Times New Roman"/>
          <w:b w:val="0"/>
          <w:bCs w:val="0"/>
          <w:lang w:val="en-US" w:eastAsia="zh-CN"/>
        </w:rPr>
        <w:t>广州</w:t>
      </w:r>
      <w:r>
        <w:rPr>
          <w:rFonts w:hint="eastAsia" w:ascii="Times New Roman" w:hAnsi="Times New Roman" w:cs="Times New Roman"/>
          <w:b w:val="0"/>
          <w:bCs w:val="0"/>
          <w:lang w:val="en-US" w:eastAsia="zh-CN"/>
        </w:rPr>
        <w:t>召开的202</w:t>
      </w:r>
      <w:r>
        <w:rPr>
          <w:rFonts w:hint="eastAsia" w:cs="Times New Roman"/>
          <w:b w:val="0"/>
          <w:bCs w:val="0"/>
          <w:lang w:val="en-US" w:eastAsia="zh-CN"/>
        </w:rPr>
        <w:t>5</w:t>
      </w:r>
      <w:r>
        <w:rPr>
          <w:rFonts w:hint="eastAsia" w:ascii="Times New Roman" w:hAnsi="Times New Roman" w:cs="Times New Roman"/>
          <w:b w:val="0"/>
          <w:bCs w:val="0"/>
          <w:lang w:val="en-US" w:eastAsia="zh-CN"/>
        </w:rPr>
        <w:t>年有色金属行业计量技术规范讨论会，</w:t>
      </w:r>
      <w:r>
        <w:rPr>
          <w:rFonts w:hint="eastAsia"/>
          <w:b w:val="0"/>
          <w:bCs w:val="0"/>
          <w:szCs w:val="21"/>
        </w:rPr>
        <w:t>会上对《</w:t>
      </w:r>
      <w:r>
        <w:rPr>
          <w:rFonts w:hint="eastAsia"/>
          <w:szCs w:val="21"/>
          <w:lang w:val="en-US" w:eastAsia="zh-CN"/>
        </w:rPr>
        <w:t>数字式引伸计标定器</w:t>
      </w:r>
      <w:r>
        <w:rPr>
          <w:rFonts w:hint="eastAsia"/>
          <w:szCs w:val="21"/>
        </w:rPr>
        <w:t>校准规范</w:t>
      </w:r>
      <w:r>
        <w:rPr>
          <w:rFonts w:hint="eastAsia"/>
          <w:b w:val="0"/>
          <w:bCs w:val="0"/>
          <w:szCs w:val="21"/>
        </w:rPr>
        <w:t>-讨论稿》进行了讨论，</w:t>
      </w:r>
      <w:r>
        <w:rPr>
          <w:rFonts w:hint="eastAsia" w:ascii="Times New Roman" w:hAnsi="Times New Roman" w:cs="Times New Roman"/>
          <w:b w:val="0"/>
          <w:bCs w:val="0"/>
          <w:lang w:val="en-US" w:eastAsia="zh-CN"/>
        </w:rPr>
        <w:t>与会专家、代表对本校准规范的讨论稿提出了宝贵的意见和建议。</w:t>
      </w:r>
      <w:r>
        <w:rPr>
          <w:rFonts w:hint="eastAsia" w:cs="Times New Roman"/>
          <w:b w:val="0"/>
          <w:bCs w:val="0"/>
          <w:lang w:val="en-US" w:eastAsia="zh-CN"/>
        </w:rPr>
        <w:t>具体内容见表1。</w:t>
      </w:r>
    </w:p>
    <w:p w14:paraId="49710CDF">
      <w:pPr>
        <w:spacing w:line="360" w:lineRule="auto"/>
        <w:ind w:firstLine="210" w:firstLineChars="100"/>
        <w:jc w:val="center"/>
        <w:rPr>
          <w:rFonts w:hint="eastAsia" w:eastAsia="宋体"/>
          <w:b w:val="0"/>
          <w:bCs w:val="0"/>
          <w:lang w:eastAsia="zh-CN"/>
        </w:rPr>
      </w:pPr>
      <w:r>
        <w:rPr>
          <w:rFonts w:hint="eastAsia"/>
          <w:b w:val="0"/>
          <w:bCs w:val="0"/>
        </w:rPr>
        <w:t>表</w:t>
      </w:r>
      <w:r>
        <w:rPr>
          <w:rFonts w:hint="eastAsia"/>
          <w:b w:val="0"/>
          <w:bCs w:val="0"/>
          <w:lang w:val="en-US" w:eastAsia="zh-CN"/>
        </w:rPr>
        <w:t xml:space="preserve">1 </w:t>
      </w:r>
      <w:r>
        <w:rPr>
          <w:rFonts w:hint="eastAsia"/>
          <w:b w:val="0"/>
          <w:bCs w:val="0"/>
        </w:rPr>
        <w:t>有色金属计量技术规范研讨会会议纪要</w:t>
      </w:r>
      <w:r>
        <w:rPr>
          <w:rFonts w:hint="eastAsia"/>
          <w:b w:val="0"/>
          <w:bCs w:val="0"/>
          <w:lang w:eastAsia="zh-CN"/>
        </w:rPr>
        <w:t>（</w:t>
      </w:r>
      <w:r>
        <w:rPr>
          <w:rFonts w:hint="eastAsia"/>
          <w:b w:val="0"/>
          <w:bCs w:val="0"/>
          <w:lang w:val="en-US" w:eastAsia="zh-CN"/>
        </w:rPr>
        <w:t>讨论稿</w:t>
      </w:r>
      <w:r>
        <w:rPr>
          <w:rFonts w:hint="eastAsia"/>
          <w:b w:val="0"/>
          <w:bCs w:val="0"/>
          <w:lang w:eastAsia="zh-CN"/>
        </w:rPr>
        <w:t>）</w:t>
      </w:r>
    </w:p>
    <w:tbl>
      <w:tblPr>
        <w:tblStyle w:val="41"/>
        <w:tblW w:w="4765" w:type="pct"/>
        <w:jc w:val="center"/>
        <w:tblLayout w:type="fixed"/>
        <w:tblCellMar>
          <w:top w:w="0" w:type="dxa"/>
          <w:left w:w="108" w:type="dxa"/>
          <w:bottom w:w="0" w:type="dxa"/>
          <w:right w:w="108" w:type="dxa"/>
        </w:tblCellMar>
      </w:tblPr>
      <w:tblGrid>
        <w:gridCol w:w="602"/>
        <w:gridCol w:w="2061"/>
        <w:gridCol w:w="3393"/>
        <w:gridCol w:w="2068"/>
        <w:gridCol w:w="998"/>
      </w:tblGrid>
      <w:tr w14:paraId="3F616573">
        <w:tblPrEx>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256DE">
            <w:pPr>
              <w:widowControl/>
              <w:ind w:firstLine="0" w:firstLineChars="0"/>
              <w:jc w:val="left"/>
              <w:rPr>
                <w:rFonts w:hint="eastAsia" w:ascii="Times New Roman" w:hAnsi="Times New Roman" w:eastAsia="宋体" w:cs="宋体"/>
                <w:b w:val="0"/>
                <w:bCs w:val="0"/>
                <w:color w:val="000000"/>
                <w:kern w:val="0"/>
                <w:sz w:val="18"/>
                <w:szCs w:val="18"/>
                <w:highlight w:val="none"/>
              </w:rPr>
            </w:pPr>
            <w:r>
              <w:rPr>
                <w:rFonts w:hint="eastAsia" w:ascii="Times New Roman" w:hAnsi="Times New Roman" w:eastAsia="宋体" w:cs="宋体"/>
                <w:b w:val="0"/>
                <w:bCs w:val="0"/>
                <w:color w:val="000000"/>
                <w:kern w:val="0"/>
                <w:sz w:val="18"/>
                <w:szCs w:val="18"/>
                <w:highlight w:val="none"/>
              </w:rPr>
              <w:t>序号</w:t>
            </w:r>
          </w:p>
        </w:tc>
        <w:tc>
          <w:tcPr>
            <w:tcW w:w="1129" w:type="pct"/>
            <w:tcBorders>
              <w:top w:val="single" w:color="auto" w:sz="4" w:space="0"/>
              <w:left w:val="nil"/>
              <w:bottom w:val="single" w:color="auto" w:sz="4" w:space="0"/>
              <w:right w:val="single" w:color="auto" w:sz="4" w:space="0"/>
            </w:tcBorders>
            <w:shd w:val="clear" w:color="auto" w:fill="auto"/>
            <w:vAlign w:val="center"/>
          </w:tcPr>
          <w:p w14:paraId="14EFFD8F">
            <w:pPr>
              <w:widowControl/>
              <w:ind w:firstLine="0" w:firstLineChars="0"/>
              <w:jc w:val="left"/>
              <w:rPr>
                <w:rFonts w:hint="eastAsia" w:ascii="Times New Roman" w:hAnsi="Times New Roman" w:eastAsia="宋体" w:cs="宋体"/>
                <w:b w:val="0"/>
                <w:bCs w:val="0"/>
                <w:color w:val="000000"/>
                <w:kern w:val="0"/>
                <w:sz w:val="18"/>
                <w:szCs w:val="18"/>
                <w:highlight w:val="none"/>
              </w:rPr>
            </w:pPr>
            <w:r>
              <w:rPr>
                <w:rFonts w:hint="eastAsia" w:ascii="Times New Roman" w:hAnsi="Times New Roman" w:eastAsia="宋体" w:cs="宋体"/>
                <w:b w:val="0"/>
                <w:bCs w:val="0"/>
                <w:color w:val="000000"/>
                <w:kern w:val="0"/>
                <w:sz w:val="18"/>
                <w:szCs w:val="18"/>
                <w:highlight w:val="none"/>
              </w:rPr>
              <w:t>标准章条编号</w:t>
            </w:r>
          </w:p>
        </w:tc>
        <w:tc>
          <w:tcPr>
            <w:tcW w:w="1859" w:type="pct"/>
            <w:tcBorders>
              <w:top w:val="single" w:color="auto" w:sz="4" w:space="0"/>
              <w:left w:val="nil"/>
              <w:bottom w:val="single" w:color="auto" w:sz="4" w:space="0"/>
              <w:right w:val="single" w:color="auto" w:sz="4" w:space="0"/>
            </w:tcBorders>
            <w:shd w:val="clear" w:color="auto" w:fill="auto"/>
            <w:noWrap/>
            <w:vAlign w:val="center"/>
          </w:tcPr>
          <w:p w14:paraId="2E2BFFD8">
            <w:pPr>
              <w:widowControl/>
              <w:ind w:firstLine="360" w:firstLineChars="200"/>
              <w:jc w:val="left"/>
              <w:rPr>
                <w:rFonts w:hint="eastAsia" w:ascii="Times New Roman" w:hAnsi="Times New Roman" w:eastAsia="宋体" w:cs="宋体"/>
                <w:b w:val="0"/>
                <w:bCs w:val="0"/>
                <w:color w:val="000000"/>
                <w:kern w:val="0"/>
                <w:sz w:val="18"/>
                <w:szCs w:val="18"/>
                <w:highlight w:val="none"/>
              </w:rPr>
            </w:pPr>
            <w:r>
              <w:rPr>
                <w:rFonts w:hint="eastAsia" w:ascii="Times New Roman" w:hAnsi="Times New Roman" w:eastAsia="宋体" w:cs="宋体"/>
                <w:b w:val="0"/>
                <w:bCs w:val="0"/>
                <w:color w:val="000000"/>
                <w:kern w:val="0"/>
                <w:sz w:val="18"/>
                <w:szCs w:val="18"/>
                <w:highlight w:val="none"/>
              </w:rPr>
              <w:t>意见内容</w:t>
            </w:r>
          </w:p>
        </w:tc>
        <w:tc>
          <w:tcPr>
            <w:tcW w:w="1133" w:type="pct"/>
            <w:tcBorders>
              <w:top w:val="single" w:color="auto" w:sz="4" w:space="0"/>
              <w:left w:val="nil"/>
              <w:bottom w:val="single" w:color="auto" w:sz="4" w:space="0"/>
              <w:right w:val="single" w:color="auto" w:sz="4" w:space="0"/>
            </w:tcBorders>
            <w:shd w:val="clear" w:color="auto" w:fill="auto"/>
            <w:noWrap/>
            <w:vAlign w:val="center"/>
          </w:tcPr>
          <w:p w14:paraId="33B4AE45">
            <w:pPr>
              <w:widowControl/>
              <w:ind w:firstLine="360" w:firstLineChars="200"/>
              <w:jc w:val="left"/>
              <w:rPr>
                <w:rFonts w:hint="eastAsia" w:ascii="Times New Roman" w:hAnsi="Times New Roman" w:eastAsia="宋体" w:cs="宋体"/>
                <w:b w:val="0"/>
                <w:bCs w:val="0"/>
                <w:color w:val="000000"/>
                <w:kern w:val="0"/>
                <w:sz w:val="18"/>
                <w:szCs w:val="18"/>
                <w:highlight w:val="none"/>
              </w:rPr>
            </w:pPr>
            <w:r>
              <w:rPr>
                <w:rFonts w:hint="eastAsia" w:ascii="Times New Roman" w:hAnsi="Times New Roman" w:eastAsia="宋体" w:cs="宋体"/>
                <w:b w:val="0"/>
                <w:bCs w:val="0"/>
                <w:color w:val="000000"/>
                <w:kern w:val="0"/>
                <w:sz w:val="18"/>
                <w:szCs w:val="18"/>
                <w:highlight w:val="none"/>
              </w:rPr>
              <w:t>提出单位</w:t>
            </w:r>
          </w:p>
        </w:tc>
        <w:tc>
          <w:tcPr>
            <w:tcW w:w="547" w:type="pct"/>
            <w:tcBorders>
              <w:top w:val="single" w:color="auto" w:sz="4" w:space="0"/>
              <w:left w:val="nil"/>
              <w:bottom w:val="single" w:color="auto" w:sz="4" w:space="0"/>
              <w:right w:val="single" w:color="auto" w:sz="4" w:space="0"/>
            </w:tcBorders>
            <w:shd w:val="clear" w:color="auto" w:fill="auto"/>
            <w:noWrap/>
            <w:vAlign w:val="center"/>
          </w:tcPr>
          <w:p w14:paraId="07BFF437">
            <w:pPr>
              <w:widowControl/>
              <w:ind w:firstLine="0" w:firstLineChars="0"/>
              <w:jc w:val="left"/>
              <w:rPr>
                <w:rFonts w:hint="eastAsia" w:ascii="Times New Roman" w:hAnsi="Times New Roman" w:eastAsia="宋体" w:cs="宋体"/>
                <w:b w:val="0"/>
                <w:bCs w:val="0"/>
                <w:color w:val="000000"/>
                <w:kern w:val="0"/>
                <w:sz w:val="18"/>
                <w:szCs w:val="18"/>
                <w:highlight w:val="none"/>
              </w:rPr>
            </w:pPr>
            <w:r>
              <w:rPr>
                <w:rFonts w:hint="eastAsia" w:ascii="Times New Roman" w:hAnsi="Times New Roman" w:eastAsia="宋体" w:cs="宋体"/>
                <w:b w:val="0"/>
                <w:bCs w:val="0"/>
                <w:color w:val="000000"/>
                <w:kern w:val="0"/>
                <w:sz w:val="18"/>
                <w:szCs w:val="18"/>
                <w:highlight w:val="none"/>
              </w:rPr>
              <w:t>处理意见</w:t>
            </w:r>
          </w:p>
        </w:tc>
      </w:tr>
      <w:tr w14:paraId="7E2B2BCE">
        <w:tblPrEx>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E8744">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7F0E5DE4">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3概述</w:t>
            </w:r>
          </w:p>
        </w:tc>
        <w:tc>
          <w:tcPr>
            <w:tcW w:w="1859" w:type="pct"/>
            <w:tcBorders>
              <w:top w:val="single" w:color="auto" w:sz="4" w:space="0"/>
              <w:left w:val="nil"/>
              <w:bottom w:val="single" w:color="auto" w:sz="4" w:space="0"/>
              <w:right w:val="single" w:color="auto" w:sz="4" w:space="0"/>
            </w:tcBorders>
            <w:shd w:val="clear" w:color="auto" w:fill="auto"/>
            <w:noWrap/>
            <w:vAlign w:val="center"/>
          </w:tcPr>
          <w:p w14:paraId="34077C61">
            <w:pPr>
              <w:keepNext w:val="0"/>
              <w:keepLines w:val="0"/>
              <w:widowControl/>
              <w:numPr>
                <w:ilvl w:val="-1"/>
                <w:numId w:val="0"/>
              </w:numPr>
              <w:ind w:left="0" w:firstLine="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删除“能够准确地测量沿心轴轴向位移量变化的”，“两个同轴的心轴”改为“可动心轴、固定心轴”。</w:t>
            </w:r>
          </w:p>
        </w:tc>
        <w:tc>
          <w:tcPr>
            <w:tcW w:w="1133" w:type="pct"/>
            <w:tcBorders>
              <w:top w:val="single" w:color="auto" w:sz="4" w:space="0"/>
              <w:left w:val="nil"/>
              <w:bottom w:val="single" w:color="auto" w:sz="4" w:space="0"/>
              <w:right w:val="single" w:color="auto" w:sz="4" w:space="0"/>
            </w:tcBorders>
            <w:shd w:val="clear" w:color="auto" w:fill="auto"/>
            <w:noWrap/>
            <w:vAlign w:val="center"/>
          </w:tcPr>
          <w:p w14:paraId="7604EA00">
            <w:pPr>
              <w:keepNext/>
              <w:keepLines/>
              <w:widowControl w:val="0"/>
              <w:jc w:val="left"/>
              <w:rPr>
                <w:rFonts w:hint="eastAsia" w:ascii="Times New Roman" w:hAnsi="Times New Roman" w:eastAsia="宋体" w:cs="宋体"/>
                <w:b w:val="0"/>
                <w:bCs w:val="0"/>
                <w:color w:val="000000"/>
                <w:kern w:val="0"/>
                <w:sz w:val="18"/>
                <w:szCs w:val="18"/>
                <w:highlight w:val="none"/>
              </w:rPr>
            </w:pPr>
            <w:r>
              <w:rPr>
                <w:rFonts w:hint="eastAsia" w:cs="宋体"/>
                <w:color w:val="000000"/>
                <w:kern w:val="0"/>
                <w:sz w:val="18"/>
                <w:szCs w:val="18"/>
                <w:highlight w:val="none"/>
              </w:rPr>
              <w:t>有色金属技术经济研究院有限责任公司</w:t>
            </w:r>
          </w:p>
        </w:tc>
        <w:tc>
          <w:tcPr>
            <w:tcW w:w="547" w:type="pct"/>
            <w:tcBorders>
              <w:top w:val="single" w:color="auto" w:sz="4" w:space="0"/>
              <w:left w:val="nil"/>
              <w:bottom w:val="single" w:color="auto" w:sz="4" w:space="0"/>
              <w:right w:val="single" w:color="auto" w:sz="4" w:space="0"/>
            </w:tcBorders>
            <w:shd w:val="clear" w:color="auto" w:fill="auto"/>
            <w:noWrap/>
            <w:vAlign w:val="center"/>
          </w:tcPr>
          <w:p w14:paraId="69639872">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r w14:paraId="05BC428F">
        <w:tblPrEx>
          <w:tblCellMar>
            <w:top w:w="0" w:type="dxa"/>
            <w:left w:w="108" w:type="dxa"/>
            <w:bottom w:w="0" w:type="dxa"/>
            <w:right w:w="108" w:type="dxa"/>
          </w:tblCellMar>
        </w:tblPrEx>
        <w:trPr>
          <w:trHeight w:val="567" w:hRule="atLeast"/>
          <w:jc w:val="center"/>
        </w:trPr>
        <w:tc>
          <w:tcPr>
            <w:tcW w:w="329" w:type="pct"/>
            <w:tcBorders>
              <w:top w:val="nil"/>
              <w:left w:val="single" w:color="auto" w:sz="4" w:space="0"/>
              <w:bottom w:val="single" w:color="auto" w:sz="4" w:space="0"/>
              <w:right w:val="single" w:color="auto" w:sz="4" w:space="0"/>
            </w:tcBorders>
            <w:shd w:val="clear" w:color="auto" w:fill="auto"/>
            <w:noWrap/>
            <w:vAlign w:val="center"/>
          </w:tcPr>
          <w:p w14:paraId="25BBE8BA">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nil"/>
              <w:left w:val="nil"/>
              <w:bottom w:val="single" w:color="auto" w:sz="4" w:space="0"/>
              <w:right w:val="single" w:color="auto" w:sz="4" w:space="0"/>
            </w:tcBorders>
            <w:shd w:val="clear" w:color="auto" w:fill="auto"/>
            <w:noWrap/>
            <w:vAlign w:val="center"/>
          </w:tcPr>
          <w:p w14:paraId="18D0AA92">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3概述</w:t>
            </w:r>
          </w:p>
        </w:tc>
        <w:tc>
          <w:tcPr>
            <w:tcW w:w="1859" w:type="pct"/>
            <w:tcBorders>
              <w:top w:val="nil"/>
              <w:left w:val="nil"/>
              <w:bottom w:val="single" w:color="auto" w:sz="4" w:space="0"/>
              <w:right w:val="single" w:color="auto" w:sz="4" w:space="0"/>
            </w:tcBorders>
            <w:shd w:val="clear" w:color="auto" w:fill="auto"/>
            <w:noWrap/>
            <w:vAlign w:val="center"/>
          </w:tcPr>
          <w:p w14:paraId="1F0CF960">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图1指示线格式改为细实线。</w:t>
            </w:r>
          </w:p>
        </w:tc>
        <w:tc>
          <w:tcPr>
            <w:tcW w:w="1133" w:type="pct"/>
            <w:tcBorders>
              <w:top w:val="nil"/>
              <w:left w:val="nil"/>
              <w:bottom w:val="single" w:color="auto" w:sz="4" w:space="0"/>
              <w:right w:val="single" w:color="auto" w:sz="4" w:space="0"/>
            </w:tcBorders>
            <w:shd w:val="clear" w:color="auto" w:fill="auto"/>
            <w:noWrap/>
            <w:vAlign w:val="center"/>
          </w:tcPr>
          <w:p w14:paraId="3DF2F146">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ascii="Times New Roman" w:hAnsi="Times New Roman" w:eastAsia="宋体" w:cs="宋体"/>
                <w:b w:val="0"/>
                <w:bCs w:val="0"/>
                <w:color w:val="000000"/>
                <w:kern w:val="0"/>
                <w:sz w:val="18"/>
                <w:szCs w:val="18"/>
                <w:highlight w:val="none"/>
              </w:rPr>
              <w:t>东北轻合金有限责任公司</w:t>
            </w:r>
          </w:p>
        </w:tc>
        <w:tc>
          <w:tcPr>
            <w:tcW w:w="547" w:type="pct"/>
            <w:tcBorders>
              <w:top w:val="nil"/>
              <w:left w:val="nil"/>
              <w:bottom w:val="single" w:color="auto" w:sz="4" w:space="0"/>
              <w:right w:val="single" w:color="auto" w:sz="4" w:space="0"/>
            </w:tcBorders>
            <w:shd w:val="clear" w:color="auto" w:fill="auto"/>
            <w:noWrap/>
            <w:vAlign w:val="center"/>
          </w:tcPr>
          <w:p w14:paraId="0DFF48E8">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ascii="Times New Roman" w:hAnsi="Times New Roman" w:eastAsia="宋体" w:cs="宋体"/>
                <w:b w:val="0"/>
                <w:bCs w:val="0"/>
                <w:color w:val="000000"/>
                <w:kern w:val="0"/>
                <w:sz w:val="18"/>
                <w:szCs w:val="18"/>
                <w:highlight w:val="none"/>
                <w:lang w:val="en-US" w:eastAsia="zh-CN"/>
              </w:rPr>
              <w:t>采纳</w:t>
            </w:r>
          </w:p>
        </w:tc>
      </w:tr>
      <w:tr w14:paraId="5873E93C">
        <w:tblPrEx>
          <w:tblCellMar>
            <w:top w:w="0" w:type="dxa"/>
            <w:left w:w="108" w:type="dxa"/>
            <w:bottom w:w="0" w:type="dxa"/>
            <w:right w:w="108" w:type="dxa"/>
          </w:tblCellMar>
        </w:tblPrEx>
        <w:trPr>
          <w:trHeight w:val="567" w:hRule="atLeast"/>
          <w:jc w:val="center"/>
        </w:trPr>
        <w:tc>
          <w:tcPr>
            <w:tcW w:w="329" w:type="pct"/>
            <w:tcBorders>
              <w:top w:val="nil"/>
              <w:left w:val="single" w:color="auto" w:sz="4" w:space="0"/>
              <w:bottom w:val="single" w:color="auto" w:sz="4" w:space="0"/>
              <w:right w:val="single" w:color="auto" w:sz="4" w:space="0"/>
            </w:tcBorders>
            <w:shd w:val="clear" w:color="auto" w:fill="auto"/>
            <w:noWrap/>
            <w:vAlign w:val="center"/>
          </w:tcPr>
          <w:p w14:paraId="32774D23">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nil"/>
              <w:left w:val="nil"/>
              <w:bottom w:val="single" w:color="auto" w:sz="4" w:space="0"/>
              <w:right w:val="single" w:color="auto" w:sz="4" w:space="0"/>
            </w:tcBorders>
            <w:shd w:val="clear" w:color="auto" w:fill="auto"/>
            <w:noWrap/>
            <w:vAlign w:val="center"/>
          </w:tcPr>
          <w:p w14:paraId="64C5F6CD">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4.1</w:t>
            </w:r>
            <w:r>
              <w:rPr>
                <w:rFonts w:hint="eastAsia" w:cs="宋体"/>
                <w:color w:val="000000"/>
                <w:kern w:val="0"/>
                <w:sz w:val="18"/>
                <w:szCs w:val="18"/>
                <w:highlight w:val="none"/>
              </w:rPr>
              <w:t>上、下心轴的同轴度</w:t>
            </w:r>
          </w:p>
        </w:tc>
        <w:tc>
          <w:tcPr>
            <w:tcW w:w="1859" w:type="pct"/>
            <w:tcBorders>
              <w:top w:val="nil"/>
              <w:left w:val="nil"/>
              <w:bottom w:val="single" w:color="auto" w:sz="4" w:space="0"/>
              <w:right w:val="single" w:color="auto" w:sz="4" w:space="0"/>
            </w:tcBorders>
            <w:shd w:val="clear" w:color="auto" w:fill="auto"/>
            <w:noWrap/>
            <w:vAlign w:val="center"/>
          </w:tcPr>
          <w:p w14:paraId="4AA40C57">
            <w:pPr>
              <w:keepNext w:val="0"/>
              <w:keepLines w:val="0"/>
              <w:widowControl/>
              <w:numPr>
                <w:ilvl w:val="-1"/>
                <w:numId w:val="0"/>
              </w:numPr>
              <w:ind w:left="0" w:firstLine="0"/>
              <w:jc w:val="left"/>
              <w:rPr>
                <w:rFonts w:hint="eastAsia" w:cs="宋体"/>
                <w:b w:val="0"/>
                <w:bCs w:val="0"/>
                <w:color w:val="000000"/>
                <w:kern w:val="0"/>
                <w:sz w:val="18"/>
                <w:szCs w:val="18"/>
                <w:highlight w:val="none"/>
                <w:lang w:val="en-US" w:eastAsia="zh-CN" w:bidi="ar-SA"/>
              </w:rPr>
            </w:pPr>
            <w:bookmarkStart w:id="10" w:name="_Toc29610"/>
            <w:r>
              <w:rPr>
                <w:rFonts w:hint="eastAsia" w:cs="宋体"/>
                <w:color w:val="000000"/>
                <w:kern w:val="0"/>
                <w:sz w:val="18"/>
                <w:szCs w:val="18"/>
                <w:highlight w:val="none"/>
                <w:lang w:val="en-US" w:eastAsia="zh-CN"/>
              </w:rPr>
              <w:t>上、下心轴的同轴度</w:t>
            </w:r>
            <w:bookmarkEnd w:id="10"/>
            <w:r>
              <w:rPr>
                <w:rFonts w:hint="eastAsia" w:cs="宋体"/>
                <w:color w:val="000000"/>
                <w:kern w:val="0"/>
                <w:sz w:val="18"/>
                <w:szCs w:val="18"/>
                <w:highlight w:val="none"/>
                <w:lang w:val="en-US" w:eastAsia="zh-CN"/>
              </w:rPr>
              <w:t>中，同轴度符号“</w:t>
            </w:r>
            <w:r>
              <w:rPr>
                <w:rFonts w:hint="eastAsia" w:ascii="Times New Roman" w:hAnsi="Times New Roman" w:eastAsia="宋体" w:cs="宋体"/>
                <w:b w:val="0"/>
                <w:bCs w:val="0"/>
                <w:color w:val="000000"/>
                <w:kern w:val="0"/>
                <w:sz w:val="18"/>
                <w:szCs w:val="18"/>
                <w:highlight w:val="none"/>
                <w:lang w:val="en-US" w:eastAsia="zh-CN"/>
              </w:rPr>
              <w:t>Φ”改为“</w:t>
            </w:r>
            <w:r>
              <w:rPr>
                <w:rFonts w:hint="eastAsia" w:ascii="Times New Roman" w:hAnsi="Times New Roman" w:cs="宋体"/>
                <w:i w:val="0"/>
                <w:iCs w:val="0"/>
                <w:color w:val="000000"/>
                <w:kern w:val="0"/>
                <w:sz w:val="18"/>
                <w:szCs w:val="18"/>
                <w:highlight w:val="none"/>
                <w:lang w:val="en-US" w:eastAsia="zh-CN"/>
              </w:rPr>
              <w:t>ϕ</w:t>
            </w:r>
            <w:r>
              <w:rPr>
                <w:rFonts w:hint="eastAsia" w:ascii="Times New Roman" w:hAnsi="Times New Roman" w:eastAsia="宋体" w:cs="宋体"/>
                <w:b w:val="0"/>
                <w:bCs w:val="0"/>
                <w:color w:val="000000"/>
                <w:kern w:val="0"/>
                <w:sz w:val="18"/>
                <w:szCs w:val="18"/>
                <w:highlight w:val="none"/>
                <w:lang w:val="en-US" w:eastAsia="zh-CN"/>
              </w:rPr>
              <w:t>”。</w:t>
            </w:r>
          </w:p>
        </w:tc>
        <w:tc>
          <w:tcPr>
            <w:tcW w:w="1133" w:type="pct"/>
            <w:tcBorders>
              <w:top w:val="nil"/>
              <w:left w:val="nil"/>
              <w:bottom w:val="single" w:color="auto" w:sz="4" w:space="0"/>
              <w:right w:val="single" w:color="auto" w:sz="4" w:space="0"/>
            </w:tcBorders>
            <w:shd w:val="clear" w:color="auto" w:fill="auto"/>
            <w:noWrap/>
            <w:vAlign w:val="center"/>
          </w:tcPr>
          <w:p w14:paraId="436CA272">
            <w:pPr>
              <w:keepNext/>
              <w:keepLines/>
              <w:widowControl w:val="0"/>
              <w:jc w:val="left"/>
              <w:rPr>
                <w:rFonts w:hint="eastAsia" w:ascii="Times New Roman" w:hAnsi="Times New Roman" w:eastAsia="宋体" w:cs="宋体"/>
                <w:b w:val="0"/>
                <w:bCs w:val="0"/>
                <w:color w:val="000000"/>
                <w:kern w:val="0"/>
                <w:sz w:val="18"/>
                <w:szCs w:val="18"/>
                <w:highlight w:val="none"/>
              </w:rPr>
            </w:pPr>
            <w:r>
              <w:rPr>
                <w:rFonts w:hint="eastAsia" w:cs="宋体"/>
                <w:color w:val="000000"/>
                <w:kern w:val="0"/>
                <w:sz w:val="18"/>
                <w:szCs w:val="18"/>
                <w:highlight w:val="none"/>
              </w:rPr>
              <w:t>有色金属技术经济研究院有限责任公司</w:t>
            </w:r>
          </w:p>
        </w:tc>
        <w:tc>
          <w:tcPr>
            <w:tcW w:w="547" w:type="pct"/>
            <w:tcBorders>
              <w:top w:val="nil"/>
              <w:left w:val="nil"/>
              <w:bottom w:val="single" w:color="auto" w:sz="4" w:space="0"/>
              <w:right w:val="single" w:color="auto" w:sz="4" w:space="0"/>
            </w:tcBorders>
            <w:shd w:val="clear" w:color="auto" w:fill="auto"/>
            <w:noWrap/>
            <w:vAlign w:val="center"/>
          </w:tcPr>
          <w:p w14:paraId="1C967179">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r w14:paraId="41CC5FE7">
        <w:tblPrEx>
          <w:tblCellMar>
            <w:top w:w="0" w:type="dxa"/>
            <w:left w:w="108" w:type="dxa"/>
            <w:bottom w:w="0" w:type="dxa"/>
            <w:right w:w="108" w:type="dxa"/>
          </w:tblCellMar>
        </w:tblPrEx>
        <w:trPr>
          <w:trHeight w:val="567" w:hRule="atLeast"/>
          <w:jc w:val="center"/>
        </w:trPr>
        <w:tc>
          <w:tcPr>
            <w:tcW w:w="329" w:type="pct"/>
            <w:tcBorders>
              <w:top w:val="nil"/>
              <w:left w:val="single" w:color="auto" w:sz="4" w:space="0"/>
              <w:bottom w:val="single" w:color="auto" w:sz="4" w:space="0"/>
              <w:right w:val="single" w:color="auto" w:sz="4" w:space="0"/>
            </w:tcBorders>
            <w:shd w:val="clear" w:color="auto" w:fill="auto"/>
            <w:noWrap/>
            <w:vAlign w:val="center"/>
          </w:tcPr>
          <w:p w14:paraId="2344084D">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nil"/>
              <w:left w:val="nil"/>
              <w:bottom w:val="single" w:color="auto" w:sz="4" w:space="0"/>
              <w:right w:val="single" w:color="auto" w:sz="4" w:space="0"/>
            </w:tcBorders>
            <w:shd w:val="clear" w:color="auto" w:fill="auto"/>
            <w:noWrap/>
            <w:vAlign w:val="center"/>
          </w:tcPr>
          <w:p w14:paraId="3FC997F6">
            <w:pPr>
              <w:keepNext/>
              <w:keepLines/>
              <w:widowControl w:val="0"/>
              <w:jc w:val="left"/>
              <w:rPr>
                <w:rFonts w:hint="eastAsia" w:cs="宋体"/>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4.2分辨力</w:t>
            </w:r>
          </w:p>
        </w:tc>
        <w:tc>
          <w:tcPr>
            <w:tcW w:w="1859" w:type="pct"/>
            <w:tcBorders>
              <w:top w:val="nil"/>
              <w:left w:val="nil"/>
              <w:bottom w:val="single" w:color="auto" w:sz="4" w:space="0"/>
              <w:right w:val="single" w:color="auto" w:sz="4" w:space="0"/>
            </w:tcBorders>
            <w:shd w:val="clear" w:color="auto" w:fill="auto"/>
            <w:noWrap/>
            <w:vAlign w:val="center"/>
          </w:tcPr>
          <w:p w14:paraId="7E63A970">
            <w:pPr>
              <w:keepNext w:val="0"/>
              <w:keepLines w:val="0"/>
              <w:widowControl/>
              <w:numPr>
                <w:ilvl w:val="-1"/>
                <w:numId w:val="0"/>
              </w:numPr>
              <w:ind w:left="0" w:firstLine="0"/>
              <w:jc w:val="left"/>
              <w:rPr>
                <w:rFonts w:hint="eastAsia" w:cs="宋体"/>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把“不超过表1中绝对误差值的1/2”改为“</w:t>
            </w:r>
            <w:r>
              <w:rPr>
                <w:rFonts w:hint="eastAsia" w:cs="宋体"/>
                <w:color w:val="000000"/>
                <w:kern w:val="0"/>
                <w:sz w:val="18"/>
                <w:szCs w:val="18"/>
                <w:highlight w:val="none"/>
                <w:lang w:val="en-US" w:eastAsia="zh-CN"/>
              </w:rPr>
              <w:t>不大于0.1</w:t>
            </w:r>
            <w:r>
              <w:rPr>
                <w:rFonts w:hint="eastAsia" w:ascii="Times New Roman" w:hAnsi="Times New Roman" w:cs="宋体"/>
                <w:color w:val="000000"/>
                <w:kern w:val="0"/>
                <w:sz w:val="18"/>
                <w:szCs w:val="18"/>
                <w:highlight w:val="none"/>
                <w:lang w:val="en-US" w:eastAsia="zh-CN"/>
              </w:rPr>
              <w:t>μm”。</w:t>
            </w:r>
          </w:p>
        </w:tc>
        <w:tc>
          <w:tcPr>
            <w:tcW w:w="1133" w:type="pct"/>
            <w:tcBorders>
              <w:top w:val="nil"/>
              <w:left w:val="nil"/>
              <w:bottom w:val="single" w:color="auto" w:sz="4" w:space="0"/>
              <w:right w:val="single" w:color="auto" w:sz="4" w:space="0"/>
            </w:tcBorders>
            <w:shd w:val="clear" w:color="auto" w:fill="auto"/>
            <w:noWrap/>
            <w:vAlign w:val="center"/>
          </w:tcPr>
          <w:p w14:paraId="45FFEEAB">
            <w:pPr>
              <w:keepNext/>
              <w:keepLines/>
              <w:widowControl w:val="0"/>
              <w:jc w:val="left"/>
              <w:rPr>
                <w:rFonts w:hint="eastAsia" w:ascii="Times New Roman" w:hAnsi="Times New Roman" w:eastAsia="宋体" w:cs="宋体"/>
                <w:b w:val="0"/>
                <w:bCs w:val="0"/>
                <w:color w:val="000000"/>
                <w:kern w:val="0"/>
                <w:sz w:val="18"/>
                <w:szCs w:val="18"/>
                <w:highlight w:val="none"/>
              </w:rPr>
            </w:pPr>
            <w:r>
              <w:rPr>
                <w:rFonts w:hint="eastAsia" w:cs="宋体"/>
                <w:color w:val="000000"/>
                <w:kern w:val="0"/>
                <w:sz w:val="18"/>
                <w:szCs w:val="18"/>
                <w:highlight w:val="none"/>
              </w:rPr>
              <w:t>有色金属技术经济研究院有限责任公司</w:t>
            </w:r>
          </w:p>
        </w:tc>
        <w:tc>
          <w:tcPr>
            <w:tcW w:w="547" w:type="pct"/>
            <w:tcBorders>
              <w:top w:val="nil"/>
              <w:left w:val="nil"/>
              <w:bottom w:val="single" w:color="auto" w:sz="4" w:space="0"/>
              <w:right w:val="single" w:color="auto" w:sz="4" w:space="0"/>
            </w:tcBorders>
            <w:shd w:val="clear" w:color="auto" w:fill="auto"/>
            <w:noWrap/>
            <w:vAlign w:val="center"/>
          </w:tcPr>
          <w:p w14:paraId="63CDC671">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r w14:paraId="2890AEDC">
        <w:tblPrEx>
          <w:tblCellMar>
            <w:top w:w="0" w:type="dxa"/>
            <w:left w:w="108" w:type="dxa"/>
            <w:bottom w:w="0" w:type="dxa"/>
            <w:right w:w="108" w:type="dxa"/>
          </w:tblCellMar>
        </w:tblPrEx>
        <w:trPr>
          <w:trHeight w:val="567" w:hRule="atLeast"/>
          <w:jc w:val="center"/>
        </w:trPr>
        <w:tc>
          <w:tcPr>
            <w:tcW w:w="329" w:type="pct"/>
            <w:tcBorders>
              <w:top w:val="nil"/>
              <w:left w:val="single" w:color="auto" w:sz="4" w:space="0"/>
              <w:bottom w:val="single" w:color="auto" w:sz="4" w:space="0"/>
              <w:right w:val="single" w:color="auto" w:sz="4" w:space="0"/>
            </w:tcBorders>
            <w:shd w:val="clear" w:color="auto" w:fill="auto"/>
            <w:noWrap/>
            <w:vAlign w:val="center"/>
          </w:tcPr>
          <w:p w14:paraId="4CD96E00">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nil"/>
              <w:left w:val="nil"/>
              <w:bottom w:val="single" w:color="auto" w:sz="4" w:space="0"/>
              <w:right w:val="single" w:color="auto" w:sz="4" w:space="0"/>
            </w:tcBorders>
            <w:shd w:val="clear" w:color="auto" w:fill="auto"/>
            <w:noWrap/>
            <w:vAlign w:val="center"/>
          </w:tcPr>
          <w:p w14:paraId="2CAF99B4">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rPr>
            </w:pPr>
            <w:r>
              <w:rPr>
                <w:rFonts w:hint="eastAsia" w:cs="宋体"/>
                <w:color w:val="000000"/>
                <w:kern w:val="0"/>
                <w:sz w:val="18"/>
                <w:szCs w:val="18"/>
                <w:highlight w:val="none"/>
                <w:lang w:val="en-US" w:eastAsia="zh-CN"/>
              </w:rPr>
              <w:t>4.3</w:t>
            </w:r>
            <w:bookmarkStart w:id="11" w:name="_Toc883"/>
            <w:r>
              <w:rPr>
                <w:rFonts w:hint="eastAsia" w:cs="宋体"/>
                <w:color w:val="000000"/>
                <w:kern w:val="0"/>
                <w:sz w:val="18"/>
                <w:szCs w:val="18"/>
                <w:highlight w:val="none"/>
              </w:rPr>
              <w:t>示值误差</w:t>
            </w:r>
            <w:bookmarkEnd w:id="11"/>
          </w:p>
        </w:tc>
        <w:tc>
          <w:tcPr>
            <w:tcW w:w="1859" w:type="pct"/>
            <w:tcBorders>
              <w:top w:val="nil"/>
              <w:left w:val="nil"/>
              <w:bottom w:val="single" w:color="auto" w:sz="4" w:space="0"/>
              <w:right w:val="single" w:color="auto" w:sz="4" w:space="0"/>
            </w:tcBorders>
            <w:shd w:val="clear" w:color="auto" w:fill="auto"/>
            <w:noWrap/>
            <w:vAlign w:val="center"/>
          </w:tcPr>
          <w:p w14:paraId="55623E26">
            <w:pPr>
              <w:keepNext w:val="0"/>
              <w:keepLines w:val="0"/>
              <w:widowControl/>
              <w:numPr>
                <w:ilvl w:val="-1"/>
                <w:numId w:val="0"/>
              </w:numPr>
              <w:ind w:left="0" w:firstLine="0"/>
              <w:jc w:val="left"/>
              <w:rPr>
                <w:rFonts w:hint="eastAsia" w:ascii="Times New Roman" w:hAnsi="Times New Roman" w:eastAsia="宋体" w:cs="宋体"/>
                <w:b w:val="0"/>
                <w:bCs w:val="0"/>
                <w:color w:val="000000"/>
                <w:kern w:val="0"/>
                <w:sz w:val="18"/>
                <w:szCs w:val="18"/>
                <w:highlight w:val="none"/>
                <w:lang w:val="en-US" w:eastAsia="zh-CN"/>
              </w:rPr>
            </w:pPr>
            <w:r>
              <w:rPr>
                <w:rFonts w:hint="eastAsia" w:cs="宋体"/>
                <w:color w:val="000000"/>
                <w:kern w:val="0"/>
                <w:sz w:val="18"/>
                <w:szCs w:val="18"/>
                <w:highlight w:val="none"/>
                <w:lang w:val="en-US" w:eastAsia="zh-CN"/>
              </w:rPr>
              <w:t>表1的注释放到正文里。</w:t>
            </w:r>
          </w:p>
        </w:tc>
        <w:tc>
          <w:tcPr>
            <w:tcW w:w="1133" w:type="pct"/>
            <w:tcBorders>
              <w:top w:val="nil"/>
              <w:left w:val="nil"/>
              <w:bottom w:val="single" w:color="auto" w:sz="4" w:space="0"/>
              <w:right w:val="single" w:color="auto" w:sz="4" w:space="0"/>
            </w:tcBorders>
            <w:shd w:val="clear" w:color="auto" w:fill="auto"/>
            <w:noWrap/>
            <w:vAlign w:val="center"/>
          </w:tcPr>
          <w:p w14:paraId="3C6224D8">
            <w:pPr>
              <w:keepNext/>
              <w:keepLines/>
              <w:widowControl w:val="0"/>
              <w:jc w:val="left"/>
              <w:rPr>
                <w:rFonts w:hint="eastAsia" w:ascii="Times New Roman" w:hAnsi="Times New Roman" w:eastAsia="宋体" w:cs="宋体"/>
                <w:b w:val="0"/>
                <w:bCs w:val="0"/>
                <w:color w:val="000000"/>
                <w:kern w:val="0"/>
                <w:sz w:val="18"/>
                <w:szCs w:val="18"/>
                <w:highlight w:val="none"/>
              </w:rPr>
            </w:pPr>
            <w:r>
              <w:rPr>
                <w:rFonts w:hint="eastAsia" w:cs="宋体"/>
                <w:color w:val="000000"/>
                <w:kern w:val="0"/>
                <w:sz w:val="18"/>
                <w:szCs w:val="18"/>
                <w:highlight w:val="none"/>
              </w:rPr>
              <w:t>有色金属技术经济研究院有限责任公司</w:t>
            </w:r>
          </w:p>
        </w:tc>
        <w:tc>
          <w:tcPr>
            <w:tcW w:w="547" w:type="pct"/>
            <w:tcBorders>
              <w:top w:val="nil"/>
              <w:left w:val="nil"/>
              <w:bottom w:val="single" w:color="auto" w:sz="4" w:space="0"/>
              <w:right w:val="single" w:color="auto" w:sz="4" w:space="0"/>
            </w:tcBorders>
            <w:shd w:val="clear" w:color="auto" w:fill="auto"/>
            <w:noWrap/>
            <w:vAlign w:val="center"/>
          </w:tcPr>
          <w:p w14:paraId="7C15DB1D">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r w14:paraId="4B55D1CC">
        <w:tblPrEx>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83F90">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C34CD">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4.3 示值误差</w:t>
            </w:r>
          </w:p>
        </w:tc>
        <w:tc>
          <w:tcPr>
            <w:tcW w:w="1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95273">
            <w:pPr>
              <w:keepNext/>
              <w:keepLines/>
              <w:adjustRightInd w:val="0"/>
              <w:snapToGrid w:val="0"/>
              <w:spacing w:line="360" w:lineRule="auto"/>
              <w:ind w:left="0" w:leftChars="0" w:firstLine="0" w:firstLineChars="0"/>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删除表1中的“2级”示值误差</w:t>
            </w:r>
          </w:p>
        </w:tc>
        <w:tc>
          <w:tcPr>
            <w:tcW w:w="11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AC0D8">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color w:val="000000"/>
                <w:kern w:val="0"/>
                <w:sz w:val="18"/>
                <w:szCs w:val="18"/>
                <w:highlight w:val="none"/>
              </w:rPr>
              <w:t>海研测试（重庆）科技有限公司</w:t>
            </w: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F6566">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ascii="Times New Roman" w:hAnsi="Times New Roman" w:eastAsia="宋体" w:cs="宋体"/>
                <w:b w:val="0"/>
                <w:bCs w:val="0"/>
                <w:color w:val="000000"/>
                <w:kern w:val="0"/>
                <w:sz w:val="18"/>
                <w:szCs w:val="18"/>
                <w:highlight w:val="none"/>
                <w:lang w:val="en-US" w:eastAsia="zh-CN"/>
              </w:rPr>
              <w:t>采纳</w:t>
            </w:r>
          </w:p>
        </w:tc>
      </w:tr>
      <w:tr w14:paraId="66480981">
        <w:tblPrEx>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F07F3">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9124A">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4.3 示值误差、</w:t>
            </w:r>
            <w:r>
              <w:rPr>
                <w:rFonts w:hint="eastAsia" w:ascii="Times New Roman" w:hAnsi="Times New Roman" w:eastAsia="宋体" w:cs="宋体"/>
                <w:b w:val="0"/>
                <w:bCs w:val="0"/>
                <w:color w:val="000000"/>
                <w:kern w:val="0"/>
                <w:sz w:val="18"/>
                <w:szCs w:val="18"/>
                <w:highlight w:val="none"/>
                <w:lang w:val="en-US" w:eastAsia="zh-CN"/>
              </w:rPr>
              <w:t>6.2.3.3 数据处理</w:t>
            </w:r>
          </w:p>
        </w:tc>
        <w:tc>
          <w:tcPr>
            <w:tcW w:w="1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6C8DA">
            <w:pPr>
              <w:keepNext w:val="0"/>
              <w:keepLines w:val="0"/>
              <w:numPr>
                <w:ilvl w:val="-1"/>
                <w:numId w:val="0"/>
              </w:numPr>
              <w:adjustRightInd/>
              <w:snapToGrid/>
              <w:spacing w:line="240" w:lineRule="auto"/>
              <w:ind w:left="0" w:leftChars="0" w:firstLine="0" w:firstLineChars="0"/>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将“1/3mm”改为“0.3mm”。</w:t>
            </w:r>
          </w:p>
        </w:tc>
        <w:tc>
          <w:tcPr>
            <w:tcW w:w="11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807A2">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rPr>
              <w:t>有色金属技术经济研究院有限责任公司</w:t>
            </w: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27F30">
            <w:pPr>
              <w:keepNext/>
              <w:keepLines/>
              <w:widowControl w:val="0"/>
              <w:jc w:val="left"/>
              <w:rPr>
                <w:rFonts w:hint="eastAsia" w:cs="宋体"/>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r w14:paraId="61E794B6">
        <w:tblPrEx>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2299B">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0E9D0">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5.1环境条件</w:t>
            </w:r>
          </w:p>
        </w:tc>
        <w:tc>
          <w:tcPr>
            <w:tcW w:w="1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E5D93">
            <w:pPr>
              <w:keepNext w:val="0"/>
              <w:keepLines w:val="0"/>
              <w:numPr>
                <w:ilvl w:val="-1"/>
                <w:numId w:val="0"/>
              </w:numPr>
              <w:adjustRightInd/>
              <w:snapToGrid/>
              <w:spacing w:line="240" w:lineRule="auto"/>
              <w:ind w:left="0" w:leftChars="0" w:firstLine="0" w:firstLineChars="0"/>
              <w:rPr>
                <w:rFonts w:hint="eastAsia" w:cs="宋体"/>
                <w:color w:val="000000"/>
                <w:kern w:val="0"/>
                <w:sz w:val="18"/>
                <w:szCs w:val="18"/>
                <w:highlight w:val="none"/>
                <w:lang w:val="en-US" w:eastAsia="zh-CN"/>
              </w:rPr>
            </w:pPr>
            <w:r>
              <w:rPr>
                <w:rFonts w:hint="eastAsia" w:cs="宋体"/>
                <w:color w:val="000000"/>
                <w:kern w:val="0"/>
                <w:sz w:val="18"/>
                <w:szCs w:val="18"/>
                <w:highlight w:val="none"/>
                <w:lang w:val="en-US" w:eastAsia="zh-CN"/>
              </w:rPr>
              <w:t>删除表格改为文字叙述。</w:t>
            </w:r>
          </w:p>
        </w:tc>
        <w:tc>
          <w:tcPr>
            <w:tcW w:w="11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26643">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rPr>
              <w:t>有色金属技术经济研究院有限责任公司</w:t>
            </w: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01046">
            <w:pPr>
              <w:keepNext/>
              <w:keepLines/>
              <w:widowControl w:val="0"/>
              <w:jc w:val="left"/>
              <w:rPr>
                <w:rFonts w:hint="eastAsia" w:cs="宋体"/>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r w14:paraId="333E6552">
        <w:tblPrEx>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509D1">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55774457">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6.2.3.1</w:t>
            </w:r>
            <w:r>
              <w:rPr>
                <w:rFonts w:hint="eastAsia" w:ascii="Times New Roman" w:hAnsi="Times New Roman" w:eastAsia="宋体" w:cs="宋体"/>
                <w:b w:val="0"/>
                <w:bCs w:val="0"/>
                <w:color w:val="000000"/>
                <w:kern w:val="0"/>
                <w:sz w:val="18"/>
                <w:szCs w:val="18"/>
                <w:highlight w:val="none"/>
                <w:lang w:val="en-US" w:eastAsia="zh-CN"/>
              </w:rPr>
              <w:t>校准范围、校准点间</w:t>
            </w:r>
            <w:r>
              <w:rPr>
                <w:rFonts w:hint="eastAsia" w:cs="宋体"/>
                <w:b w:val="0"/>
                <w:bCs w:val="0"/>
                <w:color w:val="000000"/>
                <w:kern w:val="0"/>
                <w:sz w:val="18"/>
                <w:szCs w:val="18"/>
                <w:highlight w:val="none"/>
                <w:lang w:val="en-US" w:eastAsia="zh-CN"/>
              </w:rPr>
              <w:t>校准</w:t>
            </w:r>
            <w:r>
              <w:rPr>
                <w:rFonts w:hint="eastAsia" w:ascii="Times New Roman" w:hAnsi="Times New Roman" w:eastAsia="宋体" w:cs="宋体"/>
                <w:b w:val="0"/>
                <w:bCs w:val="0"/>
                <w:color w:val="000000"/>
                <w:kern w:val="0"/>
                <w:sz w:val="18"/>
                <w:szCs w:val="18"/>
                <w:highlight w:val="none"/>
                <w:lang w:val="en-US" w:eastAsia="zh-CN"/>
              </w:rPr>
              <w:t>间隔的选取</w:t>
            </w:r>
          </w:p>
        </w:tc>
        <w:tc>
          <w:tcPr>
            <w:tcW w:w="1859" w:type="pct"/>
            <w:tcBorders>
              <w:top w:val="single" w:color="auto" w:sz="4" w:space="0"/>
              <w:left w:val="nil"/>
              <w:bottom w:val="single" w:color="auto" w:sz="4" w:space="0"/>
              <w:right w:val="single" w:color="auto" w:sz="4" w:space="0"/>
            </w:tcBorders>
            <w:shd w:val="clear" w:color="auto" w:fill="auto"/>
            <w:noWrap/>
            <w:vAlign w:val="center"/>
          </w:tcPr>
          <w:p w14:paraId="13DF89D5">
            <w:pPr>
              <w:keepNext/>
              <w:keepLines/>
              <w:adjustRightInd w:val="0"/>
              <w:snapToGrid w:val="0"/>
              <w:spacing w:line="360" w:lineRule="auto"/>
              <w:ind w:left="0" w:leftChars="0" w:firstLine="0" w:firstLineChars="0"/>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表3中，“/”换成“或”，表头的“mm”前加“单位：”。</w:t>
            </w:r>
          </w:p>
        </w:tc>
        <w:tc>
          <w:tcPr>
            <w:tcW w:w="1133" w:type="pct"/>
            <w:tcBorders>
              <w:top w:val="single" w:color="auto" w:sz="4" w:space="0"/>
              <w:left w:val="nil"/>
              <w:bottom w:val="single" w:color="auto" w:sz="4" w:space="0"/>
              <w:right w:val="single" w:color="auto" w:sz="4" w:space="0"/>
            </w:tcBorders>
            <w:shd w:val="clear" w:color="auto" w:fill="auto"/>
            <w:noWrap/>
            <w:vAlign w:val="center"/>
          </w:tcPr>
          <w:p w14:paraId="6D569C02">
            <w:pPr>
              <w:keepNext/>
              <w:keepLines/>
              <w:widowControl w:val="0"/>
              <w:jc w:val="left"/>
              <w:rPr>
                <w:rFonts w:hint="eastAsia" w:cs="宋体"/>
                <w:b w:val="0"/>
                <w:bCs w:val="0"/>
                <w:color w:val="000000"/>
                <w:kern w:val="0"/>
                <w:sz w:val="18"/>
                <w:szCs w:val="18"/>
                <w:highlight w:val="none"/>
                <w:lang w:val="en-US" w:eastAsia="zh-CN" w:bidi="ar-SA"/>
              </w:rPr>
            </w:pPr>
            <w:r>
              <w:rPr>
                <w:rFonts w:hint="eastAsia" w:ascii="Times New Roman" w:hAnsi="Times New Roman" w:eastAsia="宋体" w:cs="宋体"/>
                <w:b w:val="0"/>
                <w:bCs w:val="0"/>
                <w:color w:val="000000"/>
                <w:kern w:val="0"/>
                <w:sz w:val="18"/>
                <w:szCs w:val="18"/>
                <w:highlight w:val="none"/>
              </w:rPr>
              <w:t>东北轻合金有限责任公司</w:t>
            </w:r>
          </w:p>
        </w:tc>
        <w:tc>
          <w:tcPr>
            <w:tcW w:w="547" w:type="pct"/>
            <w:tcBorders>
              <w:top w:val="single" w:color="auto" w:sz="4" w:space="0"/>
              <w:left w:val="nil"/>
              <w:bottom w:val="single" w:color="auto" w:sz="4" w:space="0"/>
              <w:right w:val="single" w:color="auto" w:sz="4" w:space="0"/>
            </w:tcBorders>
            <w:shd w:val="clear" w:color="auto" w:fill="auto"/>
            <w:noWrap/>
            <w:vAlign w:val="center"/>
          </w:tcPr>
          <w:p w14:paraId="5BCAE8F2">
            <w:pPr>
              <w:keepNext/>
              <w:keepLines/>
              <w:widowControl w:val="0"/>
              <w:ind w:firstLine="0"/>
              <w:jc w:val="left"/>
              <w:rPr>
                <w:rFonts w:hint="eastAsia" w:cs="宋体"/>
                <w:color w:val="000000"/>
                <w:kern w:val="0"/>
                <w:sz w:val="18"/>
                <w:szCs w:val="18"/>
                <w:highlight w:val="none"/>
                <w:lang w:val="en-US" w:eastAsia="zh-CN"/>
              </w:rPr>
            </w:pPr>
            <w:r>
              <w:rPr>
                <w:rFonts w:hint="eastAsia" w:cs="宋体"/>
                <w:color w:val="000000"/>
                <w:kern w:val="0"/>
                <w:sz w:val="18"/>
                <w:szCs w:val="18"/>
                <w:highlight w:val="none"/>
                <w:lang w:val="en-US" w:eastAsia="zh-CN"/>
              </w:rPr>
              <w:t>采纳</w:t>
            </w:r>
          </w:p>
        </w:tc>
      </w:tr>
      <w:tr w14:paraId="079A7002">
        <w:tblPrEx>
          <w:tblCellMar>
            <w:top w:w="0" w:type="dxa"/>
            <w:left w:w="108" w:type="dxa"/>
            <w:bottom w:w="0" w:type="dxa"/>
            <w:right w:w="108" w:type="dxa"/>
          </w:tblCellMar>
        </w:tblPrEx>
        <w:trPr>
          <w:trHeight w:val="711"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22F88">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720E11D5">
            <w:pPr>
              <w:keepNext/>
              <w:keepLines/>
              <w:widowControl w:val="0"/>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b w:val="0"/>
                <w:bCs w:val="0"/>
                <w:color w:val="000000"/>
                <w:kern w:val="0"/>
                <w:sz w:val="18"/>
                <w:szCs w:val="18"/>
                <w:highlight w:val="none"/>
                <w:lang w:val="en-US" w:eastAsia="zh-CN" w:bidi="ar-SA"/>
              </w:rPr>
              <w:t>6.2.3</w:t>
            </w:r>
          </w:p>
        </w:tc>
        <w:tc>
          <w:tcPr>
            <w:tcW w:w="1859" w:type="pct"/>
            <w:tcBorders>
              <w:top w:val="single" w:color="auto" w:sz="4" w:space="0"/>
              <w:left w:val="nil"/>
              <w:bottom w:val="single" w:color="auto" w:sz="4" w:space="0"/>
              <w:right w:val="single" w:color="auto" w:sz="4" w:space="0"/>
            </w:tcBorders>
            <w:shd w:val="clear" w:color="auto" w:fill="auto"/>
            <w:noWrap/>
            <w:vAlign w:val="center"/>
          </w:tcPr>
          <w:p w14:paraId="196EF712">
            <w:pPr>
              <w:keepNext/>
              <w:keepLines/>
              <w:adjustRightInd w:val="0"/>
              <w:snapToGrid w:val="0"/>
              <w:spacing w:line="360" w:lineRule="auto"/>
              <w:ind w:left="0" w:leftChars="0" w:firstLine="0" w:firstLineChars="0"/>
              <w:rPr>
                <w:rFonts w:hint="eastAsia" w:ascii="Times New Roman" w:hAnsi="Times New Roman" w:eastAsia="宋体"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对正、反向测量分别描述</w:t>
            </w:r>
          </w:p>
        </w:tc>
        <w:tc>
          <w:tcPr>
            <w:tcW w:w="1133" w:type="pct"/>
            <w:tcBorders>
              <w:top w:val="single" w:color="auto" w:sz="4" w:space="0"/>
              <w:left w:val="nil"/>
              <w:bottom w:val="single" w:color="auto" w:sz="4" w:space="0"/>
              <w:right w:val="single" w:color="auto" w:sz="4" w:space="0"/>
            </w:tcBorders>
            <w:shd w:val="clear" w:color="auto" w:fill="auto"/>
            <w:noWrap/>
            <w:vAlign w:val="center"/>
          </w:tcPr>
          <w:p w14:paraId="40134694">
            <w:pPr>
              <w:pStyle w:val="59"/>
              <w:keepNext/>
              <w:keepLines/>
              <w:widowControl w:val="0"/>
              <w:numPr>
                <w:ilvl w:val="0"/>
                <w:numId w:val="0"/>
              </w:numPr>
              <w:spacing w:before="156" w:beforeLines="50" w:after="156" w:afterLines="50"/>
              <w:contextualSpacing/>
              <w:jc w:val="left"/>
              <w:rPr>
                <w:rFonts w:hint="eastAsia" w:ascii="Times New Roman" w:hAnsi="Times New Roman" w:eastAsia="宋体" w:cs="宋体"/>
                <w:b w:val="0"/>
                <w:bCs w:val="0"/>
                <w:color w:val="000000"/>
                <w:kern w:val="0"/>
                <w:sz w:val="18"/>
                <w:szCs w:val="18"/>
                <w:highlight w:val="none"/>
                <w:lang w:val="en-US" w:eastAsia="zh-CN" w:bidi="ar-SA"/>
              </w:rPr>
            </w:pPr>
            <w:r>
              <w:rPr>
                <w:rFonts w:hint="eastAsia" w:ascii="Times New Roman" w:hAnsi="Times New Roman" w:eastAsia="宋体" w:cs="宋体"/>
                <w:b w:val="0"/>
                <w:bCs w:val="0"/>
                <w:color w:val="000000"/>
                <w:spacing w:val="-6"/>
                <w:sz w:val="18"/>
                <w:szCs w:val="18"/>
                <w:highlight w:val="none"/>
                <w:lang w:eastAsia="zh-CN"/>
              </w:rPr>
              <w:t>国标（北京）检验认证有限公司</w:t>
            </w:r>
          </w:p>
        </w:tc>
        <w:tc>
          <w:tcPr>
            <w:tcW w:w="547" w:type="pct"/>
            <w:tcBorders>
              <w:top w:val="single" w:color="auto" w:sz="4" w:space="0"/>
              <w:left w:val="nil"/>
              <w:bottom w:val="single" w:color="auto" w:sz="4" w:space="0"/>
              <w:right w:val="single" w:color="auto" w:sz="4" w:space="0"/>
            </w:tcBorders>
            <w:shd w:val="clear" w:color="auto" w:fill="auto"/>
            <w:noWrap/>
            <w:vAlign w:val="center"/>
          </w:tcPr>
          <w:p w14:paraId="50C5774F">
            <w:pPr>
              <w:keepNext/>
              <w:keepLines/>
              <w:widowControl w:val="0"/>
              <w:ind w:firstLine="0" w:firstLineChars="0"/>
              <w:jc w:val="left"/>
              <w:rPr>
                <w:rFonts w:hint="eastAsia" w:ascii="Times New Roman" w:hAnsi="Times New Roman" w:eastAsia="宋体" w:cs="宋体"/>
                <w:color w:val="000000"/>
                <w:kern w:val="0"/>
                <w:sz w:val="18"/>
                <w:szCs w:val="18"/>
                <w:highlight w:val="none"/>
                <w:lang w:val="en-US" w:eastAsia="zh-CN" w:bidi="ar-SA"/>
              </w:rPr>
            </w:pPr>
            <w:r>
              <w:rPr>
                <w:rFonts w:hint="eastAsia" w:cs="宋体"/>
                <w:color w:val="000000"/>
                <w:kern w:val="0"/>
                <w:sz w:val="18"/>
                <w:szCs w:val="18"/>
                <w:highlight w:val="none"/>
                <w:lang w:val="en-US" w:eastAsia="zh-CN"/>
              </w:rPr>
              <w:t>采纳</w:t>
            </w:r>
          </w:p>
        </w:tc>
      </w:tr>
      <w:tr w14:paraId="29B2D3B7">
        <w:tblPrEx>
          <w:tblCellMar>
            <w:top w:w="0" w:type="dxa"/>
            <w:left w:w="108" w:type="dxa"/>
            <w:bottom w:w="0" w:type="dxa"/>
            <w:right w:w="108" w:type="dxa"/>
          </w:tblCellMar>
        </w:tblPrEx>
        <w:trPr>
          <w:trHeight w:val="1026"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2449B">
            <w:pPr>
              <w:pStyle w:val="302"/>
              <w:keepNext/>
              <w:keepLines/>
              <w:widowControl w:val="0"/>
              <w:numPr>
                <w:ilvl w:val="0"/>
                <w:numId w:val="11"/>
              </w:numPr>
              <w:ind w:firstLineChars="0"/>
              <w:jc w:val="center"/>
              <w:rPr>
                <w:rFonts w:hint="eastAsia" w:ascii="Times New Roman" w:hAnsi="Times New Roman" w:eastAsia="宋体" w:cs="宋体"/>
                <w:b w:val="0"/>
                <w:bCs w:val="0"/>
                <w:color w:val="000000"/>
                <w:kern w:val="0"/>
                <w:sz w:val="18"/>
                <w:szCs w:val="18"/>
                <w:highlight w:val="none"/>
              </w:rPr>
            </w:pP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47388274">
            <w:pPr>
              <w:keepNext/>
              <w:keepLines/>
              <w:widowControl w:val="0"/>
              <w:jc w:val="left"/>
              <w:rPr>
                <w:rFonts w:hint="eastAsia" w:cs="宋体"/>
                <w:b w:val="0"/>
                <w:bCs w:val="0"/>
                <w:color w:val="000000"/>
                <w:kern w:val="0"/>
                <w:sz w:val="18"/>
                <w:szCs w:val="18"/>
                <w:highlight w:val="none"/>
                <w:lang w:val="en-US" w:eastAsia="zh-CN" w:bidi="ar-SA"/>
              </w:rPr>
            </w:pPr>
            <w:r>
              <w:rPr>
                <w:rFonts w:hint="eastAsia" w:cs="宋体"/>
                <w:color w:val="000000"/>
                <w:kern w:val="0"/>
                <w:sz w:val="18"/>
                <w:szCs w:val="18"/>
                <w:highlight w:val="none"/>
                <w:lang w:val="en-US" w:eastAsia="zh-CN"/>
              </w:rPr>
              <w:t>6.2.5支架刚性</w:t>
            </w:r>
          </w:p>
        </w:tc>
        <w:tc>
          <w:tcPr>
            <w:tcW w:w="1859" w:type="pct"/>
            <w:tcBorders>
              <w:top w:val="single" w:color="auto" w:sz="4" w:space="0"/>
              <w:left w:val="nil"/>
              <w:bottom w:val="single" w:color="auto" w:sz="4" w:space="0"/>
              <w:right w:val="single" w:color="auto" w:sz="4" w:space="0"/>
            </w:tcBorders>
            <w:shd w:val="clear" w:color="auto" w:fill="auto"/>
            <w:noWrap/>
            <w:vAlign w:val="center"/>
          </w:tcPr>
          <w:p w14:paraId="101FECE6">
            <w:pPr>
              <w:keepNext/>
              <w:keepLines/>
              <w:numPr>
                <w:ilvl w:val="-1"/>
                <w:numId w:val="0"/>
              </w:numPr>
              <w:adjustRightInd/>
              <w:snapToGrid/>
              <w:spacing w:line="240" w:lineRule="auto"/>
              <w:ind w:left="0" w:leftChars="0" w:firstLine="0" w:firstLineChars="0"/>
              <w:jc w:val="left"/>
              <w:rPr>
                <w:rFonts w:hint="eastAsia" w:cs="宋体"/>
                <w:color w:val="000000"/>
                <w:kern w:val="0"/>
                <w:sz w:val="18"/>
                <w:szCs w:val="18"/>
                <w:highlight w:val="none"/>
                <w:lang w:val="en-US" w:eastAsia="zh-CN"/>
              </w:rPr>
            </w:pPr>
            <w:r>
              <w:rPr>
                <w:rFonts w:hint="eastAsia" w:cs="宋体"/>
                <w:color w:val="000000"/>
                <w:kern w:val="0"/>
                <w:sz w:val="18"/>
                <w:szCs w:val="18"/>
                <w:highlight w:val="none"/>
                <w:lang w:val="en-US" w:eastAsia="zh-CN"/>
              </w:rPr>
              <w:t>“调节标定器显示任意示值”改为“</w:t>
            </w:r>
            <w:r>
              <w:rPr>
                <w:rFonts w:hint="eastAsia" w:cs="宋体"/>
                <w:color w:val="000000"/>
                <w:kern w:val="0"/>
                <w:sz w:val="18"/>
                <w:szCs w:val="18"/>
                <w:highlight w:val="none"/>
              </w:rPr>
              <w:t>将标定器示值调整至校准范围</w:t>
            </w:r>
            <w:r>
              <w:rPr>
                <w:rFonts w:hint="eastAsia" w:cs="宋体"/>
                <w:color w:val="000000"/>
                <w:kern w:val="0"/>
                <w:sz w:val="18"/>
                <w:szCs w:val="18"/>
                <w:highlight w:val="none"/>
                <w:lang w:val="en-US" w:eastAsia="zh-CN"/>
              </w:rPr>
              <w:t>内</w:t>
            </w:r>
            <w:r>
              <w:rPr>
                <w:rFonts w:hint="eastAsia" w:cs="宋体"/>
                <w:color w:val="000000"/>
                <w:kern w:val="0"/>
                <w:sz w:val="18"/>
                <w:szCs w:val="18"/>
                <w:highlight w:val="none"/>
              </w:rPr>
              <w:t>任意一点</w:t>
            </w:r>
            <w:r>
              <w:rPr>
                <w:rFonts w:hint="eastAsia" w:cs="宋体"/>
                <w:color w:val="000000"/>
                <w:kern w:val="0"/>
                <w:sz w:val="18"/>
                <w:szCs w:val="18"/>
                <w:highlight w:val="none"/>
                <w:lang w:val="en-US" w:eastAsia="zh-CN"/>
              </w:rPr>
              <w:t>”，“仪表”改为“激光干涉仪”。</w:t>
            </w:r>
          </w:p>
        </w:tc>
        <w:tc>
          <w:tcPr>
            <w:tcW w:w="1133" w:type="pct"/>
            <w:tcBorders>
              <w:top w:val="single" w:color="auto" w:sz="4" w:space="0"/>
              <w:left w:val="nil"/>
              <w:bottom w:val="single" w:color="auto" w:sz="4" w:space="0"/>
              <w:right w:val="single" w:color="auto" w:sz="4" w:space="0"/>
            </w:tcBorders>
            <w:shd w:val="clear" w:color="auto" w:fill="auto"/>
            <w:noWrap/>
            <w:vAlign w:val="center"/>
          </w:tcPr>
          <w:p w14:paraId="4E562D6C">
            <w:pPr>
              <w:keepNext/>
              <w:keepLines/>
              <w:widowControl w:val="0"/>
              <w:jc w:val="left"/>
              <w:rPr>
                <w:rFonts w:hint="eastAsia" w:ascii="Times New Roman" w:hAnsi="Times New Roman" w:eastAsia="宋体" w:cs="宋体"/>
                <w:b w:val="0"/>
                <w:bCs w:val="0"/>
                <w:color w:val="000000"/>
                <w:spacing w:val="0"/>
                <w:kern w:val="0"/>
                <w:sz w:val="18"/>
                <w:szCs w:val="18"/>
                <w:highlight w:val="none"/>
                <w:lang w:eastAsia="zh-CN"/>
              </w:rPr>
            </w:pPr>
            <w:r>
              <w:rPr>
                <w:rFonts w:hint="eastAsia" w:cs="宋体"/>
                <w:color w:val="000000"/>
                <w:kern w:val="0"/>
                <w:sz w:val="18"/>
                <w:szCs w:val="18"/>
                <w:highlight w:val="none"/>
              </w:rPr>
              <w:t>有色金属技术经济研究院有限责任公司</w:t>
            </w:r>
          </w:p>
        </w:tc>
        <w:tc>
          <w:tcPr>
            <w:tcW w:w="547" w:type="pct"/>
            <w:tcBorders>
              <w:top w:val="single" w:color="auto" w:sz="4" w:space="0"/>
              <w:left w:val="nil"/>
              <w:bottom w:val="single" w:color="auto" w:sz="4" w:space="0"/>
              <w:right w:val="single" w:color="auto" w:sz="4" w:space="0"/>
            </w:tcBorders>
            <w:shd w:val="clear" w:color="auto" w:fill="auto"/>
            <w:noWrap/>
            <w:vAlign w:val="center"/>
          </w:tcPr>
          <w:p w14:paraId="16BBB8DC">
            <w:pPr>
              <w:keepNext/>
              <w:keepLines/>
              <w:widowControl w:val="0"/>
              <w:ind w:firstLine="0" w:firstLineChars="0"/>
              <w:jc w:val="left"/>
              <w:rPr>
                <w:rFonts w:hint="eastAsia" w:cs="宋体"/>
                <w:color w:val="000000"/>
                <w:kern w:val="0"/>
                <w:sz w:val="18"/>
                <w:szCs w:val="18"/>
                <w:highlight w:val="none"/>
                <w:lang w:val="en-US" w:eastAsia="zh-CN"/>
              </w:rPr>
            </w:pPr>
            <w:r>
              <w:rPr>
                <w:rFonts w:hint="eastAsia" w:ascii="Times New Roman" w:hAnsi="Times New Roman" w:eastAsia="宋体" w:cs="宋体"/>
                <w:b w:val="0"/>
                <w:bCs w:val="0"/>
                <w:color w:val="000000"/>
                <w:kern w:val="0"/>
                <w:sz w:val="18"/>
                <w:szCs w:val="18"/>
                <w:highlight w:val="none"/>
                <w:lang w:val="en-US" w:eastAsia="zh-CN"/>
              </w:rPr>
              <w:t>采纳</w:t>
            </w:r>
          </w:p>
        </w:tc>
      </w:tr>
    </w:tbl>
    <w:p w14:paraId="374CFD00">
      <w:pPr>
        <w:spacing w:line="400" w:lineRule="exact"/>
        <w:ind w:firstLine="420" w:firstLineChars="200"/>
        <w:rPr>
          <w:rFonts w:hint="eastAsia"/>
          <w:b w:val="0"/>
          <w:bCs w:val="0"/>
          <w:highlight w:val="none"/>
          <w:lang w:val="en-US" w:eastAsia="zh-CN"/>
        </w:rPr>
      </w:pPr>
      <w:r>
        <w:rPr>
          <w:rFonts w:hint="eastAsia"/>
          <w:b w:val="0"/>
          <w:bCs w:val="0"/>
          <w:szCs w:val="21"/>
          <w:lang w:val="en-US" w:eastAsia="zh-CN"/>
        </w:rPr>
        <w:t>同时，</w:t>
      </w:r>
      <w:r>
        <w:rPr>
          <w:rFonts w:hint="eastAsia"/>
          <w:b w:val="0"/>
          <w:bCs w:val="0"/>
        </w:rPr>
        <w:t>会上确定了项目</w:t>
      </w:r>
      <w:r>
        <w:rPr>
          <w:rFonts w:hint="eastAsia"/>
          <w:b w:val="0"/>
          <w:bCs w:val="0"/>
          <w:lang w:val="en-US" w:eastAsia="zh-CN"/>
        </w:rPr>
        <w:t>的参编</w:t>
      </w:r>
      <w:r>
        <w:rPr>
          <w:rFonts w:hint="eastAsia"/>
          <w:b w:val="0"/>
          <w:bCs w:val="0"/>
        </w:rPr>
        <w:t>单位及一验、二验单位，明确了各项工作时间进度要求</w:t>
      </w:r>
      <w:r>
        <w:rPr>
          <w:rFonts w:hint="eastAsia"/>
          <w:b w:val="0"/>
          <w:bCs w:val="0"/>
          <w:highlight w:val="none"/>
          <w:lang w:eastAsia="zh-CN"/>
        </w:rPr>
        <w:t>，</w:t>
      </w:r>
      <w:r>
        <w:rPr>
          <w:rFonts w:hint="eastAsia"/>
          <w:b w:val="0"/>
          <w:bCs w:val="0"/>
          <w:highlight w:val="none"/>
          <w:lang w:val="en-US" w:eastAsia="zh-CN"/>
        </w:rPr>
        <w:t>具体内容见表2。</w:t>
      </w:r>
    </w:p>
    <w:p w14:paraId="7F79B83A">
      <w:pPr>
        <w:spacing w:line="360" w:lineRule="auto"/>
        <w:ind w:firstLine="210" w:firstLineChars="100"/>
        <w:jc w:val="center"/>
        <w:rPr>
          <w:b w:val="0"/>
          <w:bCs w:val="0"/>
        </w:rPr>
      </w:pPr>
      <w:r>
        <w:rPr>
          <w:rFonts w:hint="eastAsia"/>
          <w:b w:val="0"/>
          <w:bCs w:val="0"/>
          <w:highlight w:val="none"/>
        </w:rPr>
        <w:t>表</w:t>
      </w:r>
      <w:r>
        <w:rPr>
          <w:rFonts w:hint="eastAsia"/>
          <w:b w:val="0"/>
          <w:bCs w:val="0"/>
          <w:highlight w:val="none"/>
          <w:lang w:val="en-US" w:eastAsia="zh-CN"/>
        </w:rPr>
        <w:t>2</w:t>
      </w:r>
      <w:r>
        <w:rPr>
          <w:rFonts w:hint="eastAsia"/>
          <w:b w:val="0"/>
          <w:bCs w:val="0"/>
          <w:highlight w:val="none"/>
        </w:rPr>
        <w:t>《</w:t>
      </w:r>
      <w:r>
        <w:rPr>
          <w:rFonts w:hint="eastAsia"/>
          <w:szCs w:val="21"/>
          <w:lang w:val="en-US" w:eastAsia="zh-CN"/>
        </w:rPr>
        <w:t>数字式引伸计标定器</w:t>
      </w:r>
      <w:r>
        <w:rPr>
          <w:rFonts w:hint="eastAsia"/>
          <w:szCs w:val="21"/>
        </w:rPr>
        <w:t>校准规范</w:t>
      </w:r>
      <w:r>
        <w:rPr>
          <w:rFonts w:hint="eastAsia"/>
          <w:b w:val="0"/>
          <w:bCs w:val="0"/>
          <w:szCs w:val="21"/>
        </w:rPr>
        <w:t>-讨论稿</w:t>
      </w:r>
      <w:r>
        <w:rPr>
          <w:rFonts w:hint="eastAsia"/>
          <w:b w:val="0"/>
          <w:bCs w:val="0"/>
        </w:rPr>
        <w:t>》</w:t>
      </w:r>
      <w:r>
        <w:rPr>
          <w:rFonts w:hint="eastAsia"/>
          <w:b w:val="0"/>
          <w:bCs w:val="0"/>
          <w:lang w:val="en-US" w:eastAsia="zh-CN"/>
        </w:rPr>
        <w:t>工作安排</w:t>
      </w:r>
    </w:p>
    <w:tbl>
      <w:tblPr>
        <w:tblStyle w:val="41"/>
        <w:tblW w:w="4764" w:type="pct"/>
        <w:jc w:val="center"/>
        <w:tblLayout w:type="fixed"/>
        <w:tblCellMar>
          <w:top w:w="0" w:type="dxa"/>
          <w:left w:w="108" w:type="dxa"/>
          <w:bottom w:w="0" w:type="dxa"/>
          <w:right w:w="108" w:type="dxa"/>
        </w:tblCellMar>
      </w:tblPr>
      <w:tblGrid>
        <w:gridCol w:w="1864"/>
        <w:gridCol w:w="7257"/>
      </w:tblGrid>
      <w:tr w14:paraId="0AE7ED3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12233">
            <w:pPr>
              <w:spacing w:line="240" w:lineRule="auto"/>
              <w:rPr>
                <w:b w:val="0"/>
                <w:bCs w:val="0"/>
                <w:sz w:val="18"/>
                <w:szCs w:val="18"/>
              </w:rPr>
            </w:pPr>
            <w:r>
              <w:rPr>
                <w:rFonts w:hint="eastAsia"/>
                <w:b w:val="0"/>
                <w:bCs w:val="0"/>
                <w:sz w:val="18"/>
                <w:szCs w:val="18"/>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7AFCC429">
            <w:pPr>
              <w:widowControl/>
              <w:spacing w:line="240" w:lineRule="auto"/>
              <w:ind w:firstLine="360" w:firstLineChars="200"/>
              <w:jc w:val="left"/>
              <w:rPr>
                <w:rFonts w:hint="eastAsia" w:eastAsia="宋体"/>
                <w:b w:val="0"/>
                <w:bCs w:val="0"/>
                <w:sz w:val="18"/>
                <w:szCs w:val="18"/>
                <w:highlight w:val="none"/>
                <w:lang w:eastAsia="zh-CN"/>
              </w:rPr>
            </w:pPr>
            <w:r>
              <w:rPr>
                <w:rFonts w:hint="eastAsia" w:cs="宋体"/>
                <w:b w:val="0"/>
                <w:bCs w:val="0"/>
                <w:color w:val="000000"/>
                <w:kern w:val="0"/>
                <w:sz w:val="18"/>
                <w:szCs w:val="18"/>
                <w:highlight w:val="none"/>
                <w:lang w:val="en-US" w:eastAsia="zh-CN"/>
              </w:rPr>
              <w:t>东北轻合金有限责任公司</w:t>
            </w:r>
            <w:r>
              <w:rPr>
                <w:rFonts w:hint="eastAsia" w:cs="宋体"/>
                <w:b w:val="0"/>
                <w:bCs w:val="0"/>
                <w:color w:val="000000"/>
                <w:kern w:val="0"/>
                <w:sz w:val="18"/>
                <w:szCs w:val="18"/>
                <w:highlight w:val="none"/>
              </w:rPr>
              <w:t>、</w:t>
            </w:r>
            <w:r>
              <w:rPr>
                <w:rFonts w:hint="eastAsia" w:cs="宋体"/>
                <w:b w:val="0"/>
                <w:bCs w:val="0"/>
                <w:color w:val="000000"/>
                <w:kern w:val="0"/>
                <w:sz w:val="18"/>
                <w:szCs w:val="18"/>
                <w:highlight w:val="none"/>
                <w:lang w:val="en-US" w:eastAsia="zh-CN"/>
              </w:rPr>
              <w:t>国标（北京）检验认证有限公司、西安汉唐分析检测有限公司、广东省科学院工业分析检测中心</w:t>
            </w:r>
            <w:r>
              <w:rPr>
                <w:rFonts w:cs="宋体"/>
                <w:b w:val="0"/>
                <w:bCs w:val="0"/>
                <w:color w:val="000000"/>
                <w:kern w:val="0"/>
                <w:sz w:val="18"/>
                <w:szCs w:val="18"/>
                <w:highlight w:val="none"/>
              </w:rPr>
              <w:t>等</w:t>
            </w:r>
            <w:r>
              <w:rPr>
                <w:rFonts w:hint="eastAsia" w:cs="宋体"/>
                <w:b w:val="0"/>
                <w:bCs w:val="0"/>
                <w:color w:val="000000"/>
                <w:kern w:val="0"/>
                <w:sz w:val="18"/>
                <w:szCs w:val="18"/>
                <w:highlight w:val="none"/>
                <w:lang w:eastAsia="zh-CN"/>
              </w:rPr>
              <w:t>（</w:t>
            </w:r>
            <w:r>
              <w:rPr>
                <w:rFonts w:hint="eastAsia" w:cs="宋体"/>
                <w:b w:val="0"/>
                <w:bCs w:val="0"/>
                <w:color w:val="000000"/>
                <w:kern w:val="0"/>
                <w:sz w:val="18"/>
                <w:szCs w:val="18"/>
                <w:highlight w:val="none"/>
                <w:lang w:val="en-US" w:eastAsia="zh-CN"/>
              </w:rPr>
              <w:t>应与最终报批稿一致，不一致的应说明情况</w:t>
            </w:r>
            <w:r>
              <w:rPr>
                <w:rFonts w:hint="eastAsia" w:cs="宋体"/>
                <w:b w:val="0"/>
                <w:bCs w:val="0"/>
                <w:color w:val="000000"/>
                <w:kern w:val="0"/>
                <w:sz w:val="18"/>
                <w:szCs w:val="18"/>
                <w:highlight w:val="none"/>
                <w:lang w:eastAsia="zh-CN"/>
              </w:rPr>
              <w:t>）</w:t>
            </w:r>
          </w:p>
        </w:tc>
      </w:tr>
      <w:tr w14:paraId="75D9E73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73BB1">
            <w:pPr>
              <w:spacing w:line="240" w:lineRule="auto"/>
              <w:rPr>
                <w:rFonts w:hint="eastAsia"/>
                <w:b w:val="0"/>
                <w:bCs w:val="0"/>
                <w:sz w:val="18"/>
                <w:szCs w:val="18"/>
              </w:rPr>
            </w:pPr>
            <w:r>
              <w:rPr>
                <w:rFonts w:hint="eastAsia"/>
                <w:b w:val="0"/>
                <w:bCs w:val="0"/>
                <w:sz w:val="18"/>
                <w:szCs w:val="18"/>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5D1E09D6">
            <w:pPr>
              <w:spacing w:line="240" w:lineRule="auto"/>
              <w:ind w:firstLine="360" w:firstLineChars="200"/>
              <w:rPr>
                <w:rFonts w:hint="default" w:eastAsia="宋体"/>
                <w:b w:val="0"/>
                <w:bCs w:val="0"/>
                <w:sz w:val="18"/>
                <w:szCs w:val="18"/>
                <w:lang w:val="en-US" w:eastAsia="zh-CN"/>
              </w:rPr>
            </w:pPr>
            <w:r>
              <w:rPr>
                <w:rFonts w:hint="eastAsia" w:cs="宋体"/>
                <w:b w:val="0"/>
                <w:bCs w:val="0"/>
                <w:color w:val="000000"/>
                <w:kern w:val="0"/>
                <w:sz w:val="18"/>
                <w:szCs w:val="18"/>
                <w:highlight w:val="none"/>
                <w:lang w:val="en-US" w:eastAsia="zh-CN"/>
              </w:rPr>
              <w:t>东北轻合金有限责任公司</w:t>
            </w:r>
          </w:p>
        </w:tc>
      </w:tr>
      <w:tr w14:paraId="5972E53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1579A">
            <w:pPr>
              <w:spacing w:line="240" w:lineRule="auto"/>
              <w:rPr>
                <w:rFonts w:hint="eastAsia"/>
                <w:b w:val="0"/>
                <w:bCs w:val="0"/>
                <w:sz w:val="18"/>
                <w:szCs w:val="18"/>
              </w:rPr>
            </w:pPr>
            <w:r>
              <w:rPr>
                <w:rFonts w:hint="eastAsia"/>
                <w:b w:val="0"/>
                <w:bCs w:val="0"/>
                <w:sz w:val="18"/>
                <w:szCs w:val="18"/>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18B9FFA7">
            <w:pPr>
              <w:spacing w:line="240" w:lineRule="auto"/>
              <w:ind w:firstLine="360" w:firstLineChars="200"/>
              <w:rPr>
                <w:rFonts w:hint="eastAsia"/>
                <w:b w:val="0"/>
                <w:bCs w:val="0"/>
                <w:sz w:val="18"/>
                <w:szCs w:val="18"/>
                <w:highlight w:val="none"/>
              </w:rPr>
            </w:pPr>
            <w:r>
              <w:rPr>
                <w:rFonts w:hint="eastAsia" w:cs="宋体"/>
                <w:b w:val="0"/>
                <w:bCs w:val="0"/>
                <w:color w:val="000000"/>
                <w:kern w:val="0"/>
                <w:sz w:val="18"/>
                <w:szCs w:val="18"/>
                <w:highlight w:val="none"/>
                <w:lang w:val="en-US" w:eastAsia="zh-CN"/>
              </w:rPr>
              <w:t>国标（北京）检验认证有限公司、西安汉唐分析检测有限公司</w:t>
            </w:r>
          </w:p>
        </w:tc>
      </w:tr>
      <w:tr w14:paraId="4B424658">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76ABA">
            <w:pPr>
              <w:spacing w:line="240" w:lineRule="auto"/>
              <w:rPr>
                <w:b w:val="0"/>
                <w:bCs w:val="0"/>
                <w:sz w:val="18"/>
                <w:szCs w:val="18"/>
              </w:rPr>
            </w:pPr>
            <w:r>
              <w:rPr>
                <w:rFonts w:hint="eastAsia"/>
                <w:b w:val="0"/>
                <w:bCs w:val="0"/>
                <w:sz w:val="18"/>
                <w:szCs w:val="18"/>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03B4C9E7">
            <w:pPr>
              <w:spacing w:line="240" w:lineRule="auto"/>
              <w:ind w:firstLine="360" w:firstLineChars="200"/>
              <w:rPr>
                <w:b w:val="0"/>
                <w:bCs w:val="0"/>
                <w:sz w:val="18"/>
                <w:szCs w:val="18"/>
              </w:rPr>
            </w:pPr>
            <w:r>
              <w:rPr>
                <w:rFonts w:hint="eastAsia"/>
                <w:b w:val="0"/>
                <w:bCs w:val="0"/>
                <w:sz w:val="18"/>
                <w:szCs w:val="18"/>
                <w:highlight w:val="none"/>
              </w:rPr>
              <w:t>202</w:t>
            </w:r>
            <w:r>
              <w:rPr>
                <w:rFonts w:hint="eastAsia"/>
                <w:b w:val="0"/>
                <w:bCs w:val="0"/>
                <w:sz w:val="18"/>
                <w:szCs w:val="18"/>
                <w:highlight w:val="none"/>
                <w:lang w:val="en-US" w:eastAsia="zh-CN"/>
              </w:rPr>
              <w:t>5</w:t>
            </w:r>
            <w:r>
              <w:rPr>
                <w:rFonts w:hint="eastAsia"/>
                <w:b w:val="0"/>
                <w:bCs w:val="0"/>
                <w:sz w:val="18"/>
                <w:szCs w:val="18"/>
                <w:highlight w:val="none"/>
              </w:rPr>
              <w:t>年</w:t>
            </w:r>
            <w:r>
              <w:rPr>
                <w:rFonts w:hint="eastAsia"/>
                <w:b w:val="0"/>
                <w:bCs w:val="0"/>
                <w:sz w:val="18"/>
                <w:szCs w:val="18"/>
                <w:highlight w:val="none"/>
                <w:lang w:val="en-US" w:eastAsia="zh-CN"/>
              </w:rPr>
              <w:t>10月完成试验验证，2026年6月</w:t>
            </w:r>
            <w:r>
              <w:rPr>
                <w:rFonts w:hint="eastAsia"/>
                <w:b w:val="0"/>
                <w:bCs w:val="0"/>
                <w:sz w:val="18"/>
                <w:szCs w:val="18"/>
                <w:highlight w:val="none"/>
              </w:rPr>
              <w:t>完成规范报批</w:t>
            </w:r>
          </w:p>
        </w:tc>
      </w:tr>
    </w:tbl>
    <w:p w14:paraId="7CEC114C">
      <w:pPr>
        <w:spacing w:line="400" w:lineRule="exact"/>
        <w:ind w:firstLine="420" w:firstLineChars="200"/>
        <w:rPr>
          <w:rFonts w:hint="eastAsia"/>
          <w:b w:val="0"/>
          <w:bCs w:val="0"/>
          <w:szCs w:val="21"/>
          <w:highlight w:val="none"/>
        </w:rPr>
      </w:pPr>
      <w:r>
        <w:rPr>
          <w:rFonts w:hint="eastAsia" w:cs="Times New Roman"/>
          <w:b w:val="0"/>
          <w:bCs w:val="0"/>
          <w:lang w:val="en-US" w:eastAsia="zh-CN"/>
        </w:rPr>
        <w:t>4）</w:t>
      </w:r>
      <w:r>
        <w:rPr>
          <w:rFonts w:hint="eastAsia" w:ascii="Times New Roman" w:hAnsi="Times New Roman" w:cs="Times New Roman"/>
          <w:b w:val="0"/>
          <w:bCs w:val="0"/>
          <w:lang w:val="en-US" w:eastAsia="zh-CN"/>
        </w:rPr>
        <w:t>2025年3月～5月，针对3月的广州讨论会中代表们提出的修改意见和建议，编制组开会讨论并修改了校准规范</w:t>
      </w:r>
      <w:r>
        <w:rPr>
          <w:rFonts w:hint="eastAsia" w:cs="Times New Roman"/>
          <w:b w:val="0"/>
          <w:bCs w:val="0"/>
          <w:lang w:val="en-US" w:eastAsia="zh-CN"/>
        </w:rPr>
        <w:t>，</w:t>
      </w:r>
      <w:r>
        <w:rPr>
          <w:rFonts w:hint="eastAsia"/>
          <w:b w:val="0"/>
          <w:bCs w:val="0"/>
          <w:highlight w:val="none"/>
        </w:rPr>
        <w:t>形成</w:t>
      </w:r>
      <w:r>
        <w:rPr>
          <w:rFonts w:hint="eastAsia"/>
          <w:b w:val="0"/>
          <w:bCs w:val="0"/>
          <w:highlight w:val="none"/>
          <w:lang w:val="en-US" w:eastAsia="zh-CN"/>
        </w:rPr>
        <w:t>了</w:t>
      </w:r>
      <w:r>
        <w:rPr>
          <w:rFonts w:hint="eastAsia"/>
          <w:b w:val="0"/>
          <w:bCs w:val="0"/>
          <w:szCs w:val="21"/>
          <w:highlight w:val="none"/>
        </w:rPr>
        <w:t>《</w:t>
      </w:r>
      <w:r>
        <w:rPr>
          <w:rFonts w:hint="eastAsia"/>
          <w:szCs w:val="21"/>
          <w:highlight w:val="none"/>
          <w:lang w:val="en-US" w:eastAsia="zh-CN"/>
        </w:rPr>
        <w:t>数字式引伸计标定器</w:t>
      </w:r>
      <w:r>
        <w:rPr>
          <w:rFonts w:hint="eastAsia"/>
          <w:szCs w:val="21"/>
          <w:highlight w:val="none"/>
        </w:rPr>
        <w:t>校准规范</w:t>
      </w:r>
      <w:r>
        <w:rPr>
          <w:rFonts w:hint="eastAsia"/>
          <w:b w:val="0"/>
          <w:bCs w:val="0"/>
          <w:szCs w:val="21"/>
          <w:highlight w:val="none"/>
        </w:rPr>
        <w:t>-</w:t>
      </w:r>
      <w:r>
        <w:rPr>
          <w:rFonts w:hint="eastAsia"/>
          <w:b w:val="0"/>
          <w:bCs w:val="0"/>
          <w:highlight w:val="none"/>
        </w:rPr>
        <w:t>征求意见稿</w:t>
      </w:r>
      <w:r>
        <w:rPr>
          <w:rFonts w:hint="eastAsia"/>
          <w:b w:val="0"/>
          <w:bCs w:val="0"/>
          <w:szCs w:val="21"/>
          <w:highlight w:val="none"/>
        </w:rPr>
        <w:t>》</w:t>
      </w:r>
    </w:p>
    <w:p w14:paraId="31EAF0EC">
      <w:pPr>
        <w:spacing w:line="400" w:lineRule="exact"/>
        <w:ind w:firstLine="420" w:firstLineChars="200"/>
        <w:rPr>
          <w:rFonts w:hint="eastAsia"/>
          <w:b w:val="0"/>
          <w:bCs w:val="0"/>
          <w:highlight w:val="none"/>
        </w:rPr>
      </w:pPr>
      <w:r>
        <w:rPr>
          <w:rFonts w:hint="eastAsia"/>
          <w:b w:val="0"/>
          <w:bCs w:val="0"/>
          <w:szCs w:val="21"/>
          <w:highlight w:val="none"/>
          <w:lang w:val="en-US" w:eastAsia="zh-CN"/>
        </w:rPr>
        <w:t>5）</w:t>
      </w:r>
      <w:r>
        <w:rPr>
          <w:rFonts w:hint="eastAsia"/>
          <w:b w:val="0"/>
          <w:bCs w:val="0"/>
          <w:highlight w:val="none"/>
        </w:rPr>
        <w:t>202</w:t>
      </w:r>
      <w:r>
        <w:rPr>
          <w:rFonts w:hint="eastAsia"/>
          <w:b w:val="0"/>
          <w:bCs w:val="0"/>
          <w:highlight w:val="none"/>
          <w:lang w:val="en-US" w:eastAsia="zh-CN"/>
        </w:rPr>
        <w:t>5</w:t>
      </w:r>
      <w:r>
        <w:rPr>
          <w:rFonts w:hint="eastAsia"/>
          <w:b w:val="0"/>
          <w:bCs w:val="0"/>
          <w:highlight w:val="none"/>
        </w:rPr>
        <w:t>年</w:t>
      </w:r>
      <w:r>
        <w:rPr>
          <w:rFonts w:hint="eastAsia"/>
          <w:b w:val="0"/>
          <w:bCs w:val="0"/>
          <w:highlight w:val="none"/>
          <w:lang w:val="en-US" w:eastAsia="zh-CN"/>
        </w:rPr>
        <w:t>5</w:t>
      </w:r>
      <w:r>
        <w:rPr>
          <w:rFonts w:hint="eastAsia"/>
          <w:b w:val="0"/>
          <w:bCs w:val="0"/>
          <w:highlight w:val="none"/>
        </w:rPr>
        <w:t>月</w:t>
      </w:r>
      <w:r>
        <w:rPr>
          <w:rFonts w:hint="eastAsia"/>
          <w:b w:val="0"/>
          <w:bCs w:val="0"/>
          <w:highlight w:val="none"/>
          <w:lang w:eastAsia="zh-CN"/>
        </w:rPr>
        <w:t>，</w:t>
      </w:r>
      <w:r>
        <w:rPr>
          <w:rFonts w:hint="eastAsia"/>
          <w:b w:val="0"/>
          <w:bCs w:val="0"/>
          <w:highlight w:val="none"/>
          <w:lang w:val="en-US" w:eastAsia="zh-CN"/>
        </w:rPr>
        <w:t>中国有色金属工业协会发文《关于对&lt;</w:t>
      </w:r>
      <w:r>
        <w:rPr>
          <w:rFonts w:hint="eastAsia"/>
          <w:szCs w:val="21"/>
          <w:highlight w:val="none"/>
          <w:lang w:val="en-US" w:eastAsia="zh-CN"/>
        </w:rPr>
        <w:t>数字式引伸计标定器</w:t>
      </w:r>
      <w:r>
        <w:rPr>
          <w:rFonts w:hint="eastAsia"/>
          <w:szCs w:val="21"/>
          <w:highlight w:val="none"/>
        </w:rPr>
        <w:t>校准规范</w:t>
      </w:r>
      <w:r>
        <w:rPr>
          <w:rFonts w:hint="eastAsia"/>
          <w:b w:val="0"/>
          <w:bCs w:val="0"/>
          <w:highlight w:val="none"/>
          <w:lang w:val="en-US" w:eastAsia="zh-CN"/>
        </w:rPr>
        <w:t>&gt;等11项有色金属行业计量技术规范征求意见的函》</w:t>
      </w:r>
      <w:r>
        <w:rPr>
          <w:rFonts w:hint="eastAsia" w:ascii="宋体" w:hAnsi="宋体" w:cs="宋体"/>
          <w:b w:val="0"/>
          <w:bCs w:val="0"/>
          <w:highlight w:val="none"/>
          <w:lang w:val="en-US" w:eastAsia="zh-CN"/>
        </w:rPr>
        <w:t>（中色计量委字〔</w:t>
      </w:r>
      <w:r>
        <w:rPr>
          <w:rFonts w:hint="eastAsia" w:ascii="宋体" w:hAnsi="宋体" w:eastAsia="宋体" w:cs="宋体"/>
          <w:b w:val="0"/>
          <w:bCs w:val="0"/>
          <w:highlight w:val="none"/>
          <w:lang w:val="en-US" w:eastAsia="zh-CN"/>
        </w:rPr>
        <w:t>202</w:t>
      </w:r>
      <w:r>
        <w:rPr>
          <w:rFonts w:hint="eastAsia" w:ascii="宋体" w:hAnsi="宋体" w:cs="宋体"/>
          <w:b w:val="0"/>
          <w:bCs w:val="0"/>
          <w:highlight w:val="none"/>
          <w:lang w:val="en-US" w:eastAsia="zh-CN"/>
        </w:rPr>
        <w:t>5〕4</w:t>
      </w:r>
      <w:r>
        <w:rPr>
          <w:rFonts w:hint="eastAsia" w:ascii="宋体" w:hAnsi="宋体" w:eastAsia="宋体" w:cs="宋体"/>
          <w:b w:val="0"/>
          <w:bCs w:val="0"/>
          <w:highlight w:val="none"/>
          <w:lang w:val="en-US" w:eastAsia="zh-CN"/>
        </w:rPr>
        <w:t>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p>
    <w:p w14:paraId="7318E826">
      <w:pPr>
        <w:spacing w:line="400" w:lineRule="exact"/>
        <w:ind w:firstLine="420" w:firstLineChars="200"/>
        <w:rPr>
          <w:rFonts w:hint="eastAsia"/>
          <w:b w:val="0"/>
          <w:bCs w:val="0"/>
          <w:szCs w:val="21"/>
          <w:highlight w:val="none"/>
          <w:lang w:val="en-US" w:eastAsia="zh-CN"/>
        </w:rPr>
      </w:pPr>
      <w:r>
        <w:rPr>
          <w:rFonts w:hint="eastAsia"/>
          <w:b w:val="0"/>
          <w:bCs w:val="0"/>
          <w:highlight w:val="none"/>
          <w:lang w:val="en-US" w:eastAsia="zh-CN"/>
        </w:rPr>
        <w:t>6）2025年6月</w:t>
      </w:r>
      <w:r>
        <w:rPr>
          <w:rFonts w:hint="eastAsia"/>
          <w:b w:val="0"/>
          <w:bCs w:val="0"/>
          <w:szCs w:val="21"/>
          <w:highlight w:val="none"/>
          <w:lang w:val="en-US" w:eastAsia="zh-CN"/>
        </w:rPr>
        <w:t>主编单位西南铝业（集团）有限责任公司对意见进行了收集整理，根据收集的意见，对规范进行了修改，形成了预审稿。</w:t>
      </w:r>
    </w:p>
    <w:p w14:paraId="3CEC2E78">
      <w:pPr>
        <w:spacing w:line="400" w:lineRule="exact"/>
        <w:ind w:firstLine="420" w:firstLineChars="200"/>
        <w:rPr>
          <w:rFonts w:hint="default"/>
          <w:b w:val="0"/>
          <w:bCs w:val="0"/>
          <w:highlight w:val="none"/>
          <w:lang w:val="en-US" w:eastAsia="zh-CN"/>
        </w:rPr>
      </w:pPr>
    </w:p>
    <w:bookmarkEnd w:id="9"/>
    <w:p w14:paraId="35C3C864">
      <w:pPr>
        <w:pStyle w:val="2"/>
        <w:spacing w:before="156" w:after="156"/>
        <w:rPr>
          <w:b w:val="0"/>
          <w:bCs w:val="0"/>
        </w:rPr>
      </w:pPr>
      <w:r>
        <w:rPr>
          <w:rFonts w:hint="eastAsia"/>
          <w:b w:val="0"/>
          <w:bCs w:val="0"/>
        </w:rPr>
        <w:t>二、编制原则和依据</w:t>
      </w:r>
    </w:p>
    <w:p w14:paraId="3F1A852F">
      <w:pPr>
        <w:pStyle w:val="3"/>
        <w:spacing w:before="156" w:after="156"/>
        <w:rPr>
          <w:b w:val="0"/>
          <w:bCs w:val="0"/>
        </w:rPr>
      </w:pPr>
      <w:bookmarkStart w:id="12" w:name="_Toc464728925"/>
      <w:r>
        <w:rPr>
          <w:rFonts w:hint="eastAsia"/>
          <w:b w:val="0"/>
          <w:bCs w:val="0"/>
        </w:rPr>
        <w:t>（一）编制原则</w:t>
      </w:r>
      <w:bookmarkEnd w:id="12"/>
    </w:p>
    <w:p w14:paraId="0AD6C02E">
      <w:pPr>
        <w:spacing w:line="400" w:lineRule="exact"/>
        <w:ind w:firstLine="420" w:firstLineChars="200"/>
        <w:rPr>
          <w:rFonts w:hint="eastAsia"/>
          <w:b w:val="0"/>
          <w:bCs w:val="0"/>
          <w:szCs w:val="21"/>
        </w:rPr>
      </w:pPr>
      <w:bookmarkStart w:id="13" w:name="_Toc464728926"/>
      <w:r>
        <w:rPr>
          <w:rFonts w:hint="eastAsia"/>
          <w:b w:val="0"/>
          <w:bCs w:val="0"/>
          <w:szCs w:val="21"/>
        </w:rPr>
        <w:t>本规范是以JJF 1071-2010《国家计量校准规范编写规则》、JJF 1001-2011《通用计量术语及定义》和JJF 1059.1-2012《测量不确定度评定与表示》为基础性系列规范进行编写。</w:t>
      </w:r>
    </w:p>
    <w:p w14:paraId="54330B67">
      <w:pPr>
        <w:spacing w:line="400" w:lineRule="exact"/>
        <w:ind w:firstLine="420" w:firstLineChars="200"/>
        <w:rPr>
          <w:rFonts w:hint="eastAsia" w:eastAsia="宋体"/>
          <w:b w:val="0"/>
          <w:bCs w:val="0"/>
          <w:szCs w:val="21"/>
          <w:lang w:eastAsia="zh-CN"/>
        </w:rPr>
      </w:pPr>
      <w:r>
        <w:rPr>
          <w:rFonts w:hint="eastAsia"/>
          <w:b w:val="0"/>
          <w:bCs w:val="0"/>
          <w:szCs w:val="21"/>
        </w:rPr>
        <w:t>本规范主要参考了JJF1096-2002 《引伸计标定器校准规范》、JJG762-2007 《引伸计》、ASTM E83 《引伸计系统检定和分级的标准规程 》、ISO 9513《金属材料 单轴试验用引伸计系统的标定》的技术内容</w:t>
      </w:r>
      <w:r>
        <w:rPr>
          <w:rFonts w:hint="eastAsia"/>
          <w:b w:val="0"/>
          <w:bCs w:val="0"/>
          <w:szCs w:val="21"/>
          <w:lang w:val="en-US" w:eastAsia="zh-CN"/>
        </w:rPr>
        <w:t>，</w:t>
      </w:r>
      <w:r>
        <w:rPr>
          <w:rFonts w:hint="eastAsia"/>
          <w:b w:val="0"/>
          <w:bCs w:val="0"/>
          <w:szCs w:val="21"/>
        </w:rPr>
        <w:t>对校准</w:t>
      </w:r>
      <w:r>
        <w:rPr>
          <w:rFonts w:hint="eastAsia"/>
          <w:b w:val="0"/>
          <w:bCs w:val="0"/>
          <w:szCs w:val="21"/>
          <w:lang w:val="en-US" w:eastAsia="zh-CN"/>
        </w:rPr>
        <w:t>数字式引伸计标定器</w:t>
      </w:r>
      <w:r>
        <w:rPr>
          <w:rFonts w:hint="eastAsia" w:asciiTheme="minorEastAsia" w:hAnsiTheme="minorEastAsia" w:eastAsiaTheme="minorEastAsia" w:cstheme="minorEastAsia"/>
          <w:bCs/>
          <w:sz w:val="21"/>
          <w:szCs w:val="21"/>
          <w:highlight w:val="none"/>
          <w:lang w:eastAsia="zh-CN"/>
        </w:rPr>
        <w:t>校准规范</w:t>
      </w:r>
      <w:r>
        <w:rPr>
          <w:rFonts w:hint="eastAsia"/>
          <w:b w:val="0"/>
          <w:bCs w:val="0"/>
          <w:szCs w:val="21"/>
        </w:rPr>
        <w:t>计量特性的校准方法进行了详细描述，对</w:t>
      </w:r>
      <w:r>
        <w:rPr>
          <w:rFonts w:hint="eastAsia"/>
          <w:b w:val="0"/>
          <w:bCs w:val="0"/>
          <w:szCs w:val="21"/>
          <w:lang w:val="en-US" w:eastAsia="zh-CN"/>
        </w:rPr>
        <w:t>数字式</w:t>
      </w:r>
      <w:r>
        <w:rPr>
          <w:rFonts w:hint="eastAsia" w:asciiTheme="minorEastAsia" w:hAnsiTheme="minorEastAsia" w:eastAsiaTheme="minorEastAsia" w:cstheme="minorEastAsia"/>
          <w:bCs/>
          <w:sz w:val="21"/>
          <w:szCs w:val="21"/>
          <w:highlight w:val="none"/>
          <w:lang w:val="en-US" w:eastAsia="zh-CN"/>
        </w:rPr>
        <w:t>引伸计标定器</w:t>
      </w:r>
      <w:r>
        <w:rPr>
          <w:rFonts w:hint="eastAsia" w:asciiTheme="minorEastAsia" w:hAnsiTheme="minorEastAsia" w:eastAsiaTheme="minorEastAsia" w:cstheme="minorEastAsia"/>
          <w:bCs/>
          <w:sz w:val="21"/>
          <w:szCs w:val="21"/>
          <w:highlight w:val="none"/>
          <w:lang w:eastAsia="zh-CN"/>
        </w:rPr>
        <w:t>校准规范</w:t>
      </w:r>
      <w:r>
        <w:rPr>
          <w:rFonts w:hint="eastAsia"/>
          <w:b w:val="0"/>
          <w:bCs w:val="0"/>
          <w:szCs w:val="21"/>
        </w:rPr>
        <w:t>的校准方法和误差计算方法进行了详细的描述；对校准标准装置进行了详细的规定，对校准点也明确列出规定。</w:t>
      </w:r>
    </w:p>
    <w:p w14:paraId="30DE95D9">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14:paraId="3099D9D4">
      <w:pPr>
        <w:pStyle w:val="4"/>
        <w:spacing w:before="156" w:after="156"/>
        <w:rPr>
          <w:b w:val="0"/>
          <w:bCs w:val="0"/>
        </w:rPr>
      </w:pPr>
      <w:bookmarkStart w:id="14" w:name="_Toc193860177"/>
      <w:bookmarkStart w:id="15" w:name="_Toc193860027"/>
      <w:bookmarkStart w:id="16" w:name="_Toc193860208"/>
      <w:bookmarkStart w:id="17" w:name="_Toc23837_WPSOffice_Level1"/>
      <w:bookmarkStart w:id="18" w:name="_Toc500258929"/>
      <w:bookmarkStart w:id="19" w:name="_Toc464728964"/>
      <w:r>
        <w:rPr>
          <w:rFonts w:hint="eastAsia"/>
          <w:b w:val="0"/>
          <w:bCs w:val="0"/>
        </w:rPr>
        <w:t>1范围</w:t>
      </w:r>
      <w:bookmarkEnd w:id="14"/>
      <w:bookmarkEnd w:id="15"/>
      <w:bookmarkEnd w:id="16"/>
      <w:bookmarkEnd w:id="17"/>
      <w:bookmarkEnd w:id="18"/>
    </w:p>
    <w:p w14:paraId="35A4A0B9">
      <w:pPr>
        <w:spacing w:line="400" w:lineRule="exact"/>
        <w:ind w:firstLine="420" w:firstLineChars="200"/>
        <w:rPr>
          <w:rFonts w:hint="default" w:eastAsiaTheme="minorEastAsia"/>
          <w:b w:val="0"/>
          <w:bCs w:val="0"/>
          <w:kern w:val="0"/>
          <w:szCs w:val="21"/>
        </w:rPr>
      </w:pPr>
      <w:r>
        <w:rPr>
          <w:rFonts w:hint="eastAsia" w:ascii="宋体" w:hAnsi="宋体" w:cs="宋体"/>
          <w:bCs/>
          <w:szCs w:val="21"/>
          <w:highlight w:val="none"/>
        </w:rPr>
        <w:t>本规范适用于数字式引伸计标定器（以下简称标定器）的校准</w:t>
      </w:r>
      <w:r>
        <w:rPr>
          <w:rFonts w:hint="eastAsia" w:eastAsiaTheme="minorEastAsia"/>
          <w:b w:val="0"/>
          <w:bCs w:val="0"/>
          <w:kern w:val="0"/>
          <w:szCs w:val="21"/>
          <w:lang w:val="en-US" w:eastAsia="zh-CN"/>
        </w:rPr>
        <w:t>。</w:t>
      </w:r>
    </w:p>
    <w:p w14:paraId="152DB701">
      <w:pPr>
        <w:pStyle w:val="4"/>
        <w:spacing w:before="156" w:after="156"/>
        <w:rPr>
          <w:b w:val="0"/>
          <w:bCs w:val="0"/>
        </w:rPr>
      </w:pPr>
      <w:bookmarkStart w:id="20" w:name="_Toc193860028"/>
      <w:bookmarkStart w:id="21" w:name="_Toc193860178"/>
      <w:bookmarkStart w:id="22" w:name="_Toc193860209"/>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14:paraId="77E466AF">
      <w:pPr>
        <w:pStyle w:val="58"/>
        <w:ind w:firstLine="480"/>
        <w:rPr>
          <w:highlight w:val="none"/>
        </w:rPr>
      </w:pPr>
      <w:r>
        <w:rPr>
          <w:rFonts w:hint="eastAsia"/>
          <w:highlight w:val="none"/>
        </w:rPr>
        <w:t>本规范引用了下列文件：</w:t>
      </w:r>
    </w:p>
    <w:p w14:paraId="68A476FC">
      <w:pPr>
        <w:spacing w:line="400" w:lineRule="exact"/>
        <w:ind w:firstLine="420" w:firstLineChars="200"/>
        <w:rPr>
          <w:rFonts w:hint="eastAsia"/>
          <w:highlight w:val="none"/>
        </w:rPr>
      </w:pPr>
      <w:r>
        <w:rPr>
          <w:rFonts w:hint="eastAsia"/>
          <w:highlight w:val="none"/>
        </w:rPr>
        <w:t>JJF1096-</w:t>
      </w:r>
      <w:r>
        <w:rPr>
          <w:rFonts w:hint="eastAsia" w:ascii="宋体" w:hAnsi="宋体" w:cs="宋体"/>
          <w:bCs/>
          <w:szCs w:val="21"/>
          <w:highlight w:val="none"/>
        </w:rPr>
        <w:t xml:space="preserve">2002  </w:t>
      </w:r>
      <w:r>
        <w:rPr>
          <w:rFonts w:hint="eastAsia"/>
          <w:highlight w:val="none"/>
        </w:rPr>
        <w:t xml:space="preserve">引伸计标定器校准规范  </w:t>
      </w:r>
    </w:p>
    <w:p w14:paraId="4133810B">
      <w:pPr>
        <w:spacing w:line="400" w:lineRule="exact"/>
        <w:ind w:firstLine="420" w:firstLineChars="200"/>
        <w:rPr>
          <w:rFonts w:eastAsiaTheme="minorEastAsia"/>
          <w:b w:val="0"/>
          <w:bCs w:val="0"/>
          <w:kern w:val="0"/>
          <w:szCs w:val="21"/>
          <w:highlight w:val="none"/>
        </w:rPr>
      </w:pPr>
      <w:r>
        <w:rPr>
          <w:rFonts w:hint="eastAsia"/>
          <w:highlight w:val="none"/>
        </w:rPr>
        <w:t>凡是注日期的引用文件，仅注日期的版本适用于本规范；凡是不注日期的引用文件，其最新版本（包括所有的修改单）适用于本规范</w:t>
      </w:r>
      <w:r>
        <w:rPr>
          <w:rFonts w:hint="eastAsia" w:eastAsiaTheme="minorEastAsia"/>
          <w:b w:val="0"/>
          <w:bCs w:val="0"/>
          <w:kern w:val="0"/>
          <w:szCs w:val="21"/>
          <w:highlight w:val="none"/>
        </w:rPr>
        <w:t>。</w:t>
      </w:r>
    </w:p>
    <w:p w14:paraId="6EB93489">
      <w:pPr>
        <w:pStyle w:val="4"/>
        <w:spacing w:before="156" w:after="156"/>
        <w:rPr>
          <w:b w:val="0"/>
          <w:bCs w:val="0"/>
        </w:rPr>
      </w:pPr>
      <w:bookmarkStart w:id="25" w:name="_Toc193860211"/>
      <w:bookmarkStart w:id="26" w:name="_Toc13054_WPSOffice_Level1"/>
      <w:bookmarkStart w:id="27" w:name="_Toc193860030"/>
      <w:bookmarkStart w:id="28" w:name="_Toc193619097"/>
      <w:bookmarkStart w:id="29" w:name="_Toc193618952"/>
      <w:bookmarkStart w:id="30" w:name="_Toc193619055"/>
      <w:bookmarkStart w:id="31" w:name="_Toc500258937"/>
      <w:bookmarkStart w:id="32" w:name="_Toc193860180"/>
      <w:r>
        <w:rPr>
          <w:rFonts w:hint="eastAsia"/>
          <w:b w:val="0"/>
          <w:bCs w:val="0"/>
        </w:rPr>
        <w:t>3 概述</w:t>
      </w:r>
      <w:bookmarkEnd w:id="25"/>
      <w:bookmarkEnd w:id="26"/>
      <w:bookmarkEnd w:id="27"/>
      <w:bookmarkEnd w:id="28"/>
      <w:bookmarkEnd w:id="29"/>
      <w:bookmarkEnd w:id="30"/>
      <w:bookmarkEnd w:id="31"/>
      <w:bookmarkEnd w:id="32"/>
    </w:p>
    <w:p w14:paraId="207F5BD5">
      <w:pPr>
        <w:pStyle w:val="58"/>
        <w:bidi w:val="0"/>
        <w:spacing w:line="360" w:lineRule="auto"/>
        <w:rPr>
          <w:rFonts w:hint="eastAsia"/>
          <w:color w:val="auto"/>
          <w:sz w:val="24"/>
          <w:highlight w:val="none"/>
          <w:lang w:eastAsia="zh-CN"/>
        </w:rPr>
      </w:pPr>
      <w:bookmarkStart w:id="33" w:name="_Toc19851_WPSOffice_Level1"/>
      <w:bookmarkStart w:id="34" w:name="_Toc193619098"/>
      <w:bookmarkStart w:id="35" w:name="_Toc193860181"/>
      <w:bookmarkStart w:id="36" w:name="_Toc500258938"/>
      <w:bookmarkStart w:id="37" w:name="_Toc193860212"/>
      <w:bookmarkStart w:id="38" w:name="_Toc193618953"/>
      <w:bookmarkStart w:id="39" w:name="_Toc193860031"/>
      <w:bookmarkStart w:id="40" w:name="_Toc193619056"/>
      <w:r>
        <w:rPr>
          <w:rFonts w:hint="eastAsia"/>
          <w:highlight w:val="none"/>
        </w:rPr>
        <w:t>标定器是通过传感器测量，以数字形式直接显示标准位移量的仪器。它由位移测量装置、上支架、位移调节装置、刚性支架、可动心轴、固定心轴等组成。主要用于引伸计的校准。其结构示意图见图1所示。</w:t>
      </w:r>
    </w:p>
    <w:p w14:paraId="3F711BA5">
      <w:pPr>
        <w:pStyle w:val="4"/>
        <w:spacing w:before="156" w:after="156"/>
        <w:rPr>
          <w:b w:val="0"/>
          <w:bCs w:val="0"/>
        </w:rPr>
      </w:pPr>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14:paraId="68F8C4FE">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仪表的计量特性主要为上、下心轴的同轴度、</w:t>
      </w:r>
      <w:r>
        <w:rPr>
          <w:rFonts w:hint="eastAsia" w:hAnsi="宋体" w:cs="Times New Roman"/>
          <w:bCs/>
          <w:szCs w:val="21"/>
          <w:highlight w:val="none"/>
          <w:lang w:val="en-US" w:eastAsia="zh-CN"/>
        </w:rPr>
        <w:t>分辨力、示值误差、示值稳定性、支架刚性</w:t>
      </w:r>
      <w:r>
        <w:rPr>
          <w:rFonts w:hint="eastAsia" w:ascii="Times New Roman" w:hAnsi="宋体" w:cs="Times New Roman"/>
          <w:bCs/>
          <w:szCs w:val="21"/>
          <w:highlight w:val="none"/>
          <w:lang w:val="en-US" w:eastAsia="zh-CN"/>
        </w:rPr>
        <w:t>。</w:t>
      </w:r>
    </w:p>
    <w:p w14:paraId="33859A4F">
      <w:pPr>
        <w:adjustRightInd w:val="0"/>
        <w:snapToGrid w:val="0"/>
        <w:spacing w:line="360" w:lineRule="auto"/>
        <w:ind w:left="0" w:leftChars="0" w:firstLine="0" w:firstLineChars="0"/>
        <w:rPr>
          <w:rFonts w:hint="eastAsia" w:cstheme="majorBidi"/>
          <w:b w:val="0"/>
          <w:bCs w:val="0"/>
          <w:kern w:val="44"/>
          <w:lang w:val="en-US" w:eastAsia="zh-CN"/>
        </w:rPr>
      </w:pPr>
      <w:r>
        <w:rPr>
          <w:rFonts w:hint="eastAsia" w:cstheme="majorBidi"/>
          <w:b w:val="0"/>
          <w:bCs w:val="0"/>
          <w:kern w:val="44"/>
          <w:lang w:val="en-US" w:eastAsia="zh-CN"/>
        </w:rPr>
        <w:t>4.1上、下心轴的同轴度</w:t>
      </w:r>
    </w:p>
    <w:p w14:paraId="02489695">
      <w:pPr>
        <w:spacing w:line="360" w:lineRule="auto"/>
        <w:ind w:firstLine="480"/>
        <w:rPr>
          <w:rFonts w:hint="eastAsia" w:cstheme="majorBidi"/>
          <w:b w:val="0"/>
          <w:bCs w:val="0"/>
          <w:kern w:val="44"/>
          <w:lang w:val="en-US" w:eastAsia="zh-CN"/>
        </w:rPr>
      </w:pPr>
      <w:r>
        <w:rPr>
          <w:rFonts w:hint="eastAsia" w:cstheme="majorBidi"/>
          <w:b w:val="0"/>
          <w:bCs w:val="0"/>
          <w:kern w:val="44"/>
          <w:lang w:val="en-US" w:eastAsia="zh-CN"/>
        </w:rPr>
        <w:t>依据JJF1096 -2002中4.2 上、下心轴的同轴度：标定器上、下心轴的同轴度不超过</w:t>
      </w:r>
      <w:r>
        <w:rPr>
          <w:rFonts w:hint="default" w:ascii="Times New Roman" w:hAnsi="Times New Roman" w:cs="Times New Roman"/>
          <w:i/>
          <w:iCs/>
          <w:sz w:val="24"/>
          <w:highlight w:val="none"/>
          <w:lang w:val="en-US" w:eastAsia="zh-CN"/>
        </w:rPr>
        <w:t>ϕ</w:t>
      </w:r>
      <w:r>
        <w:rPr>
          <w:rFonts w:hint="eastAsia" w:cstheme="majorBidi"/>
          <w:b w:val="0"/>
          <w:bCs w:val="0"/>
          <w:kern w:val="44"/>
          <w:lang w:val="en-US" w:eastAsia="zh-CN"/>
        </w:rPr>
        <w:t>0.1mm。</w:t>
      </w:r>
    </w:p>
    <w:p w14:paraId="53DF5736">
      <w:pPr>
        <w:adjustRightInd w:val="0"/>
        <w:snapToGrid w:val="0"/>
        <w:spacing w:line="360" w:lineRule="auto"/>
        <w:ind w:left="0" w:leftChars="0" w:firstLine="0" w:firstLineChars="0"/>
        <w:rPr>
          <w:rFonts w:hint="eastAsia" w:cstheme="majorBidi"/>
          <w:b w:val="0"/>
          <w:bCs w:val="0"/>
          <w:kern w:val="44"/>
          <w:lang w:val="en-US" w:eastAsia="zh-CN"/>
        </w:rPr>
      </w:pPr>
      <w:r>
        <w:rPr>
          <w:rFonts w:hint="eastAsia" w:cstheme="majorBidi"/>
          <w:b w:val="0"/>
          <w:bCs w:val="0"/>
          <w:kern w:val="44"/>
          <w:lang w:val="en-US" w:eastAsia="zh-CN"/>
        </w:rPr>
        <w:t>4.2 分辨力</w:t>
      </w:r>
    </w:p>
    <w:p w14:paraId="6606185F">
      <w:pPr>
        <w:pStyle w:val="58"/>
        <w:ind w:firstLine="480"/>
        <w:rPr>
          <w:rFonts w:hint="eastAsia" w:ascii="Times New Roman" w:hAnsi="Times New Roman" w:cstheme="majorBidi"/>
          <w:kern w:val="44"/>
          <w:szCs w:val="24"/>
          <w:highlight w:val="none"/>
        </w:rPr>
      </w:pPr>
      <w:r>
        <w:rPr>
          <w:rFonts w:hint="eastAsia" w:ascii="Times New Roman" w:hAnsi="Times New Roman" w:cstheme="majorBidi"/>
          <w:kern w:val="44"/>
          <w:szCs w:val="24"/>
          <w:highlight w:val="none"/>
        </w:rPr>
        <w:t>标定器</w:t>
      </w:r>
      <w:r>
        <w:rPr>
          <w:rFonts w:hint="eastAsia" w:ascii="Times New Roman" w:hAnsi="Times New Roman" w:cstheme="majorBidi"/>
          <w:kern w:val="44"/>
          <w:szCs w:val="24"/>
          <w:highlight w:val="none"/>
          <w:lang w:val="en-US" w:eastAsia="zh-CN"/>
        </w:rPr>
        <w:t>测量</w:t>
      </w:r>
      <w:r>
        <w:rPr>
          <w:rFonts w:hint="eastAsia" w:ascii="Times New Roman" w:hAnsi="Times New Roman" w:cstheme="majorBidi"/>
          <w:kern w:val="44"/>
          <w:szCs w:val="24"/>
          <w:highlight w:val="none"/>
        </w:rPr>
        <w:t>装置的分辨力</w:t>
      </w:r>
      <w:r>
        <w:rPr>
          <w:rFonts w:hint="eastAsia" w:ascii="Times New Roman" w:hAnsi="Times New Roman" w:cstheme="majorBidi"/>
          <w:kern w:val="44"/>
          <w:szCs w:val="24"/>
          <w:highlight w:val="none"/>
          <w:lang w:val="en-US" w:eastAsia="zh-CN"/>
        </w:rPr>
        <w:t>不大于0.1μm</w:t>
      </w:r>
      <w:r>
        <w:rPr>
          <w:rFonts w:hint="eastAsia" w:ascii="Times New Roman" w:hAnsi="Times New Roman" w:cstheme="majorBidi"/>
          <w:kern w:val="44"/>
          <w:szCs w:val="24"/>
          <w:highlight w:val="none"/>
        </w:rPr>
        <w:t>。</w:t>
      </w:r>
    </w:p>
    <w:p w14:paraId="02E6E240">
      <w:pPr>
        <w:adjustRightInd w:val="0"/>
        <w:snapToGrid w:val="0"/>
        <w:spacing w:line="360" w:lineRule="auto"/>
        <w:ind w:left="0" w:leftChars="0" w:firstLine="0" w:firstLineChars="0"/>
        <w:rPr>
          <w:rFonts w:hint="default" w:cstheme="majorBidi"/>
          <w:b w:val="0"/>
          <w:bCs w:val="0"/>
          <w:kern w:val="44"/>
          <w:lang w:val="en-US" w:eastAsia="zh-CN"/>
        </w:rPr>
      </w:pPr>
      <w:r>
        <w:rPr>
          <w:rFonts w:hint="eastAsia" w:cstheme="majorBidi"/>
          <w:b w:val="0"/>
          <w:bCs w:val="0"/>
          <w:kern w:val="44"/>
          <w:lang w:val="en-US" w:eastAsia="zh-CN"/>
        </w:rPr>
        <w:t>4.3 示值误差</w:t>
      </w:r>
    </w:p>
    <w:p w14:paraId="784186C4">
      <w:pPr>
        <w:spacing w:line="360" w:lineRule="auto"/>
        <w:ind w:firstLine="480"/>
        <w:rPr>
          <w:rFonts w:hint="default" w:ascii="宋体" w:hAnsi="宋体" w:eastAsia="宋体" w:cs="宋体"/>
          <w:b w:val="0"/>
          <w:bCs/>
          <w:sz w:val="21"/>
          <w:szCs w:val="21"/>
          <w:highlight w:val="none"/>
          <w:lang w:val="en-US" w:eastAsia="zh-CN"/>
        </w:rPr>
      </w:pPr>
      <w:r>
        <w:rPr>
          <w:rFonts w:hint="eastAsia" w:cstheme="majorBidi"/>
          <w:b w:val="0"/>
          <w:bCs w:val="0"/>
          <w:kern w:val="44"/>
          <w:lang w:val="en-US" w:eastAsia="zh-CN"/>
        </w:rPr>
        <w:t>依据JJF10</w:t>
      </w:r>
      <w:r>
        <w:rPr>
          <w:rFonts w:hint="eastAsia" w:ascii="Times New Roman" w:hAnsi="Times New Roman" w:cstheme="majorBidi"/>
          <w:b w:val="0"/>
          <w:bCs w:val="0"/>
          <w:kern w:val="44"/>
          <w:lang w:val="en-US" w:eastAsia="zh-CN"/>
        </w:rPr>
        <w:t>96</w:t>
      </w:r>
      <w:r>
        <w:rPr>
          <w:rFonts w:hint="eastAsia" w:cstheme="majorBidi"/>
          <w:b w:val="0"/>
          <w:bCs w:val="0"/>
          <w:kern w:val="44"/>
          <w:lang w:val="en-US" w:eastAsia="zh-CN"/>
        </w:rPr>
        <w:t xml:space="preserve"> -2002中</w:t>
      </w:r>
      <w:r>
        <w:rPr>
          <w:rFonts w:hint="eastAsia" w:ascii="Times New Roman" w:hAnsi="Times New Roman" w:cstheme="majorBidi"/>
          <w:b w:val="0"/>
          <w:bCs w:val="0"/>
          <w:kern w:val="44"/>
          <w:lang w:val="en-US" w:eastAsia="zh-CN"/>
        </w:rPr>
        <w:t>4.4</w:t>
      </w:r>
      <w:r>
        <w:rPr>
          <w:rFonts w:hint="eastAsia" w:cstheme="majorBidi"/>
          <w:b w:val="0"/>
          <w:bCs w:val="0"/>
          <w:kern w:val="44"/>
          <w:lang w:val="en-US" w:eastAsia="zh-CN"/>
        </w:rPr>
        <w:t xml:space="preserve"> 表1：</w:t>
      </w:r>
      <w:r>
        <w:rPr>
          <w:rFonts w:hint="eastAsia" w:ascii="Times New Roman" w:hAnsi="Times New Roman" w:cstheme="majorBidi"/>
          <w:b w:val="0"/>
          <w:bCs w:val="0"/>
          <w:kern w:val="44"/>
          <w:lang w:val="en-US" w:eastAsia="zh-CN"/>
        </w:rPr>
        <w:t>标定器示值误差不超过表</w:t>
      </w:r>
      <w:r>
        <w:rPr>
          <w:rFonts w:hint="eastAsia" w:cstheme="majorBidi"/>
          <w:b w:val="0"/>
          <w:bCs w:val="0"/>
          <w:kern w:val="44"/>
          <w:lang w:val="en-US" w:eastAsia="zh-CN"/>
        </w:rPr>
        <w:t>3</w:t>
      </w:r>
      <w:r>
        <w:rPr>
          <w:rFonts w:hint="eastAsia" w:ascii="Times New Roman" w:hAnsi="Times New Roman" w:cstheme="majorBidi"/>
          <w:b w:val="0"/>
          <w:bCs w:val="0"/>
          <w:kern w:val="44"/>
          <w:lang w:val="en-US" w:eastAsia="zh-CN"/>
        </w:rPr>
        <w:t>规定的最大允许值。</w:t>
      </w:r>
      <w:r>
        <w:rPr>
          <w:rFonts w:hint="eastAsia" w:ascii="宋体" w:hAnsi="宋体" w:eastAsia="宋体" w:cs="宋体"/>
          <w:b w:val="0"/>
          <w:bCs/>
          <w:color w:val="auto"/>
          <w:sz w:val="21"/>
          <w:szCs w:val="21"/>
          <w:highlight w:val="none"/>
          <w:vertAlign w:val="baseline"/>
          <w:lang w:val="en-US" w:eastAsia="zh-CN"/>
        </w:rPr>
        <w:t>示值绝对误差在校准范围不超过0.3mm时采用。示值相对误差在校准范围超过0.3mm时采用。</w:t>
      </w:r>
    </w:p>
    <w:p w14:paraId="064B61EE">
      <w:pPr>
        <w:pStyle w:val="58"/>
        <w:keepNext w:val="0"/>
        <w:keepLines w:val="0"/>
        <w:pageBreakBefore w:val="0"/>
        <w:kinsoku/>
        <w:wordWrap/>
        <w:overflowPunct/>
        <w:topLinePunct w:val="0"/>
        <w:bidi w:val="0"/>
        <w:adjustRightInd/>
        <w:snapToGrid/>
        <w:spacing w:line="400" w:lineRule="exact"/>
        <w:ind w:left="0" w:leftChars="0" w:firstLine="0" w:firstLineChars="0"/>
        <w:jc w:val="center"/>
        <w:textAlignment w:val="auto"/>
        <w:rPr>
          <w:rFonts w:hint="eastAsia" w:ascii="黑体" w:hAnsi="黑体" w:eastAsia="黑体" w:cs="黑体"/>
          <w:b w:val="0"/>
          <w:bCs/>
          <w:sz w:val="21"/>
          <w:szCs w:val="21"/>
          <w:highlight w:val="none"/>
          <w:lang w:val="en-US" w:eastAsia="zh-CN"/>
        </w:rPr>
      </w:pPr>
      <w:bookmarkStart w:id="84" w:name="_GoBack"/>
      <w:bookmarkEnd w:id="84"/>
      <w:r>
        <w:rPr>
          <w:rFonts w:hint="eastAsia" w:ascii="黑体" w:hAnsi="黑体" w:eastAsia="黑体" w:cs="黑体"/>
          <w:b w:val="0"/>
          <w:bCs/>
          <w:sz w:val="21"/>
          <w:szCs w:val="21"/>
          <w:highlight w:val="none"/>
          <w:lang w:val="en-US" w:eastAsia="zh-CN"/>
        </w:rPr>
        <w:t>表3   示值的最大允许误差</w:t>
      </w:r>
    </w:p>
    <w:tbl>
      <w:tblPr>
        <w:tblStyle w:val="42"/>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917"/>
        <w:gridCol w:w="3450"/>
      </w:tblGrid>
      <w:tr w14:paraId="53D6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14:paraId="1C2E356A">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被校引伸计级别</w:t>
            </w:r>
          </w:p>
        </w:tc>
        <w:tc>
          <w:tcPr>
            <w:tcW w:w="2917" w:type="dxa"/>
            <w:noWrap w:val="0"/>
            <w:vAlign w:val="center"/>
          </w:tcPr>
          <w:p w14:paraId="0A187FED">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绝对误差/</w:t>
            </w:r>
            <w:r>
              <w:rPr>
                <w:rFonts w:hint="eastAsia" w:ascii="宋体" w:hAnsi="宋体" w:eastAsia="宋体" w:cs="宋体"/>
                <w:b w:val="0"/>
                <w:bCs/>
                <w:i/>
                <w:iCs/>
                <w:color w:val="auto"/>
                <w:sz w:val="21"/>
                <w:szCs w:val="21"/>
                <w:highlight w:val="none"/>
                <w:vertAlign w:val="baseline"/>
                <w:lang w:val="en-US" w:eastAsia="zh-CN"/>
              </w:rPr>
              <w:t>μ</w:t>
            </w:r>
            <w:r>
              <w:rPr>
                <w:rFonts w:hint="eastAsia" w:ascii="宋体" w:hAnsi="宋体" w:eastAsia="宋体" w:cs="宋体"/>
                <w:b w:val="0"/>
                <w:bCs/>
                <w:color w:val="auto"/>
                <w:sz w:val="21"/>
                <w:szCs w:val="21"/>
                <w:highlight w:val="none"/>
                <w:vertAlign w:val="baseline"/>
                <w:lang w:val="en-US" w:eastAsia="zh-CN"/>
              </w:rPr>
              <w:t>m</w:t>
            </w:r>
          </w:p>
        </w:tc>
        <w:tc>
          <w:tcPr>
            <w:tcW w:w="3450" w:type="dxa"/>
            <w:noWrap w:val="0"/>
            <w:vAlign w:val="center"/>
          </w:tcPr>
          <w:p w14:paraId="43A2601B">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相对误差/%</w:t>
            </w:r>
          </w:p>
        </w:tc>
      </w:tr>
      <w:tr w14:paraId="670F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14:paraId="383DEE02">
            <w:pPr>
              <w:pStyle w:val="58"/>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0.2 级</w:t>
            </w:r>
          </w:p>
        </w:tc>
        <w:tc>
          <w:tcPr>
            <w:tcW w:w="2917" w:type="dxa"/>
            <w:noWrap w:val="0"/>
            <w:vAlign w:val="center"/>
          </w:tcPr>
          <w:p w14:paraId="4E4186BD">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±0.2</w:t>
            </w:r>
          </w:p>
        </w:tc>
        <w:tc>
          <w:tcPr>
            <w:tcW w:w="3450" w:type="dxa"/>
            <w:noWrap w:val="0"/>
            <w:vAlign w:val="center"/>
          </w:tcPr>
          <w:p w14:paraId="7FF68CBE">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±0.06</w:t>
            </w:r>
          </w:p>
        </w:tc>
      </w:tr>
      <w:tr w14:paraId="58B0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4" w:type="dxa"/>
            <w:noWrap w:val="0"/>
            <w:vAlign w:val="center"/>
          </w:tcPr>
          <w:p w14:paraId="132FC005">
            <w:pPr>
              <w:pStyle w:val="58"/>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0.5 级</w:t>
            </w:r>
          </w:p>
        </w:tc>
        <w:tc>
          <w:tcPr>
            <w:tcW w:w="2917" w:type="dxa"/>
            <w:noWrap w:val="0"/>
            <w:vAlign w:val="center"/>
          </w:tcPr>
          <w:p w14:paraId="10AD2021">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±0.5</w:t>
            </w:r>
          </w:p>
        </w:tc>
        <w:tc>
          <w:tcPr>
            <w:tcW w:w="3450" w:type="dxa"/>
            <w:noWrap w:val="0"/>
            <w:vAlign w:val="center"/>
          </w:tcPr>
          <w:p w14:paraId="52C48A1C">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±0.15</w:t>
            </w:r>
          </w:p>
        </w:tc>
      </w:tr>
      <w:tr w14:paraId="4414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noWrap w:val="0"/>
            <w:vAlign w:val="center"/>
          </w:tcPr>
          <w:p w14:paraId="0B72DB80">
            <w:pPr>
              <w:pStyle w:val="58"/>
              <w:keepNext w:val="0"/>
              <w:keepLines w:val="0"/>
              <w:pageBreakBefore w:val="0"/>
              <w:widowControl w:val="0"/>
              <w:kinsoku/>
              <w:wordWrap/>
              <w:overflowPunct/>
              <w:topLinePunct w:val="0"/>
              <w:bidi w:val="0"/>
              <w:adjustRightInd/>
              <w:snapToGrid/>
              <w:spacing w:line="400" w:lineRule="exact"/>
              <w:ind w:firstLine="420" w:firstLineChars="20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 级</w:t>
            </w:r>
          </w:p>
        </w:tc>
        <w:tc>
          <w:tcPr>
            <w:tcW w:w="2917" w:type="dxa"/>
            <w:noWrap w:val="0"/>
            <w:vAlign w:val="center"/>
          </w:tcPr>
          <w:p w14:paraId="7BB7C59B">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±1.0</w:t>
            </w:r>
          </w:p>
        </w:tc>
        <w:tc>
          <w:tcPr>
            <w:tcW w:w="3450" w:type="dxa"/>
            <w:noWrap w:val="0"/>
            <w:vAlign w:val="center"/>
          </w:tcPr>
          <w:p w14:paraId="7DE2BBDF">
            <w:pPr>
              <w:pStyle w:val="58"/>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±0.3</w:t>
            </w:r>
          </w:p>
        </w:tc>
      </w:tr>
    </w:tbl>
    <w:p w14:paraId="33C0D8AF">
      <w:pPr>
        <w:spacing w:line="360" w:lineRule="auto"/>
        <w:ind w:firstLine="480"/>
        <w:rPr>
          <w:rFonts w:hint="eastAsia" w:cstheme="majorBidi"/>
          <w:b w:val="0"/>
          <w:bCs w:val="0"/>
          <w:kern w:val="44"/>
          <w:lang w:val="en-US" w:eastAsia="zh-CN"/>
        </w:rPr>
      </w:pPr>
      <w:r>
        <w:rPr>
          <w:rFonts w:hint="eastAsia" w:cstheme="majorBidi"/>
          <w:kern w:val="44"/>
        </w:rPr>
        <w:t>通过对钢研纳克、MTS、Epsilon、长春三晶等制造厂家进行</w:t>
      </w:r>
      <w:r>
        <w:rPr>
          <w:rFonts w:hint="eastAsia" w:cstheme="majorBidi"/>
          <w:kern w:val="44"/>
          <w:lang w:val="en-US" w:eastAsia="zh-CN"/>
        </w:rPr>
        <w:t>了</w:t>
      </w:r>
      <w:r>
        <w:rPr>
          <w:rFonts w:hint="eastAsia" w:cstheme="majorBidi"/>
          <w:kern w:val="44"/>
        </w:rPr>
        <w:t>调研，由于</w:t>
      </w:r>
      <w:r>
        <w:rPr>
          <w:rFonts w:hint="eastAsia" w:cstheme="majorBidi"/>
          <w:kern w:val="44"/>
          <w:lang w:val="en-US" w:eastAsia="zh-CN"/>
        </w:rPr>
        <w:t>2级引伸计</w:t>
      </w:r>
      <w:r>
        <w:rPr>
          <w:rFonts w:hint="eastAsia" w:cstheme="majorBidi"/>
          <w:kern w:val="44"/>
        </w:rPr>
        <w:t>示值误差太大，现在市面上已经没有2级引伸计销售，所以</w:t>
      </w:r>
      <w:r>
        <w:rPr>
          <w:rFonts w:hint="eastAsia" w:cstheme="majorBidi"/>
          <w:kern w:val="44"/>
          <w:lang w:val="en-US" w:eastAsia="zh-CN"/>
        </w:rPr>
        <w:t>本规范没有规定用于校准</w:t>
      </w:r>
      <w:r>
        <w:rPr>
          <w:rFonts w:hint="eastAsia" w:cstheme="majorBidi"/>
          <w:kern w:val="44"/>
        </w:rPr>
        <w:t>2级</w:t>
      </w:r>
      <w:r>
        <w:rPr>
          <w:rFonts w:hint="eastAsia" w:cstheme="majorBidi"/>
          <w:kern w:val="44"/>
          <w:lang w:val="en-US" w:eastAsia="zh-CN"/>
        </w:rPr>
        <w:t>引伸计的标定器的最大允许误差。</w:t>
      </w:r>
    </w:p>
    <w:p w14:paraId="575E9655">
      <w:pPr>
        <w:adjustRightInd w:val="0"/>
        <w:snapToGrid w:val="0"/>
        <w:spacing w:line="360" w:lineRule="auto"/>
        <w:ind w:left="0" w:leftChars="0" w:firstLine="0" w:firstLineChars="0"/>
        <w:rPr>
          <w:rFonts w:hint="default" w:cstheme="majorBidi"/>
          <w:b w:val="0"/>
          <w:bCs w:val="0"/>
          <w:kern w:val="44"/>
          <w:lang w:val="en-US" w:eastAsia="zh-CN"/>
        </w:rPr>
      </w:pPr>
      <w:r>
        <w:rPr>
          <w:rFonts w:hint="eastAsia" w:cstheme="majorBidi"/>
          <w:b w:val="0"/>
          <w:bCs w:val="0"/>
          <w:kern w:val="44"/>
          <w:lang w:val="en-US" w:eastAsia="zh-CN"/>
        </w:rPr>
        <w:t>4.4 示值稳定性</w:t>
      </w:r>
    </w:p>
    <w:p w14:paraId="1449B2CE">
      <w:pPr>
        <w:spacing w:line="360" w:lineRule="auto"/>
        <w:ind w:firstLine="480"/>
        <w:rPr>
          <w:rFonts w:hint="eastAsia" w:cstheme="majorBidi"/>
          <w:b w:val="0"/>
          <w:bCs w:val="0"/>
          <w:kern w:val="44"/>
          <w:lang w:val="en-US" w:eastAsia="zh-CN"/>
        </w:rPr>
      </w:pPr>
      <w:r>
        <w:rPr>
          <w:rFonts w:hint="eastAsia" w:cstheme="majorBidi"/>
          <w:b w:val="0"/>
          <w:bCs w:val="0"/>
          <w:kern w:val="44"/>
          <w:lang w:val="en-US" w:eastAsia="zh-CN"/>
        </w:rPr>
        <w:t>依据JJF1096 -2002中4.5 示值稳定性：示值稳定性在1h内不超过正文中表1中的绝对误差值。</w:t>
      </w:r>
    </w:p>
    <w:p w14:paraId="0DD2EBF0">
      <w:pPr>
        <w:adjustRightInd w:val="0"/>
        <w:snapToGrid w:val="0"/>
        <w:spacing w:line="360" w:lineRule="auto"/>
        <w:ind w:left="0" w:leftChars="0" w:firstLine="0" w:firstLineChars="0"/>
        <w:rPr>
          <w:rFonts w:hint="default" w:cstheme="majorBidi"/>
          <w:b w:val="0"/>
          <w:bCs w:val="0"/>
          <w:kern w:val="44"/>
          <w:lang w:val="en-US" w:eastAsia="zh-CN"/>
        </w:rPr>
      </w:pPr>
      <w:r>
        <w:rPr>
          <w:rFonts w:hint="eastAsia" w:cstheme="majorBidi"/>
          <w:b w:val="0"/>
          <w:bCs w:val="0"/>
          <w:kern w:val="44"/>
          <w:lang w:val="en-US" w:eastAsia="zh-CN"/>
        </w:rPr>
        <w:t>4.5 支架刚性</w:t>
      </w:r>
    </w:p>
    <w:p w14:paraId="3FF9E03D">
      <w:pPr>
        <w:spacing w:line="360" w:lineRule="auto"/>
        <w:ind w:firstLine="480"/>
        <w:rPr>
          <w:rFonts w:hint="eastAsia" w:ascii="宋体" w:hAnsi="宋体" w:cs="宋体"/>
          <w:b w:val="0"/>
          <w:bCs w:val="0"/>
          <w:kern w:val="44"/>
          <w:lang w:val="en-US" w:eastAsia="zh-CN"/>
        </w:rPr>
      </w:pPr>
      <w:r>
        <w:rPr>
          <w:rFonts w:hint="eastAsia" w:cstheme="majorBidi"/>
          <w:b w:val="0"/>
          <w:bCs w:val="0"/>
          <w:kern w:val="44"/>
          <w:lang w:val="en-US" w:eastAsia="zh-CN"/>
        </w:rPr>
        <w:t>依据JJF1096：4.6 支架刚性</w:t>
      </w:r>
      <w:r>
        <w:rPr>
          <w:rFonts w:hint="eastAsia" w:ascii="宋体" w:hAnsi="宋体" w:cs="宋体"/>
          <w:b w:val="0"/>
          <w:bCs w:val="0"/>
          <w:kern w:val="44"/>
          <w:lang w:val="en-US" w:eastAsia="zh-CN"/>
        </w:rPr>
        <w:t>：上支架受到1N的垂向力时，</w:t>
      </w:r>
      <w:r>
        <w:rPr>
          <w:rFonts w:hint="default" w:ascii="宋体" w:hAnsi="宋体" w:cs="宋体"/>
          <w:b w:val="0"/>
          <w:bCs w:val="0"/>
          <w:kern w:val="44"/>
          <w:lang w:val="en-US" w:eastAsia="zh-CN"/>
        </w:rPr>
        <w:t>标定器</w:t>
      </w:r>
      <w:r>
        <w:rPr>
          <w:rFonts w:hint="eastAsia" w:ascii="宋体" w:hAnsi="宋体" w:cs="宋体"/>
          <w:b w:val="0"/>
          <w:bCs w:val="0"/>
          <w:kern w:val="44"/>
          <w:lang w:val="en-US" w:eastAsia="zh-CN"/>
        </w:rPr>
        <w:t>位移变化量不超过0.1μm。</w:t>
      </w:r>
    </w:p>
    <w:p w14:paraId="160736D5">
      <w:pPr>
        <w:pStyle w:val="4"/>
        <w:spacing w:before="156" w:after="156"/>
        <w:rPr>
          <w:b w:val="0"/>
          <w:bCs w:val="0"/>
        </w:rPr>
      </w:pPr>
      <w:r>
        <w:rPr>
          <w:rFonts w:hint="eastAsia"/>
          <w:b w:val="0"/>
          <w:bCs w:val="0"/>
        </w:rPr>
        <w:t>5 校准条件</w:t>
      </w:r>
      <w:bookmarkEnd w:id="41"/>
      <w:bookmarkStart w:id="42" w:name="_Toc193860214"/>
      <w:bookmarkStart w:id="43" w:name="_Toc193860183"/>
      <w:bookmarkStart w:id="44" w:name="_Toc500258942"/>
      <w:bookmarkStart w:id="45" w:name="_Toc193860033"/>
    </w:p>
    <w:p w14:paraId="0B2503B7">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14:paraId="420761E3">
      <w:pPr>
        <w:adjustRightInd w:val="0"/>
        <w:snapToGrid w:val="0"/>
        <w:spacing w:line="360" w:lineRule="auto"/>
        <w:ind w:left="0" w:leftChars="0" w:firstLine="0" w:firstLineChars="0"/>
        <w:rPr>
          <w:rFonts w:hint="eastAsia" w:ascii="Times New Roman" w:cs="Times New Roman"/>
          <w:sz w:val="21"/>
          <w:lang w:val="en-US" w:eastAsia="zh-CN"/>
        </w:rPr>
      </w:pPr>
      <w:r>
        <w:rPr>
          <w:rFonts w:hint="eastAsia" w:ascii="Times New Roman" w:cs="Times New Roman"/>
          <w:sz w:val="21"/>
          <w:lang w:val="en-US" w:eastAsia="zh-CN"/>
        </w:rPr>
        <w:t xml:space="preserve">5.1 </w:t>
      </w:r>
      <w:r>
        <w:rPr>
          <w:rFonts w:hint="eastAsia" w:ascii="宋体" w:hAnsi="宋体" w:cs="宋体"/>
          <w:b w:val="0"/>
          <w:bCs w:val="0"/>
          <w:kern w:val="44"/>
          <w:lang w:val="en-US" w:eastAsia="zh-CN"/>
        </w:rPr>
        <w:t>环境</w:t>
      </w:r>
      <w:r>
        <w:rPr>
          <w:rFonts w:hint="eastAsia" w:ascii="Times New Roman" w:cs="Times New Roman"/>
          <w:sz w:val="21"/>
          <w:lang w:val="en-US" w:eastAsia="zh-CN"/>
        </w:rPr>
        <w:t>条件</w:t>
      </w:r>
    </w:p>
    <w:p w14:paraId="7E23D788">
      <w:pPr>
        <w:spacing w:line="360" w:lineRule="auto"/>
        <w:ind w:firstLine="420" w:firstLineChars="200"/>
        <w:rPr>
          <w:rFonts w:hint="default"/>
          <w:bCs/>
          <w:highlight w:val="none"/>
          <w:lang w:val="en-US" w:eastAsia="zh-CN"/>
        </w:rPr>
      </w:pPr>
      <w:r>
        <w:rPr>
          <w:rFonts w:hint="eastAsia"/>
          <w:bCs/>
          <w:highlight w:val="none"/>
          <w:lang w:val="en-US" w:eastAsia="zh-CN"/>
        </w:rPr>
        <w:t>参考了JJF 1096-2002中5.1表2对A类标定器的校准环境条件要求。</w:t>
      </w:r>
    </w:p>
    <w:p w14:paraId="18476D5F">
      <w:pPr>
        <w:spacing w:line="360" w:lineRule="auto"/>
        <w:ind w:firstLine="420" w:firstLineChars="200"/>
        <w:rPr>
          <w:rFonts w:hint="eastAsia"/>
          <w:bCs/>
          <w:highlight w:val="none"/>
          <w:lang w:val="en-US" w:eastAsia="zh-TW"/>
        </w:rPr>
      </w:pPr>
      <w:r>
        <w:rPr>
          <w:rFonts w:hint="eastAsia"/>
          <w:bCs/>
          <w:highlight w:val="none"/>
          <w:lang w:val="en-US" w:eastAsia="zh-TW"/>
        </w:rPr>
        <w:t>环境温度：（20±1）℃；</w:t>
      </w:r>
    </w:p>
    <w:p w14:paraId="60CDF385">
      <w:pPr>
        <w:spacing w:line="360" w:lineRule="auto"/>
        <w:ind w:firstLine="420" w:firstLineChars="200"/>
        <w:rPr>
          <w:rFonts w:hint="eastAsia"/>
          <w:bCs/>
          <w:highlight w:val="none"/>
          <w:lang w:val="en-US" w:eastAsia="zh-TW"/>
        </w:rPr>
      </w:pPr>
      <w:r>
        <w:rPr>
          <w:rFonts w:hint="eastAsia"/>
          <w:bCs/>
          <w:highlight w:val="none"/>
          <w:lang w:val="en-US" w:eastAsia="zh-TW"/>
        </w:rPr>
        <w:t>环境湿度：≤80%RH；</w:t>
      </w:r>
    </w:p>
    <w:p w14:paraId="63C74798">
      <w:pPr>
        <w:spacing w:line="360" w:lineRule="auto"/>
        <w:ind w:firstLine="420" w:firstLineChars="200"/>
        <w:rPr>
          <w:rFonts w:hint="eastAsia"/>
          <w:bCs/>
          <w:highlight w:val="none"/>
          <w:lang w:val="en-US" w:eastAsia="zh-TW"/>
        </w:rPr>
      </w:pPr>
      <w:r>
        <w:rPr>
          <w:rFonts w:hint="eastAsia"/>
          <w:bCs/>
          <w:highlight w:val="none"/>
          <w:lang w:val="en-US" w:eastAsia="zh-TW"/>
        </w:rPr>
        <w:t>室温变化：≤0.5℃/h。</w:t>
      </w:r>
    </w:p>
    <w:p w14:paraId="0A786198">
      <w:pPr>
        <w:adjustRightInd w:val="0"/>
        <w:snapToGrid w:val="0"/>
        <w:spacing w:line="360" w:lineRule="auto"/>
        <w:ind w:left="0" w:leftChars="0" w:firstLine="0" w:firstLineChars="0"/>
        <w:rPr>
          <w:rFonts w:hint="eastAsia" w:ascii="Times New Roman" w:cs="Times New Roman"/>
          <w:sz w:val="21"/>
          <w:lang w:val="en-US" w:eastAsia="zh-CN"/>
        </w:rPr>
      </w:pPr>
      <w:r>
        <w:rPr>
          <w:rFonts w:hint="eastAsia" w:ascii="Times New Roman" w:cs="Times New Roman"/>
          <w:sz w:val="21"/>
          <w:lang w:val="en-US" w:eastAsia="zh-CN"/>
        </w:rPr>
        <w:t>5.2 测量标准及其他设备</w:t>
      </w:r>
    </w:p>
    <w:p w14:paraId="76E6D2F8">
      <w:pPr>
        <w:spacing w:line="360" w:lineRule="auto"/>
        <w:ind w:firstLine="420" w:firstLineChars="200"/>
        <w:rPr>
          <w:rFonts w:hint="default" w:cs="Times New Roman"/>
          <w:sz w:val="21"/>
          <w:lang w:val="en-US" w:eastAsia="zh-CN"/>
        </w:rPr>
      </w:pPr>
      <w:r>
        <w:rPr>
          <w:rFonts w:hint="eastAsia" w:ascii="Times New Roman" w:cs="Times New Roman"/>
          <w:sz w:val="21"/>
          <w:lang w:val="en-US" w:eastAsia="zh-CN"/>
        </w:rPr>
        <w:t>测量标准及其他设备</w:t>
      </w:r>
      <w:r>
        <w:rPr>
          <w:rFonts w:hint="eastAsia" w:cs="Times New Roman"/>
          <w:sz w:val="21"/>
          <w:lang w:val="en-US" w:eastAsia="zh-CN"/>
        </w:rPr>
        <w:t>包括刀口形直尺、塞尺、激光干涉仪、电子秒表、砝码，其</w:t>
      </w:r>
      <w:r>
        <w:rPr>
          <w:rFonts w:hint="eastAsia" w:ascii="Times New Roman" w:cs="Times New Roman"/>
          <w:sz w:val="21"/>
          <w:lang w:val="en-US" w:eastAsia="zh-CN"/>
        </w:rPr>
        <w:t>技术要求见</w:t>
      </w:r>
      <w:r>
        <w:rPr>
          <w:rFonts w:hint="eastAsia" w:cs="Times New Roman"/>
          <w:sz w:val="21"/>
          <w:lang w:val="en-US" w:eastAsia="zh-CN"/>
        </w:rPr>
        <w:t>正文中</w:t>
      </w:r>
      <w:r>
        <w:rPr>
          <w:rFonts w:hint="eastAsia" w:ascii="Times New Roman" w:cs="Times New Roman"/>
          <w:sz w:val="21"/>
          <w:lang w:val="en-US" w:eastAsia="zh-CN"/>
        </w:rPr>
        <w:t>表</w:t>
      </w:r>
      <w:r>
        <w:rPr>
          <w:rFonts w:hint="eastAsia" w:cs="Times New Roman"/>
          <w:sz w:val="21"/>
          <w:lang w:val="en-US" w:eastAsia="zh-CN"/>
        </w:rPr>
        <w:t>2的规定。刀口形直尺、塞尺的技术指标参考了JJF1096-2002《引伸计标定器校准规范》的要求。激光干涉仪的技术指标参考了JJG 739-2005《激光干涉仪》5.2.1的要求。根据实际情况，电子秒表选用了分度值0.1s，测量范围不小于（0～3600）s，最大允许误差为±0.10s，砝码选用了M</w:t>
      </w:r>
      <w:r>
        <w:rPr>
          <w:rFonts w:hint="eastAsia" w:cs="Times New Roman"/>
          <w:sz w:val="21"/>
          <w:vertAlign w:val="subscript"/>
          <w:lang w:val="en-US" w:eastAsia="zh-CN"/>
        </w:rPr>
        <w:t>1</w:t>
      </w:r>
      <w:r>
        <w:rPr>
          <w:rFonts w:hint="eastAsia" w:cs="Times New Roman"/>
          <w:sz w:val="21"/>
          <w:vertAlign w:val="baseline"/>
          <w:lang w:val="en-US" w:eastAsia="zh-CN"/>
        </w:rPr>
        <w:t>等级</w:t>
      </w:r>
      <w:r>
        <w:rPr>
          <w:rFonts w:hint="eastAsia" w:ascii="宋体" w:hAnsi="宋体" w:cs="宋体"/>
          <w:sz w:val="21"/>
          <w:lang w:val="en-US" w:eastAsia="zh-CN"/>
        </w:rPr>
        <w:t>。</w:t>
      </w:r>
    </w:p>
    <w:bookmarkEnd w:id="42"/>
    <w:bookmarkEnd w:id="43"/>
    <w:bookmarkEnd w:id="44"/>
    <w:bookmarkEnd w:id="45"/>
    <w:p w14:paraId="1DA18AC2">
      <w:pPr>
        <w:pStyle w:val="4"/>
        <w:spacing w:before="156" w:after="156"/>
        <w:rPr>
          <w:rFonts w:hint="eastAsia"/>
          <w:b w:val="0"/>
          <w:bCs w:val="0"/>
        </w:rPr>
      </w:pPr>
      <w:bookmarkStart w:id="46" w:name="_Toc193619058"/>
      <w:bookmarkStart w:id="47" w:name="_Toc193618955"/>
      <w:bookmarkStart w:id="48" w:name="_Toc500258944"/>
      <w:bookmarkStart w:id="49" w:name="_Toc193860216"/>
      <w:bookmarkStart w:id="50" w:name="_Toc193860185"/>
      <w:bookmarkStart w:id="51" w:name="_Toc193619100"/>
      <w:bookmarkStart w:id="52" w:name="_Toc2741_WPSOffice_Level1"/>
      <w:bookmarkStart w:id="53" w:name="_Toc193860035"/>
      <w:r>
        <w:rPr>
          <w:rFonts w:hint="eastAsia"/>
          <w:b w:val="0"/>
          <w:bCs w:val="0"/>
        </w:rPr>
        <w:t>6 校准项目和校准方法</w:t>
      </w:r>
      <w:bookmarkEnd w:id="46"/>
      <w:bookmarkEnd w:id="47"/>
      <w:bookmarkEnd w:id="48"/>
      <w:bookmarkEnd w:id="49"/>
      <w:bookmarkEnd w:id="50"/>
      <w:bookmarkEnd w:id="51"/>
      <w:bookmarkEnd w:id="52"/>
      <w:bookmarkEnd w:id="53"/>
    </w:p>
    <w:p w14:paraId="06E15B86">
      <w:pPr>
        <w:adjustRightInd w:val="0"/>
        <w:snapToGrid w:val="0"/>
        <w:spacing w:line="360" w:lineRule="auto"/>
        <w:ind w:firstLine="420" w:firstLineChars="200"/>
        <w:rPr>
          <w:rFonts w:hint="eastAsia" w:hAnsi="宋体" w:cs="Times New Roman"/>
          <w:bCs/>
          <w:szCs w:val="21"/>
          <w:highlight w:val="none"/>
          <w:lang w:val="en-US" w:eastAsia="zh-CN"/>
        </w:rPr>
      </w:pPr>
      <w:bookmarkStart w:id="54" w:name="_Toc500258945"/>
      <w:bookmarkStart w:id="55" w:name="_Toc22718_WPSOffice_Level2"/>
      <w:r>
        <w:rPr>
          <w:rFonts w:hint="default" w:hAnsi="宋体" w:cs="Times New Roman"/>
          <w:bCs/>
          <w:szCs w:val="21"/>
          <w:highlight w:val="none"/>
          <w:lang w:val="en-US" w:eastAsia="zh-CN"/>
        </w:rPr>
        <w:t>规范</w:t>
      </w:r>
      <w:r>
        <w:rPr>
          <w:rFonts w:hint="eastAsia" w:hAnsi="宋体" w:cs="Times New Roman"/>
          <w:bCs/>
          <w:szCs w:val="21"/>
          <w:highlight w:val="none"/>
          <w:lang w:val="en-US" w:eastAsia="zh-CN"/>
        </w:rPr>
        <w:t>对标定器的校准点的选择进行了描述，规范对标定器计量特性上、下心轴的同轴度、分辨力、示值误差、示值稳定性、支架刚性的校准方法进行了详细描述。规范能较好地指导校准人员对标定器进行校准，具有较强的可操作性。</w:t>
      </w:r>
    </w:p>
    <w:p w14:paraId="6A11B023">
      <w:pPr>
        <w:adjustRightInd w:val="0"/>
        <w:snapToGrid w:val="0"/>
        <w:spacing w:line="360" w:lineRule="auto"/>
        <w:ind w:left="0" w:leftChars="0" w:firstLine="0" w:firstLineChars="0"/>
        <w:rPr>
          <w:rFonts w:hint="eastAsia" w:hAnsi="宋体" w:cs="Times New Roman"/>
          <w:bCs/>
          <w:szCs w:val="21"/>
          <w:highlight w:val="none"/>
          <w:lang w:val="en-US" w:eastAsia="zh-CN"/>
        </w:rPr>
      </w:pPr>
      <w:r>
        <w:rPr>
          <w:rFonts w:hint="eastAsia" w:hAnsi="宋体" w:cs="Times New Roman"/>
          <w:bCs/>
          <w:szCs w:val="21"/>
          <w:highlight w:val="none"/>
          <w:lang w:val="en-US" w:eastAsia="zh-CN"/>
        </w:rPr>
        <w:t>6.1 校准项目</w:t>
      </w:r>
    </w:p>
    <w:p w14:paraId="679D9CF7">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ighlight w:val="none"/>
        </w:rPr>
        <w:t>上、下心轴的同轴度</w:t>
      </w:r>
      <w:r>
        <w:rPr>
          <w:rFonts w:hint="eastAsia"/>
          <w:highlight w:val="none"/>
          <w:lang w:eastAsia="zh-CN"/>
        </w:rPr>
        <w:t>、分辨力、示值误差、示值稳定性、</w:t>
      </w:r>
      <w:r>
        <w:rPr>
          <w:rFonts w:hint="eastAsia"/>
          <w:highlight w:val="none"/>
          <w:lang w:val="en-US" w:eastAsia="zh-CN"/>
        </w:rPr>
        <w:t>支架刚性</w:t>
      </w:r>
      <w:r>
        <w:rPr>
          <w:rFonts w:hint="eastAsia" w:hAnsi="宋体" w:cs="Times New Roman"/>
          <w:bCs/>
          <w:szCs w:val="21"/>
          <w:highlight w:val="none"/>
          <w:lang w:val="en-US" w:eastAsia="zh-CN"/>
        </w:rPr>
        <w:t>。</w:t>
      </w:r>
    </w:p>
    <w:p w14:paraId="363364C0">
      <w:pPr>
        <w:adjustRightInd w:val="0"/>
        <w:snapToGrid w:val="0"/>
        <w:spacing w:line="360" w:lineRule="auto"/>
        <w:ind w:left="0" w:leftChars="0" w:firstLine="0" w:firstLineChars="0"/>
        <w:rPr>
          <w:rFonts w:hint="eastAsia" w:hAnsi="宋体" w:cs="Times New Roman"/>
          <w:bCs/>
          <w:szCs w:val="21"/>
          <w:highlight w:val="none"/>
          <w:lang w:val="en-US" w:eastAsia="zh-CN"/>
        </w:rPr>
      </w:pPr>
      <w:r>
        <w:rPr>
          <w:rFonts w:hint="eastAsia" w:hAnsi="宋体" w:cs="Times New Roman"/>
          <w:bCs/>
          <w:szCs w:val="21"/>
          <w:highlight w:val="none"/>
          <w:lang w:val="en-US" w:eastAsia="zh-CN"/>
        </w:rPr>
        <w:t>6.2 校准方法</w:t>
      </w:r>
    </w:p>
    <w:p w14:paraId="209797E3">
      <w:pPr>
        <w:adjustRightInd w:val="0"/>
        <w:snapToGrid w:val="0"/>
        <w:spacing w:line="360" w:lineRule="auto"/>
        <w:ind w:left="0" w:leftChars="0" w:firstLine="0" w:firstLineChars="0"/>
        <w:rPr>
          <w:rFonts w:hint="eastAsia" w:hAnsi="宋体" w:cs="Times New Roman"/>
          <w:bCs/>
          <w:szCs w:val="21"/>
          <w:highlight w:val="none"/>
          <w:lang w:val="en-US" w:eastAsia="zh-CN"/>
        </w:rPr>
      </w:pPr>
      <w:r>
        <w:rPr>
          <w:rFonts w:hint="eastAsia" w:hAnsi="宋体" w:cs="Times New Roman"/>
          <w:bCs/>
          <w:szCs w:val="21"/>
          <w:highlight w:val="none"/>
          <w:lang w:val="en-US" w:eastAsia="zh-CN"/>
        </w:rPr>
        <w:t>6.2.1 上、下心轴的同轴度</w:t>
      </w:r>
    </w:p>
    <w:p w14:paraId="6618D0A2">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ighlight w:val="none"/>
        </w:rPr>
        <w:t>调整上、下心轴的端部到合适位置，使刀口形直尺测量边沿心轴轴线尽量多靠在心轴上，上、下心轴端部相距不低于1mm。将刀口形直尺测量边沿轴线方向紧靠在固定心轴上，用塞尺测量出刀口形直尺与可动心轴的最大间隙值。以该值的2倍作为校准结果。</w:t>
      </w:r>
    </w:p>
    <w:p w14:paraId="50833AC4">
      <w:pPr>
        <w:adjustRightInd w:val="0"/>
        <w:snapToGrid w:val="0"/>
        <w:spacing w:line="360" w:lineRule="auto"/>
        <w:ind w:left="0" w:leftChars="0" w:firstLine="0" w:firstLineChars="0"/>
        <w:rPr>
          <w:rFonts w:hint="eastAsia" w:hAnsi="宋体" w:cs="Times New Roman"/>
          <w:bCs/>
          <w:szCs w:val="21"/>
          <w:highlight w:val="none"/>
          <w:lang w:val="en-US" w:eastAsia="zh-CN"/>
        </w:rPr>
      </w:pPr>
      <w:r>
        <w:rPr>
          <w:rFonts w:hint="eastAsia" w:hAnsi="宋体" w:cs="Times New Roman"/>
          <w:bCs/>
          <w:szCs w:val="21"/>
          <w:highlight w:val="none"/>
          <w:lang w:val="en-US" w:eastAsia="zh-CN"/>
        </w:rPr>
        <w:t>6.2.2 分辨力</w:t>
      </w:r>
    </w:p>
    <w:p w14:paraId="6C5F98C8">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目力观察。</w:t>
      </w:r>
    </w:p>
    <w:p w14:paraId="432184E0">
      <w:pPr>
        <w:adjustRightInd w:val="0"/>
        <w:snapToGrid w:val="0"/>
        <w:spacing w:line="360" w:lineRule="auto"/>
        <w:ind w:left="0" w:leftChars="0" w:firstLine="0" w:firstLineChars="0"/>
        <w:rPr>
          <w:rFonts w:hint="eastAsia" w:hAnsi="宋体" w:cs="Times New Roman"/>
          <w:bCs/>
          <w:szCs w:val="21"/>
          <w:highlight w:val="none"/>
          <w:lang w:val="en-US" w:eastAsia="zh-CN"/>
        </w:rPr>
      </w:pPr>
      <w:r>
        <w:rPr>
          <w:rFonts w:hint="eastAsia" w:hAnsi="宋体" w:cs="Times New Roman"/>
          <w:bCs/>
          <w:szCs w:val="21"/>
          <w:highlight w:val="none"/>
          <w:lang w:val="en-US" w:eastAsia="zh-CN"/>
        </w:rPr>
        <w:t>6.2.3示值误差</w:t>
      </w:r>
    </w:p>
    <w:p w14:paraId="0343A37B">
      <w:pPr>
        <w:adjustRightInd w:val="0"/>
        <w:snapToGrid w:val="0"/>
        <w:spacing w:line="360" w:lineRule="auto"/>
        <w:ind w:left="0" w:leftChars="0" w:firstLine="0" w:firstLineChars="0"/>
        <w:rPr>
          <w:rFonts w:hint="default" w:hAnsi="宋体" w:cs="Times New Roman"/>
          <w:bCs/>
          <w:szCs w:val="21"/>
          <w:highlight w:val="none"/>
          <w:lang w:val="en-US" w:eastAsia="zh-CN"/>
        </w:rPr>
      </w:pPr>
      <w:r>
        <w:rPr>
          <w:rFonts w:hint="eastAsia" w:hAnsi="宋体" w:cs="Times New Roman"/>
          <w:bCs/>
          <w:szCs w:val="21"/>
          <w:highlight w:val="none"/>
          <w:lang w:val="en-US" w:eastAsia="zh-CN"/>
        </w:rPr>
        <w:t>6.2.3.1校准</w:t>
      </w:r>
      <w:r>
        <w:rPr>
          <w:rFonts w:hint="eastAsia" w:ascii="Times New Roman" w:hAnsi="Times New Roman" w:cs="Times New Roman"/>
          <w:highlight w:val="none"/>
          <w:lang w:val="en-US" w:eastAsia="zh-CN"/>
        </w:rPr>
        <w:t>范围</w:t>
      </w:r>
      <w:r>
        <w:rPr>
          <w:rFonts w:hint="eastAsia" w:hAnsi="宋体" w:cs="Times New Roman"/>
          <w:bCs/>
          <w:szCs w:val="21"/>
          <w:highlight w:val="none"/>
          <w:lang w:val="en-US" w:eastAsia="zh-CN"/>
        </w:rPr>
        <w:t>、校准点校准间隔的选取</w:t>
      </w:r>
    </w:p>
    <w:p w14:paraId="17108B49">
      <w:pPr>
        <w:adjustRightInd w:val="0"/>
        <w:snapToGrid w:val="0"/>
        <w:spacing w:line="360" w:lineRule="auto"/>
        <w:ind w:firstLine="420" w:firstLineChars="200"/>
        <w:rPr>
          <w:rFonts w:hint="default" w:hAnsi="宋体" w:cs="Times New Roman"/>
          <w:bCs/>
          <w:szCs w:val="21"/>
          <w:highlight w:val="none"/>
          <w:lang w:val="en-US" w:eastAsia="zh-CN"/>
        </w:rPr>
      </w:pPr>
      <w:r>
        <w:rPr>
          <w:rFonts w:hint="eastAsia" w:hAnsi="宋体" w:cs="Times New Roman"/>
          <w:bCs/>
          <w:szCs w:val="21"/>
          <w:highlight w:val="none"/>
          <w:lang w:val="en-US" w:eastAsia="zh-CN"/>
        </w:rPr>
        <w:t>参考了JJF1096-2002中的6.4.1。</w:t>
      </w:r>
    </w:p>
    <w:p w14:paraId="08BA4189">
      <w:pPr>
        <w:pStyle w:val="58"/>
        <w:spacing w:line="360" w:lineRule="auto"/>
        <w:ind w:left="0" w:leftChars="0" w:firstLine="0" w:firstLineChars="0"/>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6.2.3.2 示值校准</w:t>
      </w:r>
    </w:p>
    <w:p w14:paraId="65EE1A33">
      <w:pPr>
        <w:pStyle w:val="58"/>
        <w:spacing w:line="360" w:lineRule="auto"/>
        <w:ind w:left="0" w:leftChars="0" w:firstLine="0" w:firstLineChars="0"/>
        <w:rPr>
          <w:rFonts w:hint="default" w:ascii="Times New Roman" w:hAnsi="Times New Roman" w:eastAsia="宋体" w:cs="宋体"/>
          <w:b w:val="0"/>
          <w:bCs/>
          <w:sz w:val="21"/>
          <w:szCs w:val="24"/>
          <w:highlight w:val="yellow"/>
          <w:lang w:val="en-US" w:eastAsia="zh-CN"/>
        </w:rPr>
      </w:pPr>
      <w:r>
        <w:rPr>
          <w:rFonts w:hint="eastAsia" w:ascii="Times New Roman" w:hAnsi="Times New Roman" w:eastAsia="宋体" w:cs="宋体"/>
          <w:b w:val="0"/>
          <w:bCs/>
          <w:sz w:val="21"/>
          <w:szCs w:val="24"/>
          <w:highlight w:val="none"/>
          <w:lang w:val="en-US" w:eastAsia="zh-CN"/>
        </w:rPr>
        <w:t>6.2.3.2.1 将激光干涉仪反射镜安装在被校标定器可动心轴上，调整好干涉镜的位置，激光干涉仪通过反射镜的位置变化量测量可动心轴的移动位移量。</w:t>
      </w:r>
    </w:p>
    <w:p w14:paraId="4AF2FCFC">
      <w:pPr>
        <w:pStyle w:val="58"/>
        <w:spacing w:line="360" w:lineRule="auto"/>
        <w:ind w:left="0" w:leftChars="0" w:firstLine="0" w:firstLineChars="0"/>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6.2.3.2.2 调节标定器可动心轴位移调节装置，将可动心轴调节至所选校准范围的起始位置，待示值稳定后，对标定器、激光干涉仪指示装置清零。然后按所选校准间隔，以正向递增方式将可动心轴移动至各校准点±0.1 μm以内，读取激光干涉仪与标定器示值，直至最大校准点。</w:t>
      </w:r>
    </w:p>
    <w:p w14:paraId="6463F045">
      <w:pPr>
        <w:pStyle w:val="58"/>
        <w:keepNext w:val="0"/>
        <w:keepLines w:val="0"/>
        <w:pageBreakBefore w:val="0"/>
        <w:kinsoku/>
        <w:wordWrap/>
        <w:overflowPunct/>
        <w:topLinePunct w:val="0"/>
        <w:bidi w:val="0"/>
        <w:adjustRightInd/>
        <w:snapToGrid/>
        <w:spacing w:line="360" w:lineRule="auto"/>
        <w:ind w:left="0" w:leftChars="0" w:firstLine="0" w:firstLineChars="0"/>
        <w:textAlignment w:val="auto"/>
        <w:outlineLvl w:val="3"/>
        <w:rPr>
          <w:rFonts w:hint="default"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6.2.2.2.3 需要时，可对标定器进行回程校准，当正向校准完最大校准点后，按所选校准间隔，以反向递减方式将可动心轴移动至各校准点±0.1μm以内，读取激光干涉仪与标定器示值，直至最小校准点。6.2.3.3 数据处理</w:t>
      </w:r>
    </w:p>
    <w:p w14:paraId="618ADDE8">
      <w:pPr>
        <w:pStyle w:val="58"/>
        <w:spacing w:line="360" w:lineRule="auto"/>
        <w:ind w:firstLine="480"/>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对不超过</w:t>
      </w:r>
      <w:r>
        <w:rPr>
          <w:rFonts w:hint="eastAsia" w:ascii="Times New Roman" w:hAnsi="Times New Roman" w:cs="Times New Roman"/>
          <w:b w:val="0"/>
          <w:bCs/>
          <w:sz w:val="21"/>
          <w:szCs w:val="24"/>
          <w:highlight w:val="none"/>
          <w:lang w:val="en-US" w:eastAsia="zh-CN"/>
        </w:rPr>
        <w:t>0.3</w:t>
      </w:r>
      <w:r>
        <w:rPr>
          <w:rFonts w:hint="default" w:ascii="Times New Roman" w:hAnsi="Times New Roman" w:eastAsia="宋体" w:cs="Times New Roman"/>
          <w:b w:val="0"/>
          <w:bCs/>
          <w:sz w:val="21"/>
          <w:szCs w:val="24"/>
          <w:highlight w:val="none"/>
          <w:lang w:val="en-US" w:eastAsia="zh-CN"/>
        </w:rPr>
        <w:t>mm</w:t>
      </w:r>
      <w:r>
        <w:rPr>
          <w:rFonts w:hint="eastAsia" w:ascii="Times New Roman" w:hAnsi="Times New Roman" w:eastAsia="宋体" w:cs="宋体"/>
          <w:b w:val="0"/>
          <w:bCs/>
          <w:sz w:val="21"/>
          <w:szCs w:val="24"/>
          <w:highlight w:val="none"/>
          <w:lang w:val="en-US" w:eastAsia="zh-CN"/>
        </w:rPr>
        <w:t>的校准点，按公式（1）计算各点示值绝对误差</w:t>
      </w:r>
      <w:r>
        <w:rPr>
          <w:rFonts w:hint="eastAsia" w:ascii="Times New Roman" w:hAnsi="Times New Roman" w:eastAsia="宋体" w:cs="宋体"/>
          <w:b w:val="0"/>
          <w:bCs/>
          <w:position w:val="-4"/>
          <w:sz w:val="21"/>
          <w:szCs w:val="24"/>
          <w:highlight w:val="none"/>
        </w:rPr>
        <w:object>
          <v:shape id="_x0000_i1025" o:spt="75" type="#_x0000_t75" style="height:13.5pt;width:11.45pt;" o:ole="t" filled="f" o:preferrelative="t"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Times New Roman" w:hAnsi="Times New Roman" w:eastAsia="宋体" w:cs="宋体"/>
          <w:b w:val="0"/>
          <w:bCs/>
          <w:sz w:val="21"/>
          <w:szCs w:val="24"/>
          <w:highlight w:val="none"/>
          <w:lang w:val="en-US" w:eastAsia="zh-CN"/>
        </w:rPr>
        <w:t>：</w:t>
      </w:r>
    </w:p>
    <w:p w14:paraId="2000A3E4">
      <w:pPr>
        <w:pStyle w:val="58"/>
        <w:keepNext w:val="0"/>
        <w:keepLines w:val="0"/>
        <w:pageBreakBefore w:val="0"/>
        <w:kinsoku/>
        <w:wordWrap/>
        <w:overflowPunct/>
        <w:topLinePunct w:val="0"/>
        <w:bidi w:val="0"/>
        <w:adjustRightInd/>
        <w:snapToGrid/>
        <w:spacing w:line="360" w:lineRule="auto"/>
        <w:ind w:left="0" w:leftChars="0" w:firstLine="0" w:firstLineChars="0"/>
        <w:jc w:val="right"/>
        <w:textAlignment w:val="auto"/>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position w:val="-12"/>
          <w:sz w:val="24"/>
          <w:szCs w:val="24"/>
          <w:highlight w:val="none"/>
          <w:lang w:val="en-US" w:eastAsia="zh-CN"/>
        </w:rPr>
        <w:object>
          <v:shape id="_x0000_i1026" o:spt="75" type="#_x0000_t75" style="height:18pt;width:93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Times New Roman" w:hAnsi="Times New Roman" w:eastAsia="宋体" w:cs="宋体"/>
          <w:b w:val="0"/>
          <w:bCs/>
          <w:sz w:val="21"/>
          <w:szCs w:val="24"/>
          <w:highlight w:val="none"/>
          <w:lang w:val="en-US" w:eastAsia="zh-CN"/>
        </w:rPr>
        <w:t xml:space="preserve">                                 （1）</w:t>
      </w:r>
    </w:p>
    <w:p w14:paraId="400816B9">
      <w:pPr>
        <w:pStyle w:val="58"/>
        <w:keepNext w:val="0"/>
        <w:keepLines w:val="0"/>
        <w:pageBreakBefore w:val="0"/>
        <w:kinsoku/>
        <w:wordWrap/>
        <w:overflowPunct/>
        <w:topLinePunct w:val="0"/>
        <w:bidi w:val="0"/>
        <w:adjustRightInd/>
        <w:snapToGrid/>
        <w:spacing w:line="360" w:lineRule="auto"/>
        <w:ind w:left="0" w:leftChars="0" w:firstLine="367" w:firstLineChars="175"/>
        <w:jc w:val="both"/>
        <w:textAlignment w:val="auto"/>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式中：</w:t>
      </w:r>
    </w:p>
    <w:p w14:paraId="5D21500B">
      <w:pPr>
        <w:pStyle w:val="58"/>
        <w:keepNext w:val="0"/>
        <w:keepLines w:val="0"/>
        <w:pageBreakBefore w:val="0"/>
        <w:kinsoku/>
        <w:wordWrap/>
        <w:overflowPunct/>
        <w:topLinePunct w:val="0"/>
        <w:bidi w:val="0"/>
        <w:adjustRightInd/>
        <w:snapToGrid/>
        <w:spacing w:line="400" w:lineRule="exact"/>
        <w:ind w:left="0" w:leftChars="0" w:firstLine="420" w:firstLineChars="175"/>
        <w:jc w:val="both"/>
        <w:textAlignment w:val="auto"/>
        <w:rPr>
          <w:rFonts w:hint="default" w:cs="宋体"/>
          <w:b w:val="0"/>
          <w:bCs/>
          <w:sz w:val="24"/>
          <w:szCs w:val="24"/>
          <w:highlight w:val="none"/>
          <w:lang w:val="en-US" w:eastAsia="zh-CN"/>
        </w:rPr>
      </w:pPr>
      <w:r>
        <w:rPr>
          <w:rFonts w:hint="eastAsia" w:ascii="宋体" w:hAnsi="宋体" w:eastAsia="宋体" w:cs="宋体"/>
          <w:b w:val="0"/>
          <w:bCs/>
          <w:i w:val="0"/>
          <w:iCs w:val="0"/>
          <w:sz w:val="24"/>
          <w:szCs w:val="24"/>
          <w:highlight w:val="none"/>
          <w:lang w:val="en-US" w:eastAsia="zh-CN"/>
        </w:rPr>
        <w:t>Δ</w:t>
      </w:r>
      <w:r>
        <w:rPr>
          <w:rFonts w:hint="eastAsia" w:ascii="宋体" w:hAnsi="宋体" w:cs="宋体"/>
          <w:b w:val="0"/>
          <w:bCs/>
          <w:sz w:val="24"/>
          <w:szCs w:val="24"/>
          <w:highlight w:val="none"/>
          <w:lang w:val="en-US" w:eastAsia="zh-CN"/>
        </w:rPr>
        <w:t>——</w:t>
      </w:r>
      <w:r>
        <w:rPr>
          <w:rFonts w:hint="eastAsia" w:ascii="Times New Roman" w:hAnsi="Times New Roman" w:eastAsia="宋体" w:cs="宋体"/>
          <w:b w:val="0"/>
          <w:bCs/>
          <w:sz w:val="24"/>
          <w:szCs w:val="24"/>
          <w:highlight w:val="none"/>
          <w:lang w:val="en-US" w:eastAsia="zh-CN"/>
        </w:rPr>
        <w:t>示值绝对误差</w:t>
      </w:r>
      <w:r>
        <w:rPr>
          <w:rFonts w:hint="eastAsia" w:cs="宋体"/>
          <w:b w:val="0"/>
          <w:bCs/>
          <w:sz w:val="24"/>
          <w:szCs w:val="24"/>
          <w:highlight w:val="none"/>
          <w:lang w:val="en-US" w:eastAsia="zh-CN"/>
        </w:rPr>
        <w:t>，</w:t>
      </w:r>
      <w:r>
        <w:rPr>
          <w:rFonts w:hint="default" w:ascii="Times New Roman" w:hAnsi="Times New Roman" w:cs="Times New Roman"/>
          <w:b w:val="0"/>
          <w:bCs/>
          <w:sz w:val="24"/>
          <w:szCs w:val="24"/>
          <w:highlight w:val="none"/>
          <w:lang w:val="en-US" w:eastAsia="zh-CN"/>
        </w:rPr>
        <w:t>μ</w:t>
      </w:r>
      <w:r>
        <w:rPr>
          <w:rFonts w:hint="eastAsia" w:cs="宋体"/>
          <w:b w:val="0"/>
          <w:bCs/>
          <w:sz w:val="24"/>
          <w:szCs w:val="24"/>
          <w:highlight w:val="none"/>
          <w:lang w:val="en-US" w:eastAsia="zh-CN"/>
        </w:rPr>
        <w:t>m；</w:t>
      </w:r>
    </w:p>
    <w:p w14:paraId="7716F98C">
      <w:pPr>
        <w:pStyle w:val="58"/>
        <w:keepNext w:val="0"/>
        <w:keepLines w:val="0"/>
        <w:pageBreakBefore w:val="0"/>
        <w:kinsoku/>
        <w:wordWrap/>
        <w:overflowPunct/>
        <w:topLinePunct w:val="0"/>
        <w:bidi w:val="0"/>
        <w:adjustRightInd/>
        <w:snapToGrid/>
        <w:spacing w:line="360" w:lineRule="auto"/>
        <w:ind w:left="0" w:leftChars="0" w:firstLine="367" w:firstLineChars="175"/>
        <w:textAlignment w:val="auto"/>
        <w:outlineLvl w:val="3"/>
        <w:rPr>
          <w:rFonts w:hint="default" w:ascii="Times New Roman" w:hAnsi="Times New Roman" w:eastAsia="宋体" w:cs="宋体"/>
          <w:b w:val="0"/>
          <w:bCs w:val="0"/>
          <w:color w:val="auto"/>
          <w:sz w:val="21"/>
          <w:szCs w:val="24"/>
          <w:highlight w:val="none"/>
          <w:lang w:val="en-US" w:eastAsia="zh-CN"/>
        </w:rPr>
      </w:pPr>
      <w:r>
        <w:rPr>
          <w:rFonts w:hint="eastAsia" w:ascii="Times New Roman" w:hAnsi="Times New Roman" w:eastAsia="宋体" w:cs="宋体"/>
          <w:b w:val="0"/>
          <w:bCs w:val="0"/>
          <w:i/>
          <w:iCs/>
          <w:color w:val="auto"/>
          <w:sz w:val="21"/>
          <w:szCs w:val="24"/>
          <w:highlight w:val="none"/>
          <w:lang w:val="en-US" w:eastAsia="zh-CN"/>
        </w:rPr>
        <w:t>L</w:t>
      </w:r>
      <w:r>
        <w:rPr>
          <w:rFonts w:hint="eastAsia" w:ascii="Times New Roman" w:hAnsi="Times New Roman" w:eastAsia="宋体" w:cs="宋体"/>
          <w:b w:val="0"/>
          <w:bCs w:val="0"/>
          <w:color w:val="auto"/>
          <w:sz w:val="21"/>
          <w:szCs w:val="24"/>
          <w:highlight w:val="none"/>
          <w:lang w:val="en-US" w:eastAsia="zh-CN"/>
        </w:rPr>
        <w:t>——标定器示值，mm；</w:t>
      </w:r>
    </w:p>
    <w:p w14:paraId="25216957">
      <w:pPr>
        <w:pStyle w:val="58"/>
        <w:keepNext w:val="0"/>
        <w:keepLines w:val="0"/>
        <w:pageBreakBefore w:val="0"/>
        <w:kinsoku/>
        <w:wordWrap/>
        <w:overflowPunct/>
        <w:topLinePunct w:val="0"/>
        <w:bidi w:val="0"/>
        <w:adjustRightInd/>
        <w:snapToGrid/>
        <w:spacing w:line="360" w:lineRule="auto"/>
        <w:ind w:left="0" w:leftChars="0" w:firstLine="367" w:firstLineChars="175"/>
        <w:textAlignment w:val="auto"/>
        <w:outlineLvl w:val="3"/>
        <w:rPr>
          <w:rFonts w:hint="default" w:ascii="Times New Roman" w:hAnsi="Times New Roman" w:eastAsia="宋体" w:cs="宋体"/>
          <w:b w:val="0"/>
          <w:bCs/>
          <w:position w:val="-12"/>
          <w:sz w:val="21"/>
          <w:szCs w:val="24"/>
          <w:highlight w:val="yellow"/>
          <w:lang w:val="en-US"/>
        </w:rPr>
      </w:pPr>
      <w:r>
        <w:rPr>
          <w:rFonts w:hint="eastAsia" w:ascii="Times New Roman" w:hAnsi="Times New Roman" w:eastAsia="宋体" w:cs="宋体"/>
          <w:b w:val="0"/>
          <w:bCs w:val="0"/>
          <w:i/>
          <w:iCs/>
          <w:color w:val="auto"/>
          <w:sz w:val="21"/>
          <w:szCs w:val="24"/>
          <w:highlight w:val="none"/>
          <w:lang w:val="en-US" w:eastAsia="zh-CN"/>
        </w:rPr>
        <w:t>L</w:t>
      </w:r>
      <w:r>
        <w:rPr>
          <w:rFonts w:hint="eastAsia" w:ascii="Times New Roman" w:hAnsi="Times New Roman" w:eastAsia="宋体" w:cs="宋体"/>
          <w:b w:val="0"/>
          <w:bCs w:val="0"/>
          <w:i/>
          <w:iCs/>
          <w:color w:val="auto"/>
          <w:sz w:val="21"/>
          <w:szCs w:val="24"/>
          <w:highlight w:val="none"/>
          <w:vertAlign w:val="subscript"/>
          <w:lang w:val="en-US" w:eastAsia="zh-CN"/>
        </w:rPr>
        <w:t>b</w:t>
      </w:r>
      <w:r>
        <w:rPr>
          <w:rFonts w:hint="eastAsia" w:ascii="Times New Roman" w:hAnsi="Times New Roman" w:eastAsia="宋体" w:cs="宋体"/>
          <w:b w:val="0"/>
          <w:bCs w:val="0"/>
          <w:color w:val="auto"/>
          <w:sz w:val="21"/>
          <w:szCs w:val="24"/>
          <w:highlight w:val="none"/>
          <w:lang w:val="en-US" w:eastAsia="zh-CN"/>
        </w:rPr>
        <w:t>——激光干涉仪示值，mm。</w:t>
      </w:r>
    </w:p>
    <w:p w14:paraId="79FECDD5">
      <w:pPr>
        <w:pStyle w:val="58"/>
        <w:keepNext w:val="0"/>
        <w:keepLines w:val="0"/>
        <w:pageBreakBefore w:val="0"/>
        <w:kinsoku/>
        <w:wordWrap/>
        <w:overflowPunct/>
        <w:topLinePunct w:val="0"/>
        <w:bidi w:val="0"/>
        <w:adjustRightInd/>
        <w:snapToGrid/>
        <w:spacing w:line="360" w:lineRule="auto"/>
        <w:ind w:left="0" w:leftChars="0" w:firstLine="367" w:firstLineChars="175"/>
        <w:textAlignment w:val="auto"/>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对超过</w:t>
      </w:r>
      <w:r>
        <w:rPr>
          <w:rFonts w:hint="eastAsia" w:ascii="Times New Roman" w:hAnsi="Times New Roman" w:cs="宋体"/>
          <w:b w:val="0"/>
          <w:bCs/>
          <w:sz w:val="21"/>
          <w:szCs w:val="24"/>
          <w:highlight w:val="none"/>
          <w:lang w:val="en-US" w:eastAsia="zh-CN"/>
        </w:rPr>
        <w:t>0.3</w:t>
      </w:r>
      <w:r>
        <w:rPr>
          <w:rFonts w:hint="default" w:ascii="Times New Roman" w:hAnsi="Times New Roman" w:eastAsia="宋体" w:cs="Times New Roman"/>
          <w:b w:val="0"/>
          <w:bCs/>
          <w:sz w:val="21"/>
          <w:szCs w:val="24"/>
          <w:highlight w:val="none"/>
          <w:lang w:val="en-US" w:eastAsia="zh-CN"/>
        </w:rPr>
        <w:t>mm</w:t>
      </w:r>
      <w:r>
        <w:rPr>
          <w:rFonts w:hint="eastAsia" w:ascii="Times New Roman" w:hAnsi="Times New Roman" w:eastAsia="宋体" w:cs="宋体"/>
          <w:b w:val="0"/>
          <w:bCs/>
          <w:sz w:val="21"/>
          <w:szCs w:val="24"/>
          <w:highlight w:val="none"/>
          <w:lang w:val="en-US" w:eastAsia="zh-CN"/>
        </w:rPr>
        <w:t>的校准点，按公式（2）计算各点示值相对误差</w:t>
      </w:r>
      <w:r>
        <w:rPr>
          <w:rFonts w:hint="eastAsia" w:ascii="Times New Roman" w:hAnsi="Times New Roman" w:eastAsia="宋体" w:cs="宋体"/>
          <w:b w:val="0"/>
          <w:bCs/>
          <w:i/>
          <w:iCs/>
          <w:sz w:val="21"/>
          <w:szCs w:val="24"/>
          <w:highlight w:val="none"/>
          <w:lang w:val="en-US" w:eastAsia="zh-CN"/>
        </w:rPr>
        <w:t>δ</w:t>
      </w:r>
      <w:r>
        <w:rPr>
          <w:rFonts w:hint="eastAsia" w:ascii="Times New Roman" w:hAnsi="Times New Roman" w:eastAsia="宋体" w:cs="宋体"/>
          <w:b w:val="0"/>
          <w:bCs/>
          <w:sz w:val="21"/>
          <w:szCs w:val="24"/>
          <w:highlight w:val="none"/>
          <w:lang w:val="en-US" w:eastAsia="zh-CN"/>
        </w:rPr>
        <w:t>：</w:t>
      </w:r>
    </w:p>
    <w:p w14:paraId="214FCEA2">
      <w:pPr>
        <w:pStyle w:val="58"/>
        <w:keepNext w:val="0"/>
        <w:keepLines w:val="0"/>
        <w:pageBreakBefore w:val="0"/>
        <w:kinsoku/>
        <w:wordWrap/>
        <w:overflowPunct/>
        <w:topLinePunct w:val="0"/>
        <w:bidi w:val="0"/>
        <w:adjustRightInd/>
        <w:snapToGrid/>
        <w:spacing w:line="360" w:lineRule="auto"/>
        <w:ind w:left="0" w:leftChars="0" w:firstLine="367" w:firstLineChars="175"/>
        <w:jc w:val="right"/>
        <w:textAlignment w:val="auto"/>
        <w:rPr>
          <w:rFonts w:hint="default"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position w:val="-24"/>
          <w:sz w:val="21"/>
          <w:szCs w:val="24"/>
          <w:highlight w:val="none"/>
          <w:lang w:val="en-US" w:eastAsia="zh-CN"/>
        </w:rPr>
        <w:object>
          <v:shape id="_x0000_i1027" o:spt="75" type="#_x0000_t75" style="height:31pt;width:90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Times New Roman" w:hAnsi="Times New Roman" w:eastAsia="宋体" w:cs="宋体"/>
          <w:b w:val="0"/>
          <w:bCs/>
          <w:sz w:val="21"/>
          <w:szCs w:val="24"/>
          <w:highlight w:val="none"/>
          <w:lang w:val="en-US" w:eastAsia="zh-CN"/>
        </w:rPr>
        <w:t xml:space="preserve">                            （2）</w:t>
      </w:r>
    </w:p>
    <w:p w14:paraId="52033880">
      <w:pPr>
        <w:pStyle w:val="58"/>
        <w:keepNext w:val="0"/>
        <w:keepLines w:val="0"/>
        <w:pageBreakBefore w:val="0"/>
        <w:kinsoku/>
        <w:wordWrap/>
        <w:overflowPunct/>
        <w:topLinePunct w:val="0"/>
        <w:bidi w:val="0"/>
        <w:adjustRightInd/>
        <w:snapToGrid/>
        <w:spacing w:line="360" w:lineRule="auto"/>
        <w:ind w:left="0" w:leftChars="0" w:firstLine="367" w:firstLineChars="175"/>
        <w:jc w:val="both"/>
        <w:textAlignment w:val="auto"/>
        <w:rPr>
          <w:rFonts w:hint="eastAsia" w:ascii="Times New Roman" w:hAnsi="Times New Roman" w:eastAsia="宋体" w:cs="宋体"/>
          <w:b w:val="0"/>
          <w:bCs/>
          <w:sz w:val="21"/>
          <w:szCs w:val="24"/>
          <w:highlight w:val="none"/>
          <w:lang w:val="en-US" w:eastAsia="zh-CN"/>
        </w:rPr>
      </w:pPr>
      <w:r>
        <w:rPr>
          <w:rFonts w:hint="eastAsia" w:ascii="Times New Roman" w:hAnsi="Times New Roman" w:eastAsia="宋体" w:cs="宋体"/>
          <w:b w:val="0"/>
          <w:bCs/>
          <w:sz w:val="21"/>
          <w:szCs w:val="24"/>
          <w:highlight w:val="none"/>
          <w:lang w:val="en-US" w:eastAsia="zh-CN"/>
        </w:rPr>
        <w:t>式中：</w:t>
      </w:r>
    </w:p>
    <w:p w14:paraId="18EA2BE7">
      <w:pPr>
        <w:pStyle w:val="58"/>
        <w:keepNext w:val="0"/>
        <w:keepLines w:val="0"/>
        <w:pageBreakBefore w:val="0"/>
        <w:kinsoku/>
        <w:wordWrap/>
        <w:overflowPunct/>
        <w:topLinePunct w:val="0"/>
        <w:bidi w:val="0"/>
        <w:adjustRightInd/>
        <w:snapToGrid/>
        <w:spacing w:line="400" w:lineRule="exact"/>
        <w:ind w:left="0" w:leftChars="0" w:firstLine="420" w:firstLineChars="175"/>
        <w:jc w:val="both"/>
        <w:textAlignment w:val="auto"/>
        <w:rPr>
          <w:rFonts w:hint="default" w:cs="宋体"/>
          <w:b w:val="0"/>
          <w:bCs/>
          <w:sz w:val="24"/>
          <w:szCs w:val="24"/>
          <w:highlight w:val="none"/>
          <w:lang w:val="en-US" w:eastAsia="zh-CN"/>
        </w:rPr>
      </w:pPr>
      <w:r>
        <w:rPr>
          <w:rFonts w:hint="eastAsia" w:ascii="宋体" w:hAnsi="宋体" w:eastAsia="宋体" w:cs="宋体"/>
          <w:b w:val="0"/>
          <w:bCs/>
          <w:i/>
          <w:iCs/>
          <w:sz w:val="24"/>
          <w:szCs w:val="24"/>
          <w:highlight w:val="none"/>
          <w:lang w:val="en-US" w:eastAsia="zh-CN"/>
        </w:rPr>
        <w:t>δ</w:t>
      </w:r>
      <w:r>
        <w:rPr>
          <w:rFonts w:hint="eastAsia" w:cs="宋体"/>
          <w:b w:val="0"/>
          <w:bCs/>
          <w:sz w:val="24"/>
          <w:szCs w:val="24"/>
          <w:highlight w:val="none"/>
          <w:lang w:val="en-US" w:eastAsia="zh-CN"/>
        </w:rPr>
        <w:t>——示值相对误差，%；</w:t>
      </w:r>
    </w:p>
    <w:p w14:paraId="1EF5B3C1">
      <w:pPr>
        <w:pStyle w:val="58"/>
        <w:spacing w:line="360" w:lineRule="auto"/>
        <w:ind w:firstLine="420"/>
        <w:rPr>
          <w:rFonts w:hint="eastAsia" w:ascii="Times New Roman" w:hAnsi="Times New Roman" w:eastAsia="宋体" w:cs="宋体"/>
          <w:b w:val="0"/>
          <w:bCs/>
          <w:color w:val="auto"/>
          <w:sz w:val="21"/>
          <w:szCs w:val="24"/>
          <w:highlight w:val="none"/>
          <w:lang w:val="en-US" w:eastAsia="zh-CN"/>
        </w:rPr>
      </w:pPr>
      <w:r>
        <w:rPr>
          <w:rFonts w:hint="eastAsia" w:ascii="Times New Roman" w:hAnsi="Times New Roman" w:eastAsia="宋体" w:cs="宋体"/>
          <w:b w:val="0"/>
          <w:bCs w:val="0"/>
          <w:i/>
          <w:iCs/>
          <w:color w:val="auto"/>
          <w:sz w:val="21"/>
          <w:szCs w:val="24"/>
          <w:highlight w:val="none"/>
          <w:lang w:val="en-US" w:eastAsia="zh-CN"/>
        </w:rPr>
        <w:t>l</w:t>
      </w:r>
      <w:r>
        <w:rPr>
          <w:rFonts w:hint="eastAsia" w:ascii="Times New Roman" w:hAnsi="Times New Roman" w:eastAsia="宋体" w:cs="宋体"/>
          <w:b w:val="0"/>
          <w:bCs w:val="0"/>
          <w:color w:val="auto"/>
          <w:sz w:val="21"/>
          <w:szCs w:val="24"/>
          <w:highlight w:val="none"/>
          <w:lang w:val="en-US" w:eastAsia="zh-CN"/>
        </w:rPr>
        <w:t>——校准点标称值，mm</w:t>
      </w:r>
    </w:p>
    <w:p w14:paraId="4F13149A">
      <w:pPr>
        <w:pStyle w:val="58"/>
        <w:spacing w:line="360" w:lineRule="auto"/>
        <w:ind w:firstLine="420"/>
        <w:rPr>
          <w:rFonts w:hint="eastAsia" w:hAnsi="宋体" w:cs="Times New Roman"/>
          <w:bCs/>
          <w:szCs w:val="21"/>
          <w:highlight w:val="none"/>
          <w:lang w:val="en-US" w:eastAsia="zh-CN"/>
        </w:rPr>
      </w:pPr>
      <w:r>
        <w:rPr>
          <w:rFonts w:hint="eastAsia" w:ascii="Times New Roman" w:hAnsi="Times New Roman" w:eastAsia="宋体" w:cs="宋体"/>
          <w:b w:val="0"/>
          <w:bCs/>
          <w:color w:val="auto"/>
          <w:sz w:val="21"/>
          <w:szCs w:val="24"/>
          <w:highlight w:val="none"/>
          <w:lang w:val="en-US" w:eastAsia="zh-CN"/>
        </w:rPr>
        <w:t>最后，取同方向上各校准点重复测量3次中最大差值作为该点的测量结果</w:t>
      </w:r>
      <w:r>
        <w:rPr>
          <w:rFonts w:hint="eastAsia" w:hAnsi="宋体" w:cs="Times New Roman"/>
          <w:bCs/>
          <w:szCs w:val="21"/>
          <w:highlight w:val="none"/>
          <w:lang w:val="en-US" w:eastAsia="zh-CN"/>
        </w:rPr>
        <w:t>。</w:t>
      </w:r>
    </w:p>
    <w:p w14:paraId="32FA39A3">
      <w:pPr>
        <w:adjustRightInd w:val="0"/>
        <w:snapToGrid w:val="0"/>
        <w:spacing w:line="360" w:lineRule="auto"/>
        <w:ind w:left="0" w:leftChars="0" w:firstLine="0" w:firstLineChars="0"/>
        <w:rPr>
          <w:rFonts w:hint="eastAsia" w:hAnsi="宋体" w:cs="Times New Roman"/>
          <w:bCs/>
          <w:szCs w:val="21"/>
          <w:highlight w:val="none"/>
          <w:lang w:val="en-US" w:eastAsia="zh-CN"/>
        </w:rPr>
      </w:pPr>
      <w:r>
        <w:rPr>
          <w:rFonts w:hint="eastAsia" w:hAnsi="宋体" w:cs="Times New Roman"/>
          <w:bCs/>
          <w:szCs w:val="21"/>
          <w:highlight w:val="none"/>
          <w:lang w:val="en-US" w:eastAsia="zh-CN"/>
        </w:rPr>
        <w:t>6.2.4 示值稳定性</w:t>
      </w:r>
    </w:p>
    <w:p w14:paraId="7594B132">
      <w:pPr>
        <w:pStyle w:val="58"/>
        <w:spacing w:line="360" w:lineRule="auto"/>
        <w:jc w:val="left"/>
        <w:rPr>
          <w:rFonts w:hint="default"/>
          <w:i/>
          <w:iCs/>
          <w:vertAlign w:val="baseline"/>
          <w:lang w:val="en-US" w:eastAsia="zh-CN"/>
        </w:rPr>
      </w:pPr>
      <w:r>
        <w:rPr>
          <w:rFonts w:hint="eastAsia"/>
          <w:lang w:val="en-US" w:eastAsia="zh-CN"/>
        </w:rPr>
        <w:t>将标定器示值调整至校准范围内任意一点，等示值稳定后记录下标定器第一次读数值，然后每隔15 min记录一次读数值，连续观察1 h，取其最大与最小读数值之差作为校准结果。</w:t>
      </w:r>
    </w:p>
    <w:p w14:paraId="38E6E1B3">
      <w:pPr>
        <w:adjustRightInd w:val="0"/>
        <w:snapToGrid w:val="0"/>
        <w:spacing w:line="360" w:lineRule="auto"/>
        <w:ind w:left="0" w:leftChars="0" w:firstLine="0" w:firstLineChars="0"/>
        <w:rPr>
          <w:rFonts w:hint="eastAsia" w:ascii="Times New Roman" w:hAnsi="Times New Roman" w:cs="Times New Roman"/>
          <w:bCs/>
          <w:szCs w:val="21"/>
          <w:highlight w:val="none"/>
          <w:lang w:val="en-US" w:eastAsia="zh-CN"/>
        </w:rPr>
      </w:pPr>
      <w:r>
        <w:rPr>
          <w:rFonts w:hint="eastAsia" w:ascii="Times New Roman" w:hAnsi="Times New Roman" w:cs="Times New Roman"/>
          <w:bCs/>
          <w:szCs w:val="21"/>
          <w:highlight w:val="none"/>
          <w:lang w:val="en-US" w:eastAsia="zh-CN"/>
        </w:rPr>
        <w:t>6.2.5 支架刚性</w:t>
      </w:r>
    </w:p>
    <w:p w14:paraId="653C2CD9">
      <w:pPr>
        <w:pStyle w:val="58"/>
        <w:spacing w:line="360" w:lineRule="auto"/>
        <w:rPr>
          <w:rFonts w:hint="eastAsia" w:ascii="Times New Roman" w:hAnsi="Times New Roman"/>
          <w:lang w:val="en-US" w:eastAsia="zh-CN"/>
        </w:rPr>
      </w:pPr>
      <w:r>
        <w:rPr>
          <w:rFonts w:hint="eastAsia" w:ascii="Times New Roman" w:hAnsi="Times New Roman"/>
          <w:lang w:val="en-US" w:eastAsia="zh-CN"/>
        </w:rPr>
        <w:t>参考</w:t>
      </w:r>
      <w:r>
        <w:rPr>
          <w:rFonts w:hint="default" w:ascii="Times New Roman" w:hAnsi="Times New Roman"/>
          <w:lang w:val="en-US" w:eastAsia="zh-CN"/>
        </w:rPr>
        <w:t>JJF1096-2002</w:t>
      </w:r>
      <w:r>
        <w:rPr>
          <w:rFonts w:hint="eastAsia" w:ascii="Times New Roman" w:hAnsi="Times New Roman"/>
          <w:lang w:val="en-US" w:eastAsia="zh-CN"/>
        </w:rPr>
        <w:t>中</w:t>
      </w:r>
      <w:r>
        <w:rPr>
          <w:rFonts w:hint="eastAsia" w:ascii="Times New Roman" w:hAnsi="Times New Roman" w:cs="Times New Roman"/>
          <w:lang w:val="en-US" w:eastAsia="zh-CN"/>
        </w:rPr>
        <w:t>的4.6</w:t>
      </w:r>
      <w:r>
        <w:rPr>
          <w:rFonts w:hint="eastAsia" w:ascii="Times New Roman" w:hAnsi="Times New Roman"/>
          <w:lang w:val="en-US" w:eastAsia="zh-CN"/>
        </w:rPr>
        <w:t>。</w:t>
      </w:r>
    </w:p>
    <w:p w14:paraId="0F550278">
      <w:pPr>
        <w:pStyle w:val="58"/>
        <w:spacing w:line="360" w:lineRule="auto"/>
        <w:rPr>
          <w:rFonts w:hint="default" w:ascii="Times New Roman" w:hAnsi="Times New Roman"/>
          <w:lang w:val="en-US" w:eastAsia="zh-CN"/>
        </w:rPr>
      </w:pPr>
      <w:r>
        <w:rPr>
          <w:rFonts w:hint="eastAsia" w:ascii="Times New Roman" w:hAnsi="Times New Roman"/>
          <w:highlight w:val="none"/>
        </w:rPr>
        <w:t>按6.2.3.2.1安装好激光干涉仪，将标定器示值调整至校准范围内任意一点，对标定器上支架施加1N的垂向力后（如在上支架靠近心轴轴线位置放置100 g砝码），激光干涉仪的示值变化量即为校准结果</w:t>
      </w:r>
      <w:r>
        <w:rPr>
          <w:rFonts w:hint="eastAsia" w:ascii="Times New Roman" w:hAnsi="Times New Roman"/>
          <w:highlight w:val="none"/>
          <w:lang w:val="en-US" w:eastAsia="zh-CN"/>
        </w:rPr>
        <w:t>。</w:t>
      </w:r>
    </w:p>
    <w:bookmarkEnd w:id="54"/>
    <w:bookmarkEnd w:id="55"/>
    <w:p w14:paraId="20CB6028">
      <w:pPr>
        <w:pStyle w:val="4"/>
        <w:spacing w:before="156" w:after="156"/>
        <w:rPr>
          <w:b w:val="0"/>
          <w:bCs w:val="0"/>
        </w:rPr>
      </w:pPr>
      <w:bookmarkStart w:id="56" w:name="_Toc193618956"/>
      <w:bookmarkStart w:id="57" w:name="_Toc193860038"/>
      <w:bookmarkStart w:id="58" w:name="_Toc193619059"/>
      <w:bookmarkStart w:id="59" w:name="_Toc193619101"/>
      <w:bookmarkStart w:id="60" w:name="_Toc193860219"/>
      <w:bookmarkStart w:id="61" w:name="_Toc193860188"/>
      <w:bookmarkStart w:id="62" w:name="_Toc500258947"/>
      <w:bookmarkStart w:id="63" w:name="_Toc25466_WPSOffice_Level1"/>
      <w:r>
        <w:rPr>
          <w:rFonts w:hint="eastAsia"/>
          <w:b w:val="0"/>
          <w:bCs w:val="0"/>
        </w:rPr>
        <w:t>7 校准结果</w:t>
      </w:r>
      <w:bookmarkEnd w:id="56"/>
      <w:bookmarkEnd w:id="57"/>
      <w:bookmarkEnd w:id="58"/>
      <w:bookmarkEnd w:id="59"/>
      <w:bookmarkEnd w:id="60"/>
      <w:bookmarkEnd w:id="61"/>
      <w:r>
        <w:rPr>
          <w:rFonts w:hint="eastAsia"/>
          <w:b w:val="0"/>
          <w:bCs w:val="0"/>
        </w:rPr>
        <w:t>表达</w:t>
      </w:r>
      <w:bookmarkEnd w:id="62"/>
      <w:bookmarkEnd w:id="63"/>
    </w:p>
    <w:p w14:paraId="51CF54D2">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根据实验室环境要求、校准项目校准结果、测量不确定度评定结果等，按照</w:t>
      </w:r>
      <w:r>
        <w:rPr>
          <w:rFonts w:hint="eastAsia" w:ascii="Times New Roman" w:hAnsi="Times New Roman" w:eastAsiaTheme="minorEastAsia"/>
          <w:b w:val="0"/>
          <w:bCs w:val="0"/>
          <w:kern w:val="2"/>
          <w:szCs w:val="21"/>
          <w:lang w:val="en-US" w:eastAsia="zh-CN"/>
        </w:rPr>
        <w:t>JJF 1071-2010</w:t>
      </w:r>
      <w:r>
        <w:rPr>
          <w:rFonts w:hint="eastAsia" w:ascii="Times New Roman" w:hAnsi="Times New Roman" w:eastAsiaTheme="minorEastAsia"/>
          <w:b w:val="0"/>
          <w:bCs w:val="0"/>
          <w:kern w:val="2"/>
          <w:szCs w:val="21"/>
        </w:rPr>
        <w:t>推荐的校准报告格式，出具校准证书。</w:t>
      </w:r>
    </w:p>
    <w:p w14:paraId="0813B1C4">
      <w:pPr>
        <w:pStyle w:val="4"/>
        <w:spacing w:before="156" w:after="156"/>
        <w:rPr>
          <w:b w:val="0"/>
          <w:bCs w:val="0"/>
        </w:rPr>
      </w:pPr>
      <w:bookmarkStart w:id="64" w:name="_Toc193860189"/>
      <w:bookmarkStart w:id="65" w:name="_Toc193860220"/>
      <w:bookmarkStart w:id="66" w:name="_Toc5529"/>
      <w:bookmarkStart w:id="67" w:name="_Toc193860040"/>
      <w:bookmarkStart w:id="68" w:name="_Toc14803_WPSOffice_Level1"/>
      <w:bookmarkStart w:id="69" w:name="_Toc193860041"/>
      <w:r>
        <w:rPr>
          <w:rFonts w:hint="eastAsia"/>
          <w:b w:val="0"/>
          <w:bCs w:val="0"/>
        </w:rPr>
        <w:t>8 复校</w:t>
      </w:r>
      <w:bookmarkEnd w:id="64"/>
      <w:bookmarkEnd w:id="65"/>
      <w:bookmarkEnd w:id="66"/>
      <w:bookmarkEnd w:id="67"/>
      <w:bookmarkEnd w:id="68"/>
      <w:r>
        <w:rPr>
          <w:rFonts w:hint="eastAsia"/>
          <w:b w:val="0"/>
          <w:bCs w:val="0"/>
        </w:rPr>
        <w:t>时间间隔</w:t>
      </w:r>
    </w:p>
    <w:bookmarkEnd w:id="69"/>
    <w:p w14:paraId="6CCF1CC2">
      <w:pPr>
        <w:pStyle w:val="58"/>
        <w:spacing w:line="360" w:lineRule="auto"/>
        <w:ind w:firstLine="420"/>
        <w:rPr>
          <w:rFonts w:hint="eastAsia" w:ascii="Times New Roman" w:hAnsi="Times New Roman" w:eastAsiaTheme="minorEastAsia"/>
          <w:b w:val="0"/>
          <w:bCs w:val="0"/>
          <w:kern w:val="2"/>
          <w:szCs w:val="21"/>
          <w:lang w:eastAsia="zh-CN"/>
        </w:rPr>
      </w:pPr>
      <w:r>
        <w:rPr>
          <w:rFonts w:hint="eastAsia" w:ascii="Times New Roman" w:hAnsi="Times New Roman" w:eastAsiaTheme="minorEastAsia"/>
          <w:b w:val="0"/>
          <w:bCs w:val="0"/>
          <w:kern w:val="2"/>
          <w:szCs w:val="21"/>
        </w:rPr>
        <w:t>建议复校时间间隔一般不超过12个月。送校单位可根据使用情况自主决定复校时间间隔。</w:t>
      </w:r>
    </w:p>
    <w:p w14:paraId="07668B45">
      <w:pPr>
        <w:pStyle w:val="4"/>
        <w:spacing w:before="156" w:after="156"/>
        <w:rPr>
          <w:b w:val="0"/>
          <w:bCs w:val="0"/>
        </w:rPr>
      </w:pPr>
      <w:r>
        <w:rPr>
          <w:rFonts w:hint="eastAsia"/>
          <w:b w:val="0"/>
          <w:bCs w:val="0"/>
        </w:rPr>
        <w:t>9附录</w:t>
      </w:r>
    </w:p>
    <w:p w14:paraId="2E83D7CB">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附录主要包含校准原始记录参考格式、校准证书内页参考格式、</w:t>
      </w:r>
      <w:bookmarkStart w:id="70" w:name="_Toc21060"/>
      <w:bookmarkStart w:id="71" w:name="_Toc2206"/>
      <w:bookmarkStart w:id="72" w:name="_Toc27850"/>
      <w:bookmarkStart w:id="73" w:name="_Toc2663"/>
      <w:bookmarkStart w:id="74" w:name="_Toc27891"/>
      <w:bookmarkStart w:id="75" w:name="_Toc8619"/>
      <w:bookmarkStart w:id="76" w:name="_Toc2846"/>
      <w:bookmarkStart w:id="77" w:name="_Toc15033"/>
      <w:r>
        <w:rPr>
          <w:rFonts w:hint="eastAsia" w:ascii="Times New Roman" w:hAnsi="Times New Roman" w:cs="Times New Roman" w:eastAsiaTheme="minorEastAsia"/>
          <w:kern w:val="2"/>
          <w:sz w:val="21"/>
          <w:szCs w:val="21"/>
          <w:lang w:val="en-US" w:eastAsia="zh-CN"/>
        </w:rPr>
        <w:t>数字式引伸计标定器示值误差</w:t>
      </w:r>
      <w:r>
        <w:rPr>
          <w:rFonts w:hint="eastAsia" w:ascii="Times New Roman" w:hAnsi="Times New Roman" w:cs="Times New Roman" w:eastAsiaTheme="minorEastAsia"/>
          <w:kern w:val="2"/>
          <w:sz w:val="21"/>
          <w:szCs w:val="21"/>
        </w:rPr>
        <w:t>测量不确定度评定</w:t>
      </w:r>
      <w:bookmarkEnd w:id="70"/>
      <w:bookmarkEnd w:id="71"/>
      <w:bookmarkEnd w:id="72"/>
      <w:bookmarkEnd w:id="73"/>
      <w:bookmarkEnd w:id="74"/>
      <w:r>
        <w:rPr>
          <w:rFonts w:hint="eastAsia" w:ascii="Times New Roman" w:hAnsi="Times New Roman" w:cs="Times New Roman" w:eastAsiaTheme="minorEastAsia"/>
          <w:kern w:val="2"/>
          <w:sz w:val="21"/>
          <w:szCs w:val="21"/>
        </w:rPr>
        <w:t>示例</w:t>
      </w:r>
      <w:bookmarkEnd w:id="75"/>
      <w:bookmarkEnd w:id="76"/>
      <w:bookmarkEnd w:id="77"/>
      <w:r>
        <w:rPr>
          <w:rFonts w:hint="eastAsia" w:ascii="Times New Roman" w:hAnsi="Times New Roman" w:eastAsiaTheme="minorEastAsia"/>
          <w:b w:val="0"/>
          <w:bCs w:val="0"/>
          <w:kern w:val="2"/>
          <w:szCs w:val="21"/>
        </w:rPr>
        <w:t>。</w:t>
      </w:r>
    </w:p>
    <w:p w14:paraId="23184B3A">
      <w:pPr>
        <w:adjustRightInd w:val="0"/>
        <w:snapToGrid w:val="0"/>
        <w:spacing w:line="360" w:lineRule="auto"/>
        <w:ind w:firstLine="420" w:firstLineChars="200"/>
        <w:rPr>
          <w:b w:val="0"/>
          <w:bCs w:val="0"/>
        </w:rPr>
      </w:pPr>
      <w:r>
        <w:rPr>
          <w:rFonts w:hint="eastAsia"/>
          <w:b w:val="0"/>
          <w:bCs w:val="0"/>
          <w:lang w:val="en-US" w:eastAsia="zh-CN"/>
        </w:rPr>
        <w:t>本规范</w:t>
      </w:r>
      <w:r>
        <w:rPr>
          <w:rFonts w:hint="eastAsia"/>
          <w:b w:val="0"/>
          <w:bCs w:val="0"/>
        </w:rPr>
        <w:t>设置了</w:t>
      </w:r>
      <w:r>
        <w:rPr>
          <w:b w:val="0"/>
          <w:bCs w:val="0"/>
        </w:rPr>
        <w:t>3</w:t>
      </w:r>
      <w:r>
        <w:rPr>
          <w:rFonts w:hint="eastAsia"/>
          <w:b w:val="0"/>
          <w:bCs w:val="0"/>
        </w:rPr>
        <w:t>个附录，便于校准时参考和规范化。</w:t>
      </w:r>
    </w:p>
    <w:p w14:paraId="5744D170">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数字式引伸计标定器校准记录参考格式</w:t>
      </w:r>
    </w:p>
    <w:p w14:paraId="2AC804DD">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数字式引伸计标定器校准证书内页参考格式</w:t>
      </w:r>
    </w:p>
    <w:p w14:paraId="41DC2255">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数字式引伸计标定器示值误差测量结果的不确定度评定示例</w:t>
      </w:r>
    </w:p>
    <w:bookmarkEnd w:id="1"/>
    <w:bookmarkEnd w:id="19"/>
    <w:p w14:paraId="162FAECD">
      <w:pPr>
        <w:pStyle w:val="2"/>
        <w:spacing w:before="156" w:after="156"/>
        <w:rPr>
          <w:rFonts w:hint="eastAsia"/>
          <w:b w:val="0"/>
          <w:bCs w:val="0"/>
        </w:rPr>
      </w:pPr>
      <w:bookmarkStart w:id="78" w:name="_Toc464728965"/>
      <w:r>
        <w:rPr>
          <w:rFonts w:hint="eastAsia"/>
          <w:b w:val="0"/>
          <w:bCs w:val="0"/>
        </w:rPr>
        <w:t>三、实践检测情况</w:t>
      </w:r>
    </w:p>
    <w:p w14:paraId="16136252">
      <w:pPr>
        <w:adjustRightInd w:val="0"/>
        <w:spacing w:line="360" w:lineRule="auto"/>
        <w:ind w:firstLine="420" w:firstLineChars="200"/>
        <w:rPr>
          <w:rFonts w:hint="default"/>
          <w:b w:val="0"/>
          <w:bCs w:val="0"/>
          <w:sz w:val="21"/>
          <w:szCs w:val="24"/>
        </w:rPr>
      </w:pPr>
    </w:p>
    <w:p w14:paraId="7AA329CC">
      <w:pPr>
        <w:pStyle w:val="2"/>
        <w:spacing w:before="156" w:after="156"/>
        <w:rPr>
          <w:b w:val="0"/>
          <w:bCs w:val="0"/>
        </w:rPr>
      </w:pPr>
      <w:r>
        <w:rPr>
          <w:rFonts w:hint="eastAsia"/>
          <w:b w:val="0"/>
          <w:bCs w:val="0"/>
          <w:lang w:val="en-US" w:eastAsia="zh-CN"/>
        </w:rPr>
        <w:t>四</w:t>
      </w:r>
      <w:r>
        <w:rPr>
          <w:rFonts w:hint="eastAsia"/>
          <w:b w:val="0"/>
          <w:bCs w:val="0"/>
        </w:rPr>
        <w:t>、规范水平分析</w:t>
      </w:r>
      <w:bookmarkEnd w:id="78"/>
    </w:p>
    <w:p w14:paraId="47AD13F6">
      <w:pPr>
        <w:adjustRightInd w:val="0"/>
        <w:spacing w:line="360" w:lineRule="auto"/>
        <w:ind w:firstLine="420" w:firstLineChars="200"/>
        <w:rPr>
          <w:rFonts w:hint="eastAsia" w:ascii="宋体" w:hAnsi="宋体"/>
          <w:b w:val="0"/>
          <w:bCs w:val="0"/>
          <w:sz w:val="21"/>
          <w:szCs w:val="21"/>
        </w:rPr>
      </w:pPr>
      <w:r>
        <w:rPr>
          <w:rFonts w:hint="eastAsia" w:ascii="宋体" w:hAnsi="宋体"/>
          <w:bCs/>
          <w:color w:val="auto"/>
          <w:sz w:val="21"/>
          <w:szCs w:val="21"/>
          <w:highlight w:val="none"/>
          <w:lang w:val="en-US" w:eastAsia="zh-CN"/>
        </w:rPr>
        <w:t>本规范填补了国内对数字式引伸计标定器无校准规范的空白，规范对标定器计量特性的校准，标准板的制作进行了详细描述，可操作性强，水平达到国内领先</w:t>
      </w:r>
      <w:r>
        <w:rPr>
          <w:rFonts w:hint="eastAsia"/>
          <w:b w:val="0"/>
          <w:bCs w:val="0"/>
          <w:sz w:val="21"/>
          <w:szCs w:val="21"/>
        </w:rPr>
        <w:t>。</w:t>
      </w:r>
    </w:p>
    <w:p w14:paraId="25294A3D">
      <w:pPr>
        <w:pStyle w:val="2"/>
        <w:spacing w:before="156" w:after="156"/>
        <w:rPr>
          <w:b w:val="0"/>
          <w:bCs w:val="0"/>
        </w:rPr>
      </w:pPr>
      <w:r>
        <w:rPr>
          <w:rFonts w:hint="eastAsia"/>
          <w:b w:val="0"/>
          <w:bCs w:val="0"/>
        </w:rPr>
        <w:t>五、与有关的现行法律、法规和强制性国家标准的关系</w:t>
      </w:r>
    </w:p>
    <w:p w14:paraId="4BF94920">
      <w:pPr>
        <w:pStyle w:val="58"/>
        <w:spacing w:line="30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rPr>
          <w:b w:val="0"/>
          <w:bCs w:val="0"/>
        </w:rPr>
      </w:pPr>
      <w:bookmarkStart w:id="79" w:name="_Toc464728973"/>
      <w:r>
        <w:rPr>
          <w:rFonts w:hint="eastAsia"/>
          <w:b w:val="0"/>
          <w:bCs w:val="0"/>
        </w:rPr>
        <w:t>六、规范中涉及的专利或知识产权说明</w:t>
      </w:r>
      <w:bookmarkEnd w:id="79"/>
    </w:p>
    <w:p w14:paraId="54E002EC">
      <w:pPr>
        <w:pStyle w:val="58"/>
        <w:spacing w:line="300" w:lineRule="auto"/>
        <w:ind w:firstLineChars="0"/>
        <w:contextualSpacing/>
        <w:rPr>
          <w:rFonts w:hint="eastAsia" w:eastAsia="宋体"/>
          <w:b w:val="0"/>
          <w:bCs w:val="0"/>
          <w:szCs w:val="21"/>
          <w:lang w:eastAsia="zh-CN"/>
        </w:rPr>
      </w:pPr>
      <w:bookmarkStart w:id="80" w:name="_Toc464728974"/>
      <w:r>
        <w:rPr>
          <w:rFonts w:hint="eastAsia"/>
          <w:b w:val="0"/>
          <w:bCs w:val="0"/>
          <w:szCs w:val="21"/>
        </w:rPr>
        <w:t>无</w:t>
      </w:r>
      <w:r>
        <w:rPr>
          <w:rFonts w:hint="eastAsia"/>
          <w:b w:val="0"/>
          <w:bCs w:val="0"/>
          <w:szCs w:val="21"/>
          <w:lang w:eastAsia="zh-CN"/>
        </w:rPr>
        <w:t>。</w:t>
      </w:r>
    </w:p>
    <w:p w14:paraId="7D8DB3BE">
      <w:pPr>
        <w:pStyle w:val="2"/>
        <w:spacing w:before="156" w:after="156"/>
        <w:rPr>
          <w:b w:val="0"/>
          <w:bCs w:val="0"/>
        </w:rPr>
      </w:pPr>
      <w:r>
        <w:rPr>
          <w:rFonts w:hint="eastAsia"/>
          <w:b w:val="0"/>
          <w:bCs w:val="0"/>
        </w:rPr>
        <w:t>七、重大分歧意见的处理经过和依据</w:t>
      </w:r>
      <w:bookmarkEnd w:id="80"/>
    </w:p>
    <w:p w14:paraId="17CCC10A">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CD0AA0C">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5BC96BFC">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54A64974">
      <w:pPr>
        <w:pStyle w:val="2"/>
        <w:spacing w:before="156" w:after="156"/>
        <w:rPr>
          <w:b w:val="0"/>
          <w:bCs w:val="0"/>
        </w:rPr>
      </w:pPr>
      <w:bookmarkStart w:id="81" w:name="_Toc464728976"/>
      <w:r>
        <w:rPr>
          <w:rFonts w:hint="eastAsia"/>
          <w:b w:val="0"/>
          <w:bCs w:val="0"/>
        </w:rPr>
        <w:t>九、贯彻规范的要求和措施建议</w:t>
      </w:r>
      <w:bookmarkEnd w:id="81"/>
    </w:p>
    <w:p w14:paraId="1B58E1C8">
      <w:pPr>
        <w:pStyle w:val="58"/>
        <w:spacing w:line="30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30254EEA">
      <w:pPr>
        <w:pStyle w:val="2"/>
        <w:spacing w:before="156" w:after="156"/>
        <w:rPr>
          <w:b w:val="0"/>
          <w:bCs w:val="0"/>
        </w:rPr>
      </w:pPr>
      <w:bookmarkStart w:id="82" w:name="_Toc464728977"/>
      <w:r>
        <w:rPr>
          <w:rFonts w:hint="eastAsia"/>
          <w:b w:val="0"/>
          <w:bCs w:val="0"/>
        </w:rPr>
        <w:t>十、废止现行有关规范的建议</w:t>
      </w:r>
      <w:bookmarkEnd w:id="82"/>
    </w:p>
    <w:p w14:paraId="39E87E15">
      <w:pPr>
        <w:pStyle w:val="58"/>
        <w:spacing w:line="300" w:lineRule="auto"/>
        <w:ind w:firstLine="420"/>
        <w:contextualSpacing/>
        <w:rPr>
          <w:b w:val="0"/>
          <w:bCs w:val="0"/>
          <w:szCs w:val="21"/>
        </w:rPr>
      </w:pPr>
      <w:r>
        <w:rPr>
          <w:rFonts w:hint="eastAsia"/>
          <w:b w:val="0"/>
          <w:bCs w:val="0"/>
          <w:szCs w:val="21"/>
        </w:rPr>
        <w:t>无。</w:t>
      </w:r>
    </w:p>
    <w:p w14:paraId="348B930C">
      <w:pPr>
        <w:pStyle w:val="2"/>
        <w:spacing w:before="156" w:after="156"/>
        <w:rPr>
          <w:b w:val="0"/>
          <w:bCs w:val="0"/>
        </w:rPr>
      </w:pPr>
      <w:r>
        <w:rPr>
          <w:rFonts w:hint="eastAsia"/>
          <w:b w:val="0"/>
          <w:bCs w:val="0"/>
          <w:lang w:val="en-US" w:eastAsia="zh-CN"/>
        </w:rPr>
        <w:t>十一</w:t>
      </w:r>
      <w:r>
        <w:rPr>
          <w:rFonts w:hint="eastAsia"/>
          <w:b w:val="0"/>
          <w:bCs w:val="0"/>
        </w:rPr>
        <w:t>、预期效果</w:t>
      </w:r>
    </w:p>
    <w:p w14:paraId="6FBF4B3B">
      <w:pPr>
        <w:ind w:firstLine="420" w:firstLineChars="200"/>
        <w:rPr>
          <w:rFonts w:ascii="宋体" w:hAnsi="宋体"/>
          <w:b w:val="0"/>
          <w:bCs w:val="0"/>
          <w:kern w:val="0"/>
          <w:szCs w:val="21"/>
        </w:rPr>
      </w:pPr>
      <w:r>
        <w:rPr>
          <w:rFonts w:hint="eastAsia"/>
          <w:bCs/>
          <w:highlight w:val="none"/>
        </w:rPr>
        <w:t>本规范的制定使</w:t>
      </w:r>
      <w:r>
        <w:rPr>
          <w:rFonts w:hint="eastAsia"/>
          <w:bCs/>
          <w:highlight w:val="none"/>
          <w:lang w:val="en-US" w:eastAsia="zh-CN"/>
        </w:rPr>
        <w:t>数字式引伸计标定器的校准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对数字式引伸计标定器的评价有了统一标准，能很好地用于指导生产</w:t>
      </w:r>
      <w:r>
        <w:rPr>
          <w:rFonts w:ascii="宋体" w:hAnsi="宋体"/>
          <w:b w:val="0"/>
          <w:bCs w:val="0"/>
          <w:kern w:val="0"/>
          <w:szCs w:val="21"/>
        </w:rPr>
        <w:t>。</w:t>
      </w:r>
    </w:p>
    <w:p w14:paraId="56F595F0">
      <w:pPr>
        <w:pStyle w:val="2"/>
        <w:spacing w:before="156" w:after="156"/>
        <w:rPr>
          <w:b w:val="0"/>
          <w:bCs w:val="0"/>
        </w:rPr>
      </w:pPr>
      <w:r>
        <w:rPr>
          <w:rFonts w:hint="eastAsia"/>
          <w:b w:val="0"/>
          <w:bCs w:val="0"/>
        </w:rPr>
        <w:t>十</w:t>
      </w:r>
      <w:r>
        <w:rPr>
          <w:rFonts w:hint="eastAsia"/>
          <w:b w:val="0"/>
          <w:bCs w:val="0"/>
          <w:lang w:val="en-US" w:eastAsia="zh-CN"/>
        </w:rPr>
        <w:t>二</w:t>
      </w:r>
      <w:r>
        <w:rPr>
          <w:rFonts w:hint="eastAsia"/>
          <w:b w:val="0"/>
          <w:bCs w:val="0"/>
        </w:rPr>
        <w:t>、其他应予说明的事项</w:t>
      </w:r>
    </w:p>
    <w:p w14:paraId="5513842A">
      <w:pPr>
        <w:pStyle w:val="58"/>
        <w:spacing w:line="300" w:lineRule="auto"/>
        <w:ind w:firstLineChars="0"/>
        <w:contextualSpacing/>
        <w:rPr>
          <w:rFonts w:hint="eastAsia"/>
          <w:b w:val="0"/>
          <w:bCs w:val="0"/>
          <w:szCs w:val="21"/>
        </w:rPr>
      </w:pPr>
      <w:r>
        <w:rPr>
          <w:rFonts w:hint="eastAsia"/>
          <w:b w:val="0"/>
          <w:bCs w:val="0"/>
          <w:szCs w:val="21"/>
        </w:rPr>
        <w:t>无。</w:t>
      </w:r>
    </w:p>
    <w:p w14:paraId="5BAC7404">
      <w:pPr>
        <w:pStyle w:val="58"/>
        <w:spacing w:line="300" w:lineRule="auto"/>
        <w:ind w:firstLineChars="0"/>
        <w:contextualSpacing/>
        <w:rPr>
          <w:rFonts w:hint="eastAsia"/>
          <w:b w:val="0"/>
          <w:bCs w:val="0"/>
          <w:szCs w:val="21"/>
        </w:rPr>
      </w:pPr>
    </w:p>
    <w:p w14:paraId="053C011A">
      <w:pPr>
        <w:pStyle w:val="58"/>
        <w:spacing w:line="300" w:lineRule="auto"/>
        <w:ind w:firstLineChars="0"/>
        <w:contextualSpacing/>
        <w:jc w:val="right"/>
        <w:rPr>
          <w:rFonts w:ascii="Times New Roman" w:hAnsi="Times New Roman" w:eastAsia="黑体"/>
          <w:b w:val="0"/>
          <w:bCs w:val="0"/>
        </w:rPr>
      </w:pPr>
      <w:r>
        <w:rPr>
          <w:rFonts w:ascii="Times New Roman" w:hAnsi="Times New Roman" w:eastAsia="黑体"/>
          <w:b w:val="0"/>
          <w:bCs w:val="0"/>
        </w:rPr>
        <w:t xml:space="preserve"> </w:t>
      </w:r>
    </w:p>
    <w:p w14:paraId="32741746">
      <w:pPr>
        <w:pStyle w:val="58"/>
        <w:spacing w:line="300" w:lineRule="auto"/>
        <w:ind w:firstLineChars="0"/>
        <w:contextualSpacing/>
        <w:jc w:val="right"/>
        <w:rPr>
          <w:rFonts w:ascii="Times New Roman" w:hAnsi="Times New Roman" w:eastAsia="黑体"/>
          <w:b w:val="0"/>
          <w:bCs w:val="0"/>
        </w:rPr>
      </w:pPr>
    </w:p>
    <w:p w14:paraId="617FCDFA">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Theme="minorEastAsia" w:hAnsiTheme="minorEastAsia" w:eastAsiaTheme="minorEastAsia" w:cstheme="minorEastAsia"/>
          <w:bCs/>
          <w:sz w:val="21"/>
          <w:szCs w:val="21"/>
          <w:highlight w:val="none"/>
          <w:lang w:val="en-US" w:eastAsia="zh-CN"/>
        </w:rPr>
        <w:t>数字式引伸计标定器</w:t>
      </w:r>
      <w:r>
        <w:rPr>
          <w:rFonts w:hint="eastAsia" w:asciiTheme="minorEastAsia" w:hAnsiTheme="minorEastAsia" w:eastAsiaTheme="minorEastAsia" w:cstheme="minorEastAsia"/>
          <w:bCs/>
          <w:sz w:val="21"/>
          <w:szCs w:val="21"/>
          <w:highlight w:val="none"/>
          <w:lang w:eastAsia="zh-CN"/>
        </w:rPr>
        <w:t>校准规范</w:t>
      </w:r>
      <w:r>
        <w:rPr>
          <w:rFonts w:ascii="Times New Roman" w:hAnsi="Times New Roman" w:eastAsia="方正行楷简体"/>
          <w:b w:val="0"/>
          <w:bCs w:val="0"/>
          <w:szCs w:val="21"/>
        </w:rPr>
        <w:t xml:space="preserve">》编制组  </w:t>
      </w:r>
    </w:p>
    <w:p w14:paraId="555D51F3">
      <w:pPr>
        <w:pStyle w:val="58"/>
        <w:spacing w:line="300" w:lineRule="auto"/>
        <w:contextualSpacing/>
        <w:jc w:val="right"/>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5</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6</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6</w:t>
      </w:r>
      <w:r>
        <w:rPr>
          <w:rFonts w:ascii="Times New Roman" w:hAnsi="Times New Roman" w:eastAsia="方正行楷简体"/>
          <w:b w:val="0"/>
          <w:bCs w:val="0"/>
          <w:szCs w:val="21"/>
        </w:rPr>
        <w:t>日</w:t>
      </w:r>
    </w:p>
    <w:p w14:paraId="203E2EAB"/>
    <w:p w14:paraId="70F24722"/>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13A3F8C"/>
    <w:rsid w:val="02465DB5"/>
    <w:rsid w:val="02F703B0"/>
    <w:rsid w:val="04731467"/>
    <w:rsid w:val="057D5E5D"/>
    <w:rsid w:val="05F125DB"/>
    <w:rsid w:val="06523C02"/>
    <w:rsid w:val="06716757"/>
    <w:rsid w:val="07DC0ED5"/>
    <w:rsid w:val="081D5402"/>
    <w:rsid w:val="0904785D"/>
    <w:rsid w:val="09573966"/>
    <w:rsid w:val="0A781AE7"/>
    <w:rsid w:val="0A940DEC"/>
    <w:rsid w:val="0AC1629C"/>
    <w:rsid w:val="0CB9457A"/>
    <w:rsid w:val="0CCA0314"/>
    <w:rsid w:val="0CCF275B"/>
    <w:rsid w:val="0D8022CA"/>
    <w:rsid w:val="0E6513CA"/>
    <w:rsid w:val="0E721126"/>
    <w:rsid w:val="0EAA3109"/>
    <w:rsid w:val="0F403A6D"/>
    <w:rsid w:val="0F761ED4"/>
    <w:rsid w:val="10E85D8A"/>
    <w:rsid w:val="11471F43"/>
    <w:rsid w:val="126952C5"/>
    <w:rsid w:val="12B400C2"/>
    <w:rsid w:val="13877F6B"/>
    <w:rsid w:val="13B1031D"/>
    <w:rsid w:val="14103F10"/>
    <w:rsid w:val="14317D7D"/>
    <w:rsid w:val="14FE0CE9"/>
    <w:rsid w:val="158E7867"/>
    <w:rsid w:val="16042033"/>
    <w:rsid w:val="16883717"/>
    <w:rsid w:val="16A67923"/>
    <w:rsid w:val="17027C18"/>
    <w:rsid w:val="174C2AB4"/>
    <w:rsid w:val="17E64F25"/>
    <w:rsid w:val="1B675C26"/>
    <w:rsid w:val="1C803B53"/>
    <w:rsid w:val="1D2B124B"/>
    <w:rsid w:val="1E104670"/>
    <w:rsid w:val="1E713A82"/>
    <w:rsid w:val="1F5A1A25"/>
    <w:rsid w:val="1F714057"/>
    <w:rsid w:val="1FAB00D4"/>
    <w:rsid w:val="205B4C71"/>
    <w:rsid w:val="207B2FD6"/>
    <w:rsid w:val="208E75B3"/>
    <w:rsid w:val="218A16C9"/>
    <w:rsid w:val="21BE3478"/>
    <w:rsid w:val="21D04080"/>
    <w:rsid w:val="22423DCF"/>
    <w:rsid w:val="225C10E7"/>
    <w:rsid w:val="23A74BBD"/>
    <w:rsid w:val="23D43A72"/>
    <w:rsid w:val="252076E4"/>
    <w:rsid w:val="255B5FF6"/>
    <w:rsid w:val="2583745E"/>
    <w:rsid w:val="262B706A"/>
    <w:rsid w:val="277C51D7"/>
    <w:rsid w:val="27BD3A55"/>
    <w:rsid w:val="28A00A66"/>
    <w:rsid w:val="28B93971"/>
    <w:rsid w:val="29846CB3"/>
    <w:rsid w:val="298C1931"/>
    <w:rsid w:val="29DA08EE"/>
    <w:rsid w:val="29E46257"/>
    <w:rsid w:val="29EE5A71"/>
    <w:rsid w:val="2A4110A1"/>
    <w:rsid w:val="2A636980"/>
    <w:rsid w:val="2AB85E2C"/>
    <w:rsid w:val="2B1F5069"/>
    <w:rsid w:val="2B284444"/>
    <w:rsid w:val="2BBE0E60"/>
    <w:rsid w:val="2C066D52"/>
    <w:rsid w:val="2C147130"/>
    <w:rsid w:val="2C281A12"/>
    <w:rsid w:val="2CEE1EA1"/>
    <w:rsid w:val="2E772BB0"/>
    <w:rsid w:val="2E7F7CB6"/>
    <w:rsid w:val="2F656952"/>
    <w:rsid w:val="2FBE527A"/>
    <w:rsid w:val="316D2F86"/>
    <w:rsid w:val="31B57A58"/>
    <w:rsid w:val="325F3B1A"/>
    <w:rsid w:val="327B68D7"/>
    <w:rsid w:val="33FC78CC"/>
    <w:rsid w:val="340D295B"/>
    <w:rsid w:val="34745E77"/>
    <w:rsid w:val="34CD5E22"/>
    <w:rsid w:val="36AE69D8"/>
    <w:rsid w:val="37816F68"/>
    <w:rsid w:val="38B6063A"/>
    <w:rsid w:val="39E63C45"/>
    <w:rsid w:val="3A5F40D0"/>
    <w:rsid w:val="3A910669"/>
    <w:rsid w:val="3B2B4E9D"/>
    <w:rsid w:val="3B316A21"/>
    <w:rsid w:val="3BFA1058"/>
    <w:rsid w:val="3C5D1124"/>
    <w:rsid w:val="3C8844C9"/>
    <w:rsid w:val="3E3909B0"/>
    <w:rsid w:val="3EBA5BC3"/>
    <w:rsid w:val="3F465475"/>
    <w:rsid w:val="3F4A4676"/>
    <w:rsid w:val="3F5963FB"/>
    <w:rsid w:val="3F7D4FB4"/>
    <w:rsid w:val="3FE25D82"/>
    <w:rsid w:val="404D430C"/>
    <w:rsid w:val="420E5348"/>
    <w:rsid w:val="421212A7"/>
    <w:rsid w:val="422071B3"/>
    <w:rsid w:val="425F603B"/>
    <w:rsid w:val="4286740D"/>
    <w:rsid w:val="42E020C7"/>
    <w:rsid w:val="4378569A"/>
    <w:rsid w:val="43A67182"/>
    <w:rsid w:val="44100726"/>
    <w:rsid w:val="44347A9B"/>
    <w:rsid w:val="44616219"/>
    <w:rsid w:val="44CE02A0"/>
    <w:rsid w:val="456D3D97"/>
    <w:rsid w:val="45E87405"/>
    <w:rsid w:val="46474D73"/>
    <w:rsid w:val="465C4787"/>
    <w:rsid w:val="47262564"/>
    <w:rsid w:val="473A498E"/>
    <w:rsid w:val="47552183"/>
    <w:rsid w:val="48181C46"/>
    <w:rsid w:val="48211129"/>
    <w:rsid w:val="4847319B"/>
    <w:rsid w:val="486A6D42"/>
    <w:rsid w:val="48BE5C4B"/>
    <w:rsid w:val="49214E6F"/>
    <w:rsid w:val="49A26661"/>
    <w:rsid w:val="4AE6291D"/>
    <w:rsid w:val="4AEA403C"/>
    <w:rsid w:val="4B770D37"/>
    <w:rsid w:val="4B8C5809"/>
    <w:rsid w:val="4B933E1A"/>
    <w:rsid w:val="4D432356"/>
    <w:rsid w:val="4D5B08E3"/>
    <w:rsid w:val="4DA84F31"/>
    <w:rsid w:val="4E3430C7"/>
    <w:rsid w:val="4F58021E"/>
    <w:rsid w:val="4F734876"/>
    <w:rsid w:val="4FA7278A"/>
    <w:rsid w:val="4FB3450E"/>
    <w:rsid w:val="50011CA3"/>
    <w:rsid w:val="51051BD9"/>
    <w:rsid w:val="51083E00"/>
    <w:rsid w:val="51442F7B"/>
    <w:rsid w:val="51A96C1E"/>
    <w:rsid w:val="5204425C"/>
    <w:rsid w:val="52A97DDB"/>
    <w:rsid w:val="52AA2F9A"/>
    <w:rsid w:val="52B70715"/>
    <w:rsid w:val="54672A2D"/>
    <w:rsid w:val="55152B55"/>
    <w:rsid w:val="551B54CC"/>
    <w:rsid w:val="56154CA2"/>
    <w:rsid w:val="56A00E5A"/>
    <w:rsid w:val="57676F98"/>
    <w:rsid w:val="579905E2"/>
    <w:rsid w:val="590A235B"/>
    <w:rsid w:val="5A931503"/>
    <w:rsid w:val="5A971C98"/>
    <w:rsid w:val="5AC42DA1"/>
    <w:rsid w:val="5AFA5C95"/>
    <w:rsid w:val="5C4F08B8"/>
    <w:rsid w:val="5CDE078E"/>
    <w:rsid w:val="5D7206DB"/>
    <w:rsid w:val="5DC655CC"/>
    <w:rsid w:val="5DE832ED"/>
    <w:rsid w:val="5E0B450A"/>
    <w:rsid w:val="5E13191E"/>
    <w:rsid w:val="5F334021"/>
    <w:rsid w:val="5F357D99"/>
    <w:rsid w:val="5F776EED"/>
    <w:rsid w:val="605176D9"/>
    <w:rsid w:val="60787F3E"/>
    <w:rsid w:val="610B4983"/>
    <w:rsid w:val="61690122"/>
    <w:rsid w:val="620D60EB"/>
    <w:rsid w:val="63F828E6"/>
    <w:rsid w:val="65031149"/>
    <w:rsid w:val="654D6460"/>
    <w:rsid w:val="65843085"/>
    <w:rsid w:val="6760797E"/>
    <w:rsid w:val="68D661D6"/>
    <w:rsid w:val="694F496D"/>
    <w:rsid w:val="69BC4907"/>
    <w:rsid w:val="69F9078A"/>
    <w:rsid w:val="6AB57C02"/>
    <w:rsid w:val="6AE574EF"/>
    <w:rsid w:val="6AF7022D"/>
    <w:rsid w:val="6B27051F"/>
    <w:rsid w:val="6B665DAF"/>
    <w:rsid w:val="6B753BDA"/>
    <w:rsid w:val="6B770841"/>
    <w:rsid w:val="6C7E1558"/>
    <w:rsid w:val="6D281A14"/>
    <w:rsid w:val="6E455D88"/>
    <w:rsid w:val="6E8A0C2B"/>
    <w:rsid w:val="6E9A1846"/>
    <w:rsid w:val="6EB05150"/>
    <w:rsid w:val="6EF60757"/>
    <w:rsid w:val="6F2275BE"/>
    <w:rsid w:val="70757340"/>
    <w:rsid w:val="70A61265"/>
    <w:rsid w:val="70FA146A"/>
    <w:rsid w:val="710228B1"/>
    <w:rsid w:val="72F922F4"/>
    <w:rsid w:val="73A7009A"/>
    <w:rsid w:val="73B95B2E"/>
    <w:rsid w:val="74130018"/>
    <w:rsid w:val="74D35BFF"/>
    <w:rsid w:val="771270F2"/>
    <w:rsid w:val="774130D6"/>
    <w:rsid w:val="77893CCB"/>
    <w:rsid w:val="77CE2BEC"/>
    <w:rsid w:val="782174D1"/>
    <w:rsid w:val="78931FA4"/>
    <w:rsid w:val="78CE2872"/>
    <w:rsid w:val="78DB44BD"/>
    <w:rsid w:val="795C2ECE"/>
    <w:rsid w:val="7A473223"/>
    <w:rsid w:val="7A7703B1"/>
    <w:rsid w:val="7AC757F1"/>
    <w:rsid w:val="7B087207"/>
    <w:rsid w:val="7B207CB9"/>
    <w:rsid w:val="7C077F70"/>
    <w:rsid w:val="7CA407A6"/>
    <w:rsid w:val="7CA81753"/>
    <w:rsid w:val="7CB529FB"/>
    <w:rsid w:val="7CE33A32"/>
    <w:rsid w:val="7D461FE5"/>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 w:type="character" w:customStyle="1" w:styleId="324">
    <w:name w:val="图题及表格"/>
    <w:basedOn w:val="43"/>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5937</Words>
  <Characters>6398</Characters>
  <Lines>40</Lines>
  <Paragraphs>11</Paragraphs>
  <TotalTime>2</TotalTime>
  <ScaleCrop>false</ScaleCrop>
  <LinksUpToDate>false</LinksUpToDate>
  <CharactersWithSpaces>6444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张国栋</cp:lastModifiedBy>
  <cp:lastPrinted>2016-10-20T04:13:00Z</cp:lastPrinted>
  <dcterms:modified xsi:type="dcterms:W3CDTF">2025-06-09T09:05:01Z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297C27584E6B4E3099C73212178D4222_13</vt:lpwstr>
  </property>
  <property fmtid="{D5CDD505-2E9C-101B-9397-08002B2CF9AE}" pid="4" name="KSOTemplateDocerSaveRecord">
    <vt:lpwstr>eyJoZGlkIjoiMzEwNTM5NzYwMDRjMzkwZTVkZjY2ODkwMGIxNGU0OTUiLCJ1c2VySWQiOiIzMDg2MTU0NTUifQ==</vt:lpwstr>
  </property>
</Properties>
</file>