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jc w:val="center"/>
        <w:rPr>
          <w:rFonts w:ascii="黑体" w:hAnsi="黑体" w:eastAsia="黑体"/>
          <w:sz w:val="24"/>
          <w:szCs w:val="24"/>
        </w:rPr>
      </w:pPr>
      <w:bookmarkStart w:id="0" w:name="_Toc464728891"/>
      <w:bookmarkStart w:id="1" w:name="SectionMark4"/>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r>
        <w:pict>
          <v:rect id="文本框 4" o:spid="_x0000_s1026" o:spt="1" style="position:absolute;left:0pt;margin-left:5.25pt;margin-top:121.65pt;height:187.7pt;width:481.9pt;mso-position-horizontal-relative:margin;mso-position-vertical-relative:margin;z-index:251659264;mso-width-relative:page;mso-height-relative:page;" stroked="f" coordsize="21600,21600" o:gfxdata="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2vt/d1wAAAAoBAAAPAAAAAAAAAAEAIAAAACIAAABkcnMv&#10;ZG93bnJldi54bWxQSwECFAAUAAAACACHTuJAY/5bKMsBAACSAwAADgAAAAAAAAABACAAAAAmAQAA&#10;ZHJzL2Uyb0RvYy54bWxQSwUGAAAAAAYABgBZAQAAYwUAAAAA&#10;">
            <v:path/>
            <v:fill focussize="0,0"/>
            <v:stroke on="f"/>
            <v:imagedata o:title=""/>
            <o:lock v:ext="edit"/>
            <v:textbox inset="0mm,0mm,0mm,0mm">
              <w:txbxContent>
                <w:p>
                  <w:pPr>
                    <w:pStyle w:val="75"/>
                    <w:rPr>
                      <w:rFonts w:hAnsi="黑体" w:cs="黑体"/>
                      <w:sz w:val="44"/>
                      <w:szCs w:val="44"/>
                    </w:rPr>
                  </w:pPr>
                  <w:bookmarkStart w:id="88" w:name="_Hlk23687263"/>
                  <w:r>
                    <w:rPr>
                      <w:rFonts w:hint="eastAsia" w:hAnsi="黑体" w:cs="黑体"/>
                      <w:sz w:val="44"/>
                      <w:szCs w:val="44"/>
                    </w:rPr>
                    <w:t>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88"/>
                <w:p>
                  <w:pPr>
                    <w:pStyle w:val="75"/>
                    <w:rPr>
                      <w:rFonts w:hAnsi="黑体" w:cs="黑体"/>
                      <w:szCs w:val="52"/>
                    </w:rPr>
                  </w:pPr>
                  <w:r>
                    <w:rPr>
                      <w:rFonts w:hint="eastAsia" w:hAnsi="黑体" w:cs="黑体"/>
                      <w:szCs w:val="52"/>
                    </w:rPr>
                    <w:t>金属扩口试验机校准规范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w: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r>
        <w:pict>
          <v:rect id="文本框 5" o:spid="_x0000_s1028" o:spt="1" style="position:absolute;left:0pt;margin-left:12.1pt;margin-top:381.8pt;height:140.1pt;width:470pt;mso-position-horizontal-relative:margin;mso-position-vertical-relative:margin;z-index:251660288;mso-width-relative:page;mso-height-relative:page;" stroked="f" coordsize="21600,21600" o:gfxdata="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QgCV/1wAAAAsBAAAPAAAAAAAAAAEAIAAAACIAAABkcnMv&#10;ZG93bnJldi54bWxQSwECFAAUAAAACACHTuJAMTvMIMsBAACSAwAADgAAAAAAAAABACAAAAAmAQAA&#10;ZHJzL2Uyb0RvYy54bWxQSwUGAAAAAAYABgBZAQAAYwUAAAAA&#10;">
            <v:path/>
            <v:fill focussize="0,0"/>
            <v:stroke on="f"/>
            <v:imagedata o:title=""/>
            <o:lock v:ext="edit"/>
            <v:textbox inset="0mm,0mm,0mm,0mm">
              <w:txbxContent>
                <w:p>
                  <w:pPr>
                    <w:pStyle w:val="67"/>
                    <w:spacing w:before="600"/>
                    <w:rPr>
                      <w:rFonts w:ascii="黑体" w:hAnsi="黑体" w:eastAsia="黑体"/>
                      <w:sz w:val="36"/>
                      <w:szCs w:val="36"/>
                    </w:rPr>
                  </w:pPr>
                  <w:r>
                    <w:rPr>
                      <w:rFonts w:hint="eastAsia" w:ascii="黑体" w:hAnsi="黑体" w:eastAsia="黑体"/>
                      <w:sz w:val="36"/>
                      <w:szCs w:val="36"/>
                    </w:rPr>
                    <w:t>讨论稿</w:t>
                  </w:r>
                </w:p>
                <w:p>
                  <w:pPr>
                    <w:pStyle w:val="67"/>
                    <w:spacing w:before="600"/>
                    <w:rPr>
                      <w:rFonts w:ascii="黑体" w:hAnsi="黑体" w:eastAsia="黑体"/>
                      <w:sz w:val="36"/>
                      <w:szCs w:val="36"/>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rPr>
                    <w:t>5-6</w:t>
                  </w:r>
                </w:p>
              </w:txbxContent>
            </v:textbox>
            <w10:anchorlock/>
          </v:rect>
        </w:pict>
      </w: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r>
        <w:pict>
          <v:rect id="fmFrame7" o:spid="_x0000_s1027" o:spt="1" style="position:absolute;left:0pt;margin-left:11.35pt;margin-top:595.2pt;height:121.6pt;width:481.9pt;mso-position-horizontal-relative:margin;mso-position-vertical-relative:margin;z-index:251661312;mso-width-relative:page;mso-height-relative:page;" stroked="f" coordsize="21600,21600" o:gfxdata="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H+TSXYAAAADAEAAA8AAAAAAAAAAQAgAAAAIgAAAGRycy9kb3ducmV2LnhtbFBLAQIU&#10;ABQAAAAIAIdO4kBYM7RfugEAAI8DAAAOAAAAAAAAAAEAIAAAACcBAABkcnMvZTJvRG9jLnhtbFBL&#10;BQYAAAAABgAGAFkBAABTBQAAAAA=&#10;">
            <v:path/>
            <v:fill focussize="0,0"/>
            <v:stroke on="f"/>
            <v:imagedata o:title=""/>
            <o:lock v:ext="edit"/>
            <v:textbox inset="0mm,0mm,0mm,0mm">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金属扩口试验机校准规范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主编单位：东北轻合金有限责任公司</w:t>
                  </w:r>
                </w:p>
              </w:txbxContent>
            </v:textbox>
            <w10:anchorlock/>
          </v:rect>
        </w:pict>
      </w: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2"/>
        <w:spacing w:before="156" w:after="156"/>
        <w:rPr>
          <w:b w:val="0"/>
          <w:bCs w:val="0"/>
        </w:rPr>
      </w:pPr>
      <w:r>
        <w:rPr>
          <w:rFonts w:hint="eastAsia"/>
          <w:b w:val="0"/>
          <w:bCs w:val="0"/>
        </w:rPr>
        <w:t>一、工作简况</w:t>
      </w:r>
      <w:bookmarkEnd w:id="0"/>
      <w:bookmarkStart w:id="2" w:name="_Toc464728896"/>
    </w:p>
    <w:p>
      <w:pPr>
        <w:pStyle w:val="3"/>
        <w:spacing w:before="156" w:after="156"/>
        <w:rPr>
          <w:b w:val="0"/>
          <w:bCs w:val="0"/>
        </w:rPr>
      </w:pPr>
      <w:r>
        <w:rPr>
          <w:rFonts w:hint="eastAsia"/>
          <w:b w:val="0"/>
          <w:bCs w:val="0"/>
        </w:rPr>
        <w:t>1.立项目的</w:t>
      </w:r>
    </w:p>
    <w:p>
      <w:pPr>
        <w:spacing w:line="400" w:lineRule="exact"/>
        <w:ind w:firstLine="555"/>
        <w:rPr>
          <w:rFonts w:hAnsi="宋体"/>
          <w:szCs w:val="21"/>
        </w:rPr>
      </w:pPr>
      <w:r>
        <w:rPr>
          <w:rFonts w:hint="eastAsia" w:hAnsi="宋体"/>
          <w:szCs w:val="21"/>
        </w:rPr>
        <w:t>金属扩口试验机是在规定试验机挤压板的移动运行速度、顶心锥形角度的情况下对金属管材进行扩口实验，通过冲击到样品表面，扩大管段的最大外径，肉眼观测到是否有可见裂纹，依据相关产品要求，通过评价金属管材材料的变形和裂纹等质量的结合情况，表征材料的抗变形破裂性。金属扩口试验机在金属材料行业得到了广泛的应用，其性能好坏直接影响测量结果的准确性，为保证金属扩口试验机测试结果的准确可靠，需要对其进行校准，保证其量值准确、可靠、有源可溯。</w:t>
      </w:r>
    </w:p>
    <w:p>
      <w:pPr>
        <w:spacing w:line="400" w:lineRule="exact"/>
        <w:ind w:firstLine="555"/>
        <w:rPr>
          <w:rFonts w:hAnsi="宋体"/>
          <w:szCs w:val="21"/>
        </w:rPr>
      </w:pPr>
      <w:r>
        <w:rPr>
          <w:rFonts w:hint="eastAsia" w:hAnsi="宋体"/>
          <w:szCs w:val="21"/>
        </w:rPr>
        <w:t>本规范重点解决了金属扩口试验机校准方法不统一、校准方法差异化、校准方法未规定等问题，弥补金属扩口试验机校准的空白，为进行量值传递提供了有效保证，进一步提高了金属扩口试验机的准确性。</w:t>
      </w:r>
    </w:p>
    <w:p>
      <w:pPr>
        <w:pStyle w:val="3"/>
        <w:spacing w:before="156" w:after="156"/>
        <w:rPr>
          <w:b w:val="0"/>
          <w:bCs w:val="0"/>
        </w:rPr>
      </w:pPr>
      <w:r>
        <w:rPr>
          <w:rFonts w:hint="eastAsia"/>
          <w:b w:val="0"/>
          <w:bCs w:val="0"/>
        </w:rPr>
        <w:t>2.任务来源</w:t>
      </w:r>
      <w:bookmarkEnd w:id="2"/>
    </w:p>
    <w:p>
      <w:pPr>
        <w:pStyle w:val="35"/>
        <w:spacing w:after="0" w:line="400" w:lineRule="exact"/>
        <w:ind w:firstLine="420" w:firstLineChars="200"/>
        <w:rPr>
          <w:rFonts w:hAnsi="宋体"/>
          <w:szCs w:val="21"/>
        </w:rPr>
      </w:pPr>
      <w:r>
        <w:rPr>
          <w:rFonts w:hint="eastAsia" w:hAnsi="宋体"/>
          <w:szCs w:val="21"/>
        </w:rPr>
        <w:t>根据工业和信息化部《关于印发2024年行业计量技术规范制修订计划的通知》（工庁科［2024］602号）文的要求，行业计量技术规范《金属扩口试验机校准规范》由东北轻合金有限责任公司负责起草。该项目计划编号为</w:t>
      </w:r>
      <w:r>
        <w:rPr>
          <w:rFonts w:hAnsi="宋体"/>
          <w:szCs w:val="21"/>
        </w:rPr>
        <w:t>JJF</w:t>
      </w:r>
      <w:r>
        <w:rPr>
          <w:rFonts w:hint="eastAsia" w:hAnsi="宋体"/>
          <w:szCs w:val="21"/>
        </w:rPr>
        <w:t>Z（有色金属）003-2</w:t>
      </w:r>
      <w:r>
        <w:rPr>
          <w:rFonts w:hAnsi="宋体"/>
          <w:szCs w:val="21"/>
        </w:rPr>
        <w:t>02</w:t>
      </w:r>
      <w:r>
        <w:rPr>
          <w:rFonts w:hint="eastAsia" w:hAnsi="宋体"/>
          <w:szCs w:val="21"/>
        </w:rPr>
        <w:t>4。</w:t>
      </w:r>
    </w:p>
    <w:p>
      <w:pPr>
        <w:spacing w:line="360" w:lineRule="auto"/>
        <w:ind w:firstLine="420" w:firstLineChars="200"/>
        <w:rPr>
          <w:rFonts w:hAnsi="宋体"/>
          <w:szCs w:val="21"/>
        </w:rPr>
      </w:pPr>
      <w:r>
        <w:rPr>
          <w:rFonts w:hint="eastAsia"/>
          <w:szCs w:val="21"/>
        </w:rPr>
        <w:t>按计划要求，本计量规范应于</w:t>
      </w:r>
      <w:r>
        <w:rPr>
          <w:szCs w:val="21"/>
        </w:rPr>
        <w:t>202</w:t>
      </w:r>
      <w:r>
        <w:rPr>
          <w:rFonts w:hint="eastAsia"/>
          <w:szCs w:val="21"/>
        </w:rPr>
        <w:t>6年6月完成制定</w:t>
      </w:r>
      <w:r>
        <w:rPr>
          <w:szCs w:val="21"/>
        </w:rPr>
        <w:t>。</w:t>
      </w:r>
    </w:p>
    <w:p>
      <w:pPr>
        <w:pStyle w:val="3"/>
        <w:spacing w:before="156" w:after="156"/>
        <w:rPr>
          <w:b w:val="0"/>
          <w:bCs w:val="0"/>
        </w:rPr>
      </w:pPr>
      <w:r>
        <w:rPr>
          <w:rFonts w:hint="eastAsia"/>
          <w:b w:val="0"/>
          <w:bCs w:val="0"/>
        </w:rPr>
        <w:t>3.项目编制组单位简况</w:t>
      </w:r>
    </w:p>
    <w:p>
      <w:pPr>
        <w:pStyle w:val="4"/>
        <w:spacing w:before="156" w:after="156"/>
        <w:rPr>
          <w:b w:val="0"/>
          <w:bCs w:val="0"/>
        </w:rPr>
      </w:pPr>
      <w:r>
        <w:rPr>
          <w:rFonts w:hint="eastAsia"/>
          <w:b w:val="0"/>
          <w:bCs w:val="0"/>
        </w:rPr>
        <w:t>3.1编制组成员单位</w:t>
      </w:r>
    </w:p>
    <w:p>
      <w:pPr>
        <w:widowControl/>
        <w:autoSpaceDE w:val="0"/>
        <w:autoSpaceDN w:val="0"/>
        <w:spacing w:line="400" w:lineRule="exact"/>
        <w:ind w:firstLine="420" w:firstLineChars="200"/>
        <w:rPr>
          <w:szCs w:val="21"/>
        </w:rPr>
      </w:pPr>
      <w:bookmarkStart w:id="3" w:name="_Toc462884344"/>
      <w:bookmarkStart w:id="4" w:name="_Toc464728900"/>
      <w:r>
        <w:rPr>
          <w:rFonts w:hint="eastAsia"/>
          <w:szCs w:val="21"/>
        </w:rPr>
        <w:t>本规范的编制组单位为：东北轻合金有限责任公司、西南铝业（集团）有限责任公司、有色金属技术经济研究院有限责任公司、西安汉唐分析检测有限公司、国标（北京）检测认证有限公司、广东省科学院工业分析检测中心、中国船舶集团有限公司第七二五研究所、国合通用（青岛）测试评价有限公司、中铝材料应用研究院有限公司、中铝洛阳铜业检测技术有限公司</w:t>
      </w:r>
    </w:p>
    <w:p>
      <w:pPr>
        <w:pStyle w:val="4"/>
        <w:spacing w:before="156" w:after="156"/>
        <w:rPr>
          <w:b w:val="0"/>
          <w:bCs w:val="0"/>
        </w:rPr>
      </w:pPr>
      <w:r>
        <w:rPr>
          <w:rFonts w:hint="eastAsia"/>
          <w:b w:val="0"/>
          <w:bCs w:val="0"/>
        </w:rPr>
        <w:t>3.2 主编单位简介</w:t>
      </w:r>
    </w:p>
    <w:bookmarkEnd w:id="3"/>
    <w:bookmarkEnd w:id="4"/>
    <w:p>
      <w:pPr>
        <w:spacing w:line="400" w:lineRule="exact"/>
        <w:ind w:firstLine="420" w:firstLineChars="200"/>
        <w:rPr>
          <w:szCs w:val="21"/>
        </w:rPr>
      </w:pPr>
      <w:r>
        <w:rPr>
          <w:rFonts w:hint="eastAsia"/>
          <w:szCs w:val="21"/>
        </w:rPr>
        <w:t>东北轻合金有限责任公司(简称东轻)是国家“一五”期间156项重点工程中的2项。1952年建厂，1956年开工生产，是新中国第一个铝镁加工企业。公司主要生产铝、镁及其合金板、带、箔、管、棒、型、线、粉、材、锻件等产品，广泛应用于国防军工、航空航天、兵器舰船、轨道交通、石油化工等国民经济各领域，并出口欧美、日、韩、东南亚等多个国家和地区。东轻是国家级高新技术企业，拥有国家级企业技术中心、博士后科研工作站、院士工作站、有色金属材料制备加工国家重点实验室联合技术中心等国家级研发机构以及省级研发中心、工程中心和重点实验室。东轻获得了特种工艺认证、实验室认证、国外船级社等，拥有近百项专利和1200多项专有技术诀窍；主持和参与国家、行业标准编写，作为主编单位起草了《铝加工检验、测量和试验设备配备规范》、《金属裂纹超声试块校准规范》等行业校准规范；校准实验室和检测实验室均通过CNAS认可，具备材料试验机、温度仪表、温度传感器、压力表、数字多用表等测量仪器的校准能力。</w:t>
      </w:r>
    </w:p>
    <w:p>
      <w:pPr>
        <w:spacing w:line="400" w:lineRule="exact"/>
        <w:ind w:firstLine="420" w:firstLineChars="200"/>
        <w:contextualSpacing/>
        <w:jc w:val="left"/>
        <w:rPr>
          <w:szCs w:val="21"/>
        </w:rPr>
      </w:pPr>
      <w:r>
        <w:rPr>
          <w:rFonts w:hint="eastAsia"/>
          <w:szCs w:val="21"/>
        </w:rPr>
        <w:t>该单位主要负责本规范的起草工作，成立编制组并根据委员会的工作安排组织编制组成员单位开展相关校准工作，组织各单位对规范的《征求意见稿》、《预审稿》及《送审稿》进行认真的讨论，并就提出的意见和建议进行反馈和修改，在编制组中发挥了主要带头作用。</w:t>
      </w:r>
    </w:p>
    <w:p>
      <w:pPr>
        <w:pStyle w:val="60"/>
        <w:numPr>
          <w:ilvl w:val="0"/>
          <w:numId w:val="0"/>
        </w:numPr>
        <w:spacing w:beforeLines="50" w:afterLines="50"/>
        <w:rPr>
          <w:color w:val="auto"/>
        </w:rPr>
      </w:pPr>
      <w:bookmarkStart w:id="5" w:name="_Toc464728901"/>
      <w:bookmarkStart w:id="6" w:name="_Toc462884345"/>
      <w:r>
        <w:rPr>
          <w:rFonts w:hint="eastAsia"/>
          <w:color w:val="auto"/>
        </w:rPr>
        <w:t>3.3成员单位简介</w:t>
      </w:r>
      <w:bookmarkEnd w:id="5"/>
      <w:bookmarkEnd w:id="6"/>
    </w:p>
    <w:p>
      <w:pPr>
        <w:pStyle w:val="59"/>
        <w:numPr>
          <w:ilvl w:val="0"/>
          <w:numId w:val="0"/>
        </w:numPr>
        <w:spacing w:beforeLines="50" w:afterLines="50"/>
        <w:contextualSpacing/>
        <w:rPr>
          <w:szCs w:val="21"/>
        </w:rPr>
      </w:pPr>
      <w:r>
        <w:rPr>
          <w:rFonts w:hint="eastAsia"/>
        </w:rPr>
        <w:t>3.3.1</w:t>
      </w:r>
      <w:r>
        <w:rPr>
          <w:rFonts w:hint="eastAsia"/>
          <w:szCs w:val="21"/>
        </w:rPr>
        <w:t>西南铝业（集团）有限责任公司</w:t>
      </w:r>
    </w:p>
    <w:p>
      <w:pPr>
        <w:spacing w:line="400" w:lineRule="exact"/>
        <w:ind w:firstLine="420" w:firstLineChars="200"/>
        <w:rPr>
          <w:szCs w:val="21"/>
        </w:rPr>
      </w:pPr>
      <w:r>
        <w:rPr>
          <w:rFonts w:hint="eastAsia"/>
          <w:szCs w:val="21"/>
        </w:rPr>
        <w:t>西南铝业（集团）有限责任公司公司（简称西南铝）位于重庆市九龙坡区西彭镇，前身为冶金部112厂、西南铝加工厂，始建于1965年7月，2000年12月改制成立有限责任公司，是我国为生产重点项目、航空航天所需大规格、新品种、高质量铝及铝合金材料而建设的大型企业。西南铝培养了中国工程院院士1人、两江学者1人、国家级技能大师1人、享受国务院政府津贴专家30余人，建有院士工作站，拥有国家级企业技术中心。西南铝建有校准实验室与检测实验室，均通过CNAS认可，具备对廉金属热电偶、工业贵金属热电偶、开展热电偶的CNAS校准能力。西南铝累计申请专利722件，其中授权发明专利249件、授权实用新型专利473件，主持和参与国家、行业标准277项。</w:t>
      </w:r>
    </w:p>
    <w:p>
      <w:pPr>
        <w:spacing w:line="400" w:lineRule="exact"/>
        <w:ind w:firstLine="420" w:firstLineChars="200"/>
        <w:contextualSpacing/>
        <w:jc w:val="left"/>
        <w:rPr>
          <w:szCs w:val="21"/>
        </w:rPr>
      </w:pPr>
      <w:r>
        <w:rPr>
          <w:rFonts w:hint="eastAsia"/>
          <w:szCs w:val="21"/>
        </w:rPr>
        <w:t>该单位积极参与编制组的各项工作会议，对规范的技术指标、校准项目内容提出了有效建议，是该规范的验证单位（附验证报告），在编制组中发挥了主要作用。</w:t>
      </w:r>
    </w:p>
    <w:p>
      <w:pPr>
        <w:pStyle w:val="59"/>
        <w:numPr>
          <w:ilvl w:val="0"/>
          <w:numId w:val="0"/>
        </w:numPr>
        <w:spacing w:beforeLines="50" w:afterLines="50"/>
        <w:contextualSpacing/>
        <w:rPr>
          <w:szCs w:val="21"/>
        </w:rPr>
      </w:pPr>
      <w:r>
        <w:rPr>
          <w:rFonts w:hint="eastAsia"/>
          <w:szCs w:val="21"/>
        </w:rPr>
        <w:t>3.3.2 有色金属技术经济研究院有限责任公司</w:t>
      </w:r>
    </w:p>
    <w:p>
      <w:pPr>
        <w:spacing w:line="400" w:lineRule="exact"/>
        <w:ind w:firstLine="420" w:firstLineChars="200"/>
        <w:rPr>
          <w:szCs w:val="21"/>
        </w:rPr>
      </w:pPr>
      <w:r>
        <w:rPr>
          <w:rFonts w:hint="eastAsia"/>
          <w:szCs w:val="21"/>
        </w:rPr>
        <w:t>有色金属技术经济研究院有限责任公司成立于1983年3月，是中央所属242家转制科研院所之一，</w:t>
      </w:r>
    </w:p>
    <w:p>
      <w:pPr>
        <w:spacing w:line="400" w:lineRule="exact"/>
        <w:rPr>
          <w:szCs w:val="21"/>
        </w:rPr>
      </w:pPr>
      <w:r>
        <w:rPr>
          <w:rFonts w:hint="eastAsia"/>
          <w:szCs w:val="21"/>
        </w:rPr>
        <w:t>于1999年7月由国家全额拨款科研事业单位转制为科技型企业，变更为现名称。隶属于中国有色金属工业协会(以下简称“协会”)，获批设立了国家级博士后科研工作站，是国家级高新技术企业和北京市高新技术企业。有五个主要业务板块，分别为信息咨询、标准专利、媒体宣传、分会工作及贸易投资，是我国有色金属行业专职从事产业发展战略研究与规划、市场信息服务与咨询、标准质量研究与专利查新、行业期刊出版发行、行业会议策划与组织的综合性科技服务机构，对外又称“中国有色金属工业信息中心”和“中国有色金属工业标准计量质量研究所”有色金属行业计量技术委员会是有色金属技术经济研究院有限责任公司下属机构，负责有色金属金属行业计量技术规范制修订工作。该机构自在充分发挥有色金属行业生产、科研、教学、质量检验和计量器具生产诸方面计量专家的作用，更好地开展有色金属行业的量值溯源、规范制修订、能力验证和提高计量标准建设与完善计量技术及其管理体系等工作。有色计量委员会是国家市场监督管理总局统一规划，受工业和信息化部的业务管理，由中国有色金属工业协会组建，从事有色金属行业计量技术及其管理工作的技术性组织，负责本行业计量技术规范的计划制定、修订、宣贯及有关政策的咨询工作。目前已发布行业规范20余项，在研40余项。</w:t>
      </w:r>
    </w:p>
    <w:p>
      <w:pPr>
        <w:spacing w:line="400" w:lineRule="exact"/>
        <w:ind w:firstLine="420" w:firstLineChars="200"/>
        <w:rPr>
          <w:szCs w:val="21"/>
        </w:rPr>
      </w:pPr>
      <w:r>
        <w:rPr>
          <w:rFonts w:hint="eastAsia"/>
          <w:szCs w:val="21"/>
        </w:rPr>
        <w:t>该单位积极参与编制组的各项工作会议，对规范的技术指标、校准方法等内容提出了有效建议，在</w:t>
      </w:r>
    </w:p>
    <w:p>
      <w:pPr>
        <w:spacing w:line="400" w:lineRule="exact"/>
        <w:rPr>
          <w:szCs w:val="21"/>
        </w:rPr>
      </w:pPr>
      <w:r>
        <w:rPr>
          <w:rFonts w:hint="eastAsia"/>
          <w:szCs w:val="21"/>
        </w:rPr>
        <w:t>编制组中发挥了主要作用。</w:t>
      </w:r>
    </w:p>
    <w:p>
      <w:pPr>
        <w:pStyle w:val="59"/>
        <w:numPr>
          <w:ilvl w:val="0"/>
          <w:numId w:val="0"/>
        </w:numPr>
        <w:spacing w:beforeLines="50" w:afterLines="50"/>
        <w:contextualSpacing/>
        <w:rPr>
          <w:szCs w:val="21"/>
        </w:rPr>
      </w:pPr>
      <w:r>
        <w:rPr>
          <w:rFonts w:hint="eastAsia"/>
          <w:szCs w:val="21"/>
        </w:rPr>
        <w:t>3.3.3 西安汉唐分析检测有限公司</w:t>
      </w:r>
    </w:p>
    <w:p>
      <w:pPr>
        <w:spacing w:line="400" w:lineRule="exact"/>
        <w:ind w:firstLine="420" w:firstLineChars="200"/>
        <w:rPr>
          <w:szCs w:val="21"/>
        </w:rPr>
      </w:pPr>
      <w:r>
        <w:rPr>
          <w:rFonts w:hint="eastAsia"/>
          <w:szCs w:val="21"/>
        </w:rPr>
        <w:t>西安汉唐分析检测有限公司是西北有色金属研究院(集团)控股子公司，属国有企业，主要从事有色</w:t>
      </w:r>
    </w:p>
    <w:p>
      <w:pPr>
        <w:spacing w:line="400" w:lineRule="exact"/>
        <w:rPr>
          <w:szCs w:val="21"/>
        </w:rPr>
      </w:pPr>
      <w:r>
        <w:rPr>
          <w:rFonts w:hint="eastAsia"/>
          <w:szCs w:val="21"/>
        </w:rPr>
        <w:t>产品的检测、可靠性评价、失效分析、质量评估、腐蚀性能及表面测试与表征、规范起草、检测方法的</w:t>
      </w:r>
    </w:p>
    <w:p>
      <w:pPr>
        <w:spacing w:line="400" w:lineRule="exact"/>
        <w:rPr>
          <w:szCs w:val="21"/>
        </w:rPr>
      </w:pPr>
      <w:r>
        <w:rPr>
          <w:rFonts w:hint="eastAsia"/>
          <w:szCs w:val="21"/>
        </w:rPr>
        <w:t>开发、标物的研制、设备的计量校准等。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先后承担了国家、省市多项重大课题，目前已建成国内唯一的核电堆芯材料分析检测平台、多层金属复合材料测试和评价平台、钛及钛合金专业检测平台。近10年起草有色金属国家/行业规范共80余项、发表论文120余篇、授权专利30余项。先后荣获中国有色金属工业一等奖、二等奖20余次。</w:t>
      </w:r>
    </w:p>
    <w:p>
      <w:pPr>
        <w:pStyle w:val="59"/>
        <w:numPr>
          <w:ilvl w:val="0"/>
          <w:numId w:val="0"/>
        </w:numPr>
        <w:spacing w:beforeLines="50" w:afterLines="50"/>
        <w:contextualSpacing/>
        <w:rPr>
          <w:szCs w:val="21"/>
        </w:rPr>
      </w:pPr>
      <w:r>
        <w:rPr>
          <w:rFonts w:hint="eastAsia"/>
          <w:szCs w:val="21"/>
        </w:rPr>
        <w:t>3.3.4 国标（北京）检测认证有限公司</w:t>
      </w:r>
    </w:p>
    <w:p>
      <w:pPr>
        <w:spacing w:line="400" w:lineRule="exact"/>
        <w:ind w:firstLine="420" w:firstLineChars="200"/>
        <w:rPr>
          <w:szCs w:val="21"/>
        </w:rPr>
      </w:pPr>
      <w:r>
        <w:rPr>
          <w:rFonts w:hint="eastAsia"/>
          <w:szCs w:val="21"/>
        </w:rPr>
        <w:t>国标（北京）检验认证有限公司是我国有色行业的材料研究和材料检测的权威机构。该公司运行着国家有色金属质量监督检验中心，于1985年开始筹建并承担检验任务。1990年通过国家技术质量监督检验检疫总局的审查认可，2001年通过实验室“三合一”认可。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pPr>
        <w:pStyle w:val="59"/>
        <w:numPr>
          <w:ilvl w:val="0"/>
          <w:numId w:val="0"/>
        </w:numPr>
        <w:spacing w:beforeLines="50" w:afterLines="50"/>
        <w:contextualSpacing/>
        <w:rPr>
          <w:szCs w:val="21"/>
        </w:rPr>
      </w:pPr>
      <w:r>
        <w:rPr>
          <w:rFonts w:hint="eastAsia"/>
          <w:szCs w:val="21"/>
        </w:rPr>
        <w:t>3.3.5 广东省科学院工业分析检测中心</w:t>
      </w:r>
    </w:p>
    <w:p>
      <w:pPr>
        <w:spacing w:line="400" w:lineRule="exact"/>
        <w:ind w:firstLine="420" w:firstLineChars="200"/>
        <w:rPr>
          <w:szCs w:val="21"/>
        </w:rPr>
      </w:pPr>
      <w:r>
        <w:rPr>
          <w:rFonts w:hint="eastAsia"/>
          <w:szCs w:val="21"/>
        </w:rPr>
        <w:t>广东省科学院工业分析检测中心始建于1971年，先后隶属于广州有色金属研究院、广东省工业技</w:t>
      </w:r>
    </w:p>
    <w:p>
      <w:pPr>
        <w:spacing w:line="400" w:lineRule="exact"/>
        <w:rPr>
          <w:szCs w:val="21"/>
        </w:rPr>
      </w:pPr>
      <w:r>
        <w:rPr>
          <w:rFonts w:hint="eastAsia"/>
          <w:szCs w:val="21"/>
        </w:rPr>
        <w:t>术研究院(广州有色金属研究院)，22015年12月经广东省机构编制委员会批准成为广东省科学院属下的</w:t>
      </w:r>
    </w:p>
    <w:p>
      <w:pPr>
        <w:spacing w:line="400" w:lineRule="exact"/>
        <w:rPr>
          <w:szCs w:val="21"/>
        </w:rPr>
      </w:pPr>
      <w:r>
        <w:rPr>
          <w:rFonts w:hint="eastAsia"/>
          <w:szCs w:val="21"/>
        </w:rPr>
        <w:t>独立二级事业法人单位。是我国从事矿产品、金属材料、治金产品、化工产品、再生资源质量检测和性</w:t>
      </w:r>
    </w:p>
    <w:p>
      <w:pPr>
        <w:spacing w:line="400" w:lineRule="exact"/>
        <w:rPr>
          <w:szCs w:val="21"/>
        </w:rPr>
      </w:pPr>
      <w:r>
        <w:rPr>
          <w:rFonts w:hint="eastAsia"/>
          <w:szCs w:val="21"/>
        </w:rPr>
        <w:t>能评价，欧盟环保(RopHS)指令的有害物质检测、金属材料综合利用检测以及分析测试技术研究与技术</w:t>
      </w:r>
    </w:p>
    <w:p>
      <w:pPr>
        <w:spacing w:line="400" w:lineRule="exact"/>
        <w:rPr>
          <w:szCs w:val="21"/>
        </w:rPr>
      </w:pPr>
      <w:r>
        <w:rPr>
          <w:rFonts w:hint="eastAsia"/>
          <w:szCs w:val="21"/>
        </w:rPr>
        <w:t>咨询的专业机构。中心现有高、中、初级专业技术和管理人员100余人，其中教授有15人，高级工程师24人，硕博士20人，具有中级职称以上科技人员占80%。累计申请专利19件，其中授权发明专利8件、授权实用新型专利2件。承担国家、省级各类项目50余项，主持和参与国家、行业标准200余项，发表专著5部，发表论文300余篇。</w:t>
      </w:r>
    </w:p>
    <w:p>
      <w:pPr>
        <w:spacing w:line="400" w:lineRule="exact"/>
        <w:ind w:firstLine="420" w:firstLineChars="200"/>
        <w:rPr>
          <w:szCs w:val="21"/>
        </w:rPr>
      </w:pPr>
      <w:r>
        <w:rPr>
          <w:rFonts w:hint="eastAsia"/>
          <w:szCs w:val="21"/>
        </w:rPr>
        <w:t>该单位积极参与编制组的各项工作会议，对规范的校准方法提出了有效建议，在编制组中发挥了主要作用。</w:t>
      </w:r>
    </w:p>
    <w:p>
      <w:pPr>
        <w:pStyle w:val="59"/>
        <w:numPr>
          <w:ilvl w:val="0"/>
          <w:numId w:val="0"/>
        </w:numPr>
        <w:spacing w:beforeLines="50" w:afterLines="50"/>
        <w:contextualSpacing/>
        <w:rPr>
          <w:szCs w:val="21"/>
        </w:rPr>
      </w:pPr>
      <w:r>
        <w:rPr>
          <w:rFonts w:hint="eastAsia"/>
          <w:szCs w:val="21"/>
        </w:rPr>
        <w:t>3.3.6 中国船舶集团有限公司第七二五研究所</w:t>
      </w:r>
    </w:p>
    <w:p>
      <w:pPr>
        <w:spacing w:line="400" w:lineRule="exact"/>
        <w:ind w:firstLine="420" w:firstLineChars="200"/>
        <w:rPr>
          <w:szCs w:val="21"/>
        </w:rPr>
      </w:pPr>
      <w:r>
        <w:rPr>
          <w:rFonts w:hint="eastAsia"/>
          <w:szCs w:val="21"/>
        </w:rPr>
        <w:t>中国船舶集团有限公司第七二五研究所是一个隶属于中国船舶集团有限公司的军工科研事业单位，成立于1961年。该所以专业从事舰船材料与工艺及应用性研究为主，拥有丰富的科研经验和强大的研发能力。七二五所下设8个研究室，包括1个国家级腐蚀与防护国防科技重点实验室和1个国防科技工业大型构件焊接技术中心，以及4个国家级海水环境试验站和11个科技产业公司。其研究领域广泛，包括船体结构材料研究、有色金属研究、非金属材料研究、腐蚀与防护研究、特种材料研究、焊接工艺研究、自然环境试验研究等。</w:t>
      </w:r>
    </w:p>
    <w:p>
      <w:pPr>
        <w:spacing w:line="400" w:lineRule="exact"/>
        <w:ind w:firstLine="420" w:firstLineChars="200"/>
        <w:rPr>
          <w:szCs w:val="21"/>
        </w:rPr>
      </w:pPr>
      <w:r>
        <w:rPr>
          <w:rFonts w:hint="eastAsia"/>
          <w:szCs w:val="21"/>
        </w:rPr>
        <w:t>中国船舶集团有限公司第七二五研究所参与新立项校准规范，配合制定校准规范中各项参数的规范，并且对讨论稿积极提出修改意见，并承担验证工作。</w:t>
      </w:r>
    </w:p>
    <w:p>
      <w:pPr>
        <w:pStyle w:val="59"/>
        <w:numPr>
          <w:ilvl w:val="0"/>
          <w:numId w:val="0"/>
        </w:numPr>
        <w:spacing w:beforeLines="50" w:afterLines="50"/>
        <w:contextualSpacing/>
        <w:rPr>
          <w:szCs w:val="21"/>
        </w:rPr>
      </w:pPr>
      <w:r>
        <w:rPr>
          <w:rFonts w:hint="eastAsia"/>
          <w:szCs w:val="21"/>
        </w:rPr>
        <w:t>3.3.7 国合通用（青岛）测试评价有限公司</w:t>
      </w:r>
    </w:p>
    <w:p>
      <w:pPr>
        <w:spacing w:line="400" w:lineRule="exact"/>
        <w:ind w:firstLine="420" w:firstLineChars="200"/>
        <w:rPr>
          <w:szCs w:val="21"/>
        </w:rPr>
      </w:pPr>
      <w:r>
        <w:rPr>
          <w:rFonts w:hint="eastAsia"/>
          <w:szCs w:val="21"/>
        </w:rPr>
        <w:t>国合通用（青岛）测试评价有限公司隶属于国务院国资委央企有研科技集团有限公司，是承担国家新材料测试评价平台-主中心项目国合通用测试评价认证股份公司的全资子公司，于2018年5月在青岛市注册成立，占地面积约1.5万㎡。 国合通用（青岛）测试评价有限公司设有“材料检测实验室”、“化学分析实验室”、“工业油品检测分析室”、“产品样品加工中心”，并建立金属材料腐蚀环境数据共享服务平台，可提供铝及铝合金、钢铁材料、镍及镍合金、钛及钛合金、工业用油、有机挥发物VOC、食品及环境等方面的检测评价服务。</w:t>
      </w:r>
    </w:p>
    <w:p>
      <w:pPr>
        <w:spacing w:line="400" w:lineRule="exact"/>
        <w:ind w:firstLine="420" w:firstLineChars="200"/>
      </w:pPr>
      <w:r>
        <w:rPr>
          <w:rFonts w:hint="eastAsia"/>
          <w:szCs w:val="21"/>
        </w:rPr>
        <w:t>该单位积极参与编制组的各项工作会议，对规范的校准方法提出了有效建议，在编制组中发挥了主要作用。</w:t>
      </w:r>
    </w:p>
    <w:p>
      <w:pPr>
        <w:pStyle w:val="59"/>
        <w:numPr>
          <w:ilvl w:val="0"/>
          <w:numId w:val="0"/>
        </w:numPr>
        <w:spacing w:beforeLines="50" w:afterLines="50"/>
        <w:contextualSpacing/>
        <w:rPr>
          <w:szCs w:val="21"/>
        </w:rPr>
      </w:pPr>
      <w:r>
        <w:rPr>
          <w:rFonts w:hint="eastAsia"/>
          <w:szCs w:val="21"/>
        </w:rPr>
        <w:t>3.3.8 中铝材料应用研究院有限公司</w:t>
      </w:r>
    </w:p>
    <w:p>
      <w:pPr>
        <w:spacing w:line="400" w:lineRule="exact"/>
        <w:ind w:firstLine="420" w:firstLineChars="200"/>
        <w:rPr>
          <w:szCs w:val="21"/>
        </w:rPr>
      </w:pPr>
      <w:r>
        <w:rPr>
          <w:rFonts w:hint="eastAsia"/>
          <w:szCs w:val="21"/>
        </w:rPr>
        <w:t>铝材料应用研究院有限公司是中国高牌制造直属的核心研究院，现有员工165人，其中科研人员程技134人，“千人计划”专家4人，高级以上职称41人，顾士88人，博士41人。试验检验中心(北京、苏州各设一个)为国家CNAS认可机构，具备开展有色金属材料研究和应用技术开发的基本硬件条件。累计承担科研项目98项，其中国家级项目3项，省部缀项目4项。</w:t>
      </w:r>
    </w:p>
    <w:p>
      <w:pPr>
        <w:spacing w:line="400" w:lineRule="exact"/>
        <w:ind w:firstLine="420" w:firstLineChars="200"/>
        <w:rPr>
          <w:szCs w:val="21"/>
        </w:rPr>
      </w:pPr>
      <w:r>
        <w:rPr>
          <w:rFonts w:hint="eastAsia"/>
          <w:szCs w:val="21"/>
        </w:rPr>
        <w:t>该单位积极参与编制组的各项工作会议，对规范的校准方法提出了有效建议，在编制组中发挥了主要作用。</w:t>
      </w:r>
    </w:p>
    <w:p>
      <w:pPr>
        <w:pStyle w:val="60"/>
        <w:numPr>
          <w:ilvl w:val="2"/>
          <w:numId w:val="0"/>
        </w:numPr>
        <w:spacing w:beforeLines="50" w:afterLines="50" w:line="240" w:lineRule="auto"/>
        <w:rPr>
          <w:rFonts w:ascii="Times New Roman" w:eastAsia="宋体"/>
          <w:color w:val="auto"/>
          <w:szCs w:val="21"/>
        </w:rPr>
      </w:pPr>
      <w:bookmarkStart w:id="7" w:name="_Toc462884347"/>
      <w:bookmarkStart w:id="8" w:name="_Toc464728903"/>
      <w:r>
        <w:rPr>
          <w:rFonts w:hint="eastAsia"/>
          <w:color w:val="auto"/>
        </w:rPr>
        <w:t>3.4</w:t>
      </w:r>
      <w:r>
        <w:rPr>
          <w:rFonts w:hint="eastAsia" w:ascii="Times New Roman" w:eastAsia="宋体"/>
          <w:color w:val="auto"/>
          <w:szCs w:val="21"/>
        </w:rPr>
        <w:t>各单位分工情况</w:t>
      </w:r>
    </w:p>
    <w:p>
      <w:pPr>
        <w:pStyle w:val="59"/>
        <w:numPr>
          <w:ilvl w:val="3"/>
          <w:numId w:val="0"/>
        </w:numPr>
        <w:spacing w:beforeLines="50" w:afterLines="50"/>
        <w:ind w:left="2"/>
        <w:contextualSpacing/>
      </w:pPr>
      <w:r>
        <w:rPr>
          <w:rFonts w:hint="eastAsia" w:hAnsi="Times New Roman" w:cs="宋体"/>
          <w:color w:val="auto"/>
          <w:kern w:val="2"/>
          <w:szCs w:val="21"/>
        </w:rPr>
        <w:t>3.4.1　</w:t>
      </w:r>
      <w:r>
        <w:rPr>
          <w:rFonts w:hint="eastAsia" w:ascii="Times New Roman" w:hAnsi="Times New Roman" w:eastAsia="宋体"/>
          <w:szCs w:val="21"/>
        </w:rPr>
        <w:t>编制组依据各单位情况，对整个规范的起草进行了分工。东北轻合金有限责任公司</w:t>
      </w:r>
      <w:r>
        <w:rPr>
          <w:rFonts w:ascii="宋体" w:hAnsi="宋体" w:eastAsia="宋体" w:cs="宋体"/>
          <w:color w:val="auto"/>
          <w:kern w:val="2"/>
          <w:szCs w:val="21"/>
        </w:rPr>
        <w:t>负责</w:t>
      </w:r>
      <w:r>
        <w:rPr>
          <w:rFonts w:hint="eastAsia" w:ascii="宋体" w:hAnsi="宋体" w:eastAsia="宋体" w:cs="宋体"/>
          <w:color w:val="auto"/>
          <w:kern w:val="2"/>
          <w:szCs w:val="21"/>
        </w:rPr>
        <w:t>资料的调研、</w:t>
      </w:r>
      <w:r>
        <w:rPr>
          <w:rFonts w:ascii="宋体" w:hAnsi="宋体" w:eastAsia="宋体" w:cs="宋体"/>
          <w:color w:val="auto"/>
          <w:kern w:val="2"/>
          <w:szCs w:val="21"/>
        </w:rPr>
        <w:t>收集，完成分析方法研究工作，撰写标准文稿、编制说明和研究报告</w:t>
      </w:r>
      <w:r>
        <w:rPr>
          <w:rFonts w:hint="eastAsia" w:ascii="宋体" w:hAnsi="宋体" w:eastAsia="宋体" w:cs="宋体"/>
          <w:color w:val="auto"/>
          <w:kern w:val="2"/>
          <w:szCs w:val="21"/>
        </w:rPr>
        <w:t>。</w:t>
      </w:r>
      <w:r>
        <w:rPr>
          <w:rFonts w:hint="eastAsia" w:ascii="Times New Roman" w:hAnsi="Times New Roman" w:eastAsia="宋体"/>
          <w:szCs w:val="21"/>
        </w:rPr>
        <w:t>西南铝业（集团）有限责任公司、有色金属技术经济研究院有限责任公司、西安汉唐分析检测有限公司、国标（北京）检测认证有限公司、广东省科学院工业分析检测中心、中国船舶集团有限公司第七二五研究所、国合通用（青岛）测试评价有限公司、中铝材料应用研究院有限公司对规范内容提出具体修改意见，</w:t>
      </w:r>
      <w:r>
        <w:rPr>
          <w:rFonts w:ascii="宋体" w:hAnsi="宋体" w:eastAsia="宋体" w:cs="宋体"/>
          <w:color w:val="auto"/>
          <w:kern w:val="2"/>
          <w:szCs w:val="21"/>
        </w:rPr>
        <w:t>提供</w:t>
      </w:r>
      <w:r>
        <w:rPr>
          <w:rFonts w:hint="eastAsia" w:ascii="宋体" w:hAnsi="宋体" w:eastAsia="宋体" w:cs="宋体"/>
          <w:color w:val="auto"/>
          <w:kern w:val="2"/>
          <w:szCs w:val="21"/>
        </w:rPr>
        <w:t>对规范方法的验证工作及完成相应验证报告</w:t>
      </w:r>
      <w:r>
        <w:rPr>
          <w:rFonts w:ascii="宋体" w:hAnsi="宋体" w:eastAsia="宋体" w:cs="宋体"/>
          <w:color w:val="auto"/>
          <w:kern w:val="2"/>
          <w:szCs w:val="21"/>
        </w:rPr>
        <w:t>，并对标准文稿等提出相应修改意见</w:t>
      </w:r>
      <w:r>
        <w:rPr>
          <w:rFonts w:hint="eastAsia" w:ascii="宋体" w:hAnsi="宋体" w:eastAsia="宋体" w:cs="宋体"/>
          <w:color w:val="auto"/>
          <w:kern w:val="2"/>
          <w:szCs w:val="21"/>
        </w:rPr>
        <w:t>，分工见表1。</w:t>
      </w:r>
    </w:p>
    <w:bookmarkEnd w:id="7"/>
    <w:bookmarkEnd w:id="8"/>
    <w:p>
      <w:pPr>
        <w:pStyle w:val="4"/>
        <w:spacing w:before="156" w:after="156"/>
        <w:rPr>
          <w:b w:val="0"/>
          <w:bCs w:val="0"/>
        </w:rPr>
      </w:pPr>
      <w:bookmarkStart w:id="9" w:name="_Toc464728913"/>
      <w:bookmarkStart w:id="10" w:name="_Toc462884357"/>
      <w:r>
        <w:rPr>
          <w:rFonts w:hint="eastAsia"/>
          <w:b w:val="0"/>
          <w:bCs w:val="0"/>
        </w:rPr>
        <w:t>4.主要工作过程</w:t>
      </w:r>
      <w:bookmarkEnd w:id="9"/>
      <w:bookmarkEnd w:id="10"/>
    </w:p>
    <w:p>
      <w:pPr>
        <w:spacing w:line="400" w:lineRule="exact"/>
        <w:ind w:firstLine="420" w:firstLineChars="200"/>
      </w:pPr>
      <w:bookmarkStart w:id="11" w:name="_Hlk134448643"/>
      <w:r>
        <w:rPr>
          <w:rFonts w:hint="eastAsia"/>
        </w:rPr>
        <w:t>东北轻合金有限责任公司于2024年7月接到有色金属行业计量技术委员会转发的下达的制定任务后，成立了计量规范编制组，对计量技术规范编写工作进行了部署和分工，制定了本规范的制定原则及工作计划。本项目主要工作过程经过了以下几个阶段：</w:t>
      </w:r>
    </w:p>
    <w:p>
      <w:pPr>
        <w:spacing w:line="400" w:lineRule="exact"/>
        <w:ind w:firstLine="420" w:firstLineChars="200"/>
      </w:pPr>
      <w:r>
        <w:t>1</w:t>
      </w:r>
      <w:r>
        <w:rPr>
          <w:rFonts w:hint="eastAsia"/>
        </w:rPr>
        <w:t>）</w:t>
      </w:r>
      <w:r>
        <w:t>20</w:t>
      </w:r>
      <w:r>
        <w:rPr>
          <w:rFonts w:hint="eastAsia"/>
        </w:rPr>
        <w:t>24年10月成立了计量规范编制组，明确了编制组成员各自的工作内容和任务。</w:t>
      </w:r>
    </w:p>
    <w:p>
      <w:pPr>
        <w:spacing w:line="400" w:lineRule="exact"/>
        <w:ind w:firstLine="420" w:firstLineChars="200"/>
      </w:pPr>
      <w:r>
        <w:t>2</w:t>
      </w:r>
      <w:r>
        <w:rPr>
          <w:rFonts w:hint="eastAsia"/>
        </w:rPr>
        <w:t>）</w:t>
      </w:r>
      <w:r>
        <w:t>20</w:t>
      </w:r>
      <w:r>
        <w:rPr>
          <w:rFonts w:hint="eastAsia"/>
        </w:rPr>
        <w:t>24年11月～2025年5月，编制组成员对《金属扩口试验机校准规范》中的计量特性及校准方法进行了讨论，确定了校准项目和方法，在</w:t>
      </w:r>
      <w:r>
        <w:t>202</w:t>
      </w:r>
      <w:r>
        <w:rPr>
          <w:rFonts w:hint="eastAsia"/>
        </w:rPr>
        <w:t>5年5月形成了计量规范讨论稿。</w:t>
      </w:r>
    </w:p>
    <w:bookmarkEnd w:id="11"/>
    <w:p>
      <w:pPr>
        <w:pStyle w:val="2"/>
        <w:spacing w:before="156" w:after="156"/>
        <w:rPr>
          <w:b w:val="0"/>
          <w:bCs w:val="0"/>
        </w:rPr>
      </w:pPr>
      <w:r>
        <w:rPr>
          <w:rFonts w:hint="eastAsia"/>
          <w:b w:val="0"/>
          <w:bCs w:val="0"/>
        </w:rPr>
        <w:t>二、编制原则和依据</w:t>
      </w:r>
    </w:p>
    <w:p>
      <w:pPr>
        <w:pStyle w:val="3"/>
        <w:spacing w:before="156" w:after="156"/>
        <w:rPr>
          <w:b w:val="0"/>
          <w:bCs w:val="0"/>
        </w:rPr>
      </w:pPr>
      <w:bookmarkStart w:id="12" w:name="_Toc464728925"/>
      <w:r>
        <w:rPr>
          <w:rFonts w:hint="eastAsia"/>
          <w:b w:val="0"/>
          <w:bCs w:val="0"/>
        </w:rPr>
        <w:t>（一）编制原则</w:t>
      </w:r>
      <w:bookmarkEnd w:id="12"/>
    </w:p>
    <w:p>
      <w:pPr>
        <w:spacing w:line="400" w:lineRule="exact"/>
        <w:ind w:firstLine="420" w:firstLineChars="200"/>
        <w:rPr>
          <w:szCs w:val="21"/>
        </w:rPr>
      </w:pPr>
      <w:bookmarkStart w:id="13" w:name="_Toc464728926"/>
      <w:r>
        <w:rPr>
          <w:rFonts w:hint="eastAsia"/>
          <w:szCs w:val="21"/>
        </w:rPr>
        <w:t>本规范是以JJF 1071-2010《国家计量校准规范编写规则》、JJF 1001-2011《通用计量术语及定义》和JJF 1059.1-2012《测量不确定度评定与表示》为基础性系列规范进行编写。</w:t>
      </w:r>
    </w:p>
    <w:p>
      <w:pPr>
        <w:spacing w:line="400" w:lineRule="exact"/>
        <w:ind w:firstLine="420" w:firstLineChars="200"/>
        <w:rPr>
          <w:szCs w:val="21"/>
        </w:rPr>
      </w:pPr>
      <w:r>
        <w:rPr>
          <w:rFonts w:hint="eastAsia"/>
          <w:szCs w:val="21"/>
        </w:rPr>
        <w:t>本规范引用了GB/T 242《金属管扩口试验方法》第一部分：范围，第六部分试验程序等相关内容。提出了对金属管扩口试验机计量特性的要求，制定了基本原则和编制依据，可对金属管扩口试验进行校准，解决了目前没有金属扩口试验机校准方法的难题。</w:t>
      </w:r>
    </w:p>
    <w:p>
      <w:pPr>
        <w:pStyle w:val="3"/>
        <w:spacing w:before="156" w:after="156"/>
        <w:rPr>
          <w:rFonts w:ascii="宋体" w:hAnsi="宋体"/>
          <w:b w:val="0"/>
          <w:bCs w:val="0"/>
        </w:rPr>
      </w:pPr>
      <w:r>
        <w:rPr>
          <w:rFonts w:hint="eastAsia"/>
          <w:b w:val="0"/>
          <w:bCs w:val="0"/>
        </w:rPr>
        <w:t>（二）确定主要内</w:t>
      </w:r>
      <w:bookmarkEnd w:id="13"/>
      <w:r>
        <w:rPr>
          <w:rFonts w:hint="eastAsia"/>
          <w:b w:val="0"/>
          <w:bCs w:val="0"/>
        </w:rPr>
        <w:t>容</w:t>
      </w:r>
    </w:p>
    <w:p>
      <w:pPr>
        <w:pStyle w:val="4"/>
        <w:spacing w:before="156" w:after="156"/>
        <w:rPr>
          <w:b w:val="0"/>
          <w:bCs w:val="0"/>
        </w:rPr>
      </w:pPr>
      <w:bookmarkStart w:id="14" w:name="_Toc193860177"/>
      <w:bookmarkStart w:id="15" w:name="_Toc193860027"/>
      <w:bookmarkStart w:id="16" w:name="_Toc193860208"/>
      <w:bookmarkStart w:id="17" w:name="_Toc500258929"/>
      <w:bookmarkStart w:id="18" w:name="_Toc23837_WPSOffice_Level1"/>
      <w:bookmarkStart w:id="19" w:name="_Toc464728964"/>
      <w:r>
        <w:rPr>
          <w:rFonts w:hint="eastAsia"/>
          <w:b w:val="0"/>
          <w:bCs w:val="0"/>
        </w:rPr>
        <w:t>1.标准调研基本情况</w:t>
      </w:r>
    </w:p>
    <w:p>
      <w:pPr>
        <w:pStyle w:val="4"/>
        <w:spacing w:before="156" w:after="156"/>
        <w:ind w:firstLine="420" w:firstLineChars="200"/>
        <w:rPr>
          <w:rFonts w:eastAsia="宋体"/>
          <w:b w:val="0"/>
          <w:bCs w:val="0"/>
          <w:szCs w:val="21"/>
        </w:rPr>
      </w:pPr>
      <w:r>
        <w:rPr>
          <w:rFonts w:hint="eastAsia" w:eastAsia="宋体"/>
          <w:b w:val="0"/>
          <w:bCs w:val="0"/>
          <w:szCs w:val="21"/>
        </w:rPr>
        <w:t>调研内容包括以下信息：</w:t>
      </w:r>
    </w:p>
    <w:p>
      <w:pPr>
        <w:numPr>
          <w:ilvl w:val="0"/>
          <w:numId w:val="11"/>
        </w:numPr>
        <w:ind w:firstLine="420" w:firstLineChars="200"/>
        <w:rPr>
          <w:szCs w:val="21"/>
        </w:rPr>
      </w:pPr>
      <w:r>
        <w:rPr>
          <w:rFonts w:hint="eastAsia"/>
          <w:szCs w:val="21"/>
        </w:rPr>
        <w:t>标准需求</w:t>
      </w:r>
    </w:p>
    <w:p>
      <w:pPr>
        <w:spacing w:line="360" w:lineRule="auto"/>
        <w:ind w:firstLine="420" w:firstLineChars="200"/>
        <w:rPr>
          <w:szCs w:val="21"/>
        </w:rPr>
      </w:pPr>
      <w:r>
        <w:rPr>
          <w:rFonts w:hint="eastAsia"/>
          <w:szCs w:val="21"/>
        </w:rPr>
        <w:t>可调速的金属扩口试验机，在规定试验机挤压板移动运行速度、顶心锥形角度试验范围内对金属管材进行扩口实验，通过冲击到样品表面，扩大管段的最大外径，依据相关产品要求，肉眼观测是否有可见裂纹，通过评价金属管材材料的变形和裂纹等质量的结合情况，来表征材料的抗变形破裂性，在金属材料行业得到了广泛的应用。</w:t>
      </w:r>
    </w:p>
    <w:p>
      <w:pPr>
        <w:spacing w:line="360" w:lineRule="auto"/>
        <w:ind w:firstLine="420" w:firstLineChars="200"/>
        <w:rPr>
          <w:szCs w:val="21"/>
        </w:rPr>
      </w:pPr>
      <w:r>
        <w:rPr>
          <w:rFonts w:hint="eastAsia"/>
          <w:szCs w:val="21"/>
        </w:rPr>
        <w:t>目前该试验机没有专用的校准规范，为科学的校准规范能规范校准操作并确保校准结果的准确性，保证行业领域产品性能检测的量值溯源，特制定本校准规范，保证测定金属管塑性变形能力的可靠性，对汽车轻量化、绿色能源产业的发展起到促进作用，较好的支撑我国碳中和、碳达峰的总体目标，促进新经济形态加快发展。</w:t>
      </w:r>
    </w:p>
    <w:p>
      <w:pPr>
        <w:spacing w:line="400" w:lineRule="exact"/>
        <w:ind w:firstLine="420" w:firstLineChars="200"/>
        <w:rPr>
          <w:szCs w:val="21"/>
          <w:highlight w:val="yellow"/>
        </w:rPr>
      </w:pPr>
      <w:r>
        <w:rPr>
          <w:rFonts w:hint="eastAsia"/>
          <w:szCs w:val="21"/>
        </w:rPr>
        <w:t>2）各企业金属扩口试验机设备及实际计量情况</w:t>
      </w:r>
    </w:p>
    <w:p>
      <w:pPr>
        <w:spacing w:line="360" w:lineRule="auto"/>
        <w:ind w:firstLine="420" w:firstLineChars="200"/>
        <w:rPr>
          <w:szCs w:val="21"/>
        </w:rPr>
      </w:pPr>
    </w:p>
    <w:p>
      <w:pPr>
        <w:spacing w:line="360" w:lineRule="auto"/>
        <w:ind w:firstLine="210" w:firstLineChars="100"/>
        <w:jc w:val="center"/>
      </w:pPr>
      <w:r>
        <w:rPr>
          <w:rFonts w:hint="eastAsia"/>
        </w:rPr>
        <w:t>表2金属扩口试验机的调研信息</w:t>
      </w:r>
    </w:p>
    <w:tbl>
      <w:tblPr>
        <w:tblStyle w:val="41"/>
        <w:tblW w:w="4505" w:type="pct"/>
        <w:jc w:val="center"/>
        <w:tblLayout w:type="fixed"/>
        <w:tblCellMar>
          <w:top w:w="0" w:type="dxa"/>
          <w:left w:w="108" w:type="dxa"/>
          <w:bottom w:w="0" w:type="dxa"/>
          <w:right w:w="108" w:type="dxa"/>
        </w:tblCellMar>
      </w:tblPr>
      <w:tblGrid>
        <w:gridCol w:w="1535"/>
        <w:gridCol w:w="1326"/>
        <w:gridCol w:w="1236"/>
        <w:gridCol w:w="1035"/>
        <w:gridCol w:w="1223"/>
        <w:gridCol w:w="1643"/>
        <w:gridCol w:w="625"/>
      </w:tblGrid>
      <w:tr>
        <w:tblPrEx>
          <w:tblCellMar>
            <w:top w:w="0" w:type="dxa"/>
            <w:left w:w="108" w:type="dxa"/>
            <w:bottom w:w="0" w:type="dxa"/>
            <w:right w:w="108" w:type="dxa"/>
          </w:tblCellMar>
        </w:tblPrEx>
        <w:trPr>
          <w:trHeight w:val="567" w:hRule="atLeast"/>
          <w:jc w:val="center"/>
        </w:trPr>
        <w:tc>
          <w:tcPr>
            <w:tcW w:w="1535" w:type="dxa"/>
            <w:vMerge w:val="restart"/>
            <w:tcBorders>
              <w:top w:val="single" w:color="auto" w:sz="4" w:space="0"/>
              <w:left w:val="single" w:color="auto" w:sz="4" w:space="0"/>
              <w:right w:val="single" w:color="auto" w:sz="4" w:space="0"/>
            </w:tcBorders>
            <w:shd w:val="clear" w:color="auto" w:fill="auto"/>
            <w:noWrap/>
            <w:vAlign w:val="center"/>
          </w:tcPr>
          <w:p>
            <w:pPr>
              <w:spacing w:line="360" w:lineRule="auto"/>
              <w:jc w:val="center"/>
            </w:pPr>
            <w:r>
              <w:rPr>
                <w:rFonts w:hint="eastAsia"/>
              </w:rPr>
              <w:t>使用单位</w:t>
            </w:r>
          </w:p>
        </w:tc>
        <w:tc>
          <w:tcPr>
            <w:tcW w:w="7088"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cs="宋体"/>
                <w:color w:val="000000"/>
                <w:kern w:val="0"/>
                <w:szCs w:val="21"/>
              </w:rPr>
            </w:pPr>
            <w:r>
              <w:rPr>
                <w:rFonts w:hint="eastAsia" w:cs="宋体"/>
                <w:color w:val="000000"/>
                <w:kern w:val="0"/>
                <w:szCs w:val="21"/>
              </w:rPr>
              <w:t>金属扩口试验机</w:t>
            </w:r>
          </w:p>
        </w:tc>
      </w:tr>
      <w:tr>
        <w:tblPrEx>
          <w:tblCellMar>
            <w:top w:w="0" w:type="dxa"/>
            <w:left w:w="108" w:type="dxa"/>
            <w:bottom w:w="0" w:type="dxa"/>
            <w:right w:w="108" w:type="dxa"/>
          </w:tblCellMar>
        </w:tblPrEx>
        <w:trPr>
          <w:trHeight w:val="567" w:hRule="atLeast"/>
          <w:jc w:val="center"/>
        </w:trPr>
        <w:tc>
          <w:tcPr>
            <w:tcW w:w="1535" w:type="dxa"/>
            <w:vMerge w:val="continue"/>
            <w:tcBorders>
              <w:left w:val="single" w:color="auto" w:sz="4" w:space="0"/>
              <w:bottom w:val="single" w:color="auto" w:sz="4" w:space="0"/>
              <w:right w:val="single" w:color="auto" w:sz="4" w:space="0"/>
            </w:tcBorders>
            <w:shd w:val="clear" w:color="auto" w:fill="auto"/>
            <w:noWrap/>
            <w:vAlign w:val="center"/>
          </w:tcPr>
          <w:p>
            <w:pPr>
              <w:spacing w:line="360" w:lineRule="auto"/>
            </w:pPr>
          </w:p>
        </w:tc>
        <w:tc>
          <w:tcPr>
            <w:tcW w:w="13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hint="eastAsia" w:cs="宋体"/>
                <w:color w:val="000000"/>
                <w:kern w:val="0"/>
                <w:szCs w:val="21"/>
              </w:rPr>
              <w:t>型号</w:t>
            </w:r>
          </w:p>
        </w:tc>
        <w:tc>
          <w:tcPr>
            <w:tcW w:w="12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hint="eastAsia" w:cs="宋体"/>
                <w:color w:val="000000"/>
                <w:kern w:val="0"/>
                <w:szCs w:val="21"/>
              </w:rPr>
              <w:t>生产厂家</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hint="eastAsia" w:cs="宋体"/>
                <w:color w:val="000000"/>
                <w:kern w:val="0"/>
                <w:szCs w:val="21"/>
              </w:rPr>
              <w:t>扩口管材直径</w:t>
            </w:r>
          </w:p>
        </w:tc>
        <w:tc>
          <w:tcPr>
            <w:tcW w:w="12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hint="eastAsia" w:cs="宋体"/>
                <w:color w:val="000000"/>
                <w:kern w:val="0"/>
                <w:szCs w:val="21"/>
              </w:rPr>
              <w:t>扩口材质</w:t>
            </w:r>
          </w:p>
        </w:tc>
        <w:tc>
          <w:tcPr>
            <w:tcW w:w="16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color w:val="000000"/>
                <w:kern w:val="0"/>
                <w:szCs w:val="21"/>
              </w:rPr>
            </w:pPr>
            <w:r>
              <w:rPr>
                <w:rFonts w:hint="eastAsia" w:cs="宋体"/>
                <w:color w:val="000000"/>
                <w:kern w:val="0"/>
                <w:szCs w:val="21"/>
              </w:rPr>
              <w:t>顶芯锥度</w:t>
            </w:r>
          </w:p>
        </w:tc>
        <w:tc>
          <w:tcPr>
            <w:tcW w:w="625" w:type="dxa"/>
            <w:tcBorders>
              <w:top w:val="single" w:color="auto" w:sz="4" w:space="0"/>
              <w:left w:val="nil"/>
              <w:bottom w:val="single" w:color="auto" w:sz="4" w:space="0"/>
              <w:right w:val="single" w:color="auto" w:sz="4" w:space="0"/>
            </w:tcBorders>
          </w:tcPr>
          <w:p>
            <w:pPr>
              <w:widowControl/>
              <w:jc w:val="center"/>
              <w:rPr>
                <w:rFonts w:hint="eastAsia" w:cs="宋体"/>
                <w:color w:val="000000"/>
                <w:kern w:val="0"/>
                <w:szCs w:val="21"/>
              </w:rPr>
            </w:pPr>
            <w:r>
              <w:rPr>
                <w:rFonts w:hint="eastAsia" w:cs="宋体"/>
                <w:color w:val="000000"/>
                <w:kern w:val="0"/>
                <w:szCs w:val="21"/>
              </w:rPr>
              <w:t>底部是否有夹持装置</w:t>
            </w:r>
          </w:p>
        </w:tc>
      </w:tr>
      <w:tr>
        <w:tblPrEx>
          <w:tblCellMar>
            <w:top w:w="0" w:type="dxa"/>
            <w:left w:w="108" w:type="dxa"/>
            <w:bottom w:w="0" w:type="dxa"/>
            <w:right w:w="108" w:type="dxa"/>
          </w:tblCellMar>
        </w:tblPrEx>
        <w:trPr>
          <w:trHeight w:val="567" w:hRule="atLeast"/>
          <w:jc w:val="center"/>
        </w:trPr>
        <w:tc>
          <w:tcPr>
            <w:tcW w:w="153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pPr>
            <w:r>
              <w:rPr>
                <w:rFonts w:hint="eastAsia" w:ascii="宋体" w:hAnsi="宋体" w:cs="宋体"/>
                <w:szCs w:val="21"/>
              </w:rPr>
              <w:t>东北轻合金有限责任公司</w:t>
            </w:r>
          </w:p>
        </w:tc>
        <w:tc>
          <w:tcPr>
            <w:tcW w:w="1326"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left"/>
            </w:pPr>
            <w:r>
              <w:rPr>
                <w:rFonts w:hint="eastAsia"/>
              </w:rPr>
              <w:t>WDW-100</w:t>
            </w:r>
          </w:p>
        </w:tc>
        <w:tc>
          <w:tcPr>
            <w:tcW w:w="1236"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left"/>
              <w:rPr>
                <w:rFonts w:cs="宋体"/>
                <w:color w:val="000000"/>
                <w:kern w:val="0"/>
                <w:szCs w:val="21"/>
              </w:rPr>
            </w:pPr>
            <w:r>
              <w:rPr>
                <w:rFonts w:hint="eastAsia" w:cs="宋体"/>
                <w:color w:val="000000"/>
                <w:kern w:val="0"/>
                <w:szCs w:val="21"/>
              </w:rPr>
              <w:t>济南东测试验机技术有限公司</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left"/>
              <w:rPr>
                <w:rFonts w:cs="宋体"/>
                <w:color w:val="000000"/>
                <w:kern w:val="0"/>
                <w:szCs w:val="21"/>
              </w:rPr>
            </w:pPr>
            <w:r>
              <w:rPr>
                <w:rFonts w:hint="eastAsia" w:cs="宋体"/>
                <w:color w:val="000000"/>
                <w:kern w:val="0"/>
                <w:szCs w:val="21"/>
              </w:rPr>
              <w:t>（6</w:t>
            </w:r>
            <w:r>
              <w:rPr>
                <w:rFonts w:cs="宋体"/>
                <w:color w:val="000000"/>
                <w:kern w:val="0"/>
                <w:szCs w:val="21"/>
              </w:rPr>
              <w:t>-</w:t>
            </w:r>
            <w:r>
              <w:rPr>
                <w:rFonts w:hint="eastAsia" w:cs="宋体"/>
                <w:color w:val="000000"/>
                <w:kern w:val="0"/>
                <w:szCs w:val="21"/>
              </w:rPr>
              <w:t>4</w:t>
            </w:r>
            <w:r>
              <w:rPr>
                <w:rFonts w:cs="宋体"/>
                <w:color w:val="000000"/>
                <w:kern w:val="0"/>
                <w:szCs w:val="21"/>
              </w:rPr>
              <w:t>0</w:t>
            </w:r>
            <w:r>
              <w:rPr>
                <w:rFonts w:hint="eastAsia" w:cs="宋体"/>
                <w:color w:val="000000"/>
                <w:kern w:val="0"/>
                <w:szCs w:val="21"/>
              </w:rPr>
              <w:t>）</w:t>
            </w:r>
            <w:r>
              <w:rPr>
                <w:rFonts w:cs="宋体"/>
                <w:color w:val="000000"/>
                <w:kern w:val="0"/>
                <w:szCs w:val="21"/>
              </w:rPr>
              <w:t>mm</w:t>
            </w:r>
          </w:p>
        </w:tc>
        <w:tc>
          <w:tcPr>
            <w:tcW w:w="1223"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left"/>
              <w:rPr>
                <w:rFonts w:cs="宋体"/>
                <w:color w:val="000000"/>
                <w:kern w:val="0"/>
                <w:szCs w:val="21"/>
              </w:rPr>
            </w:pPr>
            <w:r>
              <w:rPr>
                <w:rFonts w:hint="eastAsia" w:cs="宋体"/>
                <w:color w:val="000000"/>
                <w:kern w:val="0"/>
                <w:szCs w:val="21"/>
              </w:rPr>
              <w:t>铝合金</w:t>
            </w:r>
          </w:p>
        </w:tc>
        <w:tc>
          <w:tcPr>
            <w:tcW w:w="1643"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left"/>
              <w:rPr>
                <w:rFonts w:cs="宋体"/>
                <w:color w:val="000000"/>
                <w:kern w:val="0"/>
                <w:szCs w:val="21"/>
              </w:rPr>
            </w:pPr>
            <w:r>
              <w:rPr>
                <w:rFonts w:hint="eastAsia" w:cs="宋体"/>
                <w:color w:val="000000"/>
                <w:kern w:val="0"/>
                <w:szCs w:val="21"/>
              </w:rPr>
              <w:t>30°，45°，60°，74°</w:t>
            </w:r>
          </w:p>
        </w:tc>
        <w:tc>
          <w:tcPr>
            <w:tcW w:w="625" w:type="dxa"/>
            <w:tcBorders>
              <w:top w:val="single" w:color="auto" w:sz="4" w:space="0"/>
              <w:left w:val="nil"/>
              <w:bottom w:val="single" w:color="auto" w:sz="4" w:space="0"/>
              <w:right w:val="single" w:color="auto" w:sz="4" w:space="0"/>
            </w:tcBorders>
          </w:tcPr>
          <w:p>
            <w:pPr>
              <w:spacing w:line="360" w:lineRule="auto"/>
              <w:jc w:val="left"/>
              <w:rPr>
                <w:rFonts w:hint="eastAsia" w:cs="宋体"/>
                <w:color w:val="000000"/>
                <w:kern w:val="0"/>
                <w:szCs w:val="21"/>
              </w:rPr>
            </w:pPr>
            <w:r>
              <w:rPr>
                <w:rFonts w:hint="eastAsia" w:cs="宋体"/>
                <w:color w:val="000000"/>
                <w:kern w:val="0"/>
                <w:szCs w:val="21"/>
              </w:rPr>
              <w:t>是</w:t>
            </w:r>
          </w:p>
        </w:tc>
      </w:tr>
      <w:tr>
        <w:tblPrEx>
          <w:tblCellMar>
            <w:top w:w="0" w:type="dxa"/>
            <w:left w:w="108" w:type="dxa"/>
            <w:bottom w:w="0" w:type="dxa"/>
            <w:right w:w="108" w:type="dxa"/>
          </w:tblCellMar>
        </w:tblPrEx>
        <w:trPr>
          <w:trHeight w:val="567" w:hRule="atLeast"/>
          <w:jc w:val="center"/>
        </w:trPr>
        <w:tc>
          <w:tcPr>
            <w:tcW w:w="153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pPr>
            <w:r>
              <w:rPr>
                <w:rFonts w:hint="eastAsia"/>
                <w:szCs w:val="21"/>
              </w:rPr>
              <w:t>国标（北京）检测认证有限公司</w:t>
            </w:r>
          </w:p>
        </w:tc>
        <w:tc>
          <w:tcPr>
            <w:tcW w:w="1326"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pPr>
            <w:r>
              <w:rPr>
                <w:rFonts w:hint="eastAsia"/>
              </w:rPr>
              <w:t>WDW-300</w:t>
            </w:r>
          </w:p>
        </w:tc>
        <w:tc>
          <w:tcPr>
            <w:tcW w:w="1236"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left"/>
              <w:rPr>
                <w:rFonts w:cs="宋体"/>
                <w:color w:val="000000"/>
                <w:kern w:val="0"/>
                <w:szCs w:val="21"/>
              </w:rPr>
            </w:pPr>
            <w:r>
              <w:rPr>
                <w:rFonts w:hint="eastAsia"/>
              </w:rPr>
              <w:t>长春科新试验仪器有限公司</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left"/>
              <w:rPr>
                <w:rFonts w:cs="宋体"/>
                <w:color w:val="000000"/>
                <w:kern w:val="0"/>
                <w:szCs w:val="21"/>
              </w:rPr>
            </w:pPr>
            <w:r>
              <w:rPr>
                <w:rFonts w:hint="eastAsia" w:cs="宋体"/>
                <w:color w:val="000000"/>
                <w:kern w:val="0"/>
                <w:szCs w:val="21"/>
              </w:rPr>
              <w:t>/</w:t>
            </w:r>
          </w:p>
        </w:tc>
        <w:tc>
          <w:tcPr>
            <w:tcW w:w="1223"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left"/>
              <w:rPr>
                <w:rFonts w:cs="宋体"/>
                <w:color w:val="000000"/>
                <w:kern w:val="0"/>
                <w:szCs w:val="21"/>
              </w:rPr>
            </w:pPr>
            <w:r>
              <w:rPr>
                <w:rFonts w:hint="eastAsia" w:cs="宋体"/>
                <w:color w:val="000000"/>
                <w:kern w:val="0"/>
                <w:szCs w:val="21"/>
              </w:rPr>
              <w:t>/</w:t>
            </w:r>
          </w:p>
        </w:tc>
        <w:tc>
          <w:tcPr>
            <w:tcW w:w="1643"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left"/>
              <w:rPr>
                <w:rFonts w:cs="宋体"/>
                <w:color w:val="000000"/>
                <w:kern w:val="0"/>
                <w:szCs w:val="21"/>
              </w:rPr>
            </w:pPr>
            <w:r>
              <w:rPr>
                <w:rFonts w:hint="eastAsia" w:cs="宋体"/>
                <w:color w:val="000000"/>
                <w:kern w:val="0"/>
                <w:szCs w:val="21"/>
              </w:rPr>
              <w:t>30°，45°，60°，72°</w:t>
            </w:r>
          </w:p>
        </w:tc>
        <w:tc>
          <w:tcPr>
            <w:tcW w:w="625" w:type="dxa"/>
            <w:tcBorders>
              <w:top w:val="single" w:color="auto" w:sz="4" w:space="0"/>
              <w:left w:val="nil"/>
              <w:bottom w:val="single" w:color="auto" w:sz="4" w:space="0"/>
              <w:right w:val="single" w:color="auto" w:sz="4" w:space="0"/>
            </w:tcBorders>
          </w:tcPr>
          <w:p>
            <w:pPr>
              <w:spacing w:line="360" w:lineRule="auto"/>
              <w:jc w:val="left"/>
              <w:rPr>
                <w:rFonts w:hint="eastAsia" w:cs="宋体"/>
                <w:color w:val="000000"/>
                <w:kern w:val="0"/>
                <w:szCs w:val="21"/>
              </w:rPr>
            </w:pPr>
            <w:r>
              <w:rPr>
                <w:rFonts w:hint="eastAsia" w:cs="宋体"/>
                <w:color w:val="000000"/>
                <w:kern w:val="0"/>
                <w:szCs w:val="21"/>
              </w:rPr>
              <w:t>否</w:t>
            </w:r>
          </w:p>
        </w:tc>
      </w:tr>
      <w:tr>
        <w:tblPrEx>
          <w:tblCellMar>
            <w:top w:w="0" w:type="dxa"/>
            <w:left w:w="108" w:type="dxa"/>
            <w:bottom w:w="0" w:type="dxa"/>
            <w:right w:w="108" w:type="dxa"/>
          </w:tblCellMar>
        </w:tblPrEx>
        <w:trPr>
          <w:trHeight w:val="567" w:hRule="atLeast"/>
          <w:jc w:val="center"/>
        </w:trPr>
        <w:tc>
          <w:tcPr>
            <w:tcW w:w="153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pPr>
            <w:r>
              <w:rPr>
                <w:rFonts w:hint="eastAsia"/>
                <w:szCs w:val="21"/>
              </w:rPr>
              <w:t>国合通用（青岛）测试评价有限公司</w:t>
            </w:r>
          </w:p>
        </w:tc>
        <w:tc>
          <w:tcPr>
            <w:tcW w:w="1326"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pPr>
            <w:r>
              <w:rPr>
                <w:rFonts w:hint="eastAsia"/>
              </w:rPr>
              <w:t>ETM305D</w:t>
            </w:r>
          </w:p>
        </w:tc>
        <w:tc>
          <w:tcPr>
            <w:tcW w:w="1236"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left"/>
              <w:rPr>
                <w:rFonts w:cs="宋体"/>
                <w:color w:val="000000"/>
                <w:kern w:val="0"/>
                <w:szCs w:val="21"/>
              </w:rPr>
            </w:pPr>
            <w:r>
              <w:rPr>
                <w:rFonts w:cs="宋体"/>
                <w:color w:val="000000"/>
                <w:kern w:val="0"/>
                <w:szCs w:val="21"/>
              </w:rPr>
              <w:t>生产厂家：深圳万测试验设备有限公司</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left"/>
              <w:rPr>
                <w:rFonts w:cs="宋体"/>
                <w:color w:val="000000"/>
                <w:kern w:val="0"/>
                <w:szCs w:val="21"/>
              </w:rPr>
            </w:pPr>
            <w:r>
              <w:rPr>
                <w:rFonts w:hint="eastAsia" w:cs="宋体"/>
                <w:color w:val="000000"/>
                <w:kern w:val="0"/>
                <w:szCs w:val="21"/>
              </w:rPr>
              <w:t>（</w:t>
            </w:r>
            <w:r>
              <w:rPr>
                <w:rFonts w:cs="宋体"/>
                <w:color w:val="000000"/>
                <w:kern w:val="0"/>
                <w:szCs w:val="21"/>
              </w:rPr>
              <w:t>10-50</w:t>
            </w:r>
            <w:r>
              <w:rPr>
                <w:rFonts w:hint="eastAsia" w:cs="宋体"/>
                <w:color w:val="000000"/>
                <w:kern w:val="0"/>
                <w:szCs w:val="21"/>
              </w:rPr>
              <w:t>）</w:t>
            </w:r>
            <w:r>
              <w:rPr>
                <w:rFonts w:cs="宋体"/>
                <w:color w:val="000000"/>
                <w:kern w:val="0"/>
                <w:szCs w:val="21"/>
              </w:rPr>
              <w:t>mm</w:t>
            </w:r>
          </w:p>
        </w:tc>
        <w:tc>
          <w:tcPr>
            <w:tcW w:w="1223"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left"/>
              <w:rPr>
                <w:rFonts w:cs="宋体"/>
                <w:color w:val="000000"/>
                <w:kern w:val="0"/>
                <w:szCs w:val="21"/>
              </w:rPr>
            </w:pPr>
            <w:r>
              <w:rPr>
                <w:rFonts w:cs="宋体"/>
                <w:color w:val="000000"/>
                <w:kern w:val="0"/>
                <w:szCs w:val="21"/>
              </w:rPr>
              <w:t>不锈钢、钛合金、铜合金等</w:t>
            </w:r>
          </w:p>
          <w:p>
            <w:pPr>
              <w:spacing w:line="360" w:lineRule="auto"/>
              <w:jc w:val="left"/>
              <w:rPr>
                <w:rFonts w:cs="宋体"/>
                <w:color w:val="000000"/>
                <w:kern w:val="0"/>
                <w:szCs w:val="21"/>
              </w:rPr>
            </w:pPr>
          </w:p>
        </w:tc>
        <w:tc>
          <w:tcPr>
            <w:tcW w:w="1643"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left"/>
              <w:rPr>
                <w:rFonts w:cs="宋体"/>
                <w:color w:val="000000"/>
                <w:kern w:val="0"/>
                <w:szCs w:val="21"/>
              </w:rPr>
            </w:pPr>
            <w:r>
              <w:rPr>
                <w:rFonts w:cs="宋体"/>
                <w:color w:val="000000"/>
                <w:kern w:val="0"/>
                <w:szCs w:val="21"/>
              </w:rPr>
              <w:t>45°、60°、75°（可以根据需求进行加工</w:t>
            </w:r>
            <w:r>
              <w:rPr>
                <w:rFonts w:hint="eastAsia" w:cs="宋体"/>
                <w:color w:val="000000"/>
                <w:kern w:val="0"/>
                <w:szCs w:val="21"/>
              </w:rPr>
              <w:t>)</w:t>
            </w:r>
          </w:p>
        </w:tc>
        <w:tc>
          <w:tcPr>
            <w:tcW w:w="625" w:type="dxa"/>
            <w:tcBorders>
              <w:top w:val="single" w:color="auto" w:sz="4" w:space="0"/>
              <w:left w:val="nil"/>
              <w:bottom w:val="single" w:color="auto" w:sz="4" w:space="0"/>
              <w:right w:val="single" w:color="auto" w:sz="4" w:space="0"/>
            </w:tcBorders>
          </w:tcPr>
          <w:p>
            <w:pPr>
              <w:spacing w:line="360" w:lineRule="auto"/>
              <w:jc w:val="left"/>
              <w:rPr>
                <w:rFonts w:cs="宋体"/>
                <w:color w:val="000000"/>
                <w:kern w:val="0"/>
                <w:szCs w:val="21"/>
              </w:rPr>
            </w:pPr>
            <w:r>
              <w:rPr>
                <w:rFonts w:hint="eastAsia" w:cs="宋体"/>
                <w:color w:val="000000"/>
                <w:kern w:val="0"/>
                <w:szCs w:val="21"/>
              </w:rPr>
              <w:t>否</w:t>
            </w:r>
          </w:p>
        </w:tc>
      </w:tr>
      <w:tr>
        <w:tblPrEx>
          <w:tblCellMar>
            <w:top w:w="0" w:type="dxa"/>
            <w:left w:w="108" w:type="dxa"/>
            <w:bottom w:w="0" w:type="dxa"/>
            <w:right w:w="108" w:type="dxa"/>
          </w:tblCellMar>
        </w:tblPrEx>
        <w:trPr>
          <w:trHeight w:val="567" w:hRule="atLeast"/>
          <w:jc w:val="center"/>
        </w:trPr>
        <w:tc>
          <w:tcPr>
            <w:tcW w:w="153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pPr>
            <w:r>
              <w:rPr>
                <w:rFonts w:hint="eastAsia"/>
                <w:szCs w:val="21"/>
              </w:rPr>
              <w:t>广东省科学院工业分析检测中心</w:t>
            </w:r>
          </w:p>
        </w:tc>
        <w:tc>
          <w:tcPr>
            <w:tcW w:w="1326"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left"/>
              <w:rPr>
                <w:rFonts w:cs="宋体"/>
                <w:color w:val="000000"/>
                <w:kern w:val="0"/>
                <w:szCs w:val="21"/>
              </w:rPr>
            </w:pPr>
            <w:r>
              <w:rPr>
                <w:rFonts w:cs="宋体"/>
                <w:color w:val="000000"/>
                <w:kern w:val="0"/>
                <w:szCs w:val="21"/>
              </w:rPr>
              <w:t>E45.105</w:t>
            </w:r>
          </w:p>
          <w:p>
            <w:pPr>
              <w:spacing w:line="360" w:lineRule="auto"/>
            </w:pPr>
          </w:p>
        </w:tc>
        <w:tc>
          <w:tcPr>
            <w:tcW w:w="1236"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left"/>
              <w:rPr>
                <w:rFonts w:cs="宋体"/>
                <w:color w:val="000000"/>
                <w:kern w:val="0"/>
                <w:szCs w:val="21"/>
              </w:rPr>
            </w:pPr>
            <w:r>
              <w:rPr>
                <w:rFonts w:cs="宋体"/>
                <w:color w:val="000000"/>
                <w:kern w:val="0"/>
                <w:szCs w:val="21"/>
              </w:rPr>
              <w:t>生产厂家：美特斯工业系统（中国）有限公司</w:t>
            </w:r>
          </w:p>
          <w:p>
            <w:pPr>
              <w:spacing w:line="360" w:lineRule="auto"/>
              <w:jc w:val="left"/>
              <w:rPr>
                <w:rFonts w:cs="宋体"/>
                <w:color w:val="000000"/>
                <w:kern w:val="0"/>
                <w:szCs w:val="21"/>
              </w:rPr>
            </w:pPr>
          </w:p>
          <w:p>
            <w:pPr>
              <w:spacing w:line="360" w:lineRule="auto"/>
              <w:jc w:val="left"/>
              <w:rPr>
                <w:rFonts w:cs="宋体"/>
                <w:color w:val="000000"/>
                <w:kern w:val="0"/>
                <w:szCs w:val="21"/>
              </w:rPr>
            </w:pPr>
          </w:p>
        </w:tc>
        <w:tc>
          <w:tcPr>
            <w:tcW w:w="1035"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left"/>
              <w:rPr>
                <w:rFonts w:cs="宋体"/>
                <w:color w:val="000000"/>
                <w:kern w:val="0"/>
                <w:szCs w:val="21"/>
              </w:rPr>
            </w:pPr>
            <w:r>
              <w:rPr>
                <w:rFonts w:hint="eastAsia" w:cs="宋体"/>
                <w:color w:val="000000"/>
                <w:kern w:val="0"/>
                <w:szCs w:val="21"/>
              </w:rPr>
              <w:t>（</w:t>
            </w:r>
            <w:r>
              <w:rPr>
                <w:rFonts w:cs="宋体"/>
                <w:color w:val="000000"/>
                <w:kern w:val="0"/>
                <w:szCs w:val="21"/>
              </w:rPr>
              <w:t>6-30</w:t>
            </w:r>
            <w:r>
              <w:rPr>
                <w:rFonts w:hint="eastAsia" w:cs="宋体"/>
                <w:color w:val="000000"/>
                <w:kern w:val="0"/>
                <w:szCs w:val="21"/>
              </w:rPr>
              <w:t>）</w:t>
            </w:r>
            <w:r>
              <w:rPr>
                <w:rFonts w:cs="宋体"/>
                <w:color w:val="000000"/>
                <w:kern w:val="0"/>
                <w:szCs w:val="21"/>
              </w:rPr>
              <w:t>mm（可定制）</w:t>
            </w:r>
          </w:p>
        </w:tc>
        <w:tc>
          <w:tcPr>
            <w:tcW w:w="1223"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left"/>
              <w:rPr>
                <w:rFonts w:cs="宋体"/>
                <w:color w:val="000000"/>
                <w:kern w:val="0"/>
                <w:szCs w:val="21"/>
              </w:rPr>
            </w:pPr>
            <w:r>
              <w:rPr>
                <w:rFonts w:cs="宋体"/>
                <w:color w:val="000000"/>
                <w:kern w:val="0"/>
                <w:szCs w:val="21"/>
              </w:rPr>
              <w:t>铝合金、铜合金、不锈钢等</w:t>
            </w:r>
          </w:p>
        </w:tc>
        <w:tc>
          <w:tcPr>
            <w:tcW w:w="1643"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left"/>
              <w:rPr>
                <w:rFonts w:cs="宋体"/>
                <w:color w:val="000000"/>
                <w:kern w:val="0"/>
                <w:szCs w:val="21"/>
              </w:rPr>
            </w:pPr>
            <w:r>
              <w:rPr>
                <w:rFonts w:cs="宋体"/>
                <w:color w:val="000000"/>
                <w:kern w:val="0"/>
                <w:szCs w:val="21"/>
              </w:rPr>
              <w:t>45°、60°（可以根据需求进行加工）</w:t>
            </w:r>
          </w:p>
        </w:tc>
        <w:tc>
          <w:tcPr>
            <w:tcW w:w="625" w:type="dxa"/>
            <w:tcBorders>
              <w:top w:val="single" w:color="auto" w:sz="4" w:space="0"/>
              <w:left w:val="nil"/>
              <w:bottom w:val="single" w:color="auto" w:sz="4" w:space="0"/>
              <w:right w:val="single" w:color="auto" w:sz="4" w:space="0"/>
            </w:tcBorders>
          </w:tcPr>
          <w:p>
            <w:pPr>
              <w:spacing w:line="360" w:lineRule="auto"/>
              <w:jc w:val="left"/>
              <w:rPr>
                <w:rFonts w:cs="宋体"/>
                <w:color w:val="000000"/>
                <w:kern w:val="0"/>
                <w:szCs w:val="21"/>
              </w:rPr>
            </w:pPr>
            <w:r>
              <w:rPr>
                <w:rFonts w:hint="eastAsia" w:cs="宋体"/>
                <w:color w:val="000000"/>
                <w:kern w:val="0"/>
                <w:szCs w:val="21"/>
              </w:rPr>
              <w:t>否</w:t>
            </w:r>
          </w:p>
        </w:tc>
      </w:tr>
      <w:tr>
        <w:tblPrEx>
          <w:tblCellMar>
            <w:top w:w="0" w:type="dxa"/>
            <w:left w:w="108" w:type="dxa"/>
            <w:bottom w:w="0" w:type="dxa"/>
            <w:right w:w="108" w:type="dxa"/>
          </w:tblCellMar>
        </w:tblPrEx>
        <w:trPr>
          <w:trHeight w:val="567" w:hRule="atLeast"/>
          <w:jc w:val="center"/>
        </w:trPr>
        <w:tc>
          <w:tcPr>
            <w:tcW w:w="153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pPr>
            <w:r>
              <w:rPr>
                <w:rFonts w:hint="eastAsia"/>
                <w:szCs w:val="21"/>
              </w:rPr>
              <w:t>西安汉唐分析检测有限公司</w:t>
            </w:r>
          </w:p>
        </w:tc>
        <w:tc>
          <w:tcPr>
            <w:tcW w:w="1326"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pPr>
            <w:r>
              <w:rPr>
                <w:rFonts w:hint="eastAsia"/>
              </w:rPr>
              <w:t>5984</w:t>
            </w:r>
          </w:p>
        </w:tc>
        <w:tc>
          <w:tcPr>
            <w:tcW w:w="1236"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pPr>
            <w:r>
              <w:rPr>
                <w:rFonts w:hint="eastAsia"/>
              </w:rPr>
              <w:t>INSTRON</w:t>
            </w:r>
          </w:p>
          <w:p>
            <w:pPr>
              <w:spacing w:line="360" w:lineRule="auto"/>
              <w:jc w:val="left"/>
              <w:rPr>
                <w:rFonts w:cs="宋体"/>
                <w:color w:val="000000"/>
                <w:kern w:val="0"/>
                <w:szCs w:val="21"/>
              </w:rPr>
            </w:pPr>
          </w:p>
        </w:tc>
        <w:tc>
          <w:tcPr>
            <w:tcW w:w="1035"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pPr>
            <w:r>
              <w:rPr>
                <w:rFonts w:hint="eastAsia"/>
              </w:rPr>
              <w:t>（4-100）mm</w:t>
            </w:r>
          </w:p>
          <w:p>
            <w:pPr>
              <w:spacing w:line="360" w:lineRule="auto"/>
              <w:jc w:val="left"/>
              <w:rPr>
                <w:rFonts w:cs="宋体"/>
                <w:color w:val="000000"/>
                <w:kern w:val="0"/>
                <w:szCs w:val="21"/>
              </w:rPr>
            </w:pPr>
          </w:p>
        </w:tc>
        <w:tc>
          <w:tcPr>
            <w:tcW w:w="1223"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left"/>
              <w:rPr>
                <w:rFonts w:cs="宋体"/>
                <w:color w:val="000000"/>
                <w:kern w:val="0"/>
                <w:szCs w:val="21"/>
              </w:rPr>
            </w:pPr>
            <w:r>
              <w:rPr>
                <w:rFonts w:hint="eastAsia"/>
              </w:rPr>
              <w:t>不锈钢，模具钢</w:t>
            </w:r>
          </w:p>
        </w:tc>
        <w:tc>
          <w:tcPr>
            <w:tcW w:w="1643"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pPr>
            <w:r>
              <w:rPr>
                <w:rFonts w:hint="eastAsia"/>
              </w:rPr>
              <w:t>45度，60度，74度（可根据需求加工）</w:t>
            </w:r>
          </w:p>
          <w:p>
            <w:pPr>
              <w:spacing w:line="360" w:lineRule="auto"/>
              <w:jc w:val="left"/>
              <w:rPr>
                <w:rFonts w:cs="宋体"/>
                <w:color w:val="000000"/>
                <w:kern w:val="0"/>
                <w:szCs w:val="21"/>
              </w:rPr>
            </w:pPr>
          </w:p>
        </w:tc>
        <w:tc>
          <w:tcPr>
            <w:tcW w:w="625" w:type="dxa"/>
            <w:tcBorders>
              <w:top w:val="single" w:color="auto" w:sz="4" w:space="0"/>
              <w:left w:val="nil"/>
              <w:bottom w:val="single" w:color="auto" w:sz="4" w:space="0"/>
              <w:right w:val="single" w:color="auto" w:sz="4" w:space="0"/>
            </w:tcBorders>
          </w:tcPr>
          <w:p>
            <w:pPr>
              <w:spacing w:line="360" w:lineRule="auto"/>
              <w:rPr>
                <w:rFonts w:hint="eastAsia"/>
              </w:rPr>
            </w:pPr>
            <w:r>
              <w:rPr>
                <w:rFonts w:hint="eastAsia" w:cs="宋体"/>
                <w:color w:val="000000"/>
                <w:kern w:val="0"/>
                <w:szCs w:val="21"/>
              </w:rPr>
              <w:t>否</w:t>
            </w:r>
          </w:p>
        </w:tc>
      </w:tr>
    </w:tbl>
    <w:p>
      <w:pPr>
        <w:pStyle w:val="4"/>
        <w:spacing w:before="156" w:after="156"/>
        <w:rPr>
          <w:b w:val="0"/>
          <w:bCs w:val="0"/>
        </w:rPr>
      </w:pPr>
    </w:p>
    <w:p>
      <w:pPr>
        <w:pStyle w:val="4"/>
        <w:spacing w:before="156" w:after="156"/>
        <w:rPr>
          <w:b w:val="0"/>
          <w:bCs w:val="0"/>
        </w:rPr>
      </w:pPr>
      <w:r>
        <w:rPr>
          <w:rFonts w:hint="eastAsia"/>
          <w:b w:val="0"/>
          <w:bCs w:val="0"/>
        </w:rPr>
        <w:t>1范围</w:t>
      </w:r>
      <w:bookmarkEnd w:id="14"/>
      <w:bookmarkEnd w:id="15"/>
      <w:bookmarkEnd w:id="16"/>
      <w:bookmarkEnd w:id="17"/>
      <w:bookmarkEnd w:id="18"/>
    </w:p>
    <w:p>
      <w:pPr>
        <w:spacing w:line="400" w:lineRule="exact"/>
        <w:ind w:firstLine="420" w:firstLineChars="200"/>
        <w:rPr>
          <w:rFonts w:eastAsiaTheme="minorEastAsia"/>
          <w:kern w:val="0"/>
          <w:szCs w:val="21"/>
        </w:rPr>
      </w:pPr>
      <w:r>
        <w:rPr>
          <w:rFonts w:hint="eastAsia" w:eastAsiaTheme="minorEastAsia"/>
          <w:kern w:val="0"/>
          <w:szCs w:val="21"/>
        </w:rPr>
        <w:t>根据GB/T 242金属管扩口试验方法中的对象，本规范适用于外径不超过150mm（有色金属管外径不超过100mm）、管壁厚度不超过10mm的金属扩口试验机（以下简称扩口试验机）的校准。金属扩口试验机是用于测试金属管材在扩口试验后的塑性变形性能的试验仪器。</w:t>
      </w:r>
    </w:p>
    <w:p>
      <w:pPr>
        <w:spacing w:line="400" w:lineRule="exact"/>
        <w:ind w:firstLine="420" w:firstLineChars="200"/>
        <w:rPr>
          <w:rFonts w:eastAsiaTheme="minorEastAsia"/>
          <w:kern w:val="0"/>
          <w:szCs w:val="21"/>
        </w:rPr>
      </w:pPr>
    </w:p>
    <w:p>
      <w:pPr>
        <w:pStyle w:val="4"/>
        <w:spacing w:before="156" w:after="156"/>
        <w:rPr>
          <w:b w:val="0"/>
          <w:bCs w:val="0"/>
        </w:rPr>
      </w:pPr>
      <w:bookmarkStart w:id="20" w:name="_Toc193860178"/>
      <w:bookmarkStart w:id="21" w:name="_Toc193860028"/>
      <w:bookmarkStart w:id="22" w:name="_Toc193860209"/>
      <w:bookmarkStart w:id="23" w:name="_Toc7848_WPSOffice_Level1"/>
      <w:bookmarkStart w:id="24" w:name="_Toc500258930"/>
      <w:r>
        <w:rPr>
          <w:rFonts w:hint="eastAsia"/>
          <w:b w:val="0"/>
          <w:bCs w:val="0"/>
        </w:rPr>
        <w:t>2 引用文</w:t>
      </w:r>
      <w:bookmarkEnd w:id="20"/>
      <w:bookmarkEnd w:id="21"/>
      <w:bookmarkEnd w:id="22"/>
      <w:r>
        <w:rPr>
          <w:rFonts w:hint="eastAsia"/>
          <w:b w:val="0"/>
          <w:bCs w:val="0"/>
        </w:rPr>
        <w:t>件</w:t>
      </w:r>
      <w:bookmarkEnd w:id="23"/>
      <w:bookmarkEnd w:id="24"/>
    </w:p>
    <w:p>
      <w:pPr>
        <w:autoSpaceDE w:val="0"/>
        <w:autoSpaceDN w:val="0"/>
        <w:adjustRightInd w:val="0"/>
        <w:spacing w:line="400" w:lineRule="exact"/>
        <w:ind w:firstLine="420" w:firstLineChars="200"/>
        <w:rPr>
          <w:kern w:val="0"/>
        </w:rPr>
      </w:pPr>
      <w:r>
        <w:rPr>
          <w:rFonts w:hint="eastAsia" w:eastAsiaTheme="minorEastAsia"/>
          <w:kern w:val="0"/>
          <w:szCs w:val="21"/>
        </w:rPr>
        <w:t>本规范主要计量特性参数引自</w:t>
      </w:r>
      <w:r>
        <w:rPr>
          <w:rFonts w:hint="eastAsia"/>
        </w:rPr>
        <w:t>GB/T 242金属管扩口试验方法</w:t>
      </w:r>
      <w:r>
        <w:rPr>
          <w:rFonts w:hint="eastAsia"/>
          <w:kern w:val="0"/>
        </w:rPr>
        <w:t>第六部分：试验程序</w:t>
      </w:r>
    </w:p>
    <w:p>
      <w:pPr>
        <w:spacing w:line="400" w:lineRule="exact"/>
        <w:ind w:firstLine="420" w:firstLineChars="200"/>
        <w:rPr>
          <w:rFonts w:eastAsiaTheme="minorEastAsia"/>
          <w:kern w:val="0"/>
          <w:szCs w:val="21"/>
        </w:rPr>
      </w:pPr>
      <w:r>
        <w:rPr>
          <w:rFonts w:hint="eastAsia"/>
        </w:rPr>
        <w:t>针对范围部分，参考了GB/T 242金属管扩口试验方法中对范围的表述</w:t>
      </w:r>
      <w:r>
        <w:rPr>
          <w:rFonts w:hint="eastAsia" w:eastAsiaTheme="minorEastAsia"/>
          <w:kern w:val="0"/>
          <w:szCs w:val="21"/>
        </w:rPr>
        <w:t>。</w:t>
      </w:r>
    </w:p>
    <w:p>
      <w:pPr>
        <w:pStyle w:val="4"/>
        <w:spacing w:before="156" w:after="156"/>
        <w:rPr>
          <w:b w:val="0"/>
          <w:bCs w:val="0"/>
        </w:rPr>
      </w:pPr>
      <w:bookmarkStart w:id="25" w:name="_Toc13054_WPSOffice_Level1"/>
      <w:bookmarkStart w:id="26" w:name="_Toc193860030"/>
      <w:bookmarkStart w:id="27" w:name="_Toc500258937"/>
      <w:bookmarkStart w:id="28" w:name="_Toc193619055"/>
      <w:bookmarkStart w:id="29" w:name="_Toc193860211"/>
      <w:bookmarkStart w:id="30" w:name="_Toc193618952"/>
      <w:bookmarkStart w:id="31" w:name="_Toc193860180"/>
      <w:bookmarkStart w:id="32" w:name="_Toc193619097"/>
      <w:r>
        <w:rPr>
          <w:rFonts w:hint="eastAsia"/>
          <w:b w:val="0"/>
          <w:bCs w:val="0"/>
        </w:rPr>
        <w:t>3 概述</w:t>
      </w:r>
      <w:bookmarkEnd w:id="25"/>
      <w:bookmarkEnd w:id="26"/>
      <w:bookmarkEnd w:id="27"/>
      <w:bookmarkEnd w:id="28"/>
      <w:bookmarkEnd w:id="29"/>
      <w:bookmarkEnd w:id="30"/>
      <w:bookmarkEnd w:id="31"/>
      <w:bookmarkEnd w:id="32"/>
    </w:p>
    <w:p>
      <w:pPr>
        <w:autoSpaceDE w:val="0"/>
        <w:autoSpaceDN w:val="0"/>
        <w:adjustRightInd w:val="0"/>
        <w:spacing w:line="400" w:lineRule="exact"/>
        <w:ind w:firstLine="420" w:firstLineChars="200"/>
        <w:rPr>
          <w:rFonts w:eastAsiaTheme="minorEastAsia"/>
          <w:color w:val="FF0000"/>
          <w:kern w:val="0"/>
          <w:szCs w:val="21"/>
        </w:rPr>
      </w:pPr>
      <w:r>
        <w:rPr>
          <w:rFonts w:hint="eastAsia"/>
        </w:rPr>
        <w:t>本部分介绍了金属扩口试验机的结构等内容：包括扩口附件、加载系统、压边力系统、控制系统、数据采集系统等。目前在国内市场上的金属扩口试验机根据试验对象的不同，主要分成两类：液压式扩口试验机、电子式扩口试验机。金属扩口试验机采用伺服电动机、伺服调速系统作为动力源；采用控制系统，试验力变形的放大等转换过程实现了控制调整，对各种金属管材料进行力学性能测试和分析研究，求取金属管材口径断裂试验数据。</w:t>
      </w:r>
    </w:p>
    <w:p>
      <w:pPr>
        <w:pStyle w:val="4"/>
        <w:spacing w:before="156" w:after="156"/>
        <w:rPr>
          <w:b w:val="0"/>
          <w:bCs w:val="0"/>
        </w:rPr>
      </w:pPr>
      <w:bookmarkStart w:id="33" w:name="_Toc193619056"/>
      <w:bookmarkStart w:id="34" w:name="_Toc193860031"/>
      <w:bookmarkStart w:id="35" w:name="_Toc193618953"/>
      <w:bookmarkStart w:id="36" w:name="_Toc19851_WPSOffice_Level1"/>
      <w:bookmarkStart w:id="37" w:name="_Toc193860181"/>
      <w:bookmarkStart w:id="38" w:name="_Toc193619098"/>
      <w:bookmarkStart w:id="39" w:name="_Toc500258938"/>
      <w:bookmarkStart w:id="40" w:name="_Toc193860212"/>
      <w:r>
        <w:rPr>
          <w:rFonts w:hint="eastAsia"/>
          <w:b w:val="0"/>
          <w:bCs w:val="0"/>
        </w:rPr>
        <w:t>4计量特性</w:t>
      </w:r>
      <w:bookmarkEnd w:id="33"/>
      <w:bookmarkEnd w:id="34"/>
      <w:bookmarkEnd w:id="35"/>
      <w:bookmarkEnd w:id="36"/>
      <w:bookmarkEnd w:id="37"/>
      <w:bookmarkEnd w:id="38"/>
      <w:bookmarkEnd w:id="39"/>
      <w:bookmarkEnd w:id="40"/>
      <w:bookmarkStart w:id="41" w:name="_Toc25829_WPSOffice_Level1"/>
    </w:p>
    <w:p>
      <w:pPr>
        <w:spacing w:line="400" w:lineRule="exact"/>
        <w:ind w:firstLine="420" w:firstLineChars="200"/>
      </w:pPr>
      <w:r>
        <w:rPr>
          <w:rFonts w:hint="eastAsia" w:cstheme="majorBidi"/>
          <w:kern w:val="44"/>
        </w:rPr>
        <w:t>根据实际使用情况，并与</w:t>
      </w:r>
      <w:r>
        <w:rPr>
          <w:rFonts w:hint="eastAsia"/>
          <w:szCs w:val="21"/>
        </w:rPr>
        <w:t>国标（北京）检测认证有限公司、西安汉唐分析检测有限公司</w:t>
      </w:r>
      <w:r>
        <w:rPr>
          <w:rFonts w:hint="eastAsia" w:cstheme="majorBidi"/>
          <w:kern w:val="44"/>
        </w:rPr>
        <w:t>等单位沟通，确定了</w:t>
      </w:r>
      <w:r>
        <w:rPr>
          <w:rFonts w:hint="eastAsia"/>
        </w:rPr>
        <w:t>金属扩口试验机的计量特性有三个：</w:t>
      </w:r>
    </w:p>
    <w:p>
      <w:pPr>
        <w:spacing w:line="400" w:lineRule="exact"/>
        <w:rPr>
          <w:rFonts w:cstheme="majorBidi"/>
          <w:kern w:val="44"/>
        </w:rPr>
      </w:pPr>
      <w:r>
        <w:rPr>
          <w:rFonts w:hint="eastAsia" w:cstheme="majorBidi"/>
          <w:kern w:val="44"/>
        </w:rPr>
        <w:t xml:space="preserve">4.1 </w:t>
      </w:r>
      <w:r>
        <w:rPr>
          <w:rFonts w:hint="eastAsia"/>
          <w:sz w:val="24"/>
        </w:rPr>
        <w:t>同轴度</w:t>
      </w:r>
    </w:p>
    <w:p>
      <w:pPr>
        <w:spacing w:line="400" w:lineRule="exact"/>
        <w:ind w:firstLine="480"/>
        <w:rPr>
          <w:rFonts w:cstheme="majorBidi"/>
          <w:kern w:val="44"/>
        </w:rPr>
      </w:pPr>
      <w:r>
        <w:rPr>
          <w:rFonts w:hint="eastAsia" w:cstheme="majorBidi"/>
          <w:kern w:val="44"/>
        </w:rPr>
        <w:t>最大允许误差2mm。（JJG139拉力、压力和万能试验机同轴度校准）</w:t>
      </w:r>
    </w:p>
    <w:p>
      <w:pPr>
        <w:spacing w:line="400" w:lineRule="exact"/>
        <w:rPr>
          <w:rFonts w:cstheme="majorBidi"/>
          <w:kern w:val="44"/>
        </w:rPr>
      </w:pPr>
      <w:r>
        <w:rPr>
          <w:rFonts w:hint="eastAsia" w:cstheme="majorBidi"/>
          <w:kern w:val="44"/>
        </w:rPr>
        <w:t>4.2</w:t>
      </w:r>
      <w:r>
        <w:rPr>
          <w:rFonts w:hint="eastAsia"/>
          <w:sz w:val="24"/>
        </w:rPr>
        <w:t>横梁移动速度</w:t>
      </w:r>
    </w:p>
    <w:p>
      <w:pPr>
        <w:spacing w:line="400" w:lineRule="exact"/>
        <w:ind w:firstLine="480"/>
        <w:rPr>
          <w:rFonts w:hint="eastAsia" w:cstheme="majorBidi"/>
          <w:kern w:val="44"/>
        </w:rPr>
      </w:pPr>
      <w:r>
        <w:rPr>
          <w:rFonts w:hint="eastAsia"/>
          <w:sz w:val="24"/>
        </w:rPr>
        <w:t>横梁移动速度示值相对误差（根据</w:t>
      </w:r>
      <w:r>
        <w:rPr>
          <w:rFonts w:hint="eastAsia"/>
        </w:rPr>
        <w:t>GB/T 242金属管扩口试验方法6.4出现争议时压板的移动速度不应</w:t>
      </w:r>
      <w:r>
        <w:rPr>
          <w:rFonts w:hint="eastAsia"/>
          <w:sz w:val="24"/>
        </w:rPr>
        <w:t>不超过50mm/min,对速度有要求，必须校准速度，速度的相对误差参照JJG475电子式万能试验机检定规程）</w:t>
      </w:r>
      <w:r>
        <w:rPr>
          <w:rFonts w:hint="eastAsia" w:cstheme="majorBidi"/>
          <w:kern w:val="44"/>
        </w:rPr>
        <w:t>。</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1510"/>
        <w:gridCol w:w="1510"/>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0" w:type="dxa"/>
            <w:noWrap/>
          </w:tcPr>
          <w:p>
            <w:pPr>
              <w:spacing w:line="360" w:lineRule="auto"/>
              <w:rPr>
                <w:szCs w:val="21"/>
              </w:rPr>
            </w:pPr>
            <w:r>
              <w:rPr>
                <w:rFonts w:hint="eastAsia"/>
                <w:szCs w:val="21"/>
              </w:rPr>
              <w:t>试验机级别</w:t>
            </w:r>
          </w:p>
        </w:tc>
        <w:tc>
          <w:tcPr>
            <w:tcW w:w="1510" w:type="dxa"/>
            <w:noWrap/>
          </w:tcPr>
          <w:p>
            <w:pPr>
              <w:spacing w:line="360" w:lineRule="auto"/>
              <w:rPr>
                <w:szCs w:val="21"/>
              </w:rPr>
            </w:pPr>
            <w:r>
              <w:rPr>
                <w:rFonts w:hint="eastAsia"/>
                <w:szCs w:val="21"/>
              </w:rPr>
              <w:t>0.5</w:t>
            </w:r>
          </w:p>
        </w:tc>
        <w:tc>
          <w:tcPr>
            <w:tcW w:w="1510" w:type="dxa"/>
            <w:noWrap/>
          </w:tcPr>
          <w:p>
            <w:pPr>
              <w:spacing w:line="360" w:lineRule="auto"/>
              <w:rPr>
                <w:szCs w:val="21"/>
              </w:rPr>
            </w:pPr>
            <w:r>
              <w:rPr>
                <w:rFonts w:hint="eastAsia"/>
                <w:szCs w:val="21"/>
              </w:rPr>
              <w:t>1</w:t>
            </w:r>
          </w:p>
        </w:tc>
        <w:tc>
          <w:tcPr>
            <w:tcW w:w="1512" w:type="dxa"/>
            <w:noWrap/>
          </w:tcPr>
          <w:p>
            <w:pPr>
              <w:spacing w:line="360" w:lineRule="auto"/>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0" w:type="dxa"/>
            <w:noWrap/>
          </w:tcPr>
          <w:p>
            <w:pPr>
              <w:spacing w:line="360" w:lineRule="auto"/>
              <w:rPr>
                <w:szCs w:val="21"/>
              </w:rPr>
            </w:pPr>
            <w:r>
              <w:rPr>
                <w:rFonts w:hint="eastAsia"/>
                <w:szCs w:val="21"/>
              </w:rPr>
              <w:t>横梁移动速度相对误差/%</w:t>
            </w:r>
          </w:p>
        </w:tc>
        <w:tc>
          <w:tcPr>
            <w:tcW w:w="1510" w:type="dxa"/>
            <w:noWrap/>
          </w:tcPr>
          <w:p>
            <w:pPr>
              <w:spacing w:line="360" w:lineRule="auto"/>
              <w:rPr>
                <w:szCs w:val="21"/>
              </w:rPr>
            </w:pPr>
            <w:r>
              <w:rPr>
                <w:rFonts w:hint="eastAsia"/>
                <w:szCs w:val="21"/>
              </w:rPr>
              <w:t>±0.5</w:t>
            </w:r>
          </w:p>
        </w:tc>
        <w:tc>
          <w:tcPr>
            <w:tcW w:w="1510" w:type="dxa"/>
            <w:noWrap/>
          </w:tcPr>
          <w:p>
            <w:pPr>
              <w:spacing w:line="360" w:lineRule="auto"/>
              <w:rPr>
                <w:szCs w:val="21"/>
              </w:rPr>
            </w:pPr>
            <w:r>
              <w:rPr>
                <w:rFonts w:hint="eastAsia"/>
                <w:szCs w:val="21"/>
              </w:rPr>
              <w:t>±1</w:t>
            </w:r>
          </w:p>
        </w:tc>
        <w:tc>
          <w:tcPr>
            <w:tcW w:w="1512" w:type="dxa"/>
            <w:noWrap/>
          </w:tcPr>
          <w:p>
            <w:pPr>
              <w:spacing w:line="360" w:lineRule="auto"/>
              <w:rPr>
                <w:szCs w:val="21"/>
              </w:rPr>
            </w:pPr>
            <w:r>
              <w:rPr>
                <w:rFonts w:hint="eastAsia"/>
                <w:szCs w:val="21"/>
              </w:rPr>
              <w:t>±2</w:t>
            </w:r>
          </w:p>
        </w:tc>
      </w:tr>
    </w:tbl>
    <w:p>
      <w:pPr>
        <w:spacing w:line="400" w:lineRule="exact"/>
        <w:rPr>
          <w:rFonts w:hint="eastAsia"/>
          <w:sz w:val="24"/>
        </w:rPr>
      </w:pPr>
      <w:r>
        <w:rPr>
          <w:rFonts w:hint="eastAsia" w:cstheme="majorBidi"/>
          <w:kern w:val="44"/>
        </w:rPr>
        <w:t>4.3</w:t>
      </w:r>
      <w:r>
        <w:rPr>
          <w:rFonts w:hint="eastAsia"/>
          <w:sz w:val="24"/>
        </w:rPr>
        <w:t>圆锥形顶芯锥度</w:t>
      </w:r>
    </w:p>
    <w:p>
      <w:pPr>
        <w:pStyle w:val="58"/>
        <w:spacing w:line="360" w:lineRule="auto"/>
        <w:ind w:firstLine="420"/>
        <w:outlineLvl w:val="1"/>
        <w:rPr>
          <w:rFonts w:ascii="Times New Roman"/>
          <w:sz w:val="24"/>
          <w:szCs w:val="24"/>
        </w:rPr>
      </w:pPr>
      <w:r>
        <w:rPr>
          <w:rFonts w:hint="eastAsia" w:cstheme="majorBidi"/>
          <w:kern w:val="44"/>
        </w:rPr>
        <w:t>最大允许误差</w:t>
      </w:r>
      <w:r>
        <w:rPr>
          <w:rFonts w:hint="eastAsia" w:ascii="Times New Roman"/>
          <w:sz w:val="24"/>
          <w:szCs w:val="24"/>
        </w:rPr>
        <w:t>不大于1°,</w:t>
      </w:r>
      <w:r>
        <w:rPr>
          <w:rFonts w:hint="eastAsia" w:cstheme="majorBidi"/>
          <w:kern w:val="44"/>
        </w:rPr>
        <w:t>角度误差参照ISO2768机械加工通用误差要求。</w:t>
      </w:r>
    </w:p>
    <w:p>
      <w:pPr>
        <w:pStyle w:val="4"/>
        <w:spacing w:before="156" w:after="156"/>
        <w:rPr>
          <w:b w:val="0"/>
          <w:bCs w:val="0"/>
        </w:rPr>
      </w:pPr>
      <w:r>
        <w:rPr>
          <w:rFonts w:hint="eastAsia"/>
          <w:b w:val="0"/>
          <w:bCs w:val="0"/>
        </w:rPr>
        <w:t>5 校准条件</w:t>
      </w:r>
      <w:bookmarkEnd w:id="41"/>
      <w:bookmarkStart w:id="42" w:name="_Toc500258942"/>
      <w:bookmarkStart w:id="43" w:name="_Toc193860214"/>
      <w:bookmarkStart w:id="44" w:name="_Toc193860183"/>
      <w:bookmarkStart w:id="45" w:name="_Toc193860033"/>
    </w:p>
    <w:p>
      <w:pPr>
        <w:spacing w:line="400" w:lineRule="exact"/>
        <w:rPr>
          <w:rFonts w:cstheme="majorBidi"/>
          <w:kern w:val="44"/>
        </w:rPr>
      </w:pPr>
      <w:bookmarkStart w:id="46" w:name="_Toc161838411"/>
      <w:bookmarkStart w:id="47" w:name="_Toc533963948"/>
      <w:r>
        <w:rPr>
          <w:rFonts w:cstheme="majorBidi"/>
          <w:kern w:val="44"/>
        </w:rPr>
        <w:t>5.1 环境条件</w:t>
      </w:r>
      <w:bookmarkEnd w:id="46"/>
      <w:bookmarkEnd w:id="47"/>
      <w:bookmarkStart w:id="89" w:name="_GoBack"/>
      <w:bookmarkEnd w:id="89"/>
    </w:p>
    <w:p>
      <w:pPr>
        <w:pStyle w:val="58"/>
        <w:spacing w:line="360" w:lineRule="auto"/>
        <w:ind w:firstLine="420"/>
        <w:rPr>
          <w:sz w:val="24"/>
        </w:rPr>
      </w:pPr>
      <w:r>
        <w:rPr>
          <w:rFonts w:hint="eastAsia" w:eastAsiaTheme="minorEastAsia"/>
          <w:szCs w:val="21"/>
        </w:rPr>
        <w:t>试验机应在（</w:t>
      </w:r>
      <w:r>
        <w:rPr>
          <w:rFonts w:eastAsiaTheme="minorEastAsia"/>
          <w:szCs w:val="21"/>
        </w:rPr>
        <w:t>2</w:t>
      </w:r>
      <w:r>
        <w:rPr>
          <w:rFonts w:hint="eastAsia" w:eastAsiaTheme="minorEastAsia"/>
          <w:szCs w:val="21"/>
        </w:rPr>
        <w:t>3</w:t>
      </w:r>
      <w:r>
        <w:rPr>
          <w:rFonts w:eastAsiaTheme="minorEastAsia"/>
          <w:szCs w:val="21"/>
        </w:rPr>
        <w:t>±5</w:t>
      </w:r>
      <w:r>
        <w:rPr>
          <w:rFonts w:hint="eastAsia" w:eastAsiaTheme="minorEastAsia"/>
          <w:szCs w:val="21"/>
        </w:rPr>
        <w:t>）℃、温度变化率不超过0.5℃/h的条件下校准。校准环境周围无腐蚀性介质，附近无影响实验结果的振源。</w:t>
      </w:r>
    </w:p>
    <w:p>
      <w:pPr>
        <w:spacing w:line="400" w:lineRule="exact"/>
        <w:rPr>
          <w:rFonts w:cstheme="majorBidi"/>
          <w:kern w:val="44"/>
        </w:rPr>
      </w:pPr>
      <w:bookmarkStart w:id="48" w:name="_Toc533963949"/>
      <w:bookmarkStart w:id="49" w:name="_Toc161838412"/>
      <w:r>
        <w:rPr>
          <w:rFonts w:cstheme="majorBidi"/>
          <w:kern w:val="44"/>
        </w:rPr>
        <w:t>5.2</w:t>
      </w:r>
      <w:bookmarkEnd w:id="48"/>
      <w:r>
        <w:rPr>
          <w:rFonts w:cstheme="majorBidi"/>
          <w:kern w:val="44"/>
        </w:rPr>
        <w:t xml:space="preserve"> 测量标准</w:t>
      </w:r>
      <w:bookmarkEnd w:id="49"/>
    </w:p>
    <w:p>
      <w:pPr>
        <w:spacing w:line="324" w:lineRule="auto"/>
        <w:ind w:firstLine="420" w:firstLineChars="200"/>
        <w:outlineLvl w:val="1"/>
        <w:rPr>
          <w:kern w:val="0"/>
        </w:rPr>
      </w:pPr>
      <w:r>
        <w:rPr>
          <w:bCs/>
          <w:color w:val="000000" w:themeColor="text1"/>
        </w:rPr>
        <w:t>测量标准的技术要求应符合</w:t>
      </w:r>
      <w:r>
        <w:rPr>
          <w:rFonts w:hint="eastAsia"/>
          <w:bCs/>
          <w:color w:val="000000" w:themeColor="text1"/>
        </w:rPr>
        <w:t>正文中</w:t>
      </w:r>
      <w:r>
        <w:rPr>
          <w:bCs/>
          <w:color w:val="000000" w:themeColor="text1"/>
        </w:rPr>
        <w:t>表1的规定</w:t>
      </w:r>
      <w:r>
        <w:rPr>
          <w:kern w:val="0"/>
        </w:rPr>
        <w:t>。</w:t>
      </w:r>
    </w:p>
    <w:p>
      <w:pPr>
        <w:spacing w:line="324" w:lineRule="auto"/>
        <w:ind w:firstLine="420" w:firstLineChars="200"/>
        <w:outlineLvl w:val="1"/>
        <w:rPr>
          <w:szCs w:val="21"/>
        </w:rPr>
      </w:pPr>
      <w:r>
        <w:rPr>
          <w:rFonts w:hint="eastAsia"/>
          <w:szCs w:val="21"/>
        </w:rPr>
        <w:t>测量标准及其他设备包括</w:t>
      </w:r>
      <w:r>
        <w:rPr>
          <w:rFonts w:hint="eastAsia"/>
          <w:kern w:val="0"/>
          <w:sz w:val="24"/>
        </w:rPr>
        <w:t>定心盘</w:t>
      </w:r>
      <w:r>
        <w:rPr>
          <w:rFonts w:hint="eastAsia"/>
          <w:szCs w:val="21"/>
        </w:rPr>
        <w:t>、指示</w:t>
      </w:r>
      <w:r>
        <w:rPr>
          <w:szCs w:val="21"/>
        </w:rPr>
        <w:t>表</w:t>
      </w:r>
      <w:r>
        <w:rPr>
          <w:rFonts w:hint="eastAsia"/>
          <w:szCs w:val="21"/>
        </w:rPr>
        <w:t>、</w:t>
      </w:r>
      <w:r>
        <w:rPr>
          <w:szCs w:val="21"/>
        </w:rPr>
        <w:t>秒表</w:t>
      </w:r>
      <w:r>
        <w:rPr>
          <w:rFonts w:hint="eastAsia"/>
          <w:szCs w:val="21"/>
        </w:rPr>
        <w:t>、</w:t>
      </w:r>
      <w:r>
        <w:rPr>
          <w:szCs w:val="21"/>
        </w:rPr>
        <w:t>万能角度尺</w:t>
      </w:r>
      <w:r>
        <w:rPr>
          <w:rFonts w:hint="eastAsia"/>
          <w:szCs w:val="21"/>
        </w:rPr>
        <w:t>，并给出相应的技术指标。</w:t>
      </w:r>
      <w:r>
        <w:rPr>
          <w:rFonts w:hint="eastAsia"/>
          <w:kern w:val="0"/>
          <w:sz w:val="24"/>
        </w:rPr>
        <w:t>定心盘、</w:t>
      </w:r>
      <w:r>
        <w:rPr>
          <w:rFonts w:hint="eastAsia"/>
          <w:szCs w:val="21"/>
        </w:rPr>
        <w:t>指示表、</w:t>
      </w:r>
      <w:r>
        <w:rPr>
          <w:szCs w:val="21"/>
        </w:rPr>
        <w:t>秒表</w:t>
      </w:r>
      <w:r>
        <w:rPr>
          <w:rFonts w:hint="eastAsia" w:ascii="宋体" w:hAnsi="宋体" w:cs="宋体"/>
          <w:szCs w:val="21"/>
        </w:rPr>
        <w:t>技术指标参考了</w:t>
      </w:r>
      <w:r>
        <w:rPr>
          <w:rFonts w:hint="eastAsia" w:cstheme="majorBidi"/>
          <w:kern w:val="44"/>
        </w:rPr>
        <w:t>JJG</w:t>
      </w:r>
      <w:r>
        <w:rPr>
          <w:rFonts w:hint="eastAsia" w:ascii="宋体" w:hAnsi="宋体" w:cs="宋体"/>
          <w:szCs w:val="21"/>
        </w:rPr>
        <w:t>139《</w:t>
      </w:r>
      <w:r>
        <w:rPr>
          <w:rFonts w:hint="eastAsia" w:cstheme="majorBidi"/>
          <w:kern w:val="44"/>
        </w:rPr>
        <w:t>拉力、压力和万能试验机</w:t>
      </w:r>
      <w:r>
        <w:rPr>
          <w:rFonts w:hint="eastAsia" w:ascii="宋体" w:hAnsi="宋体" w:cs="宋体"/>
          <w:szCs w:val="21"/>
        </w:rPr>
        <w:t>》。</w:t>
      </w:r>
      <w:r>
        <w:rPr>
          <w:rFonts w:hint="eastAsia"/>
          <w:szCs w:val="21"/>
        </w:rPr>
        <w:t>根据实际的使用情况，指示表的量程根据试验机的实际速率选用相应的即可。</w:t>
      </w:r>
    </w:p>
    <w:bookmarkEnd w:id="42"/>
    <w:bookmarkEnd w:id="43"/>
    <w:bookmarkEnd w:id="44"/>
    <w:bookmarkEnd w:id="45"/>
    <w:p>
      <w:pPr>
        <w:pStyle w:val="4"/>
        <w:spacing w:before="156" w:after="156"/>
        <w:rPr>
          <w:b w:val="0"/>
          <w:bCs w:val="0"/>
        </w:rPr>
      </w:pPr>
      <w:bookmarkStart w:id="50" w:name="_Toc193860216"/>
      <w:bookmarkStart w:id="51" w:name="_Toc193619100"/>
      <w:bookmarkStart w:id="52" w:name="_Toc193860185"/>
      <w:bookmarkStart w:id="53" w:name="_Toc193860035"/>
      <w:bookmarkStart w:id="54" w:name="_Toc193619058"/>
      <w:bookmarkStart w:id="55" w:name="_Toc2741_WPSOffice_Level1"/>
      <w:bookmarkStart w:id="56" w:name="_Toc193618955"/>
      <w:bookmarkStart w:id="57" w:name="_Toc500258944"/>
      <w:r>
        <w:rPr>
          <w:rFonts w:hint="eastAsia"/>
          <w:b w:val="0"/>
          <w:bCs w:val="0"/>
        </w:rPr>
        <w:t>6 校准项目和校准方法</w:t>
      </w:r>
      <w:bookmarkEnd w:id="50"/>
      <w:bookmarkEnd w:id="51"/>
      <w:bookmarkEnd w:id="52"/>
      <w:bookmarkEnd w:id="53"/>
      <w:bookmarkEnd w:id="54"/>
      <w:bookmarkEnd w:id="55"/>
      <w:bookmarkEnd w:id="56"/>
      <w:bookmarkEnd w:id="57"/>
    </w:p>
    <w:p>
      <w:pPr>
        <w:spacing w:line="400" w:lineRule="exact"/>
        <w:rPr>
          <w:sz w:val="24"/>
        </w:rPr>
      </w:pPr>
      <w:bookmarkStart w:id="58" w:name="_Toc500258945"/>
      <w:bookmarkStart w:id="59" w:name="_Toc22718_WPSOffice_Level2"/>
      <w:r>
        <w:rPr>
          <w:rFonts w:hint="eastAsia"/>
          <w:kern w:val="0"/>
          <w:szCs w:val="21"/>
        </w:rPr>
        <w:t>校准项目包含</w:t>
      </w:r>
      <w:r>
        <w:rPr>
          <w:rFonts w:hint="eastAsia"/>
          <w:sz w:val="24"/>
        </w:rPr>
        <w:t>横梁移动速度</w:t>
      </w:r>
      <w:r>
        <w:t>示值</w:t>
      </w:r>
      <w:r>
        <w:rPr>
          <w:rFonts w:hint="eastAsia"/>
        </w:rPr>
        <w:t>相对</w:t>
      </w:r>
      <w:r>
        <w:t>误差</w:t>
      </w:r>
      <w:r>
        <w:rPr>
          <w:rFonts w:hint="eastAsia"/>
        </w:rPr>
        <w:t>、</w:t>
      </w:r>
      <w:r>
        <w:rPr>
          <w:rFonts w:hint="eastAsia"/>
          <w:sz w:val="24"/>
        </w:rPr>
        <w:t>圆锥形顶芯锥度误差</w:t>
      </w:r>
      <w:r>
        <w:rPr>
          <w:rFonts w:hint="eastAsia" w:eastAsiaTheme="minorEastAsia"/>
          <w:kern w:val="0"/>
          <w:szCs w:val="21"/>
        </w:rPr>
        <w:t>以及具体的校准方法。</w:t>
      </w:r>
    </w:p>
    <w:p>
      <w:pPr>
        <w:spacing w:line="360" w:lineRule="auto"/>
        <w:ind w:firstLine="480" w:firstLineChars="200"/>
        <w:rPr>
          <w:color w:val="0000FF"/>
          <w:kern w:val="0"/>
          <w:szCs w:val="21"/>
        </w:rPr>
      </w:pPr>
      <w:r>
        <w:rPr>
          <w:rFonts w:hint="eastAsia"/>
          <w:sz w:val="24"/>
        </w:rPr>
        <w:t>横梁移动速度</w:t>
      </w:r>
      <w:r>
        <w:t>示值</w:t>
      </w:r>
      <w:r>
        <w:rPr>
          <w:rFonts w:hint="eastAsia"/>
        </w:rPr>
        <w:t>相对</w:t>
      </w:r>
      <w:r>
        <w:t>误差</w:t>
      </w:r>
      <w:r>
        <w:rPr>
          <w:rFonts w:hint="eastAsia" w:eastAsiaTheme="minorEastAsia"/>
          <w:kern w:val="0"/>
          <w:szCs w:val="21"/>
        </w:rPr>
        <w:t>校准方法是依据</w:t>
      </w:r>
      <w:bookmarkStart w:id="60" w:name="OLE_LINK1"/>
      <w:bookmarkStart w:id="61" w:name="OLE_LINK2"/>
      <w:r>
        <w:rPr>
          <w:rFonts w:hint="eastAsia"/>
          <w:sz w:val="24"/>
        </w:rPr>
        <w:t>JJG475《电子式万能试验机检定规程》</w:t>
      </w:r>
      <w:bookmarkEnd w:id="60"/>
      <w:bookmarkEnd w:id="61"/>
      <w:r>
        <w:rPr>
          <w:rFonts w:hint="eastAsia" w:eastAsiaTheme="minorEastAsia"/>
          <w:kern w:val="0"/>
          <w:szCs w:val="21"/>
        </w:rPr>
        <w:t>对</w:t>
      </w:r>
      <w:r>
        <w:rPr>
          <w:rFonts w:hint="eastAsia"/>
          <w:sz w:val="24"/>
        </w:rPr>
        <w:t>横梁移动速度</w:t>
      </w:r>
      <w:r>
        <w:t>示值</w:t>
      </w:r>
      <w:r>
        <w:rPr>
          <w:rFonts w:hint="eastAsia"/>
        </w:rPr>
        <w:t>相对</w:t>
      </w:r>
      <w:r>
        <w:t>误差</w:t>
      </w:r>
      <w:r>
        <w:rPr>
          <w:rFonts w:hint="eastAsia" w:eastAsiaTheme="minorEastAsia"/>
          <w:kern w:val="0"/>
          <w:szCs w:val="21"/>
        </w:rPr>
        <w:t>的要求及校准，结合实际试验确认了校准方法。</w:t>
      </w:r>
    </w:p>
    <w:p>
      <w:pPr>
        <w:spacing w:line="360" w:lineRule="auto"/>
        <w:ind w:firstLine="420" w:firstLineChars="200"/>
        <w:rPr>
          <w:rFonts w:eastAsiaTheme="minorEastAsia"/>
          <w:kern w:val="0"/>
          <w:szCs w:val="21"/>
        </w:rPr>
      </w:pPr>
      <w:r>
        <w:rPr>
          <w:rFonts w:hint="eastAsia" w:eastAsiaTheme="minorEastAsia"/>
          <w:kern w:val="0"/>
          <w:szCs w:val="21"/>
        </w:rPr>
        <w:t>圆锥形顶芯锥度校准方法是根据万能角度块说明书，实际进行校准得到的校准方法。</w:t>
      </w:r>
      <w:r>
        <w:rPr>
          <w:rFonts w:eastAsiaTheme="minorEastAsia"/>
          <w:kern w:val="0"/>
          <w:szCs w:val="21"/>
        </w:rPr>
        <w:t xml:space="preserve"> </w:t>
      </w:r>
    </w:p>
    <w:p>
      <w:pPr>
        <w:pStyle w:val="58"/>
        <w:spacing w:line="360" w:lineRule="auto"/>
        <w:ind w:firstLine="420"/>
        <w:rPr>
          <w:rFonts w:eastAsiaTheme="minorEastAsia"/>
          <w:szCs w:val="21"/>
        </w:rPr>
      </w:pPr>
      <w:r>
        <w:rPr>
          <w:rFonts w:hint="eastAsia" w:eastAsiaTheme="minorEastAsia"/>
          <w:szCs w:val="21"/>
        </w:rPr>
        <w:t>根据调研结果顶芯锥度在30-80之间，而结合万能角度尺的使用方法，万能角度尺在50°以内和50°至140°测量方法不一样，所以该校准方法分了两种情况写。测量50度以内的顶芯锥度时</w:t>
      </w:r>
      <w:r>
        <w:rPr>
          <w:rFonts w:hint="eastAsia" w:ascii="Times New Roman" w:hAnsi="Times New Roman" w:eastAsiaTheme="minorEastAsia"/>
          <w:szCs w:val="21"/>
        </w:rPr>
        <w:t>，角尺和直尺全部装上，用卡块上的螺钉把角尺和直尺固定上，顶芯的被测部位放在基尺和直尺的测量面之间，松开制动头上的螺母，移动主尺做粗调整，然后再转动扇形板背面的微动装置作细</w:t>
      </w:r>
      <w:r>
        <w:rPr>
          <w:rFonts w:hint="eastAsia" w:eastAsiaTheme="minorEastAsia"/>
          <w:szCs w:val="21"/>
        </w:rPr>
        <w:t>调，直到被测测量面要与主尺和直尺的测量面平行紧密贴紧，不能有眼睛可察觉的间隙，然后拧紧制动器上的螺母，把角度尺取下来进行读数。</w:t>
      </w:r>
    </w:p>
    <w:p>
      <w:pPr>
        <w:spacing w:line="360" w:lineRule="auto"/>
        <w:ind w:firstLine="420" w:firstLineChars="200"/>
        <w:rPr>
          <w:rFonts w:ascii="宋体" w:hAnsi="宋体" w:eastAsiaTheme="minorEastAsia"/>
          <w:kern w:val="0"/>
          <w:szCs w:val="21"/>
        </w:rPr>
      </w:pPr>
      <w:r>
        <w:rPr>
          <w:rFonts w:ascii="宋体" w:hAnsi="宋体" w:eastAsiaTheme="minorEastAsia"/>
          <w:kern w:val="0"/>
          <w:szCs w:val="21"/>
        </w:rPr>
        <w:t>测量50度至</w:t>
      </w:r>
      <w:r>
        <w:rPr>
          <w:rFonts w:hint="eastAsia" w:ascii="宋体" w:hAnsi="宋体" w:eastAsiaTheme="minorEastAsia"/>
          <w:kern w:val="0"/>
          <w:szCs w:val="21"/>
        </w:rPr>
        <w:t>140</w:t>
      </w:r>
      <w:r>
        <w:rPr>
          <w:rFonts w:ascii="宋体" w:hAnsi="宋体" w:eastAsiaTheme="minorEastAsia"/>
          <w:kern w:val="0"/>
          <w:szCs w:val="21"/>
        </w:rPr>
        <w:t>度之间的顶芯锥度时，把角尺卸掉，把直尺装上，使直尺与扇形板连在一起，顶芯的两个被测面放在基尺和直尺的测量面之间，松开制动头上的螺母，移动主尺做粗调整，然后再转动扇形板背面的微动装置作细调，直到被测测量面要与直尺和主尺的测量面平行紧密贴紧，不能有眼睛可察觉的间隙，然后拧紧制动器上的螺母，把角度尺取下来进行读数。</w:t>
      </w:r>
    </w:p>
    <w:bookmarkEnd w:id="58"/>
    <w:bookmarkEnd w:id="59"/>
    <w:p>
      <w:pPr>
        <w:pStyle w:val="4"/>
        <w:spacing w:before="156" w:after="156"/>
        <w:rPr>
          <w:b w:val="0"/>
          <w:bCs w:val="0"/>
        </w:rPr>
      </w:pPr>
      <w:bookmarkStart w:id="62" w:name="_Toc193619101"/>
      <w:bookmarkStart w:id="63" w:name="_Toc193618956"/>
      <w:bookmarkStart w:id="64" w:name="_Toc193860219"/>
      <w:bookmarkStart w:id="65" w:name="_Toc193860188"/>
      <w:bookmarkStart w:id="66" w:name="_Toc193860038"/>
      <w:bookmarkStart w:id="67" w:name="_Toc193619059"/>
      <w:bookmarkStart w:id="68" w:name="_Toc500258947"/>
      <w:bookmarkStart w:id="69" w:name="_Toc25466_WPSOffice_Level1"/>
      <w:r>
        <w:rPr>
          <w:rFonts w:hint="eastAsia"/>
          <w:b w:val="0"/>
          <w:bCs w:val="0"/>
        </w:rPr>
        <w:t>7 校准结果</w:t>
      </w:r>
      <w:bookmarkEnd w:id="62"/>
      <w:bookmarkEnd w:id="63"/>
      <w:bookmarkEnd w:id="64"/>
      <w:bookmarkEnd w:id="65"/>
      <w:bookmarkEnd w:id="66"/>
      <w:bookmarkEnd w:id="67"/>
      <w:r>
        <w:rPr>
          <w:rFonts w:hint="eastAsia"/>
          <w:b w:val="0"/>
          <w:bCs w:val="0"/>
        </w:rPr>
        <w:t>表达</w:t>
      </w:r>
      <w:bookmarkEnd w:id="68"/>
      <w:bookmarkEnd w:id="69"/>
    </w:p>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根据实验室环境要求、校准项目校准结果、测量不确定度评定结果等，按照JJF 1071-2010推荐的校准报告格式，出具校准证书。</w:t>
      </w:r>
    </w:p>
    <w:p>
      <w:pPr>
        <w:pStyle w:val="4"/>
        <w:spacing w:before="156" w:after="156"/>
        <w:rPr>
          <w:b w:val="0"/>
          <w:bCs w:val="0"/>
        </w:rPr>
      </w:pPr>
      <w:bookmarkStart w:id="70" w:name="_Toc193860040"/>
      <w:bookmarkStart w:id="71" w:name="_Toc14803_WPSOffice_Level1"/>
      <w:bookmarkStart w:id="72" w:name="_Toc193860220"/>
      <w:bookmarkStart w:id="73" w:name="_Toc5529"/>
      <w:bookmarkStart w:id="74" w:name="_Toc193860189"/>
      <w:bookmarkStart w:id="75" w:name="_Toc193860041"/>
      <w:r>
        <w:rPr>
          <w:rFonts w:hint="eastAsia"/>
          <w:b w:val="0"/>
          <w:bCs w:val="0"/>
        </w:rPr>
        <w:t>8 复校</w:t>
      </w:r>
      <w:bookmarkEnd w:id="70"/>
      <w:bookmarkEnd w:id="71"/>
      <w:bookmarkEnd w:id="72"/>
      <w:bookmarkEnd w:id="73"/>
      <w:bookmarkEnd w:id="74"/>
      <w:r>
        <w:rPr>
          <w:rFonts w:hint="eastAsia"/>
          <w:b w:val="0"/>
          <w:bCs w:val="0"/>
        </w:rPr>
        <w:t>时间间隔</w:t>
      </w:r>
    </w:p>
    <w:bookmarkEnd w:id="75"/>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复校时间间隔的长短取决于其使用情况，使用单位可根据实际使用情况自主决定复校的时间，建议复校时间间隔为1年。</w:t>
      </w:r>
    </w:p>
    <w:p>
      <w:pPr>
        <w:pStyle w:val="4"/>
        <w:spacing w:before="156" w:after="156"/>
        <w:rPr>
          <w:b w:val="0"/>
          <w:bCs w:val="0"/>
        </w:rPr>
      </w:pPr>
      <w:r>
        <w:rPr>
          <w:rFonts w:hint="eastAsia"/>
          <w:b w:val="0"/>
          <w:bCs w:val="0"/>
        </w:rPr>
        <w:t>9附录</w:t>
      </w:r>
    </w:p>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附录主要包含校准原始记录参考格式、校准证书内页参考格式、横梁移动速度示值相对误差测量不确定度评定示例。</w:t>
      </w:r>
    </w:p>
    <w:p>
      <w:pPr>
        <w:adjustRightInd w:val="0"/>
        <w:snapToGrid w:val="0"/>
        <w:spacing w:line="360" w:lineRule="auto"/>
        <w:ind w:firstLine="420" w:firstLineChars="200"/>
      </w:pPr>
      <w:r>
        <w:rPr>
          <w:rFonts w:hint="eastAsia"/>
        </w:rPr>
        <w:t>本规范设置了</w:t>
      </w:r>
      <w:r>
        <w:t>3</w:t>
      </w:r>
      <w:r>
        <w:rPr>
          <w:rFonts w:hint="eastAsia"/>
        </w:rPr>
        <w:t>个附录，便于校准时参考和规范化。</w:t>
      </w:r>
    </w:p>
    <w:p>
      <w:pPr>
        <w:adjustRightInd w:val="0"/>
        <w:snapToGrid w:val="0"/>
        <w:spacing w:line="360" w:lineRule="auto"/>
        <w:ind w:firstLine="420" w:firstLineChars="200"/>
      </w:pPr>
      <w:r>
        <w:rPr>
          <w:rFonts w:hint="eastAsia"/>
        </w:rPr>
        <w:t>附录A</w:t>
      </w:r>
      <w:bookmarkStart w:id="76" w:name="_Toc5539"/>
      <w:bookmarkStart w:id="77" w:name="_Toc22722"/>
      <w:bookmarkStart w:id="78" w:name="_Toc12124"/>
      <w:bookmarkStart w:id="79" w:name="_Toc4770"/>
      <w:bookmarkStart w:id="80" w:name="_Toc16260"/>
      <w:bookmarkStart w:id="81" w:name="_Toc29827"/>
      <w:bookmarkStart w:id="82" w:name="_Toc10261"/>
      <w:r>
        <w:rPr>
          <w:rFonts w:hint="eastAsia"/>
        </w:rPr>
        <w:t>金属扩口试验机校准记录参考格式</w:t>
      </w:r>
      <w:bookmarkEnd w:id="76"/>
      <w:bookmarkEnd w:id="77"/>
      <w:bookmarkEnd w:id="78"/>
      <w:bookmarkEnd w:id="79"/>
      <w:bookmarkEnd w:id="80"/>
      <w:bookmarkEnd w:id="81"/>
      <w:bookmarkEnd w:id="82"/>
    </w:p>
    <w:p>
      <w:pPr>
        <w:adjustRightInd w:val="0"/>
        <w:snapToGrid w:val="0"/>
        <w:spacing w:line="360" w:lineRule="auto"/>
        <w:ind w:firstLine="420" w:firstLineChars="200"/>
      </w:pPr>
      <w:r>
        <w:rPr>
          <w:rFonts w:hint="eastAsia"/>
        </w:rPr>
        <w:t>附录B 金属扩口试验机校准证书内页参考格式</w:t>
      </w:r>
    </w:p>
    <w:p>
      <w:pPr>
        <w:adjustRightInd w:val="0"/>
        <w:snapToGrid w:val="0"/>
        <w:spacing w:line="360" w:lineRule="auto"/>
        <w:ind w:firstLine="420" w:firstLineChars="200"/>
      </w:pPr>
      <w:r>
        <w:rPr>
          <w:rFonts w:hint="eastAsia"/>
        </w:rPr>
        <w:t>附录C 金属扩口试验机</w:t>
      </w:r>
      <w:r>
        <w:rPr>
          <w:rFonts w:hint="eastAsia" w:eastAsiaTheme="minorEastAsia"/>
          <w:szCs w:val="21"/>
        </w:rPr>
        <w:t>横梁移动速度示值相对误差</w:t>
      </w:r>
      <w:r>
        <w:rPr>
          <w:rFonts w:hint="eastAsia"/>
        </w:rPr>
        <w:t>测量不确定度评定示例</w:t>
      </w:r>
    </w:p>
    <w:bookmarkEnd w:id="1"/>
    <w:bookmarkEnd w:id="19"/>
    <w:p>
      <w:pPr>
        <w:pStyle w:val="2"/>
        <w:spacing w:before="156" w:after="156"/>
        <w:rPr>
          <w:b w:val="0"/>
          <w:bCs w:val="0"/>
        </w:rPr>
      </w:pPr>
      <w:bookmarkStart w:id="83" w:name="_Toc464728965"/>
      <w:r>
        <w:rPr>
          <w:rFonts w:hint="eastAsia"/>
          <w:b w:val="0"/>
          <w:bCs w:val="0"/>
        </w:rPr>
        <w:t>三、实践检测情况</w:t>
      </w:r>
    </w:p>
    <w:p>
      <w:pPr>
        <w:adjustRightInd w:val="0"/>
        <w:spacing w:line="360" w:lineRule="auto"/>
        <w:ind w:firstLine="420" w:firstLineChars="200"/>
      </w:pPr>
      <w:r>
        <w:rPr>
          <w:rFonts w:hint="eastAsia"/>
        </w:rPr>
        <w:t>东北轻合金有限责任公司</w:t>
      </w:r>
      <w:r>
        <w:t>根据本规范</w:t>
      </w:r>
      <w:r>
        <w:rPr>
          <w:rFonts w:hint="eastAsia"/>
        </w:rPr>
        <w:t>的校准项目</w:t>
      </w:r>
      <w:r>
        <w:t>对</w:t>
      </w:r>
      <w:r>
        <w:rPr>
          <w:rFonts w:hint="eastAsia"/>
        </w:rPr>
        <w:t>金属扩口试验机</w:t>
      </w:r>
      <w:r>
        <w:t>进行了全计量特性的校准，内容详见校准报告。</w:t>
      </w:r>
    </w:p>
    <w:p>
      <w:pPr>
        <w:pStyle w:val="2"/>
        <w:spacing w:before="156" w:after="156"/>
        <w:rPr>
          <w:b w:val="0"/>
          <w:bCs w:val="0"/>
        </w:rPr>
      </w:pPr>
      <w:r>
        <w:rPr>
          <w:rFonts w:hint="eastAsia"/>
          <w:b w:val="0"/>
          <w:bCs w:val="0"/>
        </w:rPr>
        <w:t>四、规范水平分析</w:t>
      </w:r>
      <w:bookmarkEnd w:id="83"/>
    </w:p>
    <w:p>
      <w:pPr>
        <w:adjustRightInd w:val="0"/>
        <w:spacing w:line="360" w:lineRule="auto"/>
        <w:ind w:firstLine="420" w:firstLineChars="200"/>
        <w:rPr>
          <w:rFonts w:ascii="宋体" w:hAnsi="宋体"/>
          <w:szCs w:val="21"/>
        </w:rPr>
      </w:pPr>
      <w:r>
        <w:rPr>
          <w:rFonts w:hint="eastAsia" w:ascii="宋体" w:hAnsi="宋体"/>
          <w:szCs w:val="21"/>
        </w:rPr>
        <w:t>目前国外没有相关技术规范，本规范水平达到国内先进水平。</w:t>
      </w:r>
      <w:r>
        <w:rPr>
          <w:rFonts w:hint="eastAsia"/>
          <w:szCs w:val="21"/>
        </w:rPr>
        <w:t>本规范的制定填补了有色金属行业金属扩口试验机的校准空白，属于国内首创，水平达到国内领先/国际一般/国际先进。</w:t>
      </w:r>
    </w:p>
    <w:p>
      <w:pPr>
        <w:pStyle w:val="2"/>
        <w:spacing w:before="156" w:after="156"/>
        <w:rPr>
          <w:b w:val="0"/>
          <w:bCs w:val="0"/>
        </w:rPr>
      </w:pPr>
      <w:r>
        <w:rPr>
          <w:rFonts w:hint="eastAsia"/>
          <w:b w:val="0"/>
          <w:bCs w:val="0"/>
        </w:rPr>
        <w:t>五、与有关的现行法律、法规和强制性国家标准的关系</w:t>
      </w:r>
    </w:p>
    <w:p>
      <w:pPr>
        <w:pStyle w:val="58"/>
        <w:spacing w:line="300" w:lineRule="auto"/>
        <w:ind w:firstLine="420"/>
      </w:pPr>
      <w:r>
        <w:rPr>
          <w:rFonts w:hint="eastAsia"/>
        </w:rPr>
        <w:t>本规范所引用的规程、规范及标准均为我国现行有效的计量规程及规范，是本规范的一部分，引用这些文件后，使本规范的要求与现行的相关法律、法规、规章及相关规程规范的关系不矛盾、不冲突，相互关系协调。</w:t>
      </w:r>
    </w:p>
    <w:p>
      <w:pPr>
        <w:pStyle w:val="2"/>
        <w:spacing w:before="156" w:after="156"/>
        <w:rPr>
          <w:b w:val="0"/>
          <w:bCs w:val="0"/>
        </w:rPr>
      </w:pPr>
      <w:bookmarkStart w:id="84" w:name="_Toc464728973"/>
      <w:r>
        <w:rPr>
          <w:rFonts w:hint="eastAsia"/>
          <w:b w:val="0"/>
          <w:bCs w:val="0"/>
        </w:rPr>
        <w:t>六、规范中涉及的专利或知识产权说明</w:t>
      </w:r>
      <w:bookmarkEnd w:id="84"/>
    </w:p>
    <w:p>
      <w:pPr>
        <w:pStyle w:val="58"/>
        <w:spacing w:line="300" w:lineRule="auto"/>
        <w:ind w:firstLineChars="0"/>
        <w:contextualSpacing/>
        <w:rPr>
          <w:szCs w:val="21"/>
        </w:rPr>
      </w:pPr>
      <w:bookmarkStart w:id="85" w:name="_Toc464728974"/>
      <w:r>
        <w:rPr>
          <w:rFonts w:hint="eastAsia"/>
          <w:szCs w:val="21"/>
        </w:rPr>
        <w:t>无。</w:t>
      </w:r>
    </w:p>
    <w:p>
      <w:pPr>
        <w:pStyle w:val="2"/>
        <w:spacing w:before="156" w:after="156"/>
        <w:rPr>
          <w:b w:val="0"/>
          <w:bCs w:val="0"/>
        </w:rPr>
      </w:pPr>
      <w:r>
        <w:rPr>
          <w:rFonts w:hint="eastAsia"/>
          <w:b w:val="0"/>
          <w:bCs w:val="0"/>
        </w:rPr>
        <w:t>七、重大分歧意见的处理经过和依据</w:t>
      </w:r>
      <w:bookmarkEnd w:id="85"/>
    </w:p>
    <w:p>
      <w:pPr>
        <w:pStyle w:val="58"/>
        <w:spacing w:line="300" w:lineRule="auto"/>
        <w:ind w:firstLine="420"/>
        <w:contextualSpacing/>
        <w:rPr>
          <w:szCs w:val="21"/>
        </w:rPr>
      </w:pPr>
      <w:r>
        <w:rPr>
          <w:rFonts w:hint="eastAsia"/>
          <w:szCs w:val="21"/>
        </w:rPr>
        <w:t>无。</w:t>
      </w:r>
    </w:p>
    <w:p>
      <w:pPr>
        <w:pStyle w:val="2"/>
        <w:spacing w:before="156" w:after="156"/>
        <w:rPr>
          <w:b w:val="0"/>
          <w:bCs w:val="0"/>
        </w:rPr>
      </w:pPr>
      <w:r>
        <w:rPr>
          <w:rFonts w:hint="eastAsia"/>
          <w:b w:val="0"/>
          <w:bCs w:val="0"/>
        </w:rPr>
        <w:t>八、规范作为国家（或行业）计量技术规范的建议</w:t>
      </w:r>
    </w:p>
    <w:p>
      <w:pPr>
        <w:adjustRightInd w:val="0"/>
        <w:spacing w:line="360" w:lineRule="auto"/>
        <w:ind w:firstLine="420" w:firstLineChars="200"/>
        <w:rPr>
          <w:rFonts w:hAnsi="宋体"/>
          <w:szCs w:val="21"/>
        </w:rPr>
      </w:pPr>
      <w:r>
        <w:rPr>
          <w:rFonts w:hint="eastAsia" w:hAnsi="宋体"/>
          <w:szCs w:val="21"/>
        </w:rPr>
        <w:t>建议本规范作为行业计量技术规范，供行业企业参考使用。必要时可根据实际需要，结合其他行业使用要求，申报国家计量技术规范，以满足校准需要。</w:t>
      </w:r>
    </w:p>
    <w:p>
      <w:pPr>
        <w:pStyle w:val="2"/>
        <w:spacing w:before="156" w:after="156"/>
        <w:rPr>
          <w:b w:val="0"/>
          <w:bCs w:val="0"/>
        </w:rPr>
      </w:pPr>
      <w:bookmarkStart w:id="86" w:name="_Toc464728976"/>
      <w:r>
        <w:rPr>
          <w:rFonts w:hint="eastAsia"/>
          <w:b w:val="0"/>
          <w:bCs w:val="0"/>
        </w:rPr>
        <w:t>九、贯彻规范的要求和措施建议</w:t>
      </w:r>
      <w:bookmarkEnd w:id="86"/>
    </w:p>
    <w:p>
      <w:pPr>
        <w:pStyle w:val="58"/>
        <w:spacing w:line="300" w:lineRule="auto"/>
        <w:ind w:firstLine="420"/>
        <w:contextualSpacing/>
        <w:rPr>
          <w:szCs w:val="21"/>
        </w:rPr>
      </w:pPr>
      <w:r>
        <w:rPr>
          <w:rFonts w:hint="eastAsia"/>
          <w:szCs w:val="21"/>
        </w:rPr>
        <w:t>本规范发布后，中国有色金属行业协会和有色金属行业计量技术委员会应加强本规范的宣传力度，以促进我国企业的技术进步和产品质量上档次，提高我国产品在国际国内市场的竞争能力。</w:t>
      </w:r>
    </w:p>
    <w:p>
      <w:pPr>
        <w:pStyle w:val="2"/>
        <w:spacing w:before="156" w:after="156"/>
        <w:rPr>
          <w:b w:val="0"/>
          <w:bCs w:val="0"/>
        </w:rPr>
      </w:pPr>
      <w:bookmarkStart w:id="87" w:name="_Toc464728977"/>
      <w:r>
        <w:rPr>
          <w:rFonts w:hint="eastAsia"/>
          <w:b w:val="0"/>
          <w:bCs w:val="0"/>
        </w:rPr>
        <w:t>十、废止现行有关规范的建议</w:t>
      </w:r>
      <w:bookmarkEnd w:id="87"/>
    </w:p>
    <w:p>
      <w:pPr>
        <w:pStyle w:val="58"/>
        <w:spacing w:line="300" w:lineRule="auto"/>
        <w:ind w:firstLine="420"/>
        <w:contextualSpacing/>
        <w:rPr>
          <w:szCs w:val="21"/>
        </w:rPr>
      </w:pPr>
      <w:r>
        <w:rPr>
          <w:rFonts w:hint="eastAsia"/>
          <w:szCs w:val="21"/>
        </w:rPr>
        <w:t>无。</w:t>
      </w:r>
    </w:p>
    <w:p>
      <w:pPr>
        <w:pStyle w:val="2"/>
        <w:spacing w:before="156" w:after="156"/>
        <w:rPr>
          <w:b w:val="0"/>
          <w:bCs w:val="0"/>
        </w:rPr>
      </w:pPr>
      <w:r>
        <w:rPr>
          <w:rFonts w:hint="eastAsia"/>
          <w:b w:val="0"/>
          <w:bCs w:val="0"/>
        </w:rPr>
        <w:t>十一、预期效果</w:t>
      </w:r>
    </w:p>
    <w:p>
      <w:pPr>
        <w:ind w:firstLine="420" w:firstLineChars="200"/>
        <w:rPr>
          <w:rFonts w:ascii="宋体" w:hAnsi="宋体"/>
          <w:kern w:val="0"/>
          <w:szCs w:val="21"/>
        </w:rPr>
      </w:pPr>
      <w:r>
        <w:rPr>
          <w:rFonts w:hint="eastAsia" w:ascii="宋体" w:hAnsi="宋体"/>
          <w:kern w:val="0"/>
          <w:szCs w:val="21"/>
        </w:rPr>
        <w:t>本</w:t>
      </w:r>
      <w:r>
        <w:rPr>
          <w:rFonts w:ascii="宋体" w:hAnsi="宋体"/>
          <w:kern w:val="0"/>
          <w:szCs w:val="21"/>
        </w:rPr>
        <w:t>规范</w:t>
      </w:r>
      <w:r>
        <w:rPr>
          <w:rFonts w:hint="eastAsia" w:ascii="宋体" w:hAnsi="宋体"/>
          <w:kern w:val="0"/>
          <w:szCs w:val="21"/>
        </w:rPr>
        <w:t>发布后，能</w:t>
      </w:r>
      <w:r>
        <w:rPr>
          <w:rFonts w:ascii="宋体" w:hAnsi="宋体"/>
          <w:kern w:val="0"/>
          <w:szCs w:val="21"/>
        </w:rPr>
        <w:t>解决</w:t>
      </w:r>
      <w:r>
        <w:rPr>
          <w:rFonts w:hint="eastAsia" w:ascii="宋体" w:hAnsi="宋体"/>
          <w:kern w:val="0"/>
          <w:szCs w:val="21"/>
        </w:rPr>
        <w:t>金属扩口试验机</w:t>
      </w:r>
      <w:r>
        <w:rPr>
          <w:rFonts w:ascii="宋体" w:hAnsi="宋体"/>
          <w:kern w:val="0"/>
          <w:szCs w:val="21"/>
        </w:rPr>
        <w:t>校准方法不统一、校准方法差异化、计量标准技术指标不明确、校准点的选择不统一、</w:t>
      </w:r>
      <w:r>
        <w:rPr>
          <w:rFonts w:hint="eastAsia" w:ascii="宋体" w:hAnsi="宋体"/>
          <w:kern w:val="0"/>
          <w:szCs w:val="21"/>
        </w:rPr>
        <w:t>金属扩口试验机</w:t>
      </w:r>
      <w:r>
        <w:rPr>
          <w:rFonts w:ascii="宋体" w:hAnsi="宋体"/>
          <w:kern w:val="0"/>
          <w:szCs w:val="21"/>
        </w:rPr>
        <w:t>的校准方法未规定等问题，弥</w:t>
      </w:r>
      <w:r>
        <w:rPr>
          <w:rFonts w:hint="eastAsia" w:ascii="宋体" w:hAnsi="宋体"/>
          <w:kern w:val="0"/>
          <w:szCs w:val="21"/>
        </w:rPr>
        <w:t>金属扩口试验机</w:t>
      </w:r>
      <w:r>
        <w:rPr>
          <w:rFonts w:ascii="宋体" w:hAnsi="宋体"/>
          <w:kern w:val="0"/>
          <w:szCs w:val="21"/>
        </w:rPr>
        <w:t>校准的空白，</w:t>
      </w:r>
      <w:r>
        <w:rPr>
          <w:rFonts w:hint="eastAsia" w:ascii="宋体" w:hAnsi="宋体"/>
          <w:kern w:val="0"/>
          <w:szCs w:val="21"/>
        </w:rPr>
        <w:t>为保证金属扩口试验机测试结果的准确可靠</w:t>
      </w:r>
      <w:r>
        <w:rPr>
          <w:rFonts w:ascii="宋体" w:hAnsi="宋体"/>
          <w:kern w:val="0"/>
          <w:szCs w:val="21"/>
        </w:rPr>
        <w:t>提供保证，从而提高刻线精度的准确性。</w:t>
      </w:r>
    </w:p>
    <w:p>
      <w:pPr>
        <w:pStyle w:val="2"/>
        <w:spacing w:before="156" w:after="156"/>
        <w:rPr>
          <w:b w:val="0"/>
          <w:bCs w:val="0"/>
        </w:rPr>
      </w:pPr>
      <w:r>
        <w:rPr>
          <w:rFonts w:hint="eastAsia"/>
          <w:b w:val="0"/>
          <w:bCs w:val="0"/>
        </w:rPr>
        <w:t>十二、其他应予说明的事项</w:t>
      </w:r>
    </w:p>
    <w:p>
      <w:pPr>
        <w:pStyle w:val="58"/>
        <w:spacing w:line="300" w:lineRule="auto"/>
        <w:ind w:firstLineChars="0"/>
        <w:contextualSpacing/>
        <w:rPr>
          <w:szCs w:val="21"/>
        </w:rPr>
      </w:pPr>
      <w:r>
        <w:rPr>
          <w:rFonts w:hint="eastAsia"/>
          <w:szCs w:val="21"/>
        </w:rPr>
        <w:t>无。</w:t>
      </w:r>
    </w:p>
    <w:p>
      <w:pPr>
        <w:pStyle w:val="58"/>
        <w:spacing w:line="300" w:lineRule="auto"/>
        <w:ind w:firstLineChars="0"/>
        <w:contextualSpacing/>
        <w:rPr>
          <w:szCs w:val="21"/>
        </w:rPr>
      </w:pPr>
    </w:p>
    <w:p>
      <w:pPr>
        <w:pStyle w:val="58"/>
        <w:spacing w:line="300" w:lineRule="auto"/>
        <w:ind w:firstLineChars="0"/>
        <w:contextualSpacing/>
        <w:jc w:val="right"/>
        <w:rPr>
          <w:rFonts w:ascii="Times New Roman" w:hAnsi="Times New Roman" w:eastAsia="黑体"/>
        </w:rPr>
      </w:pPr>
    </w:p>
    <w:p>
      <w:pPr>
        <w:pStyle w:val="58"/>
        <w:spacing w:line="300" w:lineRule="auto"/>
        <w:ind w:firstLineChars="0"/>
        <w:contextualSpacing/>
        <w:jc w:val="right"/>
        <w:rPr>
          <w:rFonts w:ascii="Times New Roman" w:hAnsi="Times New Roman" w:eastAsia="黑体"/>
        </w:rPr>
      </w:pPr>
    </w:p>
    <w:p>
      <w:pPr>
        <w:pStyle w:val="58"/>
        <w:spacing w:line="300" w:lineRule="auto"/>
        <w:ind w:firstLineChars="0"/>
        <w:contextualSpacing/>
        <w:jc w:val="right"/>
        <w:rPr>
          <w:rFonts w:ascii="Times New Roman" w:hAnsi="Times New Roman" w:eastAsia="方正行楷简体"/>
          <w:szCs w:val="21"/>
        </w:rPr>
      </w:pPr>
      <w:r>
        <w:rPr>
          <w:rFonts w:ascii="Times New Roman" w:hAnsi="Times New Roman" w:eastAsia="方正行楷简体"/>
          <w:szCs w:val="21"/>
        </w:rPr>
        <w:t>《</w:t>
      </w:r>
      <w:r>
        <w:rPr>
          <w:rFonts w:hint="eastAsia" w:ascii="Times New Roman" w:hAnsi="Times New Roman"/>
          <w:szCs w:val="21"/>
        </w:rPr>
        <w:t>金属扩口试验机</w:t>
      </w:r>
      <w:r>
        <w:rPr>
          <w:rFonts w:ascii="Times New Roman" w:hAnsi="Times New Roman"/>
          <w:szCs w:val="21"/>
        </w:rPr>
        <w:t>校准规范</w:t>
      </w:r>
      <w:r>
        <w:rPr>
          <w:rFonts w:ascii="Times New Roman" w:hAnsi="Times New Roman" w:eastAsia="方正行楷简体"/>
          <w:szCs w:val="21"/>
        </w:rPr>
        <w:t xml:space="preserve">》编制组  </w:t>
      </w:r>
    </w:p>
    <w:p>
      <w:pPr>
        <w:pStyle w:val="58"/>
        <w:spacing w:line="300" w:lineRule="auto"/>
        <w:ind w:firstLineChars="0"/>
        <w:contextualSpacing/>
        <w:jc w:val="right"/>
        <w:rPr>
          <w:szCs w:val="21"/>
        </w:rPr>
      </w:pPr>
      <w:r>
        <w:rPr>
          <w:rFonts w:ascii="Times New Roman" w:hAnsi="Times New Roman" w:eastAsia="方正行楷简体"/>
          <w:szCs w:val="21"/>
        </w:rPr>
        <w:t>20</w:t>
      </w:r>
      <w:r>
        <w:rPr>
          <w:rFonts w:hint="eastAsia" w:ascii="Times New Roman" w:hAnsi="Times New Roman" w:eastAsia="方正行楷简体"/>
          <w:szCs w:val="21"/>
        </w:rPr>
        <w:t>25</w:t>
      </w:r>
      <w:r>
        <w:rPr>
          <w:rFonts w:ascii="Times New Roman" w:hAnsi="Times New Roman" w:eastAsia="方正行楷简体"/>
          <w:szCs w:val="21"/>
        </w:rPr>
        <w:t>年</w:t>
      </w:r>
      <w:r>
        <w:rPr>
          <w:rFonts w:hint="eastAsia" w:ascii="Times New Roman" w:hAnsi="Times New Roman" w:eastAsia="方正行楷简体"/>
          <w:szCs w:val="21"/>
        </w:rPr>
        <w:t>5</w:t>
      </w:r>
      <w:r>
        <w:rPr>
          <w:rFonts w:ascii="Times New Roman" w:hAnsi="Times New Roman" w:eastAsia="方正行楷简体"/>
          <w:szCs w:val="21"/>
        </w:rPr>
        <w:t>月</w:t>
      </w:r>
      <w:r>
        <w:rPr>
          <w:rFonts w:hint="eastAsia" w:ascii="Times New Roman" w:hAnsi="Times New Roman" w:eastAsia="方正行楷简体"/>
          <w:szCs w:val="21"/>
        </w:rPr>
        <w:t>20</w:t>
      </w:r>
      <w:r>
        <w:rPr>
          <w:rFonts w:ascii="Times New Roman" w:hAnsi="Times New Roman" w:eastAsia="方正行楷简体"/>
          <w:szCs w:val="21"/>
        </w:rPr>
        <w:t>日</w:t>
      </w:r>
    </w:p>
    <w:sectPr>
      <w:footerReference r:id="rId5" w:type="first"/>
      <w:headerReference r:id="rId3" w:type="default"/>
      <w:footerReference r:id="rId4"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jc w:val="center"/>
      <w:rPr>
        <w:rStyle w:val="45"/>
      </w:rPr>
    </w:pPr>
    <w:r>
      <w:fldChar w:fldCharType="begin"/>
    </w:r>
    <w:r>
      <w:rPr>
        <w:rStyle w:val="45"/>
      </w:rPr>
      <w:instrText xml:space="preserve">PAGE  </w:instrText>
    </w:r>
    <w:r>
      <w:fldChar w:fldCharType="separate"/>
    </w:r>
    <w:r>
      <w:rPr>
        <w:rStyle w:val="45"/>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284"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A714943"/>
    <w:multiLevelType w:val="singleLevel"/>
    <w:tmpl w:val="0A714943"/>
    <w:lvl w:ilvl="0" w:tentative="0">
      <w:start w:val="1"/>
      <w:numFmt w:val="decimal"/>
      <w:suff w:val="nothing"/>
      <w:lvlText w:val="%1）"/>
      <w:lvlJc w:val="left"/>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isplayBackgroundShape w:val="1"/>
  <w:bordersDoNotSurroundHeader w:val="1"/>
  <w:bordersDoNotSurroundFooter w:val="1"/>
  <w:hideSpellingErrors/>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Q4ODQwNThiYTg4YTBlNDhkZDRmNGNiNWM5NWE1YzAifQ=="/>
  </w:docVars>
  <w:rsids>
    <w:rsidRoot w:val="00693668"/>
    <w:rsid w:val="000038F0"/>
    <w:rsid w:val="00004648"/>
    <w:rsid w:val="00014C66"/>
    <w:rsid w:val="000211BF"/>
    <w:rsid w:val="000237D4"/>
    <w:rsid w:val="000309D7"/>
    <w:rsid w:val="00032F98"/>
    <w:rsid w:val="00034584"/>
    <w:rsid w:val="00036A21"/>
    <w:rsid w:val="00036F02"/>
    <w:rsid w:val="0004299E"/>
    <w:rsid w:val="00043D6D"/>
    <w:rsid w:val="00044041"/>
    <w:rsid w:val="0005764E"/>
    <w:rsid w:val="000657B2"/>
    <w:rsid w:val="0006679C"/>
    <w:rsid w:val="0007070D"/>
    <w:rsid w:val="00073A74"/>
    <w:rsid w:val="00084878"/>
    <w:rsid w:val="000971D5"/>
    <w:rsid w:val="000C1F88"/>
    <w:rsid w:val="000C772A"/>
    <w:rsid w:val="000F15FB"/>
    <w:rsid w:val="000F714B"/>
    <w:rsid w:val="00100912"/>
    <w:rsid w:val="00104CBC"/>
    <w:rsid w:val="001164A0"/>
    <w:rsid w:val="0012155C"/>
    <w:rsid w:val="00122AD8"/>
    <w:rsid w:val="00136813"/>
    <w:rsid w:val="0014120B"/>
    <w:rsid w:val="00150062"/>
    <w:rsid w:val="00151323"/>
    <w:rsid w:val="001527ED"/>
    <w:rsid w:val="00171561"/>
    <w:rsid w:val="001859F4"/>
    <w:rsid w:val="0019431C"/>
    <w:rsid w:val="001A4F75"/>
    <w:rsid w:val="001C13CE"/>
    <w:rsid w:val="001C7BB8"/>
    <w:rsid w:val="001D0501"/>
    <w:rsid w:val="001E0288"/>
    <w:rsid w:val="001E09C6"/>
    <w:rsid w:val="00222F46"/>
    <w:rsid w:val="00235374"/>
    <w:rsid w:val="00244291"/>
    <w:rsid w:val="00247A7D"/>
    <w:rsid w:val="00255EB1"/>
    <w:rsid w:val="002732FF"/>
    <w:rsid w:val="00275F7A"/>
    <w:rsid w:val="00280BE9"/>
    <w:rsid w:val="002849BB"/>
    <w:rsid w:val="00291548"/>
    <w:rsid w:val="00293085"/>
    <w:rsid w:val="002977EC"/>
    <w:rsid w:val="002A1305"/>
    <w:rsid w:val="002D0634"/>
    <w:rsid w:val="002D2103"/>
    <w:rsid w:val="002D5BCD"/>
    <w:rsid w:val="002E6C19"/>
    <w:rsid w:val="002F4E61"/>
    <w:rsid w:val="003012C4"/>
    <w:rsid w:val="00305CB9"/>
    <w:rsid w:val="00307A90"/>
    <w:rsid w:val="00314BA2"/>
    <w:rsid w:val="00322078"/>
    <w:rsid w:val="0032338B"/>
    <w:rsid w:val="0033057E"/>
    <w:rsid w:val="003318C1"/>
    <w:rsid w:val="00335FEC"/>
    <w:rsid w:val="0034125E"/>
    <w:rsid w:val="00352269"/>
    <w:rsid w:val="00366AF1"/>
    <w:rsid w:val="00373555"/>
    <w:rsid w:val="00397407"/>
    <w:rsid w:val="003B0148"/>
    <w:rsid w:val="003B7E0E"/>
    <w:rsid w:val="003B7F03"/>
    <w:rsid w:val="003C2376"/>
    <w:rsid w:val="003C685D"/>
    <w:rsid w:val="003E10E7"/>
    <w:rsid w:val="003E237F"/>
    <w:rsid w:val="003F2C11"/>
    <w:rsid w:val="00400BF2"/>
    <w:rsid w:val="0040777C"/>
    <w:rsid w:val="00411DC2"/>
    <w:rsid w:val="00415481"/>
    <w:rsid w:val="004257BB"/>
    <w:rsid w:val="00425D1F"/>
    <w:rsid w:val="004265F2"/>
    <w:rsid w:val="004508BB"/>
    <w:rsid w:val="00451680"/>
    <w:rsid w:val="00455FE9"/>
    <w:rsid w:val="0046211B"/>
    <w:rsid w:val="00464019"/>
    <w:rsid w:val="00472194"/>
    <w:rsid w:val="00482AD2"/>
    <w:rsid w:val="0048362B"/>
    <w:rsid w:val="00497039"/>
    <w:rsid w:val="004A27E5"/>
    <w:rsid w:val="004B1DE2"/>
    <w:rsid w:val="004B3BD5"/>
    <w:rsid w:val="004C6FDF"/>
    <w:rsid w:val="004E1361"/>
    <w:rsid w:val="004E4C45"/>
    <w:rsid w:val="004E5080"/>
    <w:rsid w:val="00521FA9"/>
    <w:rsid w:val="0052761B"/>
    <w:rsid w:val="00527CD4"/>
    <w:rsid w:val="005305AE"/>
    <w:rsid w:val="00531FA0"/>
    <w:rsid w:val="00536268"/>
    <w:rsid w:val="00536BFA"/>
    <w:rsid w:val="005535AA"/>
    <w:rsid w:val="0055489A"/>
    <w:rsid w:val="00556AC4"/>
    <w:rsid w:val="005608DA"/>
    <w:rsid w:val="00567271"/>
    <w:rsid w:val="005709C3"/>
    <w:rsid w:val="0059121E"/>
    <w:rsid w:val="005B3A80"/>
    <w:rsid w:val="005B5BAB"/>
    <w:rsid w:val="005C0BE7"/>
    <w:rsid w:val="005C2448"/>
    <w:rsid w:val="005C769A"/>
    <w:rsid w:val="005E67C7"/>
    <w:rsid w:val="005F42DD"/>
    <w:rsid w:val="00601ADF"/>
    <w:rsid w:val="00606487"/>
    <w:rsid w:val="00623451"/>
    <w:rsid w:val="00624A40"/>
    <w:rsid w:val="00625140"/>
    <w:rsid w:val="00627726"/>
    <w:rsid w:val="00633572"/>
    <w:rsid w:val="00636E32"/>
    <w:rsid w:val="00637AB5"/>
    <w:rsid w:val="00644C6D"/>
    <w:rsid w:val="006510D6"/>
    <w:rsid w:val="00660A77"/>
    <w:rsid w:val="00667FDB"/>
    <w:rsid w:val="00670276"/>
    <w:rsid w:val="00672533"/>
    <w:rsid w:val="006738AA"/>
    <w:rsid w:val="006820CD"/>
    <w:rsid w:val="00683E68"/>
    <w:rsid w:val="00686643"/>
    <w:rsid w:val="006871C6"/>
    <w:rsid w:val="0069243E"/>
    <w:rsid w:val="00693668"/>
    <w:rsid w:val="006B3185"/>
    <w:rsid w:val="006B43C4"/>
    <w:rsid w:val="006C188A"/>
    <w:rsid w:val="006C2258"/>
    <w:rsid w:val="006C2AF8"/>
    <w:rsid w:val="006D1B98"/>
    <w:rsid w:val="006D7E99"/>
    <w:rsid w:val="006E11F0"/>
    <w:rsid w:val="00707309"/>
    <w:rsid w:val="00724E03"/>
    <w:rsid w:val="00733C71"/>
    <w:rsid w:val="00735A75"/>
    <w:rsid w:val="007373AB"/>
    <w:rsid w:val="00740702"/>
    <w:rsid w:val="00743BA2"/>
    <w:rsid w:val="00743BAC"/>
    <w:rsid w:val="00746BAC"/>
    <w:rsid w:val="00750ED3"/>
    <w:rsid w:val="00764D0A"/>
    <w:rsid w:val="00765621"/>
    <w:rsid w:val="007901C0"/>
    <w:rsid w:val="007902D1"/>
    <w:rsid w:val="00796CF0"/>
    <w:rsid w:val="00796FE3"/>
    <w:rsid w:val="007A3BEE"/>
    <w:rsid w:val="007C15E3"/>
    <w:rsid w:val="007D5B84"/>
    <w:rsid w:val="007E56C9"/>
    <w:rsid w:val="00804BC8"/>
    <w:rsid w:val="00820F69"/>
    <w:rsid w:val="00824B04"/>
    <w:rsid w:val="00826DAA"/>
    <w:rsid w:val="008461B6"/>
    <w:rsid w:val="0085122B"/>
    <w:rsid w:val="00854EC4"/>
    <w:rsid w:val="0086056F"/>
    <w:rsid w:val="0086378F"/>
    <w:rsid w:val="008754EE"/>
    <w:rsid w:val="00876D87"/>
    <w:rsid w:val="008B22FC"/>
    <w:rsid w:val="008B3710"/>
    <w:rsid w:val="008C672E"/>
    <w:rsid w:val="008E415E"/>
    <w:rsid w:val="008F5DCA"/>
    <w:rsid w:val="009052E4"/>
    <w:rsid w:val="009111C1"/>
    <w:rsid w:val="0091388B"/>
    <w:rsid w:val="00913ED1"/>
    <w:rsid w:val="00930DB4"/>
    <w:rsid w:val="00933D2C"/>
    <w:rsid w:val="00942FD2"/>
    <w:rsid w:val="00946B7D"/>
    <w:rsid w:val="009513C5"/>
    <w:rsid w:val="009542EF"/>
    <w:rsid w:val="00954DA4"/>
    <w:rsid w:val="00967A11"/>
    <w:rsid w:val="00971240"/>
    <w:rsid w:val="00977A4A"/>
    <w:rsid w:val="009A12AB"/>
    <w:rsid w:val="009B4929"/>
    <w:rsid w:val="009C0597"/>
    <w:rsid w:val="009C2D10"/>
    <w:rsid w:val="009D79FA"/>
    <w:rsid w:val="009E3D09"/>
    <w:rsid w:val="009F420F"/>
    <w:rsid w:val="00A06113"/>
    <w:rsid w:val="00A11A21"/>
    <w:rsid w:val="00A12727"/>
    <w:rsid w:val="00A1378A"/>
    <w:rsid w:val="00A1497C"/>
    <w:rsid w:val="00A15577"/>
    <w:rsid w:val="00A3211C"/>
    <w:rsid w:val="00A363F7"/>
    <w:rsid w:val="00A40E4F"/>
    <w:rsid w:val="00A42CFE"/>
    <w:rsid w:val="00A47FE2"/>
    <w:rsid w:val="00A56163"/>
    <w:rsid w:val="00A662E8"/>
    <w:rsid w:val="00A708AB"/>
    <w:rsid w:val="00A77511"/>
    <w:rsid w:val="00A7790F"/>
    <w:rsid w:val="00A8043A"/>
    <w:rsid w:val="00A8426B"/>
    <w:rsid w:val="00A86AF0"/>
    <w:rsid w:val="00A87866"/>
    <w:rsid w:val="00AC0924"/>
    <w:rsid w:val="00AD093B"/>
    <w:rsid w:val="00AE0B35"/>
    <w:rsid w:val="00AE47AC"/>
    <w:rsid w:val="00AF7111"/>
    <w:rsid w:val="00B056DA"/>
    <w:rsid w:val="00B05E25"/>
    <w:rsid w:val="00B07D3B"/>
    <w:rsid w:val="00B27476"/>
    <w:rsid w:val="00B369B6"/>
    <w:rsid w:val="00B43636"/>
    <w:rsid w:val="00B45E9C"/>
    <w:rsid w:val="00B53389"/>
    <w:rsid w:val="00B60FA7"/>
    <w:rsid w:val="00B614F2"/>
    <w:rsid w:val="00B706F7"/>
    <w:rsid w:val="00B7116A"/>
    <w:rsid w:val="00B75677"/>
    <w:rsid w:val="00B817F8"/>
    <w:rsid w:val="00B911AF"/>
    <w:rsid w:val="00BB316D"/>
    <w:rsid w:val="00BB4554"/>
    <w:rsid w:val="00BB7985"/>
    <w:rsid w:val="00BC66A0"/>
    <w:rsid w:val="00BC6B82"/>
    <w:rsid w:val="00BF1D43"/>
    <w:rsid w:val="00BF4703"/>
    <w:rsid w:val="00C03A4F"/>
    <w:rsid w:val="00C058B2"/>
    <w:rsid w:val="00C10883"/>
    <w:rsid w:val="00C113A5"/>
    <w:rsid w:val="00C2681C"/>
    <w:rsid w:val="00C27739"/>
    <w:rsid w:val="00C40CAE"/>
    <w:rsid w:val="00C5059F"/>
    <w:rsid w:val="00C53BDD"/>
    <w:rsid w:val="00C5550F"/>
    <w:rsid w:val="00C57BAB"/>
    <w:rsid w:val="00C66C85"/>
    <w:rsid w:val="00C70EA3"/>
    <w:rsid w:val="00C7537E"/>
    <w:rsid w:val="00C76E43"/>
    <w:rsid w:val="00C8056F"/>
    <w:rsid w:val="00C81A49"/>
    <w:rsid w:val="00C86EE5"/>
    <w:rsid w:val="00C9548E"/>
    <w:rsid w:val="00CB3949"/>
    <w:rsid w:val="00CB750D"/>
    <w:rsid w:val="00CB7CDF"/>
    <w:rsid w:val="00CC3C55"/>
    <w:rsid w:val="00CC3DDD"/>
    <w:rsid w:val="00CC491D"/>
    <w:rsid w:val="00CC52E3"/>
    <w:rsid w:val="00CD2D13"/>
    <w:rsid w:val="00CD759E"/>
    <w:rsid w:val="00CF3CAA"/>
    <w:rsid w:val="00D01726"/>
    <w:rsid w:val="00D1166D"/>
    <w:rsid w:val="00D16568"/>
    <w:rsid w:val="00D17115"/>
    <w:rsid w:val="00D23221"/>
    <w:rsid w:val="00D310E4"/>
    <w:rsid w:val="00D436F5"/>
    <w:rsid w:val="00D6471A"/>
    <w:rsid w:val="00D81C1D"/>
    <w:rsid w:val="00D85454"/>
    <w:rsid w:val="00D86648"/>
    <w:rsid w:val="00D903E4"/>
    <w:rsid w:val="00DA22D1"/>
    <w:rsid w:val="00DB4F65"/>
    <w:rsid w:val="00DD6769"/>
    <w:rsid w:val="00DD7D39"/>
    <w:rsid w:val="00DE144C"/>
    <w:rsid w:val="00DF701F"/>
    <w:rsid w:val="00E002FF"/>
    <w:rsid w:val="00E019C6"/>
    <w:rsid w:val="00E15312"/>
    <w:rsid w:val="00E179CE"/>
    <w:rsid w:val="00E22714"/>
    <w:rsid w:val="00E23465"/>
    <w:rsid w:val="00E31A7B"/>
    <w:rsid w:val="00E32480"/>
    <w:rsid w:val="00E71DCC"/>
    <w:rsid w:val="00E82471"/>
    <w:rsid w:val="00E911BC"/>
    <w:rsid w:val="00EB2994"/>
    <w:rsid w:val="00EB3D9D"/>
    <w:rsid w:val="00EC149D"/>
    <w:rsid w:val="00ED5F91"/>
    <w:rsid w:val="00EE5988"/>
    <w:rsid w:val="00F10C9E"/>
    <w:rsid w:val="00F32186"/>
    <w:rsid w:val="00F3447A"/>
    <w:rsid w:val="00F379EC"/>
    <w:rsid w:val="00F45BA8"/>
    <w:rsid w:val="00F507FB"/>
    <w:rsid w:val="00F5644A"/>
    <w:rsid w:val="00F7167F"/>
    <w:rsid w:val="00F71F31"/>
    <w:rsid w:val="00F80059"/>
    <w:rsid w:val="00F812C6"/>
    <w:rsid w:val="00F91E84"/>
    <w:rsid w:val="00FA4CA4"/>
    <w:rsid w:val="00FA6198"/>
    <w:rsid w:val="00FB03C5"/>
    <w:rsid w:val="00FC2112"/>
    <w:rsid w:val="00FC7BF3"/>
    <w:rsid w:val="00FD235D"/>
    <w:rsid w:val="00FD617B"/>
    <w:rsid w:val="00FD7FCA"/>
    <w:rsid w:val="00FE0C1C"/>
    <w:rsid w:val="00FE17CA"/>
    <w:rsid w:val="00FE1932"/>
    <w:rsid w:val="00FE1A74"/>
    <w:rsid w:val="00FF5630"/>
    <w:rsid w:val="013E7413"/>
    <w:rsid w:val="02F703B0"/>
    <w:rsid w:val="03D6425B"/>
    <w:rsid w:val="04731467"/>
    <w:rsid w:val="05F125DB"/>
    <w:rsid w:val="06716757"/>
    <w:rsid w:val="07DC0ED5"/>
    <w:rsid w:val="08C32C2A"/>
    <w:rsid w:val="0904785D"/>
    <w:rsid w:val="09573966"/>
    <w:rsid w:val="09735085"/>
    <w:rsid w:val="0A781AE7"/>
    <w:rsid w:val="0CB9457A"/>
    <w:rsid w:val="0CCA0314"/>
    <w:rsid w:val="0D4D7390"/>
    <w:rsid w:val="0D8022CA"/>
    <w:rsid w:val="0E6513CA"/>
    <w:rsid w:val="10D007D8"/>
    <w:rsid w:val="11471F43"/>
    <w:rsid w:val="13877F6B"/>
    <w:rsid w:val="13B1031D"/>
    <w:rsid w:val="14317D7D"/>
    <w:rsid w:val="14BB2729"/>
    <w:rsid w:val="14FE0CE9"/>
    <w:rsid w:val="155972AE"/>
    <w:rsid w:val="158E7867"/>
    <w:rsid w:val="16514C87"/>
    <w:rsid w:val="16A67923"/>
    <w:rsid w:val="1715619A"/>
    <w:rsid w:val="174C2AB4"/>
    <w:rsid w:val="17E64F25"/>
    <w:rsid w:val="180D3B06"/>
    <w:rsid w:val="19045581"/>
    <w:rsid w:val="1C5E66E5"/>
    <w:rsid w:val="1C803B53"/>
    <w:rsid w:val="1CF52C8F"/>
    <w:rsid w:val="1E4179CF"/>
    <w:rsid w:val="1E713A82"/>
    <w:rsid w:val="1F5A1A25"/>
    <w:rsid w:val="1F714057"/>
    <w:rsid w:val="1FAB00D4"/>
    <w:rsid w:val="208E75B3"/>
    <w:rsid w:val="20F7441D"/>
    <w:rsid w:val="218A16C9"/>
    <w:rsid w:val="21BE3478"/>
    <w:rsid w:val="21D04080"/>
    <w:rsid w:val="21FF6ED4"/>
    <w:rsid w:val="22423DCF"/>
    <w:rsid w:val="225C10E7"/>
    <w:rsid w:val="23A74BBD"/>
    <w:rsid w:val="23D04AF7"/>
    <w:rsid w:val="23D43A72"/>
    <w:rsid w:val="27094A4B"/>
    <w:rsid w:val="277C51D7"/>
    <w:rsid w:val="27BD3A55"/>
    <w:rsid w:val="284A3019"/>
    <w:rsid w:val="286B06B0"/>
    <w:rsid w:val="28A00A66"/>
    <w:rsid w:val="29846CB3"/>
    <w:rsid w:val="29E46257"/>
    <w:rsid w:val="2A4110A1"/>
    <w:rsid w:val="2A636980"/>
    <w:rsid w:val="2AB54F41"/>
    <w:rsid w:val="2AB85E2C"/>
    <w:rsid w:val="2C147130"/>
    <w:rsid w:val="2C281A12"/>
    <w:rsid w:val="2CE97C2D"/>
    <w:rsid w:val="2D740EF7"/>
    <w:rsid w:val="2E772BB0"/>
    <w:rsid w:val="2F656952"/>
    <w:rsid w:val="2FBE527A"/>
    <w:rsid w:val="31B57A58"/>
    <w:rsid w:val="325F3B1A"/>
    <w:rsid w:val="34745E77"/>
    <w:rsid w:val="34CD5E22"/>
    <w:rsid w:val="36AE69D8"/>
    <w:rsid w:val="38B6063A"/>
    <w:rsid w:val="39AC1B82"/>
    <w:rsid w:val="39E63C45"/>
    <w:rsid w:val="3A157C26"/>
    <w:rsid w:val="3A910669"/>
    <w:rsid w:val="3AA31842"/>
    <w:rsid w:val="3B353489"/>
    <w:rsid w:val="3BFA1058"/>
    <w:rsid w:val="3C5D4021"/>
    <w:rsid w:val="3E971897"/>
    <w:rsid w:val="3EBA5BC3"/>
    <w:rsid w:val="3FE25D82"/>
    <w:rsid w:val="40160688"/>
    <w:rsid w:val="41504E33"/>
    <w:rsid w:val="420E5348"/>
    <w:rsid w:val="425F603B"/>
    <w:rsid w:val="4286740D"/>
    <w:rsid w:val="43A67182"/>
    <w:rsid w:val="44100726"/>
    <w:rsid w:val="44347A9B"/>
    <w:rsid w:val="44CE02A0"/>
    <w:rsid w:val="44D94889"/>
    <w:rsid w:val="456D3D97"/>
    <w:rsid w:val="456E0177"/>
    <w:rsid w:val="45E87405"/>
    <w:rsid w:val="46474D73"/>
    <w:rsid w:val="465C4787"/>
    <w:rsid w:val="473A498E"/>
    <w:rsid w:val="47552183"/>
    <w:rsid w:val="48211129"/>
    <w:rsid w:val="48BE5C4B"/>
    <w:rsid w:val="49214E6F"/>
    <w:rsid w:val="49A26661"/>
    <w:rsid w:val="49C43614"/>
    <w:rsid w:val="49DD5F67"/>
    <w:rsid w:val="4AE6291D"/>
    <w:rsid w:val="4AEA403C"/>
    <w:rsid w:val="4B8C5809"/>
    <w:rsid w:val="4B933E1A"/>
    <w:rsid w:val="4BE34D82"/>
    <w:rsid w:val="4D432356"/>
    <w:rsid w:val="4E2E0547"/>
    <w:rsid w:val="4E3430C7"/>
    <w:rsid w:val="4E383C37"/>
    <w:rsid w:val="4F2409A6"/>
    <w:rsid w:val="4FA7278A"/>
    <w:rsid w:val="50011CA3"/>
    <w:rsid w:val="51051BD9"/>
    <w:rsid w:val="51442F7B"/>
    <w:rsid w:val="522C63AF"/>
    <w:rsid w:val="52A97DDB"/>
    <w:rsid w:val="55152B55"/>
    <w:rsid w:val="55640BD4"/>
    <w:rsid w:val="556643BA"/>
    <w:rsid w:val="56154CA2"/>
    <w:rsid w:val="56A00E5A"/>
    <w:rsid w:val="57676F98"/>
    <w:rsid w:val="579905E2"/>
    <w:rsid w:val="590A235B"/>
    <w:rsid w:val="597701D8"/>
    <w:rsid w:val="59B328C4"/>
    <w:rsid w:val="5A931503"/>
    <w:rsid w:val="5A971C98"/>
    <w:rsid w:val="5AC42DA1"/>
    <w:rsid w:val="5AFA5C95"/>
    <w:rsid w:val="5CDE078E"/>
    <w:rsid w:val="5DC655CC"/>
    <w:rsid w:val="5F0E04B0"/>
    <w:rsid w:val="5F776EED"/>
    <w:rsid w:val="605176D9"/>
    <w:rsid w:val="61690122"/>
    <w:rsid w:val="61F47E6B"/>
    <w:rsid w:val="63F828E6"/>
    <w:rsid w:val="654D6460"/>
    <w:rsid w:val="6760797E"/>
    <w:rsid w:val="679278F4"/>
    <w:rsid w:val="67AB05A5"/>
    <w:rsid w:val="69103DEB"/>
    <w:rsid w:val="694F496D"/>
    <w:rsid w:val="69BC4907"/>
    <w:rsid w:val="6A85284A"/>
    <w:rsid w:val="6AB57C02"/>
    <w:rsid w:val="6AE574EF"/>
    <w:rsid w:val="6AF7022D"/>
    <w:rsid w:val="6B27051F"/>
    <w:rsid w:val="6B753BDA"/>
    <w:rsid w:val="6B770841"/>
    <w:rsid w:val="6CA70418"/>
    <w:rsid w:val="6CC85207"/>
    <w:rsid w:val="6D281A14"/>
    <w:rsid w:val="6E8A0C2B"/>
    <w:rsid w:val="6E9A1846"/>
    <w:rsid w:val="6EF60757"/>
    <w:rsid w:val="6FB50626"/>
    <w:rsid w:val="70004BD3"/>
    <w:rsid w:val="70757340"/>
    <w:rsid w:val="70A61265"/>
    <w:rsid w:val="70A95D5E"/>
    <w:rsid w:val="70FA146A"/>
    <w:rsid w:val="710228B1"/>
    <w:rsid w:val="7364055E"/>
    <w:rsid w:val="73A7009A"/>
    <w:rsid w:val="73B95B2E"/>
    <w:rsid w:val="74130018"/>
    <w:rsid w:val="74D35BFF"/>
    <w:rsid w:val="75882B95"/>
    <w:rsid w:val="768D3A6A"/>
    <w:rsid w:val="77CE2BEC"/>
    <w:rsid w:val="78931FA4"/>
    <w:rsid w:val="78CE2872"/>
    <w:rsid w:val="78DB44BD"/>
    <w:rsid w:val="79537685"/>
    <w:rsid w:val="795C2ECE"/>
    <w:rsid w:val="7A9E4782"/>
    <w:rsid w:val="7AC757F1"/>
    <w:rsid w:val="7B207CB9"/>
    <w:rsid w:val="7D700DB4"/>
    <w:rsid w:val="7F7206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qFormat/>
    <w:uiPriority w:val="0"/>
    <w:pPr>
      <w:keepNext/>
      <w:keepLines/>
      <w:spacing w:beforeLines="50" w:afterLines="50"/>
      <w:outlineLvl w:val="0"/>
    </w:pPr>
    <w:rPr>
      <w:rFonts w:eastAsia="黑体"/>
      <w:b/>
      <w:bCs/>
      <w:kern w:val="44"/>
      <w:sz w:val="28"/>
      <w:szCs w:val="44"/>
    </w:rPr>
  </w:style>
  <w:style w:type="paragraph" w:styleId="3">
    <w:name w:val="heading 2"/>
    <w:basedOn w:val="1"/>
    <w:next w:val="1"/>
    <w:link w:val="306"/>
    <w:qFormat/>
    <w:uiPriority w:val="0"/>
    <w:pPr>
      <w:keepNext/>
      <w:keepLines/>
      <w:spacing w:beforeLines="50" w:afterLines="50" w:line="360" w:lineRule="auto"/>
      <w:outlineLvl w:val="1"/>
    </w:pPr>
    <w:rPr>
      <w:rFonts w:ascii="Arial" w:hAnsi="Arial" w:eastAsia="黑体"/>
      <w:b/>
      <w:bCs/>
      <w:sz w:val="24"/>
      <w:szCs w:val="32"/>
    </w:rPr>
  </w:style>
  <w:style w:type="paragraph" w:styleId="4">
    <w:name w:val="heading 3"/>
    <w:basedOn w:val="1"/>
    <w:next w:val="1"/>
    <w:link w:val="307"/>
    <w:qFormat/>
    <w:uiPriority w:val="0"/>
    <w:pPr>
      <w:keepNext/>
      <w:keepLines/>
      <w:spacing w:beforeLines="50" w:afterLines="50"/>
      <w:outlineLvl w:val="2"/>
    </w:pPr>
    <w:rPr>
      <w:rFonts w:eastAsia="黑体"/>
      <w:b/>
      <w:bCs/>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semiHidden/>
    <w:unhideWhenUsed/>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autoRedefine/>
    <w:qFormat/>
    <w:uiPriority w:val="0"/>
  </w:style>
  <w:style w:type="paragraph" w:styleId="12">
    <w:name w:val="toc 6"/>
    <w:basedOn w:val="13"/>
    <w:next w:val="1"/>
    <w:autoRedefine/>
    <w:qFormat/>
    <w:uiPriority w:val="0"/>
  </w:style>
  <w:style w:type="paragraph" w:styleId="13">
    <w:name w:val="toc 5"/>
    <w:basedOn w:val="14"/>
    <w:next w:val="1"/>
    <w:autoRedefine/>
    <w:qFormat/>
    <w:uiPriority w:val="0"/>
  </w:style>
  <w:style w:type="paragraph" w:styleId="14">
    <w:name w:val="toc 4"/>
    <w:basedOn w:val="15"/>
    <w:next w:val="1"/>
    <w:autoRedefine/>
    <w:qFormat/>
    <w:uiPriority w:val="0"/>
  </w:style>
  <w:style w:type="paragraph" w:styleId="15">
    <w:name w:val="toc 3"/>
    <w:basedOn w:val="16"/>
    <w:next w:val="1"/>
    <w:autoRedefine/>
    <w:qFormat/>
    <w:uiPriority w:val="39"/>
  </w:style>
  <w:style w:type="paragraph" w:styleId="16">
    <w:name w:val="toc 2"/>
    <w:basedOn w:val="17"/>
    <w:next w:val="1"/>
    <w:autoRedefine/>
    <w:qFormat/>
    <w:uiPriority w:val="39"/>
  </w:style>
  <w:style w:type="paragraph" w:styleId="17">
    <w:name w:val="toc 1"/>
    <w:next w:val="1"/>
    <w:autoRedefine/>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autoRedefine/>
    <w:qFormat/>
    <w:uiPriority w:val="0"/>
    <w:pPr>
      <w:spacing w:before="152" w:after="160"/>
    </w:pPr>
    <w:rPr>
      <w:rFonts w:ascii="Arial" w:hAnsi="Arial" w:eastAsia="黑体"/>
      <w:szCs w:val="20"/>
    </w:rPr>
  </w:style>
  <w:style w:type="paragraph" w:styleId="20">
    <w:name w:val="annotation text"/>
    <w:basedOn w:val="1"/>
    <w:link w:val="288"/>
    <w:autoRedefine/>
    <w:qFormat/>
    <w:uiPriority w:val="0"/>
    <w:pPr>
      <w:jc w:val="left"/>
    </w:pPr>
  </w:style>
  <w:style w:type="paragraph" w:styleId="21">
    <w:name w:val="Body Text"/>
    <w:basedOn w:val="1"/>
    <w:link w:val="283"/>
    <w:autoRedefine/>
    <w:qFormat/>
    <w:uiPriority w:val="0"/>
    <w:pPr>
      <w:spacing w:after="120"/>
    </w:pPr>
  </w:style>
  <w:style w:type="paragraph" w:styleId="22">
    <w:name w:val="Body Text Indent"/>
    <w:basedOn w:val="1"/>
    <w:link w:val="286"/>
    <w:autoRedefine/>
    <w:qFormat/>
    <w:uiPriority w:val="0"/>
    <w:pPr>
      <w:spacing w:line="360" w:lineRule="exact"/>
      <w:ind w:left="420" w:firstLine="480"/>
    </w:pPr>
    <w:rPr>
      <w:sz w:val="24"/>
      <w:szCs w:val="20"/>
    </w:rPr>
  </w:style>
  <w:style w:type="paragraph" w:styleId="23">
    <w:name w:val="HTML Address"/>
    <w:basedOn w:val="1"/>
    <w:autoRedefine/>
    <w:qFormat/>
    <w:uiPriority w:val="0"/>
    <w:rPr>
      <w:i/>
      <w:iCs/>
    </w:rPr>
  </w:style>
  <w:style w:type="paragraph" w:styleId="24">
    <w:name w:val="Plain Text"/>
    <w:basedOn w:val="1"/>
    <w:link w:val="280"/>
    <w:qFormat/>
    <w:uiPriority w:val="99"/>
    <w:rPr>
      <w:rFonts w:ascii="宋体" w:hAnsi="Courier New"/>
      <w:szCs w:val="21"/>
    </w:rPr>
  </w:style>
  <w:style w:type="paragraph" w:styleId="25">
    <w:name w:val="toc 8"/>
    <w:basedOn w:val="11"/>
    <w:next w:val="1"/>
    <w:autoRedefine/>
    <w:qFormat/>
    <w:uiPriority w:val="0"/>
  </w:style>
  <w:style w:type="paragraph" w:styleId="26">
    <w:name w:val="Date"/>
    <w:basedOn w:val="1"/>
    <w:next w:val="1"/>
    <w:link w:val="292"/>
    <w:autoRedefine/>
    <w:qFormat/>
    <w:uiPriority w:val="99"/>
    <w:pPr>
      <w:ind w:left="100" w:leftChars="2500"/>
    </w:pPr>
    <w:rPr>
      <w:sz w:val="24"/>
      <w:szCs w:val="20"/>
    </w:rPr>
  </w:style>
  <w:style w:type="paragraph" w:styleId="27">
    <w:name w:val="Body Text Indent 2"/>
    <w:basedOn w:val="1"/>
    <w:link w:val="291"/>
    <w:autoRedefine/>
    <w:qFormat/>
    <w:uiPriority w:val="0"/>
    <w:pPr>
      <w:spacing w:after="120" w:line="480" w:lineRule="auto"/>
      <w:ind w:left="420" w:leftChars="200"/>
    </w:pPr>
  </w:style>
  <w:style w:type="paragraph" w:styleId="28">
    <w:name w:val="endnote text"/>
    <w:basedOn w:val="1"/>
    <w:autoRedefine/>
    <w:qFormat/>
    <w:uiPriority w:val="0"/>
    <w:pPr>
      <w:snapToGrid w:val="0"/>
    </w:pPr>
  </w:style>
  <w:style w:type="paragraph" w:styleId="29">
    <w:name w:val="Balloon Text"/>
    <w:basedOn w:val="1"/>
    <w:link w:val="282"/>
    <w:qFormat/>
    <w:uiPriority w:val="0"/>
    <w:rPr>
      <w:sz w:val="18"/>
      <w:szCs w:val="18"/>
    </w:rPr>
  </w:style>
  <w:style w:type="paragraph" w:styleId="30">
    <w:name w:val="footer"/>
    <w:basedOn w:val="1"/>
    <w:link w:val="285"/>
    <w:qFormat/>
    <w:uiPriority w:val="0"/>
    <w:pPr>
      <w:tabs>
        <w:tab w:val="center" w:pos="4153"/>
        <w:tab w:val="right" w:pos="8306"/>
      </w:tabs>
      <w:snapToGrid w:val="0"/>
      <w:ind w:right="210" w:rightChars="100"/>
      <w:jc w:val="right"/>
    </w:pPr>
    <w:rPr>
      <w:sz w:val="18"/>
      <w:szCs w:val="18"/>
    </w:rPr>
  </w:style>
  <w:style w:type="paragraph" w:styleId="31">
    <w:name w:val="header"/>
    <w:basedOn w:val="1"/>
    <w:link w:val="290"/>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309"/>
    <w:autoRedefine/>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5"/>
    <w:next w:val="1"/>
    <w:qFormat/>
    <w:uiPriority w:val="0"/>
  </w:style>
  <w:style w:type="paragraph" w:styleId="35">
    <w:name w:val="Body Text 2"/>
    <w:basedOn w:val="1"/>
    <w:link w:val="323"/>
    <w:autoRedefine/>
    <w:qFormat/>
    <w:uiPriority w:val="99"/>
    <w:pPr>
      <w:spacing w:after="120" w:line="480" w:lineRule="auto"/>
    </w:pPr>
  </w:style>
  <w:style w:type="paragraph" w:styleId="36">
    <w:name w:val="HTML Preformatted"/>
    <w:basedOn w:val="1"/>
    <w:qFormat/>
    <w:uiPriority w:val="0"/>
    <w:rPr>
      <w:rFonts w:ascii="Courier New" w:hAnsi="Courier New" w:cs="Courier New"/>
      <w:sz w:val="20"/>
      <w:szCs w:val="20"/>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308"/>
    <w:qFormat/>
    <w:uiPriority w:val="0"/>
    <w:pPr>
      <w:spacing w:before="240" w:after="60"/>
      <w:jc w:val="center"/>
      <w:outlineLvl w:val="0"/>
    </w:pPr>
    <w:rPr>
      <w:rFonts w:ascii="Arial" w:hAnsi="Arial" w:cs="Arial"/>
      <w:b/>
      <w:bCs/>
      <w:sz w:val="32"/>
      <w:szCs w:val="32"/>
    </w:rPr>
  </w:style>
  <w:style w:type="paragraph" w:styleId="39">
    <w:name w:val="annotation subject"/>
    <w:basedOn w:val="20"/>
    <w:next w:val="20"/>
    <w:link w:val="289"/>
    <w:qFormat/>
    <w:uiPriority w:val="0"/>
    <w:rPr>
      <w:b/>
      <w:bCs/>
    </w:rPr>
  </w:style>
  <w:style w:type="paragraph" w:styleId="40">
    <w:name w:val="Body Text First Indent"/>
    <w:basedOn w:val="21"/>
    <w:autoRedefine/>
    <w:qFormat/>
    <w:uiPriority w:val="0"/>
    <w:pPr>
      <w:ind w:firstLine="420"/>
    </w:pPr>
    <w:rPr>
      <w:szCs w:val="20"/>
    </w:rPr>
  </w:style>
  <w:style w:type="table" w:styleId="42">
    <w:name w:val="Table Grid"/>
    <w:basedOn w:val="4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4">
    <w:name w:val="Strong"/>
    <w:qFormat/>
    <w:uiPriority w:val="22"/>
    <w:rPr>
      <w:b/>
      <w:bCs/>
    </w:rPr>
  </w:style>
  <w:style w:type="character" w:styleId="45">
    <w:name w:val="page number"/>
    <w:qFormat/>
    <w:uiPriority w:val="0"/>
    <w:rPr>
      <w:rFonts w:ascii="Times New Roman" w:hAnsi="Times New Roman" w:eastAsia="宋体"/>
      <w:sz w:val="18"/>
    </w:rPr>
  </w:style>
  <w:style w:type="character" w:styleId="46">
    <w:name w:val="FollowedHyperlink"/>
    <w:unhideWhenUsed/>
    <w:qFormat/>
    <w:uiPriority w:val="0"/>
    <w:rPr>
      <w:color w:val="800080"/>
      <w:u w:val="single"/>
    </w:rPr>
  </w:style>
  <w:style w:type="character" w:styleId="47">
    <w:name w:val="HTML Definition"/>
    <w:qFormat/>
    <w:uiPriority w:val="0"/>
    <w:rPr>
      <w:i/>
      <w:iCs/>
    </w:rPr>
  </w:style>
  <w:style w:type="character" w:styleId="48">
    <w:name w:val="HTML Typewriter"/>
    <w:qFormat/>
    <w:uiPriority w:val="0"/>
    <w:rPr>
      <w:rFonts w:ascii="Courier New" w:hAnsi="Courier New"/>
      <w:sz w:val="20"/>
      <w:szCs w:val="20"/>
    </w:rPr>
  </w:style>
  <w:style w:type="character" w:styleId="49">
    <w:name w:val="HTML Acronym"/>
    <w:basedOn w:val="43"/>
    <w:qFormat/>
    <w:uiPriority w:val="0"/>
  </w:style>
  <w:style w:type="character" w:styleId="50">
    <w:name w:val="HTML Variable"/>
    <w:qFormat/>
    <w:uiPriority w:val="0"/>
    <w:rPr>
      <w:i/>
      <w:iCs/>
    </w:rPr>
  </w:style>
  <w:style w:type="character" w:styleId="51">
    <w:name w:val="Hyperlink"/>
    <w:basedOn w:val="43"/>
    <w:qFormat/>
    <w:uiPriority w:val="99"/>
    <w:rPr>
      <w:rFonts w:ascii="Times New Roman" w:hAnsi="Times New Roman" w:eastAsia="宋体"/>
      <w:color w:val="auto"/>
      <w:spacing w:val="0"/>
      <w:w w:val="100"/>
      <w:position w:val="0"/>
      <w:sz w:val="21"/>
      <w:u w:val="none"/>
    </w:rPr>
  </w:style>
  <w:style w:type="character" w:styleId="52">
    <w:name w:val="HTML Code"/>
    <w:qFormat/>
    <w:uiPriority w:val="0"/>
    <w:rPr>
      <w:rFonts w:ascii="Courier New" w:hAnsi="Courier New"/>
      <w:sz w:val="20"/>
      <w:szCs w:val="20"/>
    </w:rPr>
  </w:style>
  <w:style w:type="character" w:styleId="53">
    <w:name w:val="annotation reference"/>
    <w:qFormat/>
    <w:uiPriority w:val="0"/>
    <w:rPr>
      <w:sz w:val="21"/>
      <w:szCs w:val="21"/>
    </w:rPr>
  </w:style>
  <w:style w:type="character" w:styleId="54">
    <w:name w:val="HTML Cite"/>
    <w:qFormat/>
    <w:uiPriority w:val="0"/>
    <w:rPr>
      <w:i/>
      <w:iCs/>
    </w:rPr>
  </w:style>
  <w:style w:type="character" w:styleId="55">
    <w:name w:val="footnote reference"/>
    <w:qFormat/>
    <w:uiPriority w:val="0"/>
    <w:rPr>
      <w:vertAlign w:val="superscript"/>
    </w:rPr>
  </w:style>
  <w:style w:type="character" w:styleId="56">
    <w:name w:val="HTML Keyboard"/>
    <w:qFormat/>
    <w:uiPriority w:val="0"/>
    <w:rPr>
      <w:rFonts w:ascii="Courier New" w:hAnsi="Courier New"/>
      <w:sz w:val="20"/>
      <w:szCs w:val="20"/>
    </w:rPr>
  </w:style>
  <w:style w:type="character" w:styleId="57">
    <w:name w:val="HTML Sample"/>
    <w:qFormat/>
    <w:uiPriority w:val="0"/>
    <w:rPr>
      <w:rFonts w:ascii="Courier New" w:hAnsi="Courier New"/>
    </w:rPr>
  </w:style>
  <w:style w:type="paragraph" w:customStyle="1" w:styleId="58">
    <w:name w:val="段"/>
    <w:link w:val="275"/>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9">
    <w:name w:val="二级条标题"/>
    <w:basedOn w:val="60"/>
    <w:next w:val="58"/>
    <w:link w:val="277"/>
    <w:qFormat/>
    <w:uiPriority w:val="0"/>
    <w:pPr>
      <w:numPr>
        <w:ilvl w:val="3"/>
      </w:numPr>
      <w:outlineLvl w:val="3"/>
    </w:pPr>
    <w:rPr>
      <w:rFonts w:hAnsi="黑体"/>
      <w:color w:val="000000" w:themeColor="text1"/>
      <w:spacing w:val="-6"/>
    </w:rPr>
  </w:style>
  <w:style w:type="paragraph" w:customStyle="1" w:styleId="60">
    <w:name w:val="一级条标题"/>
    <w:basedOn w:val="61"/>
    <w:next w:val="58"/>
    <w:link w:val="279"/>
    <w:qFormat/>
    <w:uiPriority w:val="0"/>
    <w:pPr>
      <w:numPr>
        <w:ilvl w:val="2"/>
      </w:numPr>
      <w:spacing w:beforeLines="0" w:afterLines="0" w:line="300" w:lineRule="auto"/>
      <w:outlineLvl w:val="2"/>
    </w:pPr>
    <w:rPr>
      <w:color w:val="FF0000"/>
      <w:spacing w:val="-4"/>
      <w:szCs w:val="24"/>
    </w:rPr>
  </w:style>
  <w:style w:type="paragraph" w:customStyle="1" w:styleId="61">
    <w:name w:val="章标题"/>
    <w:next w:val="58"/>
    <w:link w:val="27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qFormat/>
    <w:uiPriority w:val="0"/>
    <w:pPr>
      <w:adjustRightInd w:val="0"/>
      <w:spacing w:before="357" w:line="280" w:lineRule="exact"/>
    </w:pPr>
  </w:style>
  <w:style w:type="paragraph" w:customStyle="1" w:styleId="6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qFormat/>
    <w:uiPriority w:val="0"/>
    <w:pPr>
      <w:numPr>
        <w:ilvl w:val="0"/>
        <w:numId w:val="2"/>
      </w:numPr>
      <w:tabs>
        <w:tab w:val="left" w:pos="6405"/>
      </w:tabs>
      <w:spacing w:after="200"/>
    </w:pPr>
    <w:rPr>
      <w:sz w:val="21"/>
    </w:rPr>
  </w:style>
  <w:style w:type="paragraph" w:customStyle="1" w:styleId="6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qFormat/>
    <w:uiPriority w:val="0"/>
    <w:pPr>
      <w:numPr>
        <w:ilvl w:val="5"/>
      </w:numPr>
      <w:outlineLvl w:val="5"/>
    </w:pPr>
  </w:style>
  <w:style w:type="paragraph" w:customStyle="1" w:styleId="71">
    <w:name w:val="三级条标题"/>
    <w:basedOn w:val="59"/>
    <w:next w:val="58"/>
    <w:link w:val="281"/>
    <w:qFormat/>
    <w:uiPriority w:val="0"/>
    <w:pPr>
      <w:numPr>
        <w:ilvl w:val="4"/>
      </w:numPr>
      <w:outlineLvl w:val="4"/>
    </w:pPr>
  </w:style>
  <w:style w:type="paragraph" w:customStyle="1" w:styleId="72">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qFormat/>
    <w:uiPriority w:val="0"/>
    <w:pPr>
      <w:numPr>
        <w:numId w:val="0"/>
      </w:numPr>
      <w:spacing w:after="200"/>
    </w:pPr>
    <w:rPr>
      <w:sz w:val="21"/>
    </w:rPr>
  </w:style>
  <w:style w:type="paragraph" w:customStyle="1" w:styleId="7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qFormat/>
    <w:uiPriority w:val="0"/>
    <w:pPr>
      <w:jc w:val="right"/>
    </w:pPr>
  </w:style>
  <w:style w:type="paragraph" w:customStyle="1" w:styleId="77">
    <w:name w:val="发布日期"/>
    <w:qFormat/>
    <w:uiPriority w:val="0"/>
    <w:rPr>
      <w:rFonts w:ascii="Times New Roman" w:hAnsi="Times New Roman" w:eastAsia="黑体" w:cs="Times New Roman"/>
      <w:sz w:val="28"/>
      <w:lang w:val="en-US" w:eastAsia="zh-CN" w:bidi="ar-SA"/>
    </w:rPr>
  </w:style>
  <w:style w:type="paragraph" w:customStyle="1" w:styleId="78">
    <w:name w:val="条文脚注"/>
    <w:basedOn w:val="32"/>
    <w:qFormat/>
    <w:uiPriority w:val="0"/>
    <w:pPr>
      <w:ind w:left="780" w:leftChars="200" w:hanging="360" w:hangingChars="200"/>
      <w:jc w:val="both"/>
    </w:pPr>
    <w:rPr>
      <w:rFonts w:ascii="宋体"/>
    </w:rPr>
  </w:style>
  <w:style w:type="paragraph" w:customStyle="1" w:styleId="79">
    <w:name w:val="附录章标题"/>
    <w:next w:val="58"/>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qFormat/>
    <w:uiPriority w:val="0"/>
    <w:pPr>
      <w:numPr>
        <w:ilvl w:val="6"/>
        <w:numId w:val="5"/>
      </w:numPr>
    </w:pPr>
  </w:style>
  <w:style w:type="paragraph" w:customStyle="1" w:styleId="84">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qFormat/>
    <w:uiPriority w:val="0"/>
    <w:pPr>
      <w:widowControl/>
      <w:spacing w:after="160" w:line="240" w:lineRule="exact"/>
      <w:jc w:val="left"/>
    </w:pPr>
  </w:style>
  <w:style w:type="paragraph" w:customStyle="1" w:styleId="86">
    <w:name w:val="无标题条"/>
    <w:next w:val="58"/>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qFormat/>
    <w:uiPriority w:val="0"/>
    <w:pPr>
      <w:numPr>
        <w:ilvl w:val="6"/>
      </w:numPr>
      <w:outlineLvl w:val="6"/>
    </w:pPr>
  </w:style>
  <w:style w:type="paragraph" w:customStyle="1" w:styleId="88">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qFormat/>
    <w:uiPriority w:val="0"/>
    <w:pPr>
      <w:jc w:val="left"/>
    </w:pPr>
  </w:style>
  <w:style w:type="paragraph" w:customStyle="1" w:styleId="94">
    <w:name w:val="二级无标题条"/>
    <w:basedOn w:val="1"/>
    <w:qFormat/>
    <w:uiPriority w:val="0"/>
    <w:pPr>
      <w:numPr>
        <w:ilvl w:val="3"/>
        <w:numId w:val="5"/>
      </w:numPr>
    </w:pPr>
  </w:style>
  <w:style w:type="paragraph" w:customStyle="1" w:styleId="95">
    <w:name w:val="附录表标题"/>
    <w:next w:val="58"/>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qFormat/>
    <w:uiPriority w:val="0"/>
    <w:pPr>
      <w:numPr>
        <w:ilvl w:val="6"/>
      </w:numPr>
      <w:outlineLvl w:val="6"/>
    </w:pPr>
  </w:style>
  <w:style w:type="paragraph" w:customStyle="1" w:styleId="100">
    <w:name w:val="附录四级条标题"/>
    <w:basedOn w:val="101"/>
    <w:next w:val="58"/>
    <w:qFormat/>
    <w:uiPriority w:val="0"/>
    <w:pPr>
      <w:numPr>
        <w:ilvl w:val="5"/>
      </w:numPr>
      <w:outlineLvl w:val="5"/>
    </w:pPr>
  </w:style>
  <w:style w:type="paragraph" w:customStyle="1" w:styleId="101">
    <w:name w:val="附录三级条标题"/>
    <w:basedOn w:val="102"/>
    <w:next w:val="58"/>
    <w:qFormat/>
    <w:uiPriority w:val="0"/>
    <w:pPr>
      <w:numPr>
        <w:ilvl w:val="4"/>
      </w:numPr>
      <w:outlineLvl w:val="4"/>
    </w:pPr>
  </w:style>
  <w:style w:type="paragraph" w:customStyle="1" w:styleId="102">
    <w:name w:val="附录二级条标题"/>
    <w:basedOn w:val="103"/>
    <w:next w:val="58"/>
    <w:qFormat/>
    <w:uiPriority w:val="0"/>
    <w:pPr>
      <w:numPr>
        <w:ilvl w:val="3"/>
      </w:numPr>
      <w:outlineLvl w:val="3"/>
    </w:pPr>
  </w:style>
  <w:style w:type="paragraph" w:customStyle="1" w:styleId="103">
    <w:name w:val="附录一级条标题"/>
    <w:basedOn w:val="79"/>
    <w:next w:val="58"/>
    <w:qFormat/>
    <w:uiPriority w:val="0"/>
    <w:pPr>
      <w:numPr>
        <w:ilvl w:val="2"/>
      </w:numPr>
      <w:autoSpaceDN w:val="0"/>
      <w:spacing w:beforeLines="0" w:afterLines="0"/>
      <w:outlineLvl w:val="2"/>
    </w:pPr>
  </w:style>
  <w:style w:type="paragraph" w:customStyle="1" w:styleId="10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qFormat/>
    <w:uiPriority w:val="0"/>
    <w:pPr>
      <w:numPr>
        <w:ilvl w:val="5"/>
        <w:numId w:val="5"/>
      </w:numPr>
    </w:pPr>
  </w:style>
  <w:style w:type="paragraph" w:customStyle="1" w:styleId="111">
    <w:name w:val="目次、标准名称标题"/>
    <w:basedOn w:val="66"/>
    <w:next w:val="58"/>
    <w:qFormat/>
    <w:uiPriority w:val="0"/>
    <w:pPr>
      <w:numPr>
        <w:numId w:val="0"/>
      </w:numPr>
      <w:spacing w:line="460" w:lineRule="exact"/>
    </w:pPr>
  </w:style>
  <w:style w:type="paragraph" w:customStyle="1" w:styleId="112">
    <w:name w:val="标准书眉一"/>
    <w:qFormat/>
    <w:uiPriority w:val="0"/>
    <w:pPr>
      <w:jc w:val="both"/>
    </w:pPr>
    <w:rPr>
      <w:rFonts w:ascii="Times New Roman" w:hAnsi="Times New Roman" w:eastAsia="宋体" w:cs="Times New Roman"/>
      <w:lang w:val="en-US" w:eastAsia="zh-CN" w:bidi="ar-SA"/>
    </w:rPr>
  </w:style>
  <w:style w:type="paragraph" w:customStyle="1" w:styleId="11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qFormat/>
    <w:uiPriority w:val="0"/>
    <w:pPr>
      <w:spacing w:line="0" w:lineRule="atLeast"/>
    </w:pPr>
    <w:rPr>
      <w:rFonts w:ascii="黑体" w:eastAsia="黑体"/>
      <w:b w:val="0"/>
    </w:rPr>
  </w:style>
  <w:style w:type="paragraph" w:customStyle="1" w:styleId="115">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qFormat/>
    <w:uiPriority w:val="0"/>
    <w:pPr>
      <w:numPr>
        <w:ilvl w:val="4"/>
        <w:numId w:val="5"/>
      </w:numPr>
    </w:pPr>
  </w:style>
  <w:style w:type="paragraph" w:customStyle="1" w:styleId="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qFormat/>
    <w:uiPriority w:val="0"/>
    <w:pPr>
      <w:numPr>
        <w:ilvl w:val="2"/>
        <w:numId w:val="5"/>
      </w:numPr>
    </w:pPr>
  </w:style>
  <w:style w:type="paragraph" w:customStyle="1" w:styleId="119">
    <w:name w:val="封面标准代替信息"/>
    <w:basedOn w:val="63"/>
    <w:qFormat/>
    <w:uiPriority w:val="0"/>
    <w:pPr>
      <w:spacing w:before="57"/>
    </w:pPr>
    <w:rPr>
      <w:rFonts w:ascii="宋体"/>
      <w:sz w:val="21"/>
    </w:rPr>
  </w:style>
  <w:style w:type="paragraph" w:customStyle="1" w:styleId="120">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qFormat/>
    <w:uiPriority w:val="0"/>
    <w:pPr>
      <w:widowControl/>
      <w:spacing w:before="100" w:beforeAutospacing="1" w:after="100" w:afterAutospacing="1"/>
      <w:jc w:val="left"/>
    </w:pPr>
    <w:rPr>
      <w:b/>
      <w:bCs/>
      <w:kern w:val="0"/>
      <w:sz w:val="20"/>
      <w:szCs w:val="20"/>
    </w:rPr>
  </w:style>
  <w:style w:type="paragraph" w:customStyle="1" w:styleId="124">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qFormat/>
    <w:uiPriority w:val="0"/>
    <w:pPr>
      <w:adjustRightInd w:val="0"/>
      <w:jc w:val="center"/>
    </w:pPr>
    <w:rPr>
      <w:rFonts w:eastAsia="黑体"/>
      <w:kern w:val="0"/>
      <w:sz w:val="52"/>
      <w:szCs w:val="20"/>
    </w:rPr>
  </w:style>
  <w:style w:type="paragraph" w:customStyle="1" w:styleId="147">
    <w:name w:val="样式2"/>
    <w:basedOn w:val="71"/>
    <w:qFormat/>
    <w:uiPriority w:val="0"/>
    <w:pPr>
      <w:numPr>
        <w:numId w:val="0"/>
      </w:numPr>
      <w:spacing w:line="240" w:lineRule="auto"/>
      <w:ind w:left="454"/>
    </w:pPr>
    <w:rPr>
      <w:color w:val="auto"/>
      <w:spacing w:val="0"/>
      <w:szCs w:val="20"/>
    </w:rPr>
  </w:style>
  <w:style w:type="paragraph" w:customStyle="1" w:styleId="148">
    <w:name w:val="列出段落1"/>
    <w:basedOn w:val="1"/>
    <w:qFormat/>
    <w:uiPriority w:val="34"/>
    <w:pPr>
      <w:ind w:firstLine="420" w:firstLineChars="200"/>
    </w:pPr>
    <w:rPr>
      <w:rFonts w:ascii="Calibri" w:hAnsi="Calibri"/>
      <w:szCs w:val="22"/>
    </w:rPr>
  </w:style>
  <w:style w:type="paragraph" w:customStyle="1" w:styleId="149">
    <w:name w:val="图表脚注说明"/>
    <w:basedOn w:val="1"/>
    <w:qFormat/>
    <w:uiPriority w:val="0"/>
    <w:rPr>
      <w:rFonts w:ascii="宋体"/>
      <w:sz w:val="18"/>
      <w:szCs w:val="18"/>
    </w:rPr>
  </w:style>
  <w:style w:type="paragraph" w:customStyle="1" w:styleId="150">
    <w:name w:val="Char11"/>
    <w:basedOn w:val="1"/>
    <w:qFormat/>
    <w:uiPriority w:val="0"/>
    <w:pPr>
      <w:widowControl/>
      <w:spacing w:after="160" w:line="240" w:lineRule="exact"/>
      <w:jc w:val="left"/>
    </w:pPr>
  </w:style>
  <w:style w:type="paragraph" w:customStyle="1" w:styleId="151">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qFormat/>
    <w:uiPriority w:val="34"/>
    <w:pPr>
      <w:ind w:firstLine="420" w:firstLineChars="200"/>
    </w:pPr>
    <w:rPr>
      <w:sz w:val="24"/>
    </w:rPr>
  </w:style>
  <w:style w:type="paragraph" w:customStyle="1" w:styleId="153">
    <w:name w:val="Char1 Char Char Char"/>
    <w:basedOn w:val="1"/>
    <w:qFormat/>
    <w:uiPriority w:val="0"/>
    <w:rPr>
      <w:szCs w:val="20"/>
    </w:rPr>
  </w:style>
  <w:style w:type="paragraph" w:customStyle="1" w:styleId="154">
    <w:name w:val="Char1"/>
    <w:basedOn w:val="1"/>
    <w:qFormat/>
    <w:uiPriority w:val="0"/>
    <w:pPr>
      <w:widowControl/>
      <w:spacing w:after="160" w:line="240" w:lineRule="exact"/>
      <w:jc w:val="left"/>
    </w:pPr>
  </w:style>
  <w:style w:type="paragraph" w:customStyle="1" w:styleId="155">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qFormat/>
    <w:uiPriority w:val="0"/>
    <w:pPr>
      <w:widowControl/>
      <w:spacing w:after="160" w:line="240" w:lineRule="exact"/>
      <w:jc w:val="left"/>
    </w:pPr>
  </w:style>
  <w:style w:type="paragraph" w:customStyle="1" w:styleId="266">
    <w:name w:val="正文1"/>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autoRedefine/>
    <w:qFormat/>
    <w:uiPriority w:val="0"/>
    <w:pPr>
      <w:widowControl/>
      <w:jc w:val="left"/>
    </w:pPr>
    <w:rPr>
      <w:kern w:val="0"/>
      <w:szCs w:val="21"/>
    </w:rPr>
  </w:style>
  <w:style w:type="paragraph" w:customStyle="1" w:styleId="269">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qFormat/>
    <w:uiPriority w:val="0"/>
    <w:rPr>
      <w:rFonts w:ascii="黑体" w:eastAsia="黑体"/>
      <w:spacing w:val="22"/>
      <w:w w:val="100"/>
      <w:position w:val="3"/>
      <w:sz w:val="28"/>
    </w:rPr>
  </w:style>
  <w:style w:type="character" w:customStyle="1" w:styleId="274">
    <w:name w:val="个人答复风格"/>
    <w:qFormat/>
    <w:uiPriority w:val="0"/>
    <w:rPr>
      <w:rFonts w:ascii="Arial" w:hAnsi="Arial" w:eastAsia="宋体" w:cs="Arial"/>
      <w:color w:val="auto"/>
      <w:sz w:val="20"/>
    </w:rPr>
  </w:style>
  <w:style w:type="character" w:customStyle="1" w:styleId="275">
    <w:name w:val="段 Char"/>
    <w:link w:val="58"/>
    <w:qFormat/>
    <w:uiPriority w:val="0"/>
    <w:rPr>
      <w:rFonts w:ascii="宋体" w:hAnsi="宋体" w:eastAsia="宋体"/>
      <w:sz w:val="21"/>
      <w:lang w:val="en-US" w:eastAsia="zh-CN" w:bidi="ar-SA"/>
    </w:rPr>
  </w:style>
  <w:style w:type="character" w:customStyle="1" w:styleId="276">
    <w:name w:val="个人撰写风格"/>
    <w:qFormat/>
    <w:uiPriority w:val="0"/>
    <w:rPr>
      <w:rFonts w:ascii="Arial" w:hAnsi="Arial" w:eastAsia="宋体" w:cs="Arial"/>
      <w:color w:val="auto"/>
      <w:sz w:val="20"/>
    </w:rPr>
  </w:style>
  <w:style w:type="character" w:customStyle="1" w:styleId="277">
    <w:name w:val="二级条标题 Char"/>
    <w:link w:val="59"/>
    <w:qFormat/>
    <w:uiPriority w:val="0"/>
    <w:rPr>
      <w:rFonts w:ascii="黑体" w:hAnsi="黑体" w:eastAsia="黑体" w:cs="Times New Roman"/>
      <w:color w:val="000000" w:themeColor="text1"/>
      <w:spacing w:val="-6"/>
      <w:sz w:val="21"/>
      <w:szCs w:val="24"/>
    </w:rPr>
  </w:style>
  <w:style w:type="character" w:customStyle="1" w:styleId="278">
    <w:name w:val="章标题 Char"/>
    <w:link w:val="61"/>
    <w:qFormat/>
    <w:uiPriority w:val="0"/>
    <w:rPr>
      <w:rFonts w:ascii="黑体" w:hAnsi="Times New Roman" w:eastAsia="黑体" w:cs="Times New Roman"/>
      <w:sz w:val="21"/>
    </w:rPr>
  </w:style>
  <w:style w:type="character" w:customStyle="1" w:styleId="279">
    <w:name w:val="一级条标题 Char"/>
    <w:link w:val="60"/>
    <w:qFormat/>
    <w:uiPriority w:val="0"/>
    <w:rPr>
      <w:rFonts w:ascii="黑体" w:hAnsi="Times New Roman" w:eastAsia="黑体" w:cs="Times New Roman"/>
      <w:color w:val="FF0000"/>
      <w:spacing w:val="-4"/>
      <w:sz w:val="21"/>
      <w:szCs w:val="24"/>
    </w:rPr>
  </w:style>
  <w:style w:type="character" w:customStyle="1" w:styleId="280">
    <w:name w:val="纯文本 Char"/>
    <w:link w:val="24"/>
    <w:qFormat/>
    <w:uiPriority w:val="99"/>
    <w:rPr>
      <w:rFonts w:ascii="宋体" w:hAnsi="Courier New" w:cs="Courier New"/>
      <w:kern w:val="2"/>
      <w:sz w:val="21"/>
      <w:szCs w:val="21"/>
    </w:rPr>
  </w:style>
  <w:style w:type="character" w:customStyle="1" w:styleId="281">
    <w:name w:val="三级条标题 Char"/>
    <w:link w:val="71"/>
    <w:qFormat/>
    <w:uiPriority w:val="0"/>
    <w:rPr>
      <w:rFonts w:ascii="黑体" w:eastAsia="黑体"/>
      <w:color w:val="FF0000"/>
      <w:spacing w:val="-4"/>
      <w:sz w:val="21"/>
      <w:szCs w:val="24"/>
    </w:rPr>
  </w:style>
  <w:style w:type="character" w:customStyle="1" w:styleId="282">
    <w:name w:val="批注框文本 Char"/>
    <w:link w:val="29"/>
    <w:qFormat/>
    <w:uiPriority w:val="0"/>
    <w:rPr>
      <w:kern w:val="2"/>
      <w:sz w:val="18"/>
      <w:szCs w:val="18"/>
    </w:rPr>
  </w:style>
  <w:style w:type="character" w:customStyle="1" w:styleId="283">
    <w:name w:val="正文文本 Char"/>
    <w:link w:val="21"/>
    <w:qFormat/>
    <w:uiPriority w:val="0"/>
    <w:rPr>
      <w:kern w:val="2"/>
      <w:sz w:val="21"/>
      <w:szCs w:val="24"/>
    </w:rPr>
  </w:style>
  <w:style w:type="character" w:customStyle="1" w:styleId="284">
    <w:name w:val="注： Char"/>
    <w:link w:val="91"/>
    <w:qFormat/>
    <w:uiPriority w:val="0"/>
    <w:rPr>
      <w:rFonts w:ascii="宋体"/>
      <w:sz w:val="18"/>
    </w:rPr>
  </w:style>
  <w:style w:type="character" w:customStyle="1" w:styleId="285">
    <w:name w:val="页脚 Char"/>
    <w:link w:val="30"/>
    <w:qFormat/>
    <w:uiPriority w:val="99"/>
    <w:rPr>
      <w:kern w:val="2"/>
      <w:sz w:val="18"/>
      <w:szCs w:val="18"/>
    </w:rPr>
  </w:style>
  <w:style w:type="character" w:customStyle="1" w:styleId="286">
    <w:name w:val="正文文本缩进 Char"/>
    <w:link w:val="22"/>
    <w:qFormat/>
    <w:uiPriority w:val="0"/>
    <w:rPr>
      <w:kern w:val="2"/>
      <w:sz w:val="24"/>
    </w:rPr>
  </w:style>
  <w:style w:type="character" w:customStyle="1" w:styleId="287">
    <w:name w:val="表中文字"/>
    <w:qFormat/>
    <w:uiPriority w:val="0"/>
    <w:rPr>
      <w:rFonts w:ascii="宋体" w:eastAsia="宋体"/>
      <w:sz w:val="18"/>
    </w:rPr>
  </w:style>
  <w:style w:type="character" w:customStyle="1" w:styleId="288">
    <w:name w:val="批注文字 Char"/>
    <w:link w:val="20"/>
    <w:qFormat/>
    <w:uiPriority w:val="0"/>
    <w:rPr>
      <w:kern w:val="2"/>
      <w:sz w:val="21"/>
      <w:szCs w:val="24"/>
    </w:rPr>
  </w:style>
  <w:style w:type="character" w:customStyle="1" w:styleId="289">
    <w:name w:val="批注主题 Char"/>
    <w:link w:val="39"/>
    <w:qFormat/>
    <w:uiPriority w:val="0"/>
    <w:rPr>
      <w:b/>
      <w:bCs/>
      <w:kern w:val="2"/>
      <w:sz w:val="21"/>
      <w:szCs w:val="24"/>
    </w:rPr>
  </w:style>
  <w:style w:type="character" w:customStyle="1" w:styleId="290">
    <w:name w:val="页眉 Char"/>
    <w:link w:val="31"/>
    <w:qFormat/>
    <w:uiPriority w:val="99"/>
    <w:rPr>
      <w:kern w:val="2"/>
      <w:sz w:val="18"/>
      <w:szCs w:val="18"/>
    </w:rPr>
  </w:style>
  <w:style w:type="character" w:customStyle="1" w:styleId="291">
    <w:name w:val="正文文本缩进 2 Char"/>
    <w:link w:val="27"/>
    <w:qFormat/>
    <w:uiPriority w:val="0"/>
    <w:rPr>
      <w:kern w:val="2"/>
      <w:sz w:val="21"/>
      <w:szCs w:val="24"/>
    </w:rPr>
  </w:style>
  <w:style w:type="character" w:customStyle="1" w:styleId="292">
    <w:name w:val="日期 Char"/>
    <w:link w:val="26"/>
    <w:qFormat/>
    <w:uiPriority w:val="99"/>
    <w:rPr>
      <w:kern w:val="2"/>
      <w:sz w:val="24"/>
    </w:rPr>
  </w:style>
  <w:style w:type="character" w:customStyle="1" w:styleId="293">
    <w:name w:val="访问过的超链接1"/>
    <w:qFormat/>
    <w:uiPriority w:val="99"/>
    <w:rPr>
      <w:color w:val="800080"/>
      <w:u w:val="single"/>
    </w:rPr>
  </w:style>
  <w:style w:type="character" w:customStyle="1" w:styleId="294">
    <w:name w:val="段 Char Char Char Char"/>
    <w:qFormat/>
    <w:uiPriority w:val="0"/>
    <w:rPr>
      <w:rFonts w:ascii="宋体"/>
      <w:sz w:val="21"/>
      <w:lang w:val="en-US" w:eastAsia="zh-CN" w:bidi="ar-SA"/>
    </w:rPr>
  </w:style>
  <w:style w:type="character" w:customStyle="1" w:styleId="295">
    <w:name w:val="章标题 Char Char"/>
    <w:qFormat/>
    <w:uiPriority w:val="0"/>
    <w:rPr>
      <w:rFonts w:ascii="黑体" w:eastAsia="黑体"/>
      <w:sz w:val="21"/>
      <w:lang w:val="en-US" w:eastAsia="zh-CN" w:bidi="ar-SA"/>
    </w:rPr>
  </w:style>
  <w:style w:type="character" w:customStyle="1" w:styleId="296">
    <w:name w:val="正文文本缩进 Char1"/>
    <w:qFormat/>
    <w:uiPriority w:val="0"/>
    <w:rPr>
      <w:kern w:val="2"/>
      <w:sz w:val="21"/>
      <w:szCs w:val="24"/>
    </w:rPr>
  </w:style>
  <w:style w:type="character" w:customStyle="1" w:styleId="297">
    <w:name w:val="font21"/>
    <w:qFormat/>
    <w:uiPriority w:val="0"/>
    <w:rPr>
      <w:rFonts w:hint="eastAsia" w:ascii="宋体" w:hAnsi="宋体" w:eastAsia="宋体" w:cs="宋体"/>
      <w:b/>
      <w:color w:val="FF0000"/>
      <w:sz w:val="21"/>
      <w:szCs w:val="21"/>
      <w:u w:val="none"/>
    </w:rPr>
  </w:style>
  <w:style w:type="character" w:customStyle="1" w:styleId="298">
    <w:name w:val="font41"/>
    <w:qFormat/>
    <w:uiPriority w:val="0"/>
    <w:rPr>
      <w:rFonts w:hint="eastAsia" w:ascii="宋体" w:hAnsi="宋体" w:eastAsia="宋体" w:cs="宋体"/>
      <w:b/>
      <w:color w:val="FF0000"/>
      <w:sz w:val="21"/>
      <w:szCs w:val="21"/>
      <w:u w:val="none"/>
    </w:rPr>
  </w:style>
  <w:style w:type="character" w:customStyle="1" w:styleId="299">
    <w:name w:val="font01"/>
    <w:qFormat/>
    <w:uiPriority w:val="0"/>
    <w:rPr>
      <w:rFonts w:hint="eastAsia" w:ascii="宋体" w:hAnsi="宋体" w:eastAsia="宋体"/>
      <w:color w:val="000000"/>
      <w:sz w:val="24"/>
      <w:szCs w:val="24"/>
      <w:u w:val="none"/>
    </w:rPr>
  </w:style>
  <w:style w:type="character" w:customStyle="1" w:styleId="300">
    <w:name w:val="附录标识 Char"/>
    <w:link w:val="65"/>
    <w:qFormat/>
    <w:uiPriority w:val="0"/>
    <w:rPr>
      <w:sz w:val="21"/>
    </w:rPr>
  </w:style>
  <w:style w:type="character" w:customStyle="1" w:styleId="301">
    <w:name w:val="font31"/>
    <w:qFormat/>
    <w:uiPriority w:val="0"/>
    <w:rPr>
      <w:rFonts w:hint="eastAsia" w:ascii="宋体" w:hAnsi="宋体" w:eastAsia="宋体" w:cs="宋体"/>
      <w:color w:val="000000"/>
      <w:sz w:val="22"/>
      <w:szCs w:val="22"/>
      <w:u w:val="none"/>
    </w:rPr>
  </w:style>
  <w:style w:type="paragraph" w:styleId="302">
    <w:name w:val="List Paragraph"/>
    <w:basedOn w:val="1"/>
    <w:qFormat/>
    <w:uiPriority w:val="34"/>
    <w:pPr>
      <w:ind w:firstLine="420" w:firstLineChars="200"/>
    </w:pPr>
  </w:style>
  <w:style w:type="paragraph" w:customStyle="1" w:styleId="303">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autoRedefine/>
    <w:qFormat/>
    <w:uiPriority w:val="0"/>
    <w:rPr>
      <w:rFonts w:hint="eastAsia" w:ascii="宋体" w:hAnsi="宋体" w:eastAsia="宋体"/>
      <w:color w:val="000000"/>
      <w:sz w:val="24"/>
      <w:szCs w:val="24"/>
    </w:rPr>
  </w:style>
  <w:style w:type="character" w:customStyle="1" w:styleId="305">
    <w:name w:val="标题 1 Char"/>
    <w:basedOn w:val="43"/>
    <w:link w:val="2"/>
    <w:autoRedefine/>
    <w:qFormat/>
    <w:uiPriority w:val="0"/>
    <w:rPr>
      <w:rFonts w:ascii="Times New Roman" w:hAnsi="Times New Roman" w:eastAsia="黑体" w:cs="Times New Roman"/>
      <w:b/>
      <w:bCs/>
      <w:kern w:val="44"/>
      <w:sz w:val="28"/>
      <w:szCs w:val="44"/>
    </w:rPr>
  </w:style>
  <w:style w:type="character" w:customStyle="1" w:styleId="306">
    <w:name w:val="标题 2 Char"/>
    <w:basedOn w:val="43"/>
    <w:link w:val="3"/>
    <w:autoRedefine/>
    <w:qFormat/>
    <w:uiPriority w:val="0"/>
    <w:rPr>
      <w:rFonts w:ascii="Arial" w:hAnsi="Arial" w:eastAsia="黑体" w:cs="Times New Roman"/>
      <w:b/>
      <w:bCs/>
      <w:kern w:val="2"/>
      <w:sz w:val="24"/>
      <w:szCs w:val="32"/>
    </w:rPr>
  </w:style>
  <w:style w:type="character" w:customStyle="1" w:styleId="307">
    <w:name w:val="标题 3 Char"/>
    <w:basedOn w:val="43"/>
    <w:link w:val="4"/>
    <w:autoRedefine/>
    <w:qFormat/>
    <w:uiPriority w:val="0"/>
    <w:rPr>
      <w:rFonts w:ascii="Times New Roman" w:hAnsi="Times New Roman" w:eastAsia="黑体" w:cs="Times New Roman"/>
      <w:b/>
      <w:bCs/>
      <w:kern w:val="2"/>
      <w:sz w:val="21"/>
      <w:szCs w:val="32"/>
    </w:rPr>
  </w:style>
  <w:style w:type="character" w:customStyle="1" w:styleId="308">
    <w:name w:val="标题 Char"/>
    <w:link w:val="38"/>
    <w:autoRedefine/>
    <w:qFormat/>
    <w:uiPriority w:val="0"/>
    <w:rPr>
      <w:rFonts w:ascii="Arial" w:hAnsi="Arial" w:eastAsia="宋体" w:cs="Arial"/>
      <w:b/>
      <w:bCs/>
      <w:kern w:val="2"/>
      <w:sz w:val="32"/>
      <w:szCs w:val="32"/>
    </w:rPr>
  </w:style>
  <w:style w:type="character" w:customStyle="1" w:styleId="309">
    <w:name w:val="脚注文本 Char"/>
    <w:link w:val="32"/>
    <w:autoRedefine/>
    <w:qFormat/>
    <w:uiPriority w:val="0"/>
    <w:rPr>
      <w:rFonts w:ascii="Times New Roman" w:hAnsi="Times New Roman" w:eastAsia="宋体" w:cs="Times New Roman"/>
      <w:kern w:val="2"/>
      <w:sz w:val="18"/>
      <w:szCs w:val="18"/>
    </w:rPr>
  </w:style>
  <w:style w:type="character" w:customStyle="1" w:styleId="310">
    <w:name w:val="未处理的提及1"/>
    <w:autoRedefine/>
    <w:unhideWhenUsed/>
    <w:qFormat/>
    <w:uiPriority w:val="99"/>
    <w:rPr>
      <w:color w:val="605E5C"/>
      <w:shd w:val="clear" w:color="auto" w:fill="E1DFDD"/>
    </w:rPr>
  </w:style>
  <w:style w:type="character" w:customStyle="1" w:styleId="311">
    <w:name w:val="批注框文本 Char1"/>
    <w:basedOn w:val="43"/>
    <w:autoRedefine/>
    <w:semiHidden/>
    <w:qFormat/>
    <w:uiPriority w:val="99"/>
    <w:rPr>
      <w:rFonts w:ascii="Calibri" w:hAnsi="Calibri" w:eastAsia="宋体" w:cs="Times New Roman"/>
      <w:sz w:val="18"/>
      <w:szCs w:val="18"/>
    </w:rPr>
  </w:style>
  <w:style w:type="character" w:customStyle="1" w:styleId="312">
    <w:name w:val="脚注文本 Char1"/>
    <w:basedOn w:val="43"/>
    <w:autoRedefine/>
    <w:semiHidden/>
    <w:qFormat/>
    <w:uiPriority w:val="99"/>
    <w:rPr>
      <w:rFonts w:ascii="Calibri" w:hAnsi="Calibri" w:eastAsia="宋体" w:cs="Times New Roman"/>
      <w:sz w:val="18"/>
      <w:szCs w:val="18"/>
    </w:rPr>
  </w:style>
  <w:style w:type="character" w:customStyle="1" w:styleId="313">
    <w:name w:val="标题 Char1"/>
    <w:basedOn w:val="43"/>
    <w:autoRedefine/>
    <w:qFormat/>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autoRedefine/>
    <w:qFormat/>
    <w:uiPriority w:val="0"/>
  </w:style>
  <w:style w:type="paragraph" w:customStyle="1" w:styleId="315">
    <w:name w:val="WPSOffice手动目录 1"/>
    <w:autoRedefine/>
    <w:qFormat/>
    <w:uiPriority w:val="0"/>
    <w:rPr>
      <w:rFonts w:ascii="Calibri" w:hAnsi="Calibri" w:eastAsia="宋体" w:cs="Times New Roman"/>
      <w:lang w:val="en-US" w:eastAsia="zh-CN" w:bidi="ar-SA"/>
    </w:rPr>
  </w:style>
  <w:style w:type="paragraph" w:customStyle="1" w:styleId="316">
    <w:name w:val="1"/>
    <w:basedOn w:val="1"/>
    <w:next w:val="22"/>
    <w:autoRedefine/>
    <w:qFormat/>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autoRedefine/>
    <w:qFormat/>
    <w:uiPriority w:val="0"/>
  </w:style>
  <w:style w:type="paragraph" w:customStyle="1" w:styleId="318">
    <w:name w:val="WPSOffice手动目录 2"/>
    <w:qFormat/>
    <w:uiPriority w:val="0"/>
    <w:pPr>
      <w:ind w:left="200" w:leftChars="200"/>
    </w:pPr>
    <w:rPr>
      <w:rFonts w:ascii="Calibri" w:hAnsi="Calibri" w:eastAsia="宋体" w:cs="Times New Roman"/>
      <w:lang w:val="en-US" w:eastAsia="zh-CN" w:bidi="ar-SA"/>
    </w:rPr>
  </w:style>
  <w:style w:type="table" w:customStyle="1" w:styleId="319">
    <w:name w:val="网格型1"/>
    <w:basedOn w:val="41"/>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0">
    <w:name w:val="Placeholder Text"/>
    <w:basedOn w:val="43"/>
    <w:autoRedefine/>
    <w:semiHidden/>
    <w:qFormat/>
    <w:uiPriority w:val="99"/>
    <w:rPr>
      <w:color w:val="808080"/>
    </w:rPr>
  </w:style>
  <w:style w:type="table" w:customStyle="1" w:styleId="32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 w:type="character" w:customStyle="1" w:styleId="323">
    <w:name w:val="正文文本 2 Char"/>
    <w:basedOn w:val="43"/>
    <w:link w:val="35"/>
    <w:autoRedefine/>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856207-3DD0-4153-9C8F-0D63332378C2}">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11</Pages>
  <Words>1282</Words>
  <Characters>7308</Characters>
  <Lines>60</Lines>
  <Paragraphs>17</Paragraphs>
  <TotalTime>384</TotalTime>
  <ScaleCrop>false</ScaleCrop>
  <LinksUpToDate>false</LinksUpToDate>
  <CharactersWithSpaces>8573</CharactersWithSpaces>
  <Application>WPS Office_12.8.0.17004_F1E327BC-269C-435d-A152-05C5408002CA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2022-01-09T10:10:00Z</dcterms:created>
  <dc:creator>标准李瑞山9585</dc:creator>
  <cp:lastModifiedBy>周桂平</cp:lastModifiedBy>
  <cp:lastPrinted>2016-10-20T04:13:00Z</cp:lastPrinted>
  <dcterms:modified xsi:type="dcterms:W3CDTF">2025-06-09T06:51:56Z</dcterms:modified>
  <dc:title>标准名称</dc:title>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2052-12.8.0.17004</vt:lpwstr>
  </property>
  <property fmtid="{D5CDD505-2E9C-101B-9397-08002B2CF9AE}" pid="3" name="ICV">
    <vt:lpwstr>1AF6B1942E934CBA9084FA9CF9CCD4B5</vt:lpwstr>
  </property>
</Properties>
</file>