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A1300">
      <w:pPr>
        <w:pStyle w:val="98"/>
        <w:jc w:val="center"/>
        <w:rPr>
          <w:rFonts w:ascii="黑体" w:hAnsi="黑体" w:eastAsia="黑体"/>
          <w:sz w:val="24"/>
          <w:szCs w:val="24"/>
        </w:rPr>
      </w:pPr>
      <w:bookmarkStart w:id="0" w:name="_Toc464728891"/>
      <w:bookmarkStart w:id="1" w:name="SectionMark4"/>
    </w:p>
    <w:p w14:paraId="1AC6A08E">
      <w:pPr>
        <w:pStyle w:val="98"/>
        <w:jc w:val="center"/>
        <w:rPr>
          <w:rFonts w:ascii="黑体" w:hAnsi="黑体" w:eastAsia="黑体"/>
          <w:sz w:val="24"/>
          <w:szCs w:val="24"/>
        </w:rPr>
      </w:pPr>
    </w:p>
    <w:p w14:paraId="1FA65B29">
      <w:pPr>
        <w:pStyle w:val="98"/>
        <w:jc w:val="center"/>
        <w:rPr>
          <w:rFonts w:ascii="黑体" w:hAnsi="黑体" w:eastAsia="黑体"/>
          <w:sz w:val="24"/>
          <w:szCs w:val="24"/>
        </w:rPr>
      </w:pPr>
    </w:p>
    <w:p w14:paraId="73B16738">
      <w:pPr>
        <w:pStyle w:val="98"/>
        <w:jc w:val="center"/>
        <w:rPr>
          <w:rFonts w:ascii="黑体" w:hAnsi="黑体" w:eastAsia="黑体"/>
          <w:sz w:val="24"/>
          <w:szCs w:val="24"/>
        </w:rPr>
      </w:pPr>
    </w:p>
    <w:p w14:paraId="6A048060">
      <w:pPr>
        <w:pStyle w:val="98"/>
        <w:jc w:val="center"/>
        <w:rPr>
          <w:rFonts w:ascii="黑体" w:hAnsi="黑体" w:eastAsia="黑体"/>
          <w:sz w:val="24"/>
          <w:szCs w:val="24"/>
        </w:rPr>
      </w:pPr>
    </w:p>
    <w:p w14:paraId="04C10761">
      <w:pPr>
        <w:pStyle w:val="98"/>
        <w:jc w:val="center"/>
        <w:rPr>
          <w:rFonts w:ascii="黑体" w:hAnsi="黑体" w:eastAsia="黑体"/>
          <w:sz w:val="24"/>
          <w:szCs w:val="24"/>
        </w:rPr>
      </w:pPr>
    </w:p>
    <w:p w14:paraId="09D2040D">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797A3DC1">
                            <w:pPr>
                              <w:pStyle w:val="75"/>
                              <w:rPr>
                                <w:rFonts w:hAnsi="黑体" w:cs="黑体"/>
                                <w:sz w:val="44"/>
                                <w:szCs w:val="44"/>
                              </w:rPr>
                            </w:pPr>
                            <w:bookmarkStart w:id="8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1"/>
                          <w:p w14:paraId="6F6B555C">
                            <w:pPr>
                              <w:pStyle w:val="75"/>
                              <w:rPr>
                                <w:rFonts w:hAnsi="黑体" w:cs="黑体"/>
                                <w:szCs w:val="52"/>
                              </w:rPr>
                            </w:pPr>
                            <w:r>
                              <w:rPr>
                                <w:rFonts w:hint="eastAsia"/>
                                <w:szCs w:val="52"/>
                              </w:rPr>
                              <w:t>接触（触针）式表面轮廓测量仪</w:t>
                            </w:r>
                            <w:r>
                              <w:rPr>
                                <w:rFonts w:hint="eastAsia" w:hAnsi="黑体" w:cs="黑体"/>
                                <w:szCs w:val="52"/>
                              </w:rPr>
                              <w:t>校准规范</w:t>
                            </w:r>
                          </w:p>
                          <w:p w14:paraId="154D2F82">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797A3DC1">
                      <w:pPr>
                        <w:pStyle w:val="75"/>
                        <w:rPr>
                          <w:rFonts w:hAnsi="黑体" w:cs="黑体"/>
                          <w:sz w:val="44"/>
                          <w:szCs w:val="44"/>
                        </w:rPr>
                      </w:pPr>
                      <w:bookmarkStart w:id="81"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1"/>
                    <w:p w14:paraId="6F6B555C">
                      <w:pPr>
                        <w:pStyle w:val="75"/>
                        <w:rPr>
                          <w:rFonts w:hAnsi="黑体" w:cs="黑体"/>
                          <w:szCs w:val="52"/>
                        </w:rPr>
                      </w:pPr>
                      <w:r>
                        <w:rPr>
                          <w:rFonts w:hint="eastAsia"/>
                          <w:szCs w:val="52"/>
                        </w:rPr>
                        <w:t>接触（触针）式表面轮廓测量仪</w:t>
                      </w:r>
                      <w:r>
                        <w:rPr>
                          <w:rFonts w:hint="eastAsia" w:hAnsi="黑体" w:cs="黑体"/>
                          <w:szCs w:val="52"/>
                        </w:rPr>
                        <w:t>校准规范</w:t>
                      </w:r>
                    </w:p>
                    <w:p w14:paraId="154D2F82">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14:paraId="5AC4DCF6">
      <w:pPr>
        <w:pStyle w:val="98"/>
        <w:jc w:val="center"/>
        <w:rPr>
          <w:rFonts w:ascii="黑体" w:hAnsi="黑体" w:eastAsia="黑体"/>
          <w:sz w:val="24"/>
          <w:szCs w:val="24"/>
        </w:rPr>
      </w:pPr>
    </w:p>
    <w:p w14:paraId="5EA7D12B">
      <w:pPr>
        <w:pStyle w:val="98"/>
        <w:jc w:val="center"/>
        <w:rPr>
          <w:rFonts w:ascii="黑体" w:hAnsi="黑体" w:eastAsia="黑体"/>
          <w:sz w:val="24"/>
          <w:szCs w:val="24"/>
        </w:rPr>
      </w:pPr>
    </w:p>
    <w:p w14:paraId="5868577D">
      <w:pPr>
        <w:pStyle w:val="98"/>
        <w:jc w:val="center"/>
        <w:rPr>
          <w:rFonts w:ascii="黑体" w:hAnsi="黑体" w:eastAsia="黑体"/>
          <w:sz w:val="24"/>
          <w:szCs w:val="24"/>
        </w:rPr>
      </w:pPr>
    </w:p>
    <w:p w14:paraId="57F676CF">
      <w:pPr>
        <w:pStyle w:val="98"/>
        <w:jc w:val="center"/>
        <w:rPr>
          <w:rFonts w:ascii="黑体" w:hAnsi="黑体" w:eastAsia="黑体"/>
          <w:sz w:val="24"/>
          <w:szCs w:val="24"/>
        </w:rPr>
      </w:pPr>
    </w:p>
    <w:p w14:paraId="0187FF11">
      <w:pPr>
        <w:pStyle w:val="98"/>
        <w:jc w:val="center"/>
        <w:rPr>
          <w:rFonts w:ascii="黑体" w:hAnsi="黑体" w:eastAsia="黑体"/>
          <w:sz w:val="24"/>
          <w:szCs w:val="24"/>
        </w:rPr>
      </w:pPr>
    </w:p>
    <w:p w14:paraId="06D00664">
      <w:pPr>
        <w:pStyle w:val="98"/>
        <w:jc w:val="center"/>
        <w:rPr>
          <w:rFonts w:ascii="黑体" w:hAnsi="黑体" w:eastAsia="黑体"/>
          <w:sz w:val="24"/>
          <w:szCs w:val="24"/>
        </w:rPr>
      </w:pPr>
    </w:p>
    <w:p w14:paraId="0B60CF1A">
      <w:pPr>
        <w:pStyle w:val="98"/>
        <w:jc w:val="center"/>
        <w:rPr>
          <w:rFonts w:ascii="黑体" w:hAnsi="黑体" w:eastAsia="黑体"/>
          <w:sz w:val="24"/>
          <w:szCs w:val="24"/>
        </w:rPr>
      </w:pPr>
    </w:p>
    <w:p w14:paraId="53DFC23A">
      <w:pPr>
        <w:pStyle w:val="98"/>
        <w:jc w:val="center"/>
        <w:rPr>
          <w:rFonts w:ascii="黑体" w:hAnsi="黑体" w:eastAsia="黑体"/>
          <w:sz w:val="24"/>
          <w:szCs w:val="24"/>
        </w:rPr>
      </w:pPr>
    </w:p>
    <w:p w14:paraId="7AE06073">
      <w:pPr>
        <w:pStyle w:val="98"/>
        <w:jc w:val="center"/>
        <w:rPr>
          <w:rFonts w:ascii="黑体" w:hAnsi="黑体" w:eastAsia="黑体"/>
          <w:sz w:val="24"/>
          <w:szCs w:val="24"/>
        </w:rPr>
      </w:pPr>
    </w:p>
    <w:p w14:paraId="6181FB42">
      <w:pPr>
        <w:pStyle w:val="98"/>
        <w:jc w:val="center"/>
        <w:rPr>
          <w:rFonts w:ascii="黑体" w:hAnsi="黑体" w:eastAsia="黑体"/>
          <w:sz w:val="24"/>
          <w:szCs w:val="24"/>
        </w:rPr>
      </w:pPr>
    </w:p>
    <w:p w14:paraId="13589B59">
      <w:pPr>
        <w:pStyle w:val="98"/>
        <w:jc w:val="center"/>
        <w:rPr>
          <w:rFonts w:ascii="黑体" w:hAnsi="黑体" w:eastAsia="黑体"/>
          <w:sz w:val="24"/>
          <w:szCs w:val="24"/>
        </w:rPr>
      </w:pPr>
    </w:p>
    <w:p w14:paraId="702233BA">
      <w:pPr>
        <w:pStyle w:val="98"/>
        <w:jc w:val="center"/>
        <w:rPr>
          <w:rFonts w:ascii="黑体" w:hAnsi="黑体" w:eastAsia="黑体"/>
          <w:sz w:val="24"/>
          <w:szCs w:val="24"/>
        </w:rPr>
      </w:pPr>
    </w:p>
    <w:p w14:paraId="171BF098">
      <w:pPr>
        <w:pStyle w:val="98"/>
        <w:jc w:val="center"/>
        <w:rPr>
          <w:rFonts w:ascii="黑体" w:hAnsi="黑体" w:eastAsia="黑体"/>
          <w:sz w:val="24"/>
          <w:szCs w:val="24"/>
        </w:rPr>
      </w:pPr>
    </w:p>
    <w:p w14:paraId="6CD12447">
      <w:pPr>
        <w:pStyle w:val="98"/>
        <w:jc w:val="center"/>
        <w:rPr>
          <w:rFonts w:ascii="黑体" w:hAnsi="黑体" w:eastAsia="黑体"/>
          <w:sz w:val="24"/>
          <w:szCs w:val="24"/>
        </w:rPr>
      </w:pPr>
    </w:p>
    <w:p w14:paraId="6797BA24">
      <w:pPr>
        <w:pStyle w:val="98"/>
        <w:jc w:val="center"/>
        <w:rPr>
          <w:rFonts w:ascii="黑体" w:hAnsi="黑体" w:eastAsia="黑体"/>
          <w:sz w:val="24"/>
          <w:szCs w:val="24"/>
        </w:rPr>
      </w:pPr>
    </w:p>
    <w:p w14:paraId="618BB4EC">
      <w:pPr>
        <w:pStyle w:val="98"/>
        <w:jc w:val="center"/>
        <w:rPr>
          <w:rFonts w:ascii="黑体" w:hAnsi="黑体" w:eastAsia="黑体"/>
          <w:sz w:val="24"/>
          <w:szCs w:val="24"/>
        </w:rPr>
      </w:pPr>
    </w:p>
    <w:p w14:paraId="5A202503">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5AB520C1">
                            <w:pPr>
                              <w:pStyle w:val="67"/>
                              <w:spacing w:before="600"/>
                              <w:rPr>
                                <w:rFonts w:ascii="黑体" w:hAnsi="黑体" w:eastAsia="黑体"/>
                                <w:sz w:val="36"/>
                                <w:szCs w:val="36"/>
                              </w:rPr>
                            </w:pPr>
                            <w:r>
                              <w:rPr>
                                <w:rFonts w:hint="eastAsia" w:ascii="黑体" w:hAnsi="黑体" w:eastAsia="黑体"/>
                                <w:sz w:val="36"/>
                                <w:szCs w:val="36"/>
                              </w:rPr>
                              <w:t>讨论稿</w:t>
                            </w:r>
                          </w:p>
                          <w:p w14:paraId="412B782A">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5-</w:t>
                            </w:r>
                            <w:r>
                              <w:rPr>
                                <w:rFonts w:hint="eastAsia" w:ascii="黑体" w:hAnsi="黑体" w:eastAsia="黑体"/>
                                <w:sz w:val="36"/>
                                <w:szCs w:val="36"/>
                                <w:lang w:val="en-US" w:eastAsia="zh-CN"/>
                              </w:rPr>
                              <w:t>6</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14:paraId="5AB520C1">
                      <w:pPr>
                        <w:pStyle w:val="67"/>
                        <w:spacing w:before="600"/>
                        <w:rPr>
                          <w:rFonts w:ascii="黑体" w:hAnsi="黑体" w:eastAsia="黑体"/>
                          <w:sz w:val="36"/>
                          <w:szCs w:val="36"/>
                        </w:rPr>
                      </w:pPr>
                      <w:r>
                        <w:rPr>
                          <w:rFonts w:hint="eastAsia" w:ascii="黑体" w:hAnsi="黑体" w:eastAsia="黑体"/>
                          <w:sz w:val="36"/>
                          <w:szCs w:val="36"/>
                        </w:rPr>
                        <w:t>讨论稿</w:t>
                      </w:r>
                    </w:p>
                    <w:p w14:paraId="412B782A">
                      <w:pPr>
                        <w:pStyle w:val="67"/>
                        <w:spacing w:before="600"/>
                        <w:rPr>
                          <w:rFonts w:hint="eastAsia" w:ascii="黑体" w:hAnsi="黑体" w:eastAsia="黑体"/>
                          <w:sz w:val="36"/>
                          <w:szCs w:val="36"/>
                          <w:lang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5-</w:t>
                      </w:r>
                      <w:r>
                        <w:rPr>
                          <w:rFonts w:hint="eastAsia" w:ascii="黑体" w:hAnsi="黑体" w:eastAsia="黑体"/>
                          <w:sz w:val="36"/>
                          <w:szCs w:val="36"/>
                          <w:lang w:val="en-US" w:eastAsia="zh-CN"/>
                        </w:rPr>
                        <w:t>6</w:t>
                      </w:r>
                    </w:p>
                  </w:txbxContent>
                </v:textbox>
                <w10:anchorlock/>
              </v:rect>
            </w:pict>
          </mc:Fallback>
        </mc:AlternateContent>
      </w:r>
    </w:p>
    <w:p w14:paraId="5B6B9554">
      <w:pPr>
        <w:pStyle w:val="98"/>
        <w:jc w:val="center"/>
        <w:rPr>
          <w:rFonts w:ascii="黑体" w:hAnsi="黑体" w:eastAsia="黑体"/>
          <w:sz w:val="24"/>
          <w:szCs w:val="24"/>
        </w:rPr>
      </w:pPr>
    </w:p>
    <w:p w14:paraId="78703200">
      <w:pPr>
        <w:pStyle w:val="98"/>
        <w:jc w:val="center"/>
        <w:rPr>
          <w:rFonts w:ascii="黑体" w:hAnsi="黑体" w:eastAsia="黑体"/>
          <w:sz w:val="24"/>
          <w:szCs w:val="24"/>
        </w:rPr>
      </w:pPr>
    </w:p>
    <w:p w14:paraId="03F5B243">
      <w:pPr>
        <w:pStyle w:val="98"/>
        <w:jc w:val="center"/>
        <w:rPr>
          <w:rFonts w:ascii="黑体" w:hAnsi="黑体" w:eastAsia="黑体"/>
          <w:sz w:val="24"/>
          <w:szCs w:val="24"/>
        </w:rPr>
      </w:pPr>
    </w:p>
    <w:p w14:paraId="60303EF6">
      <w:pPr>
        <w:pStyle w:val="98"/>
        <w:jc w:val="center"/>
        <w:rPr>
          <w:rFonts w:ascii="黑体" w:hAnsi="黑体" w:eastAsia="黑体"/>
          <w:sz w:val="24"/>
          <w:szCs w:val="24"/>
        </w:rPr>
      </w:pPr>
    </w:p>
    <w:p w14:paraId="03CE7EEB">
      <w:pPr>
        <w:pStyle w:val="98"/>
        <w:jc w:val="center"/>
        <w:rPr>
          <w:rFonts w:ascii="黑体" w:hAnsi="黑体" w:eastAsia="黑体"/>
          <w:sz w:val="24"/>
          <w:szCs w:val="24"/>
        </w:rPr>
      </w:pPr>
    </w:p>
    <w:p w14:paraId="7B114CB1">
      <w:pPr>
        <w:pStyle w:val="98"/>
        <w:jc w:val="center"/>
        <w:rPr>
          <w:rFonts w:ascii="黑体" w:hAnsi="黑体" w:eastAsia="黑体"/>
          <w:sz w:val="24"/>
          <w:szCs w:val="24"/>
        </w:rPr>
      </w:pPr>
    </w:p>
    <w:p w14:paraId="3C166A27">
      <w:pPr>
        <w:pStyle w:val="98"/>
        <w:jc w:val="center"/>
        <w:rPr>
          <w:rFonts w:ascii="黑体" w:hAnsi="黑体" w:eastAsia="黑体"/>
          <w:sz w:val="24"/>
          <w:szCs w:val="24"/>
        </w:rPr>
      </w:pPr>
    </w:p>
    <w:p w14:paraId="0BF0CC0F">
      <w:pPr>
        <w:pStyle w:val="98"/>
        <w:jc w:val="center"/>
        <w:rPr>
          <w:rFonts w:ascii="黑体" w:hAnsi="黑体" w:eastAsia="黑体"/>
          <w:sz w:val="24"/>
          <w:szCs w:val="24"/>
        </w:rPr>
      </w:pPr>
    </w:p>
    <w:p w14:paraId="55E84BC3">
      <w:pPr>
        <w:pStyle w:val="98"/>
        <w:jc w:val="center"/>
        <w:rPr>
          <w:rFonts w:ascii="黑体" w:hAnsi="黑体" w:eastAsia="黑体"/>
          <w:sz w:val="24"/>
          <w:szCs w:val="24"/>
        </w:rPr>
      </w:pPr>
    </w:p>
    <w:p w14:paraId="23225C8B">
      <w:pPr>
        <w:pStyle w:val="98"/>
        <w:jc w:val="center"/>
        <w:rPr>
          <w:rFonts w:ascii="黑体" w:hAnsi="黑体" w:eastAsia="黑体"/>
          <w:sz w:val="24"/>
          <w:szCs w:val="24"/>
        </w:rPr>
      </w:pPr>
    </w:p>
    <w:p w14:paraId="094226F0">
      <w:pPr>
        <w:pStyle w:val="98"/>
        <w:jc w:val="center"/>
        <w:rPr>
          <w:rFonts w:ascii="黑体" w:hAnsi="黑体" w:eastAsia="黑体"/>
          <w:sz w:val="24"/>
          <w:szCs w:val="24"/>
        </w:rPr>
      </w:pPr>
    </w:p>
    <w:p w14:paraId="32D38C3A">
      <w:pPr>
        <w:pStyle w:val="98"/>
        <w:jc w:val="center"/>
        <w:rPr>
          <w:rFonts w:ascii="黑体" w:hAnsi="黑体" w:eastAsia="黑体"/>
          <w:sz w:val="24"/>
          <w:szCs w:val="24"/>
        </w:rPr>
      </w:pPr>
    </w:p>
    <w:p w14:paraId="76E4E455">
      <w:pPr>
        <w:pStyle w:val="98"/>
        <w:jc w:val="center"/>
        <w:rPr>
          <w:rFonts w:ascii="黑体" w:hAnsi="黑体" w:eastAsia="黑体"/>
          <w:sz w:val="24"/>
          <w:szCs w:val="24"/>
        </w:rPr>
      </w:pPr>
    </w:p>
    <w:p w14:paraId="48114D19">
      <w:pPr>
        <w:pStyle w:val="98"/>
        <w:jc w:val="center"/>
        <w:rPr>
          <w:rFonts w:ascii="黑体" w:hAnsi="黑体"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5348E731">
                            <w:pPr>
                              <w:pStyle w:val="75"/>
                              <w:rPr>
                                <w:rFonts w:ascii="宋体" w:hAnsi="宋体" w:eastAsia="宋体" w:cs="宋体"/>
                                <w:spacing w:val="58"/>
                                <w:w w:val="120"/>
                                <w:kern w:val="2"/>
                                <w:sz w:val="28"/>
                                <w:szCs w:val="28"/>
                              </w:rPr>
                            </w:pPr>
                          </w:p>
                          <w:p w14:paraId="3DD16F66">
                            <w:pPr>
                              <w:jc w:val="center"/>
                              <w:rPr>
                                <w:rFonts w:ascii="宋体" w:hAnsi="宋体" w:cs="宋体"/>
                                <w:spacing w:val="58"/>
                                <w:w w:val="120"/>
                                <w:sz w:val="28"/>
                                <w:szCs w:val="28"/>
                              </w:rPr>
                            </w:pPr>
                            <w:r>
                              <w:rPr>
                                <w:rFonts w:hint="eastAsia" w:ascii="宋体" w:hAnsi="宋体" w:cs="宋体"/>
                                <w:spacing w:val="58"/>
                                <w:w w:val="120"/>
                                <w:sz w:val="28"/>
                                <w:szCs w:val="28"/>
                              </w:rPr>
                              <w:t>接触（触针）式表面轮廓测量仪校准规范</w:t>
                            </w:r>
                          </w:p>
                          <w:p w14:paraId="46EE1208">
                            <w:pPr>
                              <w:jc w:val="center"/>
                              <w:rPr>
                                <w:rFonts w:ascii="宋体" w:hAnsi="宋体" w:cs="宋体"/>
                                <w:sz w:val="28"/>
                                <w:szCs w:val="28"/>
                              </w:rPr>
                            </w:pPr>
                            <w:r>
                              <w:rPr>
                                <w:rFonts w:hint="eastAsia" w:ascii="宋体" w:hAnsi="宋体" w:cs="宋体"/>
                                <w:spacing w:val="58"/>
                                <w:w w:val="120"/>
                                <w:sz w:val="28"/>
                                <w:szCs w:val="28"/>
                              </w:rPr>
                              <w:t>编制组</w:t>
                            </w:r>
                          </w:p>
                          <w:p w14:paraId="2773F242">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5348E731">
                      <w:pPr>
                        <w:pStyle w:val="75"/>
                        <w:rPr>
                          <w:rFonts w:ascii="宋体" w:hAnsi="宋体" w:eastAsia="宋体" w:cs="宋体"/>
                          <w:spacing w:val="58"/>
                          <w:w w:val="120"/>
                          <w:kern w:val="2"/>
                          <w:sz w:val="28"/>
                          <w:szCs w:val="28"/>
                        </w:rPr>
                      </w:pPr>
                    </w:p>
                    <w:p w14:paraId="3DD16F66">
                      <w:pPr>
                        <w:jc w:val="center"/>
                        <w:rPr>
                          <w:rFonts w:ascii="宋体" w:hAnsi="宋体" w:cs="宋体"/>
                          <w:spacing w:val="58"/>
                          <w:w w:val="120"/>
                          <w:sz w:val="28"/>
                          <w:szCs w:val="28"/>
                        </w:rPr>
                      </w:pPr>
                      <w:r>
                        <w:rPr>
                          <w:rFonts w:hint="eastAsia" w:ascii="宋体" w:hAnsi="宋体" w:cs="宋体"/>
                          <w:spacing w:val="58"/>
                          <w:w w:val="120"/>
                          <w:sz w:val="28"/>
                          <w:szCs w:val="28"/>
                        </w:rPr>
                        <w:t>接触（触针）式表面轮廓测量仪校准规范</w:t>
                      </w:r>
                    </w:p>
                    <w:p w14:paraId="46EE1208">
                      <w:pPr>
                        <w:jc w:val="center"/>
                        <w:rPr>
                          <w:rFonts w:ascii="宋体" w:hAnsi="宋体" w:cs="宋体"/>
                          <w:sz w:val="28"/>
                          <w:szCs w:val="28"/>
                        </w:rPr>
                      </w:pPr>
                      <w:r>
                        <w:rPr>
                          <w:rFonts w:hint="eastAsia" w:ascii="宋体" w:hAnsi="宋体" w:cs="宋体"/>
                          <w:spacing w:val="58"/>
                          <w:w w:val="120"/>
                          <w:sz w:val="28"/>
                          <w:szCs w:val="28"/>
                        </w:rPr>
                        <w:t>编制组</w:t>
                      </w:r>
                    </w:p>
                    <w:p w14:paraId="2773F242">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14:paraId="0B88C2A6">
      <w:pPr>
        <w:pStyle w:val="98"/>
        <w:jc w:val="center"/>
        <w:rPr>
          <w:rFonts w:ascii="黑体" w:hAnsi="黑体" w:eastAsia="黑体"/>
          <w:sz w:val="24"/>
          <w:szCs w:val="24"/>
        </w:rPr>
      </w:pPr>
    </w:p>
    <w:p w14:paraId="6DE6B65C">
      <w:pPr>
        <w:pStyle w:val="98"/>
        <w:jc w:val="center"/>
        <w:rPr>
          <w:rFonts w:ascii="黑体" w:hAnsi="黑体" w:eastAsia="黑体"/>
          <w:sz w:val="24"/>
          <w:szCs w:val="24"/>
        </w:rPr>
      </w:pPr>
    </w:p>
    <w:p w14:paraId="1212B502">
      <w:pPr>
        <w:pStyle w:val="98"/>
        <w:jc w:val="center"/>
        <w:rPr>
          <w:rFonts w:ascii="黑体" w:hAnsi="黑体" w:eastAsia="黑体"/>
          <w:sz w:val="24"/>
          <w:szCs w:val="24"/>
        </w:rPr>
      </w:pPr>
    </w:p>
    <w:p w14:paraId="4CA6A3BD">
      <w:pPr>
        <w:pStyle w:val="98"/>
        <w:jc w:val="center"/>
        <w:rPr>
          <w:rFonts w:ascii="黑体" w:hAnsi="黑体" w:eastAsia="黑体"/>
          <w:sz w:val="24"/>
          <w:szCs w:val="24"/>
        </w:rPr>
      </w:pPr>
    </w:p>
    <w:p w14:paraId="6ACF1901">
      <w:pPr>
        <w:pStyle w:val="98"/>
        <w:jc w:val="center"/>
        <w:rPr>
          <w:rFonts w:ascii="黑体" w:hAnsi="黑体" w:eastAsia="黑体"/>
          <w:sz w:val="24"/>
          <w:szCs w:val="24"/>
        </w:rPr>
      </w:pPr>
    </w:p>
    <w:p w14:paraId="23798114">
      <w:pPr>
        <w:pStyle w:val="98"/>
        <w:jc w:val="center"/>
        <w:rPr>
          <w:rFonts w:ascii="黑体" w:hAnsi="黑体" w:eastAsia="黑体"/>
          <w:sz w:val="24"/>
          <w:szCs w:val="24"/>
        </w:rPr>
      </w:pPr>
    </w:p>
    <w:p w14:paraId="05413368">
      <w:pPr>
        <w:pStyle w:val="98"/>
        <w:jc w:val="center"/>
        <w:rPr>
          <w:rFonts w:ascii="黑体" w:hAnsi="黑体" w:eastAsia="黑体"/>
          <w:sz w:val="24"/>
          <w:szCs w:val="24"/>
        </w:rPr>
      </w:pPr>
    </w:p>
    <w:p w14:paraId="6ADBC5DE">
      <w:pPr>
        <w:pStyle w:val="2"/>
        <w:spacing w:before="156" w:after="156"/>
        <w:rPr>
          <w:b w:val="0"/>
          <w:bCs w:val="0"/>
        </w:rPr>
      </w:pPr>
      <w:r>
        <w:rPr>
          <w:rFonts w:hint="eastAsia"/>
          <w:b w:val="0"/>
          <w:bCs w:val="0"/>
        </w:rPr>
        <w:t>一、工作简况</w:t>
      </w:r>
      <w:bookmarkEnd w:id="0"/>
      <w:bookmarkStart w:id="2" w:name="_Toc464728896"/>
    </w:p>
    <w:p w14:paraId="61F150FA">
      <w:pPr>
        <w:pStyle w:val="3"/>
        <w:spacing w:before="156" w:after="156"/>
        <w:rPr>
          <w:b w:val="0"/>
          <w:bCs w:val="0"/>
        </w:rPr>
      </w:pPr>
      <w:r>
        <w:rPr>
          <w:rFonts w:hint="eastAsia"/>
          <w:b w:val="0"/>
          <w:bCs w:val="0"/>
        </w:rPr>
        <w:t>1.立项目的</w:t>
      </w:r>
    </w:p>
    <w:p w14:paraId="222F0CCA">
      <w:pPr>
        <w:spacing w:line="400" w:lineRule="exact"/>
        <w:ind w:firstLine="555"/>
        <w:rPr>
          <w:rFonts w:hAnsi="宋体"/>
          <w:szCs w:val="21"/>
        </w:rPr>
      </w:pPr>
      <w:r>
        <w:rPr>
          <w:rFonts w:hint="eastAsia"/>
          <w:szCs w:val="21"/>
        </w:rPr>
        <w:t>轮廓仪一般由传感器、驱动箱、电子信号处理装置、计算机系统等组成。其以直线导轨为基础，触针沿工作表面运动，记录被测表面轮廓曲线，计算并评定被测轮廓的尺寸、角度、圆弧半径等二维形状、位置参数的测量仪器。仪器的触针在被测轮廓表面滑移，传感器通过锐利触针感受被测表面的几何形状变化，并转换成电信号。该信号经放大和处理，在转换成数字信号贮存在计算机系统的存贮器中。计算机对此原始轮廓的数字信号进行数字滤波，并计算其参数。轮廓仪可用于测量各种机械零件素线形状和截面轮廓形状</w:t>
      </w:r>
      <w:r>
        <w:rPr>
          <w:rFonts w:hAnsi="宋体"/>
          <w:szCs w:val="21"/>
        </w:rPr>
        <w:t>。为</w:t>
      </w:r>
      <w:r>
        <w:rPr>
          <w:rFonts w:hint="eastAsia" w:hAnsi="宋体"/>
          <w:szCs w:val="21"/>
        </w:rPr>
        <w:t>保证</w:t>
      </w:r>
      <w:r>
        <w:rPr>
          <w:rFonts w:hAnsi="宋体"/>
          <w:szCs w:val="21"/>
        </w:rPr>
        <w:t>激光标距刻线机</w:t>
      </w:r>
      <w:r>
        <w:rPr>
          <w:rFonts w:hint="eastAsia" w:hAnsi="宋体"/>
          <w:szCs w:val="21"/>
        </w:rPr>
        <w:t>测试结果的</w:t>
      </w:r>
      <w:r>
        <w:rPr>
          <w:rFonts w:hAnsi="宋体"/>
          <w:szCs w:val="21"/>
        </w:rPr>
        <w:t>准确可靠，需要对其进行</w:t>
      </w:r>
      <w:r>
        <w:rPr>
          <w:rFonts w:hint="eastAsia" w:hAnsi="宋体"/>
          <w:szCs w:val="21"/>
        </w:rPr>
        <w:t>校准</w:t>
      </w:r>
      <w:r>
        <w:rPr>
          <w:rFonts w:hAnsi="宋体"/>
          <w:szCs w:val="21"/>
        </w:rPr>
        <w:t>，保证其量值准确、可靠、有源可溯。</w:t>
      </w:r>
    </w:p>
    <w:p w14:paraId="6E887E37">
      <w:pPr>
        <w:pStyle w:val="21"/>
        <w:spacing w:line="400" w:lineRule="exact"/>
        <w:ind w:firstLine="420" w:firstLineChars="200"/>
        <w:rPr>
          <w:rFonts w:hAnsi="宋体"/>
          <w:szCs w:val="21"/>
        </w:rPr>
      </w:pPr>
      <w:r>
        <w:rPr>
          <w:rFonts w:hAnsi="宋体"/>
          <w:szCs w:val="21"/>
        </w:rPr>
        <w:t>本规范重点解决了</w:t>
      </w:r>
      <w:r>
        <w:rPr>
          <w:rFonts w:hint="eastAsia" w:hAnsi="宋体"/>
          <w:szCs w:val="21"/>
        </w:rPr>
        <w:t>轮廓仪</w:t>
      </w:r>
      <w:r>
        <w:rPr>
          <w:rFonts w:hAnsi="宋体"/>
          <w:szCs w:val="21"/>
        </w:rPr>
        <w:t>校准方法不统一、校准方法差异化、计量标准技术指标不明确、校准点的选择不统一、</w:t>
      </w:r>
      <w:r>
        <w:rPr>
          <w:rFonts w:hint="eastAsia" w:hAnsi="宋体"/>
          <w:szCs w:val="21"/>
        </w:rPr>
        <w:t>轮廓仪</w:t>
      </w:r>
      <w:r>
        <w:rPr>
          <w:rFonts w:hAnsi="宋体"/>
          <w:szCs w:val="21"/>
        </w:rPr>
        <w:t>的校准方法未规定等问题，弥补</w:t>
      </w:r>
      <w:r>
        <w:rPr>
          <w:rFonts w:hint="eastAsia" w:hAnsi="宋体"/>
          <w:szCs w:val="21"/>
        </w:rPr>
        <w:t>轮廓仪</w:t>
      </w:r>
      <w:r>
        <w:rPr>
          <w:rFonts w:hAnsi="宋体"/>
          <w:szCs w:val="21"/>
        </w:rPr>
        <w:t>校准的空白，为</w:t>
      </w:r>
      <w:r>
        <w:rPr>
          <w:rFonts w:hint="eastAsia" w:hAnsi="宋体"/>
          <w:szCs w:val="21"/>
        </w:rPr>
        <w:t>进行</w:t>
      </w:r>
      <w:r>
        <w:rPr>
          <w:rFonts w:hAnsi="宋体"/>
          <w:szCs w:val="21"/>
        </w:rPr>
        <w:t>量值传递提供</w:t>
      </w:r>
      <w:r>
        <w:rPr>
          <w:rFonts w:hint="eastAsia" w:hAnsi="宋体"/>
          <w:szCs w:val="21"/>
        </w:rPr>
        <w:t>了有效</w:t>
      </w:r>
      <w:r>
        <w:rPr>
          <w:rFonts w:hAnsi="宋体"/>
          <w:szCs w:val="21"/>
        </w:rPr>
        <w:t>保证，</w:t>
      </w:r>
      <w:r>
        <w:rPr>
          <w:rFonts w:hint="eastAsia" w:hAnsi="宋体"/>
          <w:szCs w:val="21"/>
        </w:rPr>
        <w:t>进一步</w:t>
      </w:r>
      <w:r>
        <w:rPr>
          <w:rFonts w:hAnsi="宋体"/>
          <w:szCs w:val="21"/>
        </w:rPr>
        <w:t>提高</w:t>
      </w:r>
      <w:r>
        <w:rPr>
          <w:rFonts w:hint="eastAsia" w:hAnsi="宋体"/>
          <w:szCs w:val="21"/>
        </w:rPr>
        <w:t>了轮廓仪</w:t>
      </w:r>
      <w:r>
        <w:rPr>
          <w:rFonts w:hAnsi="宋体"/>
          <w:szCs w:val="21"/>
        </w:rPr>
        <w:t>的准确性。</w:t>
      </w:r>
    </w:p>
    <w:p w14:paraId="5F3FDA11">
      <w:pPr>
        <w:pStyle w:val="3"/>
        <w:spacing w:before="156" w:after="156"/>
        <w:rPr>
          <w:b w:val="0"/>
          <w:bCs w:val="0"/>
        </w:rPr>
      </w:pPr>
      <w:r>
        <w:rPr>
          <w:rFonts w:hint="eastAsia"/>
          <w:b w:val="0"/>
          <w:bCs w:val="0"/>
        </w:rPr>
        <w:t>2.任务来源</w:t>
      </w:r>
      <w:bookmarkEnd w:id="2"/>
    </w:p>
    <w:p w14:paraId="7BF44BC3">
      <w:pPr>
        <w:pStyle w:val="35"/>
        <w:spacing w:after="0" w:line="400" w:lineRule="exact"/>
        <w:ind w:firstLine="420" w:firstLineChars="200"/>
        <w:rPr>
          <w:rFonts w:hAnsi="宋体"/>
          <w:szCs w:val="21"/>
        </w:rPr>
      </w:pPr>
      <w:r>
        <w:rPr>
          <w:rFonts w:hint="eastAsia" w:hAnsi="宋体"/>
          <w:szCs w:val="21"/>
        </w:rPr>
        <w:t>根据工业和信息化部《关于印发202X年行业计量技术规范制修订计划的通知》（工XXX［202X］XXX号）文的要求，行业计量技术规范《接触（触针）式表面轮廓测量仪校准规范》由西安汉唐分析检测有限公司负责起草。该项目计划编号为</w:t>
      </w:r>
      <w:r>
        <w:rPr>
          <w:rFonts w:hAnsi="宋体"/>
          <w:szCs w:val="21"/>
        </w:rPr>
        <w:t>JJF</w:t>
      </w:r>
      <w:r>
        <w:rPr>
          <w:rFonts w:hint="eastAsia" w:hAnsi="宋体"/>
          <w:szCs w:val="21"/>
        </w:rPr>
        <w:t>Z（有色金属）XXXX-2</w:t>
      </w:r>
      <w:r>
        <w:rPr>
          <w:rFonts w:hAnsi="宋体"/>
          <w:szCs w:val="21"/>
        </w:rPr>
        <w:t>02</w:t>
      </w:r>
      <w:r>
        <w:rPr>
          <w:rFonts w:hint="eastAsia" w:hAnsi="宋体"/>
          <w:szCs w:val="21"/>
        </w:rPr>
        <w:t>X。</w:t>
      </w:r>
    </w:p>
    <w:p w14:paraId="6C72F694">
      <w:pPr>
        <w:spacing w:line="360" w:lineRule="auto"/>
        <w:ind w:firstLine="420" w:firstLineChars="200"/>
        <w:rPr>
          <w:rFonts w:hAnsi="宋体"/>
          <w:szCs w:val="21"/>
        </w:rPr>
      </w:pPr>
      <w:r>
        <w:rPr>
          <w:rFonts w:hint="eastAsia"/>
          <w:szCs w:val="21"/>
        </w:rPr>
        <w:t>（在</w:t>
      </w:r>
      <w:r>
        <w:rPr>
          <w:szCs w:val="21"/>
        </w:rPr>
        <w:t>202</w:t>
      </w:r>
      <w:r>
        <w:rPr>
          <w:rFonts w:hint="eastAsia"/>
          <w:szCs w:val="21"/>
        </w:rPr>
        <w:t>X</w:t>
      </w:r>
      <w:r>
        <w:rPr>
          <w:szCs w:val="21"/>
        </w:rPr>
        <w:t>年</w:t>
      </w:r>
      <w:r>
        <w:rPr>
          <w:rFonts w:hint="eastAsia"/>
          <w:szCs w:val="21"/>
        </w:rPr>
        <w:t>X月X日</w:t>
      </w:r>
      <w:r>
        <w:rPr>
          <w:rFonts w:hint="eastAsia" w:hAnsi="宋体"/>
          <w:szCs w:val="21"/>
        </w:rPr>
        <w:t>，</w:t>
      </w:r>
      <w:r>
        <w:rPr>
          <w:rFonts w:hint="eastAsia"/>
          <w:szCs w:val="21"/>
        </w:rPr>
        <w:t>XX会议上，与会专家就规范名称提出修改意见，由于XX的原因，因此修改为《》。）按计划要求，本计量规范应于</w:t>
      </w:r>
      <w:r>
        <w:rPr>
          <w:szCs w:val="21"/>
        </w:rPr>
        <w:t>202</w:t>
      </w:r>
      <w:r>
        <w:rPr>
          <w:rFonts w:hint="eastAsia"/>
          <w:szCs w:val="21"/>
        </w:rPr>
        <w:t>5年 月完成制定</w:t>
      </w:r>
      <w:r>
        <w:rPr>
          <w:szCs w:val="21"/>
        </w:rPr>
        <w:t>。</w:t>
      </w:r>
    </w:p>
    <w:p w14:paraId="0EAF8C3A">
      <w:pPr>
        <w:pStyle w:val="3"/>
        <w:spacing w:before="156" w:after="156"/>
        <w:rPr>
          <w:b w:val="0"/>
          <w:bCs w:val="0"/>
        </w:rPr>
      </w:pPr>
      <w:r>
        <w:rPr>
          <w:rFonts w:hint="eastAsia"/>
          <w:b w:val="0"/>
          <w:bCs w:val="0"/>
        </w:rPr>
        <w:t>3.项目编制组单位简况</w:t>
      </w:r>
    </w:p>
    <w:p w14:paraId="7F3445FA">
      <w:pPr>
        <w:pStyle w:val="4"/>
        <w:spacing w:before="156" w:after="156"/>
        <w:rPr>
          <w:b w:val="0"/>
          <w:bCs w:val="0"/>
        </w:rPr>
      </w:pPr>
      <w:r>
        <w:rPr>
          <w:rFonts w:hint="eastAsia"/>
          <w:b w:val="0"/>
          <w:bCs w:val="0"/>
        </w:rPr>
        <w:t>3.1编制组成员单位</w:t>
      </w:r>
    </w:p>
    <w:p w14:paraId="7244C8B3">
      <w:pPr>
        <w:widowControl/>
        <w:autoSpaceDE w:val="0"/>
        <w:autoSpaceDN w:val="0"/>
        <w:spacing w:line="400" w:lineRule="exact"/>
        <w:ind w:firstLine="420" w:firstLineChars="200"/>
        <w:rPr>
          <w:szCs w:val="21"/>
        </w:rPr>
      </w:pPr>
      <w:bookmarkStart w:id="3" w:name="_Toc464728900"/>
      <w:bookmarkStart w:id="4" w:name="_Toc462884344"/>
      <w:r>
        <w:rPr>
          <w:rFonts w:hint="eastAsia"/>
          <w:szCs w:val="21"/>
        </w:rPr>
        <w:t>本规范的编制组单位为：</w:t>
      </w:r>
      <w:r>
        <w:rPr>
          <w:rFonts w:hint="eastAsia" w:hAnsi="宋体"/>
          <w:szCs w:val="21"/>
        </w:rPr>
        <w:t>西安汉唐分析检测有限公司</w:t>
      </w:r>
      <w:r>
        <w:rPr>
          <w:rFonts w:hint="eastAsia"/>
          <w:szCs w:val="21"/>
        </w:rPr>
        <w:t>有限公司、青海大学、西安建筑科技大学、西南铝业（集团）有限责任公司、陕西延长石油机械装备制造有限公司、中铝洛阳铜业检测技术有限公司、中国石油集团工程材料研究院有限公司、国标</w:t>
      </w:r>
      <w:r>
        <w:rPr>
          <w:szCs w:val="21"/>
        </w:rPr>
        <w:t>（北京）检验认证有限公司、山东省冶金科学研究院、广东省科学院新材料研究院、国合通用（青岛）测试评价有限公司</w:t>
      </w:r>
      <w:r>
        <w:rPr>
          <w:rFonts w:hint="eastAsia"/>
          <w:szCs w:val="21"/>
        </w:rPr>
        <w:t>。</w:t>
      </w:r>
    </w:p>
    <w:p w14:paraId="75E4771B">
      <w:pPr>
        <w:pStyle w:val="4"/>
        <w:spacing w:before="156" w:after="156"/>
        <w:rPr>
          <w:b w:val="0"/>
          <w:bCs w:val="0"/>
        </w:rPr>
      </w:pPr>
      <w:r>
        <w:rPr>
          <w:rFonts w:hint="eastAsia"/>
          <w:b w:val="0"/>
          <w:bCs w:val="0"/>
        </w:rPr>
        <w:t>3.2 主编单位简介</w:t>
      </w:r>
    </w:p>
    <w:bookmarkEnd w:id="3"/>
    <w:bookmarkEnd w:id="4"/>
    <w:p w14:paraId="6A54D905">
      <w:pPr>
        <w:spacing w:line="400" w:lineRule="exact"/>
        <w:ind w:firstLine="420" w:firstLineChars="200"/>
        <w:rPr>
          <w:rFonts w:hint="eastAsia"/>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14:paraId="3D8FBC61">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14:paraId="51F89710">
      <w:pPr>
        <w:spacing w:line="400" w:lineRule="exact"/>
        <w:ind w:firstLine="420" w:firstLineChars="200"/>
        <w:rPr>
          <w:color w:val="0000FF"/>
          <w:szCs w:val="21"/>
        </w:rPr>
      </w:pPr>
      <w:r>
        <w:rPr>
          <w:rFonts w:hint="eastAsia"/>
          <w:szCs w:val="21"/>
        </w:rPr>
        <w:t>近10年起草有色金属国家/行业规范共80余项、发表论文120余篇、授权专利30余项。先后荣获中国有色金属工业一等奖、二等奖20余次。</w:t>
      </w:r>
    </w:p>
    <w:p w14:paraId="2012E0EB">
      <w:pPr>
        <w:spacing w:line="400" w:lineRule="exact"/>
        <w:ind w:firstLine="420" w:firstLineChars="200"/>
        <w:contextualSpacing/>
        <w:jc w:val="left"/>
        <w:rPr>
          <w:szCs w:val="21"/>
        </w:rPr>
      </w:pPr>
      <w:r>
        <w:rPr>
          <w:rFonts w:hint="eastAsia"/>
          <w:szCs w:val="21"/>
        </w:rPr>
        <w:t>本单位主要负责本规范的起草工作，成立编制组并根据委员会的工作安排组织编制组成员单位开展相关校准工作，组织各单位对规范的《征求意见稿》、《预审稿》及《送审稿》进行认真的讨论，并就提出的意见和建议进行反馈和修改，在编制组中发挥了主要带头作用。</w:t>
      </w:r>
    </w:p>
    <w:p w14:paraId="4D68702C">
      <w:pPr>
        <w:pStyle w:val="60"/>
        <w:numPr>
          <w:ilvl w:val="0"/>
          <w:numId w:val="0"/>
        </w:numPr>
        <w:spacing w:before="156" w:beforeLines="50" w:after="156" w:afterLines="50"/>
        <w:rPr>
          <w:color w:val="auto"/>
        </w:rPr>
      </w:pPr>
      <w:bookmarkStart w:id="5" w:name="_Toc462884345"/>
      <w:bookmarkStart w:id="6" w:name="_Toc464728901"/>
      <w:r>
        <w:rPr>
          <w:rFonts w:hint="eastAsia"/>
          <w:color w:val="auto"/>
        </w:rPr>
        <w:t>3.3成员单位简介</w:t>
      </w:r>
      <w:bookmarkEnd w:id="5"/>
      <w:bookmarkEnd w:id="6"/>
    </w:p>
    <w:p w14:paraId="784FDA13">
      <w:pPr>
        <w:pStyle w:val="59"/>
        <w:numPr>
          <w:ilvl w:val="0"/>
          <w:numId w:val="0"/>
        </w:numPr>
        <w:spacing w:before="156" w:beforeLines="50" w:after="156" w:afterLines="50"/>
        <w:contextualSpacing/>
        <w:rPr>
          <w:szCs w:val="21"/>
        </w:rPr>
      </w:pPr>
      <w:r>
        <w:rPr>
          <w:rFonts w:hint="eastAsia"/>
        </w:rPr>
        <w:t>3.3.1</w:t>
      </w:r>
      <w:r>
        <w:rPr>
          <w:rFonts w:hint="eastAsia" w:ascii="Times New Roman"/>
        </w:rPr>
        <w:t xml:space="preserve">  </w:t>
      </w:r>
      <w:r>
        <w:rPr>
          <w:rFonts w:hint="eastAsia"/>
          <w:szCs w:val="21"/>
        </w:rPr>
        <w:t>青海大学</w:t>
      </w:r>
    </w:p>
    <w:p w14:paraId="3B7282D3">
      <w:pPr>
        <w:spacing w:line="400" w:lineRule="exact"/>
        <w:ind w:firstLine="420" w:firstLineChars="200"/>
        <w:rPr>
          <w:szCs w:val="21"/>
        </w:rPr>
      </w:pPr>
      <w:r>
        <w:rPr>
          <w:rFonts w:hint="eastAsia"/>
          <w:szCs w:val="21"/>
        </w:rPr>
        <w:t>青海大学是一所以工、农、医、管四大学科为主，其他学科协调发展的教学研究型大学。</w:t>
      </w:r>
    </w:p>
    <w:p w14:paraId="4495004D">
      <w:pPr>
        <w:pStyle w:val="59"/>
        <w:numPr>
          <w:ilvl w:val="0"/>
          <w:numId w:val="0"/>
        </w:numPr>
        <w:spacing w:before="156" w:beforeLines="50" w:after="156" w:afterLines="50"/>
        <w:contextualSpacing/>
        <w:rPr>
          <w:rFonts w:hint="eastAsia"/>
          <w:szCs w:val="21"/>
        </w:rPr>
      </w:pPr>
      <w:r>
        <w:rPr>
          <w:rFonts w:hint="eastAsia"/>
        </w:rPr>
        <w:t>3.3.2</w:t>
      </w:r>
      <w:r>
        <w:rPr>
          <w:rFonts w:hint="eastAsia" w:ascii="Times New Roman"/>
        </w:rPr>
        <w:t xml:space="preserve">  </w:t>
      </w:r>
      <w:r>
        <w:rPr>
          <w:rFonts w:hint="eastAsia"/>
          <w:szCs w:val="21"/>
        </w:rPr>
        <w:t>西安建筑科技大学</w:t>
      </w:r>
    </w:p>
    <w:p w14:paraId="3C36C1CA">
      <w:pPr>
        <w:pStyle w:val="58"/>
        <w:ind w:firstLine="420"/>
        <w:rPr>
          <w:rFonts w:hint="eastAsia"/>
        </w:rPr>
      </w:pPr>
      <w:r>
        <w:rPr>
          <w:rFonts w:hint="eastAsia" w:ascii="微软雅黑" w:hAnsi="微软雅黑" w:eastAsia="微软雅黑"/>
          <w:color w:val="333333"/>
          <w:szCs w:val="21"/>
          <w:shd w:val="clear" w:color="auto" w:fill="FFFFFF"/>
        </w:rPr>
        <w:t>西安建筑科技大学</w:t>
      </w:r>
    </w:p>
    <w:p w14:paraId="7FD7F316">
      <w:pPr>
        <w:pStyle w:val="58"/>
        <w:ind w:firstLine="420"/>
        <w:rPr>
          <w:rFonts w:hint="eastAsia"/>
        </w:rPr>
      </w:pPr>
    </w:p>
    <w:p w14:paraId="100019B4">
      <w:pPr>
        <w:pStyle w:val="59"/>
        <w:numPr>
          <w:ilvl w:val="0"/>
          <w:numId w:val="0"/>
        </w:numPr>
        <w:spacing w:before="156" w:beforeLines="50" w:after="156" w:afterLines="50"/>
        <w:contextualSpacing/>
        <w:rPr>
          <w:rFonts w:hint="eastAsia"/>
          <w:szCs w:val="21"/>
        </w:rPr>
      </w:pPr>
      <w:r>
        <w:rPr>
          <w:rFonts w:hint="eastAsia"/>
        </w:rPr>
        <w:t>3.3.3</w:t>
      </w:r>
      <w:r>
        <w:rPr>
          <w:rFonts w:hint="eastAsia"/>
          <w:szCs w:val="21"/>
        </w:rPr>
        <w:t>西南铝业（集团）有限责任公司</w:t>
      </w:r>
    </w:p>
    <w:p w14:paraId="6A4B97F6">
      <w:pPr>
        <w:spacing w:line="360" w:lineRule="auto"/>
        <w:ind w:firstLine="420" w:firstLineChars="200"/>
        <w:rPr>
          <w:szCs w:val="21"/>
        </w:rPr>
      </w:pPr>
      <w:r>
        <w:t> </w:t>
      </w:r>
      <w:r>
        <w:rPr>
          <w:rFonts w:hint="eastAsia"/>
          <w:szCs w:val="21"/>
        </w:rPr>
        <w:t>西南铝业（集团）有限责任公司（简称西南铝）是中铝集团、中铝高端核心铝加工企业，其前身是西南铝加工厂。经过近60年的发展，已成为我国综合实力最强的特大型铝加工企业之一，是我国航空航天和重点工程材料研发保障、高精尖铝材研发生产和出口的核心基地，正朝着制造业高端化、智能化、绿色化方向高质量发展！</w:t>
      </w:r>
    </w:p>
    <w:p w14:paraId="7E29EDA2">
      <w:pPr>
        <w:spacing w:line="360" w:lineRule="auto"/>
        <w:ind w:firstLine="420" w:firstLineChars="200"/>
        <w:rPr>
          <w:rFonts w:hint="eastAsia"/>
          <w:szCs w:val="21"/>
        </w:rPr>
      </w:pPr>
      <w:r>
        <w:rPr>
          <w:rFonts w:hint="eastAsia"/>
          <w:szCs w:val="21"/>
        </w:rPr>
        <w:t>西南铝荟萃了中国现代铝加工技术装备的精华，装备有以 3 万吨模锻压机为代表的“四大国宝”，以及高精铝及铝合金板带材热连轧生产线、冷连轧生产线、铝合金厚板生产线，形成了航空航天、重点工程、交通运输、金属包装、电子信息、通用工程用铝材等 6 大系列支柱产品。投产以来，先后为我国第一座高能加速器、“长征”系列火箭、“天宫”系列目标飞行器、 “神舟”系列飞船、“嫦娥”系列探月卫星、“天眼”、国产大飞机、C919 等数十项航空航天和国家重点建设工程提供了上千个品种的高性能、高品质关键铝材。产品畅销国内，出口五大洲、40 多个国家和地区。企业品牌影响力和美誉度不断提升，在行业内保持领先地位。</w:t>
      </w:r>
    </w:p>
    <w:p w14:paraId="7C36024F">
      <w:pPr>
        <w:pStyle w:val="59"/>
        <w:numPr>
          <w:ilvl w:val="0"/>
          <w:numId w:val="0"/>
        </w:numPr>
        <w:spacing w:before="156" w:beforeLines="50" w:after="156" w:afterLines="50"/>
        <w:contextualSpacing/>
        <w:rPr>
          <w:rFonts w:hint="eastAsia"/>
        </w:rPr>
      </w:pPr>
      <w:r>
        <w:rPr>
          <w:rFonts w:hint="eastAsia"/>
        </w:rPr>
        <w:t>3.3.4陕西延长石油机械装备制造有限公司</w:t>
      </w:r>
    </w:p>
    <w:p w14:paraId="14FBF88D">
      <w:pPr>
        <w:spacing w:line="360" w:lineRule="auto"/>
        <w:ind w:firstLine="420" w:firstLineChars="200"/>
        <w:rPr>
          <w:rFonts w:hint="eastAsia"/>
          <w:szCs w:val="21"/>
        </w:rPr>
      </w:pPr>
      <w:r>
        <w:rPr>
          <w:rFonts w:hint="eastAsia"/>
          <w:szCs w:val="21"/>
        </w:rPr>
        <w:t>陕西延长石油机械装备制造有限公司由延长石油集团投资建设，是集研发、制造、销售、服务于一体的大型石油装备制造企业。主要产品有：二至十六型系列节能抽油机、各类抽油泵、撬装注水装置、野营值班房、玻璃钢各型管线及大型储罐、井下工具、压力管道元件（井口装置、阀门等）、压力容器（A1A2级）、自动电控柜等产品；拥有抽油设备维修再制造、锅炉安装改造维修、检测等业务资质。</w:t>
      </w:r>
    </w:p>
    <w:p w14:paraId="117985A7">
      <w:pPr>
        <w:pStyle w:val="59"/>
        <w:numPr>
          <w:ilvl w:val="0"/>
          <w:numId w:val="0"/>
        </w:numPr>
        <w:spacing w:before="156" w:beforeLines="50" w:after="156" w:afterLines="50"/>
        <w:contextualSpacing/>
        <w:rPr>
          <w:rFonts w:hint="eastAsia"/>
        </w:rPr>
      </w:pPr>
      <w:r>
        <w:rPr>
          <w:rFonts w:hint="eastAsia"/>
        </w:rPr>
        <w:t>3.3.5中铝洛阳铜业检测技术有限公司</w:t>
      </w:r>
    </w:p>
    <w:p w14:paraId="5E14BE16">
      <w:pPr>
        <w:pStyle w:val="58"/>
        <w:spacing w:line="360" w:lineRule="auto"/>
        <w:ind w:firstLine="420"/>
        <w:rPr>
          <w:rFonts w:hint="eastAsia" w:ascii="Times New Roman" w:hAnsi="Times New Roman"/>
          <w:kern w:val="2"/>
          <w:szCs w:val="21"/>
        </w:rPr>
      </w:pPr>
      <w:r>
        <w:rPr>
          <w:rFonts w:ascii="Times New Roman" w:hAnsi="Times New Roman"/>
          <w:kern w:val="2"/>
          <w:szCs w:val="21"/>
        </w:rPr>
        <w:t>中铝洛阳铜业检测技术有限公司是集金属材料测试与研究于一体的综合性机构，主要从事有色金属与合金及矿冶产品的化学成份分析，金属材料及其制品微观组织、力学性能、物理性能、无损探伤、耐蚀性能的检测和研究，铜及铜合金产品的失效分析，同时还进行有色金属标准样品的研制与销售。</w:t>
      </w:r>
    </w:p>
    <w:p w14:paraId="7A5B18E0">
      <w:pPr>
        <w:widowControl/>
        <w:shd w:val="clear" w:color="auto" w:fill="FFFFFF"/>
        <w:wordWrap w:val="0"/>
        <w:spacing w:line="360" w:lineRule="auto"/>
        <w:ind w:firstLine="420" w:firstLineChars="200"/>
        <w:rPr>
          <w:szCs w:val="21"/>
        </w:rPr>
      </w:pPr>
      <w:r>
        <w:rPr>
          <w:szCs w:val="21"/>
        </w:rPr>
        <w:t>作为国家工业和信息化部授权的“有色金属标准样品定点研制单位”，检测中心于2014年获得“标准物质/标准样品生产者”体系认证，是有色行业通过认可的机构。60多年来研制了近百套行业级铜及铜合金标准样品。研制严谨、仪器先进、质量稳定、定值准确，多次获中国有色金属工业科学技术奖。</w:t>
      </w:r>
    </w:p>
    <w:p w14:paraId="64817EBF">
      <w:pPr>
        <w:widowControl/>
        <w:shd w:val="clear" w:color="auto" w:fill="FFFFFF"/>
        <w:wordWrap w:val="0"/>
        <w:spacing w:line="360" w:lineRule="auto"/>
        <w:ind w:firstLine="420" w:firstLineChars="200"/>
        <w:rPr>
          <w:szCs w:val="21"/>
        </w:rPr>
      </w:pPr>
      <w:r>
        <w:rPr>
          <w:szCs w:val="21"/>
        </w:rPr>
        <w:t>机构主持起草有：《铜及铜合金化学分析方法》、《铜及铜合金材料室温拉伸试验方法》、《铜及铜合金平均晶粒度测定方法》、《铜及铜合金导电率涡流测试方法》、《黄铜耐脱锌腐蚀性能的测定》、《铜氢脆检验方法》、《铜及铜合金加工材残余应力检验方法》、《铜及铜合金软化温度的测定》、《铜及铜合金板材超声波探伤方法》及《铜及铜合金棒材超声波探伤方法》等40多项国家/行业标准方法，编写有《铜及铜合金金相图谱》等8本专著</w:t>
      </w:r>
    </w:p>
    <w:p w14:paraId="133CC5EE">
      <w:pPr>
        <w:pStyle w:val="59"/>
        <w:numPr>
          <w:ilvl w:val="0"/>
          <w:numId w:val="0"/>
        </w:numPr>
        <w:spacing w:before="156" w:beforeLines="50" w:after="156" w:afterLines="50"/>
        <w:contextualSpacing/>
        <w:rPr>
          <w:rFonts w:hint="eastAsia"/>
        </w:rPr>
      </w:pPr>
      <w:r>
        <w:rPr>
          <w:rFonts w:hint="eastAsia"/>
        </w:rPr>
        <w:t>3.3.6中国石油集团工程材料研究院有限公司</w:t>
      </w:r>
    </w:p>
    <w:p w14:paraId="64664C5B">
      <w:pPr>
        <w:pStyle w:val="58"/>
        <w:spacing w:line="360" w:lineRule="auto"/>
        <w:ind w:firstLine="420"/>
        <w:rPr>
          <w:rFonts w:hint="eastAsia" w:ascii="Times New Roman" w:hAnsi="Times New Roman"/>
          <w:kern w:val="2"/>
          <w:szCs w:val="21"/>
        </w:rPr>
      </w:pPr>
      <w:r>
        <w:rPr>
          <w:rFonts w:hint="eastAsia" w:ascii="Times New Roman" w:hAnsi="Times New Roman"/>
          <w:kern w:val="2"/>
          <w:szCs w:val="21"/>
        </w:rPr>
        <w:t>中国石油集团工程材料研究院有限公司（简称：中国石油工程材料研究院；英文名称：TubularGoodsResearchInstituteofCNPC，简称：TGRI）是中国石油天然气集团有限公司（简称：中国石油，英文简称：CNPC）的直属研究院，院本部坐落于古城西安高新技术产业开发区，是我国在石油管及装备材料领域唯一从事科学研究、质量标准、成果转化“三位一体”的权威科研机构，也是石油石化行业（涵盖油气开发、管道储运、炼油化工、工程技术、装备制造、工程建设、新能源等领域）唯一从事工程材料的科技创新中心。工程材料研究院以建设世界一流研究院为目标，致力于打造科技创新、质量标准、成果转化“三个平台”，构建成果、技术、创效、人才“四大高地”，努力建设精干高效、独具特色的高质量科技创新体系，矢志成为国际石油管及装备材料技术引领者和先进工程材料原创技术策源地。</w:t>
      </w:r>
    </w:p>
    <w:p w14:paraId="125BAE13">
      <w:pPr>
        <w:pStyle w:val="59"/>
        <w:numPr>
          <w:ilvl w:val="0"/>
          <w:numId w:val="0"/>
        </w:numPr>
        <w:spacing w:before="156" w:beforeLines="50" w:after="156" w:afterLines="50"/>
        <w:contextualSpacing/>
        <w:rPr>
          <w:rFonts w:hint="eastAsia"/>
        </w:rPr>
      </w:pPr>
      <w:r>
        <w:rPr>
          <w:rFonts w:hint="eastAsia"/>
        </w:rPr>
        <w:t>3.3.7国标</w:t>
      </w:r>
      <w:r>
        <w:t>（北京）检验认证有限公司</w:t>
      </w:r>
    </w:p>
    <w:p w14:paraId="1B3DD9A7">
      <w:pPr>
        <w:spacing w:line="360" w:lineRule="auto"/>
        <w:ind w:firstLine="420" w:firstLineChars="200"/>
        <w:rPr>
          <w:rFonts w:hint="eastAsia"/>
          <w:szCs w:val="21"/>
        </w:rPr>
      </w:pPr>
      <w:r>
        <w:rPr>
          <w:szCs w:val="21"/>
        </w:rPr>
        <w:t>国标（北京）检验认证有限公司（简称国标检验）是我国有色金属及电子材料的权威第三方检测机构，也是我国有色金属行业分析测试标准的主要起草单位和标准物质研制骨干单位，管理和运行着国家有色金属质量检验检测中心和国家有色金属及电子材料分析测试中心，承担建设国家新材料测试评价平台有色金属材料行业中心。持有CNAS、CMA、CAL、NADCAP等多项资质，开展金属材料测试评价、环境监测、计量校准、产品认证等服务，研制并销售标准物质、标准样品和标准溶液，空心阴极灯等产品，为客户提供一站式质量保障服务。公司拥有雄厚的科技创新实力。荣获国家科技进步奖6项，国家发明奖3项，省部级科技进步一等奖10项，二、三等奖107项。在国内外科技期刊上发表论文1200余篇，撰写论著22部。共取得国家专利170余项。起草国际标准5项、国家/行业标准380余项。研制国家有证标准样品/物质160余个，标准样品/标准溶液3000余种。公司拥有一支基础理论扎实、实践经验丰富的研究和服务队伍。现有研发服务团队近300人，其中国务院特殊津贴专家1名，正、副高级技术人员 58 名，硕士以上青年技术骨干 102名。拥有国家合格评定实验室认可委员会（CNAS）注册评审员11名，全国工业产品生产认证检查员4名，有色金属工业产品认证师10名。技术力量雄厚，人才队伍结构合理。</w:t>
      </w:r>
    </w:p>
    <w:p w14:paraId="59D50F00">
      <w:pPr>
        <w:pStyle w:val="59"/>
        <w:numPr>
          <w:ilvl w:val="0"/>
          <w:numId w:val="0"/>
        </w:numPr>
        <w:spacing w:before="156" w:beforeLines="50" w:after="156" w:afterLines="50"/>
        <w:contextualSpacing/>
        <w:rPr>
          <w:rFonts w:hint="eastAsia"/>
        </w:rPr>
      </w:pPr>
      <w:r>
        <w:rPr>
          <w:rFonts w:hint="eastAsia"/>
        </w:rPr>
        <w:t>3.3.8</w:t>
      </w:r>
      <w:r>
        <w:t>山东省冶金科学研究院有限公司</w:t>
      </w:r>
    </w:p>
    <w:p w14:paraId="03AD0A28">
      <w:pPr>
        <w:pStyle w:val="58"/>
        <w:spacing w:line="360" w:lineRule="auto"/>
        <w:ind w:firstLine="420"/>
        <w:rPr>
          <w:rFonts w:hint="eastAsia" w:ascii="Times New Roman" w:hAnsi="Times New Roman"/>
          <w:kern w:val="2"/>
          <w:szCs w:val="21"/>
        </w:rPr>
      </w:pPr>
      <w:r>
        <w:rPr>
          <w:rFonts w:ascii="Times New Roman" w:hAnsi="Times New Roman"/>
          <w:kern w:val="2"/>
          <w:szCs w:val="21"/>
        </w:rPr>
        <w:t>山东省冶金科学研究院股份有限公司隶属于济钢集团有限公司。主要从事标准物质/标准样品研制、能力验证、计量校准、检测技术研究和科技咨询服务等业务，为冶金、有色、煤炭、航空航天、轨道交通、船舶、核电等工业企业提供质量控制服务和检测技术服务。</w:t>
      </w:r>
    </w:p>
    <w:p w14:paraId="13AB2930">
      <w:pPr>
        <w:pStyle w:val="58"/>
        <w:spacing w:line="360" w:lineRule="auto"/>
        <w:ind w:firstLine="420"/>
        <w:rPr>
          <w:rFonts w:hint="eastAsia" w:ascii="Times New Roman" w:hAnsi="Times New Roman"/>
          <w:kern w:val="2"/>
          <w:szCs w:val="21"/>
        </w:rPr>
      </w:pPr>
      <w:r>
        <w:rPr>
          <w:rFonts w:ascii="Times New Roman" w:hAnsi="Times New Roman"/>
          <w:kern w:val="2"/>
          <w:szCs w:val="21"/>
        </w:rPr>
        <w:t>公司具有检验检测机构（CMA）资质、中国合格评定国家认可委员会检测实验室认可资质（CNAS L1461）、标准物质生产者认可资质（CNAS RM0012）、能力验证提供者认可资质（CNAS PT0068）、校准实验室认可资质（CNAS L0049）、质量管理体系认证（ISO9001）。</w:t>
      </w:r>
    </w:p>
    <w:p w14:paraId="52372EC4">
      <w:pPr>
        <w:pStyle w:val="59"/>
        <w:numPr>
          <w:ilvl w:val="0"/>
          <w:numId w:val="0"/>
        </w:numPr>
        <w:spacing w:before="156" w:beforeLines="50" w:after="156" w:afterLines="50"/>
        <w:contextualSpacing/>
        <w:rPr>
          <w:rFonts w:hint="eastAsia"/>
        </w:rPr>
      </w:pPr>
      <w:r>
        <w:rPr>
          <w:rFonts w:hint="eastAsia"/>
        </w:rPr>
        <w:t>3.3.9</w:t>
      </w:r>
      <w:r>
        <w:t>广东省科学院新材料研究院</w:t>
      </w:r>
    </w:p>
    <w:p w14:paraId="07347DA4">
      <w:pPr>
        <w:pStyle w:val="58"/>
        <w:spacing w:line="360" w:lineRule="auto"/>
        <w:ind w:firstLine="420"/>
        <w:rPr>
          <w:rFonts w:hint="eastAsia" w:ascii="Times New Roman" w:hAnsi="Times New Roman"/>
          <w:kern w:val="2"/>
          <w:szCs w:val="21"/>
        </w:rPr>
      </w:pPr>
      <w:r>
        <w:rPr>
          <w:rFonts w:hint="eastAsia" w:ascii="Times New Roman" w:hAnsi="Times New Roman"/>
          <w:kern w:val="2"/>
          <w:szCs w:val="21"/>
        </w:rPr>
        <w:t>广东省科学院新材料研究所隶属广东省科学院，为其骨干科研院所，公益二类事业单位。研究所主要围绕广东省战略新兴产业、重点传统产业和高端装备制造业及国家重大工程对产品开发及装备性能不断提升的需求，面向航空航天、海洋工程、先进装备制造、新能源汽车、机械、电力、矿山、轨道交通、医疗器械等领域，开展热（冷）喷涂技术、铝镁轻金属材料、真空镀膜技术、金属基复合材料、激光制造技术、高性能粉末冶金和表面分析检测技术的研究与应用。</w:t>
      </w:r>
    </w:p>
    <w:p w14:paraId="4B6E58BA">
      <w:pPr>
        <w:pStyle w:val="58"/>
        <w:spacing w:line="360" w:lineRule="auto"/>
        <w:ind w:firstLine="420"/>
        <w:rPr>
          <w:rFonts w:hint="eastAsia" w:ascii="Times New Roman" w:hAnsi="Times New Roman"/>
          <w:kern w:val="2"/>
          <w:szCs w:val="21"/>
        </w:rPr>
      </w:pPr>
      <w:r>
        <w:rPr>
          <w:rFonts w:hint="eastAsia" w:ascii="Times New Roman" w:hAnsi="Times New Roman"/>
          <w:kern w:val="2"/>
          <w:szCs w:val="21"/>
        </w:rPr>
        <w:t>研究所建立了ISO9001质量体系，通过了GB/T 33250-2016科研机构知识产权管理体系认证、中国合格评定认可委员会CNAS资质认证，国家检验检测机构CMA资质认证。</w:t>
      </w:r>
    </w:p>
    <w:p w14:paraId="7B138072">
      <w:pPr>
        <w:pStyle w:val="59"/>
        <w:numPr>
          <w:ilvl w:val="0"/>
          <w:numId w:val="0"/>
        </w:numPr>
        <w:spacing w:before="156" w:beforeLines="50" w:after="156" w:afterLines="50"/>
        <w:contextualSpacing/>
      </w:pPr>
      <w:r>
        <w:rPr>
          <w:rFonts w:hint="eastAsia"/>
        </w:rPr>
        <w:t>3.3.10</w:t>
      </w:r>
      <w:r>
        <w:t>国合通用（青岛）测试评价有限公司</w:t>
      </w:r>
    </w:p>
    <w:p w14:paraId="5907CF75">
      <w:pPr>
        <w:pStyle w:val="58"/>
        <w:spacing w:line="360" w:lineRule="auto"/>
        <w:ind w:firstLine="420"/>
        <w:rPr>
          <w:rFonts w:ascii="Times New Roman" w:hAnsi="Times New Roman"/>
          <w:kern w:val="2"/>
          <w:szCs w:val="21"/>
        </w:rPr>
      </w:pPr>
      <w:r>
        <w:rPr>
          <w:rFonts w:ascii="Times New Roman" w:hAnsi="Times New Roman"/>
          <w:kern w:val="2"/>
          <w:szCs w:val="21"/>
        </w:rPr>
        <w:t> 国合通用（青岛）测试评价有限公司目前拥有化学分析、性能测试、组织结构和无损检测四个专业实验室，逐步建设汽车整车及零部件实验室、轨道交通实验室、船舶与海洋工程实验室、环境实验室、食品实验室、纺织品实验室等专业实验室，重点对汽车、轨道交通、船舶、海洋工程等行业提供第三方检测服务，同时开展材料失效分析、应用评价、产品认证、专业技能培训等业务。</w:t>
      </w:r>
    </w:p>
    <w:p w14:paraId="3D634FDB">
      <w:pPr>
        <w:pStyle w:val="60"/>
        <w:numPr>
          <w:ilvl w:val="2"/>
          <w:numId w:val="0"/>
        </w:numPr>
        <w:spacing w:before="156" w:beforeLines="50" w:after="156" w:afterLines="50" w:line="240" w:lineRule="auto"/>
        <w:rPr>
          <w:rFonts w:ascii="Times New Roman" w:eastAsia="宋体"/>
          <w:color w:val="auto"/>
          <w:szCs w:val="21"/>
        </w:rPr>
      </w:pPr>
      <w:bookmarkStart w:id="7" w:name="_Toc464728903"/>
      <w:bookmarkStart w:id="8" w:name="_Toc462884347"/>
      <w:r>
        <w:rPr>
          <w:rFonts w:hint="eastAsia"/>
          <w:color w:val="auto"/>
        </w:rPr>
        <w:t>3.4</w:t>
      </w:r>
      <w:r>
        <w:rPr>
          <w:rFonts w:hint="eastAsia" w:ascii="Times New Roman" w:eastAsia="宋体"/>
          <w:color w:val="auto"/>
          <w:szCs w:val="21"/>
        </w:rPr>
        <w:t>各单位分工情况</w:t>
      </w:r>
    </w:p>
    <w:p w14:paraId="1DDE3BF7">
      <w:pPr>
        <w:pStyle w:val="59"/>
        <w:numPr>
          <w:ilvl w:val="3"/>
          <w:numId w:val="0"/>
        </w:numPr>
        <w:spacing w:before="156" w:beforeLines="50" w:after="156" w:afterLines="50"/>
        <w:ind w:left="2" w:firstLine="396" w:firstLineChars="200"/>
        <w:contextualSpacing/>
        <w:rPr>
          <w:rFonts w:ascii="宋体" w:hAnsi="宋体" w:eastAsia="宋体" w:cs="宋体"/>
          <w:color w:val="auto"/>
          <w:kern w:val="2"/>
          <w:szCs w:val="21"/>
        </w:rPr>
      </w:pPr>
      <w:r>
        <w:rPr>
          <w:rFonts w:hint="eastAsia" w:ascii="Times New Roman" w:hAnsi="Times New Roman" w:eastAsia="宋体"/>
          <w:szCs w:val="21"/>
        </w:rPr>
        <w:t>编制组依据各单位情况，对整个规范的起草进行了分工。西安汉唐分析检测有限公司（主编单位）</w:t>
      </w:r>
      <w:r>
        <w:rPr>
          <w:rFonts w:ascii="宋体" w:hAnsi="宋体" w:eastAsia="宋体" w:cs="宋体"/>
          <w:color w:val="auto"/>
          <w:kern w:val="2"/>
          <w:szCs w:val="21"/>
        </w:rPr>
        <w:t>负责</w:t>
      </w:r>
      <w:r>
        <w:rPr>
          <w:rFonts w:hint="eastAsia" w:ascii="宋体" w:hAnsi="宋体" w:eastAsia="宋体" w:cs="宋体"/>
          <w:color w:val="auto"/>
          <w:kern w:val="2"/>
          <w:szCs w:val="21"/>
        </w:rPr>
        <w:t>资料的调研、</w:t>
      </w:r>
      <w:r>
        <w:rPr>
          <w:rFonts w:ascii="宋体" w:hAnsi="宋体" w:eastAsia="宋体" w:cs="宋体"/>
          <w:color w:val="auto"/>
          <w:kern w:val="2"/>
          <w:szCs w:val="21"/>
        </w:rPr>
        <w:t>收集，完成分析方法研究工作，撰写标准文稿、编制说明和研究报告</w:t>
      </w:r>
      <w:r>
        <w:rPr>
          <w:rFonts w:hint="eastAsia" w:ascii="宋体" w:hAnsi="宋体" w:eastAsia="宋体" w:cs="宋体"/>
          <w:color w:val="auto"/>
          <w:kern w:val="2"/>
          <w:szCs w:val="21"/>
        </w:rPr>
        <w:t>。</w:t>
      </w:r>
      <w:r>
        <w:rPr>
          <w:rFonts w:hint="eastAsia" w:ascii="Times New Roman" w:hAnsi="Times New Roman" w:eastAsia="宋体"/>
          <w:color w:val="FF0000"/>
          <w:szCs w:val="21"/>
        </w:rPr>
        <w:t>有色金属技术经济研究院有限责任公司、</w:t>
      </w:r>
      <w:r>
        <w:rPr>
          <w:rFonts w:ascii="Times New Roman" w:hAnsi="Times New Roman" w:eastAsia="宋体"/>
          <w:color w:val="FF0000"/>
          <w:szCs w:val="21"/>
        </w:rPr>
        <w:t>西安汉唐分析检测有限公司</w:t>
      </w:r>
      <w:r>
        <w:rPr>
          <w:rFonts w:hint="eastAsia" w:ascii="Times New Roman" w:hAnsi="Times New Roman" w:eastAsia="宋体"/>
          <w:color w:val="FF0000"/>
          <w:szCs w:val="21"/>
        </w:rPr>
        <w:t>、</w:t>
      </w:r>
      <w:r>
        <w:rPr>
          <w:rFonts w:ascii="Times New Roman" w:hAnsi="Times New Roman" w:eastAsia="宋体"/>
          <w:color w:val="FF0000"/>
          <w:szCs w:val="21"/>
        </w:rPr>
        <w:t>东北轻合金有限责任公司</w:t>
      </w:r>
      <w:r>
        <w:rPr>
          <w:rFonts w:hint="eastAsia" w:ascii="Times New Roman" w:hAnsi="Times New Roman" w:eastAsia="宋体"/>
          <w:color w:val="FF0000"/>
          <w:szCs w:val="21"/>
        </w:rPr>
        <w:t>、</w:t>
      </w:r>
      <w:r>
        <w:rPr>
          <w:rFonts w:ascii="Times New Roman" w:hAnsi="Times New Roman" w:eastAsia="宋体"/>
          <w:color w:val="FF0000"/>
          <w:szCs w:val="21"/>
        </w:rPr>
        <w:t>广东省科学院工业分析检测中心</w:t>
      </w:r>
      <w:r>
        <w:rPr>
          <w:rFonts w:hint="eastAsia" w:ascii="Times New Roman" w:hAnsi="Times New Roman" w:eastAsia="宋体"/>
          <w:color w:val="FF0000"/>
          <w:szCs w:val="21"/>
        </w:rPr>
        <w:t>、洛阳船舶材料研究所对规范内容提出具体修改意见，</w:t>
      </w:r>
      <w:r>
        <w:rPr>
          <w:rFonts w:ascii="宋体" w:hAnsi="宋体" w:eastAsia="宋体" w:cs="宋体"/>
          <w:color w:val="auto"/>
          <w:kern w:val="2"/>
          <w:szCs w:val="21"/>
        </w:rPr>
        <w:t>提供</w:t>
      </w:r>
      <w:r>
        <w:rPr>
          <w:rFonts w:hint="eastAsia" w:ascii="宋体" w:hAnsi="宋体" w:eastAsia="宋体" w:cs="宋体"/>
          <w:color w:val="auto"/>
          <w:kern w:val="2"/>
          <w:szCs w:val="21"/>
        </w:rPr>
        <w:t>对规范方法的验证工作及完成相应验证报告</w:t>
      </w:r>
      <w:r>
        <w:rPr>
          <w:rFonts w:ascii="宋体" w:hAnsi="宋体" w:eastAsia="宋体" w:cs="宋体"/>
          <w:color w:val="auto"/>
          <w:kern w:val="2"/>
          <w:szCs w:val="21"/>
        </w:rPr>
        <w:t>，并对标准文稿等提出相应修改意见</w:t>
      </w:r>
      <w:r>
        <w:rPr>
          <w:rFonts w:hint="eastAsia" w:ascii="宋体" w:hAnsi="宋体" w:eastAsia="宋体" w:cs="宋体"/>
          <w:color w:val="auto"/>
          <w:kern w:val="2"/>
          <w:szCs w:val="21"/>
        </w:rPr>
        <w:t>，分工见表1。</w:t>
      </w:r>
    </w:p>
    <w:p w14:paraId="33DB2C80">
      <w:pPr>
        <w:pStyle w:val="58"/>
        <w:ind w:firstLine="0" w:firstLineChars="0"/>
        <w:jc w:val="center"/>
      </w:pPr>
      <w:r>
        <w:rPr>
          <w:rFonts w:hint="eastAsia"/>
        </w:rPr>
        <w:t>表1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802"/>
        <w:gridCol w:w="741"/>
        <w:gridCol w:w="5858"/>
      </w:tblGrid>
      <w:tr w14:paraId="40C2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14:paraId="6C77BEF0">
            <w:pPr>
              <w:spacing w:line="360" w:lineRule="auto"/>
              <w:jc w:val="center"/>
              <w:rPr>
                <w:szCs w:val="21"/>
              </w:rPr>
            </w:pPr>
            <w:r>
              <w:rPr>
                <w:rFonts w:hint="eastAsia"/>
                <w:szCs w:val="21"/>
              </w:rPr>
              <w:t>单位</w:t>
            </w:r>
          </w:p>
        </w:tc>
        <w:tc>
          <w:tcPr>
            <w:tcW w:w="419" w:type="pct"/>
          </w:tcPr>
          <w:p w14:paraId="2F90CC32">
            <w:pPr>
              <w:spacing w:line="360" w:lineRule="auto"/>
              <w:jc w:val="center"/>
              <w:rPr>
                <w:szCs w:val="21"/>
              </w:rPr>
            </w:pPr>
            <w:r>
              <w:rPr>
                <w:rFonts w:hint="eastAsia"/>
                <w:szCs w:val="21"/>
              </w:rPr>
              <w:t>人员</w:t>
            </w:r>
          </w:p>
        </w:tc>
        <w:tc>
          <w:tcPr>
            <w:tcW w:w="387" w:type="pct"/>
          </w:tcPr>
          <w:p w14:paraId="0B259A93">
            <w:pPr>
              <w:spacing w:line="360" w:lineRule="auto"/>
              <w:jc w:val="center"/>
              <w:rPr>
                <w:szCs w:val="21"/>
              </w:rPr>
            </w:pPr>
            <w:r>
              <w:rPr>
                <w:rFonts w:hint="eastAsia"/>
                <w:szCs w:val="21"/>
              </w:rPr>
              <w:t>职称</w:t>
            </w:r>
          </w:p>
        </w:tc>
        <w:tc>
          <w:tcPr>
            <w:tcW w:w="3059" w:type="pct"/>
          </w:tcPr>
          <w:p w14:paraId="65A33D8E">
            <w:pPr>
              <w:spacing w:line="360" w:lineRule="auto"/>
              <w:jc w:val="center"/>
              <w:rPr>
                <w:szCs w:val="21"/>
              </w:rPr>
            </w:pPr>
            <w:r>
              <w:rPr>
                <w:rFonts w:hint="eastAsia"/>
                <w:szCs w:val="21"/>
              </w:rPr>
              <w:t>工作分工</w:t>
            </w:r>
          </w:p>
        </w:tc>
      </w:tr>
      <w:tr w14:paraId="0C69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14:paraId="5D0F0A2A">
            <w:pPr>
              <w:spacing w:line="360" w:lineRule="auto"/>
              <w:jc w:val="center"/>
              <w:rPr>
                <w:szCs w:val="21"/>
              </w:rPr>
            </w:pPr>
          </w:p>
        </w:tc>
        <w:tc>
          <w:tcPr>
            <w:tcW w:w="419" w:type="pct"/>
          </w:tcPr>
          <w:p w14:paraId="627FA83E">
            <w:pPr>
              <w:spacing w:line="360" w:lineRule="auto"/>
              <w:jc w:val="center"/>
              <w:rPr>
                <w:szCs w:val="21"/>
              </w:rPr>
            </w:pPr>
          </w:p>
        </w:tc>
        <w:tc>
          <w:tcPr>
            <w:tcW w:w="387" w:type="pct"/>
          </w:tcPr>
          <w:p w14:paraId="3834B068">
            <w:pPr>
              <w:spacing w:line="360" w:lineRule="auto"/>
              <w:jc w:val="center"/>
              <w:rPr>
                <w:szCs w:val="21"/>
              </w:rPr>
            </w:pPr>
          </w:p>
        </w:tc>
        <w:tc>
          <w:tcPr>
            <w:tcW w:w="3059" w:type="pct"/>
          </w:tcPr>
          <w:p w14:paraId="5670BEFD">
            <w:pPr>
              <w:spacing w:line="360" w:lineRule="auto"/>
              <w:jc w:val="center"/>
              <w:rPr>
                <w:szCs w:val="21"/>
              </w:rPr>
            </w:pPr>
            <w:r>
              <w:rPr>
                <w:rFonts w:hint="eastAsia"/>
                <w:szCs w:val="21"/>
              </w:rPr>
              <w:t>规范起草编制，试验方案编订，实验数据分析，编制说明的撰写工作，会议纪要整理及规范的完善。</w:t>
            </w:r>
          </w:p>
        </w:tc>
      </w:tr>
      <w:tr w14:paraId="33BD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14:paraId="7CDA7861">
            <w:pPr>
              <w:spacing w:line="360" w:lineRule="auto"/>
              <w:jc w:val="center"/>
              <w:rPr>
                <w:szCs w:val="21"/>
                <w:highlight w:val="yellow"/>
              </w:rPr>
            </w:pPr>
          </w:p>
        </w:tc>
        <w:tc>
          <w:tcPr>
            <w:tcW w:w="419" w:type="pct"/>
          </w:tcPr>
          <w:p w14:paraId="6B9840FE">
            <w:pPr>
              <w:spacing w:line="360" w:lineRule="auto"/>
              <w:jc w:val="center"/>
              <w:rPr>
                <w:szCs w:val="21"/>
              </w:rPr>
            </w:pPr>
          </w:p>
        </w:tc>
        <w:tc>
          <w:tcPr>
            <w:tcW w:w="387" w:type="pct"/>
          </w:tcPr>
          <w:p w14:paraId="0E62A7DE">
            <w:pPr>
              <w:spacing w:line="360" w:lineRule="auto"/>
              <w:jc w:val="center"/>
              <w:rPr>
                <w:szCs w:val="21"/>
              </w:rPr>
            </w:pPr>
          </w:p>
        </w:tc>
        <w:tc>
          <w:tcPr>
            <w:tcW w:w="3059" w:type="pct"/>
          </w:tcPr>
          <w:p w14:paraId="7957E141">
            <w:pPr>
              <w:spacing w:line="360" w:lineRule="auto"/>
              <w:jc w:val="center"/>
              <w:rPr>
                <w:szCs w:val="21"/>
                <w:highlight w:val="yellow"/>
              </w:rPr>
            </w:pPr>
            <w:r>
              <w:rPr>
                <w:rFonts w:hint="eastAsia"/>
                <w:szCs w:val="21"/>
              </w:rPr>
              <w:t>规范实验数据分析及讨论，内容审阅并提出修改意见，会议纪要整理。</w:t>
            </w:r>
          </w:p>
        </w:tc>
      </w:tr>
      <w:tr w14:paraId="2239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14:paraId="393438E8">
            <w:pPr>
              <w:spacing w:line="360" w:lineRule="auto"/>
              <w:jc w:val="center"/>
              <w:rPr>
                <w:rFonts w:ascii="宋体" w:hAnsi="宋体" w:cs="宋体"/>
                <w:szCs w:val="21"/>
              </w:rPr>
            </w:pPr>
          </w:p>
        </w:tc>
        <w:tc>
          <w:tcPr>
            <w:tcW w:w="419" w:type="pct"/>
          </w:tcPr>
          <w:p w14:paraId="5463FD0A">
            <w:pPr>
              <w:spacing w:line="360" w:lineRule="auto"/>
              <w:jc w:val="center"/>
              <w:rPr>
                <w:szCs w:val="21"/>
              </w:rPr>
            </w:pPr>
          </w:p>
        </w:tc>
        <w:tc>
          <w:tcPr>
            <w:tcW w:w="387" w:type="pct"/>
          </w:tcPr>
          <w:p w14:paraId="0B837FF3">
            <w:pPr>
              <w:spacing w:line="360" w:lineRule="auto"/>
              <w:jc w:val="center"/>
              <w:rPr>
                <w:szCs w:val="21"/>
              </w:rPr>
            </w:pPr>
          </w:p>
        </w:tc>
        <w:tc>
          <w:tcPr>
            <w:tcW w:w="3059" w:type="pct"/>
          </w:tcPr>
          <w:p w14:paraId="04117C53">
            <w:pPr>
              <w:spacing w:line="360" w:lineRule="auto"/>
              <w:jc w:val="center"/>
              <w:rPr>
                <w:szCs w:val="21"/>
              </w:rPr>
            </w:pPr>
            <w:r>
              <w:rPr>
                <w:rFonts w:hint="eastAsia"/>
                <w:szCs w:val="21"/>
              </w:rPr>
              <w:t>内容审阅并提出修改意见</w:t>
            </w:r>
          </w:p>
        </w:tc>
      </w:tr>
      <w:tr w14:paraId="593A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33" w:type="pct"/>
          </w:tcPr>
          <w:p w14:paraId="745C1D8B">
            <w:pPr>
              <w:spacing w:line="360" w:lineRule="auto"/>
              <w:jc w:val="center"/>
              <w:rPr>
                <w:szCs w:val="21"/>
              </w:rPr>
            </w:pPr>
          </w:p>
        </w:tc>
        <w:tc>
          <w:tcPr>
            <w:tcW w:w="419" w:type="pct"/>
          </w:tcPr>
          <w:p w14:paraId="628C4046">
            <w:pPr>
              <w:spacing w:line="360" w:lineRule="auto"/>
              <w:jc w:val="center"/>
              <w:rPr>
                <w:szCs w:val="21"/>
              </w:rPr>
            </w:pPr>
          </w:p>
        </w:tc>
        <w:tc>
          <w:tcPr>
            <w:tcW w:w="387" w:type="pct"/>
          </w:tcPr>
          <w:p w14:paraId="3AAA0E61">
            <w:pPr>
              <w:spacing w:line="360" w:lineRule="auto"/>
              <w:jc w:val="center"/>
              <w:rPr>
                <w:szCs w:val="21"/>
              </w:rPr>
            </w:pPr>
          </w:p>
        </w:tc>
        <w:tc>
          <w:tcPr>
            <w:tcW w:w="3059" w:type="pct"/>
          </w:tcPr>
          <w:p w14:paraId="2603FB08">
            <w:pPr>
              <w:spacing w:line="360" w:lineRule="auto"/>
              <w:jc w:val="center"/>
              <w:rPr>
                <w:szCs w:val="21"/>
              </w:rPr>
            </w:pPr>
            <w:r>
              <w:rPr>
                <w:rFonts w:hint="eastAsia"/>
                <w:szCs w:val="21"/>
              </w:rPr>
              <w:t>内容审阅并提出修改意见，规范二验工作</w:t>
            </w:r>
          </w:p>
        </w:tc>
      </w:tr>
      <w:tr w14:paraId="27B8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14:paraId="714B3312">
            <w:pPr>
              <w:spacing w:line="360" w:lineRule="auto"/>
              <w:jc w:val="center"/>
              <w:rPr>
                <w:szCs w:val="21"/>
              </w:rPr>
            </w:pPr>
          </w:p>
        </w:tc>
        <w:tc>
          <w:tcPr>
            <w:tcW w:w="419" w:type="pct"/>
          </w:tcPr>
          <w:p w14:paraId="1EF4E79D">
            <w:pPr>
              <w:spacing w:line="360" w:lineRule="auto"/>
              <w:jc w:val="center"/>
              <w:rPr>
                <w:szCs w:val="21"/>
              </w:rPr>
            </w:pPr>
          </w:p>
        </w:tc>
        <w:tc>
          <w:tcPr>
            <w:tcW w:w="387" w:type="pct"/>
          </w:tcPr>
          <w:p w14:paraId="65701EC7">
            <w:pPr>
              <w:spacing w:line="360" w:lineRule="auto"/>
              <w:jc w:val="center"/>
              <w:rPr>
                <w:szCs w:val="21"/>
              </w:rPr>
            </w:pPr>
          </w:p>
        </w:tc>
        <w:tc>
          <w:tcPr>
            <w:tcW w:w="3059" w:type="pct"/>
          </w:tcPr>
          <w:p w14:paraId="0712D29C">
            <w:pPr>
              <w:spacing w:line="360" w:lineRule="auto"/>
              <w:jc w:val="center"/>
              <w:rPr>
                <w:szCs w:val="21"/>
              </w:rPr>
            </w:pPr>
            <w:r>
              <w:rPr>
                <w:rFonts w:hint="eastAsia"/>
                <w:szCs w:val="21"/>
              </w:rPr>
              <w:t>内容审阅并提出修改意见，规范二验</w:t>
            </w:r>
          </w:p>
        </w:tc>
      </w:tr>
      <w:tr w14:paraId="7261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tcPr>
          <w:p w14:paraId="31A3AE7A">
            <w:pPr>
              <w:spacing w:line="360" w:lineRule="auto"/>
              <w:jc w:val="center"/>
              <w:rPr>
                <w:szCs w:val="21"/>
              </w:rPr>
            </w:pPr>
          </w:p>
        </w:tc>
        <w:tc>
          <w:tcPr>
            <w:tcW w:w="419" w:type="pct"/>
          </w:tcPr>
          <w:p w14:paraId="6B23DB9C">
            <w:pPr>
              <w:spacing w:line="360" w:lineRule="auto"/>
              <w:jc w:val="center"/>
              <w:rPr>
                <w:szCs w:val="21"/>
                <w:highlight w:val="yellow"/>
              </w:rPr>
            </w:pPr>
          </w:p>
        </w:tc>
        <w:tc>
          <w:tcPr>
            <w:tcW w:w="387" w:type="pct"/>
          </w:tcPr>
          <w:p w14:paraId="60B9E641">
            <w:pPr>
              <w:spacing w:line="360" w:lineRule="auto"/>
              <w:jc w:val="center"/>
              <w:rPr>
                <w:szCs w:val="21"/>
              </w:rPr>
            </w:pPr>
          </w:p>
        </w:tc>
        <w:tc>
          <w:tcPr>
            <w:tcW w:w="3059" w:type="pct"/>
          </w:tcPr>
          <w:p w14:paraId="6AB57601">
            <w:pPr>
              <w:spacing w:line="360" w:lineRule="auto"/>
              <w:jc w:val="center"/>
              <w:rPr>
                <w:szCs w:val="21"/>
              </w:rPr>
            </w:pPr>
            <w:r>
              <w:rPr>
                <w:rFonts w:hint="eastAsia"/>
                <w:szCs w:val="21"/>
              </w:rPr>
              <w:t>内容审阅并提出修改意见，规范二验工作</w:t>
            </w:r>
          </w:p>
        </w:tc>
      </w:tr>
      <w:tr w14:paraId="7286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tcPr>
          <w:p w14:paraId="697DBCD7">
            <w:pPr>
              <w:spacing w:line="360" w:lineRule="auto"/>
              <w:jc w:val="center"/>
              <w:rPr>
                <w:szCs w:val="21"/>
              </w:rPr>
            </w:pPr>
          </w:p>
        </w:tc>
        <w:tc>
          <w:tcPr>
            <w:tcW w:w="802" w:type="dxa"/>
          </w:tcPr>
          <w:p w14:paraId="7FCB6D84">
            <w:pPr>
              <w:spacing w:line="360" w:lineRule="auto"/>
              <w:jc w:val="center"/>
              <w:rPr>
                <w:szCs w:val="21"/>
              </w:rPr>
            </w:pPr>
          </w:p>
        </w:tc>
        <w:tc>
          <w:tcPr>
            <w:tcW w:w="741" w:type="dxa"/>
          </w:tcPr>
          <w:p w14:paraId="52B330B0">
            <w:pPr>
              <w:spacing w:line="360" w:lineRule="auto"/>
              <w:jc w:val="center"/>
              <w:rPr>
                <w:szCs w:val="21"/>
              </w:rPr>
            </w:pPr>
          </w:p>
        </w:tc>
        <w:tc>
          <w:tcPr>
            <w:tcW w:w="3059" w:type="pct"/>
          </w:tcPr>
          <w:p w14:paraId="5248ABAB">
            <w:pPr>
              <w:spacing w:line="360" w:lineRule="auto"/>
              <w:jc w:val="center"/>
              <w:rPr>
                <w:szCs w:val="21"/>
              </w:rPr>
            </w:pPr>
            <w:r>
              <w:rPr>
                <w:rFonts w:hint="eastAsia"/>
                <w:szCs w:val="21"/>
              </w:rPr>
              <w:t>实验方案讨论，内容审阅并提出修改意见</w:t>
            </w:r>
          </w:p>
        </w:tc>
      </w:tr>
    </w:tbl>
    <w:p w14:paraId="5600E442">
      <w:pPr>
        <w:pStyle w:val="58"/>
        <w:ind w:firstLine="420"/>
      </w:pPr>
    </w:p>
    <w:bookmarkEnd w:id="7"/>
    <w:bookmarkEnd w:id="8"/>
    <w:p w14:paraId="183F3AC1">
      <w:pPr>
        <w:pStyle w:val="4"/>
        <w:spacing w:before="156" w:after="156"/>
        <w:rPr>
          <w:b w:val="0"/>
          <w:bCs w:val="0"/>
        </w:rPr>
      </w:pPr>
      <w:bookmarkStart w:id="9" w:name="_Toc462884357"/>
      <w:bookmarkStart w:id="10" w:name="_Toc464728913"/>
      <w:r>
        <w:rPr>
          <w:rFonts w:hint="eastAsia"/>
          <w:b w:val="0"/>
          <w:bCs w:val="0"/>
        </w:rPr>
        <w:t>4.主要工作过程</w:t>
      </w:r>
      <w:bookmarkEnd w:id="9"/>
      <w:bookmarkEnd w:id="10"/>
    </w:p>
    <w:p w14:paraId="18667467">
      <w:pPr>
        <w:spacing w:line="400" w:lineRule="exact"/>
        <w:ind w:firstLine="420" w:firstLineChars="200"/>
      </w:pPr>
      <w:bookmarkStart w:id="11" w:name="_Hlk134448643"/>
      <w:r>
        <w:rPr>
          <w:rFonts w:hint="eastAsia"/>
        </w:rPr>
        <w:t>西安汉唐分析检测有限公司计量检测中心于2025年6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14:paraId="3DAE403D">
      <w:pPr>
        <w:spacing w:line="400" w:lineRule="exact"/>
        <w:ind w:firstLine="420" w:firstLineChars="200"/>
      </w:pPr>
      <w:r>
        <w:t>1</w:t>
      </w:r>
      <w:r>
        <w:rPr>
          <w:rFonts w:hint="eastAsia"/>
        </w:rPr>
        <w:t>）</w:t>
      </w:r>
      <w:r>
        <w:t>20</w:t>
      </w:r>
      <w:r>
        <w:rPr>
          <w:rFonts w:hint="eastAsia"/>
        </w:rPr>
        <w:t>24年</w:t>
      </w:r>
      <w:r>
        <w:t>8</w:t>
      </w:r>
      <w:r>
        <w:rPr>
          <w:rFonts w:hint="eastAsia"/>
        </w:rPr>
        <w:t>月成立了计量规范编制组，明确了编制组成员各自的工作内容和任务。</w:t>
      </w:r>
    </w:p>
    <w:p w14:paraId="0964BC09">
      <w:pPr>
        <w:spacing w:line="400" w:lineRule="exact"/>
        <w:ind w:firstLine="420" w:firstLineChars="200"/>
      </w:pPr>
      <w:r>
        <w:t>2</w:t>
      </w:r>
      <w:r>
        <w:rPr>
          <w:rFonts w:hint="eastAsia"/>
        </w:rPr>
        <w:t>）</w:t>
      </w:r>
      <w:r>
        <w:t>20</w:t>
      </w:r>
      <w:r>
        <w:rPr>
          <w:rFonts w:hint="eastAsia"/>
        </w:rPr>
        <w:t>24年</w:t>
      </w:r>
      <w:r>
        <w:t>9</w:t>
      </w:r>
      <w:r>
        <w:rPr>
          <w:rFonts w:hint="eastAsia"/>
        </w:rPr>
        <w:t>月～2025年4月，编制组成员对《接触（触针）式表面轮廓测量仪校准规范》中的计量特性及校准方法进行了讨论，确定了校准项目和方法，在</w:t>
      </w:r>
      <w:r>
        <w:t>202</w:t>
      </w:r>
      <w:r>
        <w:rPr>
          <w:rFonts w:hint="eastAsia"/>
        </w:rPr>
        <w:t>5年4月形成了计量规范讨论稿。</w:t>
      </w:r>
    </w:p>
    <w:p w14:paraId="023C70B5">
      <w:pPr>
        <w:spacing w:line="400" w:lineRule="exact"/>
        <w:ind w:firstLine="420" w:firstLineChars="200"/>
        <w:rPr>
          <w:color w:val="FF0000"/>
          <w:szCs w:val="21"/>
        </w:rPr>
      </w:pPr>
      <w:r>
        <w:rPr>
          <w:rFonts w:hint="eastAsia"/>
        </w:rPr>
        <w:t>3）2025年6月19日~20日，在石河子市召开有色金属计量技术规范研讨会，</w:t>
      </w:r>
      <w:r>
        <w:rPr>
          <w:rFonts w:hint="eastAsia"/>
          <w:szCs w:val="21"/>
        </w:rPr>
        <w:t>会上对《</w:t>
      </w:r>
      <w:r>
        <w:rPr>
          <w:rFonts w:hint="eastAsia" w:hAnsi="宋体"/>
          <w:szCs w:val="21"/>
        </w:rPr>
        <w:t>接触（触针）式表面轮廓测量仪校准规范</w:t>
      </w:r>
      <w:r>
        <w:rPr>
          <w:rFonts w:hint="eastAsia"/>
          <w:szCs w:val="21"/>
        </w:rPr>
        <w:t>-讨论稿》进行了讨论，</w:t>
      </w:r>
      <w:r>
        <w:rPr>
          <w:rFonts w:hint="eastAsia"/>
          <w:color w:val="FF0000"/>
          <w:szCs w:val="21"/>
        </w:rPr>
        <w:t>会上有来自不同单位的计量委员会委员、专家、代表就《</w:t>
      </w:r>
      <w:r>
        <w:rPr>
          <w:rFonts w:hint="eastAsia" w:hAnsi="宋体"/>
          <w:color w:val="FF0000"/>
          <w:szCs w:val="21"/>
        </w:rPr>
        <w:t>XXXX校准规范</w:t>
      </w:r>
      <w:r>
        <w:rPr>
          <w:rFonts w:hint="eastAsia"/>
          <w:color w:val="FF0000"/>
          <w:szCs w:val="21"/>
        </w:rPr>
        <w:t>-讨论稿》中的XXXX（校准项目？技术指标？校准方法？）等提出了修改建议和意见，同时，</w:t>
      </w:r>
      <w:r>
        <w:rPr>
          <w:rFonts w:hint="eastAsia"/>
          <w:color w:val="FF0000"/>
        </w:rPr>
        <w:t>会上确定了项目的参编单位及一验、二验单位，明确了各项工作时间进度要求，具体内容见表1。修改后形成了</w:t>
      </w:r>
      <w:r>
        <w:rPr>
          <w:rFonts w:hint="eastAsia"/>
          <w:color w:val="FF0000"/>
          <w:szCs w:val="21"/>
        </w:rPr>
        <w:t>《</w:t>
      </w:r>
      <w:r>
        <w:rPr>
          <w:rFonts w:hint="eastAsia" w:hAnsi="宋体"/>
          <w:color w:val="FF0000"/>
          <w:szCs w:val="21"/>
        </w:rPr>
        <w:t>XXXX校准规范</w:t>
      </w:r>
      <w:r>
        <w:rPr>
          <w:rFonts w:hint="eastAsia"/>
          <w:color w:val="FF0000"/>
          <w:szCs w:val="21"/>
        </w:rPr>
        <w:t>-</w:t>
      </w:r>
      <w:r>
        <w:rPr>
          <w:rFonts w:hint="eastAsia"/>
          <w:color w:val="FF0000"/>
        </w:rPr>
        <w:t>征求意见稿</w:t>
      </w:r>
      <w:r>
        <w:rPr>
          <w:rFonts w:hint="eastAsia"/>
          <w:color w:val="FF0000"/>
          <w:szCs w:val="21"/>
        </w:rPr>
        <w:t>》。</w:t>
      </w:r>
    </w:p>
    <w:p w14:paraId="1A9BF641">
      <w:pPr>
        <w:spacing w:line="360" w:lineRule="auto"/>
        <w:ind w:firstLine="210" w:firstLineChars="100"/>
        <w:jc w:val="center"/>
      </w:pPr>
      <w:r>
        <w:rPr>
          <w:rFonts w:hint="eastAsia"/>
        </w:rPr>
        <w:t>表2 《接触（触针）式表面轮廓测量仪校准规范-讨论稿》工作安排</w:t>
      </w:r>
    </w:p>
    <w:tbl>
      <w:tblPr>
        <w:tblStyle w:val="41"/>
        <w:tblW w:w="4764" w:type="pct"/>
        <w:jc w:val="center"/>
        <w:tblLayout w:type="fixed"/>
        <w:tblCellMar>
          <w:top w:w="0" w:type="dxa"/>
          <w:left w:w="108" w:type="dxa"/>
          <w:bottom w:w="0" w:type="dxa"/>
          <w:right w:w="108" w:type="dxa"/>
        </w:tblCellMar>
      </w:tblPr>
      <w:tblGrid>
        <w:gridCol w:w="1864"/>
        <w:gridCol w:w="7257"/>
      </w:tblGrid>
      <w:tr w14:paraId="53226395">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76926">
            <w:pPr>
              <w:spacing w:line="360" w:lineRule="auto"/>
            </w:pPr>
            <w:r>
              <w:rPr>
                <w:rFonts w:hint="eastAsia"/>
              </w:rPr>
              <w:t>拟参与编制单位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71C93113">
            <w:pPr>
              <w:widowControl/>
              <w:ind w:firstLine="420" w:firstLineChars="200"/>
              <w:jc w:val="left"/>
            </w:pPr>
            <w:r>
              <w:rPr>
                <w:rFonts w:hint="eastAsia" w:cs="宋体"/>
                <w:color w:val="000000"/>
                <w:kern w:val="0"/>
                <w:szCs w:val="21"/>
              </w:rPr>
              <w:t>XXXX</w:t>
            </w:r>
            <w:r>
              <w:rPr>
                <w:rFonts w:cs="宋体"/>
                <w:color w:val="000000"/>
                <w:kern w:val="0"/>
                <w:szCs w:val="21"/>
              </w:rPr>
              <w:t>有限公司</w:t>
            </w:r>
            <w:r>
              <w:rPr>
                <w:rFonts w:hint="eastAsia" w:cs="宋体"/>
                <w:color w:val="000000"/>
                <w:kern w:val="0"/>
                <w:szCs w:val="21"/>
              </w:rPr>
              <w:t>、XXXXX</w:t>
            </w:r>
            <w:r>
              <w:rPr>
                <w:rFonts w:cs="宋体"/>
                <w:color w:val="000000"/>
                <w:kern w:val="0"/>
                <w:szCs w:val="21"/>
              </w:rPr>
              <w:t>等</w:t>
            </w:r>
            <w:r>
              <w:rPr>
                <w:rFonts w:hint="eastAsia" w:cs="宋体"/>
                <w:color w:val="000000"/>
                <w:kern w:val="0"/>
                <w:szCs w:val="21"/>
              </w:rPr>
              <w:t>（应与最终报批稿一致，不一致的应说明情况）</w:t>
            </w:r>
          </w:p>
        </w:tc>
      </w:tr>
      <w:tr w14:paraId="6B58782A">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35DDA">
            <w:pPr>
              <w:spacing w:line="360" w:lineRule="auto"/>
            </w:pPr>
            <w:r>
              <w:rPr>
                <w:rFonts w:hint="eastAsia"/>
              </w:rPr>
              <w:t>一验单位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6759CB2E">
            <w:pPr>
              <w:spacing w:line="360" w:lineRule="auto"/>
              <w:ind w:firstLine="420" w:firstLineChars="200"/>
            </w:pPr>
            <w:r>
              <w:rPr>
                <w:rFonts w:hint="eastAsia" w:cs="宋体"/>
                <w:color w:val="000000"/>
                <w:kern w:val="0"/>
                <w:szCs w:val="21"/>
              </w:rPr>
              <w:t>XXXX</w:t>
            </w:r>
          </w:p>
        </w:tc>
      </w:tr>
      <w:tr w14:paraId="125482D3">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DB33E">
            <w:pPr>
              <w:spacing w:line="360" w:lineRule="auto"/>
            </w:pPr>
            <w:r>
              <w:rPr>
                <w:rFonts w:hint="eastAsia"/>
              </w:rPr>
              <w:t>二验单位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7E7AB9BF">
            <w:pPr>
              <w:spacing w:line="360" w:lineRule="auto"/>
              <w:ind w:firstLine="420" w:firstLineChars="200"/>
            </w:pPr>
            <w:r>
              <w:rPr>
                <w:rFonts w:hint="eastAsia" w:cs="宋体"/>
                <w:color w:val="000000"/>
                <w:kern w:val="0"/>
                <w:szCs w:val="21"/>
              </w:rPr>
              <w:t>XXXX、XXX、XXXXX</w:t>
            </w:r>
            <w:r>
              <w:rPr>
                <w:rFonts w:hint="eastAsia" w:cs="宋体"/>
                <w:color w:val="0408BC"/>
                <w:kern w:val="0"/>
                <w:szCs w:val="21"/>
              </w:rPr>
              <w:t>（验证单位应与给的校准报告一致，没有校准报告的应说明理由）</w:t>
            </w:r>
          </w:p>
        </w:tc>
      </w:tr>
      <w:tr w14:paraId="1718AA11">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8B533">
            <w:pPr>
              <w:spacing w:line="360" w:lineRule="auto"/>
            </w:pPr>
            <w:r>
              <w:rPr>
                <w:rFonts w:hint="eastAsia"/>
              </w:rPr>
              <w:t>时间节点安排</w:t>
            </w:r>
          </w:p>
        </w:tc>
        <w:tc>
          <w:tcPr>
            <w:tcW w:w="7257" w:type="dxa"/>
            <w:tcBorders>
              <w:top w:val="single" w:color="auto" w:sz="4" w:space="0"/>
              <w:left w:val="nil"/>
              <w:bottom w:val="single" w:color="auto" w:sz="4" w:space="0"/>
              <w:right w:val="single" w:color="auto" w:sz="4" w:space="0"/>
            </w:tcBorders>
            <w:shd w:val="clear" w:color="auto" w:fill="auto"/>
            <w:noWrap/>
            <w:vAlign w:val="center"/>
          </w:tcPr>
          <w:p w14:paraId="11AC22EC">
            <w:pPr>
              <w:spacing w:line="360" w:lineRule="auto"/>
              <w:ind w:firstLine="420" w:firstLineChars="200"/>
            </w:pPr>
            <w:r>
              <w:rPr>
                <w:rFonts w:hint="eastAsia"/>
              </w:rPr>
              <w:t>2025年10月完成试验验证，2026年6月完成规范报批</w:t>
            </w:r>
          </w:p>
        </w:tc>
      </w:tr>
    </w:tbl>
    <w:p w14:paraId="0B71E625">
      <w:pPr>
        <w:spacing w:line="400" w:lineRule="exact"/>
        <w:ind w:firstLine="420" w:firstLineChars="200"/>
        <w:rPr>
          <w:color w:val="FF0000"/>
        </w:rPr>
      </w:pPr>
      <w:r>
        <w:rPr>
          <w:rFonts w:hint="eastAsia"/>
          <w:color w:val="FF0000"/>
        </w:rPr>
        <w:t>4）202X年X月，XXXX发文《关于对&lt;XXX校准规范&gt;等15项有色金属行业计量技术规范征求意见的函》</w:t>
      </w:r>
      <w:r>
        <w:rPr>
          <w:rFonts w:hint="eastAsia" w:ascii="宋体" w:hAnsi="宋体" w:cs="宋体"/>
          <w:color w:val="FF0000"/>
        </w:rPr>
        <w:t>（XXXX字〔202X〕XXX号），其中包含《</w:t>
      </w:r>
      <w:r>
        <w:rPr>
          <w:rFonts w:hint="eastAsia" w:hAnsi="宋体"/>
          <w:color w:val="FF0000"/>
          <w:szCs w:val="21"/>
        </w:rPr>
        <w:t>XXXX校准规范</w:t>
      </w:r>
      <w:r>
        <w:rPr>
          <w:rFonts w:hint="eastAsia" w:ascii="宋体" w:hAnsi="宋体" w:cs="宋体"/>
          <w:color w:val="FF0000"/>
        </w:rPr>
        <w:t>》，并向</w:t>
      </w:r>
      <w:r>
        <w:rPr>
          <w:rFonts w:hint="eastAsia"/>
          <w:color w:val="FF0000"/>
        </w:rPr>
        <w:t>社会广泛征求意见。(预审稿和征求意见的先后顺序可能不一样，可根据实际情况进行调整)</w:t>
      </w:r>
    </w:p>
    <w:bookmarkEnd w:id="11"/>
    <w:p w14:paraId="29BED2B4">
      <w:pPr>
        <w:spacing w:line="360" w:lineRule="auto"/>
        <w:ind w:firstLine="420" w:firstLineChars="200"/>
        <w:rPr>
          <w:color w:val="FF0000"/>
        </w:rPr>
      </w:pPr>
      <w:r>
        <w:rPr>
          <w:rFonts w:hint="eastAsia" w:eastAsiaTheme="minorEastAsia"/>
          <w:color w:val="FF0000"/>
        </w:rPr>
        <w:t>5）</w:t>
      </w:r>
      <w:r>
        <w:rPr>
          <w:rFonts w:eastAsiaTheme="minorEastAsia"/>
          <w:color w:val="FF0000"/>
        </w:rPr>
        <w:t>2023</w:t>
      </w:r>
      <w:r>
        <w:rPr>
          <w:rFonts w:hint="eastAsia" w:eastAsiaTheme="minorEastAsia"/>
          <w:color w:val="FF0000"/>
        </w:rPr>
        <w:t>年</w:t>
      </w:r>
      <w:r>
        <w:rPr>
          <w:rFonts w:eastAsiaTheme="minorEastAsia"/>
          <w:color w:val="FF0000"/>
        </w:rPr>
        <w:t>11</w:t>
      </w:r>
      <w:r>
        <w:rPr>
          <w:rFonts w:hint="eastAsia" w:eastAsiaTheme="minorEastAsia"/>
          <w:color w:val="FF0000"/>
        </w:rPr>
        <w:t>月在昆明举行有色金属计量技术规范研讨会，</w:t>
      </w:r>
      <w:r>
        <w:rPr>
          <w:rFonts w:hint="eastAsia" w:eastAsiaTheme="minorEastAsia"/>
          <w:color w:val="FF0000"/>
          <w:szCs w:val="21"/>
        </w:rPr>
        <w:t>会上对《</w:t>
      </w:r>
      <w:r>
        <w:rPr>
          <w:rFonts w:hint="eastAsia" w:hAnsi="宋体"/>
          <w:color w:val="FF0000"/>
          <w:szCs w:val="21"/>
        </w:rPr>
        <w:t>XXXX校准规范</w:t>
      </w:r>
      <w:r>
        <w:rPr>
          <w:rFonts w:hint="eastAsia" w:eastAsiaTheme="minorEastAsia"/>
          <w:color w:val="FF0000"/>
          <w:szCs w:val="21"/>
        </w:rPr>
        <w:t>》进行了预审，会上有来自不同单位的计量委员会委员、专家、代表对《</w:t>
      </w:r>
      <w:r>
        <w:rPr>
          <w:rFonts w:hint="eastAsia" w:hAnsi="宋体"/>
          <w:color w:val="FF0000"/>
          <w:szCs w:val="21"/>
        </w:rPr>
        <w:t>XXXX校准规范</w:t>
      </w:r>
      <w:r>
        <w:rPr>
          <w:rFonts w:hint="eastAsia" w:eastAsiaTheme="minorEastAsia"/>
          <w:color w:val="FF0000"/>
          <w:szCs w:val="21"/>
        </w:rPr>
        <w:t>》提出了修改建议和意见。</w:t>
      </w:r>
      <w:r>
        <w:rPr>
          <w:rFonts w:hint="eastAsia"/>
          <w:color w:val="FF0000"/>
        </w:rPr>
        <w:t>修改后形成</w:t>
      </w:r>
      <w:r>
        <w:rPr>
          <w:rFonts w:hint="eastAsia" w:eastAsiaTheme="minorEastAsia"/>
          <w:color w:val="FF0000"/>
          <w:szCs w:val="21"/>
        </w:rPr>
        <w:t>《</w:t>
      </w:r>
      <w:r>
        <w:rPr>
          <w:rFonts w:hint="eastAsia" w:hAnsi="宋体"/>
          <w:color w:val="FF0000"/>
          <w:szCs w:val="21"/>
        </w:rPr>
        <w:t>XXXX校准规范-送审稿</w:t>
      </w:r>
      <w:r>
        <w:rPr>
          <w:rFonts w:hint="eastAsia" w:eastAsiaTheme="minorEastAsia"/>
          <w:color w:val="FF0000"/>
          <w:szCs w:val="21"/>
        </w:rPr>
        <w:t>》</w:t>
      </w:r>
      <w:r>
        <w:rPr>
          <w:rFonts w:hint="eastAsia"/>
          <w:color w:val="FF0000"/>
        </w:rPr>
        <w:t>。</w:t>
      </w:r>
    </w:p>
    <w:p w14:paraId="7656EDC8">
      <w:pPr>
        <w:spacing w:line="360" w:lineRule="auto"/>
        <w:ind w:firstLine="210" w:firstLineChars="100"/>
        <w:jc w:val="center"/>
        <w:rPr>
          <w:color w:val="FF0000"/>
        </w:rPr>
      </w:pPr>
      <w:r>
        <w:rPr>
          <w:rFonts w:asciiTheme="minorEastAsia" w:hAnsiTheme="minorEastAsia" w:eastAsiaTheme="minorEastAsia"/>
          <w:color w:val="FF0000"/>
        </w:rPr>
        <w:tab/>
      </w:r>
      <w:r>
        <w:rPr>
          <w:rFonts w:asciiTheme="minorEastAsia" w:hAnsiTheme="minorEastAsia" w:eastAsiaTheme="minorEastAsia"/>
          <w:color w:val="FF0000"/>
        </w:rPr>
        <w:tab/>
      </w:r>
      <w:r>
        <w:rPr>
          <w:rFonts w:hint="eastAsia"/>
          <w:color w:val="FF0000"/>
        </w:rPr>
        <w:t>表2 有色金属计量技术规范研讨会会议纪要（预审稿）</w:t>
      </w:r>
    </w:p>
    <w:p w14:paraId="5BA54C01">
      <w:pPr>
        <w:widowControl/>
        <w:autoSpaceDE w:val="0"/>
        <w:autoSpaceDN w:val="0"/>
        <w:spacing w:line="400" w:lineRule="exact"/>
        <w:ind w:firstLine="420" w:firstLineChars="200"/>
        <w:jc w:val="center"/>
        <w:rPr>
          <w:color w:val="FF0000"/>
          <w:szCs w:val="21"/>
        </w:rPr>
      </w:pPr>
      <w:r>
        <w:rPr>
          <w:rFonts w:hint="eastAsia"/>
          <w:color w:val="FF0000"/>
          <w:szCs w:val="21"/>
        </w:rPr>
        <w:t>（重点写技术要求改动较大的意见、格式意见无需专门标注，无重大意见可不列表）</w:t>
      </w:r>
    </w:p>
    <w:tbl>
      <w:tblPr>
        <w:tblStyle w:val="41"/>
        <w:tblW w:w="4765" w:type="pct"/>
        <w:tblInd w:w="-5" w:type="dxa"/>
        <w:tblLayout w:type="fixed"/>
        <w:tblCellMar>
          <w:top w:w="0" w:type="dxa"/>
          <w:left w:w="108" w:type="dxa"/>
          <w:bottom w:w="0" w:type="dxa"/>
          <w:right w:w="108" w:type="dxa"/>
        </w:tblCellMar>
      </w:tblPr>
      <w:tblGrid>
        <w:gridCol w:w="840"/>
        <w:gridCol w:w="1024"/>
        <w:gridCol w:w="4428"/>
        <w:gridCol w:w="1409"/>
        <w:gridCol w:w="1420"/>
      </w:tblGrid>
      <w:tr w14:paraId="619E56EF">
        <w:tblPrEx>
          <w:tblCellMar>
            <w:top w:w="0" w:type="dxa"/>
            <w:left w:w="108" w:type="dxa"/>
            <w:bottom w:w="0" w:type="dxa"/>
            <w:right w:w="108" w:type="dxa"/>
          </w:tblCellMar>
        </w:tblPrEx>
        <w:trPr>
          <w:trHeight w:val="567"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B83ED2">
            <w:pPr>
              <w:widowControl/>
              <w:jc w:val="center"/>
              <w:rPr>
                <w:color w:val="FF0000"/>
                <w:kern w:val="0"/>
                <w:szCs w:val="21"/>
              </w:rPr>
            </w:pPr>
            <w:r>
              <w:rPr>
                <w:color w:val="FF0000"/>
                <w:kern w:val="0"/>
                <w:szCs w:val="21"/>
              </w:rPr>
              <w:t>序号</w:t>
            </w:r>
          </w:p>
        </w:tc>
        <w:tc>
          <w:tcPr>
            <w:tcW w:w="561" w:type="pct"/>
            <w:tcBorders>
              <w:top w:val="single" w:color="auto" w:sz="4" w:space="0"/>
              <w:left w:val="nil"/>
              <w:bottom w:val="single" w:color="auto" w:sz="4" w:space="0"/>
              <w:right w:val="single" w:color="auto" w:sz="4" w:space="0"/>
            </w:tcBorders>
            <w:shd w:val="clear" w:color="auto" w:fill="auto"/>
            <w:vAlign w:val="center"/>
          </w:tcPr>
          <w:p w14:paraId="2C2DFFC0">
            <w:pPr>
              <w:widowControl/>
              <w:jc w:val="center"/>
              <w:rPr>
                <w:color w:val="FF0000"/>
                <w:kern w:val="0"/>
                <w:szCs w:val="21"/>
              </w:rPr>
            </w:pPr>
            <w:r>
              <w:rPr>
                <w:rFonts w:hint="eastAsia"/>
                <w:color w:val="FF0000"/>
                <w:kern w:val="0"/>
                <w:szCs w:val="21"/>
              </w:rPr>
              <w:t>规范</w:t>
            </w:r>
            <w:r>
              <w:rPr>
                <w:color w:val="FF0000"/>
                <w:kern w:val="0"/>
                <w:szCs w:val="21"/>
              </w:rPr>
              <w:t>章条编号</w:t>
            </w:r>
          </w:p>
        </w:tc>
        <w:tc>
          <w:tcPr>
            <w:tcW w:w="2426" w:type="pct"/>
            <w:tcBorders>
              <w:top w:val="single" w:color="auto" w:sz="4" w:space="0"/>
              <w:left w:val="nil"/>
              <w:bottom w:val="single" w:color="auto" w:sz="4" w:space="0"/>
              <w:right w:val="single" w:color="auto" w:sz="4" w:space="0"/>
            </w:tcBorders>
            <w:shd w:val="clear" w:color="auto" w:fill="auto"/>
            <w:noWrap/>
            <w:vAlign w:val="center"/>
          </w:tcPr>
          <w:p w14:paraId="704C5900">
            <w:pPr>
              <w:widowControl/>
              <w:jc w:val="center"/>
              <w:rPr>
                <w:color w:val="FF0000"/>
                <w:kern w:val="0"/>
                <w:szCs w:val="21"/>
              </w:rPr>
            </w:pPr>
            <w:r>
              <w:rPr>
                <w:color w:val="FF0000"/>
                <w:kern w:val="0"/>
                <w:szCs w:val="21"/>
              </w:rPr>
              <w:t>意见内容</w:t>
            </w:r>
          </w:p>
        </w:tc>
        <w:tc>
          <w:tcPr>
            <w:tcW w:w="772" w:type="pct"/>
            <w:tcBorders>
              <w:top w:val="single" w:color="auto" w:sz="4" w:space="0"/>
              <w:left w:val="nil"/>
              <w:bottom w:val="single" w:color="auto" w:sz="4" w:space="0"/>
              <w:right w:val="single" w:color="auto" w:sz="4" w:space="0"/>
            </w:tcBorders>
            <w:shd w:val="clear" w:color="auto" w:fill="auto"/>
            <w:noWrap/>
            <w:vAlign w:val="center"/>
          </w:tcPr>
          <w:p w14:paraId="4880A61A">
            <w:pPr>
              <w:widowControl/>
              <w:jc w:val="center"/>
              <w:rPr>
                <w:color w:val="FF0000"/>
                <w:kern w:val="0"/>
                <w:szCs w:val="21"/>
              </w:rPr>
            </w:pPr>
            <w:r>
              <w:rPr>
                <w:color w:val="FF0000"/>
                <w:kern w:val="0"/>
                <w:szCs w:val="21"/>
              </w:rPr>
              <w:t>提出单位</w:t>
            </w:r>
          </w:p>
        </w:tc>
        <w:tc>
          <w:tcPr>
            <w:tcW w:w="778" w:type="pct"/>
            <w:tcBorders>
              <w:top w:val="single" w:color="auto" w:sz="4" w:space="0"/>
              <w:left w:val="nil"/>
              <w:bottom w:val="single" w:color="auto" w:sz="4" w:space="0"/>
              <w:right w:val="single" w:color="auto" w:sz="4" w:space="0"/>
            </w:tcBorders>
            <w:shd w:val="clear" w:color="auto" w:fill="auto"/>
            <w:noWrap/>
            <w:vAlign w:val="center"/>
          </w:tcPr>
          <w:p w14:paraId="7D8274CA">
            <w:pPr>
              <w:widowControl/>
              <w:jc w:val="center"/>
              <w:rPr>
                <w:color w:val="FF0000"/>
                <w:kern w:val="0"/>
                <w:szCs w:val="21"/>
              </w:rPr>
            </w:pPr>
            <w:r>
              <w:rPr>
                <w:color w:val="FF0000"/>
                <w:kern w:val="0"/>
                <w:szCs w:val="21"/>
              </w:rPr>
              <w:t>处理意见</w:t>
            </w:r>
          </w:p>
        </w:tc>
      </w:tr>
      <w:tr w14:paraId="7D67742C">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231E7BD9">
            <w:pPr>
              <w:pStyle w:val="302"/>
              <w:widowControl/>
              <w:numPr>
                <w:ilvl w:val="0"/>
                <w:numId w:val="11"/>
              </w:numPr>
              <w:ind w:firstLineChars="0"/>
              <w:jc w:val="center"/>
              <w:rPr>
                <w:color w:val="FF0000"/>
                <w:kern w:val="0"/>
                <w:szCs w:val="21"/>
              </w:rPr>
            </w:pPr>
          </w:p>
        </w:tc>
        <w:tc>
          <w:tcPr>
            <w:tcW w:w="561" w:type="pct"/>
            <w:tcBorders>
              <w:top w:val="nil"/>
              <w:left w:val="nil"/>
              <w:bottom w:val="single" w:color="auto" w:sz="4" w:space="0"/>
              <w:right w:val="single" w:color="auto" w:sz="4" w:space="0"/>
            </w:tcBorders>
            <w:shd w:val="clear" w:color="auto" w:fill="auto"/>
            <w:noWrap/>
            <w:vAlign w:val="center"/>
          </w:tcPr>
          <w:p w14:paraId="0061EECA">
            <w:pPr>
              <w:widowControl/>
              <w:jc w:val="left"/>
              <w:rPr>
                <w:color w:val="FF0000"/>
                <w:kern w:val="0"/>
                <w:szCs w:val="21"/>
              </w:rPr>
            </w:pPr>
          </w:p>
        </w:tc>
        <w:tc>
          <w:tcPr>
            <w:tcW w:w="2426" w:type="pct"/>
            <w:tcBorders>
              <w:top w:val="nil"/>
              <w:left w:val="nil"/>
              <w:bottom w:val="single" w:color="auto" w:sz="4" w:space="0"/>
              <w:right w:val="single" w:color="auto" w:sz="4" w:space="0"/>
            </w:tcBorders>
            <w:shd w:val="clear" w:color="auto" w:fill="auto"/>
            <w:noWrap/>
            <w:vAlign w:val="center"/>
          </w:tcPr>
          <w:p w14:paraId="723A5E9C">
            <w:pPr>
              <w:widowControl/>
              <w:jc w:val="left"/>
              <w:rPr>
                <w:color w:val="FF0000"/>
                <w:kern w:val="0"/>
                <w:szCs w:val="21"/>
              </w:rPr>
            </w:pPr>
          </w:p>
        </w:tc>
        <w:tc>
          <w:tcPr>
            <w:tcW w:w="772" w:type="pct"/>
            <w:tcBorders>
              <w:top w:val="nil"/>
              <w:left w:val="nil"/>
              <w:bottom w:val="single" w:color="auto" w:sz="4" w:space="0"/>
              <w:right w:val="single" w:color="auto" w:sz="4" w:space="0"/>
            </w:tcBorders>
            <w:shd w:val="clear" w:color="auto" w:fill="auto"/>
            <w:noWrap/>
            <w:vAlign w:val="center"/>
          </w:tcPr>
          <w:p w14:paraId="584345F8">
            <w:pPr>
              <w:widowControl/>
              <w:jc w:val="left"/>
              <w:rPr>
                <w:color w:val="FF0000"/>
                <w:kern w:val="0"/>
                <w:szCs w:val="21"/>
              </w:rPr>
            </w:pPr>
          </w:p>
        </w:tc>
        <w:tc>
          <w:tcPr>
            <w:tcW w:w="778" w:type="pct"/>
            <w:tcBorders>
              <w:top w:val="nil"/>
              <w:left w:val="nil"/>
              <w:bottom w:val="single" w:color="auto" w:sz="4" w:space="0"/>
              <w:right w:val="single" w:color="auto" w:sz="4" w:space="0"/>
            </w:tcBorders>
            <w:shd w:val="clear" w:color="auto" w:fill="auto"/>
            <w:noWrap/>
            <w:vAlign w:val="center"/>
          </w:tcPr>
          <w:p w14:paraId="074DFB4E">
            <w:pPr>
              <w:widowControl/>
              <w:jc w:val="left"/>
              <w:rPr>
                <w:color w:val="FF0000"/>
                <w:kern w:val="0"/>
                <w:szCs w:val="21"/>
              </w:rPr>
            </w:pPr>
          </w:p>
        </w:tc>
      </w:tr>
      <w:tr w14:paraId="746851ED">
        <w:tblPrEx>
          <w:tblCellMar>
            <w:top w:w="0" w:type="dxa"/>
            <w:left w:w="108" w:type="dxa"/>
            <w:bottom w:w="0" w:type="dxa"/>
            <w:right w:w="108" w:type="dxa"/>
          </w:tblCellMar>
        </w:tblPrEx>
        <w:trPr>
          <w:trHeight w:val="567"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6F4C1EB2">
            <w:pPr>
              <w:pStyle w:val="302"/>
              <w:widowControl/>
              <w:numPr>
                <w:ilvl w:val="0"/>
                <w:numId w:val="11"/>
              </w:numPr>
              <w:ind w:firstLineChars="0"/>
              <w:jc w:val="center"/>
              <w:rPr>
                <w:color w:val="FF0000"/>
                <w:kern w:val="0"/>
                <w:szCs w:val="21"/>
              </w:rPr>
            </w:pPr>
          </w:p>
        </w:tc>
        <w:tc>
          <w:tcPr>
            <w:tcW w:w="561" w:type="pct"/>
            <w:tcBorders>
              <w:top w:val="nil"/>
              <w:left w:val="nil"/>
              <w:bottom w:val="single" w:color="auto" w:sz="4" w:space="0"/>
              <w:right w:val="single" w:color="auto" w:sz="4" w:space="0"/>
            </w:tcBorders>
            <w:shd w:val="clear" w:color="auto" w:fill="auto"/>
            <w:noWrap/>
            <w:vAlign w:val="center"/>
          </w:tcPr>
          <w:p w14:paraId="0AA2AE01">
            <w:pPr>
              <w:widowControl/>
              <w:jc w:val="left"/>
              <w:rPr>
                <w:color w:val="FF0000"/>
                <w:kern w:val="0"/>
                <w:szCs w:val="21"/>
              </w:rPr>
            </w:pPr>
          </w:p>
        </w:tc>
        <w:tc>
          <w:tcPr>
            <w:tcW w:w="2426" w:type="pct"/>
            <w:tcBorders>
              <w:top w:val="nil"/>
              <w:left w:val="nil"/>
              <w:bottom w:val="single" w:color="auto" w:sz="4" w:space="0"/>
              <w:right w:val="single" w:color="auto" w:sz="4" w:space="0"/>
            </w:tcBorders>
            <w:shd w:val="clear" w:color="auto" w:fill="auto"/>
            <w:noWrap/>
            <w:vAlign w:val="center"/>
          </w:tcPr>
          <w:p w14:paraId="62FDE679">
            <w:pPr>
              <w:widowControl/>
              <w:jc w:val="left"/>
              <w:rPr>
                <w:color w:val="FF0000"/>
                <w:kern w:val="0"/>
                <w:szCs w:val="21"/>
              </w:rPr>
            </w:pPr>
          </w:p>
        </w:tc>
        <w:tc>
          <w:tcPr>
            <w:tcW w:w="772" w:type="pct"/>
            <w:tcBorders>
              <w:top w:val="nil"/>
              <w:left w:val="nil"/>
              <w:bottom w:val="single" w:color="auto" w:sz="4" w:space="0"/>
              <w:right w:val="single" w:color="auto" w:sz="4" w:space="0"/>
            </w:tcBorders>
            <w:shd w:val="clear" w:color="auto" w:fill="auto"/>
            <w:noWrap/>
            <w:vAlign w:val="center"/>
          </w:tcPr>
          <w:p w14:paraId="273AF17F">
            <w:pPr>
              <w:widowControl/>
              <w:jc w:val="left"/>
              <w:rPr>
                <w:color w:val="FF0000"/>
                <w:kern w:val="0"/>
                <w:szCs w:val="21"/>
              </w:rPr>
            </w:pPr>
          </w:p>
        </w:tc>
        <w:tc>
          <w:tcPr>
            <w:tcW w:w="778" w:type="pct"/>
            <w:tcBorders>
              <w:top w:val="nil"/>
              <w:left w:val="nil"/>
              <w:bottom w:val="single" w:color="auto" w:sz="4" w:space="0"/>
              <w:right w:val="single" w:color="auto" w:sz="4" w:space="0"/>
            </w:tcBorders>
            <w:shd w:val="clear" w:color="auto" w:fill="auto"/>
            <w:noWrap/>
            <w:vAlign w:val="center"/>
          </w:tcPr>
          <w:p w14:paraId="7A04805F">
            <w:pPr>
              <w:widowControl/>
              <w:jc w:val="left"/>
              <w:rPr>
                <w:color w:val="FF0000"/>
                <w:kern w:val="0"/>
                <w:szCs w:val="21"/>
              </w:rPr>
            </w:pPr>
          </w:p>
        </w:tc>
      </w:tr>
    </w:tbl>
    <w:p w14:paraId="440B7A38">
      <w:pPr>
        <w:spacing w:line="360" w:lineRule="auto"/>
        <w:ind w:firstLine="420" w:firstLineChars="200"/>
        <w:rPr>
          <w:rFonts w:eastAsiaTheme="minorEastAsia"/>
          <w:color w:val="FF0000"/>
          <w:szCs w:val="21"/>
        </w:rPr>
      </w:pPr>
      <w:r>
        <w:rPr>
          <w:rFonts w:hint="eastAsia" w:eastAsiaTheme="minorEastAsia"/>
          <w:color w:val="FF0000"/>
        </w:rPr>
        <w:t>6）</w:t>
      </w:r>
      <w:r>
        <w:rPr>
          <w:rFonts w:eastAsiaTheme="minorEastAsia"/>
          <w:color w:val="FF0000"/>
        </w:rPr>
        <w:t>202</w:t>
      </w:r>
      <w:r>
        <w:rPr>
          <w:rFonts w:hint="eastAsia" w:eastAsiaTheme="minorEastAsia"/>
          <w:color w:val="FF0000"/>
        </w:rPr>
        <w:t>4年3月在普洱举行有色金属计量技术规范审定会，</w:t>
      </w:r>
      <w:r>
        <w:rPr>
          <w:rFonts w:hint="eastAsia" w:eastAsiaTheme="minorEastAsia"/>
          <w:color w:val="FF0000"/>
          <w:szCs w:val="21"/>
        </w:rPr>
        <w:t>会上对《</w:t>
      </w:r>
      <w:r>
        <w:rPr>
          <w:rFonts w:hint="eastAsia" w:eastAsiaTheme="minorEastAsia"/>
          <w:color w:val="FF0000"/>
        </w:rPr>
        <w:t>XXX校准规范》</w:t>
      </w:r>
      <w:r>
        <w:rPr>
          <w:rFonts w:hint="eastAsia" w:eastAsiaTheme="minorEastAsia"/>
          <w:color w:val="FF0000"/>
          <w:szCs w:val="21"/>
        </w:rPr>
        <w:t>进行了审定，会上有来自不同单位的计量委员会委员、专家、代表对《</w:t>
      </w:r>
      <w:r>
        <w:rPr>
          <w:rFonts w:hint="eastAsia" w:eastAsiaTheme="minorEastAsia"/>
          <w:color w:val="FF0000"/>
        </w:rPr>
        <w:t>XXXX校准规范</w:t>
      </w:r>
      <w:r>
        <w:rPr>
          <w:rFonts w:hint="eastAsia" w:eastAsiaTheme="minorEastAsia"/>
          <w:color w:val="FF0000"/>
          <w:szCs w:val="21"/>
        </w:rPr>
        <w:t>》审定稿提出了修改建议和意见。</w:t>
      </w:r>
    </w:p>
    <w:p w14:paraId="6D369A90">
      <w:pPr>
        <w:spacing w:line="360" w:lineRule="auto"/>
        <w:ind w:firstLine="210" w:firstLineChars="100"/>
        <w:jc w:val="center"/>
        <w:rPr>
          <w:color w:val="FF0000"/>
        </w:rPr>
      </w:pPr>
      <w:r>
        <w:rPr>
          <w:rFonts w:hint="eastAsia" w:eastAsiaTheme="minorEastAsia"/>
          <w:color w:val="FF0000"/>
          <w:szCs w:val="21"/>
        </w:rPr>
        <w:t xml:space="preserve">表3 </w:t>
      </w:r>
      <w:r>
        <w:rPr>
          <w:rFonts w:hint="eastAsia"/>
          <w:color w:val="FF0000"/>
        </w:rPr>
        <w:t>有色金属计量技术规范研讨会会议纪要（送审稿）</w:t>
      </w:r>
    </w:p>
    <w:tbl>
      <w:tblPr>
        <w:tblStyle w:val="41"/>
        <w:tblW w:w="476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024"/>
        <w:gridCol w:w="2922"/>
        <w:gridCol w:w="1701"/>
        <w:gridCol w:w="2628"/>
      </w:tblGrid>
      <w:tr w14:paraId="32FB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0" w:type="pct"/>
            <w:shd w:val="clear" w:color="auto" w:fill="auto"/>
            <w:noWrap/>
            <w:vAlign w:val="center"/>
          </w:tcPr>
          <w:p w14:paraId="7F81472D">
            <w:pPr>
              <w:widowControl/>
              <w:jc w:val="center"/>
              <w:rPr>
                <w:color w:val="FF0000"/>
                <w:kern w:val="0"/>
                <w:szCs w:val="21"/>
              </w:rPr>
            </w:pPr>
            <w:r>
              <w:rPr>
                <w:color w:val="FF0000"/>
                <w:kern w:val="0"/>
                <w:szCs w:val="21"/>
              </w:rPr>
              <w:t>序号</w:t>
            </w:r>
          </w:p>
        </w:tc>
        <w:tc>
          <w:tcPr>
            <w:tcW w:w="562" w:type="pct"/>
            <w:shd w:val="clear" w:color="auto" w:fill="auto"/>
            <w:vAlign w:val="center"/>
          </w:tcPr>
          <w:p w14:paraId="66DC7F07">
            <w:pPr>
              <w:widowControl/>
              <w:jc w:val="center"/>
              <w:rPr>
                <w:color w:val="FF0000"/>
                <w:kern w:val="0"/>
                <w:szCs w:val="21"/>
              </w:rPr>
            </w:pPr>
            <w:r>
              <w:rPr>
                <w:rFonts w:hint="eastAsia"/>
                <w:color w:val="FF0000"/>
                <w:kern w:val="0"/>
                <w:szCs w:val="21"/>
              </w:rPr>
              <w:t>规范</w:t>
            </w:r>
            <w:r>
              <w:rPr>
                <w:color w:val="FF0000"/>
                <w:kern w:val="0"/>
                <w:szCs w:val="21"/>
              </w:rPr>
              <w:t>章条编号</w:t>
            </w:r>
          </w:p>
        </w:tc>
        <w:tc>
          <w:tcPr>
            <w:tcW w:w="1602" w:type="pct"/>
            <w:shd w:val="clear" w:color="auto" w:fill="auto"/>
            <w:noWrap/>
            <w:vAlign w:val="center"/>
          </w:tcPr>
          <w:p w14:paraId="7CCD4F2E">
            <w:pPr>
              <w:widowControl/>
              <w:jc w:val="center"/>
              <w:rPr>
                <w:color w:val="FF0000"/>
                <w:kern w:val="0"/>
                <w:szCs w:val="21"/>
              </w:rPr>
            </w:pPr>
            <w:r>
              <w:rPr>
                <w:color w:val="FF0000"/>
                <w:kern w:val="0"/>
                <w:szCs w:val="21"/>
              </w:rPr>
              <w:t>意见内容</w:t>
            </w:r>
          </w:p>
        </w:tc>
        <w:tc>
          <w:tcPr>
            <w:tcW w:w="933" w:type="pct"/>
            <w:shd w:val="clear" w:color="auto" w:fill="auto"/>
            <w:noWrap/>
            <w:vAlign w:val="center"/>
          </w:tcPr>
          <w:p w14:paraId="492AD64E">
            <w:pPr>
              <w:widowControl/>
              <w:jc w:val="center"/>
              <w:rPr>
                <w:color w:val="FF0000"/>
                <w:kern w:val="0"/>
                <w:szCs w:val="21"/>
              </w:rPr>
            </w:pPr>
            <w:r>
              <w:rPr>
                <w:color w:val="FF0000"/>
                <w:kern w:val="0"/>
                <w:szCs w:val="21"/>
              </w:rPr>
              <w:t>提出单位</w:t>
            </w:r>
          </w:p>
        </w:tc>
        <w:tc>
          <w:tcPr>
            <w:tcW w:w="1441" w:type="pct"/>
            <w:shd w:val="clear" w:color="auto" w:fill="auto"/>
            <w:noWrap/>
            <w:vAlign w:val="center"/>
          </w:tcPr>
          <w:p w14:paraId="3583854D">
            <w:pPr>
              <w:widowControl/>
              <w:jc w:val="center"/>
              <w:rPr>
                <w:color w:val="FF0000"/>
                <w:kern w:val="0"/>
                <w:szCs w:val="21"/>
              </w:rPr>
            </w:pPr>
            <w:r>
              <w:rPr>
                <w:color w:val="FF0000"/>
                <w:kern w:val="0"/>
                <w:szCs w:val="21"/>
              </w:rPr>
              <w:t>处理意见</w:t>
            </w:r>
          </w:p>
        </w:tc>
      </w:tr>
      <w:tr w14:paraId="39EC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pct"/>
            <w:shd w:val="clear" w:color="auto" w:fill="auto"/>
            <w:noWrap/>
            <w:vAlign w:val="center"/>
          </w:tcPr>
          <w:p w14:paraId="49FEBE2F">
            <w:pPr>
              <w:pStyle w:val="302"/>
              <w:widowControl/>
              <w:numPr>
                <w:ilvl w:val="0"/>
                <w:numId w:val="12"/>
              </w:numPr>
              <w:ind w:firstLineChars="0"/>
              <w:jc w:val="center"/>
              <w:rPr>
                <w:color w:val="FF0000"/>
                <w:kern w:val="0"/>
                <w:szCs w:val="21"/>
              </w:rPr>
            </w:pPr>
          </w:p>
        </w:tc>
        <w:tc>
          <w:tcPr>
            <w:tcW w:w="562" w:type="pct"/>
            <w:shd w:val="clear" w:color="auto" w:fill="auto"/>
            <w:noWrap/>
            <w:vAlign w:val="center"/>
          </w:tcPr>
          <w:p w14:paraId="38592361">
            <w:pPr>
              <w:widowControl/>
              <w:jc w:val="left"/>
              <w:rPr>
                <w:color w:val="FF0000"/>
                <w:kern w:val="0"/>
                <w:szCs w:val="21"/>
              </w:rPr>
            </w:pPr>
          </w:p>
        </w:tc>
        <w:tc>
          <w:tcPr>
            <w:tcW w:w="1602" w:type="pct"/>
            <w:shd w:val="clear" w:color="auto" w:fill="auto"/>
            <w:noWrap/>
            <w:vAlign w:val="center"/>
          </w:tcPr>
          <w:p w14:paraId="6C9744A3">
            <w:pPr>
              <w:widowControl/>
              <w:jc w:val="left"/>
              <w:rPr>
                <w:color w:val="FF0000"/>
                <w:kern w:val="0"/>
                <w:szCs w:val="21"/>
              </w:rPr>
            </w:pPr>
          </w:p>
        </w:tc>
        <w:tc>
          <w:tcPr>
            <w:tcW w:w="933" w:type="pct"/>
            <w:shd w:val="clear" w:color="auto" w:fill="auto"/>
            <w:noWrap/>
            <w:vAlign w:val="center"/>
          </w:tcPr>
          <w:p w14:paraId="07D3853A">
            <w:pPr>
              <w:widowControl/>
              <w:jc w:val="left"/>
              <w:rPr>
                <w:color w:val="FF0000"/>
                <w:kern w:val="0"/>
                <w:szCs w:val="21"/>
              </w:rPr>
            </w:pPr>
          </w:p>
        </w:tc>
        <w:tc>
          <w:tcPr>
            <w:tcW w:w="1441" w:type="pct"/>
            <w:shd w:val="clear" w:color="auto" w:fill="auto"/>
            <w:noWrap/>
            <w:vAlign w:val="center"/>
          </w:tcPr>
          <w:p w14:paraId="447D55B9">
            <w:pPr>
              <w:widowControl/>
              <w:jc w:val="left"/>
              <w:rPr>
                <w:color w:val="FF0000"/>
                <w:kern w:val="0"/>
                <w:szCs w:val="21"/>
              </w:rPr>
            </w:pPr>
          </w:p>
        </w:tc>
      </w:tr>
      <w:tr w14:paraId="2D50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 w:type="pct"/>
            <w:shd w:val="clear" w:color="auto" w:fill="auto"/>
            <w:noWrap/>
            <w:vAlign w:val="center"/>
          </w:tcPr>
          <w:p w14:paraId="2B926B96">
            <w:pPr>
              <w:pStyle w:val="302"/>
              <w:widowControl/>
              <w:numPr>
                <w:ilvl w:val="0"/>
                <w:numId w:val="12"/>
              </w:numPr>
              <w:ind w:firstLineChars="0"/>
              <w:jc w:val="center"/>
              <w:rPr>
                <w:color w:val="FF0000"/>
                <w:kern w:val="0"/>
                <w:szCs w:val="21"/>
              </w:rPr>
            </w:pPr>
          </w:p>
        </w:tc>
        <w:tc>
          <w:tcPr>
            <w:tcW w:w="562" w:type="pct"/>
            <w:shd w:val="clear" w:color="auto" w:fill="auto"/>
            <w:noWrap/>
            <w:vAlign w:val="center"/>
          </w:tcPr>
          <w:p w14:paraId="6EB6EB81">
            <w:pPr>
              <w:widowControl/>
              <w:jc w:val="left"/>
              <w:rPr>
                <w:color w:val="FF0000"/>
                <w:kern w:val="0"/>
                <w:szCs w:val="21"/>
              </w:rPr>
            </w:pPr>
          </w:p>
        </w:tc>
        <w:tc>
          <w:tcPr>
            <w:tcW w:w="1602" w:type="pct"/>
            <w:shd w:val="clear" w:color="auto" w:fill="auto"/>
            <w:noWrap/>
            <w:vAlign w:val="center"/>
          </w:tcPr>
          <w:p w14:paraId="73698FF6">
            <w:pPr>
              <w:widowControl/>
              <w:jc w:val="left"/>
              <w:rPr>
                <w:color w:val="FF0000"/>
                <w:kern w:val="0"/>
                <w:szCs w:val="21"/>
              </w:rPr>
            </w:pPr>
          </w:p>
        </w:tc>
        <w:tc>
          <w:tcPr>
            <w:tcW w:w="933" w:type="pct"/>
            <w:shd w:val="clear" w:color="auto" w:fill="auto"/>
            <w:noWrap/>
            <w:vAlign w:val="center"/>
          </w:tcPr>
          <w:p w14:paraId="63F1C1C2">
            <w:pPr>
              <w:widowControl/>
              <w:jc w:val="left"/>
              <w:rPr>
                <w:color w:val="FF0000"/>
                <w:kern w:val="0"/>
                <w:szCs w:val="21"/>
              </w:rPr>
            </w:pPr>
          </w:p>
        </w:tc>
        <w:tc>
          <w:tcPr>
            <w:tcW w:w="1441" w:type="pct"/>
            <w:shd w:val="clear" w:color="auto" w:fill="auto"/>
            <w:noWrap/>
            <w:vAlign w:val="center"/>
          </w:tcPr>
          <w:p w14:paraId="343136BD">
            <w:pPr>
              <w:widowControl/>
              <w:jc w:val="left"/>
              <w:rPr>
                <w:color w:val="FF0000"/>
                <w:kern w:val="0"/>
                <w:szCs w:val="21"/>
              </w:rPr>
            </w:pPr>
          </w:p>
        </w:tc>
      </w:tr>
    </w:tbl>
    <w:p w14:paraId="16458AE2">
      <w:pPr>
        <w:pStyle w:val="2"/>
        <w:spacing w:before="156" w:after="156"/>
        <w:ind w:firstLine="420" w:firstLineChars="200"/>
        <w:rPr>
          <w:rFonts w:ascii="宋体" w:hAnsi="宋体" w:eastAsia="宋体" w:cs="宋体"/>
          <w:b w:val="0"/>
          <w:bCs w:val="0"/>
          <w:color w:val="FF0000"/>
          <w:sz w:val="21"/>
          <w:szCs w:val="21"/>
        </w:rPr>
      </w:pPr>
      <w:r>
        <w:rPr>
          <w:rFonts w:hint="eastAsia" w:ascii="宋体" w:hAnsi="宋体" w:eastAsia="宋体" w:cs="宋体"/>
          <w:b w:val="0"/>
          <w:bCs w:val="0"/>
          <w:color w:val="FF0000"/>
          <w:sz w:val="21"/>
          <w:szCs w:val="21"/>
        </w:rPr>
        <w:t>7）2024年3月底，主编单位修改了各方意见，形成《XXXX校准规范-报批稿》，并与申报单、编制说明、验证报告、审查表、会议纪要等文件等，共同形成《XXXX校准规范》的报批材料，报送有色金属行业计量技术委员会。</w:t>
      </w:r>
    </w:p>
    <w:p w14:paraId="59D623FB">
      <w:pPr>
        <w:pStyle w:val="2"/>
        <w:spacing w:before="156" w:after="156"/>
        <w:rPr>
          <w:b w:val="0"/>
          <w:bCs w:val="0"/>
        </w:rPr>
      </w:pPr>
      <w:r>
        <w:rPr>
          <w:rFonts w:hint="eastAsia"/>
          <w:b w:val="0"/>
          <w:bCs w:val="0"/>
        </w:rPr>
        <w:t>二、编制原则和依据</w:t>
      </w:r>
    </w:p>
    <w:p w14:paraId="3B5B3A96">
      <w:pPr>
        <w:pStyle w:val="3"/>
        <w:spacing w:before="156" w:after="156"/>
        <w:rPr>
          <w:b w:val="0"/>
          <w:bCs w:val="0"/>
        </w:rPr>
      </w:pPr>
      <w:bookmarkStart w:id="12" w:name="_Toc464728925"/>
      <w:r>
        <w:rPr>
          <w:rFonts w:hint="eastAsia"/>
          <w:b w:val="0"/>
          <w:bCs w:val="0"/>
        </w:rPr>
        <w:t>（一）编制原则</w:t>
      </w:r>
      <w:bookmarkEnd w:id="12"/>
    </w:p>
    <w:p w14:paraId="7F8079A9">
      <w:pPr>
        <w:pStyle w:val="58"/>
        <w:spacing w:line="360" w:lineRule="auto"/>
        <w:ind w:firstLine="420"/>
        <w:rPr>
          <w:rFonts w:ascii="Times New Roman" w:cs="宋体"/>
          <w:szCs w:val="21"/>
        </w:rPr>
      </w:pPr>
      <w:bookmarkStart w:id="13" w:name="_Toc464728926"/>
      <w:r>
        <w:rPr>
          <w:rFonts w:hint="eastAsia" w:ascii="Times New Roman" w:cs="宋体"/>
          <w:szCs w:val="21"/>
        </w:rPr>
        <w:t>JJF 1071 《国家计量校准规范编写规则》、JJF 1001《通用计量术语及定义》和JJF 1059.1《测量不确定度评定与表示》共同构成支撑校准规范制修订工作的基础性系列规范</w:t>
      </w:r>
      <w:r>
        <w:rPr>
          <w:rFonts w:hint="eastAsia"/>
          <w:szCs w:val="21"/>
        </w:rPr>
        <w:t>。</w:t>
      </w:r>
    </w:p>
    <w:p w14:paraId="698ACEA2">
      <w:pPr>
        <w:spacing w:line="360" w:lineRule="auto"/>
        <w:ind w:firstLine="420" w:firstLineChars="200"/>
        <w:rPr>
          <w:szCs w:val="21"/>
        </w:rPr>
      </w:pPr>
      <w:r>
        <w:rPr>
          <w:rFonts w:hint="eastAsia" w:cs="宋体"/>
          <w:szCs w:val="21"/>
        </w:rPr>
        <w:t>本规范主要参考了GB/T 19600-2004《产品几何量技术规范（GPS）表面结构 轮廓法 接触（触针）式仪器的标称特性》和接触（触针）式仪器使用说明书</w:t>
      </w:r>
      <w:r>
        <w:rPr>
          <w:rFonts w:hint="eastAsia"/>
          <w:szCs w:val="21"/>
        </w:rPr>
        <w:t>。</w:t>
      </w:r>
    </w:p>
    <w:p w14:paraId="5B12840A">
      <w:pPr>
        <w:spacing w:line="360" w:lineRule="auto"/>
        <w:ind w:firstLine="200"/>
        <w:rPr>
          <w:szCs w:val="21"/>
        </w:rPr>
      </w:pPr>
      <w:r>
        <w:rPr>
          <w:szCs w:val="21"/>
        </w:rPr>
        <w:t>本规范引用下列文件</w:t>
      </w:r>
    </w:p>
    <w:p w14:paraId="6134F659">
      <w:pPr>
        <w:spacing w:line="360" w:lineRule="auto"/>
        <w:ind w:firstLine="200"/>
        <w:rPr>
          <w:szCs w:val="21"/>
        </w:rPr>
      </w:pPr>
      <w:r>
        <w:rPr>
          <w:rFonts w:hint="eastAsia"/>
          <w:szCs w:val="21"/>
        </w:rPr>
        <w:t>GB/T 3505-2009 产品几何技术规范（GPS）表面结果 轮廓法 表面结构的术语、定义及参数</w:t>
      </w:r>
    </w:p>
    <w:p w14:paraId="5247AC1A">
      <w:pPr>
        <w:spacing w:line="360" w:lineRule="auto"/>
        <w:ind w:firstLine="200"/>
        <w:rPr>
          <w:szCs w:val="21"/>
        </w:rPr>
      </w:pPr>
      <w:r>
        <w:rPr>
          <w:rFonts w:hint="eastAsia"/>
          <w:szCs w:val="21"/>
        </w:rPr>
        <w:t>GB/T 6062-2009 产品几何技术规范（GPS）表面结构 轮廓法 接触（触针）式仪器的标称特性</w:t>
      </w:r>
    </w:p>
    <w:p w14:paraId="4CFB88F0">
      <w:pPr>
        <w:spacing w:line="360" w:lineRule="auto"/>
        <w:ind w:firstLine="200"/>
        <w:rPr>
          <w:szCs w:val="21"/>
        </w:rPr>
      </w:pPr>
      <w:r>
        <w:rPr>
          <w:rFonts w:hint="eastAsia"/>
          <w:szCs w:val="21"/>
        </w:rPr>
        <w:t>GB/T 10610-2009产品几何技术规范（GPS）表面结构 轮廓法 评定表面结构的规则和方法</w:t>
      </w:r>
    </w:p>
    <w:p w14:paraId="31736600">
      <w:pPr>
        <w:spacing w:line="360" w:lineRule="auto"/>
        <w:ind w:firstLine="200"/>
        <w:rPr>
          <w:szCs w:val="21"/>
        </w:rPr>
      </w:pPr>
      <w:r>
        <w:rPr>
          <w:rFonts w:hint="eastAsia"/>
          <w:szCs w:val="21"/>
        </w:rPr>
        <w:t>GB/T 17163-2008 几何量测量器具术语 基本术语</w:t>
      </w:r>
    </w:p>
    <w:p w14:paraId="78149B1E">
      <w:pPr>
        <w:spacing w:line="360" w:lineRule="auto"/>
        <w:ind w:firstLine="200"/>
        <w:rPr>
          <w:szCs w:val="21"/>
        </w:rPr>
      </w:pPr>
      <w:r>
        <w:rPr>
          <w:rFonts w:hint="eastAsia"/>
          <w:szCs w:val="21"/>
        </w:rPr>
        <w:t>GB/T 19067.1-2003产品几何技术规范（GPS）表面结构 轮廓法 测量标准 第1部分 实物测量标准</w:t>
      </w:r>
    </w:p>
    <w:p w14:paraId="60DC8816">
      <w:pPr>
        <w:spacing w:line="360" w:lineRule="auto"/>
        <w:ind w:firstLine="200"/>
        <w:rPr>
          <w:rFonts w:hint="eastAsia"/>
          <w:szCs w:val="21"/>
        </w:rPr>
      </w:pPr>
      <w:r>
        <w:rPr>
          <w:rFonts w:hint="eastAsia"/>
          <w:szCs w:val="21"/>
        </w:rPr>
        <w:t>GB/T 19600-2004产品几何技术规范（GPS）表面结构 轮廓法 接触（触针）式仪器的校准。</w:t>
      </w:r>
    </w:p>
    <w:p w14:paraId="5514F670">
      <w:pPr>
        <w:spacing w:line="360" w:lineRule="auto"/>
        <w:ind w:firstLine="200"/>
        <w:rPr>
          <w:szCs w:val="21"/>
        </w:rPr>
      </w:pPr>
      <w:r>
        <w:rPr>
          <w:rFonts w:hint="eastAsia"/>
          <w:szCs w:val="21"/>
        </w:rPr>
        <w:t>制定了基本原则和编制依据，可对接触（触针）式表面轮廓测量仪进行校准，解决了目前没有接触（触针）式表面轮廓测量仪校准方法的难题。</w:t>
      </w:r>
    </w:p>
    <w:p w14:paraId="7BE17157">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14:paraId="0E0A5D63">
      <w:pPr>
        <w:pStyle w:val="4"/>
        <w:spacing w:before="156" w:after="156"/>
        <w:rPr>
          <w:b w:val="0"/>
          <w:bCs w:val="0"/>
        </w:rPr>
      </w:pPr>
      <w:bookmarkStart w:id="14" w:name="_Toc193860027"/>
      <w:bookmarkStart w:id="15" w:name="_Toc193860177"/>
      <w:bookmarkStart w:id="16" w:name="_Toc23837_WPSOffice_Level1"/>
      <w:bookmarkStart w:id="17" w:name="_Toc500258929"/>
      <w:bookmarkStart w:id="18" w:name="_Toc193860208"/>
      <w:bookmarkStart w:id="19" w:name="_Toc464728964"/>
      <w:r>
        <w:rPr>
          <w:rFonts w:hint="eastAsia"/>
          <w:b w:val="0"/>
          <w:bCs w:val="0"/>
        </w:rPr>
        <w:t>1范围</w:t>
      </w:r>
      <w:bookmarkEnd w:id="14"/>
      <w:bookmarkEnd w:id="15"/>
      <w:bookmarkEnd w:id="16"/>
      <w:bookmarkEnd w:id="17"/>
      <w:bookmarkEnd w:id="18"/>
    </w:p>
    <w:p w14:paraId="6BFEED6E">
      <w:pPr>
        <w:spacing w:line="400" w:lineRule="exact"/>
        <w:ind w:firstLine="420" w:firstLineChars="200"/>
        <w:rPr>
          <w:rFonts w:eastAsiaTheme="minorEastAsia"/>
          <w:kern w:val="0"/>
          <w:szCs w:val="21"/>
        </w:rPr>
      </w:pPr>
      <w:r>
        <w:t>本规范适用于以扫描法测量工件表面二维形状</w:t>
      </w:r>
      <w:r>
        <w:rPr>
          <w:rFonts w:hint="eastAsia"/>
        </w:rPr>
        <w:t>、</w:t>
      </w:r>
      <w:r>
        <w:t>位置参数的接触</w:t>
      </w:r>
      <w:r>
        <w:rPr>
          <w:rFonts w:hint="eastAsia"/>
        </w:rPr>
        <w:t>（触针）式表面轮廓测量仪（以下简称“轮廓仪”）的校准</w:t>
      </w:r>
      <w:r>
        <w:rPr>
          <w:rFonts w:hint="eastAsia" w:eastAsiaTheme="minorEastAsia"/>
          <w:kern w:val="0"/>
          <w:szCs w:val="21"/>
        </w:rPr>
        <w:t>。</w:t>
      </w:r>
    </w:p>
    <w:p w14:paraId="7CAAB42C">
      <w:pPr>
        <w:pStyle w:val="4"/>
        <w:spacing w:before="156" w:after="156"/>
        <w:rPr>
          <w:b w:val="0"/>
          <w:bCs w:val="0"/>
        </w:rPr>
      </w:pPr>
      <w:bookmarkStart w:id="20" w:name="_Toc193860178"/>
      <w:bookmarkStart w:id="21" w:name="_Toc193860209"/>
      <w:bookmarkStart w:id="22" w:name="_Toc193860028"/>
      <w:bookmarkStart w:id="23" w:name="_Toc7848_WPSOffice_Level1"/>
      <w:bookmarkStart w:id="24" w:name="_Toc500258930"/>
      <w:r>
        <w:rPr>
          <w:rFonts w:hint="eastAsia"/>
          <w:b w:val="0"/>
          <w:bCs w:val="0"/>
        </w:rPr>
        <w:t>2 引用文</w:t>
      </w:r>
      <w:bookmarkEnd w:id="20"/>
      <w:bookmarkEnd w:id="21"/>
      <w:bookmarkEnd w:id="22"/>
      <w:r>
        <w:rPr>
          <w:rFonts w:hint="eastAsia"/>
          <w:b w:val="0"/>
          <w:bCs w:val="0"/>
        </w:rPr>
        <w:t>件</w:t>
      </w:r>
      <w:bookmarkEnd w:id="23"/>
      <w:bookmarkEnd w:id="24"/>
    </w:p>
    <w:p w14:paraId="60E1D206">
      <w:pPr>
        <w:spacing w:line="360" w:lineRule="auto"/>
        <w:ind w:firstLine="200"/>
        <w:rPr>
          <w:szCs w:val="21"/>
        </w:rPr>
      </w:pPr>
      <w:r>
        <w:rPr>
          <w:szCs w:val="21"/>
        </w:rPr>
        <w:t>本规范引用下列文件</w:t>
      </w:r>
    </w:p>
    <w:p w14:paraId="141D0313">
      <w:pPr>
        <w:spacing w:line="360" w:lineRule="auto"/>
        <w:ind w:firstLine="200"/>
        <w:rPr>
          <w:szCs w:val="21"/>
        </w:rPr>
      </w:pPr>
      <w:r>
        <w:rPr>
          <w:rFonts w:hint="eastAsia"/>
          <w:szCs w:val="21"/>
        </w:rPr>
        <w:t>GB/T 3505-2009 产品几何技术规范（GPS）表面结果 轮廓法 表面结构的术语、定义及参数</w:t>
      </w:r>
    </w:p>
    <w:p w14:paraId="1E2364E4">
      <w:pPr>
        <w:spacing w:line="360" w:lineRule="auto"/>
        <w:ind w:firstLine="200"/>
        <w:rPr>
          <w:szCs w:val="21"/>
        </w:rPr>
      </w:pPr>
      <w:r>
        <w:rPr>
          <w:rFonts w:hint="eastAsia"/>
          <w:szCs w:val="21"/>
        </w:rPr>
        <w:t>GB/T 6062-2009 产品几何技术规范（GPS）表面结构 轮廓法 接触（触针）式仪器的标称特性</w:t>
      </w:r>
    </w:p>
    <w:p w14:paraId="56490A95">
      <w:pPr>
        <w:spacing w:line="360" w:lineRule="auto"/>
        <w:ind w:firstLine="200"/>
        <w:rPr>
          <w:szCs w:val="21"/>
        </w:rPr>
      </w:pPr>
      <w:r>
        <w:rPr>
          <w:rFonts w:hint="eastAsia"/>
          <w:szCs w:val="21"/>
        </w:rPr>
        <w:t>GB/T 10610-2009产品几何技术规范（GPS）表面结构 轮廓法 评定表面结构的规则和方法</w:t>
      </w:r>
    </w:p>
    <w:p w14:paraId="3E81FDA1">
      <w:pPr>
        <w:spacing w:line="360" w:lineRule="auto"/>
        <w:ind w:firstLine="200"/>
        <w:rPr>
          <w:szCs w:val="21"/>
        </w:rPr>
      </w:pPr>
      <w:r>
        <w:rPr>
          <w:rFonts w:hint="eastAsia"/>
          <w:szCs w:val="21"/>
        </w:rPr>
        <w:t>GB/T 17163-2008 几何量测量器具术语 基本术语</w:t>
      </w:r>
    </w:p>
    <w:p w14:paraId="110C3683">
      <w:pPr>
        <w:spacing w:line="360" w:lineRule="auto"/>
        <w:ind w:firstLine="200"/>
        <w:rPr>
          <w:szCs w:val="21"/>
        </w:rPr>
      </w:pPr>
      <w:r>
        <w:rPr>
          <w:rFonts w:hint="eastAsia"/>
          <w:szCs w:val="21"/>
        </w:rPr>
        <w:t>GB/T 19067.1-2003产品几何技术规范（GPS）表面结构 轮廓法 测量标准 第1部分 实物测量标准</w:t>
      </w:r>
    </w:p>
    <w:p w14:paraId="3DD70708">
      <w:pPr>
        <w:spacing w:line="360" w:lineRule="auto"/>
        <w:ind w:firstLine="200"/>
        <w:rPr>
          <w:szCs w:val="21"/>
        </w:rPr>
      </w:pPr>
      <w:r>
        <w:rPr>
          <w:rFonts w:hint="eastAsia"/>
          <w:szCs w:val="21"/>
        </w:rPr>
        <w:t>GB/T 19600-2004产品几何技术规范（GPS）表面结构 轮廓法 接触（触针）式仪器的校准</w:t>
      </w:r>
      <w:r>
        <w:rPr>
          <w:rFonts w:hint="eastAsia" w:eastAsiaTheme="minorEastAsia"/>
          <w:kern w:val="0"/>
          <w:szCs w:val="21"/>
        </w:rPr>
        <w:t>。</w:t>
      </w:r>
    </w:p>
    <w:p w14:paraId="1F62E7E6">
      <w:pPr>
        <w:pStyle w:val="4"/>
        <w:spacing w:before="156" w:after="156"/>
        <w:rPr>
          <w:b w:val="0"/>
          <w:bCs w:val="0"/>
        </w:rPr>
      </w:pPr>
      <w:bookmarkStart w:id="25" w:name="_Toc500258937"/>
      <w:bookmarkStart w:id="26" w:name="_Toc193860180"/>
      <w:bookmarkStart w:id="27" w:name="_Toc13054_WPSOffice_Level1"/>
      <w:bookmarkStart w:id="28" w:name="_Toc193860211"/>
      <w:bookmarkStart w:id="29" w:name="_Toc193618952"/>
      <w:bookmarkStart w:id="30" w:name="_Toc193619097"/>
      <w:bookmarkStart w:id="31" w:name="_Toc193619055"/>
      <w:bookmarkStart w:id="32" w:name="_Toc193860030"/>
      <w:r>
        <w:rPr>
          <w:rFonts w:hint="eastAsia"/>
          <w:b w:val="0"/>
          <w:bCs w:val="0"/>
        </w:rPr>
        <w:t>3 概述</w:t>
      </w:r>
      <w:bookmarkEnd w:id="25"/>
      <w:bookmarkEnd w:id="26"/>
      <w:bookmarkEnd w:id="27"/>
      <w:bookmarkEnd w:id="28"/>
      <w:bookmarkEnd w:id="29"/>
      <w:bookmarkEnd w:id="30"/>
      <w:bookmarkEnd w:id="31"/>
      <w:bookmarkEnd w:id="32"/>
    </w:p>
    <w:p w14:paraId="69D07D02">
      <w:pPr>
        <w:autoSpaceDE w:val="0"/>
        <w:autoSpaceDN w:val="0"/>
        <w:adjustRightInd w:val="0"/>
        <w:spacing w:line="360" w:lineRule="auto"/>
        <w:ind w:firstLine="420" w:firstLineChars="200"/>
        <w:rPr>
          <w:kern w:val="21"/>
          <w:szCs w:val="21"/>
        </w:rPr>
      </w:pPr>
      <w:r>
        <w:rPr>
          <w:rFonts w:hint="eastAsia"/>
        </w:rPr>
        <w:t>本部分介绍了轮廓仪的结构等内容：</w:t>
      </w:r>
      <w:bookmarkStart w:id="33" w:name="_Toc204923133"/>
      <w:r>
        <w:rPr>
          <w:kern w:val="21"/>
          <w:szCs w:val="21"/>
        </w:rPr>
        <w:t>轮廓仪一般由传感器</w:t>
      </w:r>
      <w:r>
        <w:rPr>
          <w:rFonts w:hint="eastAsia"/>
          <w:kern w:val="21"/>
          <w:szCs w:val="21"/>
        </w:rPr>
        <w:t>、</w:t>
      </w:r>
      <w:r>
        <w:rPr>
          <w:kern w:val="21"/>
          <w:szCs w:val="21"/>
        </w:rPr>
        <w:t>驱动箱</w:t>
      </w:r>
      <w:r>
        <w:rPr>
          <w:rFonts w:hint="eastAsia"/>
          <w:kern w:val="21"/>
          <w:szCs w:val="21"/>
        </w:rPr>
        <w:t>、</w:t>
      </w:r>
      <w:r>
        <w:rPr>
          <w:kern w:val="21"/>
          <w:szCs w:val="21"/>
        </w:rPr>
        <w:t>电子信号处理装置</w:t>
      </w:r>
      <w:r>
        <w:rPr>
          <w:rFonts w:hint="eastAsia"/>
          <w:kern w:val="21"/>
          <w:szCs w:val="21"/>
        </w:rPr>
        <w:t>、</w:t>
      </w:r>
      <w:r>
        <w:rPr>
          <w:kern w:val="21"/>
          <w:szCs w:val="21"/>
        </w:rPr>
        <w:t>计算机系统等组成</w:t>
      </w:r>
      <w:r>
        <w:rPr>
          <w:rFonts w:hint="eastAsia"/>
          <w:kern w:val="21"/>
          <w:szCs w:val="21"/>
        </w:rPr>
        <w:t>，</w:t>
      </w:r>
      <w:r>
        <w:rPr>
          <w:kern w:val="21"/>
          <w:szCs w:val="21"/>
        </w:rPr>
        <w:t>见图</w:t>
      </w:r>
      <w:r>
        <w:rPr>
          <w:rFonts w:hint="eastAsia"/>
          <w:kern w:val="21"/>
          <w:szCs w:val="21"/>
        </w:rPr>
        <w:t>1所示</w:t>
      </w:r>
      <w:r>
        <w:rPr>
          <w:kern w:val="21"/>
          <w:szCs w:val="21"/>
        </w:rPr>
        <w:t>。</w:t>
      </w:r>
      <w:r>
        <w:rPr>
          <w:rFonts w:hint="eastAsia"/>
          <w:kern w:val="21"/>
          <w:szCs w:val="21"/>
        </w:rPr>
        <w:t>其工作原理是：仪器的触针在被测轮廓表面滑移，传感器通过锐利触针感受被测表面的几何形状变化，并转换成电信号。该信号经放大和处理，再转换成数字信号贮存在计算机系统的存贮器中。计算机对此原始轮廓的数字信号进行数字滤波，并计算其参数。轮廓仪可用于测量各种机械零件素线形状和截面轮廓形状。如：凸出量、曲面曲率半径、直线度、平行度、倾斜度、角度等。</w:t>
      </w:r>
    </w:p>
    <w:p w14:paraId="2233CF97">
      <w:pPr>
        <w:ind w:firstLine="480"/>
        <w:rPr>
          <w:kern w:val="21"/>
          <w:szCs w:val="21"/>
        </w:rPr>
      </w:pPr>
      <w:r>
        <w:drawing>
          <wp:anchor distT="0" distB="0" distL="114300" distR="114300" simplePos="0" relativeHeight="251662336" behindDoc="0" locked="0" layoutInCell="1" allowOverlap="1">
            <wp:simplePos x="0" y="0"/>
            <wp:positionH relativeFrom="column">
              <wp:posOffset>-13335</wp:posOffset>
            </wp:positionH>
            <wp:positionV relativeFrom="paragraph">
              <wp:posOffset>123190</wp:posOffset>
            </wp:positionV>
            <wp:extent cx="5486400" cy="2087880"/>
            <wp:effectExtent l="0" t="0" r="0" b="762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86400" cy="2087880"/>
                    </a:xfrm>
                    <a:prstGeom prst="rect">
                      <a:avLst/>
                    </a:prstGeom>
                    <a:noFill/>
                    <a:ln>
                      <a:noFill/>
                    </a:ln>
                  </pic:spPr>
                </pic:pic>
              </a:graphicData>
            </a:graphic>
          </wp:anchor>
        </w:drawing>
      </w:r>
    </w:p>
    <w:p w14:paraId="4D482558">
      <w:pPr>
        <w:ind w:firstLine="480"/>
        <w:rPr>
          <w:kern w:val="21"/>
          <w:szCs w:val="21"/>
        </w:rPr>
      </w:pPr>
    </w:p>
    <w:p w14:paraId="603CBF08">
      <w:pPr>
        <w:ind w:firstLine="480"/>
        <w:rPr>
          <w:kern w:val="21"/>
          <w:szCs w:val="21"/>
        </w:rPr>
      </w:pPr>
    </w:p>
    <w:p w14:paraId="0B9BE17A">
      <w:pPr>
        <w:ind w:firstLine="480"/>
        <w:rPr>
          <w:kern w:val="21"/>
          <w:szCs w:val="21"/>
        </w:rPr>
      </w:pPr>
    </w:p>
    <w:p w14:paraId="165689F1">
      <w:pPr>
        <w:ind w:firstLine="480"/>
        <w:rPr>
          <w:kern w:val="21"/>
          <w:szCs w:val="21"/>
        </w:rPr>
      </w:pPr>
    </w:p>
    <w:p w14:paraId="119F8B62">
      <w:pPr>
        <w:ind w:firstLine="480"/>
        <w:rPr>
          <w:kern w:val="21"/>
          <w:szCs w:val="21"/>
        </w:rPr>
      </w:pPr>
    </w:p>
    <w:p w14:paraId="4C6ABBA0">
      <w:pPr>
        <w:ind w:firstLine="480"/>
        <w:rPr>
          <w:kern w:val="21"/>
          <w:szCs w:val="21"/>
        </w:rPr>
      </w:pPr>
    </w:p>
    <w:p w14:paraId="1D7E7EDC">
      <w:pPr>
        <w:ind w:firstLine="480"/>
        <w:jc w:val="center"/>
        <w:rPr>
          <w:rFonts w:eastAsia="黑体"/>
          <w:kern w:val="21"/>
          <w:szCs w:val="21"/>
        </w:rPr>
      </w:pPr>
    </w:p>
    <w:p w14:paraId="15CF933D">
      <w:pPr>
        <w:rPr>
          <w:rFonts w:eastAsia="黑体"/>
          <w:kern w:val="21"/>
          <w:szCs w:val="21"/>
        </w:rPr>
      </w:pPr>
    </w:p>
    <w:p w14:paraId="4B7043FF">
      <w:pPr>
        <w:ind w:firstLine="480"/>
        <w:jc w:val="center"/>
        <w:rPr>
          <w:rFonts w:eastAsia="黑体"/>
          <w:kern w:val="21"/>
          <w:szCs w:val="21"/>
        </w:rPr>
      </w:pPr>
      <w:r>
        <w:rPr>
          <w:rFonts w:eastAsia="黑体"/>
          <w:kern w:val="21"/>
          <w:szCs w:val="21"/>
        </w:rPr>
        <w:t>图1 接触</w:t>
      </w:r>
      <w:r>
        <w:rPr>
          <w:rFonts w:hint="eastAsia" w:eastAsia="黑体"/>
          <w:kern w:val="21"/>
          <w:szCs w:val="21"/>
        </w:rPr>
        <w:t>（触针）式表面轮廓测量仪</w:t>
      </w:r>
    </w:p>
    <w:p w14:paraId="1BE6C61A">
      <w:pPr>
        <w:ind w:firstLine="360"/>
        <w:jc w:val="center"/>
        <w:rPr>
          <w:sz w:val="18"/>
          <w:szCs w:val="18"/>
        </w:rPr>
      </w:pPr>
      <w:r>
        <w:rPr>
          <w:kern w:val="21"/>
          <w:sz w:val="18"/>
          <w:szCs w:val="18"/>
        </w:rPr>
        <w:t>1—底座    2—工作台</w:t>
      </w:r>
      <w:r>
        <w:rPr>
          <w:sz w:val="18"/>
          <w:szCs w:val="18"/>
        </w:rPr>
        <w:t xml:space="preserve">   3—触针  4—基准导轨</w:t>
      </w:r>
    </w:p>
    <w:p w14:paraId="66879908">
      <w:pPr>
        <w:ind w:firstLine="360"/>
        <w:jc w:val="center"/>
        <w:rPr>
          <w:sz w:val="18"/>
          <w:szCs w:val="18"/>
        </w:rPr>
      </w:pPr>
      <w:r>
        <w:rPr>
          <w:sz w:val="18"/>
          <w:szCs w:val="18"/>
        </w:rPr>
        <w:t>5—立柱   6—驱动箱  7—传感器  8—计算机系统</w:t>
      </w:r>
    </w:p>
    <w:bookmarkEnd w:id="33"/>
    <w:p w14:paraId="1F283901">
      <w:pPr>
        <w:autoSpaceDE w:val="0"/>
        <w:autoSpaceDN w:val="0"/>
        <w:adjustRightInd w:val="0"/>
        <w:spacing w:line="400" w:lineRule="exact"/>
        <w:ind w:firstLine="420" w:firstLineChars="200"/>
        <w:rPr>
          <w:rFonts w:eastAsiaTheme="minorEastAsia"/>
          <w:color w:val="FF0000"/>
          <w:kern w:val="0"/>
          <w:szCs w:val="21"/>
        </w:rPr>
      </w:pPr>
    </w:p>
    <w:p w14:paraId="7FD26B81">
      <w:pPr>
        <w:pStyle w:val="4"/>
        <w:spacing w:before="156" w:after="156"/>
        <w:rPr>
          <w:b w:val="0"/>
          <w:bCs w:val="0"/>
        </w:rPr>
      </w:pPr>
      <w:bookmarkStart w:id="34" w:name="_Toc193619098"/>
      <w:bookmarkStart w:id="35" w:name="_Toc19851_WPSOffice_Level1"/>
      <w:bookmarkStart w:id="36" w:name="_Toc193860031"/>
      <w:bookmarkStart w:id="37" w:name="_Toc193860181"/>
      <w:bookmarkStart w:id="38" w:name="_Toc193860212"/>
      <w:bookmarkStart w:id="39" w:name="_Toc500258938"/>
      <w:bookmarkStart w:id="40" w:name="_Toc193618953"/>
      <w:bookmarkStart w:id="41" w:name="_Toc193619056"/>
      <w:r>
        <w:rPr>
          <w:rFonts w:hint="eastAsia"/>
          <w:b w:val="0"/>
          <w:bCs w:val="0"/>
        </w:rPr>
        <w:t>4计量特性</w:t>
      </w:r>
      <w:bookmarkEnd w:id="34"/>
      <w:bookmarkEnd w:id="35"/>
      <w:bookmarkEnd w:id="36"/>
      <w:bookmarkEnd w:id="37"/>
      <w:bookmarkEnd w:id="38"/>
      <w:bookmarkEnd w:id="39"/>
      <w:bookmarkEnd w:id="40"/>
      <w:bookmarkEnd w:id="41"/>
      <w:bookmarkStart w:id="42" w:name="_Toc25829_WPSOffice_Level1"/>
      <w:r>
        <w:rPr>
          <w:rFonts w:hint="eastAsia"/>
          <w:b w:val="0"/>
          <w:bCs w:val="0"/>
          <w:color w:val="0000FF"/>
        </w:rPr>
        <w:t>（重点内容应详细说明特性数值来源）</w:t>
      </w:r>
    </w:p>
    <w:p w14:paraId="547B5B2A">
      <w:pPr>
        <w:spacing w:line="400" w:lineRule="exact"/>
        <w:ind w:firstLine="420" w:firstLineChars="200"/>
      </w:pPr>
      <w:r>
        <w:rPr>
          <w:rFonts w:hint="eastAsia" w:cstheme="majorBidi"/>
          <w:kern w:val="44"/>
        </w:rPr>
        <w:t>根据实际使用情况，并于XX\XX等单位沟通，确定了</w:t>
      </w:r>
      <w:r>
        <w:rPr>
          <w:rFonts w:hint="eastAsia"/>
        </w:rPr>
        <w:t>XXX的计量特性有两个：</w:t>
      </w:r>
    </w:p>
    <w:p w14:paraId="20190794">
      <w:pPr>
        <w:pStyle w:val="302"/>
        <w:numPr>
          <w:ilvl w:val="1"/>
          <w:numId w:val="13"/>
        </w:numPr>
        <w:spacing w:line="360" w:lineRule="auto"/>
        <w:ind w:left="0" w:firstLine="0" w:firstLineChars="0"/>
        <w:rPr>
          <w:kern w:val="21"/>
          <w:szCs w:val="21"/>
        </w:rPr>
      </w:pPr>
      <w:r>
        <w:rPr>
          <w:rFonts w:hint="eastAsia"/>
          <w:kern w:val="21"/>
          <w:szCs w:val="21"/>
        </w:rPr>
        <w:t>各部分部件相互作用：轮廓仪各活动部件运动应平稳、灵活，无卡滞、跳动和爬行等现象；紧固部件作用有效、可靠；可调部分满足测量要求。</w:t>
      </w:r>
    </w:p>
    <w:p w14:paraId="28573485">
      <w:pPr>
        <w:pStyle w:val="302"/>
        <w:numPr>
          <w:ilvl w:val="1"/>
          <w:numId w:val="13"/>
        </w:numPr>
        <w:spacing w:line="360" w:lineRule="auto"/>
        <w:ind w:left="0" w:firstLine="0" w:firstLineChars="0"/>
        <w:rPr>
          <w:kern w:val="21"/>
          <w:szCs w:val="21"/>
        </w:rPr>
      </w:pPr>
      <w:r>
        <w:rPr>
          <w:rFonts w:hint="eastAsia"/>
          <w:kern w:val="21"/>
          <w:szCs w:val="21"/>
        </w:rPr>
        <w:t>静态测量力。</w:t>
      </w:r>
    </w:p>
    <w:p w14:paraId="792DC893">
      <w:pPr>
        <w:pStyle w:val="302"/>
        <w:numPr>
          <w:ilvl w:val="1"/>
          <w:numId w:val="13"/>
        </w:numPr>
        <w:spacing w:line="360" w:lineRule="auto"/>
        <w:ind w:left="0" w:firstLine="0" w:firstLineChars="0"/>
        <w:rPr>
          <w:kern w:val="21"/>
          <w:szCs w:val="21"/>
        </w:rPr>
      </w:pPr>
      <w:r>
        <w:rPr>
          <w:rFonts w:hint="eastAsia"/>
          <w:kern w:val="21"/>
          <w:szCs w:val="21"/>
        </w:rPr>
        <w:t>基准导轨直线度。</w:t>
      </w:r>
    </w:p>
    <w:p w14:paraId="22075F4C">
      <w:pPr>
        <w:pStyle w:val="302"/>
        <w:numPr>
          <w:ilvl w:val="1"/>
          <w:numId w:val="13"/>
        </w:numPr>
        <w:spacing w:line="360" w:lineRule="auto"/>
        <w:ind w:left="0" w:firstLine="0" w:firstLineChars="0"/>
        <w:rPr>
          <w:kern w:val="21"/>
          <w:szCs w:val="21"/>
        </w:rPr>
      </w:pPr>
      <w:r>
        <w:rPr>
          <w:rFonts w:hint="eastAsia"/>
          <w:kern w:val="21"/>
          <w:szCs w:val="21"/>
        </w:rPr>
        <w:t>轮廓垂直分量（Z轴）示值误差。</w:t>
      </w:r>
    </w:p>
    <w:p w14:paraId="721B078F">
      <w:pPr>
        <w:pStyle w:val="302"/>
        <w:numPr>
          <w:ilvl w:val="1"/>
          <w:numId w:val="13"/>
        </w:numPr>
        <w:spacing w:line="360" w:lineRule="auto"/>
        <w:ind w:left="0" w:firstLine="0" w:firstLineChars="0"/>
        <w:rPr>
          <w:kern w:val="21"/>
          <w:szCs w:val="21"/>
        </w:rPr>
      </w:pPr>
      <w:r>
        <w:rPr>
          <w:rFonts w:hint="eastAsia"/>
          <w:kern w:val="21"/>
          <w:szCs w:val="21"/>
        </w:rPr>
        <w:t>轮廓水平分量（X轴）示值误差。</w:t>
      </w:r>
    </w:p>
    <w:p w14:paraId="2C473E6E">
      <w:pPr>
        <w:pStyle w:val="302"/>
        <w:numPr>
          <w:ilvl w:val="1"/>
          <w:numId w:val="13"/>
        </w:numPr>
        <w:spacing w:line="360" w:lineRule="auto"/>
        <w:ind w:left="0" w:firstLine="0" w:firstLineChars="0"/>
        <w:rPr>
          <w:kern w:val="21"/>
          <w:szCs w:val="21"/>
        </w:rPr>
      </w:pPr>
      <w:r>
        <w:rPr>
          <w:rFonts w:hint="eastAsia"/>
          <w:kern w:val="21"/>
          <w:szCs w:val="21"/>
        </w:rPr>
        <w:t>半径测量示值误差。</w:t>
      </w:r>
    </w:p>
    <w:p w14:paraId="54E8602D">
      <w:pPr>
        <w:pStyle w:val="302"/>
        <w:numPr>
          <w:ilvl w:val="1"/>
          <w:numId w:val="13"/>
        </w:numPr>
        <w:spacing w:line="360" w:lineRule="auto"/>
        <w:ind w:left="0" w:firstLine="0" w:firstLineChars="0"/>
        <w:rPr>
          <w:kern w:val="21"/>
          <w:szCs w:val="21"/>
        </w:rPr>
      </w:pPr>
      <w:r>
        <w:rPr>
          <w:rFonts w:hint="eastAsia"/>
          <w:kern w:val="21"/>
          <w:szCs w:val="21"/>
        </w:rPr>
        <w:t>半径测量重复性。</w:t>
      </w:r>
    </w:p>
    <w:p w14:paraId="4134E72B">
      <w:pPr>
        <w:pStyle w:val="302"/>
        <w:numPr>
          <w:ilvl w:val="1"/>
          <w:numId w:val="13"/>
        </w:numPr>
        <w:spacing w:line="360" w:lineRule="auto"/>
        <w:ind w:left="0" w:firstLine="0" w:firstLineChars="0"/>
        <w:rPr>
          <w:kern w:val="21"/>
          <w:szCs w:val="21"/>
        </w:rPr>
      </w:pPr>
      <w:r>
        <w:rPr>
          <w:rFonts w:hint="eastAsia"/>
          <w:kern w:val="21"/>
          <w:szCs w:val="21"/>
        </w:rPr>
        <w:t>角度测量示值误差。</w:t>
      </w:r>
    </w:p>
    <w:p w14:paraId="6C575B65">
      <w:pPr>
        <w:pStyle w:val="302"/>
        <w:numPr>
          <w:ilvl w:val="1"/>
          <w:numId w:val="13"/>
        </w:numPr>
        <w:spacing w:line="360" w:lineRule="auto"/>
        <w:ind w:left="0" w:firstLine="0" w:firstLineChars="0"/>
        <w:rPr>
          <w:kern w:val="21"/>
          <w:szCs w:val="21"/>
        </w:rPr>
      </w:pPr>
      <w:r>
        <w:rPr>
          <w:rFonts w:hint="eastAsia"/>
          <w:kern w:val="21"/>
          <w:szCs w:val="21"/>
        </w:rPr>
        <w:t>角度测量重复性。</w:t>
      </w:r>
    </w:p>
    <w:p w14:paraId="70905C03">
      <w:pPr>
        <w:pStyle w:val="302"/>
        <w:spacing w:line="360" w:lineRule="auto"/>
        <w:rPr>
          <w:rFonts w:hint="eastAsia"/>
          <w:kern w:val="21"/>
          <w:szCs w:val="21"/>
        </w:rPr>
      </w:pPr>
      <w:r>
        <w:rPr>
          <w:rFonts w:hint="eastAsia"/>
          <w:kern w:val="21"/>
          <w:szCs w:val="21"/>
        </w:rPr>
        <w:t>以上计量特性的最大允许误差：</w:t>
      </w:r>
    </w:p>
    <w:p w14:paraId="7428162F">
      <w:pPr>
        <w:pStyle w:val="302"/>
        <w:spacing w:line="360" w:lineRule="auto"/>
        <w:rPr>
          <w:rFonts w:hint="eastAsia"/>
          <w:kern w:val="21"/>
          <w:szCs w:val="21"/>
        </w:rPr>
      </w:pPr>
      <w:r>
        <w:rPr>
          <w:rFonts w:hint="eastAsia"/>
          <w:kern w:val="21"/>
          <w:szCs w:val="21"/>
        </w:rPr>
        <w:t>——校准时，由用户规定；验收检验时，按照合同规定。</w:t>
      </w:r>
    </w:p>
    <w:p w14:paraId="12DBABC6">
      <w:pPr>
        <w:pStyle w:val="4"/>
        <w:spacing w:before="156" w:after="156"/>
        <w:rPr>
          <w:b w:val="0"/>
          <w:bCs w:val="0"/>
        </w:rPr>
      </w:pPr>
      <w:r>
        <w:rPr>
          <w:rFonts w:hint="eastAsia"/>
          <w:b w:val="0"/>
          <w:bCs w:val="0"/>
        </w:rPr>
        <w:t>5 校准条件</w:t>
      </w:r>
      <w:bookmarkEnd w:id="42"/>
      <w:bookmarkStart w:id="43" w:name="_Toc193860214"/>
      <w:bookmarkStart w:id="44" w:name="_Toc500258942"/>
      <w:bookmarkStart w:id="45" w:name="_Toc193860033"/>
      <w:bookmarkStart w:id="46" w:name="_Toc193860183"/>
    </w:p>
    <w:p w14:paraId="1F3D8D7E">
      <w:pPr>
        <w:spacing w:line="400" w:lineRule="exact"/>
        <w:rPr>
          <w:rFonts w:cstheme="majorBidi"/>
          <w:kern w:val="44"/>
        </w:rPr>
      </w:pPr>
      <w:bookmarkStart w:id="47" w:name="_Toc161838411"/>
      <w:bookmarkStart w:id="48" w:name="_Toc533963948"/>
      <w:r>
        <w:rPr>
          <w:rFonts w:cstheme="majorBidi"/>
          <w:kern w:val="44"/>
        </w:rPr>
        <w:t>5.1 环境条件</w:t>
      </w:r>
      <w:bookmarkEnd w:id="47"/>
      <w:bookmarkEnd w:id="48"/>
    </w:p>
    <w:p w14:paraId="7C9F2266">
      <w:pPr>
        <w:spacing w:line="360" w:lineRule="auto"/>
        <w:ind w:firstLine="420" w:firstLineChars="200"/>
      </w:pPr>
      <w:r>
        <w:rPr>
          <w:rFonts w:hint="eastAsia"/>
        </w:rPr>
        <w:t>校准室内温度应在（20±3）℃范围内，相对湿度不超过65%。</w:t>
      </w:r>
    </w:p>
    <w:p w14:paraId="69B95459">
      <w:pPr>
        <w:spacing w:line="360" w:lineRule="auto"/>
        <w:ind w:firstLine="420" w:firstLineChars="200"/>
      </w:pPr>
      <w:r>
        <w:rPr>
          <w:rFonts w:hint="eastAsia"/>
        </w:rPr>
        <w:t>校准室内应无影响测量的灰尘、振动、气流、腐蚀性气体和较强磁场。</w:t>
      </w:r>
    </w:p>
    <w:p w14:paraId="5AE6052E">
      <w:pPr>
        <w:spacing w:line="360" w:lineRule="auto"/>
        <w:ind w:firstLine="420" w:firstLineChars="200"/>
      </w:pPr>
      <w:r>
        <w:rPr>
          <w:rFonts w:hint="eastAsia"/>
        </w:rPr>
        <w:t>被校仪器及校准用测量标准及其他设备在室内连续平衡温度的时间不少于1h。</w:t>
      </w:r>
    </w:p>
    <w:p w14:paraId="72E3AE43">
      <w:pPr>
        <w:spacing w:line="400" w:lineRule="exact"/>
        <w:rPr>
          <w:rFonts w:cstheme="majorBidi"/>
          <w:kern w:val="44"/>
        </w:rPr>
      </w:pPr>
      <w:bookmarkStart w:id="49" w:name="_Toc533963949"/>
      <w:bookmarkStart w:id="50" w:name="_Toc161838412"/>
      <w:r>
        <w:rPr>
          <w:rFonts w:cstheme="majorBidi"/>
          <w:kern w:val="44"/>
        </w:rPr>
        <w:t>5.2</w:t>
      </w:r>
      <w:bookmarkEnd w:id="49"/>
      <w:r>
        <w:rPr>
          <w:rFonts w:cstheme="majorBidi"/>
          <w:kern w:val="44"/>
        </w:rPr>
        <w:t xml:space="preserve"> 测量标准</w:t>
      </w:r>
      <w:bookmarkEnd w:id="50"/>
    </w:p>
    <w:p w14:paraId="3CEE98BF">
      <w:pPr>
        <w:spacing w:line="324" w:lineRule="auto"/>
        <w:ind w:firstLine="420" w:firstLineChars="200"/>
        <w:outlineLvl w:val="1"/>
        <w:rPr>
          <w:kern w:val="0"/>
        </w:rPr>
      </w:pPr>
      <w:r>
        <w:rPr>
          <w:bCs/>
          <w:color w:val="000000" w:themeColor="text1"/>
          <w14:textFill>
            <w14:solidFill>
              <w14:schemeClr w14:val="tx1"/>
            </w14:solidFill>
          </w14:textFill>
        </w:rPr>
        <w:t>测量标准的技术要求应符合</w:t>
      </w:r>
      <w:r>
        <w:rPr>
          <w:rFonts w:hint="eastAsia"/>
          <w:bCs/>
          <w:color w:val="000000" w:themeColor="text1"/>
          <w14:textFill>
            <w14:solidFill>
              <w14:schemeClr w14:val="tx1"/>
            </w14:solidFill>
          </w14:textFill>
        </w:rPr>
        <w:t>正文中</w:t>
      </w:r>
      <w:r>
        <w:rPr>
          <w:bCs/>
          <w:color w:val="000000" w:themeColor="text1"/>
          <w14:textFill>
            <w14:solidFill>
              <w14:schemeClr w14:val="tx1"/>
            </w14:solidFill>
          </w14:textFill>
        </w:rPr>
        <w:t>表1的规定</w:t>
      </w:r>
      <w:r>
        <w:rPr>
          <w:kern w:val="0"/>
        </w:rPr>
        <w:t>。</w:t>
      </w:r>
    </w:p>
    <w:p w14:paraId="67869B04">
      <w:pPr>
        <w:ind w:firstLine="480"/>
        <w:jc w:val="center"/>
        <w:rPr>
          <w:rFonts w:eastAsia="黑体" w:cs="黑体"/>
          <w:szCs w:val="21"/>
        </w:rPr>
      </w:pPr>
      <w:bookmarkStart w:id="51" w:name="_Toc13515"/>
      <w:r>
        <w:rPr>
          <w:rFonts w:hint="eastAsia" w:eastAsia="黑体" w:cs="黑体"/>
          <w:szCs w:val="21"/>
        </w:rPr>
        <w:t>表1 校准项目和测量标准</w:t>
      </w:r>
      <w:bookmarkEnd w:id="51"/>
    </w:p>
    <w:tbl>
      <w:tblPr>
        <w:tblStyle w:val="41"/>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402"/>
        <w:gridCol w:w="4262"/>
      </w:tblGrid>
      <w:tr w14:paraId="00FF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0" w:type="dxa"/>
            <w:vAlign w:val="center"/>
          </w:tcPr>
          <w:p w14:paraId="02ACFE41">
            <w:pPr>
              <w:jc w:val="center"/>
              <w:rPr>
                <w:szCs w:val="21"/>
              </w:rPr>
            </w:pPr>
            <w:r>
              <w:rPr>
                <w:szCs w:val="21"/>
              </w:rPr>
              <w:t>序号</w:t>
            </w:r>
          </w:p>
        </w:tc>
        <w:tc>
          <w:tcPr>
            <w:tcW w:w="3402" w:type="dxa"/>
            <w:vAlign w:val="center"/>
          </w:tcPr>
          <w:p w14:paraId="6282DABF">
            <w:pPr>
              <w:jc w:val="center"/>
              <w:rPr>
                <w:szCs w:val="21"/>
              </w:rPr>
            </w:pPr>
            <w:r>
              <w:rPr>
                <w:szCs w:val="21"/>
              </w:rPr>
              <w:t>校准项目</w:t>
            </w:r>
          </w:p>
        </w:tc>
        <w:tc>
          <w:tcPr>
            <w:tcW w:w="4262" w:type="dxa"/>
            <w:vAlign w:val="center"/>
          </w:tcPr>
          <w:p w14:paraId="1FD07F58">
            <w:pPr>
              <w:jc w:val="center"/>
              <w:rPr>
                <w:szCs w:val="21"/>
              </w:rPr>
            </w:pPr>
            <w:r>
              <w:rPr>
                <w:szCs w:val="21"/>
              </w:rPr>
              <w:t>标准器要求</w:t>
            </w:r>
          </w:p>
        </w:tc>
      </w:tr>
      <w:tr w14:paraId="23B4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17B637A9">
            <w:pPr>
              <w:jc w:val="center"/>
              <w:rPr>
                <w:szCs w:val="21"/>
              </w:rPr>
            </w:pPr>
            <w:r>
              <w:rPr>
                <w:szCs w:val="21"/>
              </w:rPr>
              <w:t>1</w:t>
            </w:r>
          </w:p>
        </w:tc>
        <w:tc>
          <w:tcPr>
            <w:tcW w:w="3402" w:type="dxa"/>
            <w:vAlign w:val="center"/>
          </w:tcPr>
          <w:p w14:paraId="15B99B41">
            <w:pPr>
              <w:jc w:val="center"/>
              <w:rPr>
                <w:szCs w:val="21"/>
              </w:rPr>
            </w:pPr>
            <w:r>
              <w:rPr>
                <w:szCs w:val="21"/>
              </w:rPr>
              <w:t>静态测量力</w:t>
            </w:r>
          </w:p>
        </w:tc>
        <w:tc>
          <w:tcPr>
            <w:tcW w:w="4262" w:type="dxa"/>
            <w:vAlign w:val="center"/>
          </w:tcPr>
          <w:p w14:paraId="1D84814B">
            <w:pPr>
              <w:jc w:val="center"/>
              <w:rPr>
                <w:szCs w:val="21"/>
              </w:rPr>
            </w:pPr>
            <w:r>
              <w:rPr>
                <w:szCs w:val="21"/>
              </w:rPr>
              <w:t>分辨力</w:t>
            </w:r>
            <w:r>
              <w:rPr>
                <w:rFonts w:hint="eastAsia"/>
                <w:szCs w:val="21"/>
              </w:rPr>
              <w:t>0.01g电子天平</w:t>
            </w:r>
          </w:p>
        </w:tc>
      </w:tr>
      <w:tr w14:paraId="15C1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1A12FB91">
            <w:pPr>
              <w:jc w:val="center"/>
              <w:rPr>
                <w:szCs w:val="21"/>
              </w:rPr>
            </w:pPr>
            <w:r>
              <w:rPr>
                <w:szCs w:val="21"/>
              </w:rPr>
              <w:t>2</w:t>
            </w:r>
          </w:p>
        </w:tc>
        <w:tc>
          <w:tcPr>
            <w:tcW w:w="3402" w:type="dxa"/>
            <w:vAlign w:val="center"/>
          </w:tcPr>
          <w:p w14:paraId="59D5ACF7">
            <w:pPr>
              <w:jc w:val="center"/>
              <w:rPr>
                <w:szCs w:val="21"/>
              </w:rPr>
            </w:pPr>
            <w:r>
              <w:rPr>
                <w:szCs w:val="21"/>
              </w:rPr>
              <w:t>基准导轨直线度</w:t>
            </w:r>
          </w:p>
        </w:tc>
        <w:tc>
          <w:tcPr>
            <w:tcW w:w="4262" w:type="dxa"/>
            <w:vAlign w:val="center"/>
          </w:tcPr>
          <w:p w14:paraId="398D88D4">
            <w:pPr>
              <w:jc w:val="center"/>
              <w:rPr>
                <w:szCs w:val="21"/>
              </w:rPr>
            </w:pPr>
            <w:r>
              <w:rPr>
                <w:rFonts w:hint="eastAsia"/>
                <w:szCs w:val="21"/>
              </w:rPr>
              <w:t>1级平面平晶</w:t>
            </w:r>
          </w:p>
        </w:tc>
      </w:tr>
      <w:tr w14:paraId="3873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17FABB97">
            <w:pPr>
              <w:jc w:val="center"/>
              <w:rPr>
                <w:szCs w:val="21"/>
              </w:rPr>
            </w:pPr>
            <w:r>
              <w:rPr>
                <w:rFonts w:hint="eastAsia"/>
                <w:szCs w:val="21"/>
              </w:rPr>
              <w:t>3</w:t>
            </w:r>
          </w:p>
        </w:tc>
        <w:tc>
          <w:tcPr>
            <w:tcW w:w="3402" w:type="dxa"/>
            <w:vAlign w:val="center"/>
          </w:tcPr>
          <w:p w14:paraId="0B5A52DE">
            <w:pPr>
              <w:jc w:val="center"/>
              <w:rPr>
                <w:szCs w:val="21"/>
              </w:rPr>
            </w:pPr>
            <w:r>
              <w:rPr>
                <w:szCs w:val="21"/>
              </w:rPr>
              <w:t>轮廓垂直分量</w:t>
            </w:r>
            <w:r>
              <w:rPr>
                <w:rFonts w:hint="eastAsia"/>
                <w:szCs w:val="21"/>
              </w:rPr>
              <w:t>（Z轴）示值误差</w:t>
            </w:r>
          </w:p>
        </w:tc>
        <w:tc>
          <w:tcPr>
            <w:tcW w:w="4262" w:type="dxa"/>
            <w:vAlign w:val="center"/>
          </w:tcPr>
          <w:p w14:paraId="58A379A7">
            <w:pPr>
              <w:jc w:val="center"/>
              <w:rPr>
                <w:szCs w:val="21"/>
              </w:rPr>
            </w:pPr>
            <w:r>
              <w:rPr>
                <w:rFonts w:hint="eastAsia"/>
                <w:szCs w:val="21"/>
              </w:rPr>
              <w:t>4等量块，2级平面平晶</w:t>
            </w:r>
          </w:p>
        </w:tc>
      </w:tr>
      <w:tr w14:paraId="7168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2CAEAB4A">
            <w:pPr>
              <w:jc w:val="center"/>
              <w:rPr>
                <w:szCs w:val="21"/>
              </w:rPr>
            </w:pPr>
            <w:r>
              <w:rPr>
                <w:rFonts w:hint="eastAsia"/>
                <w:szCs w:val="21"/>
              </w:rPr>
              <w:t>4</w:t>
            </w:r>
          </w:p>
        </w:tc>
        <w:tc>
          <w:tcPr>
            <w:tcW w:w="3402" w:type="dxa"/>
            <w:vAlign w:val="center"/>
          </w:tcPr>
          <w:p w14:paraId="3CEB17B7">
            <w:pPr>
              <w:jc w:val="center"/>
              <w:rPr>
                <w:szCs w:val="21"/>
              </w:rPr>
            </w:pPr>
            <w:r>
              <w:rPr>
                <w:szCs w:val="21"/>
              </w:rPr>
              <w:t>轮廓水平分量</w:t>
            </w:r>
            <w:r>
              <w:rPr>
                <w:rFonts w:hint="eastAsia"/>
                <w:szCs w:val="21"/>
              </w:rPr>
              <w:t>（X轴）示值误差</w:t>
            </w:r>
          </w:p>
        </w:tc>
        <w:tc>
          <w:tcPr>
            <w:tcW w:w="4262" w:type="dxa"/>
            <w:vAlign w:val="center"/>
          </w:tcPr>
          <w:p w14:paraId="4A8AD890">
            <w:pPr>
              <w:jc w:val="center"/>
              <w:rPr>
                <w:szCs w:val="21"/>
              </w:rPr>
            </w:pPr>
            <w:r>
              <w:rPr>
                <w:szCs w:val="21"/>
              </w:rPr>
              <w:t>激光干涉仪</w:t>
            </w:r>
            <w:r>
              <w:rPr>
                <w:rFonts w:hint="eastAsia"/>
                <w:szCs w:val="21"/>
              </w:rPr>
              <w:t>，</w:t>
            </w:r>
            <w:r>
              <w:rPr>
                <w:szCs w:val="21"/>
              </w:rPr>
              <w:t>MPE</w:t>
            </w:r>
            <w:r>
              <w:rPr>
                <w:rFonts w:hint="eastAsia"/>
                <w:szCs w:val="21"/>
              </w:rPr>
              <w:t>：</w:t>
            </w:r>
            <w:r>
              <w:rPr>
                <w:szCs w:val="21"/>
              </w:rPr>
              <w:t>±</w:t>
            </w:r>
            <w:r>
              <w:rPr>
                <w:rFonts w:hint="eastAsia"/>
                <w:szCs w:val="21"/>
              </w:rPr>
              <w:t>（0.03+1.5</w:t>
            </w:r>
            <w:r>
              <w:rPr>
                <w:rFonts w:hint="eastAsia"/>
                <w:i/>
                <w:szCs w:val="21"/>
              </w:rPr>
              <w:t>L</w:t>
            </w:r>
            <w:r>
              <w:rPr>
                <w:rFonts w:hint="eastAsia"/>
                <w:szCs w:val="21"/>
              </w:rPr>
              <w:t>）</w:t>
            </w:r>
            <w:r>
              <w:rPr>
                <w:szCs w:val="21"/>
              </w:rPr>
              <w:t>μm</w:t>
            </w:r>
          </w:p>
        </w:tc>
      </w:tr>
      <w:tr w14:paraId="619B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47888636">
            <w:pPr>
              <w:jc w:val="center"/>
              <w:rPr>
                <w:szCs w:val="21"/>
              </w:rPr>
            </w:pPr>
            <w:r>
              <w:rPr>
                <w:rFonts w:hint="eastAsia"/>
                <w:szCs w:val="21"/>
              </w:rPr>
              <w:t>5</w:t>
            </w:r>
          </w:p>
        </w:tc>
        <w:tc>
          <w:tcPr>
            <w:tcW w:w="3402" w:type="dxa"/>
            <w:vAlign w:val="center"/>
          </w:tcPr>
          <w:p w14:paraId="3F40E1A5">
            <w:pPr>
              <w:jc w:val="center"/>
              <w:rPr>
                <w:szCs w:val="21"/>
              </w:rPr>
            </w:pPr>
            <w:r>
              <w:rPr>
                <w:szCs w:val="21"/>
              </w:rPr>
              <w:t>半径测量示值误差</w:t>
            </w:r>
          </w:p>
        </w:tc>
        <w:tc>
          <w:tcPr>
            <w:tcW w:w="4262" w:type="dxa"/>
            <w:vMerge w:val="restart"/>
            <w:vAlign w:val="center"/>
          </w:tcPr>
          <w:p w14:paraId="70317441">
            <w:pPr>
              <w:jc w:val="center"/>
              <w:rPr>
                <w:szCs w:val="21"/>
              </w:rPr>
            </w:pPr>
            <w:r>
              <w:rPr>
                <w:szCs w:val="21"/>
              </w:rPr>
              <w:t>半径和形状经校准的标准球或标准半球</w:t>
            </w:r>
            <w:r>
              <w:rPr>
                <w:rFonts w:hint="eastAsia"/>
                <w:szCs w:val="21"/>
              </w:rPr>
              <w:t>（</w:t>
            </w:r>
            <w:r>
              <w:rPr>
                <w:rFonts w:hint="eastAsia"/>
                <w:i/>
                <w:szCs w:val="21"/>
              </w:rPr>
              <w:t>R</w:t>
            </w:r>
            <w:r>
              <w:rPr>
                <w:rFonts w:hint="eastAsia"/>
                <w:szCs w:val="21"/>
              </w:rPr>
              <w:t>10mm~</w:t>
            </w:r>
            <w:r>
              <w:rPr>
                <w:rFonts w:hint="eastAsia"/>
                <w:i/>
                <w:szCs w:val="21"/>
              </w:rPr>
              <w:t>R</w:t>
            </w:r>
            <w:r>
              <w:rPr>
                <w:rFonts w:hint="eastAsia"/>
                <w:szCs w:val="21"/>
              </w:rPr>
              <w:t>20mm和</w:t>
            </w:r>
            <w:r>
              <w:rPr>
                <w:rFonts w:hint="eastAsia"/>
                <w:i/>
                <w:szCs w:val="21"/>
              </w:rPr>
              <w:t>R</w:t>
            </w:r>
            <w:r>
              <w:rPr>
                <w:rFonts w:hint="eastAsia"/>
                <w:szCs w:val="21"/>
              </w:rPr>
              <w:t>70mm~</w:t>
            </w:r>
            <w:r>
              <w:rPr>
                <w:rFonts w:hint="eastAsia"/>
                <w:i/>
                <w:szCs w:val="21"/>
              </w:rPr>
              <w:t>R</w:t>
            </w:r>
            <w:r>
              <w:rPr>
                <w:rFonts w:hint="eastAsia"/>
                <w:szCs w:val="21"/>
              </w:rPr>
              <w:t>90mm各一个）</w:t>
            </w:r>
          </w:p>
        </w:tc>
      </w:tr>
      <w:tr w14:paraId="6557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5C158C77">
            <w:pPr>
              <w:jc w:val="center"/>
              <w:rPr>
                <w:szCs w:val="21"/>
              </w:rPr>
            </w:pPr>
            <w:r>
              <w:rPr>
                <w:rFonts w:hint="eastAsia"/>
                <w:szCs w:val="21"/>
              </w:rPr>
              <w:t>6</w:t>
            </w:r>
          </w:p>
        </w:tc>
        <w:tc>
          <w:tcPr>
            <w:tcW w:w="3402" w:type="dxa"/>
            <w:vAlign w:val="center"/>
          </w:tcPr>
          <w:p w14:paraId="382CB3EF">
            <w:pPr>
              <w:jc w:val="center"/>
              <w:rPr>
                <w:szCs w:val="21"/>
              </w:rPr>
            </w:pPr>
            <w:r>
              <w:rPr>
                <w:szCs w:val="21"/>
              </w:rPr>
              <w:t>半径测量重复性</w:t>
            </w:r>
          </w:p>
        </w:tc>
        <w:tc>
          <w:tcPr>
            <w:tcW w:w="4262" w:type="dxa"/>
            <w:vMerge w:val="continue"/>
            <w:vAlign w:val="center"/>
          </w:tcPr>
          <w:p w14:paraId="3BB4A7F8">
            <w:pPr>
              <w:jc w:val="center"/>
              <w:rPr>
                <w:szCs w:val="21"/>
              </w:rPr>
            </w:pPr>
          </w:p>
        </w:tc>
      </w:tr>
      <w:tr w14:paraId="4C34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4DEAE4E0">
            <w:pPr>
              <w:jc w:val="center"/>
              <w:rPr>
                <w:szCs w:val="21"/>
              </w:rPr>
            </w:pPr>
            <w:r>
              <w:rPr>
                <w:rFonts w:hint="eastAsia"/>
                <w:szCs w:val="21"/>
              </w:rPr>
              <w:t>7</w:t>
            </w:r>
          </w:p>
        </w:tc>
        <w:tc>
          <w:tcPr>
            <w:tcW w:w="3402" w:type="dxa"/>
            <w:vAlign w:val="center"/>
          </w:tcPr>
          <w:p w14:paraId="56B3B154">
            <w:pPr>
              <w:jc w:val="center"/>
              <w:rPr>
                <w:szCs w:val="21"/>
              </w:rPr>
            </w:pPr>
            <w:r>
              <w:rPr>
                <w:szCs w:val="21"/>
              </w:rPr>
              <w:t>角度测量示值误差</w:t>
            </w:r>
          </w:p>
        </w:tc>
        <w:tc>
          <w:tcPr>
            <w:tcW w:w="4262" w:type="dxa"/>
            <w:vMerge w:val="restart"/>
            <w:vAlign w:val="center"/>
          </w:tcPr>
          <w:p w14:paraId="092ACD2B">
            <w:pPr>
              <w:jc w:val="center"/>
              <w:rPr>
                <w:szCs w:val="21"/>
              </w:rPr>
            </w:pPr>
            <w:r>
              <w:rPr>
                <w:szCs w:val="21"/>
              </w:rPr>
              <w:t>四等棱体</w:t>
            </w:r>
          </w:p>
        </w:tc>
      </w:tr>
      <w:tr w14:paraId="7AEF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69E1D0AC">
            <w:pPr>
              <w:jc w:val="center"/>
              <w:rPr>
                <w:szCs w:val="21"/>
              </w:rPr>
            </w:pPr>
            <w:r>
              <w:rPr>
                <w:rFonts w:hint="eastAsia"/>
                <w:szCs w:val="21"/>
              </w:rPr>
              <w:t>8</w:t>
            </w:r>
          </w:p>
        </w:tc>
        <w:tc>
          <w:tcPr>
            <w:tcW w:w="3402" w:type="dxa"/>
            <w:vAlign w:val="center"/>
          </w:tcPr>
          <w:p w14:paraId="26224FE6">
            <w:pPr>
              <w:spacing w:before="156" w:beforeLines="50"/>
              <w:jc w:val="center"/>
              <w:rPr>
                <w:szCs w:val="21"/>
              </w:rPr>
            </w:pPr>
            <w:r>
              <w:rPr>
                <w:szCs w:val="21"/>
              </w:rPr>
              <w:t>角度测量重复性</w:t>
            </w:r>
          </w:p>
        </w:tc>
        <w:tc>
          <w:tcPr>
            <w:tcW w:w="4262" w:type="dxa"/>
            <w:vMerge w:val="continue"/>
            <w:vAlign w:val="center"/>
          </w:tcPr>
          <w:p w14:paraId="020EF5E1">
            <w:pPr>
              <w:jc w:val="center"/>
              <w:rPr>
                <w:szCs w:val="21"/>
              </w:rPr>
            </w:pPr>
          </w:p>
        </w:tc>
      </w:tr>
      <w:tr w14:paraId="0B3F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44" w:type="dxa"/>
            <w:gridSpan w:val="3"/>
            <w:vAlign w:val="center"/>
          </w:tcPr>
          <w:p w14:paraId="3D6F2DC9">
            <w:pPr>
              <w:jc w:val="center"/>
              <w:rPr>
                <w:szCs w:val="21"/>
              </w:rPr>
            </w:pPr>
            <w:r>
              <w:rPr>
                <w:rFonts w:hint="eastAsia"/>
                <w:szCs w:val="21"/>
              </w:rPr>
              <w:t>注：也可采用满足测量准确度要求的其他测量标准及其他设备进行校准</w:t>
            </w:r>
          </w:p>
        </w:tc>
      </w:tr>
    </w:tbl>
    <w:p w14:paraId="6FF080D5">
      <w:pPr>
        <w:spacing w:line="324" w:lineRule="auto"/>
        <w:ind w:firstLine="420" w:firstLineChars="200"/>
        <w:outlineLvl w:val="1"/>
        <w:rPr>
          <w:szCs w:val="21"/>
        </w:rPr>
      </w:pPr>
      <w:r>
        <w:rPr>
          <w:rFonts w:hint="eastAsia"/>
          <w:szCs w:val="21"/>
        </w:rPr>
        <w:t>XXX</w:t>
      </w:r>
      <w:r>
        <w:rPr>
          <w:rFonts w:hint="eastAsia" w:ascii="宋体" w:hAnsi="宋体" w:cs="宋体"/>
          <w:szCs w:val="21"/>
        </w:rPr>
        <w:t>技术指标参考了</w:t>
      </w:r>
      <w:r>
        <w:rPr>
          <w:rFonts w:ascii="宋体" w:hAnsi="宋体" w:cs="宋体"/>
          <w:szCs w:val="21"/>
        </w:rPr>
        <w:t>JJF</w:t>
      </w:r>
      <w:r>
        <w:rPr>
          <w:rFonts w:hint="eastAsia" w:ascii="宋体" w:hAnsi="宋体" w:cs="宋体"/>
          <w:szCs w:val="21"/>
        </w:rPr>
        <w:t xml:space="preserve"> XXX </w:t>
      </w:r>
      <w:r>
        <w:rPr>
          <w:rFonts w:hint="eastAsia"/>
          <w:szCs w:val="21"/>
        </w:rPr>
        <w:t>《XXX》中XX的相应要求，根据实际的使用情况，XX的量程选用XX即可，技术指标选择在XX校准点下的要求。</w:t>
      </w:r>
    </w:p>
    <w:bookmarkEnd w:id="43"/>
    <w:bookmarkEnd w:id="44"/>
    <w:bookmarkEnd w:id="45"/>
    <w:bookmarkEnd w:id="46"/>
    <w:p w14:paraId="58FE0938">
      <w:pPr>
        <w:pStyle w:val="4"/>
        <w:spacing w:before="156" w:after="156"/>
        <w:rPr>
          <w:b w:val="0"/>
          <w:bCs w:val="0"/>
        </w:rPr>
      </w:pPr>
      <w:bookmarkStart w:id="52" w:name="_Toc2741_WPSOffice_Level1"/>
      <w:bookmarkStart w:id="53" w:name="_Toc193618955"/>
      <w:bookmarkStart w:id="54" w:name="_Toc500258944"/>
      <w:bookmarkStart w:id="55" w:name="_Toc193860216"/>
      <w:bookmarkStart w:id="56" w:name="_Toc193619100"/>
      <w:bookmarkStart w:id="57" w:name="_Toc193619058"/>
      <w:bookmarkStart w:id="58" w:name="_Toc193860185"/>
      <w:bookmarkStart w:id="59" w:name="_Toc193860035"/>
      <w:r>
        <w:rPr>
          <w:rFonts w:hint="eastAsia"/>
          <w:b w:val="0"/>
          <w:bCs w:val="0"/>
        </w:rPr>
        <w:t>6 校准项目和校准方法</w:t>
      </w:r>
      <w:bookmarkEnd w:id="52"/>
      <w:bookmarkEnd w:id="53"/>
      <w:bookmarkEnd w:id="54"/>
      <w:bookmarkEnd w:id="55"/>
      <w:bookmarkEnd w:id="56"/>
      <w:bookmarkEnd w:id="57"/>
      <w:bookmarkEnd w:id="58"/>
      <w:bookmarkEnd w:id="59"/>
      <w:r>
        <w:rPr>
          <w:rFonts w:hint="eastAsia"/>
          <w:b w:val="0"/>
          <w:bCs w:val="0"/>
          <w:color w:val="0000FF"/>
        </w:rPr>
        <w:t>（重点内容应详细说明确认过程）</w:t>
      </w:r>
    </w:p>
    <w:p w14:paraId="5DA95D42">
      <w:pPr>
        <w:spacing w:line="360" w:lineRule="auto"/>
        <w:ind w:firstLine="420" w:firstLineChars="200"/>
        <w:rPr>
          <w:rFonts w:eastAsiaTheme="minorEastAsia"/>
          <w:kern w:val="0"/>
          <w:szCs w:val="21"/>
        </w:rPr>
      </w:pPr>
      <w:bookmarkStart w:id="60" w:name="_Toc22718_WPSOffice_Level2"/>
      <w:bookmarkStart w:id="61" w:name="_Toc500258945"/>
      <w:r>
        <w:rPr>
          <w:rFonts w:hint="eastAsia"/>
          <w:kern w:val="0"/>
          <w:szCs w:val="21"/>
        </w:rPr>
        <w:t>校准项目包含</w:t>
      </w:r>
      <w:r>
        <w:rPr>
          <w:rFonts w:hint="eastAsia"/>
        </w:rPr>
        <w:t>静态测量力、基准导轨直线度、轮廓垂直分量（Z轴）示值误差、轮廓水平分量（X轴）示值误差、半径测量示值误差、半径测量重复性、角度测量示值误差、角度测量重复性的</w:t>
      </w:r>
      <w:r>
        <w:rPr>
          <w:rFonts w:hint="eastAsia" w:eastAsiaTheme="minorEastAsia"/>
          <w:kern w:val="0"/>
          <w:szCs w:val="21"/>
        </w:rPr>
        <w:t>校准方法。</w:t>
      </w:r>
    </w:p>
    <w:p w14:paraId="571E30E7">
      <w:pPr>
        <w:numPr>
          <w:ilvl w:val="0"/>
          <w:numId w:val="14"/>
        </w:numPr>
        <w:autoSpaceDE w:val="0"/>
        <w:autoSpaceDN w:val="0"/>
        <w:adjustRightInd w:val="0"/>
        <w:spacing w:line="400" w:lineRule="exact"/>
        <w:jc w:val="left"/>
        <w:rPr>
          <w:szCs w:val="21"/>
        </w:rPr>
      </w:pPr>
      <w:r>
        <w:rPr>
          <w:szCs w:val="21"/>
        </w:rPr>
        <w:t>静态测量力</w:t>
      </w:r>
    </w:p>
    <w:p w14:paraId="2BEBD369">
      <w:pPr>
        <w:ind w:firstLine="480"/>
        <w:rPr>
          <w:szCs w:val="21"/>
        </w:rPr>
      </w:pPr>
      <w:r>
        <w:rPr>
          <w:rFonts w:hint="eastAsia"/>
          <w:szCs w:val="21"/>
        </w:rPr>
        <w:t>将触针针尖轻轻地压在电子天平上，调整传感器的高低位置，使传感器触针位移显示指向零位。读出电子天平的示值</w:t>
      </w:r>
      <w:r>
        <w:rPr>
          <w:rFonts w:hint="eastAsia"/>
          <w:i/>
          <w:szCs w:val="21"/>
        </w:rPr>
        <w:t>m</w:t>
      </w:r>
      <w:r>
        <w:rPr>
          <w:rFonts w:hint="eastAsia"/>
          <w:szCs w:val="21"/>
        </w:rPr>
        <w:t>，再乘以重力加速度</w:t>
      </w:r>
      <w:r>
        <w:rPr>
          <w:i/>
          <w:szCs w:val="21"/>
        </w:rPr>
        <w:t>g</w:t>
      </w:r>
      <w:r>
        <w:rPr>
          <w:szCs w:val="21"/>
        </w:rPr>
        <w:t>(</w:t>
      </w:r>
      <w:r>
        <w:rPr>
          <w:i/>
          <w:szCs w:val="21"/>
        </w:rPr>
        <w:t>g</w:t>
      </w:r>
      <w:r>
        <w:rPr>
          <w:szCs w:val="21"/>
        </w:rPr>
        <w:t>=9.8N/Kg)</w:t>
      </w:r>
      <w:r>
        <w:rPr>
          <w:rFonts w:hint="eastAsia"/>
          <w:szCs w:val="21"/>
        </w:rPr>
        <w:t>，即为触针静态测量力</w:t>
      </w:r>
      <w:r>
        <w:rPr>
          <w:rFonts w:hint="eastAsia"/>
          <w:i/>
          <w:szCs w:val="21"/>
        </w:rPr>
        <w:t>F</w:t>
      </w:r>
      <w:r>
        <w:rPr>
          <w:rFonts w:hint="eastAsia"/>
          <w:szCs w:val="21"/>
        </w:rPr>
        <w:t>，见计算公式（1）。</w:t>
      </w:r>
    </w:p>
    <w:p w14:paraId="7AD07AA2">
      <w:pPr>
        <w:ind w:firstLine="480"/>
        <w:jc w:val="right"/>
        <w:rPr>
          <w:szCs w:val="21"/>
        </w:rPr>
      </w:pPr>
      <w:r>
        <w:rPr>
          <w:position w:val="-10"/>
          <w:szCs w:val="21"/>
        </w:rPr>
        <w:object>
          <v:shape id="_x0000_i1025" o:spt="75" type="#_x0000_t75" style="height:15.6pt;width:6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szCs w:val="21"/>
        </w:rPr>
        <w:t xml:space="preserve">                              </w:t>
      </w:r>
      <w:r>
        <w:rPr>
          <w:szCs w:val="21"/>
        </w:rPr>
        <w:t>（</w:t>
      </w:r>
      <w:r>
        <w:rPr>
          <w:rFonts w:hint="eastAsia"/>
          <w:szCs w:val="21"/>
        </w:rPr>
        <w:t>1</w:t>
      </w:r>
      <w:r>
        <w:rPr>
          <w:szCs w:val="21"/>
        </w:rPr>
        <w:t>）</w:t>
      </w:r>
    </w:p>
    <w:p w14:paraId="10CBC194">
      <w:pPr>
        <w:ind w:firstLine="480"/>
        <w:rPr>
          <w:szCs w:val="21"/>
        </w:rPr>
      </w:pPr>
      <w:r>
        <w:rPr>
          <w:rFonts w:hint="eastAsia"/>
          <w:szCs w:val="21"/>
        </w:rPr>
        <w:t>式中：</w:t>
      </w:r>
    </w:p>
    <w:p w14:paraId="4D189C99">
      <w:pPr>
        <w:ind w:firstLine="480"/>
      </w:pPr>
      <w:r>
        <w:rPr>
          <w:position w:val="-4"/>
        </w:rPr>
        <w:object>
          <v:shape id="_x0000_i1026" o:spt="75" type="#_x0000_t75" style="height:12.9pt;width:12.9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t>—触针静态测量力，N；</w:t>
      </w:r>
    </w:p>
    <w:p w14:paraId="0F515CA6">
      <w:pPr>
        <w:ind w:firstLine="480"/>
      </w:pPr>
      <w:r>
        <w:rPr>
          <w:position w:val="-6"/>
        </w:rPr>
        <w:object>
          <v:shape id="_x0000_i1027" o:spt="75" type="#_x0000_t75" style="height:11.55pt;width:12.9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t>—电子天平的示值，</w:t>
      </w:r>
      <w:r>
        <w:rPr>
          <w:rFonts w:eastAsiaTheme="minorEastAsia"/>
        </w:rPr>
        <w:t>克</w:t>
      </w:r>
      <w:r>
        <w:t>；</w:t>
      </w:r>
    </w:p>
    <w:p w14:paraId="67F8FA23">
      <w:pPr>
        <w:ind w:firstLine="480"/>
        <w:rPr>
          <w:szCs w:val="21"/>
        </w:rPr>
      </w:pPr>
      <w:r>
        <w:rPr>
          <w:position w:val="-10"/>
        </w:rPr>
        <w:object>
          <v:shape id="_x0000_i1028" o:spt="75" type="#_x0000_t75" style="height:12.9pt;width:11.5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t>—重力加速度，取</w:t>
      </w:r>
      <w:r>
        <w:rPr>
          <w:rFonts w:hint="eastAsia"/>
        </w:rPr>
        <w:t>9.8N/Kg。</w:t>
      </w:r>
    </w:p>
    <w:p w14:paraId="10CF7B8D">
      <w:pPr>
        <w:numPr>
          <w:ilvl w:val="0"/>
          <w:numId w:val="14"/>
        </w:numPr>
        <w:spacing w:line="400" w:lineRule="exact"/>
      </w:pPr>
      <w:r>
        <w:t>基准导轨直线度</w:t>
      </w:r>
    </w:p>
    <w:p w14:paraId="5409FFCF">
      <w:pPr>
        <w:autoSpaceDE w:val="0"/>
        <w:autoSpaceDN w:val="0"/>
        <w:adjustRightInd w:val="0"/>
        <w:ind w:firstLine="480"/>
        <w:rPr>
          <w:szCs w:val="21"/>
        </w:rPr>
      </w:pPr>
      <w:r>
        <w:rPr>
          <w:rFonts w:hint="eastAsia"/>
          <w:szCs w:val="21"/>
        </w:rPr>
        <w:t>将工作面长度大于轮廓仪</w:t>
      </w:r>
      <w:r>
        <w:rPr>
          <w:szCs w:val="21"/>
        </w:rPr>
        <w:t>X</w:t>
      </w:r>
      <w:r>
        <w:rPr>
          <w:rFonts w:hint="eastAsia"/>
          <w:szCs w:val="21"/>
        </w:rPr>
        <w:t>轴测量范围的</w:t>
      </w:r>
      <w:r>
        <w:rPr>
          <w:szCs w:val="21"/>
        </w:rPr>
        <w:t>1</w:t>
      </w:r>
      <w:r>
        <w:rPr>
          <w:rFonts w:hint="eastAsia"/>
          <w:szCs w:val="21"/>
        </w:rPr>
        <w:t>级平晶水平放置在轮廓仪工作台而上</w:t>
      </w:r>
      <w:r>
        <w:rPr>
          <w:szCs w:val="21"/>
        </w:rPr>
        <w:t>，</w:t>
      </w:r>
      <w:r>
        <w:rPr>
          <w:rFonts w:hint="eastAsia"/>
          <w:szCs w:val="21"/>
        </w:rPr>
        <w:t>调整轮廓仪垂直分辨力为最小值</w:t>
      </w:r>
      <w:r>
        <w:rPr>
          <w:szCs w:val="21"/>
        </w:rPr>
        <w:t>，</w:t>
      </w:r>
      <w:r>
        <w:rPr>
          <w:rFonts w:hint="eastAsia"/>
          <w:szCs w:val="21"/>
        </w:rPr>
        <w:t>轮廓仪滤波器选择高斯滤波器</w:t>
      </w:r>
      <w:r>
        <w:rPr>
          <w:szCs w:val="21"/>
        </w:rPr>
        <w:t>，</w:t>
      </w:r>
      <w:r>
        <w:rPr>
          <w:rFonts w:hint="eastAsia"/>
          <w:szCs w:val="21"/>
        </w:rPr>
        <w:t>且截止波长不大于</w:t>
      </w:r>
      <w:r>
        <w:rPr>
          <w:szCs w:val="21"/>
        </w:rPr>
        <w:t xml:space="preserve"> 0.5mm</w:t>
      </w:r>
      <w:r>
        <w:rPr>
          <w:rFonts w:hint="eastAsia"/>
          <w:szCs w:val="21"/>
        </w:rPr>
        <w:t>。</w:t>
      </w:r>
    </w:p>
    <w:p w14:paraId="6C905E29">
      <w:pPr>
        <w:autoSpaceDE w:val="0"/>
        <w:autoSpaceDN w:val="0"/>
        <w:adjustRightInd w:val="0"/>
        <w:ind w:firstLine="480"/>
        <w:rPr>
          <w:szCs w:val="21"/>
        </w:rPr>
      </w:pPr>
      <w:r>
        <w:rPr>
          <w:rFonts w:hint="eastAsia"/>
          <w:szCs w:val="21"/>
        </w:rPr>
        <w:t>在</w:t>
      </w:r>
      <w:r>
        <w:rPr>
          <w:szCs w:val="21"/>
        </w:rPr>
        <w:t>X</w:t>
      </w:r>
      <w:r>
        <w:rPr>
          <w:rFonts w:hint="eastAsia"/>
          <w:szCs w:val="21"/>
        </w:rPr>
        <w:t>轴测量范围内至少取三段测量平晶表面轮廓</w:t>
      </w:r>
      <w:r>
        <w:rPr>
          <w:szCs w:val="21"/>
        </w:rPr>
        <w:t>，</w:t>
      </w:r>
      <w:r>
        <w:rPr>
          <w:rFonts w:hint="eastAsia"/>
          <w:szCs w:val="21"/>
        </w:rPr>
        <w:t>用最小二乘法分别计算各段表面轮廓的直线度，取各段直线度中的最大值作为基准导轨规定长度的直线度。</w:t>
      </w:r>
    </w:p>
    <w:p w14:paraId="4F849D95">
      <w:pPr>
        <w:ind w:firstLine="435"/>
        <w:rPr>
          <w:szCs w:val="21"/>
        </w:rPr>
      </w:pPr>
      <w:r>
        <w:rPr>
          <w:rFonts w:hint="eastAsia"/>
          <w:szCs w:val="21"/>
        </w:rPr>
        <w:t>以全行程表面轮廓的直线度作为全行程基准导轨的直线度。</w:t>
      </w:r>
    </w:p>
    <w:p w14:paraId="31F2CCA4">
      <w:pPr>
        <w:numPr>
          <w:ilvl w:val="0"/>
          <w:numId w:val="14"/>
        </w:numPr>
        <w:spacing w:line="400" w:lineRule="exact"/>
        <w:rPr>
          <w:szCs w:val="21"/>
        </w:rPr>
      </w:pPr>
      <w:r>
        <w:rPr>
          <w:rFonts w:hint="eastAsia"/>
          <w:szCs w:val="21"/>
        </w:rPr>
        <w:t>轮廓垂直分量（Z轴）示值误差</w:t>
      </w:r>
    </w:p>
    <w:p w14:paraId="4222CC62">
      <w:pPr>
        <w:autoSpaceDE w:val="0"/>
        <w:autoSpaceDN w:val="0"/>
        <w:adjustRightInd w:val="0"/>
        <w:ind w:firstLine="480"/>
        <w:rPr>
          <w:szCs w:val="21"/>
        </w:rPr>
      </w:pPr>
      <w:r>
        <w:rPr>
          <w:rFonts w:hint="eastAsia"/>
          <w:szCs w:val="21"/>
        </w:rPr>
        <w:t>在传感器触针位移范围内选择</w:t>
      </w:r>
      <w:r>
        <w:rPr>
          <w:szCs w:val="21"/>
        </w:rPr>
        <w:t>5</w:t>
      </w:r>
      <w:r>
        <w:rPr>
          <w:rFonts w:hint="eastAsia"/>
          <w:szCs w:val="21"/>
        </w:rPr>
        <w:t>个大致均匀分布的测量点</w:t>
      </w:r>
      <w:r>
        <w:rPr>
          <w:rFonts w:hint="eastAsia"/>
          <w:i/>
          <w:szCs w:val="21"/>
        </w:rPr>
        <w:t>L</w:t>
      </w:r>
      <w:r>
        <w:rPr>
          <w:szCs w:val="21"/>
        </w:rPr>
        <w:t>，</w:t>
      </w:r>
      <w:r>
        <w:rPr>
          <w:rFonts w:hint="eastAsia"/>
          <w:szCs w:val="21"/>
        </w:rPr>
        <w:t>分别选取对应尺寸的</w:t>
      </w:r>
      <w:r>
        <w:rPr>
          <w:szCs w:val="21"/>
        </w:rPr>
        <w:t>4</w:t>
      </w:r>
      <w:r>
        <w:rPr>
          <w:rFonts w:hint="eastAsia"/>
          <w:szCs w:val="21"/>
        </w:rPr>
        <w:t>等量块。先把量块按尺寸由大到小平行并紧密接触地研合在平面平晶工作面上</w:t>
      </w:r>
      <w:r>
        <w:rPr>
          <w:szCs w:val="21"/>
        </w:rPr>
        <w:t>，</w:t>
      </w:r>
      <w:r>
        <w:rPr>
          <w:rFonts w:hint="eastAsia"/>
          <w:szCs w:val="21"/>
        </w:rPr>
        <w:t>然后将其置于轮廓仪工作台上。由大到小测量各量块表面轮廓</w:t>
      </w:r>
      <w:r>
        <w:rPr>
          <w:rFonts w:hint="eastAsia"/>
          <w:i/>
          <w:szCs w:val="21"/>
        </w:rPr>
        <w:t>D</w:t>
      </w:r>
      <w:r>
        <w:rPr>
          <w:rFonts w:hint="eastAsia"/>
          <w:szCs w:val="21"/>
        </w:rPr>
        <w:t>。测量值与量块实际值之差为各点示值误差，取其最大值为轮廓垂直分量（</w:t>
      </w:r>
      <w:r>
        <w:rPr>
          <w:szCs w:val="21"/>
        </w:rPr>
        <w:t>Z</w:t>
      </w:r>
      <w:r>
        <w:rPr>
          <w:rFonts w:hint="eastAsia"/>
          <w:szCs w:val="21"/>
        </w:rPr>
        <w:t>轴</w:t>
      </w:r>
      <w:r>
        <w:rPr>
          <w:szCs w:val="21"/>
        </w:rPr>
        <w:t>)</w:t>
      </w:r>
      <w:r>
        <w:rPr>
          <w:rFonts w:hint="eastAsia"/>
          <w:szCs w:val="21"/>
        </w:rPr>
        <w:t>示值误差，见公式（2）、（3）。</w:t>
      </w:r>
    </w:p>
    <w:p w14:paraId="647C9F12">
      <w:pPr>
        <w:autoSpaceDE w:val="0"/>
        <w:autoSpaceDN w:val="0"/>
        <w:adjustRightInd w:val="0"/>
        <w:ind w:firstLine="480"/>
        <w:jc w:val="right"/>
        <w:rPr>
          <w:szCs w:val="21"/>
        </w:rPr>
      </w:pPr>
      <w:r>
        <w:rPr>
          <w:position w:val="-12"/>
          <w:szCs w:val="21"/>
        </w:rPr>
        <w:object>
          <v:shape id="_x0000_i1029" o:spt="75" type="#_x0000_t75" style="height:19pt;width:77.4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r>
        <w:rPr>
          <w:rFonts w:hint="eastAsia"/>
          <w:szCs w:val="21"/>
        </w:rPr>
        <w:t xml:space="preserve">                         </w:t>
      </w:r>
      <w:r>
        <w:rPr>
          <w:szCs w:val="21"/>
        </w:rPr>
        <w:t>（</w:t>
      </w:r>
      <w:r>
        <w:rPr>
          <w:rFonts w:hint="eastAsia"/>
          <w:szCs w:val="21"/>
        </w:rPr>
        <w:t>2</w:t>
      </w:r>
      <w:r>
        <w:rPr>
          <w:szCs w:val="21"/>
        </w:rPr>
        <w:t>）</w:t>
      </w:r>
    </w:p>
    <w:p w14:paraId="63F9E233">
      <w:pPr>
        <w:autoSpaceDE w:val="0"/>
        <w:autoSpaceDN w:val="0"/>
        <w:adjustRightInd w:val="0"/>
        <w:ind w:firstLine="480"/>
        <w:rPr>
          <w:szCs w:val="21"/>
        </w:rPr>
      </w:pPr>
      <w:r>
        <w:rPr>
          <w:rFonts w:hint="eastAsia"/>
          <w:szCs w:val="21"/>
        </w:rPr>
        <w:t>式中：</w:t>
      </w:r>
    </w:p>
    <w:p w14:paraId="0435F1E5">
      <w:pPr>
        <w:autoSpaceDE w:val="0"/>
        <w:autoSpaceDN w:val="0"/>
        <w:adjustRightInd w:val="0"/>
        <w:ind w:firstLine="480"/>
      </w:pPr>
      <w:r>
        <w:rPr>
          <w:position w:val="-12"/>
        </w:rPr>
        <w:object>
          <v:shape id="_x0000_i1030" o:spt="75" type="#_x0000_t75" style="height:19pt;width:17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t>—各测量点的示值误差，</w:t>
      </w:r>
      <w:r>
        <w:rPr>
          <w:rFonts w:hint="eastAsia"/>
          <w:i/>
        </w:rPr>
        <w:t>i</w:t>
      </w:r>
      <w:r>
        <w:rPr>
          <w:rFonts w:hint="eastAsia"/>
        </w:rPr>
        <w:t>=1,2,3,4,5，mm；</w:t>
      </w:r>
    </w:p>
    <w:p w14:paraId="75C56FCE">
      <w:pPr>
        <w:autoSpaceDE w:val="0"/>
        <w:autoSpaceDN w:val="0"/>
        <w:adjustRightInd w:val="0"/>
        <w:ind w:firstLine="480"/>
      </w:pPr>
      <w:r>
        <w:rPr>
          <w:position w:val="-12"/>
        </w:rPr>
        <w:object>
          <v:shape id="_x0000_i1031" o:spt="75" type="#_x0000_t75" style="height:19pt;width:14.9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t>—各测量点轮廓仪示值，</w:t>
      </w:r>
      <w:r>
        <w:rPr>
          <w:rFonts w:hint="eastAsia"/>
          <w:i/>
        </w:rPr>
        <w:t>i</w:t>
      </w:r>
      <w:r>
        <w:rPr>
          <w:rFonts w:hint="eastAsia"/>
        </w:rPr>
        <w:t>=1,2,3,4,5，mm；</w:t>
      </w:r>
    </w:p>
    <w:p w14:paraId="69D7D0A5">
      <w:pPr>
        <w:autoSpaceDE w:val="0"/>
        <w:autoSpaceDN w:val="0"/>
        <w:adjustRightInd w:val="0"/>
        <w:ind w:firstLine="480"/>
      </w:pPr>
      <w:r>
        <w:rPr>
          <w:position w:val="-12"/>
        </w:rPr>
        <w:object>
          <v:shape id="_x0000_i1032" o:spt="75" type="#_x0000_t75" style="height:19pt;width:12.9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t>—量块实际尺寸，</w:t>
      </w:r>
      <w:r>
        <w:rPr>
          <w:rFonts w:hint="eastAsia"/>
          <w:i/>
        </w:rPr>
        <w:t>i</w:t>
      </w:r>
      <w:r>
        <w:rPr>
          <w:rFonts w:hint="eastAsia"/>
        </w:rPr>
        <w:t>=1,2,3,4,5，mm。</w:t>
      </w:r>
    </w:p>
    <w:p w14:paraId="559E9DC6">
      <w:pPr>
        <w:autoSpaceDE w:val="0"/>
        <w:autoSpaceDN w:val="0"/>
        <w:adjustRightInd w:val="0"/>
        <w:ind w:firstLine="480"/>
        <w:jc w:val="right"/>
        <w:rPr>
          <w:szCs w:val="21"/>
        </w:rPr>
      </w:pPr>
      <w:r>
        <w:rPr>
          <w:position w:val="-12"/>
          <w:szCs w:val="21"/>
        </w:rPr>
        <w:object>
          <v:shape id="_x0000_i1033" o:spt="75" type="#_x0000_t75" style="height:19pt;width:80.1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r>
        <w:rPr>
          <w:rFonts w:hint="eastAsia"/>
          <w:szCs w:val="21"/>
        </w:rPr>
        <w:t xml:space="preserve">                        </w:t>
      </w:r>
      <w:r>
        <w:rPr>
          <w:szCs w:val="21"/>
        </w:rPr>
        <w:t>（</w:t>
      </w:r>
      <w:r>
        <w:rPr>
          <w:rFonts w:hint="eastAsia"/>
          <w:szCs w:val="21"/>
        </w:rPr>
        <w:t>3</w:t>
      </w:r>
      <w:r>
        <w:rPr>
          <w:szCs w:val="21"/>
        </w:rPr>
        <w:t>）</w:t>
      </w:r>
    </w:p>
    <w:p w14:paraId="1DEFF935">
      <w:pPr>
        <w:autoSpaceDE w:val="0"/>
        <w:autoSpaceDN w:val="0"/>
        <w:adjustRightInd w:val="0"/>
        <w:ind w:firstLine="480"/>
        <w:rPr>
          <w:szCs w:val="21"/>
        </w:rPr>
      </w:pPr>
      <w:r>
        <w:rPr>
          <w:rFonts w:hint="eastAsia"/>
          <w:szCs w:val="21"/>
        </w:rPr>
        <w:t>式中：</w:t>
      </w:r>
    </w:p>
    <w:p w14:paraId="22DB1E99">
      <w:pPr>
        <w:autoSpaceDE w:val="0"/>
        <w:autoSpaceDN w:val="0"/>
        <w:adjustRightInd w:val="0"/>
        <w:ind w:firstLine="480"/>
        <w:rPr>
          <w:szCs w:val="21"/>
        </w:rPr>
      </w:pPr>
      <w:r>
        <w:rPr>
          <w:position w:val="-10"/>
        </w:rPr>
        <w:object>
          <v:shape id="_x0000_i1034" o:spt="75" type="#_x0000_t75" style="height:18.35pt;width:14.9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t>—轮廓垂直分量（Z轴）示值误差，mm。</w:t>
      </w:r>
    </w:p>
    <w:p w14:paraId="3A02E7FD">
      <w:pPr>
        <w:numPr>
          <w:ilvl w:val="0"/>
          <w:numId w:val="14"/>
        </w:numPr>
        <w:autoSpaceDE w:val="0"/>
        <w:autoSpaceDN w:val="0"/>
        <w:adjustRightInd w:val="0"/>
        <w:spacing w:line="400" w:lineRule="exact"/>
        <w:rPr>
          <w:szCs w:val="21"/>
        </w:rPr>
      </w:pPr>
      <w:r>
        <w:rPr>
          <w:rFonts w:hint="eastAsia"/>
          <w:szCs w:val="21"/>
        </w:rPr>
        <w:t>轮廓水平分量（X轴）示值误差</w:t>
      </w:r>
    </w:p>
    <w:p w14:paraId="612FC418">
      <w:pPr>
        <w:autoSpaceDE w:val="0"/>
        <w:autoSpaceDN w:val="0"/>
        <w:adjustRightInd w:val="0"/>
        <w:ind w:firstLine="480"/>
        <w:rPr>
          <w:szCs w:val="21"/>
        </w:rPr>
      </w:pPr>
      <w:r>
        <w:rPr>
          <w:rFonts w:hint="eastAsia"/>
          <w:szCs w:val="21"/>
        </w:rPr>
        <w:t>把激光干涉仪的靶镜固定在轮廓仪驱动箱与传感器连接件上，调整激光干涉仪的激光光束与轮廓仪基准导轨平行。在轮廓仪X轴测量范围内选取大致均匀分布的5个测量点</w:t>
      </w:r>
      <w:r>
        <w:rPr>
          <w:rFonts w:hint="eastAsia"/>
          <w:i/>
          <w:szCs w:val="21"/>
        </w:rPr>
        <w:t>e</w:t>
      </w:r>
      <w:r>
        <w:rPr>
          <w:rFonts w:hint="eastAsia"/>
          <w:szCs w:val="21"/>
        </w:rPr>
        <w:t>，读取各点轮廓仪示值与激光干涉仪示值，轮廓仪示值与激光干涉仪示值之差为各点轮廓水平分量（X轴）示值误差。取其最大值为轮廓水平分量（X轴）示值误差，见公式（4）、（5）。</w:t>
      </w:r>
    </w:p>
    <w:p w14:paraId="15866108">
      <w:pPr>
        <w:autoSpaceDE w:val="0"/>
        <w:autoSpaceDN w:val="0"/>
        <w:adjustRightInd w:val="0"/>
        <w:ind w:firstLine="480"/>
        <w:jc w:val="right"/>
        <w:rPr>
          <w:szCs w:val="21"/>
        </w:rPr>
      </w:pPr>
      <w:r>
        <w:rPr>
          <w:position w:val="-12"/>
          <w:szCs w:val="21"/>
        </w:rPr>
        <w:object>
          <v:shape id="_x0000_i1035" o:spt="75" type="#_x0000_t75" style="height:19pt;width:72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r>
        <w:rPr>
          <w:rFonts w:hint="eastAsia"/>
          <w:szCs w:val="21"/>
        </w:rPr>
        <w:t xml:space="preserve">                         </w:t>
      </w:r>
      <w:r>
        <w:rPr>
          <w:szCs w:val="21"/>
        </w:rPr>
        <w:t>（</w:t>
      </w:r>
      <w:r>
        <w:rPr>
          <w:rFonts w:hint="eastAsia"/>
          <w:szCs w:val="21"/>
        </w:rPr>
        <w:t>4</w:t>
      </w:r>
      <w:r>
        <w:rPr>
          <w:szCs w:val="21"/>
        </w:rPr>
        <w:t>）</w:t>
      </w:r>
    </w:p>
    <w:p w14:paraId="2E98ED1A">
      <w:pPr>
        <w:autoSpaceDE w:val="0"/>
        <w:autoSpaceDN w:val="0"/>
        <w:adjustRightInd w:val="0"/>
        <w:ind w:firstLine="480"/>
        <w:rPr>
          <w:szCs w:val="21"/>
        </w:rPr>
      </w:pPr>
      <w:r>
        <w:rPr>
          <w:rFonts w:hint="eastAsia"/>
          <w:szCs w:val="21"/>
        </w:rPr>
        <w:t>式中：</w:t>
      </w:r>
    </w:p>
    <w:p w14:paraId="4C0DB204">
      <w:pPr>
        <w:autoSpaceDE w:val="0"/>
        <w:autoSpaceDN w:val="0"/>
        <w:adjustRightInd w:val="0"/>
        <w:ind w:firstLine="480"/>
      </w:pPr>
      <w:r>
        <w:rPr>
          <w:position w:val="-12"/>
        </w:rPr>
        <w:object>
          <v:shape id="_x0000_i1036" o:spt="75" type="#_x0000_t75" style="height:19pt;width:18.3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r>
        <w:t>—各测量点示值误差，</w:t>
      </w:r>
      <w:r>
        <w:rPr>
          <w:rFonts w:hint="eastAsia"/>
          <w:i/>
        </w:rPr>
        <w:t>i</w:t>
      </w:r>
      <w:r>
        <w:rPr>
          <w:rFonts w:hint="eastAsia"/>
        </w:rPr>
        <w:t>=1,2,3,4,5，mm；</w:t>
      </w:r>
    </w:p>
    <w:p w14:paraId="0D8578A0">
      <w:pPr>
        <w:autoSpaceDE w:val="0"/>
        <w:autoSpaceDN w:val="0"/>
        <w:adjustRightInd w:val="0"/>
        <w:ind w:firstLine="480"/>
      </w:pPr>
      <w:r>
        <w:rPr>
          <w:position w:val="-12"/>
        </w:rPr>
        <w:object>
          <v:shape id="_x0000_i1037" o:spt="75" type="#_x0000_t75" style="height:19pt;width:11.55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r>
        <w:t>—轮廓仪各点示值，</w:t>
      </w:r>
      <w:r>
        <w:rPr>
          <w:rFonts w:hint="eastAsia"/>
          <w:i/>
        </w:rPr>
        <w:t>i</w:t>
      </w:r>
      <w:r>
        <w:rPr>
          <w:rFonts w:hint="eastAsia"/>
        </w:rPr>
        <w:t>=1,2,3,4,5，mm；</w:t>
      </w:r>
    </w:p>
    <w:p w14:paraId="01272AD5">
      <w:pPr>
        <w:autoSpaceDE w:val="0"/>
        <w:autoSpaceDN w:val="0"/>
        <w:adjustRightInd w:val="0"/>
        <w:ind w:firstLine="480"/>
      </w:pPr>
      <w:r>
        <w:rPr>
          <w:position w:val="-12"/>
        </w:rPr>
        <w:object>
          <v:shape id="_x0000_i1038" o:spt="75" type="#_x0000_t75" style="height:19pt;width:12.25pt;" o:ole="t" filled="f" o:preferrelative="t" stroked="f" coordsize="21600,21600">
            <v:path/>
            <v:fill on="f" focussize="0,0"/>
            <v:stroke on="f" joinstyle="miter"/>
            <v:imagedata r:id="rId35" o:title=""/>
            <o:lock v:ext="edit" aspectratio="t"/>
            <w10:wrap type="none"/>
            <w10:anchorlock/>
          </v:shape>
          <o:OLEObject Type="Embed" ProgID="Equation.3" ShapeID="_x0000_i1038" DrawAspect="Content" ObjectID="_1468075738" r:id="rId34">
            <o:LockedField>false</o:LockedField>
          </o:OLEObject>
        </w:object>
      </w:r>
      <w:r>
        <w:t>—激光干涉仪各点示值，</w:t>
      </w:r>
      <w:r>
        <w:rPr>
          <w:rFonts w:hint="eastAsia"/>
          <w:i/>
        </w:rPr>
        <w:t>i</w:t>
      </w:r>
      <w:r>
        <w:rPr>
          <w:rFonts w:hint="eastAsia"/>
        </w:rPr>
        <w:t>=1,2,3,4,5，mm。</w:t>
      </w:r>
    </w:p>
    <w:p w14:paraId="68A17D14">
      <w:pPr>
        <w:autoSpaceDE w:val="0"/>
        <w:autoSpaceDN w:val="0"/>
        <w:adjustRightInd w:val="0"/>
        <w:ind w:firstLine="480"/>
        <w:jc w:val="right"/>
        <w:rPr>
          <w:szCs w:val="21"/>
        </w:rPr>
      </w:pPr>
      <w:r>
        <w:rPr>
          <w:position w:val="-10"/>
          <w:szCs w:val="21"/>
        </w:rPr>
        <w:object>
          <v:shape id="_x0000_i1039" o:spt="75" type="#_x0000_t75" style="height:18.35pt;width:80.85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39" r:id="rId36">
            <o:LockedField>false</o:LockedField>
          </o:OLEObject>
        </w:object>
      </w:r>
      <w:r>
        <w:rPr>
          <w:rFonts w:hint="eastAsia"/>
          <w:szCs w:val="21"/>
        </w:rPr>
        <w:t xml:space="preserve">                      </w:t>
      </w:r>
      <w:r>
        <w:rPr>
          <w:szCs w:val="21"/>
        </w:rPr>
        <w:t>（</w:t>
      </w:r>
      <w:r>
        <w:rPr>
          <w:rFonts w:hint="eastAsia"/>
          <w:szCs w:val="21"/>
        </w:rPr>
        <w:t>5</w:t>
      </w:r>
      <w:r>
        <w:rPr>
          <w:szCs w:val="21"/>
        </w:rPr>
        <w:t>）</w:t>
      </w:r>
    </w:p>
    <w:p w14:paraId="334D8D50">
      <w:pPr>
        <w:autoSpaceDE w:val="0"/>
        <w:autoSpaceDN w:val="0"/>
        <w:adjustRightInd w:val="0"/>
        <w:ind w:firstLine="480"/>
        <w:rPr>
          <w:szCs w:val="21"/>
        </w:rPr>
      </w:pPr>
      <w:r>
        <w:rPr>
          <w:rFonts w:hint="eastAsia"/>
          <w:szCs w:val="21"/>
        </w:rPr>
        <w:t>式中：</w:t>
      </w:r>
    </w:p>
    <w:p w14:paraId="143A7403">
      <w:pPr>
        <w:autoSpaceDE w:val="0"/>
        <w:autoSpaceDN w:val="0"/>
        <w:adjustRightInd w:val="0"/>
        <w:ind w:firstLine="480"/>
        <w:rPr>
          <w:szCs w:val="21"/>
        </w:rPr>
      </w:pPr>
      <w:r>
        <w:rPr>
          <w:position w:val="-10"/>
        </w:rPr>
        <w:object>
          <v:shape id="_x0000_i1040" o:spt="75" type="#_x0000_t75" style="height:18.35pt;width:17pt;" o:ole="t" filled="f" o:preferrelative="t" stroked="f" coordsize="21600,21600">
            <v:path/>
            <v:fill on="f" focussize="0,0"/>
            <v:stroke on="f" joinstyle="miter"/>
            <v:imagedata r:id="rId39" o:title=""/>
            <o:lock v:ext="edit" aspectratio="t"/>
            <w10:wrap type="none"/>
            <w10:anchorlock/>
          </v:shape>
          <o:OLEObject Type="Embed" ProgID="Equation.3" ShapeID="_x0000_i1040" DrawAspect="Content" ObjectID="_1468075740" r:id="rId38">
            <o:LockedField>false</o:LockedField>
          </o:OLEObject>
        </w:object>
      </w:r>
      <w:r>
        <w:t>—</w:t>
      </w:r>
      <w:r>
        <w:rPr>
          <w:rFonts w:hint="eastAsia"/>
          <w:szCs w:val="21"/>
        </w:rPr>
        <w:t>轮廓仪水平分量（X轴）示值误差，mm。</w:t>
      </w:r>
    </w:p>
    <w:p w14:paraId="43EC88C9">
      <w:pPr>
        <w:numPr>
          <w:ilvl w:val="0"/>
          <w:numId w:val="14"/>
        </w:numPr>
        <w:autoSpaceDE w:val="0"/>
        <w:autoSpaceDN w:val="0"/>
        <w:adjustRightInd w:val="0"/>
        <w:spacing w:line="400" w:lineRule="exact"/>
        <w:rPr>
          <w:szCs w:val="21"/>
        </w:rPr>
      </w:pPr>
      <w:r>
        <w:rPr>
          <w:szCs w:val="21"/>
        </w:rPr>
        <w:t>半径测量示值误差</w:t>
      </w:r>
    </w:p>
    <w:p w14:paraId="2FD03078">
      <w:pPr>
        <w:autoSpaceDE w:val="0"/>
        <w:autoSpaceDN w:val="0"/>
        <w:adjustRightInd w:val="0"/>
        <w:ind w:firstLine="480"/>
        <w:rPr>
          <w:szCs w:val="21"/>
        </w:rPr>
      </w:pPr>
      <w:r>
        <w:rPr>
          <w:rFonts w:hint="eastAsia"/>
          <w:szCs w:val="21"/>
        </w:rPr>
        <w:t>将标准球或标准半球放置于轮廓仪工作台上，先调整标准球（标准半球）的位置，使触针滑行轨迹通过标准球（标准半球）的最高点，然后测量标准球表面轮廓半径。重复以上步骤，连续三次测量标准球表面轮廓半径</w:t>
      </w:r>
      <w:r>
        <w:rPr>
          <w:rFonts w:hint="eastAsia"/>
          <w:i/>
          <w:szCs w:val="21"/>
        </w:rPr>
        <w:t>R</w:t>
      </w:r>
      <w:r>
        <w:rPr>
          <w:rFonts w:hint="eastAsia"/>
          <w:szCs w:val="21"/>
        </w:rPr>
        <w:t>，三次测量平均值与标准球（标准半球）半径的实际值之差为半径测量示值误差，见公式（6）。</w:t>
      </w:r>
    </w:p>
    <w:p w14:paraId="3DDF1C10">
      <w:pPr>
        <w:autoSpaceDE w:val="0"/>
        <w:autoSpaceDN w:val="0"/>
        <w:adjustRightInd w:val="0"/>
        <w:ind w:firstLine="480"/>
        <w:jc w:val="right"/>
        <w:rPr>
          <w:szCs w:val="21"/>
        </w:rPr>
      </w:pPr>
      <w:r>
        <w:rPr>
          <w:position w:val="-24"/>
          <w:szCs w:val="21"/>
        </w:rPr>
        <w:object>
          <v:shape id="_x0000_i1041" o:spt="75" type="#_x0000_t75" style="height:48.9pt;width:103.9pt;" o:ole="t" filled="f" o:preferrelative="t" stroked="f" coordsize="21600,21600">
            <v:path/>
            <v:fill on="f" focussize="0,0"/>
            <v:stroke on="f" joinstyle="miter"/>
            <v:imagedata r:id="rId41" o:title=""/>
            <o:lock v:ext="edit" aspectratio="t"/>
            <w10:wrap type="none"/>
            <w10:anchorlock/>
          </v:shape>
          <o:OLEObject Type="Embed" ProgID="Equation.3" ShapeID="_x0000_i1041" DrawAspect="Content" ObjectID="_1468075741" r:id="rId40">
            <o:LockedField>false</o:LockedField>
          </o:OLEObject>
        </w:object>
      </w:r>
      <w:r>
        <w:rPr>
          <w:rFonts w:hint="eastAsia"/>
          <w:szCs w:val="21"/>
        </w:rPr>
        <w:t xml:space="preserve">                    </w:t>
      </w:r>
      <w:r>
        <w:rPr>
          <w:szCs w:val="21"/>
        </w:rPr>
        <w:t>（</w:t>
      </w:r>
      <w:r>
        <w:rPr>
          <w:rFonts w:hint="eastAsia"/>
          <w:szCs w:val="21"/>
        </w:rPr>
        <w:t>6</w:t>
      </w:r>
      <w:r>
        <w:rPr>
          <w:szCs w:val="21"/>
        </w:rPr>
        <w:t>）</w:t>
      </w:r>
    </w:p>
    <w:p w14:paraId="25051348">
      <w:pPr>
        <w:autoSpaceDE w:val="0"/>
        <w:autoSpaceDN w:val="0"/>
        <w:adjustRightInd w:val="0"/>
        <w:ind w:firstLine="480"/>
        <w:rPr>
          <w:szCs w:val="21"/>
        </w:rPr>
      </w:pPr>
      <w:r>
        <w:rPr>
          <w:rFonts w:hint="eastAsia"/>
          <w:szCs w:val="21"/>
        </w:rPr>
        <w:t>式中：</w:t>
      </w:r>
    </w:p>
    <w:p w14:paraId="33693849">
      <w:pPr>
        <w:autoSpaceDE w:val="0"/>
        <w:autoSpaceDN w:val="0"/>
        <w:adjustRightInd w:val="0"/>
        <w:ind w:firstLine="480"/>
      </w:pPr>
      <w:r>
        <w:rPr>
          <w:position w:val="-10"/>
        </w:rPr>
        <w:object>
          <v:shape id="_x0000_i1042" o:spt="75" type="#_x0000_t75" style="height:18.35pt;width:15.6pt;" o:ole="t" filled="f" o:preferrelative="t" stroked="f" coordsize="21600,21600">
            <v:path/>
            <v:fill on="f" focussize="0,0"/>
            <v:stroke on="f" joinstyle="miter"/>
            <v:imagedata r:id="rId43" o:title=""/>
            <o:lock v:ext="edit" aspectratio="t"/>
            <w10:wrap type="none"/>
            <w10:anchorlock/>
          </v:shape>
          <o:OLEObject Type="Embed" ProgID="Equation.3" ShapeID="_x0000_i1042" DrawAspect="Content" ObjectID="_1468075742" r:id="rId42">
            <o:LockedField>false</o:LockedField>
          </o:OLEObject>
        </w:object>
      </w:r>
      <w:r>
        <w:t>—半径测量示值误差，mm；</w:t>
      </w:r>
    </w:p>
    <w:p w14:paraId="0B78D48D">
      <w:pPr>
        <w:autoSpaceDE w:val="0"/>
        <w:autoSpaceDN w:val="0"/>
        <w:adjustRightInd w:val="0"/>
        <w:ind w:firstLine="480"/>
      </w:pPr>
      <w:r>
        <w:rPr>
          <w:position w:val="-12"/>
        </w:rPr>
        <w:object>
          <v:shape id="_x0000_i1043" o:spt="75" type="#_x0000_t75" style="height:19pt;width:12.9pt;" o:ole="t" filled="f" o:preferrelative="t" stroked="f" coordsize="21600,21600">
            <v:path/>
            <v:fill on="f" focussize="0,0"/>
            <v:stroke on="f" joinstyle="miter"/>
            <v:imagedata r:id="rId45" o:title=""/>
            <o:lock v:ext="edit" aspectratio="t"/>
            <w10:wrap type="none"/>
            <w10:anchorlock/>
          </v:shape>
          <o:OLEObject Type="Embed" ProgID="Equation.3" ShapeID="_x0000_i1043" DrawAspect="Content" ObjectID="_1468075743" r:id="rId44">
            <o:LockedField>false</o:LockedField>
          </o:OLEObject>
        </w:object>
      </w:r>
      <w:r>
        <w:t>—三次测量标准球轮廓仪示值，</w:t>
      </w:r>
      <w:r>
        <w:rPr>
          <w:rFonts w:hint="eastAsia"/>
          <w:i/>
        </w:rPr>
        <w:t>i</w:t>
      </w:r>
      <w:r>
        <w:rPr>
          <w:rFonts w:hint="eastAsia"/>
        </w:rPr>
        <w:t>=1,2,3，mm；</w:t>
      </w:r>
    </w:p>
    <w:p w14:paraId="5E786318">
      <w:pPr>
        <w:autoSpaceDE w:val="0"/>
        <w:autoSpaceDN w:val="0"/>
        <w:adjustRightInd w:val="0"/>
        <w:ind w:firstLine="480"/>
        <w:rPr>
          <w:szCs w:val="21"/>
        </w:rPr>
      </w:pPr>
      <w:r>
        <w:rPr>
          <w:position w:val="-12"/>
        </w:rPr>
        <w:object>
          <v:shape id="_x0000_i1044" o:spt="75" type="#_x0000_t75" style="height:19pt;width:24.45pt;" o:ole="t" filled="f" o:preferrelative="t" stroked="f" coordsize="21600,21600">
            <v:path/>
            <v:fill on="f" focussize="0,0"/>
            <v:stroke on="f" joinstyle="miter"/>
            <v:imagedata r:id="rId47" o:title=""/>
            <o:lock v:ext="edit" aspectratio="t"/>
            <w10:wrap type="none"/>
            <w10:anchorlock/>
          </v:shape>
          <o:OLEObject Type="Embed" ProgID="Equation.3" ShapeID="_x0000_i1044" DrawAspect="Content" ObjectID="_1468075744" r:id="rId46">
            <o:LockedField>false</o:LockedField>
          </o:OLEObject>
        </w:object>
      </w:r>
      <w:r>
        <w:t>—标准球半径，mm。</w:t>
      </w:r>
    </w:p>
    <w:p w14:paraId="5D64FE83">
      <w:pPr>
        <w:numPr>
          <w:ilvl w:val="0"/>
          <w:numId w:val="14"/>
        </w:numPr>
        <w:autoSpaceDE w:val="0"/>
        <w:autoSpaceDN w:val="0"/>
        <w:adjustRightInd w:val="0"/>
        <w:spacing w:line="400" w:lineRule="exact"/>
        <w:rPr>
          <w:szCs w:val="21"/>
        </w:rPr>
      </w:pPr>
      <w:r>
        <w:rPr>
          <w:rFonts w:hint="eastAsia"/>
          <w:szCs w:val="21"/>
        </w:rPr>
        <w:t>半径测量重复性</w:t>
      </w:r>
    </w:p>
    <w:p w14:paraId="7B455DBF">
      <w:pPr>
        <w:autoSpaceDE w:val="0"/>
        <w:autoSpaceDN w:val="0"/>
        <w:adjustRightInd w:val="0"/>
        <w:ind w:firstLine="480"/>
        <w:rPr>
          <w:szCs w:val="21"/>
        </w:rPr>
      </w:pPr>
      <w:r>
        <w:rPr>
          <w:rFonts w:hint="eastAsia"/>
          <w:szCs w:val="21"/>
        </w:rPr>
        <w:t>将标准球或标准半球放置于轮廓仪工作台上，调整触针滑行轨迹通过标准球（标准半球）的最高点，重复三次测量表面轮廓半径，按极差法计算实验标准差作为半径测量重复性，见公式（7）。</w:t>
      </w:r>
    </w:p>
    <w:p w14:paraId="30B180FB">
      <w:pPr>
        <w:autoSpaceDE w:val="0"/>
        <w:autoSpaceDN w:val="0"/>
        <w:adjustRightInd w:val="0"/>
        <w:ind w:firstLine="480"/>
        <w:jc w:val="right"/>
        <w:rPr>
          <w:szCs w:val="21"/>
        </w:rPr>
      </w:pPr>
      <w:r>
        <w:rPr>
          <w:position w:val="-24"/>
          <w:szCs w:val="21"/>
        </w:rPr>
        <w:object>
          <v:shape id="_x0000_i1045" o:spt="75" type="#_x0000_t75" style="height:33.3pt;width:134.5pt;" o:ole="t" filled="f" o:preferrelative="t" stroked="f" coordsize="21600,21600">
            <v:path/>
            <v:fill on="f" focussize="0,0"/>
            <v:stroke on="f" joinstyle="miter"/>
            <v:imagedata r:id="rId49" o:title=""/>
            <o:lock v:ext="edit" aspectratio="t"/>
            <w10:wrap type="none"/>
            <w10:anchorlock/>
          </v:shape>
          <o:OLEObject Type="Embed" ProgID="Equation.3" ShapeID="_x0000_i1045" DrawAspect="Content" ObjectID="_1468075745" r:id="rId48">
            <o:LockedField>false</o:LockedField>
          </o:OLEObject>
        </w:object>
      </w:r>
      <w:r>
        <w:rPr>
          <w:rFonts w:hint="eastAsia"/>
          <w:szCs w:val="21"/>
        </w:rPr>
        <w:t xml:space="preserve">                   </w:t>
      </w:r>
      <w:r>
        <w:rPr>
          <w:szCs w:val="21"/>
        </w:rPr>
        <w:t>（</w:t>
      </w:r>
      <w:r>
        <w:rPr>
          <w:rFonts w:hint="eastAsia"/>
          <w:szCs w:val="21"/>
        </w:rPr>
        <w:t>7</w:t>
      </w:r>
      <w:r>
        <w:rPr>
          <w:szCs w:val="21"/>
        </w:rPr>
        <w:t>）</w:t>
      </w:r>
    </w:p>
    <w:p w14:paraId="3913B04B">
      <w:pPr>
        <w:autoSpaceDE w:val="0"/>
        <w:autoSpaceDN w:val="0"/>
        <w:adjustRightInd w:val="0"/>
        <w:ind w:firstLine="480"/>
        <w:rPr>
          <w:szCs w:val="21"/>
        </w:rPr>
      </w:pPr>
      <w:r>
        <w:rPr>
          <w:szCs w:val="21"/>
        </w:rPr>
        <w:t>式中：</w:t>
      </w:r>
    </w:p>
    <w:p w14:paraId="6A43F054">
      <w:pPr>
        <w:autoSpaceDE w:val="0"/>
        <w:autoSpaceDN w:val="0"/>
        <w:adjustRightInd w:val="0"/>
        <w:ind w:firstLine="480"/>
      </w:pPr>
      <w:r>
        <w:rPr>
          <w:position w:val="-10"/>
        </w:rPr>
        <w:object>
          <v:shape id="_x0000_i1046" o:spt="75" type="#_x0000_t75" style="height:18.35pt;width:17pt;" o:ole="t" filled="f" o:preferrelative="t" stroked="f" coordsize="21600,21600">
            <v:path/>
            <v:fill on="f" focussize="0,0"/>
            <v:stroke on="f" joinstyle="miter"/>
            <v:imagedata r:id="rId51" o:title=""/>
            <o:lock v:ext="edit" aspectratio="t"/>
            <w10:wrap type="none"/>
            <w10:anchorlock/>
          </v:shape>
          <o:OLEObject Type="Embed" ProgID="Equation.3" ShapeID="_x0000_i1046" DrawAspect="Content" ObjectID="_1468075746" r:id="rId50">
            <o:LockedField>false</o:LockedField>
          </o:OLEObject>
        </w:object>
      </w:r>
      <w:r>
        <w:t>—半径测量重复性，mm；</w:t>
      </w:r>
    </w:p>
    <w:p w14:paraId="1AD3D7C5">
      <w:pPr>
        <w:tabs>
          <w:tab w:val="left" w:pos="510"/>
        </w:tabs>
        <w:autoSpaceDE w:val="0"/>
        <w:autoSpaceDN w:val="0"/>
        <w:adjustRightInd w:val="0"/>
        <w:ind w:firstLine="480"/>
      </w:pPr>
      <w:r>
        <w:rPr>
          <w:szCs w:val="21"/>
        </w:rPr>
        <w:tab/>
      </w:r>
      <w:r>
        <w:rPr>
          <w:position w:val="-12"/>
        </w:rPr>
        <w:object>
          <v:shape id="_x0000_i1047" o:spt="75" type="#_x0000_t75" style="height:19pt;width:42.8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2">
            <o:LockedField>false</o:LockedField>
          </o:OLEObject>
        </w:object>
      </w:r>
      <w:r>
        <w:t>—三次测量最大值，mm；</w:t>
      </w:r>
    </w:p>
    <w:p w14:paraId="1F0C9371">
      <w:pPr>
        <w:tabs>
          <w:tab w:val="left" w:pos="510"/>
        </w:tabs>
        <w:autoSpaceDE w:val="0"/>
        <w:autoSpaceDN w:val="0"/>
        <w:adjustRightInd w:val="0"/>
        <w:ind w:firstLine="480"/>
        <w:rPr>
          <w:szCs w:val="21"/>
        </w:rPr>
      </w:pPr>
      <w:r>
        <w:rPr>
          <w:position w:val="-12"/>
        </w:rPr>
        <w:object>
          <v:shape id="_x0000_i1048" o:spt="75" type="#_x0000_t75" style="height:19pt;width:42.1pt;" o:ole="t" filled="f" o:preferrelative="t" stroked="f" coordsize="21600,21600">
            <v:path/>
            <v:fill on="f" focussize="0,0"/>
            <v:stroke on="f" joinstyle="miter"/>
            <v:imagedata r:id="rId55" o:title=""/>
            <o:lock v:ext="edit" aspectratio="t"/>
            <w10:wrap type="none"/>
            <w10:anchorlock/>
          </v:shape>
          <o:OLEObject Type="Embed" ProgID="Equation.3" ShapeID="_x0000_i1048" DrawAspect="Content" ObjectID="_1468075748" r:id="rId54">
            <o:LockedField>false</o:LockedField>
          </o:OLEObject>
        </w:object>
      </w:r>
      <w:r>
        <w:t>—三次测量最小值，mm。</w:t>
      </w:r>
    </w:p>
    <w:p w14:paraId="7C1B1CEB">
      <w:pPr>
        <w:numPr>
          <w:ilvl w:val="0"/>
          <w:numId w:val="14"/>
        </w:numPr>
        <w:autoSpaceDE w:val="0"/>
        <w:autoSpaceDN w:val="0"/>
        <w:adjustRightInd w:val="0"/>
        <w:spacing w:line="400" w:lineRule="exact"/>
        <w:rPr>
          <w:szCs w:val="21"/>
        </w:rPr>
      </w:pPr>
      <w:r>
        <w:rPr>
          <w:rFonts w:hint="eastAsia"/>
          <w:szCs w:val="21"/>
        </w:rPr>
        <w:t>角度测量示值误差</w:t>
      </w:r>
    </w:p>
    <w:p w14:paraId="5C30226F">
      <w:pPr>
        <w:autoSpaceDE w:val="0"/>
        <w:autoSpaceDN w:val="0"/>
        <w:adjustRightInd w:val="0"/>
        <w:ind w:firstLine="480"/>
        <w:rPr>
          <w:szCs w:val="21"/>
        </w:rPr>
      </w:pPr>
      <w:r>
        <w:rPr>
          <w:rFonts w:hint="eastAsia"/>
          <w:szCs w:val="21"/>
        </w:rPr>
        <w:t>将四等棱体放置于轮廓仪工作台上，先调整棱体的侧边平行于触针滑行方向，然后测量棱体各相邻工作面的角值。重复以上步骤，连续三次测量棱体其中各相邻工作面的角值</w:t>
      </w:r>
      <w:r>
        <w:rPr>
          <w:position w:val="-10"/>
          <w:szCs w:val="21"/>
        </w:rPr>
        <w:object>
          <v:shape id="_x0000_i1049" o:spt="75" type="#_x0000_t75" style="height:18.35pt;width:14.25pt;" o:ole="t"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9" r:id="rId56">
            <o:LockedField>false</o:LockedField>
          </o:OLEObject>
        </w:object>
      </w:r>
      <w:r>
        <w:rPr>
          <w:rFonts w:hint="eastAsia"/>
          <w:szCs w:val="21"/>
        </w:rPr>
        <w:t>，三次测量平均角值与棱体工作角标称角值之差为各角度测量示值误差，取其最大值为角度测量示值误差，见公式（8）、（9）。</w:t>
      </w:r>
    </w:p>
    <w:p w14:paraId="609B1459">
      <w:pPr>
        <w:autoSpaceDE w:val="0"/>
        <w:autoSpaceDN w:val="0"/>
        <w:adjustRightInd w:val="0"/>
        <w:ind w:firstLine="480"/>
        <w:jc w:val="right"/>
        <w:rPr>
          <w:szCs w:val="21"/>
        </w:rPr>
      </w:pPr>
      <w:r>
        <w:rPr>
          <w:position w:val="-24"/>
          <w:szCs w:val="21"/>
        </w:rPr>
        <w:object>
          <v:shape id="_x0000_i1050" o:spt="75" type="#_x0000_t75" style="height:48.9pt;width:93.05pt;" o:ole="t" filled="f" o:preferrelative="t" stroked="f" coordsize="21600,21600">
            <v:path/>
            <v:fill on="f" focussize="0,0"/>
            <v:stroke on="f" joinstyle="miter"/>
            <v:imagedata r:id="rId59" o:title=""/>
            <o:lock v:ext="edit" aspectratio="t"/>
            <w10:wrap type="none"/>
            <w10:anchorlock/>
          </v:shape>
          <o:OLEObject Type="Embed" ProgID="Equation.3" ShapeID="_x0000_i1050" DrawAspect="Content" ObjectID="_1468075750" r:id="rId58">
            <o:LockedField>false</o:LockedField>
          </o:OLEObject>
        </w:object>
      </w:r>
      <w:r>
        <w:rPr>
          <w:rFonts w:hint="eastAsia"/>
          <w:szCs w:val="21"/>
        </w:rPr>
        <w:t xml:space="preserve">                     </w:t>
      </w:r>
      <w:r>
        <w:rPr>
          <w:szCs w:val="21"/>
        </w:rPr>
        <w:t>（</w:t>
      </w:r>
      <w:r>
        <w:rPr>
          <w:rFonts w:hint="eastAsia"/>
          <w:szCs w:val="21"/>
        </w:rPr>
        <w:t>8</w:t>
      </w:r>
      <w:r>
        <w:rPr>
          <w:szCs w:val="21"/>
        </w:rPr>
        <w:t>）</w:t>
      </w:r>
    </w:p>
    <w:p w14:paraId="2833DC2D">
      <w:pPr>
        <w:autoSpaceDE w:val="0"/>
        <w:autoSpaceDN w:val="0"/>
        <w:adjustRightInd w:val="0"/>
        <w:ind w:firstLine="480"/>
        <w:rPr>
          <w:szCs w:val="21"/>
        </w:rPr>
      </w:pPr>
      <w:r>
        <w:rPr>
          <w:szCs w:val="21"/>
        </w:rPr>
        <w:t>式中：</w:t>
      </w:r>
    </w:p>
    <w:p w14:paraId="05DD0A70">
      <w:pPr>
        <w:autoSpaceDE w:val="0"/>
        <w:autoSpaceDN w:val="0"/>
        <w:adjustRightInd w:val="0"/>
        <w:ind w:firstLine="480"/>
      </w:pPr>
      <w:r>
        <w:rPr>
          <w:position w:val="-14"/>
        </w:rPr>
        <w:object>
          <v:shape id="_x0000_i1051" o:spt="75" type="#_x0000_t75" style="height:20.4pt;width:12.9pt;" o:ole="t" filled="f" o:preferrelative="t" stroked="f" coordsize="21600,21600">
            <v:path/>
            <v:fill on="f" focussize="0,0"/>
            <v:stroke on="f" joinstyle="miter"/>
            <v:imagedata r:id="rId61" o:title=""/>
            <o:lock v:ext="edit" aspectratio="t"/>
            <w10:wrap type="none"/>
            <w10:anchorlock/>
          </v:shape>
          <o:OLEObject Type="Embed" ProgID="Equation.3" ShapeID="_x0000_i1051" DrawAspect="Content" ObjectID="_1468075751" r:id="rId60">
            <o:LockedField>false</o:LockedField>
          </o:OLEObject>
        </w:object>
      </w:r>
      <w:r>
        <w:t>—</w:t>
      </w:r>
      <w:r>
        <w:rPr>
          <w:rFonts w:hint="eastAsia"/>
        </w:rPr>
        <w:t>各</w:t>
      </w:r>
      <w:r>
        <w:t>相邻工作面角度测量示值误差，j</w:t>
      </w:r>
      <w:r>
        <w:rPr>
          <w:rFonts w:hint="eastAsia"/>
        </w:rPr>
        <w:t>=1,2,3,4，…，</w:t>
      </w:r>
      <w:r>
        <w:t>′；</w:t>
      </w:r>
    </w:p>
    <w:p w14:paraId="6FFFF30B">
      <w:pPr>
        <w:autoSpaceDE w:val="0"/>
        <w:autoSpaceDN w:val="0"/>
        <w:adjustRightInd w:val="0"/>
        <w:ind w:firstLine="480"/>
      </w:pPr>
      <w:r>
        <w:rPr>
          <w:position w:val="-12"/>
        </w:rPr>
        <w:object>
          <v:shape id="_x0000_i1052" o:spt="75" type="#_x0000_t75" style="height:19pt;width:17pt;" o:ole="t" filled="f" o:preferrelative="t" stroked="f" coordsize="21600,21600">
            <v:path/>
            <v:fill on="f" focussize="0,0"/>
            <v:stroke on="f" joinstyle="miter"/>
            <v:imagedata r:id="rId63" o:title=""/>
            <o:lock v:ext="edit" aspectratio="t"/>
            <w10:wrap type="none"/>
            <w10:anchorlock/>
          </v:shape>
          <o:OLEObject Type="Embed" ProgID="Equation.3" ShapeID="_x0000_i1052" DrawAspect="Content" ObjectID="_1468075752" r:id="rId62">
            <o:LockedField>false</o:LockedField>
          </o:OLEObject>
        </w:object>
      </w:r>
      <w:r>
        <w:t>—</w:t>
      </w:r>
      <w:r>
        <w:rPr>
          <w:rFonts w:hint="eastAsia"/>
        </w:rPr>
        <w:t>各</w:t>
      </w:r>
      <w:r>
        <w:t>相邻工作面角度三次测量值，j</w:t>
      </w:r>
      <w:r>
        <w:rPr>
          <w:rFonts w:hint="eastAsia"/>
        </w:rPr>
        <w:t>=1,2,3,4，…，</w:t>
      </w:r>
      <w:r>
        <w:rPr>
          <w:i/>
        </w:rPr>
        <w:t>i</w:t>
      </w:r>
      <w:r>
        <w:rPr>
          <w:rFonts w:hint="eastAsia"/>
        </w:rPr>
        <w:t>=1,2,3，′；</w:t>
      </w:r>
    </w:p>
    <w:p w14:paraId="54F8AD43">
      <w:pPr>
        <w:autoSpaceDE w:val="0"/>
        <w:autoSpaceDN w:val="0"/>
        <w:adjustRightInd w:val="0"/>
        <w:ind w:firstLine="480"/>
      </w:pPr>
      <w:r>
        <w:rPr>
          <w:position w:val="-12"/>
        </w:rPr>
        <w:object>
          <v:shape id="_x0000_i1053" o:spt="75" type="#_x0000_t75" style="height:19pt;width:12.9pt;" o:ole="t" filled="f" o:preferrelative="t" stroked="f" coordsize="21600,21600">
            <v:path/>
            <v:fill on="f" focussize="0,0"/>
            <v:stroke on="f" joinstyle="miter"/>
            <v:imagedata r:id="rId65" o:title=""/>
            <o:lock v:ext="edit" aspectratio="t"/>
            <w10:wrap type="none"/>
            <w10:anchorlock/>
          </v:shape>
          <o:OLEObject Type="Embed" ProgID="Equation.3" ShapeID="_x0000_i1053" DrawAspect="Content" ObjectID="_1468075753" r:id="rId64">
            <o:LockedField>false</o:LockedField>
          </o:OLEObject>
        </w:object>
      </w:r>
      <w:r>
        <w:t>—相邻工作面标称值，′。</w:t>
      </w:r>
    </w:p>
    <w:p w14:paraId="59E6D417">
      <w:pPr>
        <w:autoSpaceDE w:val="0"/>
        <w:autoSpaceDN w:val="0"/>
        <w:adjustRightInd w:val="0"/>
        <w:ind w:firstLine="480"/>
        <w:jc w:val="right"/>
        <w:rPr>
          <w:szCs w:val="21"/>
        </w:rPr>
      </w:pPr>
      <w:r>
        <w:rPr>
          <w:position w:val="-14"/>
          <w:szCs w:val="21"/>
        </w:rPr>
        <w:object>
          <v:shape id="_x0000_i1054" o:spt="75" type="#_x0000_t75" style="height:20.4pt;width:69.3pt;" o:ole="t" filled="f" o:preferrelative="t" stroked="f" coordsize="21600,21600">
            <v:path/>
            <v:fill on="f" focussize="0,0"/>
            <v:stroke on="f" joinstyle="miter"/>
            <v:imagedata r:id="rId67" o:title=""/>
            <o:lock v:ext="edit" aspectratio="t"/>
            <w10:wrap type="none"/>
            <w10:anchorlock/>
          </v:shape>
          <o:OLEObject Type="Embed" ProgID="Equation.3" ShapeID="_x0000_i1054" DrawAspect="Content" ObjectID="_1468075754" r:id="rId66">
            <o:LockedField>false</o:LockedField>
          </o:OLEObject>
        </w:object>
      </w:r>
      <w:r>
        <w:rPr>
          <w:rFonts w:hint="eastAsia"/>
          <w:szCs w:val="21"/>
        </w:rPr>
        <w:t xml:space="preserve">                     </w:t>
      </w:r>
      <w:r>
        <w:rPr>
          <w:szCs w:val="21"/>
        </w:rPr>
        <w:t>（</w:t>
      </w:r>
      <w:r>
        <w:rPr>
          <w:rFonts w:hint="eastAsia"/>
          <w:szCs w:val="21"/>
        </w:rPr>
        <w:t>9</w:t>
      </w:r>
      <w:r>
        <w:rPr>
          <w:szCs w:val="21"/>
        </w:rPr>
        <w:t>）</w:t>
      </w:r>
    </w:p>
    <w:p w14:paraId="697E88AB">
      <w:pPr>
        <w:autoSpaceDE w:val="0"/>
        <w:autoSpaceDN w:val="0"/>
        <w:adjustRightInd w:val="0"/>
        <w:ind w:firstLine="480"/>
        <w:rPr>
          <w:szCs w:val="21"/>
        </w:rPr>
      </w:pPr>
      <w:r>
        <w:rPr>
          <w:rFonts w:hint="eastAsia"/>
          <w:szCs w:val="21"/>
        </w:rPr>
        <w:t>式中：</w:t>
      </w:r>
    </w:p>
    <w:p w14:paraId="7ABF7C71">
      <w:pPr>
        <w:autoSpaceDE w:val="0"/>
        <w:autoSpaceDN w:val="0"/>
        <w:adjustRightInd w:val="0"/>
        <w:ind w:firstLine="480"/>
        <w:rPr>
          <w:szCs w:val="21"/>
        </w:rPr>
      </w:pPr>
      <w:r>
        <w:rPr>
          <w:position w:val="-6"/>
        </w:rPr>
        <w:object>
          <v:shape id="_x0000_i1055" o:spt="75" type="#_x0000_t75" style="height:14.25pt;width:9.5pt;" o:ole="t" filled="f" o:preferrelative="t" stroked="f" coordsize="21600,21600">
            <v:path/>
            <v:fill on="f" focussize="0,0"/>
            <v:stroke on="f" joinstyle="miter"/>
            <v:imagedata r:id="rId69" o:title=""/>
            <o:lock v:ext="edit" aspectratio="t"/>
            <w10:wrap type="none"/>
            <w10:anchorlock/>
          </v:shape>
          <o:OLEObject Type="Embed" ProgID="Equation.3" ShapeID="_x0000_i1055" DrawAspect="Content" ObjectID="_1468075755" r:id="rId68">
            <o:LockedField>false</o:LockedField>
          </o:OLEObject>
        </w:object>
      </w:r>
      <w:r>
        <w:t>—</w:t>
      </w:r>
      <w:r>
        <w:rPr>
          <w:rFonts w:hint="eastAsia"/>
          <w:szCs w:val="21"/>
        </w:rPr>
        <w:t>角度测量示值误差，′。</w:t>
      </w:r>
    </w:p>
    <w:p w14:paraId="5A5A2B53">
      <w:pPr>
        <w:numPr>
          <w:ilvl w:val="0"/>
          <w:numId w:val="14"/>
        </w:numPr>
        <w:autoSpaceDE w:val="0"/>
        <w:autoSpaceDN w:val="0"/>
        <w:adjustRightInd w:val="0"/>
        <w:spacing w:line="400" w:lineRule="exact"/>
        <w:rPr>
          <w:szCs w:val="21"/>
        </w:rPr>
      </w:pPr>
      <w:r>
        <w:rPr>
          <w:rFonts w:hint="eastAsia"/>
          <w:szCs w:val="21"/>
        </w:rPr>
        <w:t>角度测量重复性</w:t>
      </w:r>
    </w:p>
    <w:p w14:paraId="7983B0F1">
      <w:pPr>
        <w:autoSpaceDE w:val="0"/>
        <w:autoSpaceDN w:val="0"/>
        <w:adjustRightInd w:val="0"/>
        <w:ind w:firstLine="480"/>
        <w:rPr>
          <w:szCs w:val="21"/>
        </w:rPr>
      </w:pPr>
      <w:r>
        <w:rPr>
          <w:rFonts w:hint="eastAsia"/>
          <w:szCs w:val="21"/>
        </w:rPr>
        <w:t>将四等棱体放置于轮廓仪工作台上，调整棱体的侧边平行于触针滑行方向，对四等棱体任一工作角重复测量三次，按极差法计算实验标准偏差作为角度测量重复性，见公式（10）。</w:t>
      </w:r>
    </w:p>
    <w:p w14:paraId="2A37B441">
      <w:pPr>
        <w:autoSpaceDE w:val="0"/>
        <w:autoSpaceDN w:val="0"/>
        <w:adjustRightInd w:val="0"/>
        <w:ind w:firstLine="480"/>
        <w:jc w:val="right"/>
        <w:rPr>
          <w:szCs w:val="21"/>
        </w:rPr>
      </w:pPr>
      <w:r>
        <w:rPr>
          <w:position w:val="-24"/>
          <w:szCs w:val="21"/>
        </w:rPr>
        <w:object>
          <v:shape id="_x0000_i1056" o:spt="75" type="#_x0000_t75" style="height:33.3pt;width:135.15pt;" o:ole="t" filled="f" o:preferrelative="t" stroked="f" coordsize="21600,21600">
            <v:path/>
            <v:fill on="f" focussize="0,0"/>
            <v:stroke on="f" joinstyle="miter"/>
            <v:imagedata r:id="rId71" o:title=""/>
            <o:lock v:ext="edit" aspectratio="t"/>
            <w10:wrap type="none"/>
            <w10:anchorlock/>
          </v:shape>
          <o:OLEObject Type="Embed" ProgID="Equation.3" ShapeID="_x0000_i1056" DrawAspect="Content" ObjectID="_1468075756" r:id="rId70">
            <o:LockedField>false</o:LockedField>
          </o:OLEObject>
        </w:object>
      </w:r>
      <w:r>
        <w:rPr>
          <w:rFonts w:hint="eastAsia"/>
          <w:szCs w:val="21"/>
        </w:rPr>
        <w:t xml:space="preserve">                   </w:t>
      </w:r>
      <w:r>
        <w:rPr>
          <w:szCs w:val="21"/>
        </w:rPr>
        <w:t>（</w:t>
      </w:r>
      <w:r>
        <w:rPr>
          <w:rFonts w:hint="eastAsia"/>
          <w:szCs w:val="21"/>
        </w:rPr>
        <w:t>10</w:t>
      </w:r>
      <w:r>
        <w:rPr>
          <w:szCs w:val="21"/>
        </w:rPr>
        <w:t>）</w:t>
      </w:r>
    </w:p>
    <w:p w14:paraId="4B3D4A7D">
      <w:pPr>
        <w:autoSpaceDE w:val="0"/>
        <w:autoSpaceDN w:val="0"/>
        <w:adjustRightInd w:val="0"/>
        <w:ind w:firstLine="480"/>
        <w:rPr>
          <w:szCs w:val="21"/>
        </w:rPr>
      </w:pPr>
      <w:r>
        <w:rPr>
          <w:szCs w:val="21"/>
        </w:rPr>
        <w:t>式中：</w:t>
      </w:r>
    </w:p>
    <w:p w14:paraId="08337A59">
      <w:pPr>
        <w:autoSpaceDE w:val="0"/>
        <w:autoSpaceDN w:val="0"/>
        <w:adjustRightInd w:val="0"/>
        <w:ind w:firstLine="480"/>
      </w:pPr>
      <w:r>
        <w:rPr>
          <w:position w:val="-12"/>
        </w:rPr>
        <w:object>
          <v:shape id="_x0000_i1057" o:spt="75" type="#_x0000_t75" style="height:19pt;width:15.6pt;" o:ole="t" filled="f" o:preferrelative="t" stroked="f" coordsize="21600,21600">
            <v:path/>
            <v:fill on="f" focussize="0,0"/>
            <v:stroke on="f" joinstyle="miter"/>
            <v:imagedata r:id="rId73" o:title=""/>
            <o:lock v:ext="edit" aspectratio="t"/>
            <w10:wrap type="none"/>
            <w10:anchorlock/>
          </v:shape>
          <o:OLEObject Type="Embed" ProgID="Equation.3" ShapeID="_x0000_i1057" DrawAspect="Content" ObjectID="_1468075757" r:id="rId72">
            <o:LockedField>false</o:LockedField>
          </o:OLEObject>
        </w:object>
      </w:r>
      <w:r>
        <w:t>—半径测量重复性，mm；</w:t>
      </w:r>
    </w:p>
    <w:p w14:paraId="6FD6D404">
      <w:pPr>
        <w:tabs>
          <w:tab w:val="left" w:pos="510"/>
        </w:tabs>
        <w:autoSpaceDE w:val="0"/>
        <w:autoSpaceDN w:val="0"/>
        <w:adjustRightInd w:val="0"/>
        <w:ind w:firstLine="480"/>
      </w:pPr>
      <w:r>
        <w:rPr>
          <w:szCs w:val="21"/>
        </w:rPr>
        <w:tab/>
      </w:r>
      <w:r>
        <w:rPr>
          <w:position w:val="-12"/>
        </w:rPr>
        <w:object>
          <v:shape id="_x0000_i1058" o:spt="75" type="#_x0000_t75" style="height:19pt;width:44.85pt;" o:ole="t" filled="f" o:preferrelative="t" stroked="f" coordsize="21600,21600">
            <v:path/>
            <v:fill on="f" focussize="0,0"/>
            <v:stroke on="f" joinstyle="miter"/>
            <v:imagedata r:id="rId75" o:title=""/>
            <o:lock v:ext="edit" aspectratio="t"/>
            <w10:wrap type="none"/>
            <w10:anchorlock/>
          </v:shape>
          <o:OLEObject Type="Embed" ProgID="Equation.3" ShapeID="_x0000_i1058" DrawAspect="Content" ObjectID="_1468075758" r:id="rId74">
            <o:LockedField>false</o:LockedField>
          </o:OLEObject>
        </w:object>
      </w:r>
      <w:r>
        <w:t>—三次测量最大值，mm；</w:t>
      </w:r>
    </w:p>
    <w:p w14:paraId="214ECF4C">
      <w:pPr>
        <w:tabs>
          <w:tab w:val="left" w:pos="510"/>
        </w:tabs>
        <w:autoSpaceDE w:val="0"/>
        <w:autoSpaceDN w:val="0"/>
        <w:adjustRightInd w:val="0"/>
        <w:ind w:firstLine="480"/>
        <w:rPr>
          <w:szCs w:val="21"/>
        </w:rPr>
      </w:pPr>
      <w:r>
        <w:rPr>
          <w:position w:val="-12"/>
        </w:rPr>
        <w:object>
          <v:shape id="_x0000_i1059" o:spt="75" type="#_x0000_t75" style="height:19pt;width:42.8pt;" o:ole="t" filled="f" o:preferrelative="t" stroked="f" coordsize="21600,21600">
            <v:path/>
            <v:fill on="f" focussize="0,0"/>
            <v:stroke on="f" joinstyle="miter"/>
            <v:imagedata r:id="rId77" o:title=""/>
            <o:lock v:ext="edit" aspectratio="t"/>
            <w10:wrap type="none"/>
            <w10:anchorlock/>
          </v:shape>
          <o:OLEObject Type="Embed" ProgID="Equation.3" ShapeID="_x0000_i1059" DrawAspect="Content" ObjectID="_1468075759" r:id="rId76">
            <o:LockedField>false</o:LockedField>
          </o:OLEObject>
        </w:object>
      </w:r>
      <w:r>
        <w:t>—三次测量最小值，mm。</w:t>
      </w:r>
    </w:p>
    <w:p w14:paraId="252BE8E0">
      <w:pPr>
        <w:spacing w:line="360" w:lineRule="auto"/>
        <w:ind w:firstLine="420" w:firstLineChars="200"/>
        <w:rPr>
          <w:color w:val="0000FF"/>
          <w:kern w:val="0"/>
          <w:szCs w:val="21"/>
        </w:rPr>
      </w:pPr>
      <w:r>
        <w:rPr>
          <w:rFonts w:hint="eastAsia"/>
        </w:rPr>
        <w:t>XX</w:t>
      </w:r>
      <w:r>
        <w:t>示值误差</w:t>
      </w:r>
      <w:r>
        <w:rPr>
          <w:rFonts w:hint="eastAsia" w:eastAsiaTheme="minorEastAsia"/>
          <w:kern w:val="0"/>
          <w:szCs w:val="21"/>
        </w:rPr>
        <w:t>校准方法是依据XX公司的作业指导书/XXX文件，并参考了GB XXX等对XX的要求，对XX的校准方法进行编写。根据专家意见，为了更</w:t>
      </w:r>
      <w:r>
        <w:rPr>
          <w:rFonts w:cs="宋体"/>
          <w:color w:val="000000"/>
          <w:kern w:val="0"/>
          <w:szCs w:val="21"/>
        </w:rPr>
        <w:t>准确</w:t>
      </w:r>
      <w:r>
        <w:rPr>
          <w:rFonts w:hint="eastAsia" w:cs="宋体"/>
          <w:color w:val="000000"/>
          <w:kern w:val="0"/>
          <w:szCs w:val="21"/>
        </w:rPr>
        <w:t>地</w:t>
      </w:r>
      <w:r>
        <w:rPr>
          <w:rFonts w:cs="宋体"/>
          <w:color w:val="000000"/>
          <w:kern w:val="0"/>
          <w:szCs w:val="21"/>
        </w:rPr>
        <w:t>描述对刻线标距示值误差的测量方法</w:t>
      </w:r>
      <w:r>
        <w:rPr>
          <w:rFonts w:hint="eastAsia" w:cs="宋体"/>
          <w:color w:val="000000"/>
          <w:kern w:val="0"/>
          <w:szCs w:val="21"/>
        </w:rPr>
        <w:t>，增加了</w:t>
      </w:r>
      <w:r>
        <w:rPr>
          <w:rFonts w:cs="宋体"/>
          <w:color w:val="000000"/>
          <w:kern w:val="0"/>
          <w:szCs w:val="21"/>
        </w:rPr>
        <w:t>确定标距刻线的方式</w:t>
      </w:r>
      <w:r>
        <w:rPr>
          <w:rFonts w:hint="eastAsia" w:cs="宋体"/>
          <w:color w:val="000000"/>
          <w:kern w:val="0"/>
          <w:szCs w:val="21"/>
        </w:rPr>
        <w:t>。</w:t>
      </w:r>
      <w:r>
        <w:rPr>
          <w:rFonts w:hint="eastAsia" w:cs="宋体"/>
          <w:color w:val="0000FF"/>
          <w:kern w:val="0"/>
          <w:szCs w:val="21"/>
        </w:rPr>
        <w:t>（将各会议的表格内容用描述性语言放到相关位置）</w:t>
      </w:r>
    </w:p>
    <w:p w14:paraId="60643C8F">
      <w:pPr>
        <w:spacing w:line="360" w:lineRule="auto"/>
        <w:ind w:firstLine="420" w:firstLineChars="200"/>
        <w:rPr>
          <w:rFonts w:eastAsiaTheme="minorEastAsia"/>
          <w:kern w:val="0"/>
          <w:szCs w:val="21"/>
        </w:rPr>
      </w:pPr>
      <w:r>
        <w:rPr>
          <w:rFonts w:hint="eastAsia"/>
        </w:rPr>
        <w:t>XX</w:t>
      </w:r>
      <w:r>
        <w:t>重复性</w:t>
      </w:r>
      <w:r>
        <w:rPr>
          <w:rFonts w:hint="eastAsia" w:eastAsiaTheme="minorEastAsia"/>
          <w:kern w:val="0"/>
          <w:szCs w:val="21"/>
        </w:rPr>
        <w:t>校准方法是依据作业指导书/XXX文件，并参考了GB XXX等对XX的要求。在XX（讨论/预审/审定）会议中，经专家讨论，并结合XX公司的验证报告/实际使用情况，对XX的方法进行了修改。在其中，针对遇到的XX问题，XX专家对此进行了激烈的讨论。</w:t>
      </w:r>
    </w:p>
    <w:bookmarkEnd w:id="60"/>
    <w:bookmarkEnd w:id="61"/>
    <w:p w14:paraId="792A0A62">
      <w:pPr>
        <w:pStyle w:val="4"/>
        <w:spacing w:before="156" w:after="156"/>
        <w:rPr>
          <w:b w:val="0"/>
          <w:bCs w:val="0"/>
        </w:rPr>
      </w:pPr>
      <w:bookmarkStart w:id="62" w:name="_Toc193618956"/>
      <w:bookmarkStart w:id="63" w:name="_Toc193619059"/>
      <w:bookmarkStart w:id="64" w:name="_Toc193860219"/>
      <w:bookmarkStart w:id="65" w:name="_Toc193860038"/>
      <w:bookmarkStart w:id="66" w:name="_Toc193860188"/>
      <w:bookmarkStart w:id="67" w:name="_Toc193619101"/>
      <w:bookmarkStart w:id="68" w:name="_Toc500258947"/>
      <w:bookmarkStart w:id="69" w:name="_Toc25466_WPSOffice_Level1"/>
      <w:r>
        <w:rPr>
          <w:rFonts w:hint="eastAsia"/>
          <w:b w:val="0"/>
          <w:bCs w:val="0"/>
        </w:rPr>
        <w:t>7 校准结果</w:t>
      </w:r>
      <w:bookmarkEnd w:id="62"/>
      <w:bookmarkEnd w:id="63"/>
      <w:bookmarkEnd w:id="64"/>
      <w:bookmarkEnd w:id="65"/>
      <w:bookmarkEnd w:id="66"/>
      <w:bookmarkEnd w:id="67"/>
      <w:r>
        <w:rPr>
          <w:rFonts w:hint="eastAsia"/>
          <w:b w:val="0"/>
          <w:bCs w:val="0"/>
        </w:rPr>
        <w:t>表达</w:t>
      </w:r>
      <w:bookmarkEnd w:id="68"/>
      <w:bookmarkEnd w:id="69"/>
    </w:p>
    <w:p w14:paraId="465179C8">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根据实验室环境要求、校准项目校准结果、测量不确定度评定结果等，按照JJF 1071-2010推荐的校准报告格式，出具校准证书。</w:t>
      </w:r>
    </w:p>
    <w:p w14:paraId="1985A5BB">
      <w:pPr>
        <w:pStyle w:val="4"/>
        <w:spacing w:before="156" w:after="156"/>
        <w:rPr>
          <w:b w:val="0"/>
          <w:bCs w:val="0"/>
        </w:rPr>
      </w:pPr>
      <w:bookmarkStart w:id="70" w:name="_Toc193860040"/>
      <w:bookmarkStart w:id="71" w:name="_Toc193860220"/>
      <w:bookmarkStart w:id="72" w:name="_Toc5529"/>
      <w:bookmarkStart w:id="73" w:name="_Toc14803_WPSOffice_Level1"/>
      <w:bookmarkStart w:id="74" w:name="_Toc193860189"/>
      <w:bookmarkStart w:id="75" w:name="_Toc193860041"/>
      <w:r>
        <w:rPr>
          <w:rFonts w:hint="eastAsia"/>
          <w:b w:val="0"/>
          <w:bCs w:val="0"/>
        </w:rPr>
        <w:t>8 复校</w:t>
      </w:r>
      <w:bookmarkEnd w:id="70"/>
      <w:bookmarkEnd w:id="71"/>
      <w:bookmarkEnd w:id="72"/>
      <w:bookmarkEnd w:id="73"/>
      <w:bookmarkEnd w:id="74"/>
      <w:r>
        <w:rPr>
          <w:rFonts w:hint="eastAsia"/>
          <w:b w:val="0"/>
          <w:bCs w:val="0"/>
        </w:rPr>
        <w:t>时间间隔</w:t>
      </w:r>
    </w:p>
    <w:bookmarkEnd w:id="75"/>
    <w:p w14:paraId="6AA44026">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复校时间间隔的长短取决于其使用情况，使用单位可根据实际使用情况自主决定复校的时间，建议复校时间间隔为1年。</w:t>
      </w:r>
    </w:p>
    <w:p w14:paraId="7D725746">
      <w:pPr>
        <w:pStyle w:val="4"/>
        <w:spacing w:before="156" w:after="156"/>
        <w:rPr>
          <w:b w:val="0"/>
          <w:bCs w:val="0"/>
        </w:rPr>
      </w:pPr>
      <w:r>
        <w:rPr>
          <w:rFonts w:hint="eastAsia"/>
          <w:b w:val="0"/>
          <w:bCs w:val="0"/>
        </w:rPr>
        <w:t>9附录</w:t>
      </w:r>
    </w:p>
    <w:p w14:paraId="644DFC0A">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附录主要包含校准原始记录参考格式、校准证书内页参考格式、刻线机示值误差测量不确定度评定示例。</w:t>
      </w:r>
    </w:p>
    <w:p w14:paraId="470E3786">
      <w:pPr>
        <w:adjustRightInd w:val="0"/>
        <w:snapToGrid w:val="0"/>
        <w:spacing w:line="360" w:lineRule="auto"/>
        <w:ind w:firstLine="420" w:firstLineChars="200"/>
      </w:pPr>
      <w:r>
        <w:rPr>
          <w:rFonts w:hint="eastAsia"/>
        </w:rPr>
        <w:t>本规范设置了</w:t>
      </w:r>
      <w:r>
        <w:t>3</w:t>
      </w:r>
      <w:r>
        <w:rPr>
          <w:rFonts w:hint="eastAsia"/>
        </w:rPr>
        <w:t>个附录，便于校准时参考和规范。</w:t>
      </w:r>
    </w:p>
    <w:p w14:paraId="4AE498A7">
      <w:pPr>
        <w:adjustRightInd w:val="0"/>
        <w:snapToGrid w:val="0"/>
        <w:spacing w:line="360" w:lineRule="auto"/>
        <w:ind w:firstLine="420" w:firstLineChars="200"/>
      </w:pPr>
      <w:r>
        <w:rPr>
          <w:rFonts w:hint="eastAsia"/>
        </w:rPr>
        <w:t>附录A校准记录参考格式</w:t>
      </w:r>
    </w:p>
    <w:p w14:paraId="0A03BA10">
      <w:pPr>
        <w:adjustRightInd w:val="0"/>
        <w:snapToGrid w:val="0"/>
        <w:spacing w:line="360" w:lineRule="auto"/>
        <w:ind w:firstLine="420" w:firstLineChars="200"/>
      </w:pPr>
      <w:r>
        <w:rPr>
          <w:rFonts w:hint="eastAsia"/>
        </w:rPr>
        <w:t>附录B校准证书内页参考格式</w:t>
      </w:r>
    </w:p>
    <w:p w14:paraId="3B06179E">
      <w:pPr>
        <w:adjustRightInd w:val="0"/>
        <w:snapToGrid w:val="0"/>
        <w:spacing w:line="360" w:lineRule="auto"/>
        <w:ind w:firstLine="420" w:firstLineChars="200"/>
      </w:pPr>
      <w:r>
        <w:rPr>
          <w:rFonts w:hint="eastAsia"/>
        </w:rPr>
        <w:t>附录C轮廓仪示值误差测量不确定度评定示例</w:t>
      </w:r>
    </w:p>
    <w:bookmarkEnd w:id="1"/>
    <w:bookmarkEnd w:id="19"/>
    <w:p w14:paraId="2AFCDFB9">
      <w:pPr>
        <w:pStyle w:val="2"/>
        <w:spacing w:before="156" w:after="156"/>
        <w:rPr>
          <w:b w:val="0"/>
          <w:bCs w:val="0"/>
        </w:rPr>
      </w:pPr>
      <w:bookmarkStart w:id="76" w:name="_Toc464728965"/>
      <w:r>
        <w:rPr>
          <w:rFonts w:hint="eastAsia"/>
          <w:b w:val="0"/>
          <w:bCs w:val="0"/>
        </w:rPr>
        <w:t>三、实践检测情况</w:t>
      </w:r>
    </w:p>
    <w:p w14:paraId="0D9686AE">
      <w:pPr>
        <w:adjustRightInd w:val="0"/>
        <w:spacing w:line="360" w:lineRule="auto"/>
        <w:ind w:firstLine="420" w:firstLineChars="200"/>
      </w:pPr>
      <w:r>
        <w:rPr>
          <w:rFonts w:hint="eastAsia"/>
        </w:rPr>
        <w:t>XXX</w:t>
      </w:r>
      <w:r>
        <w:t>公司</w:t>
      </w:r>
      <w:r>
        <w:rPr>
          <w:rFonts w:hint="eastAsia"/>
        </w:rPr>
        <w:t>、XXX公司、XX公司</w:t>
      </w:r>
      <w:r>
        <w:t>根据本规范</w:t>
      </w:r>
      <w:r>
        <w:rPr>
          <w:rFonts w:hint="eastAsia"/>
        </w:rPr>
        <w:t>的校准项目</w:t>
      </w:r>
      <w:r>
        <w:t>对</w:t>
      </w:r>
      <w:r>
        <w:rPr>
          <w:rFonts w:hint="eastAsia"/>
        </w:rPr>
        <w:t>XXX</w:t>
      </w:r>
      <w:r>
        <w:t>进行了全计量特性的校准，内容详见校准报告。</w:t>
      </w:r>
    </w:p>
    <w:p w14:paraId="3DFA68F3">
      <w:pPr>
        <w:pStyle w:val="2"/>
        <w:spacing w:before="156" w:after="156"/>
        <w:rPr>
          <w:b w:val="0"/>
          <w:bCs w:val="0"/>
        </w:rPr>
      </w:pPr>
      <w:r>
        <w:rPr>
          <w:rFonts w:hint="eastAsia"/>
          <w:b w:val="0"/>
          <w:bCs w:val="0"/>
        </w:rPr>
        <w:t>四、规范水平分析</w:t>
      </w:r>
      <w:bookmarkEnd w:id="76"/>
    </w:p>
    <w:p w14:paraId="31823E52">
      <w:pPr>
        <w:adjustRightInd w:val="0"/>
        <w:spacing w:line="360" w:lineRule="auto"/>
        <w:ind w:firstLine="420" w:firstLineChars="200"/>
        <w:rPr>
          <w:rFonts w:ascii="宋体" w:hAnsi="宋体"/>
          <w:szCs w:val="21"/>
        </w:rPr>
      </w:pPr>
      <w:r>
        <w:t xml:space="preserve">目前，国家和各省检定规程和校准规范中，类似的校准规范如JJF(吉)96-2016《激光标线仪校准规范》、JJF (津) 01-2019《激光投线仪校准规范》只针对以激光为标尺，进行空间坐标的校准，主要用于室内装潢等领域，而JJG(苏)67-2006 </w:t>
      </w:r>
      <w:r>
        <w:rPr>
          <w:rFonts w:hint="eastAsia"/>
        </w:rPr>
        <w:t>《</w:t>
      </w:r>
      <w:r>
        <w:t>钢筋标距仪</w:t>
      </w:r>
      <w:r>
        <w:rPr>
          <w:rFonts w:hint="eastAsia"/>
        </w:rPr>
        <w:t>》</w:t>
      </w:r>
      <w:r>
        <w:t>只针对钢筋标距检定做了规定，</w:t>
      </w:r>
      <w:r>
        <w:rPr>
          <w:rFonts w:hint="eastAsia"/>
        </w:rPr>
        <w:t>对于</w:t>
      </w:r>
      <w:r>
        <w:t>激光标距</w:t>
      </w:r>
      <w:r>
        <w:rPr>
          <w:rFonts w:hint="eastAsia"/>
        </w:rPr>
        <w:t>刻线机的</w:t>
      </w:r>
      <w:r>
        <w:t>校准和检定无统一的</w:t>
      </w:r>
      <w:r>
        <w:rPr>
          <w:rFonts w:hint="eastAsia"/>
        </w:rPr>
        <w:t>校准</w:t>
      </w:r>
      <w:r>
        <w:t>依据</w:t>
      </w:r>
      <w:r>
        <w:rPr>
          <w:rFonts w:hint="eastAsia" w:ascii="宋体" w:hAnsi="宋体"/>
          <w:szCs w:val="21"/>
        </w:rPr>
        <w:t>。</w:t>
      </w:r>
    </w:p>
    <w:p w14:paraId="653902B5">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w:t>
      </w:r>
      <w:r>
        <w:rPr>
          <w:rFonts w:hint="eastAsia"/>
          <w:szCs w:val="21"/>
        </w:rPr>
        <w:t>本规范的制定填补了有色金属行业XXX的校准空白，属于国内首创，水平达到国内领先/国际一般/国际先进。</w:t>
      </w:r>
      <w:r>
        <w:rPr>
          <w:rFonts w:hint="eastAsia"/>
          <w:color w:val="0000FF"/>
          <w:szCs w:val="21"/>
        </w:rPr>
        <w:t>（水平应与审查意见一致）</w:t>
      </w:r>
    </w:p>
    <w:p w14:paraId="78D0A0E7">
      <w:pPr>
        <w:pStyle w:val="2"/>
        <w:spacing w:before="156" w:after="156"/>
        <w:rPr>
          <w:b w:val="0"/>
          <w:bCs w:val="0"/>
        </w:rPr>
      </w:pPr>
      <w:r>
        <w:rPr>
          <w:rFonts w:hint="eastAsia"/>
          <w:b w:val="0"/>
          <w:bCs w:val="0"/>
        </w:rPr>
        <w:t>五、与有关的现行法律、法规和强制性国家标准的关系</w:t>
      </w:r>
    </w:p>
    <w:p w14:paraId="457462A8">
      <w:pPr>
        <w:pStyle w:val="58"/>
        <w:spacing w:line="300" w:lineRule="auto"/>
        <w:ind w:firstLine="420"/>
      </w:pPr>
      <w:r>
        <w:rPr>
          <w:rFonts w:hint="eastAsia"/>
        </w:rPr>
        <w:t>本规范所引用的规程、规范及标准均为我国现行有效的计量规程及规范，是本规范的一部分，引用这些文件后，使本规范的要求与现行的相关法律、法规、规章及相关规程规范的关系不矛盾、不冲突，相互关系协调。</w:t>
      </w:r>
    </w:p>
    <w:p w14:paraId="02A3451E">
      <w:pPr>
        <w:pStyle w:val="2"/>
        <w:spacing w:before="156" w:after="156"/>
        <w:rPr>
          <w:b w:val="0"/>
          <w:bCs w:val="0"/>
        </w:rPr>
      </w:pPr>
      <w:bookmarkStart w:id="77" w:name="_Toc464728973"/>
      <w:r>
        <w:rPr>
          <w:rFonts w:hint="eastAsia"/>
          <w:b w:val="0"/>
          <w:bCs w:val="0"/>
        </w:rPr>
        <w:t>六、规范中涉及的专利或知识产权说明</w:t>
      </w:r>
      <w:bookmarkEnd w:id="77"/>
    </w:p>
    <w:p w14:paraId="299DC839">
      <w:pPr>
        <w:pStyle w:val="58"/>
        <w:spacing w:line="300" w:lineRule="auto"/>
        <w:ind w:firstLineChars="0"/>
        <w:contextualSpacing/>
        <w:rPr>
          <w:szCs w:val="21"/>
        </w:rPr>
      </w:pPr>
      <w:bookmarkStart w:id="78" w:name="_Toc464728974"/>
      <w:r>
        <w:rPr>
          <w:rFonts w:hint="eastAsia"/>
          <w:szCs w:val="21"/>
        </w:rPr>
        <w:t>无。</w:t>
      </w:r>
    </w:p>
    <w:p w14:paraId="53C9573F">
      <w:pPr>
        <w:pStyle w:val="2"/>
        <w:spacing w:before="156" w:after="156"/>
        <w:rPr>
          <w:b w:val="0"/>
          <w:bCs w:val="0"/>
        </w:rPr>
      </w:pPr>
      <w:r>
        <w:rPr>
          <w:rFonts w:hint="eastAsia"/>
          <w:b w:val="0"/>
          <w:bCs w:val="0"/>
        </w:rPr>
        <w:t>七、重大分歧意见的处理经过和依据</w:t>
      </w:r>
      <w:bookmarkEnd w:id="78"/>
    </w:p>
    <w:p w14:paraId="319477A5">
      <w:pPr>
        <w:pStyle w:val="58"/>
        <w:spacing w:line="300" w:lineRule="auto"/>
        <w:ind w:firstLine="420"/>
        <w:contextualSpacing/>
        <w:rPr>
          <w:szCs w:val="21"/>
        </w:rPr>
      </w:pPr>
      <w:r>
        <w:rPr>
          <w:rFonts w:hint="eastAsia"/>
          <w:szCs w:val="21"/>
        </w:rPr>
        <w:t>无。</w:t>
      </w:r>
    </w:p>
    <w:p w14:paraId="0AC5AEC9">
      <w:pPr>
        <w:pStyle w:val="2"/>
        <w:spacing w:before="156" w:after="156"/>
        <w:rPr>
          <w:b w:val="0"/>
          <w:bCs w:val="0"/>
        </w:rPr>
      </w:pPr>
      <w:r>
        <w:rPr>
          <w:rFonts w:hint="eastAsia"/>
          <w:b w:val="0"/>
          <w:bCs w:val="0"/>
        </w:rPr>
        <w:t>八、规范作为国家（或行业）计量技术规范的建议</w:t>
      </w:r>
    </w:p>
    <w:p w14:paraId="19E5C11B">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14:paraId="40A32508">
      <w:pPr>
        <w:pStyle w:val="2"/>
        <w:spacing w:before="156" w:after="156"/>
        <w:rPr>
          <w:b w:val="0"/>
          <w:bCs w:val="0"/>
        </w:rPr>
      </w:pPr>
      <w:bookmarkStart w:id="79" w:name="_Toc464728976"/>
      <w:r>
        <w:rPr>
          <w:rFonts w:hint="eastAsia"/>
          <w:b w:val="0"/>
          <w:bCs w:val="0"/>
        </w:rPr>
        <w:t>九、贯彻规范的要求和措施建议</w:t>
      </w:r>
      <w:bookmarkEnd w:id="79"/>
    </w:p>
    <w:p w14:paraId="5E3B873C">
      <w:pPr>
        <w:pStyle w:val="58"/>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14:paraId="0F15FBCA">
      <w:pPr>
        <w:pStyle w:val="2"/>
        <w:spacing w:before="156" w:after="156"/>
        <w:rPr>
          <w:b w:val="0"/>
          <w:bCs w:val="0"/>
        </w:rPr>
      </w:pPr>
      <w:bookmarkStart w:id="80" w:name="_Toc464728977"/>
      <w:r>
        <w:rPr>
          <w:rFonts w:hint="eastAsia"/>
          <w:b w:val="0"/>
          <w:bCs w:val="0"/>
        </w:rPr>
        <w:t>十、废止现行有关规范的建议</w:t>
      </w:r>
      <w:bookmarkEnd w:id="80"/>
    </w:p>
    <w:p w14:paraId="7CE131BA">
      <w:pPr>
        <w:pStyle w:val="58"/>
        <w:spacing w:line="300" w:lineRule="auto"/>
        <w:ind w:firstLine="420"/>
        <w:contextualSpacing/>
        <w:rPr>
          <w:szCs w:val="21"/>
        </w:rPr>
      </w:pPr>
      <w:r>
        <w:rPr>
          <w:rFonts w:hint="eastAsia"/>
          <w:szCs w:val="21"/>
        </w:rPr>
        <w:t>无。</w:t>
      </w:r>
    </w:p>
    <w:p w14:paraId="5CB59B67">
      <w:pPr>
        <w:pStyle w:val="2"/>
        <w:spacing w:before="156" w:after="156"/>
        <w:rPr>
          <w:b w:val="0"/>
          <w:bCs w:val="0"/>
        </w:rPr>
      </w:pPr>
      <w:r>
        <w:rPr>
          <w:rFonts w:hint="eastAsia"/>
          <w:b w:val="0"/>
          <w:bCs w:val="0"/>
        </w:rPr>
        <w:t>十一、预期效果</w:t>
      </w:r>
    </w:p>
    <w:p w14:paraId="086325FB">
      <w:pPr>
        <w:ind w:firstLine="420" w:firstLineChars="200"/>
        <w:rPr>
          <w:rFonts w:ascii="宋体" w:hAnsi="宋体"/>
          <w:kern w:val="0"/>
          <w:szCs w:val="21"/>
        </w:rPr>
      </w:pPr>
      <w:r>
        <w:rPr>
          <w:rFonts w:hint="eastAsia" w:ascii="宋体" w:hAnsi="宋体"/>
          <w:kern w:val="0"/>
          <w:szCs w:val="21"/>
        </w:rPr>
        <w:t>本</w:t>
      </w:r>
      <w:r>
        <w:rPr>
          <w:rFonts w:ascii="宋体" w:hAnsi="宋体"/>
          <w:kern w:val="0"/>
          <w:szCs w:val="21"/>
        </w:rPr>
        <w:t>规范</w:t>
      </w:r>
      <w:r>
        <w:rPr>
          <w:rFonts w:hint="eastAsia" w:ascii="宋体" w:hAnsi="宋体"/>
          <w:kern w:val="0"/>
          <w:szCs w:val="21"/>
        </w:rPr>
        <w:t>发布后，能</w:t>
      </w:r>
      <w:r>
        <w:rPr>
          <w:rFonts w:ascii="宋体" w:hAnsi="宋体"/>
          <w:kern w:val="0"/>
          <w:szCs w:val="21"/>
        </w:rPr>
        <w:t>解决</w:t>
      </w:r>
      <w:r>
        <w:rPr>
          <w:rFonts w:hint="eastAsia" w:ascii="宋体" w:hAnsi="宋体"/>
          <w:kern w:val="0"/>
          <w:szCs w:val="21"/>
        </w:rPr>
        <w:t>XXX</w:t>
      </w:r>
      <w:r>
        <w:rPr>
          <w:rFonts w:ascii="宋体" w:hAnsi="宋体"/>
          <w:kern w:val="0"/>
          <w:szCs w:val="21"/>
        </w:rPr>
        <w:t>校准方法不统一、校准方法差异化、计量标准技术指标不明确、校准点的选择不统一、</w:t>
      </w:r>
      <w:r>
        <w:rPr>
          <w:rFonts w:hint="eastAsia" w:ascii="宋体" w:hAnsi="宋体"/>
          <w:kern w:val="0"/>
          <w:szCs w:val="21"/>
        </w:rPr>
        <w:t>XXX</w:t>
      </w:r>
      <w:r>
        <w:rPr>
          <w:rFonts w:ascii="宋体" w:hAnsi="宋体"/>
          <w:kern w:val="0"/>
          <w:szCs w:val="21"/>
        </w:rPr>
        <w:t>的校准方法未规定等问题，弥补</w:t>
      </w:r>
      <w:r>
        <w:rPr>
          <w:rFonts w:hint="eastAsia" w:ascii="宋体" w:hAnsi="宋体"/>
          <w:kern w:val="0"/>
          <w:szCs w:val="21"/>
        </w:rPr>
        <w:t>XXXX</w:t>
      </w:r>
      <w:r>
        <w:rPr>
          <w:rFonts w:ascii="宋体" w:hAnsi="宋体"/>
          <w:kern w:val="0"/>
          <w:szCs w:val="21"/>
        </w:rPr>
        <w:t>校准的空白，</w:t>
      </w:r>
      <w:r>
        <w:rPr>
          <w:rFonts w:hint="eastAsia" w:ascii="宋体" w:hAnsi="宋体"/>
          <w:kern w:val="0"/>
          <w:szCs w:val="21"/>
        </w:rPr>
        <w:t>为保证XXXX测试结果的准确可靠</w:t>
      </w:r>
      <w:r>
        <w:rPr>
          <w:rFonts w:ascii="宋体" w:hAnsi="宋体"/>
          <w:kern w:val="0"/>
          <w:szCs w:val="21"/>
        </w:rPr>
        <w:t>提供保证，从而提高刻线精度的准确性。</w:t>
      </w:r>
    </w:p>
    <w:p w14:paraId="77F6A8E6">
      <w:pPr>
        <w:pStyle w:val="2"/>
        <w:spacing w:before="156" w:after="156"/>
        <w:rPr>
          <w:b w:val="0"/>
          <w:bCs w:val="0"/>
        </w:rPr>
      </w:pPr>
      <w:r>
        <w:rPr>
          <w:rFonts w:hint="eastAsia"/>
          <w:b w:val="0"/>
          <w:bCs w:val="0"/>
        </w:rPr>
        <w:t>十一、其他应予说明的事项</w:t>
      </w:r>
    </w:p>
    <w:p w14:paraId="188D3114">
      <w:pPr>
        <w:pStyle w:val="58"/>
        <w:spacing w:line="300" w:lineRule="auto"/>
        <w:ind w:firstLineChars="0"/>
        <w:contextualSpacing/>
        <w:rPr>
          <w:szCs w:val="21"/>
        </w:rPr>
      </w:pPr>
      <w:r>
        <w:rPr>
          <w:rFonts w:hint="eastAsia"/>
          <w:szCs w:val="21"/>
        </w:rPr>
        <w:t>无。</w:t>
      </w:r>
    </w:p>
    <w:p w14:paraId="363A4529">
      <w:pPr>
        <w:pStyle w:val="58"/>
        <w:spacing w:line="300" w:lineRule="auto"/>
        <w:ind w:firstLineChars="0"/>
        <w:contextualSpacing/>
        <w:rPr>
          <w:szCs w:val="21"/>
        </w:rPr>
      </w:pPr>
    </w:p>
    <w:p w14:paraId="2E46BDCE">
      <w:pPr>
        <w:pStyle w:val="58"/>
        <w:spacing w:line="300" w:lineRule="auto"/>
        <w:ind w:firstLineChars="0"/>
        <w:contextualSpacing/>
        <w:jc w:val="right"/>
        <w:rPr>
          <w:rFonts w:ascii="Times New Roman" w:hAnsi="Times New Roman" w:eastAsia="黑体"/>
        </w:rPr>
      </w:pPr>
      <w:r>
        <w:rPr>
          <w:rFonts w:ascii="Times New Roman" w:hAnsi="Times New Roman" w:eastAsia="黑体"/>
        </w:rPr>
        <w:t xml:space="preserve"> </w:t>
      </w:r>
    </w:p>
    <w:p w14:paraId="08895DE3">
      <w:pPr>
        <w:pStyle w:val="58"/>
        <w:spacing w:line="300" w:lineRule="auto"/>
        <w:ind w:firstLineChars="0"/>
        <w:contextualSpacing/>
        <w:jc w:val="right"/>
        <w:rPr>
          <w:rFonts w:ascii="Times New Roman" w:hAnsi="Times New Roman" w:eastAsia="黑体"/>
        </w:rPr>
      </w:pPr>
    </w:p>
    <w:p w14:paraId="38A651BB">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w:t>
      </w:r>
      <w:r>
        <w:rPr>
          <w:rFonts w:hint="eastAsia" w:ascii="Times New Roman" w:hAnsi="Times New Roman" w:eastAsia="方正行楷简体"/>
          <w:szCs w:val="21"/>
        </w:rPr>
        <w:t>接触（触针）式表面轮廓测量仪校准规范</w:t>
      </w:r>
      <w:r>
        <w:rPr>
          <w:rFonts w:ascii="Times New Roman" w:hAnsi="Times New Roman" w:eastAsia="方正行楷简体"/>
          <w:szCs w:val="21"/>
        </w:rPr>
        <w:t xml:space="preserve">》编制组  </w:t>
      </w:r>
    </w:p>
    <w:p w14:paraId="2C08C576">
      <w:pPr>
        <w:pStyle w:val="58"/>
        <w:spacing w:line="300" w:lineRule="auto"/>
        <w:ind w:firstLineChars="0"/>
        <w:contextualSpacing/>
        <w:jc w:val="right"/>
        <w:rPr>
          <w:szCs w:val="21"/>
        </w:rPr>
      </w:pPr>
      <w:r>
        <w:rPr>
          <w:rFonts w:ascii="Times New Roman" w:hAnsi="Times New Roman" w:eastAsia="方正行楷简体"/>
          <w:szCs w:val="21"/>
        </w:rPr>
        <w:t>202</w:t>
      </w:r>
      <w:r>
        <w:rPr>
          <w:rFonts w:hint="eastAsia" w:ascii="Times New Roman" w:hAnsi="Times New Roman" w:eastAsia="方正行楷简体"/>
          <w:szCs w:val="21"/>
          <w:lang w:val="en-US" w:eastAsia="zh-CN"/>
        </w:rPr>
        <w:t>5</w:t>
      </w:r>
      <w:bookmarkStart w:id="82" w:name="_GoBack"/>
      <w:bookmarkEnd w:id="82"/>
      <w:r>
        <w:rPr>
          <w:rFonts w:ascii="Times New Roman" w:hAnsi="Times New Roman" w:eastAsia="方正行楷简体"/>
          <w:szCs w:val="21"/>
        </w:rPr>
        <w:t>年</w:t>
      </w:r>
      <w:r>
        <w:rPr>
          <w:rFonts w:hint="eastAsia" w:ascii="Times New Roman" w:hAnsi="Times New Roman" w:eastAsia="方正行楷简体"/>
          <w:szCs w:val="21"/>
          <w:lang w:val="en-US" w:eastAsia="zh-CN"/>
        </w:rPr>
        <w:t>6</w:t>
      </w:r>
      <w:r>
        <w:rPr>
          <w:rFonts w:ascii="Times New Roman" w:hAnsi="Times New Roman" w:eastAsia="方正行楷简体"/>
          <w:szCs w:val="21"/>
        </w:rPr>
        <w:t>月</w:t>
      </w:r>
      <w:r>
        <w:rPr>
          <w:rFonts w:hint="eastAsia" w:ascii="Times New Roman" w:hAnsi="Times New Roman" w:eastAsia="方正行楷简体"/>
          <w:szCs w:val="21"/>
          <w:lang w:val="en-US" w:eastAsia="zh-CN"/>
        </w:rPr>
        <w:t>6</w:t>
      </w:r>
      <w:r>
        <w:rPr>
          <w:rFonts w:ascii="Times New Roman" w:hAnsi="Times New Roman" w:eastAsia="方正行楷简体"/>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BCC1">
    <w:pPr>
      <w:pStyle w:val="73"/>
      <w:jc w:val="center"/>
      <w:rPr>
        <w:rStyle w:val="45"/>
      </w:rPr>
    </w:pPr>
    <w:r>
      <w:fldChar w:fldCharType="begin"/>
    </w:r>
    <w:r>
      <w:rPr>
        <w:rStyle w:val="45"/>
      </w:rPr>
      <w:instrText xml:space="preserve">PAGE  </w:instrText>
    </w:r>
    <w:r>
      <w:fldChar w:fldCharType="separate"/>
    </w:r>
    <w:r>
      <w:rPr>
        <w:rStyle w:val="45"/>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0643">
    <w:pPr>
      <w:pStyle w:val="30"/>
      <w:jc w:val="both"/>
    </w:pPr>
  </w:p>
  <w:p w14:paraId="04DC1127">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1E7B">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E3028A"/>
    <w:multiLevelType w:val="multilevel"/>
    <w:tmpl w:val="14E3028A"/>
    <w:lvl w:ilvl="0" w:tentative="0">
      <w:start w:val="1"/>
      <w:numFmt w:val="decimal"/>
      <w:lvlText w:val="2.%1"/>
      <w:lvlJc w:val="left"/>
      <w:pPr>
        <w:ind w:left="420" w:hanging="420"/>
      </w:pPr>
      <w:rPr>
        <w:rFonts w:hint="default"/>
      </w:rPr>
    </w:lvl>
    <w:lvl w:ilvl="1" w:tentative="0">
      <w:start w:val="1"/>
      <w:numFmt w:val="decimal"/>
      <w:lvlText w:val="4.%2"/>
      <w:lvlJc w:val="left"/>
      <w:pPr>
        <w:ind w:left="420" w:hanging="420"/>
      </w:pPr>
      <w:rPr>
        <w:rFonts w:hint="eastAsia"/>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413860"/>
    <w:multiLevelType w:val="multilevel"/>
    <w:tmpl w:val="2E41386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69374D"/>
    <w:multiLevelType w:val="multilevel"/>
    <w:tmpl w:val="3C6937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E612EC"/>
    <w:multiLevelType w:val="multilevel"/>
    <w:tmpl w:val="6BE612EC"/>
    <w:lvl w:ilvl="0" w:tentative="0">
      <w:start w:val="1"/>
      <w:numFmt w:val="decimal"/>
      <w:lvlText w:val="6.%1"/>
      <w:lvlJc w:val="left"/>
      <w:pPr>
        <w:ind w:left="420" w:hanging="420"/>
      </w:pPr>
      <w:rPr>
        <w:rFonts w:hint="default"/>
        <w:sz w:val="21"/>
        <w:szCs w:val="21"/>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0F77"/>
    <w:rsid w:val="0005764E"/>
    <w:rsid w:val="000657B2"/>
    <w:rsid w:val="0006679C"/>
    <w:rsid w:val="0007070D"/>
    <w:rsid w:val="00073A74"/>
    <w:rsid w:val="00084878"/>
    <w:rsid w:val="000971D5"/>
    <w:rsid w:val="000C1F88"/>
    <w:rsid w:val="000C772A"/>
    <w:rsid w:val="000F15FB"/>
    <w:rsid w:val="000F714B"/>
    <w:rsid w:val="00100912"/>
    <w:rsid w:val="00104CBC"/>
    <w:rsid w:val="001164A0"/>
    <w:rsid w:val="0012155C"/>
    <w:rsid w:val="00122AD8"/>
    <w:rsid w:val="00136813"/>
    <w:rsid w:val="0014120B"/>
    <w:rsid w:val="00150062"/>
    <w:rsid w:val="00151323"/>
    <w:rsid w:val="001527ED"/>
    <w:rsid w:val="001859F4"/>
    <w:rsid w:val="0019431C"/>
    <w:rsid w:val="001A06A8"/>
    <w:rsid w:val="001A4F75"/>
    <w:rsid w:val="001C13CE"/>
    <w:rsid w:val="001C7BB8"/>
    <w:rsid w:val="001D0501"/>
    <w:rsid w:val="001E0288"/>
    <w:rsid w:val="001E09C6"/>
    <w:rsid w:val="00235374"/>
    <w:rsid w:val="00244291"/>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265F2"/>
    <w:rsid w:val="004508BB"/>
    <w:rsid w:val="00455FE9"/>
    <w:rsid w:val="0046211B"/>
    <w:rsid w:val="00464019"/>
    <w:rsid w:val="00472194"/>
    <w:rsid w:val="00482AD2"/>
    <w:rsid w:val="0048362B"/>
    <w:rsid w:val="00497039"/>
    <w:rsid w:val="004A27E5"/>
    <w:rsid w:val="004B1DE2"/>
    <w:rsid w:val="004B3BD5"/>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0B5"/>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B7D2A"/>
    <w:rsid w:val="006C188A"/>
    <w:rsid w:val="006C2258"/>
    <w:rsid w:val="006C2AF8"/>
    <w:rsid w:val="006D1B98"/>
    <w:rsid w:val="006D7E99"/>
    <w:rsid w:val="006E11F0"/>
    <w:rsid w:val="006E4CB0"/>
    <w:rsid w:val="00707309"/>
    <w:rsid w:val="00724E03"/>
    <w:rsid w:val="00733C71"/>
    <w:rsid w:val="00735A75"/>
    <w:rsid w:val="007373AB"/>
    <w:rsid w:val="00740702"/>
    <w:rsid w:val="00743BA2"/>
    <w:rsid w:val="00743BAC"/>
    <w:rsid w:val="00745C76"/>
    <w:rsid w:val="00746BAC"/>
    <w:rsid w:val="00750ED3"/>
    <w:rsid w:val="00764D0A"/>
    <w:rsid w:val="00765621"/>
    <w:rsid w:val="007901C0"/>
    <w:rsid w:val="007902D1"/>
    <w:rsid w:val="00796CF0"/>
    <w:rsid w:val="007A3BEE"/>
    <w:rsid w:val="007C15E3"/>
    <w:rsid w:val="007D5B84"/>
    <w:rsid w:val="007E56C9"/>
    <w:rsid w:val="00804BC8"/>
    <w:rsid w:val="00820F69"/>
    <w:rsid w:val="00824B04"/>
    <w:rsid w:val="00826DAA"/>
    <w:rsid w:val="008461B6"/>
    <w:rsid w:val="0085122B"/>
    <w:rsid w:val="00854EC4"/>
    <w:rsid w:val="0086056F"/>
    <w:rsid w:val="0086378F"/>
    <w:rsid w:val="008754EE"/>
    <w:rsid w:val="00876D87"/>
    <w:rsid w:val="008B22FC"/>
    <w:rsid w:val="008C672E"/>
    <w:rsid w:val="008E415E"/>
    <w:rsid w:val="008F5DCA"/>
    <w:rsid w:val="009052E4"/>
    <w:rsid w:val="009111C1"/>
    <w:rsid w:val="00913ED1"/>
    <w:rsid w:val="00930DB4"/>
    <w:rsid w:val="00933D2C"/>
    <w:rsid w:val="00946B7D"/>
    <w:rsid w:val="009513C5"/>
    <w:rsid w:val="009542EF"/>
    <w:rsid w:val="00954DA4"/>
    <w:rsid w:val="00967A11"/>
    <w:rsid w:val="00971240"/>
    <w:rsid w:val="00977A4A"/>
    <w:rsid w:val="009A12AB"/>
    <w:rsid w:val="009B4929"/>
    <w:rsid w:val="009C0597"/>
    <w:rsid w:val="009C2D10"/>
    <w:rsid w:val="009D79FA"/>
    <w:rsid w:val="009E3D09"/>
    <w:rsid w:val="009E7EB9"/>
    <w:rsid w:val="009F420F"/>
    <w:rsid w:val="00A06113"/>
    <w:rsid w:val="00A11A21"/>
    <w:rsid w:val="00A12727"/>
    <w:rsid w:val="00A1378A"/>
    <w:rsid w:val="00A1497C"/>
    <w:rsid w:val="00A15577"/>
    <w:rsid w:val="00A3211C"/>
    <w:rsid w:val="00A363F7"/>
    <w:rsid w:val="00A40E4F"/>
    <w:rsid w:val="00A47FE2"/>
    <w:rsid w:val="00A56163"/>
    <w:rsid w:val="00A662E8"/>
    <w:rsid w:val="00A77511"/>
    <w:rsid w:val="00A7790F"/>
    <w:rsid w:val="00A8043A"/>
    <w:rsid w:val="00A8426B"/>
    <w:rsid w:val="00A86AF0"/>
    <w:rsid w:val="00A87866"/>
    <w:rsid w:val="00AC0924"/>
    <w:rsid w:val="00AD093B"/>
    <w:rsid w:val="00AE0B35"/>
    <w:rsid w:val="00AE47AC"/>
    <w:rsid w:val="00AF7111"/>
    <w:rsid w:val="00B056DA"/>
    <w:rsid w:val="00B05E25"/>
    <w:rsid w:val="00B07D3B"/>
    <w:rsid w:val="00B219A1"/>
    <w:rsid w:val="00B27476"/>
    <w:rsid w:val="00B369B6"/>
    <w:rsid w:val="00B43636"/>
    <w:rsid w:val="00B45E9C"/>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C03A4F"/>
    <w:rsid w:val="00C05320"/>
    <w:rsid w:val="00C058B2"/>
    <w:rsid w:val="00C10883"/>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D13"/>
    <w:rsid w:val="00CD759E"/>
    <w:rsid w:val="00CF3CAA"/>
    <w:rsid w:val="00D01726"/>
    <w:rsid w:val="00D16568"/>
    <w:rsid w:val="00D17115"/>
    <w:rsid w:val="00D23221"/>
    <w:rsid w:val="00D436F5"/>
    <w:rsid w:val="00D6471A"/>
    <w:rsid w:val="00D81C1D"/>
    <w:rsid w:val="00D85454"/>
    <w:rsid w:val="00D86648"/>
    <w:rsid w:val="00D903E4"/>
    <w:rsid w:val="00DA22D1"/>
    <w:rsid w:val="00DA5D5E"/>
    <w:rsid w:val="00DB4F65"/>
    <w:rsid w:val="00DD6769"/>
    <w:rsid w:val="00DD7D39"/>
    <w:rsid w:val="00DE144C"/>
    <w:rsid w:val="00E002FF"/>
    <w:rsid w:val="00E019C6"/>
    <w:rsid w:val="00E06601"/>
    <w:rsid w:val="00E15312"/>
    <w:rsid w:val="00E179CE"/>
    <w:rsid w:val="00E22714"/>
    <w:rsid w:val="00E23465"/>
    <w:rsid w:val="00E31A7B"/>
    <w:rsid w:val="00E32480"/>
    <w:rsid w:val="00E71DCC"/>
    <w:rsid w:val="00E82471"/>
    <w:rsid w:val="00E911BC"/>
    <w:rsid w:val="00EB2994"/>
    <w:rsid w:val="00EC149D"/>
    <w:rsid w:val="00ED5F91"/>
    <w:rsid w:val="00EE5988"/>
    <w:rsid w:val="00F10C9E"/>
    <w:rsid w:val="00F32186"/>
    <w:rsid w:val="00F3447A"/>
    <w:rsid w:val="00F379EC"/>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4731467"/>
    <w:rsid w:val="05F125DB"/>
    <w:rsid w:val="06716757"/>
    <w:rsid w:val="07DC0ED5"/>
    <w:rsid w:val="0904785D"/>
    <w:rsid w:val="09573966"/>
    <w:rsid w:val="0A781AE7"/>
    <w:rsid w:val="0CB9457A"/>
    <w:rsid w:val="0CCA0314"/>
    <w:rsid w:val="0D064911"/>
    <w:rsid w:val="0D8022CA"/>
    <w:rsid w:val="0E6513CA"/>
    <w:rsid w:val="0F9D3A7F"/>
    <w:rsid w:val="11471F43"/>
    <w:rsid w:val="13877F6B"/>
    <w:rsid w:val="13B1031D"/>
    <w:rsid w:val="14317D7D"/>
    <w:rsid w:val="14FE0CE9"/>
    <w:rsid w:val="158E7867"/>
    <w:rsid w:val="162A7F08"/>
    <w:rsid w:val="16A67923"/>
    <w:rsid w:val="174C2AB4"/>
    <w:rsid w:val="17E64F25"/>
    <w:rsid w:val="1C803B53"/>
    <w:rsid w:val="1D671CC9"/>
    <w:rsid w:val="1E713A82"/>
    <w:rsid w:val="1F5A1A25"/>
    <w:rsid w:val="1F714057"/>
    <w:rsid w:val="1FAB00D4"/>
    <w:rsid w:val="208E75B3"/>
    <w:rsid w:val="218A16C9"/>
    <w:rsid w:val="21BE3478"/>
    <w:rsid w:val="21D04080"/>
    <w:rsid w:val="22423DCF"/>
    <w:rsid w:val="225C10E7"/>
    <w:rsid w:val="23A74BBD"/>
    <w:rsid w:val="23D43A72"/>
    <w:rsid w:val="277C51D7"/>
    <w:rsid w:val="27BD3A55"/>
    <w:rsid w:val="28A00A66"/>
    <w:rsid w:val="29846CB3"/>
    <w:rsid w:val="29E46257"/>
    <w:rsid w:val="2A4110A1"/>
    <w:rsid w:val="2AB85E2C"/>
    <w:rsid w:val="2C147130"/>
    <w:rsid w:val="2C281A12"/>
    <w:rsid w:val="2E772BB0"/>
    <w:rsid w:val="2F656952"/>
    <w:rsid w:val="2FBE527A"/>
    <w:rsid w:val="31B57A58"/>
    <w:rsid w:val="325F3B1A"/>
    <w:rsid w:val="34745E77"/>
    <w:rsid w:val="34CD5E22"/>
    <w:rsid w:val="36AE69D8"/>
    <w:rsid w:val="38B6063A"/>
    <w:rsid w:val="39E63C45"/>
    <w:rsid w:val="3A910669"/>
    <w:rsid w:val="3BFA1058"/>
    <w:rsid w:val="3EBA5BC3"/>
    <w:rsid w:val="3FE25D82"/>
    <w:rsid w:val="414956DF"/>
    <w:rsid w:val="420E5348"/>
    <w:rsid w:val="425F603B"/>
    <w:rsid w:val="4286740D"/>
    <w:rsid w:val="43A67182"/>
    <w:rsid w:val="44100726"/>
    <w:rsid w:val="44347A9B"/>
    <w:rsid w:val="44CE02A0"/>
    <w:rsid w:val="456D3D97"/>
    <w:rsid w:val="45E87405"/>
    <w:rsid w:val="46474D73"/>
    <w:rsid w:val="465C4787"/>
    <w:rsid w:val="473A498E"/>
    <w:rsid w:val="47552183"/>
    <w:rsid w:val="48211129"/>
    <w:rsid w:val="48BE5C4B"/>
    <w:rsid w:val="49214E6F"/>
    <w:rsid w:val="4AE6291D"/>
    <w:rsid w:val="4AEA403C"/>
    <w:rsid w:val="4B8C5809"/>
    <w:rsid w:val="4B933E1A"/>
    <w:rsid w:val="4D432356"/>
    <w:rsid w:val="4E3430C7"/>
    <w:rsid w:val="4FA7278A"/>
    <w:rsid w:val="50011CA3"/>
    <w:rsid w:val="51051BD9"/>
    <w:rsid w:val="51442F7B"/>
    <w:rsid w:val="52A97DDB"/>
    <w:rsid w:val="55152B55"/>
    <w:rsid w:val="56154CA2"/>
    <w:rsid w:val="56A00E5A"/>
    <w:rsid w:val="57676F98"/>
    <w:rsid w:val="58DA5965"/>
    <w:rsid w:val="590A235B"/>
    <w:rsid w:val="5A931503"/>
    <w:rsid w:val="5A971C98"/>
    <w:rsid w:val="5AC42DA1"/>
    <w:rsid w:val="5AFA5C95"/>
    <w:rsid w:val="5CDE078E"/>
    <w:rsid w:val="5DC655CC"/>
    <w:rsid w:val="5F776EED"/>
    <w:rsid w:val="605176D9"/>
    <w:rsid w:val="61690122"/>
    <w:rsid w:val="62B34EBF"/>
    <w:rsid w:val="63F828E6"/>
    <w:rsid w:val="654D6460"/>
    <w:rsid w:val="6760797E"/>
    <w:rsid w:val="694F496D"/>
    <w:rsid w:val="69BC4907"/>
    <w:rsid w:val="6AB57C02"/>
    <w:rsid w:val="6AE574EF"/>
    <w:rsid w:val="6AF7022D"/>
    <w:rsid w:val="6B27051F"/>
    <w:rsid w:val="6B753BDA"/>
    <w:rsid w:val="6B770841"/>
    <w:rsid w:val="6D281A14"/>
    <w:rsid w:val="6E8A0C2B"/>
    <w:rsid w:val="6E9A1846"/>
    <w:rsid w:val="6EF60757"/>
    <w:rsid w:val="70757340"/>
    <w:rsid w:val="70A61265"/>
    <w:rsid w:val="70FA146A"/>
    <w:rsid w:val="710228B1"/>
    <w:rsid w:val="73A7009A"/>
    <w:rsid w:val="73B95B2E"/>
    <w:rsid w:val="74130018"/>
    <w:rsid w:val="74D35BFF"/>
    <w:rsid w:val="77CE2BEC"/>
    <w:rsid w:val="78931FA4"/>
    <w:rsid w:val="78CE2872"/>
    <w:rsid w:val="78DB44BD"/>
    <w:rsid w:val="795C2ECE"/>
    <w:rsid w:val="7AC746C7"/>
    <w:rsid w:val="7AC757F1"/>
    <w:rsid w:val="7B0E2307"/>
    <w:rsid w:val="7B207CB9"/>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autoRedefine/>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autoRedefine/>
    <w:qFormat/>
    <w:uiPriority w:val="0"/>
    <w:pPr>
      <w:spacing w:after="120"/>
    </w:pPr>
  </w:style>
  <w:style w:type="paragraph" w:styleId="22">
    <w:name w:val="Body Text Indent"/>
    <w:basedOn w:val="1"/>
    <w:link w:val="286"/>
    <w:autoRedefine/>
    <w:qFormat/>
    <w:uiPriority w:val="0"/>
    <w:pPr>
      <w:spacing w:line="360" w:lineRule="exact"/>
      <w:ind w:left="420" w:firstLine="480"/>
    </w:pPr>
    <w:rPr>
      <w:sz w:val="24"/>
      <w:szCs w:val="20"/>
    </w:rPr>
  </w:style>
  <w:style w:type="paragraph" w:styleId="23">
    <w:name w:val="HTML Address"/>
    <w:basedOn w:val="1"/>
    <w:autoRedefine/>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autoRedefine/>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qFormat/>
    <w:uiPriority w:val="0"/>
    <w:rPr>
      <w:sz w:val="18"/>
      <w:szCs w:val="18"/>
    </w:rPr>
  </w:style>
  <w:style w:type="paragraph" w:styleId="30">
    <w:name w:val="footer"/>
    <w:basedOn w:val="1"/>
    <w:link w:val="285"/>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308"/>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qFormat/>
    <w:uiPriority w:val="0"/>
    <w:rPr>
      <w:b/>
      <w:bCs/>
    </w:rPr>
  </w:style>
  <w:style w:type="paragraph" w:styleId="40">
    <w:name w:val="Body Text First Indent"/>
    <w:basedOn w:val="21"/>
    <w:autoRedefine/>
    <w:qFormat/>
    <w:uiPriority w:val="0"/>
    <w:pPr>
      <w:ind w:firstLine="420"/>
    </w:pPr>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unhideWhenUsed/>
    <w:qFormat/>
    <w:uiPriority w:val="0"/>
    <w:rPr>
      <w:color w:val="800080"/>
      <w:u w:val="single"/>
    </w:rPr>
  </w:style>
  <w:style w:type="character" w:styleId="47">
    <w:name w:val="HTML Definition"/>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qFormat/>
    <w:uiPriority w:val="0"/>
  </w:style>
  <w:style w:type="character" w:styleId="50">
    <w:name w:val="HTML Variable"/>
    <w:qFormat/>
    <w:uiPriority w:val="0"/>
    <w:rPr>
      <w:i/>
      <w:iCs/>
    </w:rPr>
  </w:style>
  <w:style w:type="character" w:styleId="51">
    <w:name w:val="Hyperlink"/>
    <w:basedOn w:val="43"/>
    <w:qFormat/>
    <w:uiPriority w:val="99"/>
    <w:rPr>
      <w:rFonts w:ascii="Times New Roman" w:hAnsi="Times New Roman" w:eastAsia="宋体"/>
      <w:color w:val="auto"/>
      <w:spacing w:val="0"/>
      <w:w w:val="100"/>
      <w:position w:val="0"/>
      <w:sz w:val="21"/>
      <w:u w:val="none"/>
    </w:rPr>
  </w:style>
  <w:style w:type="character" w:styleId="52">
    <w:name w:val="HTML Cod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qFormat/>
    <w:uiPriority w:val="0"/>
    <w:rPr>
      <w:i/>
      <w:iCs/>
    </w:rPr>
  </w:style>
  <w:style w:type="character" w:styleId="55">
    <w:name w:val="footnote reference"/>
    <w:qFormat/>
    <w:uiPriority w:val="0"/>
    <w:rPr>
      <w:vertAlign w:val="superscript"/>
    </w:rPr>
  </w:style>
  <w:style w:type="character" w:styleId="56">
    <w:name w:val="HTML Keyboard"/>
    <w:qFormat/>
    <w:uiPriority w:val="0"/>
    <w:rPr>
      <w:rFonts w:ascii="Courier New" w:hAnsi="Courier New"/>
      <w:sz w:val="20"/>
      <w:szCs w:val="20"/>
    </w:rPr>
  </w:style>
  <w:style w:type="character" w:styleId="57">
    <w:name w:val="HTML Sample"/>
    <w:qFormat/>
    <w:uiPriority w:val="0"/>
    <w:rPr>
      <w:rFonts w:ascii="Courier New" w:hAnsi="Courier New"/>
    </w:rPr>
  </w:style>
  <w:style w:type="paragraph" w:customStyle="1" w:styleId="58">
    <w:name w:val="段"/>
    <w:link w:val="275"/>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qFormat/>
    <w:uiPriority w:val="0"/>
    <w:pPr>
      <w:adjustRightInd w:val="0"/>
      <w:spacing w:before="357" w:line="280" w:lineRule="exact"/>
    </w:pPr>
  </w:style>
  <w:style w:type="paragraph" w:customStyle="1" w:styleId="6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qFormat/>
    <w:uiPriority w:val="0"/>
    <w:pPr>
      <w:numPr>
        <w:ilvl w:val="0"/>
        <w:numId w:val="2"/>
      </w:numPr>
      <w:tabs>
        <w:tab w:val="left" w:pos="6405"/>
      </w:tabs>
      <w:spacing w:after="200"/>
    </w:pPr>
    <w:rPr>
      <w:sz w:val="21"/>
    </w:rPr>
  </w:style>
  <w:style w:type="paragraph" w:customStyle="1" w:styleId="66">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qFormat/>
    <w:uiPriority w:val="0"/>
    <w:pPr>
      <w:numPr>
        <w:ilvl w:val="5"/>
      </w:numPr>
      <w:outlineLvl w:val="5"/>
    </w:pPr>
  </w:style>
  <w:style w:type="paragraph" w:customStyle="1" w:styleId="71">
    <w:name w:val="三级条标题"/>
    <w:basedOn w:val="59"/>
    <w:next w:val="58"/>
    <w:link w:val="281"/>
    <w:qFormat/>
    <w:uiPriority w:val="0"/>
    <w:pPr>
      <w:numPr>
        <w:ilvl w:val="4"/>
      </w:numPr>
      <w:outlineLvl w:val="4"/>
    </w:pPr>
  </w:style>
  <w:style w:type="paragraph" w:customStyle="1" w:styleId="72">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qFormat/>
    <w:uiPriority w:val="0"/>
    <w:pPr>
      <w:numPr>
        <w:numId w:val="0"/>
      </w:numPr>
      <w:spacing w:after="200"/>
    </w:pPr>
    <w:rPr>
      <w:sz w:val="21"/>
    </w:rPr>
  </w:style>
  <w:style w:type="paragraph" w:customStyle="1" w:styleId="7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qFormat/>
    <w:uiPriority w:val="0"/>
    <w:pPr>
      <w:jc w:val="right"/>
    </w:p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条文脚注"/>
    <w:basedOn w:val="32"/>
    <w:qFormat/>
    <w:uiPriority w:val="0"/>
    <w:pPr>
      <w:ind w:left="780" w:leftChars="200" w:hanging="360" w:hangingChars="200"/>
      <w:jc w:val="both"/>
    </w:pPr>
    <w:rPr>
      <w:rFonts w:ascii="宋体"/>
    </w:rPr>
  </w:style>
  <w:style w:type="paragraph" w:customStyle="1" w:styleId="79">
    <w:name w:val="附录章标题"/>
    <w:next w:val="58"/>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qFormat/>
    <w:uiPriority w:val="0"/>
    <w:pPr>
      <w:numPr>
        <w:ilvl w:val="6"/>
        <w:numId w:val="5"/>
      </w:numPr>
    </w:p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qFormat/>
    <w:uiPriority w:val="0"/>
    <w:pPr>
      <w:numPr>
        <w:ilvl w:val="6"/>
      </w:numPr>
      <w:outlineLvl w:val="6"/>
    </w:pPr>
  </w:style>
  <w:style w:type="paragraph" w:customStyle="1" w:styleId="100">
    <w:name w:val="附录四级条标题"/>
    <w:basedOn w:val="101"/>
    <w:next w:val="58"/>
    <w:qFormat/>
    <w:uiPriority w:val="0"/>
    <w:pPr>
      <w:numPr>
        <w:ilvl w:val="5"/>
      </w:numPr>
      <w:outlineLvl w:val="5"/>
    </w:pPr>
  </w:style>
  <w:style w:type="paragraph" w:customStyle="1" w:styleId="101">
    <w:name w:val="附录三级条标题"/>
    <w:basedOn w:val="102"/>
    <w:next w:val="58"/>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qFormat/>
    <w:uiPriority w:val="0"/>
    <w:pPr>
      <w:numPr>
        <w:ilvl w:val="2"/>
      </w:numPr>
      <w:autoSpaceDN w:val="0"/>
      <w:spacing w:beforeLines="0" w:afterLines="0"/>
      <w:outlineLvl w:val="2"/>
    </w:p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qFormat/>
    <w:uiPriority w:val="0"/>
    <w:pPr>
      <w:numPr>
        <w:ilvl w:val="5"/>
        <w:numId w:val="5"/>
      </w:numPr>
    </w:pPr>
  </w:style>
  <w:style w:type="paragraph" w:customStyle="1" w:styleId="111">
    <w:name w:val="目次、标准名称标题"/>
    <w:basedOn w:val="66"/>
    <w:next w:val="58"/>
    <w:qFormat/>
    <w:uiPriority w:val="0"/>
    <w:pPr>
      <w:numPr>
        <w:numId w:val="0"/>
      </w:numPr>
      <w:spacing w:line="460" w:lineRule="exact"/>
    </w:pPr>
  </w:style>
  <w:style w:type="paragraph" w:customStyle="1" w:styleId="112">
    <w:name w:val="标准书眉一"/>
    <w:qFormat/>
    <w:uiPriority w:val="0"/>
    <w:pPr>
      <w:jc w:val="both"/>
    </w:pPr>
    <w:rPr>
      <w:rFonts w:ascii="Times New Roman" w:hAnsi="Times New Roman" w:eastAsia="宋体" w:cs="Times New Roman"/>
      <w:lang w:val="en-US" w:eastAsia="zh-CN" w:bidi="ar-SA"/>
    </w:rPr>
  </w:style>
  <w:style w:type="paragraph" w:customStyle="1" w:styleId="1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qFormat/>
    <w:uiPriority w:val="0"/>
    <w:pPr>
      <w:spacing w:line="0" w:lineRule="atLeast"/>
    </w:pPr>
    <w:rPr>
      <w:rFonts w:ascii="黑体" w:eastAsia="黑体"/>
      <w:b w:val="0"/>
    </w:rPr>
  </w:style>
  <w:style w:type="paragraph" w:customStyle="1" w:styleId="115">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qFormat/>
    <w:uiPriority w:val="0"/>
    <w:pPr>
      <w:numPr>
        <w:ilvl w:val="4"/>
        <w:numId w:val="5"/>
      </w:numPr>
    </w:p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qFormat/>
    <w:uiPriority w:val="0"/>
    <w:pPr>
      <w:numPr>
        <w:ilvl w:val="2"/>
        <w:numId w:val="5"/>
      </w:numPr>
    </w:pPr>
  </w:style>
  <w:style w:type="paragraph" w:customStyle="1" w:styleId="119">
    <w:name w:val="封面标准代替信息"/>
    <w:basedOn w:val="63"/>
    <w:qFormat/>
    <w:uiPriority w:val="0"/>
    <w:pPr>
      <w:spacing w:before="57"/>
    </w:pPr>
    <w:rPr>
      <w:rFonts w:ascii="宋体"/>
      <w:sz w:val="21"/>
    </w:rPr>
  </w:style>
  <w:style w:type="paragraph" w:customStyle="1" w:styleId="120">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qFormat/>
    <w:uiPriority w:val="0"/>
    <w:pPr>
      <w:widowControl/>
      <w:spacing w:before="100" w:beforeAutospacing="1" w:after="100" w:afterAutospacing="1"/>
      <w:jc w:val="left"/>
    </w:pPr>
    <w:rPr>
      <w:b/>
      <w:bCs/>
      <w:kern w:val="0"/>
      <w:sz w:val="20"/>
      <w:szCs w:val="20"/>
    </w:rPr>
  </w:style>
  <w:style w:type="paragraph" w:customStyle="1" w:styleId="124">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qFormat/>
    <w:uiPriority w:val="0"/>
    <w:pPr>
      <w:adjustRightInd w:val="0"/>
      <w:jc w:val="center"/>
    </w:pPr>
    <w:rPr>
      <w:rFonts w:eastAsia="黑体"/>
      <w:kern w:val="0"/>
      <w:sz w:val="52"/>
      <w:szCs w:val="20"/>
    </w:rPr>
  </w:style>
  <w:style w:type="paragraph" w:customStyle="1" w:styleId="147">
    <w:name w:val="样式2"/>
    <w:basedOn w:val="71"/>
    <w:qFormat/>
    <w:uiPriority w:val="0"/>
    <w:pPr>
      <w:numPr>
        <w:numId w:val="0"/>
      </w:numPr>
      <w:spacing w:line="240" w:lineRule="auto"/>
      <w:ind w:left="454"/>
    </w:pPr>
    <w:rPr>
      <w:color w:val="auto"/>
      <w:spacing w:val="0"/>
      <w:szCs w:val="20"/>
    </w:rPr>
  </w:style>
  <w:style w:type="paragraph" w:customStyle="1" w:styleId="148">
    <w:name w:val="列出段落1"/>
    <w:basedOn w:val="1"/>
    <w:qFormat/>
    <w:uiPriority w:val="34"/>
    <w:pPr>
      <w:ind w:firstLine="420" w:firstLineChars="200"/>
    </w:pPr>
    <w:rPr>
      <w:rFonts w:ascii="Calibri" w:hAnsi="Calibri"/>
      <w:szCs w:val="22"/>
    </w:rPr>
  </w:style>
  <w:style w:type="paragraph" w:customStyle="1" w:styleId="149">
    <w:name w:val="图表脚注说明"/>
    <w:basedOn w:val="1"/>
    <w:qFormat/>
    <w:uiPriority w:val="0"/>
    <w:rPr>
      <w:rFonts w:ascii="宋体"/>
      <w:sz w:val="18"/>
      <w:szCs w:val="18"/>
    </w:rPr>
  </w:style>
  <w:style w:type="paragraph" w:customStyle="1" w:styleId="150">
    <w:name w:val="Char11"/>
    <w:basedOn w:val="1"/>
    <w:qFormat/>
    <w:uiPriority w:val="0"/>
    <w:pPr>
      <w:widowControl/>
      <w:spacing w:after="160" w:line="240" w:lineRule="exact"/>
      <w:jc w:val="left"/>
    </w:pPr>
  </w:style>
  <w:style w:type="paragraph" w:customStyle="1" w:styleId="151">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qFormat/>
    <w:uiPriority w:val="34"/>
    <w:pPr>
      <w:ind w:firstLine="420" w:firstLineChars="200"/>
    </w:pPr>
    <w:rPr>
      <w:sz w:val="24"/>
    </w:rPr>
  </w:style>
  <w:style w:type="paragraph" w:customStyle="1" w:styleId="153">
    <w:name w:val="Char1 Char Char Char"/>
    <w:basedOn w:val="1"/>
    <w:qFormat/>
    <w:uiPriority w:val="0"/>
    <w:rPr>
      <w:szCs w:val="20"/>
    </w:rPr>
  </w:style>
  <w:style w:type="paragraph" w:customStyle="1" w:styleId="154">
    <w:name w:val="Char1"/>
    <w:basedOn w:val="1"/>
    <w:qFormat/>
    <w:uiPriority w:val="0"/>
    <w:pPr>
      <w:widowControl/>
      <w:spacing w:after="160" w:line="240" w:lineRule="exact"/>
      <w:jc w:val="left"/>
    </w:pPr>
  </w:style>
  <w:style w:type="paragraph" w:customStyle="1" w:styleId="155">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qFormat/>
    <w:uiPriority w:val="0"/>
    <w:pPr>
      <w:widowControl/>
      <w:spacing w:after="160" w:line="240" w:lineRule="exact"/>
      <w:jc w:val="left"/>
    </w:pPr>
  </w:style>
  <w:style w:type="paragraph" w:customStyle="1" w:styleId="266">
    <w:name w:val="正文1"/>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qFormat/>
    <w:uiPriority w:val="0"/>
    <w:rPr>
      <w:rFonts w:ascii="黑体" w:eastAsia="黑体"/>
      <w:spacing w:val="22"/>
      <w:w w:val="100"/>
      <w:position w:val="3"/>
      <w:sz w:val="28"/>
    </w:rPr>
  </w:style>
  <w:style w:type="character" w:customStyle="1" w:styleId="274">
    <w:name w:val="个人答复风格"/>
    <w:qFormat/>
    <w:uiPriority w:val="0"/>
    <w:rPr>
      <w:rFonts w:ascii="Arial" w:hAnsi="Arial" w:eastAsia="宋体" w:cs="Arial"/>
      <w:color w:val="auto"/>
      <w:sz w:val="20"/>
    </w:rPr>
  </w:style>
  <w:style w:type="character" w:customStyle="1" w:styleId="275">
    <w:name w:val="段 Char"/>
    <w:link w:val="58"/>
    <w:qFormat/>
    <w:uiPriority w:val="0"/>
    <w:rPr>
      <w:rFonts w:ascii="宋体" w:hAnsi="宋体" w:eastAsia="宋体"/>
      <w:sz w:val="21"/>
      <w:lang w:val="en-US" w:eastAsia="zh-CN" w:bidi="ar-SA"/>
    </w:rPr>
  </w:style>
  <w:style w:type="character" w:customStyle="1" w:styleId="276">
    <w:name w:val="个人撰写风格"/>
    <w:qFormat/>
    <w:uiPriority w:val="0"/>
    <w:rPr>
      <w:rFonts w:ascii="Arial" w:hAnsi="Arial" w:eastAsia="宋体" w:cs="Arial"/>
      <w:color w:val="auto"/>
      <w:sz w:val="20"/>
    </w:rPr>
  </w:style>
  <w:style w:type="character" w:customStyle="1" w:styleId="277">
    <w:name w:val="二级条标题 Char"/>
    <w:link w:val="59"/>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qFormat/>
    <w:uiPriority w:val="0"/>
    <w:rPr>
      <w:rFonts w:ascii="黑体" w:hAnsi="Times New Roman" w:eastAsia="黑体" w:cs="Times New Roman"/>
      <w:sz w:val="21"/>
    </w:rPr>
  </w:style>
  <w:style w:type="character" w:customStyle="1" w:styleId="279">
    <w:name w:val="一级条标题 Char"/>
    <w:link w:val="60"/>
    <w:qFormat/>
    <w:uiPriority w:val="0"/>
    <w:rPr>
      <w:rFonts w:ascii="黑体" w:hAnsi="Times New Roman" w:eastAsia="黑体" w:cs="Times New Roman"/>
      <w:color w:val="FF0000"/>
      <w:spacing w:val="-4"/>
      <w:sz w:val="21"/>
      <w:szCs w:val="24"/>
    </w:rPr>
  </w:style>
  <w:style w:type="character" w:customStyle="1" w:styleId="280">
    <w:name w:val="纯文本 Char"/>
    <w:link w:val="24"/>
    <w:qFormat/>
    <w:uiPriority w:val="99"/>
    <w:rPr>
      <w:rFonts w:ascii="宋体" w:hAnsi="Courier New" w:cs="Courier New"/>
      <w:kern w:val="2"/>
      <w:sz w:val="21"/>
      <w:szCs w:val="21"/>
    </w:rPr>
  </w:style>
  <w:style w:type="character" w:customStyle="1" w:styleId="281">
    <w:name w:val="三级条标题 Char"/>
    <w:link w:val="71"/>
    <w:qFormat/>
    <w:uiPriority w:val="0"/>
    <w:rPr>
      <w:rFonts w:ascii="黑体" w:eastAsia="黑体"/>
      <w:color w:val="FF0000"/>
      <w:spacing w:val="-4"/>
      <w:sz w:val="21"/>
      <w:szCs w:val="24"/>
    </w:rPr>
  </w:style>
  <w:style w:type="character" w:customStyle="1" w:styleId="282">
    <w:name w:val="批注框文本 Char"/>
    <w:link w:val="29"/>
    <w:qFormat/>
    <w:uiPriority w:val="0"/>
    <w:rPr>
      <w:kern w:val="2"/>
      <w:sz w:val="18"/>
      <w:szCs w:val="18"/>
    </w:rPr>
  </w:style>
  <w:style w:type="character" w:customStyle="1" w:styleId="283">
    <w:name w:val="正文文本 Char"/>
    <w:link w:val="21"/>
    <w:qFormat/>
    <w:uiPriority w:val="0"/>
    <w:rPr>
      <w:kern w:val="2"/>
      <w:sz w:val="21"/>
      <w:szCs w:val="24"/>
    </w:rPr>
  </w:style>
  <w:style w:type="character" w:customStyle="1" w:styleId="284">
    <w:name w:val="注： Char"/>
    <w:link w:val="91"/>
    <w:qFormat/>
    <w:uiPriority w:val="0"/>
    <w:rPr>
      <w:rFonts w:ascii="宋体"/>
      <w:sz w:val="18"/>
    </w:rPr>
  </w:style>
  <w:style w:type="character" w:customStyle="1" w:styleId="285">
    <w:name w:val="页脚 Char"/>
    <w:link w:val="30"/>
    <w:qFormat/>
    <w:uiPriority w:val="99"/>
    <w:rPr>
      <w:kern w:val="2"/>
      <w:sz w:val="18"/>
      <w:szCs w:val="18"/>
    </w:rPr>
  </w:style>
  <w:style w:type="character" w:customStyle="1" w:styleId="286">
    <w:name w:val="正文文本缩进 Char"/>
    <w:link w:val="22"/>
    <w:qFormat/>
    <w:uiPriority w:val="0"/>
    <w:rPr>
      <w:kern w:val="2"/>
      <w:sz w:val="24"/>
    </w:rPr>
  </w:style>
  <w:style w:type="character" w:customStyle="1" w:styleId="287">
    <w:name w:val="表中文字"/>
    <w:qFormat/>
    <w:uiPriority w:val="0"/>
    <w:rPr>
      <w:rFonts w:ascii="宋体" w:eastAsia="宋体"/>
      <w:sz w:val="18"/>
    </w:rPr>
  </w:style>
  <w:style w:type="character" w:customStyle="1" w:styleId="288">
    <w:name w:val="批注文字 Char"/>
    <w:link w:val="20"/>
    <w:qFormat/>
    <w:uiPriority w:val="0"/>
    <w:rPr>
      <w:kern w:val="2"/>
      <w:sz w:val="21"/>
      <w:szCs w:val="24"/>
    </w:rPr>
  </w:style>
  <w:style w:type="character" w:customStyle="1" w:styleId="289">
    <w:name w:val="批注主题 Char"/>
    <w:link w:val="39"/>
    <w:qFormat/>
    <w:uiPriority w:val="0"/>
    <w:rPr>
      <w:b/>
      <w:bCs/>
      <w:kern w:val="2"/>
      <w:sz w:val="21"/>
      <w:szCs w:val="24"/>
    </w:rPr>
  </w:style>
  <w:style w:type="character" w:customStyle="1" w:styleId="290">
    <w:name w:val="页眉 Char"/>
    <w:link w:val="31"/>
    <w:qFormat/>
    <w:uiPriority w:val="99"/>
    <w:rPr>
      <w:kern w:val="2"/>
      <w:sz w:val="18"/>
      <w:szCs w:val="18"/>
    </w:rPr>
  </w:style>
  <w:style w:type="character" w:customStyle="1" w:styleId="291">
    <w:name w:val="正文文本缩进 2 Char"/>
    <w:link w:val="27"/>
    <w:qFormat/>
    <w:uiPriority w:val="0"/>
    <w:rPr>
      <w:kern w:val="2"/>
      <w:sz w:val="21"/>
      <w:szCs w:val="24"/>
    </w:rPr>
  </w:style>
  <w:style w:type="character" w:customStyle="1" w:styleId="292">
    <w:name w:val="日期 Char"/>
    <w:link w:val="26"/>
    <w:qFormat/>
    <w:uiPriority w:val="99"/>
    <w:rPr>
      <w:kern w:val="2"/>
      <w:sz w:val="24"/>
    </w:rPr>
  </w:style>
  <w:style w:type="character" w:customStyle="1" w:styleId="293">
    <w:name w:val="访问过的超链接1"/>
    <w:qFormat/>
    <w:uiPriority w:val="99"/>
    <w:rPr>
      <w:color w:val="800080"/>
      <w:u w:val="single"/>
    </w:rPr>
  </w:style>
  <w:style w:type="character" w:customStyle="1" w:styleId="294">
    <w:name w:val="段 Char Char Char Char"/>
    <w:qFormat/>
    <w:uiPriority w:val="0"/>
    <w:rPr>
      <w:rFonts w:ascii="宋体"/>
      <w:sz w:val="21"/>
      <w:lang w:val="en-US" w:eastAsia="zh-CN" w:bidi="ar-SA"/>
    </w:rPr>
  </w:style>
  <w:style w:type="character" w:customStyle="1" w:styleId="295">
    <w:name w:val="章标题 Char Char"/>
    <w:qFormat/>
    <w:uiPriority w:val="0"/>
    <w:rPr>
      <w:rFonts w:ascii="黑体" w:eastAsia="黑体"/>
      <w:sz w:val="21"/>
      <w:lang w:val="en-US" w:eastAsia="zh-CN" w:bidi="ar-SA"/>
    </w:rPr>
  </w:style>
  <w:style w:type="character" w:customStyle="1" w:styleId="296">
    <w:name w:val="正文文本缩进 Char1"/>
    <w:qFormat/>
    <w:uiPriority w:val="0"/>
    <w:rPr>
      <w:kern w:val="2"/>
      <w:sz w:val="21"/>
      <w:szCs w:val="24"/>
    </w:rPr>
  </w:style>
  <w:style w:type="character" w:customStyle="1" w:styleId="297">
    <w:name w:val="font21"/>
    <w:qFormat/>
    <w:uiPriority w:val="0"/>
    <w:rPr>
      <w:rFonts w:hint="eastAsia" w:ascii="宋体" w:hAnsi="宋体" w:eastAsia="宋体" w:cs="宋体"/>
      <w:b/>
      <w:color w:val="FF0000"/>
      <w:sz w:val="21"/>
      <w:szCs w:val="21"/>
      <w:u w:val="none"/>
    </w:rPr>
  </w:style>
  <w:style w:type="character" w:customStyle="1" w:styleId="298">
    <w:name w:val="font41"/>
    <w:qFormat/>
    <w:uiPriority w:val="0"/>
    <w:rPr>
      <w:rFonts w:hint="eastAsia" w:ascii="宋体" w:hAnsi="宋体" w:eastAsia="宋体" w:cs="宋体"/>
      <w:b/>
      <w:color w:val="FF0000"/>
      <w:sz w:val="21"/>
      <w:szCs w:val="21"/>
      <w:u w:val="none"/>
    </w:rPr>
  </w:style>
  <w:style w:type="character" w:customStyle="1" w:styleId="299">
    <w:name w:val="font01"/>
    <w:qFormat/>
    <w:uiPriority w:val="0"/>
    <w:rPr>
      <w:rFonts w:hint="eastAsia" w:ascii="宋体" w:hAnsi="宋体" w:eastAsia="宋体"/>
      <w:color w:val="000000"/>
      <w:sz w:val="24"/>
      <w:szCs w:val="24"/>
      <w:u w:val="none"/>
    </w:rPr>
  </w:style>
  <w:style w:type="character" w:customStyle="1" w:styleId="300">
    <w:name w:val="附录标识 Char"/>
    <w:link w:val="65"/>
    <w:qFormat/>
    <w:uiPriority w:val="0"/>
    <w:rPr>
      <w:sz w:val="21"/>
    </w:rPr>
  </w:style>
  <w:style w:type="character" w:customStyle="1" w:styleId="301">
    <w:name w:val="font31"/>
    <w:qFormat/>
    <w:uiPriority w:val="0"/>
    <w:rPr>
      <w:rFonts w:hint="eastAsia" w:ascii="宋体" w:hAnsi="宋体" w:eastAsia="宋体" w:cs="宋体"/>
      <w:color w:val="000000"/>
      <w:sz w:val="22"/>
      <w:szCs w:val="22"/>
      <w:u w:val="none"/>
    </w:rPr>
  </w:style>
  <w:style w:type="paragraph" w:styleId="302">
    <w:name w:val="List Paragraph"/>
    <w:basedOn w:val="1"/>
    <w:qFormat/>
    <w:uiPriority w:val="99"/>
    <w:pPr>
      <w:ind w:firstLine="420" w:firstLineChars="200"/>
    </w:pPr>
  </w:style>
  <w:style w:type="paragraph" w:customStyle="1" w:styleId="30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1" Type="http://schemas.openxmlformats.org/officeDocument/2006/relationships/fontTable" Target="fontTable.xml"/><Relationship Id="rId80" Type="http://schemas.openxmlformats.org/officeDocument/2006/relationships/customXml" Target="../customXml/item2.xml"/><Relationship Id="rId8" Type="http://schemas.openxmlformats.org/officeDocument/2006/relationships/oleObject" Target="embeddings/oleObject1.bin"/><Relationship Id="rId79" Type="http://schemas.openxmlformats.org/officeDocument/2006/relationships/numbering" Target="numbering.xml"/><Relationship Id="rId78" Type="http://schemas.openxmlformats.org/officeDocument/2006/relationships/customXml" Target="../customXml/item1.xml"/><Relationship Id="rId77" Type="http://schemas.openxmlformats.org/officeDocument/2006/relationships/image" Target="media/image36.wmf"/><Relationship Id="rId76" Type="http://schemas.openxmlformats.org/officeDocument/2006/relationships/oleObject" Target="embeddings/oleObject35.bin"/><Relationship Id="rId75" Type="http://schemas.openxmlformats.org/officeDocument/2006/relationships/image" Target="media/image35.wmf"/><Relationship Id="rId74" Type="http://schemas.openxmlformats.org/officeDocument/2006/relationships/oleObject" Target="embeddings/oleObject34.bin"/><Relationship Id="rId73" Type="http://schemas.openxmlformats.org/officeDocument/2006/relationships/image" Target="media/image34.wmf"/><Relationship Id="rId72" Type="http://schemas.openxmlformats.org/officeDocument/2006/relationships/oleObject" Target="embeddings/oleObject33.bin"/><Relationship Id="rId71" Type="http://schemas.openxmlformats.org/officeDocument/2006/relationships/image" Target="media/image33.wmf"/><Relationship Id="rId70" Type="http://schemas.openxmlformats.org/officeDocument/2006/relationships/oleObject" Target="embeddings/oleObject32.bin"/><Relationship Id="rId7" Type="http://schemas.openxmlformats.org/officeDocument/2006/relationships/image" Target="media/image1.png"/><Relationship Id="rId69" Type="http://schemas.openxmlformats.org/officeDocument/2006/relationships/image" Target="media/image32.wmf"/><Relationship Id="rId68" Type="http://schemas.openxmlformats.org/officeDocument/2006/relationships/oleObject" Target="embeddings/oleObject31.bin"/><Relationship Id="rId67" Type="http://schemas.openxmlformats.org/officeDocument/2006/relationships/image" Target="media/image31.wmf"/><Relationship Id="rId66" Type="http://schemas.openxmlformats.org/officeDocument/2006/relationships/oleObject" Target="embeddings/oleObject30.bin"/><Relationship Id="rId65" Type="http://schemas.openxmlformats.org/officeDocument/2006/relationships/image" Target="media/image30.wmf"/><Relationship Id="rId64" Type="http://schemas.openxmlformats.org/officeDocument/2006/relationships/oleObject" Target="embeddings/oleObject29.bin"/><Relationship Id="rId63" Type="http://schemas.openxmlformats.org/officeDocument/2006/relationships/image" Target="media/image29.wmf"/><Relationship Id="rId62" Type="http://schemas.openxmlformats.org/officeDocument/2006/relationships/oleObject" Target="embeddings/oleObject28.bin"/><Relationship Id="rId61" Type="http://schemas.openxmlformats.org/officeDocument/2006/relationships/image" Target="media/image28.wmf"/><Relationship Id="rId60" Type="http://schemas.openxmlformats.org/officeDocument/2006/relationships/oleObject" Target="embeddings/oleObject27.bin"/><Relationship Id="rId6" Type="http://schemas.openxmlformats.org/officeDocument/2006/relationships/theme" Target="theme/theme1.xml"/><Relationship Id="rId59" Type="http://schemas.openxmlformats.org/officeDocument/2006/relationships/image" Target="media/image27.wmf"/><Relationship Id="rId58" Type="http://schemas.openxmlformats.org/officeDocument/2006/relationships/oleObject" Target="embeddings/oleObject26.bin"/><Relationship Id="rId57" Type="http://schemas.openxmlformats.org/officeDocument/2006/relationships/image" Target="media/image26.wmf"/><Relationship Id="rId56" Type="http://schemas.openxmlformats.org/officeDocument/2006/relationships/oleObject" Target="embeddings/oleObject25.bin"/><Relationship Id="rId55" Type="http://schemas.openxmlformats.org/officeDocument/2006/relationships/image" Target="media/image25.wmf"/><Relationship Id="rId54" Type="http://schemas.openxmlformats.org/officeDocument/2006/relationships/oleObject" Target="embeddings/oleObject24.bin"/><Relationship Id="rId53" Type="http://schemas.openxmlformats.org/officeDocument/2006/relationships/image" Target="media/image24.wmf"/><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footer" Target="footer2.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479B0-55A2-45A7-B129-AC5ED1732224}">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15</Pages>
  <Words>10024</Words>
  <Characters>10864</Characters>
  <Lines>87</Lines>
  <Paragraphs>24</Paragraphs>
  <TotalTime>0</TotalTime>
  <ScaleCrop>false</ScaleCrop>
  <LinksUpToDate>false</LinksUpToDate>
  <CharactersWithSpaces>11210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Administrator.DESKTOP-ME924ED</dc:creator>
  <cp:lastModifiedBy>优雅时尚小匡者也</cp:lastModifiedBy>
  <cp:lastPrinted>2016-10-20T04:13:00Z</cp:lastPrinted>
  <dcterms:modified xsi:type="dcterms:W3CDTF">2025-06-10T01:19:58Z</dcterms:modified>
  <dc:title>编制说明</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5338902479F146C7ACC9B2AE2EFFC399_13</vt:lpwstr>
  </property>
  <property fmtid="{D5CDD505-2E9C-101B-9397-08002B2CF9AE}" pid="4" name="KSOTemplateDocerSaveRecord">
    <vt:lpwstr>eyJoZGlkIjoiMGNkMzM3MThhMDY3MDA4ZmY1ZTQzNDZlNzAzMzE4YjUiLCJ1c2VySWQiOiIyMzEzNTM3MjAifQ==</vt:lpwstr>
  </property>
</Properties>
</file>