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F025">
      <w:pPr>
        <w:jc w:val="left"/>
        <w:rPr>
          <w:rFonts w:hint="default" w:ascii="宋体" w:hAnsi="宋体" w:cs="宋体"/>
          <w:b/>
          <w:bCs/>
          <w:sz w:val="28"/>
          <w:szCs w:val="36"/>
          <w:lang w:val="en-US" w:eastAsia="zh-CN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附件1：</w:t>
      </w:r>
    </w:p>
    <w:p w14:paraId="66961910">
      <w:pPr>
        <w:jc w:val="center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行业标准《节水型企业 电解铜箔行业》（2025-0025T-YS）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数据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调研表</w:t>
      </w:r>
    </w:p>
    <w:p w14:paraId="27A2101A">
      <w:pPr>
        <w:jc w:val="both"/>
        <w:rPr>
          <w:rFonts w:hint="eastAsia" w:ascii="Times New Roman" w:hAnsi="Times New Roman" w:cs="Times New Roman"/>
          <w:b w:val="0"/>
          <w:bCs w:val="0"/>
          <w:szCs w:val="24"/>
          <w:lang w:val="en-US" w:eastAsia="zh-CN"/>
        </w:rPr>
      </w:pPr>
    </w:p>
    <w:p w14:paraId="4A6A1E36">
      <w:pPr>
        <w:ind w:firstLine="420" w:firstLineChars="200"/>
        <w:jc w:val="center"/>
        <w:rPr>
          <w:rFonts w:hint="eastAsia" w:ascii="Times New Roman" w:hAnsi="Times New Roman" w:cs="Times New Roman"/>
          <w:b w:val="0"/>
          <w:bCs w:val="0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4"/>
          <w:lang w:val="en-US" w:eastAsia="zh-CN"/>
        </w:rPr>
        <w:t>单位名称（盖章）：                         联系人及电话：</w:t>
      </w:r>
    </w:p>
    <w:p w14:paraId="4568FA6F">
      <w:pPr>
        <w:jc w:val="both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4"/>
          <w:lang w:val="en-US" w:eastAsia="zh-CN"/>
        </w:rPr>
        <w:t xml:space="preserve">     </w:t>
      </w:r>
    </w:p>
    <w:p w14:paraId="69F6E37B">
      <w:pPr>
        <w:jc w:val="center"/>
        <w:rPr>
          <w:rFonts w:hint="default" w:ascii="Times New Roman" w:hAnsi="Times New Roman" w:cs="Times New Roman"/>
          <w:b w:val="0"/>
          <w:bCs w:val="0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表1</w:t>
      </w:r>
      <w:bookmarkStart w:id="0" w:name="OLE_LINK3"/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 xml:space="preserve"> 电子电路铜箔</w:t>
      </w:r>
      <w:bookmarkEnd w:id="0"/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节水型企业技术指标调研表</w:t>
      </w:r>
      <w:r>
        <w:rPr>
          <w:rFonts w:hint="eastAsia" w:ascii="Times New Roman" w:hAnsi="Times New Roman" w:cs="Times New Roman"/>
          <w:b w:val="0"/>
          <w:bCs w:val="0"/>
          <w:szCs w:val="24"/>
          <w:lang w:val="en-US" w:eastAsia="zh-CN"/>
        </w:rPr>
        <w:t xml:space="preserve"> </w:t>
      </w:r>
    </w:p>
    <w:p w14:paraId="4553A5BC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42"/>
        <w:gridCol w:w="3331"/>
        <w:gridCol w:w="1426"/>
        <w:gridCol w:w="1902"/>
        <w:gridCol w:w="1888"/>
        <w:gridCol w:w="1939"/>
      </w:tblGrid>
      <w:tr w14:paraId="409FC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65" w:type="pct"/>
            <w:noWrap w:val="0"/>
            <w:vAlign w:val="top"/>
          </w:tcPr>
          <w:p w14:paraId="3278475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序 号</w:t>
            </w:r>
          </w:p>
        </w:tc>
        <w:tc>
          <w:tcPr>
            <w:tcW w:w="932" w:type="pct"/>
            <w:noWrap w:val="0"/>
            <w:vAlign w:val="top"/>
          </w:tcPr>
          <w:p w14:paraId="2F0A8CD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调研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1175" w:type="pct"/>
            <w:noWrap w:val="0"/>
            <w:vAlign w:val="top"/>
          </w:tcPr>
          <w:p w14:paraId="7EC200D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技术指标</w:t>
            </w:r>
          </w:p>
        </w:tc>
        <w:tc>
          <w:tcPr>
            <w:tcW w:w="503" w:type="pct"/>
            <w:noWrap w:val="0"/>
            <w:vAlign w:val="top"/>
          </w:tcPr>
          <w:p w14:paraId="0C7E9B6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71" w:type="pct"/>
            <w:noWrap w:val="0"/>
            <w:vAlign w:val="top"/>
          </w:tcPr>
          <w:p w14:paraId="2740468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666" w:type="pct"/>
            <w:noWrap w:val="0"/>
            <w:vAlign w:val="top"/>
          </w:tcPr>
          <w:p w14:paraId="3B73AF76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684" w:type="pct"/>
            <w:noWrap w:val="0"/>
            <w:vAlign w:val="top"/>
          </w:tcPr>
          <w:p w14:paraId="3E843FA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2024年</w:t>
            </w:r>
          </w:p>
        </w:tc>
      </w:tr>
      <w:tr w14:paraId="26906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pct"/>
            <w:noWrap w:val="0"/>
            <w:vAlign w:val="center"/>
          </w:tcPr>
          <w:p w14:paraId="624A2A0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pct"/>
            <w:noWrap w:val="0"/>
            <w:vAlign w:val="center"/>
          </w:tcPr>
          <w:p w14:paraId="1E04579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取水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量</w:t>
            </w:r>
          </w:p>
        </w:tc>
        <w:tc>
          <w:tcPr>
            <w:tcW w:w="1175" w:type="pct"/>
            <w:noWrap w:val="0"/>
            <w:vAlign w:val="center"/>
          </w:tcPr>
          <w:p w14:paraId="7265145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产品取水量</w:t>
            </w:r>
          </w:p>
        </w:tc>
        <w:tc>
          <w:tcPr>
            <w:tcW w:w="503" w:type="pct"/>
            <w:noWrap w:val="0"/>
            <w:vAlign w:val="center"/>
          </w:tcPr>
          <w:p w14:paraId="731D4F7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671" w:type="pct"/>
            <w:noWrap w:val="0"/>
            <w:vAlign w:val="center"/>
          </w:tcPr>
          <w:p w14:paraId="32BCBF1B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5B68FA4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77DADD5A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ADE2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077E906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pct"/>
            <w:vMerge w:val="restart"/>
            <w:noWrap w:val="0"/>
            <w:vAlign w:val="center"/>
          </w:tcPr>
          <w:p w14:paraId="0543D98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重复利用</w:t>
            </w:r>
          </w:p>
        </w:tc>
        <w:tc>
          <w:tcPr>
            <w:tcW w:w="1175" w:type="pct"/>
            <w:noWrap w:val="0"/>
            <w:vAlign w:val="center"/>
          </w:tcPr>
          <w:p w14:paraId="17644E3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重复利用率</w:t>
            </w:r>
          </w:p>
        </w:tc>
        <w:tc>
          <w:tcPr>
            <w:tcW w:w="503" w:type="pct"/>
            <w:noWrap w:val="0"/>
            <w:vAlign w:val="center"/>
          </w:tcPr>
          <w:p w14:paraId="61570FE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4B94C025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1028E12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67A40A0B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5276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71F4B10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pct"/>
            <w:vMerge w:val="continue"/>
            <w:noWrap w:val="0"/>
            <w:vAlign w:val="center"/>
          </w:tcPr>
          <w:p w14:paraId="18555D4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noWrap w:val="0"/>
            <w:vAlign w:val="center"/>
          </w:tcPr>
          <w:p w14:paraId="43B5B46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废水回用率</w:t>
            </w:r>
          </w:p>
        </w:tc>
        <w:tc>
          <w:tcPr>
            <w:tcW w:w="503" w:type="pct"/>
            <w:noWrap w:val="0"/>
            <w:vAlign w:val="center"/>
          </w:tcPr>
          <w:p w14:paraId="3DBAD89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47B76B6E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7B17A97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618858A8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6C283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63B15CB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32" w:type="pct"/>
            <w:vMerge w:val="continue"/>
            <w:noWrap w:val="0"/>
            <w:vAlign w:val="center"/>
          </w:tcPr>
          <w:p w14:paraId="7E8DE96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auto"/>
            <w:noWrap w:val="0"/>
            <w:vAlign w:val="center"/>
          </w:tcPr>
          <w:p w14:paraId="5213FE1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直接冷却水循环率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4D0FF07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31257886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35F56E9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79B7E46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D5C3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0D478C6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2" w:type="pct"/>
            <w:vMerge w:val="continue"/>
            <w:noWrap w:val="0"/>
            <w:vAlign w:val="center"/>
          </w:tcPr>
          <w:p w14:paraId="706D0A9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auto"/>
            <w:noWrap w:val="0"/>
            <w:vAlign w:val="center"/>
          </w:tcPr>
          <w:p w14:paraId="5547519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蒸汽冷凝水回收率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74A5CC6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46A93833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DB8F881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243C959B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186C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0D54B25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32" w:type="pct"/>
            <w:vMerge w:val="restart"/>
            <w:noWrap w:val="0"/>
            <w:vAlign w:val="center"/>
          </w:tcPr>
          <w:p w14:paraId="476DE87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计量</w:t>
            </w:r>
          </w:p>
        </w:tc>
        <w:tc>
          <w:tcPr>
            <w:tcW w:w="1175" w:type="pct"/>
            <w:noWrap w:val="0"/>
            <w:vAlign w:val="center"/>
          </w:tcPr>
          <w:p w14:paraId="62B0CFDA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水表计量率</w:t>
            </w:r>
          </w:p>
        </w:tc>
        <w:tc>
          <w:tcPr>
            <w:tcW w:w="503" w:type="pct"/>
            <w:noWrap w:val="0"/>
            <w:vAlign w:val="center"/>
          </w:tcPr>
          <w:p w14:paraId="1E27615C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129379C9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14541C8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7EE7200F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F689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55C9C2F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32" w:type="pct"/>
            <w:vMerge w:val="continue"/>
            <w:noWrap w:val="0"/>
            <w:vAlign w:val="center"/>
          </w:tcPr>
          <w:p w14:paraId="3A3CBEA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noWrap w:val="0"/>
            <w:vAlign w:val="center"/>
          </w:tcPr>
          <w:p w14:paraId="62F6F111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水计量器具配备率</w:t>
            </w:r>
          </w:p>
        </w:tc>
        <w:tc>
          <w:tcPr>
            <w:tcW w:w="503" w:type="pct"/>
            <w:noWrap w:val="0"/>
            <w:vAlign w:val="center"/>
          </w:tcPr>
          <w:p w14:paraId="37D4252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2EAB78A6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5DF94DC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681C3A50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D3F4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52EFF96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32" w:type="pct"/>
            <w:vMerge w:val="restart"/>
            <w:noWrap w:val="0"/>
            <w:vAlign w:val="center"/>
          </w:tcPr>
          <w:p w14:paraId="17949EA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1175" w:type="pct"/>
            <w:noWrap w:val="0"/>
            <w:vAlign w:val="center"/>
          </w:tcPr>
          <w:p w14:paraId="6ED66E6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达标排放率</w:t>
            </w:r>
          </w:p>
        </w:tc>
        <w:tc>
          <w:tcPr>
            <w:tcW w:w="503" w:type="pct"/>
            <w:noWrap w:val="0"/>
            <w:vAlign w:val="center"/>
          </w:tcPr>
          <w:p w14:paraId="3DFC9A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6CB2E2ED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6F4FEC1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1C694BFF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314D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18346226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32" w:type="pct"/>
            <w:vMerge w:val="continue"/>
            <w:noWrap w:val="0"/>
            <w:vAlign w:val="top"/>
          </w:tcPr>
          <w:p w14:paraId="6EB0054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noWrap w:val="0"/>
            <w:vAlign w:val="center"/>
          </w:tcPr>
          <w:p w14:paraId="342C9F9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单位产品排水量</w:t>
            </w:r>
          </w:p>
        </w:tc>
        <w:tc>
          <w:tcPr>
            <w:tcW w:w="503" w:type="pct"/>
            <w:noWrap w:val="0"/>
            <w:vAlign w:val="center"/>
          </w:tcPr>
          <w:p w14:paraId="6DA9AA4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671" w:type="pct"/>
            <w:noWrap w:val="0"/>
            <w:vAlign w:val="center"/>
          </w:tcPr>
          <w:p w14:paraId="36102C9E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7A4CD60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pct"/>
            <w:noWrap w:val="0"/>
            <w:vAlign w:val="center"/>
          </w:tcPr>
          <w:p w14:paraId="15D6ADCA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BE42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shd w:val="clear" w:color="auto" w:fill="auto"/>
            <w:noWrap w:val="0"/>
            <w:vAlign w:val="center"/>
          </w:tcPr>
          <w:p w14:paraId="2CE1E21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2" w:type="pct"/>
            <w:vMerge w:val="restart"/>
            <w:noWrap w:val="0"/>
            <w:vAlign w:val="center"/>
          </w:tcPr>
          <w:p w14:paraId="3F5D00D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非常规水源利用</w:t>
            </w:r>
          </w:p>
        </w:tc>
        <w:tc>
          <w:tcPr>
            <w:tcW w:w="1175" w:type="pct"/>
            <w:noWrap w:val="0"/>
            <w:vAlign w:val="center"/>
          </w:tcPr>
          <w:p w14:paraId="36FF29B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非常规水源替代率</w:t>
            </w:r>
          </w:p>
        </w:tc>
        <w:tc>
          <w:tcPr>
            <w:tcW w:w="503" w:type="pct"/>
            <w:noWrap w:val="0"/>
            <w:vAlign w:val="center"/>
          </w:tcPr>
          <w:p w14:paraId="0EF9692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414FB120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04EC385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86D14AE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DED3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3DFA0A42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32" w:type="pct"/>
            <w:vMerge w:val="continue"/>
            <w:noWrap w:val="0"/>
            <w:vAlign w:val="top"/>
          </w:tcPr>
          <w:p w14:paraId="49CFD36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pct"/>
            <w:noWrap w:val="0"/>
            <w:vAlign w:val="center"/>
          </w:tcPr>
          <w:p w14:paraId="2AE013E6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非常规水源利用率</w:t>
            </w:r>
          </w:p>
        </w:tc>
        <w:tc>
          <w:tcPr>
            <w:tcW w:w="503" w:type="pct"/>
            <w:noWrap w:val="0"/>
            <w:vAlign w:val="center"/>
          </w:tcPr>
          <w:p w14:paraId="717A5D2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0E6DB69A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FAA1CB6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37BCBF72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F88D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021D9A6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32" w:type="pct"/>
            <w:noWrap w:val="0"/>
            <w:vAlign w:val="center"/>
          </w:tcPr>
          <w:p w14:paraId="466AD53E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溶铜工序用水量</w:t>
            </w:r>
          </w:p>
        </w:tc>
        <w:tc>
          <w:tcPr>
            <w:tcW w:w="1175" w:type="pct"/>
            <w:noWrap w:val="0"/>
            <w:vAlign w:val="center"/>
          </w:tcPr>
          <w:p w14:paraId="391B81F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单位产品溶铜工序用水量</w:t>
            </w:r>
          </w:p>
        </w:tc>
        <w:tc>
          <w:tcPr>
            <w:tcW w:w="503" w:type="pct"/>
            <w:noWrap w:val="0"/>
            <w:vAlign w:val="center"/>
          </w:tcPr>
          <w:p w14:paraId="2C24524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671" w:type="pct"/>
            <w:noWrap w:val="0"/>
            <w:vAlign w:val="center"/>
          </w:tcPr>
          <w:p w14:paraId="5739D9BF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885A827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DFAB90F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6C9E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08BA267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32" w:type="pct"/>
            <w:noWrap w:val="0"/>
            <w:vAlign w:val="center"/>
          </w:tcPr>
          <w:p w14:paraId="2A670CF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生箔工序用水量</w:t>
            </w:r>
          </w:p>
        </w:tc>
        <w:tc>
          <w:tcPr>
            <w:tcW w:w="1175" w:type="pct"/>
            <w:noWrap w:val="0"/>
            <w:vAlign w:val="center"/>
          </w:tcPr>
          <w:p w14:paraId="07A71D7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单位产品表面处理工序用水量</w:t>
            </w:r>
          </w:p>
        </w:tc>
        <w:tc>
          <w:tcPr>
            <w:tcW w:w="503" w:type="pct"/>
            <w:noWrap w:val="0"/>
            <w:vAlign w:val="center"/>
          </w:tcPr>
          <w:p w14:paraId="3D7972A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671" w:type="pct"/>
            <w:noWrap w:val="0"/>
            <w:vAlign w:val="center"/>
          </w:tcPr>
          <w:p w14:paraId="31363D4C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6ECFC3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13E102F8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E769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05603B6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32" w:type="pct"/>
            <w:noWrap w:val="0"/>
            <w:vAlign w:val="center"/>
          </w:tcPr>
          <w:p w14:paraId="59CDC77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表面处理工序用水量</w:t>
            </w:r>
          </w:p>
        </w:tc>
        <w:tc>
          <w:tcPr>
            <w:tcW w:w="1175" w:type="pct"/>
            <w:noWrap w:val="0"/>
            <w:vAlign w:val="center"/>
          </w:tcPr>
          <w:p w14:paraId="0DAE074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单位产品生箔工序用水量</w:t>
            </w:r>
          </w:p>
        </w:tc>
        <w:tc>
          <w:tcPr>
            <w:tcW w:w="503" w:type="pct"/>
            <w:noWrap w:val="0"/>
            <w:vAlign w:val="center"/>
          </w:tcPr>
          <w:p w14:paraId="1C6E62AD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671" w:type="pct"/>
            <w:noWrap w:val="0"/>
            <w:vAlign w:val="center"/>
          </w:tcPr>
          <w:p w14:paraId="591059EA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D65119B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53517E47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81A7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6484794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32" w:type="pct"/>
            <w:noWrap w:val="0"/>
            <w:vAlign w:val="center"/>
          </w:tcPr>
          <w:p w14:paraId="0C51D5FB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用水漏损</w:t>
            </w:r>
          </w:p>
        </w:tc>
        <w:tc>
          <w:tcPr>
            <w:tcW w:w="1175" w:type="pct"/>
            <w:noWrap w:val="0"/>
            <w:vAlign w:val="center"/>
          </w:tcPr>
          <w:p w14:paraId="4999B72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用水综合漏失率</w:t>
            </w:r>
          </w:p>
        </w:tc>
        <w:tc>
          <w:tcPr>
            <w:tcW w:w="503" w:type="pct"/>
            <w:noWrap w:val="0"/>
            <w:vAlign w:val="center"/>
          </w:tcPr>
          <w:p w14:paraId="67ED53B9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71" w:type="pct"/>
            <w:noWrap w:val="0"/>
            <w:vAlign w:val="center"/>
          </w:tcPr>
          <w:p w14:paraId="701AC77D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D7A7F98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729A0D63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4D86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5" w:type="pct"/>
            <w:noWrap w:val="0"/>
            <w:vAlign w:val="center"/>
          </w:tcPr>
          <w:p w14:paraId="548D8DEE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bookmarkStart w:id="1" w:name="OLE_LINK1" w:colFirst="1" w:colLast="3"/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32" w:type="pct"/>
            <w:noWrap w:val="0"/>
            <w:vAlign w:val="center"/>
          </w:tcPr>
          <w:p w14:paraId="4E0A671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产量</w:t>
            </w:r>
          </w:p>
        </w:tc>
        <w:tc>
          <w:tcPr>
            <w:tcW w:w="1175" w:type="pct"/>
            <w:noWrap w:val="0"/>
            <w:vAlign w:val="center"/>
          </w:tcPr>
          <w:p w14:paraId="6E3BA9DA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电子电路铜箔年度产量</w:t>
            </w:r>
          </w:p>
        </w:tc>
        <w:tc>
          <w:tcPr>
            <w:tcW w:w="503" w:type="pct"/>
            <w:noWrap w:val="0"/>
            <w:vAlign w:val="center"/>
          </w:tcPr>
          <w:p w14:paraId="6D5C3699">
            <w:pPr>
              <w:adjustRightInd w:val="0"/>
              <w:snapToGrid w:val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671" w:type="pct"/>
            <w:noWrap w:val="0"/>
            <w:vAlign w:val="center"/>
          </w:tcPr>
          <w:p w14:paraId="4E78B9B3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19D54F5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pct"/>
            <w:noWrap w:val="0"/>
            <w:vAlign w:val="center"/>
          </w:tcPr>
          <w:p w14:paraId="1BFA449A">
            <w:pPr>
              <w:pStyle w:val="5"/>
              <w:kinsoku/>
              <w:overflowPunct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1"/>
    </w:tbl>
    <w:p w14:paraId="2AD7F692">
      <w:pPr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</w:p>
    <w:p w14:paraId="42F9251F">
      <w:pPr>
        <w:jc w:val="both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</w:p>
    <w:p w14:paraId="7CEAC029">
      <w:pPr>
        <w:jc w:val="left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br w:type="page"/>
      </w:r>
    </w:p>
    <w:p w14:paraId="5F4D7AB4">
      <w:pPr>
        <w:jc w:val="center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表2</w:t>
      </w:r>
      <w:bookmarkStart w:id="2" w:name="OLE_LINK2"/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 xml:space="preserve"> 锂电池铜箔</w:t>
      </w:r>
      <w:bookmarkEnd w:id="2"/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节水型企业技术指标调研表</w:t>
      </w:r>
    </w:p>
    <w:p w14:paraId="7C951BF0">
      <w:pPr>
        <w:jc w:val="both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94"/>
        <w:gridCol w:w="2730"/>
        <w:gridCol w:w="1080"/>
        <w:gridCol w:w="2190"/>
        <w:gridCol w:w="2235"/>
        <w:gridCol w:w="2313"/>
      </w:tblGrid>
      <w:tr w14:paraId="268FA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60" w:type="pct"/>
            <w:noWrap w:val="0"/>
            <w:vAlign w:val="top"/>
          </w:tcPr>
          <w:p w14:paraId="5A0D07E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序 号</w:t>
            </w:r>
          </w:p>
        </w:tc>
        <w:tc>
          <w:tcPr>
            <w:tcW w:w="915" w:type="pct"/>
            <w:noWrap w:val="0"/>
            <w:vAlign w:val="top"/>
          </w:tcPr>
          <w:p w14:paraId="6BD3B37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调研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963" w:type="pct"/>
            <w:noWrap w:val="0"/>
            <w:vAlign w:val="top"/>
          </w:tcPr>
          <w:p w14:paraId="58362F0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技术指标</w:t>
            </w:r>
          </w:p>
        </w:tc>
        <w:tc>
          <w:tcPr>
            <w:tcW w:w="381" w:type="pct"/>
            <w:noWrap w:val="0"/>
            <w:vAlign w:val="top"/>
          </w:tcPr>
          <w:p w14:paraId="0387A7B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773" w:type="pct"/>
            <w:noWrap w:val="0"/>
            <w:vAlign w:val="top"/>
          </w:tcPr>
          <w:p w14:paraId="2C17CFE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789" w:type="pct"/>
            <w:noWrap w:val="0"/>
            <w:vAlign w:val="top"/>
          </w:tcPr>
          <w:p w14:paraId="6EDDF6B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816" w:type="pct"/>
            <w:noWrap w:val="0"/>
            <w:vAlign w:val="top"/>
          </w:tcPr>
          <w:p w14:paraId="40B3E1F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2024年</w:t>
            </w:r>
          </w:p>
        </w:tc>
      </w:tr>
      <w:tr w14:paraId="181F9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60" w:type="pct"/>
            <w:noWrap w:val="0"/>
            <w:vAlign w:val="center"/>
          </w:tcPr>
          <w:p w14:paraId="2C88DED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pct"/>
            <w:noWrap w:val="0"/>
            <w:vAlign w:val="center"/>
          </w:tcPr>
          <w:p w14:paraId="023D664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取水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量</w:t>
            </w:r>
          </w:p>
        </w:tc>
        <w:tc>
          <w:tcPr>
            <w:tcW w:w="963" w:type="pct"/>
            <w:noWrap w:val="0"/>
            <w:vAlign w:val="center"/>
          </w:tcPr>
          <w:p w14:paraId="0F0249B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产品取水量</w:t>
            </w:r>
          </w:p>
        </w:tc>
        <w:tc>
          <w:tcPr>
            <w:tcW w:w="381" w:type="pct"/>
            <w:noWrap w:val="0"/>
            <w:vAlign w:val="center"/>
          </w:tcPr>
          <w:p w14:paraId="7C96C94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773" w:type="pct"/>
            <w:noWrap w:val="0"/>
            <w:vAlign w:val="center"/>
          </w:tcPr>
          <w:p w14:paraId="51758BAD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4ED116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7D65AFF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6E0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noWrap w:val="0"/>
            <w:vAlign w:val="center"/>
          </w:tcPr>
          <w:p w14:paraId="769A12DD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 w14:paraId="594B0C0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重复利用</w:t>
            </w:r>
          </w:p>
        </w:tc>
        <w:tc>
          <w:tcPr>
            <w:tcW w:w="963" w:type="pct"/>
            <w:noWrap w:val="0"/>
            <w:vAlign w:val="center"/>
          </w:tcPr>
          <w:p w14:paraId="6EBD947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重复利用率</w:t>
            </w:r>
          </w:p>
        </w:tc>
        <w:tc>
          <w:tcPr>
            <w:tcW w:w="381" w:type="pct"/>
            <w:noWrap w:val="0"/>
            <w:vAlign w:val="center"/>
          </w:tcPr>
          <w:p w14:paraId="2B1C01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55E304E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4ABE751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7A398420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5AF6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noWrap w:val="0"/>
            <w:vAlign w:val="center"/>
          </w:tcPr>
          <w:p w14:paraId="67E6D402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 w14:paraId="295C003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noWrap w:val="0"/>
            <w:vAlign w:val="center"/>
          </w:tcPr>
          <w:p w14:paraId="24B30E5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废水回用率</w:t>
            </w:r>
          </w:p>
        </w:tc>
        <w:tc>
          <w:tcPr>
            <w:tcW w:w="381" w:type="pct"/>
            <w:noWrap w:val="0"/>
            <w:vAlign w:val="center"/>
          </w:tcPr>
          <w:p w14:paraId="2C33DBE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4E97383D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59572F1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DF699F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413E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16555A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 w14:paraId="63C522F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noWrap w:val="0"/>
            <w:vAlign w:val="center"/>
          </w:tcPr>
          <w:p w14:paraId="225BF98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蒸汽冷凝水回用率</w:t>
            </w:r>
          </w:p>
        </w:tc>
        <w:tc>
          <w:tcPr>
            <w:tcW w:w="381" w:type="pct"/>
            <w:shd w:val="clear" w:color="auto" w:fill="auto"/>
            <w:noWrap w:val="0"/>
            <w:vAlign w:val="center"/>
          </w:tcPr>
          <w:p w14:paraId="0900BC7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5904AF2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59C308A6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BF87F62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9686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49E21A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 w14:paraId="66C3C84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noWrap w:val="0"/>
            <w:vAlign w:val="center"/>
          </w:tcPr>
          <w:p w14:paraId="0BA3C3E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直接冷却水循环率</w:t>
            </w:r>
          </w:p>
        </w:tc>
        <w:tc>
          <w:tcPr>
            <w:tcW w:w="381" w:type="pct"/>
            <w:shd w:val="clear" w:color="auto" w:fill="auto"/>
            <w:noWrap w:val="0"/>
            <w:vAlign w:val="center"/>
          </w:tcPr>
          <w:p w14:paraId="3871A0A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2895FD3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D4A8E38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4FB0F1F2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5C24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6B77CD7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 w14:paraId="2E19343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计量</w:t>
            </w:r>
          </w:p>
        </w:tc>
        <w:tc>
          <w:tcPr>
            <w:tcW w:w="963" w:type="pct"/>
            <w:noWrap w:val="0"/>
            <w:vAlign w:val="center"/>
          </w:tcPr>
          <w:p w14:paraId="3697BA5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水表计量率</w:t>
            </w:r>
          </w:p>
        </w:tc>
        <w:tc>
          <w:tcPr>
            <w:tcW w:w="381" w:type="pct"/>
            <w:noWrap w:val="0"/>
            <w:vAlign w:val="center"/>
          </w:tcPr>
          <w:p w14:paraId="5BC673B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4503F4D0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D09B503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35D0E96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79D9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64B60F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5" w:type="pct"/>
            <w:vMerge w:val="continue"/>
            <w:noWrap w:val="0"/>
            <w:vAlign w:val="center"/>
          </w:tcPr>
          <w:p w14:paraId="3B61EB9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noWrap w:val="0"/>
            <w:vAlign w:val="center"/>
          </w:tcPr>
          <w:p w14:paraId="4A2CF81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水计量器具配备率</w:t>
            </w:r>
          </w:p>
        </w:tc>
        <w:tc>
          <w:tcPr>
            <w:tcW w:w="381" w:type="pct"/>
            <w:noWrap w:val="0"/>
            <w:vAlign w:val="center"/>
          </w:tcPr>
          <w:p w14:paraId="05BEB44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10AAF472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0290243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B79811A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BA5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1D1D1EE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 w14:paraId="5D2FA1A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963" w:type="pct"/>
            <w:noWrap w:val="0"/>
            <w:vAlign w:val="center"/>
          </w:tcPr>
          <w:p w14:paraId="1E7B44E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达标排放率</w:t>
            </w:r>
          </w:p>
        </w:tc>
        <w:tc>
          <w:tcPr>
            <w:tcW w:w="381" w:type="pct"/>
            <w:noWrap w:val="0"/>
            <w:vAlign w:val="center"/>
          </w:tcPr>
          <w:p w14:paraId="29A7E80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0C09914B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68041C1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7BC1CDE2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0895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59D957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15" w:type="pct"/>
            <w:vMerge w:val="continue"/>
            <w:noWrap w:val="0"/>
            <w:vAlign w:val="top"/>
          </w:tcPr>
          <w:p w14:paraId="0A41B106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noWrap w:val="0"/>
            <w:vAlign w:val="center"/>
          </w:tcPr>
          <w:p w14:paraId="180CCAE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单位产品排水量</w:t>
            </w:r>
          </w:p>
        </w:tc>
        <w:tc>
          <w:tcPr>
            <w:tcW w:w="381" w:type="pct"/>
            <w:noWrap w:val="0"/>
            <w:vAlign w:val="center"/>
          </w:tcPr>
          <w:p w14:paraId="52A6032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773" w:type="pct"/>
            <w:noWrap w:val="0"/>
            <w:vAlign w:val="center"/>
          </w:tcPr>
          <w:p w14:paraId="479682C6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958398D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46FB570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2652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0802E81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 w14:paraId="1A1C5EC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非常规水源利用</w:t>
            </w:r>
          </w:p>
        </w:tc>
        <w:tc>
          <w:tcPr>
            <w:tcW w:w="963" w:type="pct"/>
            <w:noWrap w:val="0"/>
            <w:vAlign w:val="center"/>
          </w:tcPr>
          <w:p w14:paraId="5B81024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非常规水源替代率</w:t>
            </w:r>
          </w:p>
        </w:tc>
        <w:tc>
          <w:tcPr>
            <w:tcW w:w="381" w:type="pct"/>
            <w:noWrap w:val="0"/>
            <w:vAlign w:val="center"/>
          </w:tcPr>
          <w:p w14:paraId="25099F6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74F44374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11DD5EA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2D8288CD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2E6B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0F57F72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15" w:type="pct"/>
            <w:vMerge w:val="continue"/>
            <w:noWrap w:val="0"/>
            <w:vAlign w:val="top"/>
          </w:tcPr>
          <w:p w14:paraId="3194EB6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63" w:type="pct"/>
            <w:noWrap w:val="0"/>
            <w:vAlign w:val="center"/>
          </w:tcPr>
          <w:p w14:paraId="31C3D59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非常规水源利用率</w:t>
            </w:r>
          </w:p>
        </w:tc>
        <w:tc>
          <w:tcPr>
            <w:tcW w:w="381" w:type="pct"/>
            <w:noWrap w:val="0"/>
            <w:vAlign w:val="center"/>
          </w:tcPr>
          <w:p w14:paraId="10AE2AB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4CDF8EE3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0680D1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3DD9F07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BDEB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shd w:val="clear" w:color="auto" w:fill="auto"/>
            <w:noWrap w:val="0"/>
            <w:vAlign w:val="center"/>
          </w:tcPr>
          <w:p w14:paraId="0BF5D16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5" w:type="pct"/>
            <w:noWrap w:val="0"/>
            <w:vAlign w:val="center"/>
          </w:tcPr>
          <w:p w14:paraId="0856C88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溶铜工序用水量</w:t>
            </w:r>
          </w:p>
        </w:tc>
        <w:tc>
          <w:tcPr>
            <w:tcW w:w="963" w:type="pct"/>
            <w:noWrap w:val="0"/>
            <w:vAlign w:val="center"/>
          </w:tcPr>
          <w:p w14:paraId="7BCEB26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单位产品溶铜工序用水量</w:t>
            </w:r>
          </w:p>
        </w:tc>
        <w:tc>
          <w:tcPr>
            <w:tcW w:w="381" w:type="pct"/>
            <w:noWrap w:val="0"/>
            <w:vAlign w:val="center"/>
          </w:tcPr>
          <w:p w14:paraId="1641ADC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773" w:type="pct"/>
            <w:noWrap w:val="0"/>
            <w:vAlign w:val="center"/>
          </w:tcPr>
          <w:p w14:paraId="7BA8526B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65206C4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653C0BA0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4122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noWrap w:val="0"/>
            <w:vAlign w:val="center"/>
          </w:tcPr>
          <w:p w14:paraId="031798A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5" w:type="pct"/>
            <w:noWrap w:val="0"/>
            <w:vAlign w:val="center"/>
          </w:tcPr>
          <w:p w14:paraId="4E5FB11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生箔工序用水量</w:t>
            </w:r>
          </w:p>
        </w:tc>
        <w:tc>
          <w:tcPr>
            <w:tcW w:w="963" w:type="pct"/>
            <w:noWrap w:val="0"/>
            <w:vAlign w:val="center"/>
          </w:tcPr>
          <w:p w14:paraId="561D6C2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单位产品生箔工序用水量</w:t>
            </w:r>
          </w:p>
        </w:tc>
        <w:tc>
          <w:tcPr>
            <w:tcW w:w="381" w:type="pct"/>
            <w:noWrap w:val="0"/>
            <w:vAlign w:val="center"/>
          </w:tcPr>
          <w:p w14:paraId="5846601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/t</w:t>
            </w:r>
          </w:p>
        </w:tc>
        <w:tc>
          <w:tcPr>
            <w:tcW w:w="773" w:type="pct"/>
            <w:noWrap w:val="0"/>
            <w:vAlign w:val="center"/>
          </w:tcPr>
          <w:p w14:paraId="03B2C9B9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248250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7524BD9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07AC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noWrap w:val="0"/>
            <w:vAlign w:val="center"/>
          </w:tcPr>
          <w:p w14:paraId="150FFCA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5" w:type="pct"/>
            <w:noWrap w:val="0"/>
            <w:vAlign w:val="center"/>
          </w:tcPr>
          <w:p w14:paraId="54B17EB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用水漏损</w:t>
            </w:r>
          </w:p>
        </w:tc>
        <w:tc>
          <w:tcPr>
            <w:tcW w:w="963" w:type="pct"/>
            <w:noWrap w:val="0"/>
            <w:vAlign w:val="center"/>
          </w:tcPr>
          <w:p w14:paraId="43A563A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用水综合漏失率</w:t>
            </w:r>
          </w:p>
        </w:tc>
        <w:tc>
          <w:tcPr>
            <w:tcW w:w="381" w:type="pct"/>
            <w:noWrap w:val="0"/>
            <w:vAlign w:val="center"/>
          </w:tcPr>
          <w:p w14:paraId="1973199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73" w:type="pct"/>
            <w:noWrap w:val="0"/>
            <w:vAlign w:val="center"/>
          </w:tcPr>
          <w:p w14:paraId="380EA78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20264D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072CA070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C849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60" w:type="pct"/>
            <w:noWrap w:val="0"/>
            <w:vAlign w:val="center"/>
          </w:tcPr>
          <w:p w14:paraId="039A29C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5" w:type="pct"/>
            <w:noWrap w:val="0"/>
            <w:vAlign w:val="center"/>
          </w:tcPr>
          <w:p w14:paraId="6D9B6694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产量</w:t>
            </w:r>
          </w:p>
        </w:tc>
        <w:tc>
          <w:tcPr>
            <w:tcW w:w="963" w:type="pct"/>
            <w:noWrap w:val="0"/>
            <w:vAlign w:val="center"/>
          </w:tcPr>
          <w:p w14:paraId="438CCF1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锂电池铜箔年度产量</w:t>
            </w:r>
          </w:p>
        </w:tc>
        <w:tc>
          <w:tcPr>
            <w:tcW w:w="381" w:type="pct"/>
            <w:noWrap w:val="0"/>
            <w:vAlign w:val="center"/>
          </w:tcPr>
          <w:p w14:paraId="195474A1">
            <w:pPr>
              <w:adjustRightInd w:val="0"/>
              <w:snapToGrid w:val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773" w:type="pct"/>
            <w:noWrap w:val="0"/>
            <w:vAlign w:val="center"/>
          </w:tcPr>
          <w:p w14:paraId="67C07D1E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1A4BD05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6" w:type="pct"/>
            <w:noWrap w:val="0"/>
            <w:vAlign w:val="center"/>
          </w:tcPr>
          <w:p w14:paraId="630DAA7B">
            <w:pPr>
              <w:pStyle w:val="5"/>
              <w:kinsoku w:val="0"/>
              <w:overflowPunct w:val="0"/>
              <w:adjustRightInd w:val="0"/>
              <w:snapToGrid w:val="0"/>
              <w:spacing w:before="100" w:line="240" w:lineRule="auto"/>
              <w:ind w:left="103" w:right="10" w:hanging="3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59B22561">
      <w:pPr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</w:p>
    <w:sectPr>
      <w:pgSz w:w="16838" w:h="11906" w:orient="landscape"/>
      <w:pgMar w:top="896" w:right="1440" w:bottom="89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TEwMzc2ZmFlOGIxYWZlMjI4MzM0ZjI2ZjgwMDAifQ=="/>
    <w:docVar w:name="KSO_WPS_MARK_KEY" w:val="d62c76e0-91d6-40ed-8468-535b326bb51b"/>
  </w:docVars>
  <w:rsids>
    <w:rsidRoot w:val="2DD45D19"/>
    <w:rsid w:val="06BB0913"/>
    <w:rsid w:val="0C6B4AF6"/>
    <w:rsid w:val="0D493A96"/>
    <w:rsid w:val="111A5F07"/>
    <w:rsid w:val="15F114FA"/>
    <w:rsid w:val="1AF302ED"/>
    <w:rsid w:val="20412B3C"/>
    <w:rsid w:val="22FB2538"/>
    <w:rsid w:val="262C60B0"/>
    <w:rsid w:val="29AE0B0C"/>
    <w:rsid w:val="29E50611"/>
    <w:rsid w:val="2A01429A"/>
    <w:rsid w:val="2C573A57"/>
    <w:rsid w:val="2DD45D19"/>
    <w:rsid w:val="2E257660"/>
    <w:rsid w:val="33A7678A"/>
    <w:rsid w:val="3487491A"/>
    <w:rsid w:val="38F95CC6"/>
    <w:rsid w:val="3AB96365"/>
    <w:rsid w:val="3E0D0F9C"/>
    <w:rsid w:val="3EAE131E"/>
    <w:rsid w:val="4713204B"/>
    <w:rsid w:val="495627E4"/>
    <w:rsid w:val="52A528D5"/>
    <w:rsid w:val="540443AF"/>
    <w:rsid w:val="56717F2D"/>
    <w:rsid w:val="62090BB2"/>
    <w:rsid w:val="62D46D22"/>
    <w:rsid w:val="650F3C01"/>
    <w:rsid w:val="7AD84B0B"/>
    <w:rsid w:val="7BC327BD"/>
    <w:rsid w:val="7CAB08D6"/>
    <w:rsid w:val="7D16119F"/>
    <w:rsid w:val="7EF9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Table Paragraph"/>
    <w:basedOn w:val="1"/>
    <w:unhideWhenUsed/>
    <w:qFormat/>
    <w:uiPriority w:val="1"/>
    <w:rPr>
      <w:rFonts w:hint="eastAsi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683</Characters>
  <Lines>0</Lines>
  <Paragraphs>0</Paragraphs>
  <TotalTime>5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2025-05-19T00:03:00Z</dcterms:created>
  <dc:creator>潘建中</dc:creator>
  <cp:lastModifiedBy>韩知为</cp:lastModifiedBy>
  <dcterms:modified xsi:type="dcterms:W3CDTF">2025-05-27T08:09:53Z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A02F822530864A55A077763F148D61C3</vt:lpwstr>
  </property>
  <property fmtid="{D5CDD505-2E9C-101B-9397-08002B2CF9AE}" pid="4" name="KSOTemplateDocerSaveRecord">
    <vt:lpwstr>eyJoZGlkIjoiZDc3NjdhMzRkNzc1ZjMzMjM5NTdkY2FjNzA1OWE0YWIiLCJ1c2VySWQiOiIyNTEyODEyMjEifQ==</vt:lpwstr>
  </property>
</Properties>
</file>