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5B83D">
      <w:pPr>
        <w:pStyle w:val="42"/>
        <w:rPr>
          <w:rFonts w:hint="eastAsia" w:ascii="黑体" w:hAnsi="黑体" w:eastAsia="黑体" w:cs="黑体"/>
          <w:color w:val="auto"/>
          <w:lang w:val="en-US"/>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bookmarkStart w:id="0" w:name="SectionMark0"/>
      <w:r>
        <w:pict>
          <v:shape id="文本框 2" o:spid="_x0000_s1046" o:spt="202" type="#_x0000_t202" style="position:absolute;left:0pt;margin-left:400.7pt;margin-top:695.8pt;height:36.2pt;width:78.4pt;mso-wrap-distance-bottom:3.6pt;mso-wrap-distance-left:9pt;mso-wrap-distance-right:9pt;mso-wrap-distance-top:3.6pt;z-index:251669504;mso-width-relative:page;mso-height-relative:page;" filled="f" stroked="f" coordsize="21600,21600" o:gfxdata="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Jy/m1wAAAAkBAAAPAAAAAAAAAAEAIAAAACIAAABkcnMvZG93bnJldi54bWxQSwECFAAUAAAA&#10;CACHTuJA9s2nVLYBAABcAwAADgAAAAAAAAABACAAAAAmAQAAZHJzL2Uyb0RvYy54bWxQSwUGAAAA&#10;AAYABgBZAQAATgUAAAAA&#10;">
            <v:path/>
            <v:fill on="f" focussize="0,0"/>
            <v:stroke on="f"/>
            <v:imagedata o:title=""/>
            <o:lock v:ext="edit" aspectratio="f"/>
            <v:textbox>
              <w:txbxContent>
                <w:p w14:paraId="4BE41C64">
                  <w:pPr>
                    <w:ind w:left="420"/>
                    <w:rPr>
                      <w:rFonts w:ascii="黑体" w:hAnsi="黑体" w:eastAsia="黑体"/>
                      <w:sz w:val="28"/>
                      <w:szCs w:val="28"/>
                    </w:rPr>
                  </w:pPr>
                  <w:r>
                    <w:rPr>
                      <w:rFonts w:hint="eastAsia" w:ascii="黑体" w:hAnsi="黑体" w:eastAsia="黑体"/>
                      <w:sz w:val="28"/>
                      <w:szCs w:val="28"/>
                    </w:rPr>
                    <w:t>发布</w:t>
                  </w:r>
                </w:p>
              </w:txbxContent>
            </v:textbox>
            <w10:wrap type="square"/>
          </v:shape>
        </w:pict>
      </w:r>
      <w:r>
        <w:rPr>
          <w:color w:val="auto"/>
        </w:rPr>
        <w:pict>
          <v:line id="1030" o:spid="_x0000_s1032" o:spt="20" style="position:absolute;left:0pt;margin-left:-0.75pt;margin-top:655.95pt;height:0pt;width:482pt;z-index:251662336;mso-width-relative:page;mso-height-relative:page;" coordsize="21600,21600" o:allowincell="f">
            <v:path arrowok="t"/>
            <v:fill focussize="0,0"/>
            <v:stroke weight="1pt"/>
            <v:imagedata o:title=""/>
            <o:lock v:ext="edit"/>
          </v:line>
        </w:pict>
      </w:r>
      <w:r>
        <w:rPr>
          <w:rFonts w:ascii="Times New Roman" w:hAnsi="Times New Roman"/>
          <w:color w:val="auto"/>
        </w:rPr>
        <w:pict>
          <v:shape id="fmFrame1" o:spid="_x0000_s1042" o:spt="202" type="#_x0000_t202" style="position:absolute;left:0pt;margin-left:3.6pt;margin-top:30.3pt;height:28.15pt;width:134.4pt;mso-wrap-distance-bottom:0pt;mso-wrap-distance-left:9pt;mso-wrap-distance-right:9pt;mso-wrap-distance-top:0pt;z-index:251660288;mso-width-relative:page;mso-height-relative:page;" fillcolor="#FFFFFF" filled="t" stroked="f" coordsize="21600,21600" o:gfxdata="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EXLp1AAAAAQBAAAPAAAAAAAAAAEAIAAAACIAAABkcnMvZG93bnJldi54bWxQSwECFAAU&#10;AAAACACHTuJAet/FBPUBAAD8AwAADgAAAAAAAAABACAAAAAjAQAAZHJzL2Uyb0RvYy54bWxQSwUG&#10;AAAAAAYABgBZAQAAigUAAAAA&#10;">
            <v:path/>
            <v:fill on="t" color2="#FFFFFF" focussize="0,0"/>
            <v:stroke on="f"/>
            <v:imagedata o:title=""/>
            <o:lock v:ext="edit" aspectratio="f"/>
            <v:textbox inset="0mm,0mm,0mm,0mm">
              <w:txbxContent>
                <w:p w14:paraId="6A362AA7">
                  <w:pPr>
                    <w:pStyle w:val="48"/>
                    <w:rPr>
                      <w:rFonts w:hint="default" w:ascii="Times New Roman" w:hAnsi="Times New Roman" w:cs="Times New Roman"/>
                      <w:lang w:val="en-US" w:eastAsia="zh-CN"/>
                    </w:rPr>
                  </w:pPr>
                  <w:r>
                    <w:rPr>
                      <w:rFonts w:hint="eastAsia" w:ascii="Times New Roman" w:hAnsi="Times New Roman" w:cs="Times New Roman"/>
                    </w:rPr>
                    <w:t>ICS 77.1</w:t>
                  </w:r>
                  <w:r>
                    <w:rPr>
                      <w:rFonts w:hint="eastAsia" w:ascii="Times New Roman" w:hAnsi="Times New Roman" w:cs="Times New Roman"/>
                      <w:lang w:val="en-US" w:eastAsia="zh-CN"/>
                    </w:rPr>
                    <w:t>5</w:t>
                  </w:r>
                  <w:r>
                    <w:rPr>
                      <w:rFonts w:hint="eastAsia" w:ascii="Times New Roman" w:hAnsi="Times New Roman" w:cs="Times New Roman"/>
                    </w:rPr>
                    <w:t>0</w:t>
                  </w:r>
                  <w:r>
                    <w:rPr>
                      <w:rFonts w:hint="eastAsia" w:ascii="Times New Roman" w:hAnsi="Times New Roman" w:cs="Times New Roman"/>
                      <w:lang w:val="en-US" w:eastAsia="zh-CN"/>
                    </w:rPr>
                    <w:t>.99</w:t>
                  </w:r>
                </w:p>
                <w:p w14:paraId="20F7D3D3">
                  <w:pPr>
                    <w:pStyle w:val="48"/>
                    <w:rPr>
                      <w:rFonts w:hint="default" w:ascii="Times New Roman" w:hAnsi="Times New Roman" w:cs="Times New Roman"/>
                      <w:lang w:val="en-US" w:eastAsia="zh-CN"/>
                    </w:rPr>
                  </w:pPr>
                  <w:r>
                    <w:rPr>
                      <w:rFonts w:hint="eastAsia" w:ascii="Times New Roman" w:hAnsi="Times New Roman" w:cs="Times New Roman"/>
                    </w:rPr>
                    <w:t>CCS H</w:t>
                  </w:r>
                  <w:r>
                    <w:rPr>
                      <w:rFonts w:hint="eastAsia" w:ascii="Times New Roman" w:hAnsi="Times New Roman" w:cs="Times New Roman"/>
                      <w:lang w:val="en-US" w:eastAsia="zh-CN"/>
                    </w:rPr>
                    <w:t xml:space="preserve"> 62</w:t>
                  </w:r>
                </w:p>
              </w:txbxContent>
            </v:textbox>
            <w10:wrap type="square"/>
          </v:shape>
        </w:pict>
      </w:r>
      <w:r>
        <w:rPr>
          <w:rFonts w:ascii="Times New Roman" w:hAnsi="Times New Roman"/>
          <w:color w:val="auto"/>
          <w:sz w:val="28"/>
          <w:szCs w:val="20"/>
        </w:rPr>
        <w:pict>
          <v:shape id="fmFrame3" o:spid="_x0000_s1041" o:spt="202" type="#_x0000_t202" style="position:absolute;left:0pt;margin-left:-3.3pt;margin-top:137.15pt;height:23.1pt;width:481.1pt;mso-position-horizontal-relative:margin;mso-position-vertical-relative:margin;z-index:251666432;mso-width-relative:page;mso-height-relative:page;" filled="f" stroked="f" coordsize="21600,21600" o:gfxdata="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hORRdsAAAALAQAADwAAAAAAAAABACAAAAAiAAAAZHJzL2Rv&#10;d25yZXYueG1sUEsBAhQAFAAAAAgAh07iQMnPcXH+AQAAAgQAAA4AAAAAAAAAAQAgAAAAKgEAAGRy&#10;cy9lMm9Eb2MueG1sUEsFBgAAAAAGAAYAWQEAAJoFAAAAAA==&#10;">
            <v:path/>
            <v:fill on="f" focussize="0,0"/>
            <v:stroke on="f"/>
            <v:imagedata o:title=""/>
            <o:lock v:ext="edit" aspectratio="f"/>
            <v:textbox inset="0mm,0mm,0mm,0mm">
              <w:txbxContent>
                <w:p w14:paraId="29938AEC">
                  <w:pPr>
                    <w:pStyle w:val="36"/>
                    <w:wordWrap/>
                    <w:spacing w:before="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val="en-US" w:eastAsia="zh-CN" w:bidi="ar-SA"/>
                    </w:rPr>
                    <w:t>T/CNIA XXXX—202X</w:t>
                  </w:r>
                </w:p>
              </w:txbxContent>
            </v:textbox>
            <w10:anchorlock/>
          </v:shape>
        </w:pict>
      </w:r>
      <w:r>
        <w:rPr>
          <w:color w:val="auto"/>
        </w:rPr>
        <w:pict>
          <v:line id="1026" o:spid="_x0000_s1034" o:spt="20" style="position:absolute;left:0pt;margin-left:-0.4pt;margin-top:160.75pt;height:0.25pt;width:477pt;mso-wrap-distance-left:9pt;mso-wrap-distance-right:9pt;z-index:251661312;mso-width-relative:page;mso-height-relative:page;" coordsize="21600,21600" wrapcoords="-39 0 -39 0 21639 0 21639 0 -39 0">
            <v:path arrowok="t"/>
            <v:fill focussize="0,0"/>
            <v:stroke/>
            <v:imagedata o:title=""/>
            <o:lock v:ext="edit"/>
            <w10:wrap type="through"/>
          </v:line>
        </w:pict>
      </w:r>
      <w:r>
        <w:rPr>
          <w:color w:val="auto"/>
        </w:rPr>
        <w:pict>
          <v:shape id="fmFrame2" o:spid="_x0000_s1037" o:spt="202" type="#_x0000_t202" style="position:absolute;left:0pt;margin-left:-5.3pt;margin-top:86.7pt;height:51.25pt;width:481.9pt;mso-position-horizontal-relative:margin;mso-position-vertical-relative:margin;z-index:251666432;mso-width-relative:page;mso-height-relative:page;" fillcolor="#FFFFFF" filled="t" stroked="f" coordsize="21600,21600">
            <v:path/>
            <v:fill on="t" color2="#FFFFFF" focussize="0,0"/>
            <v:stroke on="f"/>
            <v:imagedata o:title=""/>
            <o:lock v:ext="edit" aspectratio="f"/>
            <v:textbox inset="0mm,0mm,0mm,0mm">
              <w:txbxContent>
                <w:p w14:paraId="16916851">
                  <w:pPr>
                    <w:pStyle w:val="62"/>
                    <w:spacing w:before="0" w:afterLines="50" w:line="360" w:lineRule="auto"/>
                    <w:ind w:left="-239" w:leftChars="-114"/>
                    <w:rPr>
                      <w:sz w:val="24"/>
                      <w:szCs w:val="32"/>
                    </w:rPr>
                  </w:pPr>
                  <w:r>
                    <w:rPr>
                      <w:rFonts w:hint="eastAsia" w:ascii="宋体" w:hAnsi="Times New Roman" w:eastAsia="宋体" w:cs="Times New Roman"/>
                      <w:b/>
                      <w:bCs/>
                      <w:spacing w:val="20"/>
                      <w:w w:val="148"/>
                      <w:kern w:val="0"/>
                      <w:sz w:val="52"/>
                      <w:szCs w:val="20"/>
                      <w:lang w:val="en-US" w:eastAsia="zh-CN" w:bidi="ar-SA"/>
                    </w:rPr>
                    <w:t>团  体  标  准</w:t>
                  </w:r>
                </w:p>
              </w:txbxContent>
            </v:textbox>
            <w10:anchorlock/>
          </v:shape>
        </w:pict>
      </w:r>
      <w:r>
        <w:rPr>
          <w:color w:val="auto"/>
        </w:rPr>
        <w:pict>
          <v:shape id="1032" o:spid="_x0000_s1030" o:spt="202" type="#_x0000_t202" style="position:absolute;left:0pt;margin-left:327.3pt;margin-top:628.95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14:paraId="12C0C836">
                  <w:pPr>
                    <w:pStyle w:val="46"/>
                    <w:rPr>
                      <w:rFonts w:ascii="黑体" w:hAnsi="黑体"/>
                    </w:rPr>
                  </w:pPr>
                  <w:r>
                    <w:rPr>
                      <w:rFonts w:hint="eastAsia" w:ascii="Times New Roman" w:hAnsi="Times New Roman" w:eastAsia="黑体" w:cs="Times New Roman"/>
                      <w:b w:val="0"/>
                      <w:bCs/>
                      <w:sz w:val="28"/>
                      <w:lang w:val="en-US" w:eastAsia="zh-CN" w:bidi="ar-SA"/>
                    </w:rPr>
                    <w:t>XXXX-XX-XX实施</w:t>
                  </w:r>
                </w:p>
              </w:txbxContent>
            </v:textbox>
            <w10:anchorlock/>
          </v:shape>
        </w:pict>
      </w:r>
      <w:r>
        <w:rPr>
          <w:color w:val="auto"/>
        </w:rPr>
        <w:pict>
          <v:shape id="1033" o:spid="_x0000_s1029" o:spt="202" type="#_x0000_t202" style="position:absolute;left:0pt;margin-left:4.05pt;margin-top:627.75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14:paraId="2A94B01A">
                  <w:pPr>
                    <w:pStyle w:val="35"/>
                    <w:rPr>
                      <w:rFonts w:hint="eastAsia" w:ascii="Times New Roman" w:hAnsi="Times New Roman" w:cs="Times New Roman"/>
                      <w:b w:val="0"/>
                      <w:bCs/>
                    </w:rPr>
                  </w:pPr>
                  <w:r>
                    <w:rPr>
                      <w:rFonts w:hint="eastAsia" w:ascii="Times New Roman" w:hAnsi="Times New Roman" w:cs="Times New Roman"/>
                      <w:b w:val="0"/>
                      <w:bCs/>
                    </w:rPr>
                    <w:t>XXXX-XX-XX发布</w:t>
                  </w:r>
                </w:p>
              </w:txbxContent>
            </v:textbox>
            <w10:anchorlock/>
          </v:shape>
        </w:pict>
      </w:r>
      <w:r>
        <w:rPr>
          <w:color w:val="auto"/>
        </w:rPr>
        <w:pict>
          <v:shape id="1034" o:spid="_x0000_s1028" o:spt="202" type="#_x0000_t202" style="position:absolute;left:0pt;margin-left:0pt;margin-top:289.25pt;height:137.45pt;width:470pt;mso-position-horizontal-relative:margin;mso-position-vertical-relative:margin;z-index:251665408;mso-width-relative:page;mso-height-relative:page;" fillcolor="#FFFFFF" filled="t" stroked="f" coordsize="21600,21600" o:allowincell="f">
            <v:path/>
            <v:fill on="t" color2="#FFFFFF" focussize="0,0"/>
            <v:stroke on="f"/>
            <v:imagedata o:title=""/>
            <o:lock v:ext="edit" aspectratio="f"/>
            <v:textbox inset="0mm,0mm,0mm,0mm">
              <w:txbxContent>
                <w:p w14:paraId="68B03375">
                  <w:pPr>
                    <w:spacing w:line="800" w:lineRule="exact"/>
                    <w:jc w:val="center"/>
                    <w:rPr>
                      <w:rFonts w:eastAsia="黑体"/>
                      <w:bCs/>
                      <w:sz w:val="52"/>
                      <w:szCs w:val="52"/>
                    </w:rPr>
                  </w:pPr>
                  <w:r>
                    <w:rPr>
                      <w:rFonts w:hint="eastAsia" w:ascii="黑体" w:hAnsi="Times New Roman" w:eastAsia="黑体" w:cs="Times New Roman"/>
                      <w:kern w:val="0"/>
                      <w:sz w:val="52"/>
                      <w:szCs w:val="20"/>
                      <w:lang w:val="en-US" w:eastAsia="zh-CN" w:bidi="ar-SA"/>
                    </w:rPr>
                    <w:t>铜精炼炉浇铸溜槽用耐火浇注料</w:t>
                  </w:r>
                </w:p>
                <w:p w14:paraId="08C2CD21">
                  <w:pPr>
                    <w:spacing w:line="400" w:lineRule="exact"/>
                    <w:rPr>
                      <w:rFonts w:eastAsia="黑体"/>
                      <w:bCs/>
                      <w:sz w:val="28"/>
                      <w:lang w:val="de-DE"/>
                    </w:rPr>
                  </w:pPr>
                </w:p>
                <w:p w14:paraId="26D88516">
                  <w:pPr>
                    <w:jc w:val="center"/>
                    <w:rPr>
                      <w:rFonts w:hint="eastAsia" w:ascii="黑体" w:hAnsi="黑体" w:eastAsia="黑体" w:cs="黑体"/>
                      <w:color w:val="auto"/>
                      <w:sz w:val="24"/>
                      <w:szCs w:val="24"/>
                    </w:rPr>
                  </w:pPr>
                  <w:r>
                    <w:rPr>
                      <w:rFonts w:hint="eastAsia" w:ascii="黑体" w:hAnsi="黑体" w:eastAsia="黑体" w:cs="Times New Roman"/>
                      <w:spacing w:val="2"/>
                      <w:kern w:val="0"/>
                      <w:sz w:val="28"/>
                      <w:szCs w:val="28"/>
                      <w:lang w:val="en-US" w:eastAsia="zh-CN" w:bidi="ar-SA"/>
                    </w:rPr>
                    <w:t>Refractory castable for pouring chute of copper refining furnace</w:t>
                  </w:r>
                </w:p>
                <w:p w14:paraId="570A7484">
                  <w:pPr>
                    <w:pStyle w:val="41"/>
                    <w:rPr>
                      <w:rFonts w:hint="eastAsia" w:ascii="宋体" w:hAnsi="宋体" w:eastAsia="宋体" w:cs="宋体"/>
                      <w:bCs/>
                      <w:sz w:val="28"/>
                      <w:szCs w:val="28"/>
                      <w:lang w:val="de-DE"/>
                    </w:rPr>
                  </w:pPr>
                  <w:r>
                    <w:rPr>
                      <w:rFonts w:hint="eastAsia" w:ascii="宋体" w:hAnsi="宋体" w:eastAsia="宋体" w:cs="宋体"/>
                      <w:bCs/>
                      <w:sz w:val="28"/>
                      <w:szCs w:val="28"/>
                      <w:lang w:val="de-DE"/>
                    </w:rPr>
                    <w:t>（</w:t>
                  </w:r>
                  <w:r>
                    <w:rPr>
                      <w:rFonts w:hint="eastAsia" w:hAnsi="宋体" w:cs="宋体"/>
                      <w:bCs/>
                      <w:sz w:val="28"/>
                      <w:szCs w:val="28"/>
                      <w:lang w:val="en-US" w:eastAsia="zh-CN"/>
                    </w:rPr>
                    <w:t>预审</w:t>
                  </w:r>
                  <w:r>
                    <w:rPr>
                      <w:rFonts w:hint="eastAsia" w:ascii="宋体" w:hAnsi="宋体" w:eastAsia="宋体" w:cs="宋体"/>
                      <w:bCs/>
                      <w:sz w:val="28"/>
                      <w:szCs w:val="28"/>
                      <w:lang w:val="en-US" w:eastAsia="zh-CN"/>
                    </w:rPr>
                    <w:t>稿</w:t>
                  </w:r>
                  <w:r>
                    <w:rPr>
                      <w:rFonts w:hint="eastAsia" w:ascii="宋体" w:hAnsi="宋体" w:eastAsia="宋体" w:cs="宋体"/>
                      <w:bCs/>
                      <w:sz w:val="28"/>
                      <w:szCs w:val="28"/>
                      <w:lang w:val="de-DE"/>
                    </w:rPr>
                    <w:t>）</w:t>
                  </w:r>
                </w:p>
                <w:p w14:paraId="3D405276">
                  <w:pPr>
                    <w:rPr>
                      <w:lang w:val="de-DE"/>
                    </w:rPr>
                  </w:pPr>
                </w:p>
              </w:txbxContent>
            </v:textbox>
            <w10:anchorlock/>
          </v:shape>
        </w:pict>
      </w:r>
      <w:r>
        <w:rPr>
          <w:rFonts w:hint="eastAsia"/>
          <w:color w:val="auto"/>
          <w:lang w:val="en-US" w:eastAsia="zh-CN"/>
        </w:rPr>
        <w:t xml:space="preserve">                          </w:t>
      </w:r>
      <w:r>
        <w:rPr>
          <w:color w:val="auto"/>
        </w:rPr>
        <w:pict>
          <v:shape id="1035" o:spid="_x0000_s1045" o:spt="202" type="#_x0000_t202" style="position:absolute;left:0pt;margin-left:61.1pt;margin-top:686.35pt;height:70.6pt;width:339.15pt;mso-position-horizontal-relative:margin;mso-position-vertical-relative:margin;z-index:251668480;mso-width-relative:page;mso-height-relative:page;" fillcolor="#FFFFFF" filled="t" stroked="f" coordsize="21600,21600">
            <v:path/>
            <v:fill on="t" color2="#FFFFFF" focussize="0,0"/>
            <v:stroke on="f"/>
            <v:imagedata o:title=""/>
            <o:lock v:ext="edit" aspectratio="f"/>
            <v:textbox inset="0mm,0mm,0mm,0mm">
              <w:txbxContent>
                <w:p w14:paraId="0FB14B2E">
                  <w:pPr>
                    <w:ind w:left="0" w:leftChars="0"/>
                    <w:jc w:val="distribute"/>
                    <w:rPr>
                      <w:rFonts w:hint="eastAsia" w:ascii="Times New Roman" w:hAnsi="Times New Roman" w:cs="Times New Roman"/>
                      <w:b/>
                      <w:sz w:val="30"/>
                      <w:szCs w:val="30"/>
                    </w:rPr>
                  </w:pPr>
                  <w:r>
                    <w:rPr>
                      <w:rFonts w:hint="eastAsia" w:ascii="Times New Roman" w:hAnsi="Times New Roman" w:cs="Times New Roman"/>
                      <w:b/>
                      <w:sz w:val="30"/>
                      <w:szCs w:val="30"/>
                    </w:rPr>
                    <w:t>中国有色金属工业协会</w:t>
                  </w:r>
                </w:p>
                <w:p w14:paraId="5B75DAA7">
                  <w:pPr>
                    <w:ind w:left="0" w:leftChars="0"/>
                    <w:jc w:val="distribute"/>
                    <w:rPr>
                      <w:rFonts w:hint="eastAsia" w:ascii="Times New Roman" w:hAnsi="Times New Roman" w:cs="Times New Roman"/>
                      <w:b/>
                      <w:sz w:val="30"/>
                      <w:szCs w:val="30"/>
                    </w:rPr>
                  </w:pPr>
                  <w:r>
                    <w:rPr>
                      <w:rFonts w:hint="eastAsia" w:ascii="Times New Roman" w:hAnsi="Times New Roman" w:cs="Times New Roman"/>
                      <w:b/>
                      <w:sz w:val="30"/>
                      <w:szCs w:val="30"/>
                    </w:rPr>
                    <w:t>中国有色金属学会</w:t>
                  </w:r>
                </w:p>
              </w:txbxContent>
            </v:textbox>
            <w10:anchorlock/>
          </v:shape>
        </w:pict>
      </w:r>
      <w:r>
        <w:rPr>
          <w:rFonts w:hint="eastAsia"/>
          <w:color w:val="auto"/>
          <w:lang w:val="en-US" w:eastAsia="zh-CN"/>
        </w:rPr>
        <w:t xml:space="preserve">                                             </w:t>
      </w:r>
    </w:p>
    <w:bookmarkEnd w:id="0"/>
    <w:p w14:paraId="1A42A81A">
      <w:pPr>
        <w:pStyle w:val="27"/>
        <w:rPr>
          <w:color w:val="000000"/>
        </w:rPr>
      </w:pPr>
      <w:r>
        <w:rPr>
          <w:rFonts w:hint="eastAsia" w:ascii="黑体" w:hAnsi="黑体" w:eastAsia="黑体" w:cs="黑体"/>
          <w:snapToGrid w:val="0"/>
          <w:color w:val="000000"/>
          <w:spacing w:val="-13"/>
          <w:kern w:val="0"/>
          <w:sz w:val="28"/>
          <w:szCs w:val="28"/>
          <w:lang w:val="en-US" w:eastAsia="zh-CN" w:bidi="ar-SA"/>
        </w:rPr>
        <w:t>前</w:t>
      </w:r>
      <w:bookmarkStart w:id="1" w:name="BKQY"/>
      <w:r>
        <w:rPr>
          <w:rFonts w:ascii="黑体" w:hAnsi="黑体" w:eastAsia="黑体" w:cs="黑体"/>
          <w:snapToGrid w:val="0"/>
          <w:color w:val="000000"/>
          <w:spacing w:val="-13"/>
          <w:kern w:val="0"/>
          <w:sz w:val="28"/>
          <w:szCs w:val="28"/>
          <w:lang w:val="en-US" w:eastAsia="zh-CN" w:bidi="ar-SA"/>
        </w:rPr>
        <w:t>  </w:t>
      </w:r>
      <w:r>
        <w:rPr>
          <w:rFonts w:hint="eastAsia" w:ascii="黑体" w:hAnsi="黑体" w:eastAsia="黑体" w:cs="黑体"/>
          <w:snapToGrid w:val="0"/>
          <w:color w:val="000000"/>
          <w:spacing w:val="-13"/>
          <w:kern w:val="0"/>
          <w:sz w:val="28"/>
          <w:szCs w:val="28"/>
          <w:lang w:val="en-US" w:eastAsia="zh-CN" w:bidi="ar-SA"/>
        </w:rPr>
        <w:t>言</w:t>
      </w:r>
      <w:bookmarkEnd w:id="1"/>
    </w:p>
    <w:p w14:paraId="0C8415AD">
      <w:pPr>
        <w:ind w:left="0" w:leftChars="0" w:firstLine="420" w:firstLineChars="200"/>
        <w:rPr>
          <w:rFonts w:hint="eastAsia" w:ascii="宋体" w:hAnsi="宋体" w:cs="Times New Roman"/>
          <w:kern w:val="0"/>
        </w:rPr>
      </w:pPr>
      <w:r>
        <w:rPr>
          <w:rFonts w:hint="eastAsia" w:ascii="宋体" w:hAnsi="宋体" w:cs="Times New Roman"/>
          <w:kern w:val="0"/>
        </w:rPr>
        <w:t>本文件按照GB/T 1.1-2020《标准化工作导则</w:t>
      </w:r>
      <w:r>
        <w:rPr>
          <w:rFonts w:hint="eastAsia" w:ascii="宋体" w:hAnsi="宋体" w:cs="Times New Roman"/>
          <w:kern w:val="0"/>
          <w:lang w:val="en-US" w:eastAsia="zh-CN"/>
        </w:rPr>
        <w:t xml:space="preserve"> </w:t>
      </w:r>
      <w:r>
        <w:rPr>
          <w:rFonts w:hint="eastAsia" w:ascii="宋体" w:hAnsi="宋体" w:cs="Times New Roman"/>
          <w:kern w:val="0"/>
        </w:rPr>
        <w:t>第1部分：标准化文件的结构和起草</w:t>
      </w:r>
      <w:r>
        <w:rPr>
          <w:rFonts w:hint="eastAsia" w:ascii="宋体" w:hAnsi="宋体" w:cs="Times New Roman"/>
          <w:kern w:val="0"/>
          <w:lang w:val="en-US" w:eastAsia="zh-CN"/>
        </w:rPr>
        <w:t>规则</w:t>
      </w:r>
      <w:r>
        <w:rPr>
          <w:rFonts w:hint="eastAsia" w:ascii="宋体" w:hAnsi="宋体" w:cs="Times New Roman"/>
          <w:kern w:val="0"/>
        </w:rPr>
        <w:t>》</w:t>
      </w:r>
      <w:r>
        <w:rPr>
          <w:rFonts w:hint="eastAsia" w:ascii="宋体" w:hAnsi="宋体" w:cs="Times New Roman"/>
          <w:kern w:val="0"/>
          <w:lang w:eastAsia="zh-CN"/>
        </w:rPr>
        <w:t>的</w:t>
      </w:r>
      <w:r>
        <w:rPr>
          <w:rFonts w:hint="eastAsia" w:ascii="宋体" w:hAnsi="宋体" w:cs="Times New Roman"/>
          <w:kern w:val="0"/>
        </w:rPr>
        <w:t>规</w:t>
      </w:r>
      <w:r>
        <w:rPr>
          <w:rFonts w:hint="eastAsia" w:ascii="宋体" w:hAnsi="宋体" w:cs="Times New Roman"/>
          <w:kern w:val="0"/>
          <w:lang w:val="en-US" w:eastAsia="zh-CN"/>
        </w:rPr>
        <w:t>定</w:t>
      </w:r>
      <w:r>
        <w:rPr>
          <w:rFonts w:hint="eastAsia" w:ascii="宋体" w:hAnsi="宋体" w:cs="Times New Roman"/>
          <w:kern w:val="0"/>
        </w:rPr>
        <w:t>起草。</w:t>
      </w:r>
    </w:p>
    <w:p w14:paraId="3E1F855F">
      <w:pPr>
        <w:ind w:left="0" w:leftChars="0" w:firstLine="420" w:firstLineChars="200"/>
        <w:rPr>
          <w:rFonts w:ascii="宋体" w:hAnsi="宋体" w:cs="宋体"/>
          <w:color w:val="auto"/>
          <w:szCs w:val="20"/>
        </w:rPr>
      </w:pPr>
      <w:r>
        <w:rPr>
          <w:rFonts w:hint="eastAsia" w:ascii="宋体" w:hAnsi="宋体" w:cs="宋体"/>
          <w:color w:val="auto"/>
          <w:szCs w:val="20"/>
        </w:rPr>
        <w:t>请注意本文件的某些内容可能涉及专利。本文件的发布机构不承担识别专利的责任。</w:t>
      </w:r>
    </w:p>
    <w:p w14:paraId="1AB5D614">
      <w:pPr>
        <w:ind w:left="0" w:leftChars="0" w:firstLine="420" w:firstLineChars="200"/>
        <w:rPr>
          <w:rFonts w:hint="eastAsia" w:ascii="宋体" w:hAnsi="宋体" w:cs="Times New Roman"/>
          <w:color w:val="auto"/>
          <w:kern w:val="0"/>
        </w:rPr>
      </w:pPr>
      <w:r>
        <w:rPr>
          <w:rFonts w:hint="eastAsia" w:ascii="宋体" w:hAnsi="宋体" w:cs="Times New Roman"/>
          <w:color w:val="auto"/>
          <w:kern w:val="0"/>
        </w:rPr>
        <w:t>本文件由</w:t>
      </w:r>
      <w:r>
        <w:rPr>
          <w:rFonts w:hint="eastAsia" w:ascii="宋体" w:hAnsi="宋体" w:cs="宋体"/>
          <w:color w:val="auto"/>
          <w:szCs w:val="20"/>
        </w:rPr>
        <w:t>全国有色金属标准化技术委员会(SAC/TC 243)提出并归口。</w:t>
      </w:r>
    </w:p>
    <w:p w14:paraId="01DE6A0B">
      <w:pPr>
        <w:ind w:left="0" w:leftChars="0" w:firstLine="420" w:firstLineChars="200"/>
        <w:rPr>
          <w:rFonts w:hint="eastAsia" w:ascii="宋体" w:hAnsi="宋体" w:eastAsia="宋体" w:cs="Times New Roman"/>
          <w:kern w:val="0"/>
          <w:lang w:eastAsia="zh-CN"/>
        </w:rPr>
      </w:pPr>
      <w:r>
        <w:rPr>
          <w:rFonts w:hint="eastAsia" w:ascii="宋体" w:hAnsi="宋体" w:cs="Times New Roman"/>
          <w:kern w:val="0"/>
        </w:rPr>
        <w:t>本文件起草单位：江西铜业股份有限公司</w:t>
      </w:r>
      <w:r>
        <w:rPr>
          <w:rFonts w:hint="eastAsia" w:ascii="宋体" w:hAnsi="宋体" w:cs="Times New Roman"/>
          <w:kern w:val="0"/>
          <w:lang w:eastAsia="zh-CN"/>
        </w:rPr>
        <w:t>、铜陵有色金属集团股份有限公司、金川集团股份有限公司。</w:t>
      </w:r>
    </w:p>
    <w:p w14:paraId="68853055">
      <w:pPr>
        <w:ind w:left="0" w:leftChars="0" w:firstLine="420" w:firstLineChars="200"/>
        <w:rPr>
          <w:color w:val="000000"/>
        </w:rPr>
      </w:pPr>
      <w:r>
        <w:rPr>
          <w:rFonts w:hint="eastAsia" w:ascii="宋体" w:hAnsi="宋体" w:cs="Times New Roman"/>
          <w:kern w:val="0"/>
        </w:rPr>
        <w:t xml:space="preserve">本文件主要起草人： </w:t>
      </w:r>
    </w:p>
    <w:p w14:paraId="449E8E8A">
      <w:pPr>
        <w:pStyle w:val="28"/>
        <w:tabs>
          <w:tab w:val="center" w:pos="4201"/>
          <w:tab w:val="right" w:leader="dot" w:pos="9298"/>
        </w:tabs>
        <w:ind w:firstLine="0" w:firstLineChars="0"/>
        <w:rPr>
          <w:color w:val="000000"/>
        </w:rPr>
        <w:sectPr>
          <w:headerReference r:id="rId8" w:type="default"/>
          <w:footerReference r:id="rId9" w:type="default"/>
          <w:pgSz w:w="11906" w:h="16838"/>
          <w:pgMar w:top="567" w:right="1134" w:bottom="1134" w:left="1417" w:header="1418" w:footer="1134" w:gutter="0"/>
          <w:pgNumType w:fmt="upperRoman" w:start="1"/>
          <w:cols w:space="425" w:num="1"/>
          <w:formProt w:val="0"/>
          <w:docGrid w:type="lines" w:linePitch="312" w:charSpace="0"/>
        </w:sectPr>
      </w:pPr>
      <w:bookmarkStart w:id="13" w:name="_GoBack"/>
      <w:bookmarkEnd w:id="13"/>
    </w:p>
    <w:p w14:paraId="6BCE3022">
      <w:pPr>
        <w:spacing w:beforeLines="150" w:afterLines="150"/>
        <w:ind w:left="0" w:leftChars="0"/>
        <w:jc w:val="center"/>
        <w:rPr>
          <w:rFonts w:hint="eastAsia" w:ascii="黑体" w:hAnsi="黑体" w:eastAsia="黑体" w:cs="Times New Roman"/>
          <w:sz w:val="32"/>
          <w:szCs w:val="32"/>
        </w:rPr>
      </w:pPr>
      <w:r>
        <w:rPr>
          <w:rFonts w:hint="eastAsia" w:ascii="黑体" w:hAnsi="黑体" w:eastAsia="黑体" w:cs="Times New Roman"/>
          <w:sz w:val="32"/>
          <w:szCs w:val="32"/>
        </w:rPr>
        <w:t>铜精炼炉</w:t>
      </w:r>
      <w:r>
        <w:rPr>
          <w:rFonts w:hint="eastAsia" w:ascii="黑体" w:hAnsi="黑体" w:eastAsia="黑体" w:cs="Times New Roman"/>
          <w:sz w:val="32"/>
          <w:szCs w:val="32"/>
          <w:lang w:val="en-US" w:eastAsia="zh-CN"/>
        </w:rPr>
        <w:t>浇铸溜槽</w:t>
      </w:r>
      <w:r>
        <w:rPr>
          <w:rFonts w:hint="eastAsia" w:ascii="黑体" w:hAnsi="黑体" w:eastAsia="黑体" w:cs="Times New Roman"/>
          <w:sz w:val="32"/>
          <w:szCs w:val="32"/>
        </w:rPr>
        <w:t>用耐火浇注料</w:t>
      </w:r>
    </w:p>
    <w:p w14:paraId="4D3FF318">
      <w:pPr>
        <w:pStyle w:val="65"/>
        <w:spacing w:beforeLines="100" w:afterLines="100" w:line="240" w:lineRule="auto"/>
        <w:ind w:firstLine="0" w:firstLineChars="0"/>
        <w:rPr>
          <w:rFonts w:hint="eastAsia" w:ascii="黑体" w:hAnsi="黑体" w:eastAsia="黑体" w:cs="黑体"/>
          <w:bCs/>
        </w:rPr>
      </w:pPr>
      <w:r>
        <w:rPr>
          <w:rFonts w:hint="eastAsia" w:ascii="黑体" w:hAnsi="黑体" w:eastAsia="黑体" w:cs="黑体"/>
          <w:bCs/>
          <w:lang w:val="en-US" w:eastAsia="zh-CN"/>
        </w:rPr>
        <w:t xml:space="preserve">1 </w:t>
      </w:r>
      <w:r>
        <w:rPr>
          <w:rFonts w:hint="eastAsia" w:ascii="黑体" w:hAnsi="黑体" w:eastAsia="黑体" w:cs="黑体"/>
          <w:bCs/>
        </w:rPr>
        <w:t>范围</w:t>
      </w:r>
    </w:p>
    <w:p w14:paraId="6768C638">
      <w:pPr>
        <w:pStyle w:val="65"/>
        <w:spacing w:line="240" w:lineRule="auto"/>
        <w:ind w:firstLine="420"/>
        <w:rPr>
          <w:rFonts w:ascii="Times New Roman" w:hAnsi="Times New Roman"/>
          <w:kern w:val="0"/>
        </w:rPr>
      </w:pPr>
      <w:r>
        <w:rPr>
          <w:rFonts w:hint="eastAsia" w:ascii="Times New Roman" w:hAnsi="Times New Roman"/>
          <w:kern w:val="0"/>
        </w:rPr>
        <w:t>本文件规定了</w:t>
      </w:r>
      <w:r>
        <w:rPr>
          <w:rFonts w:hint="eastAsia" w:ascii="Times New Roman" w:hAnsi="Times New Roman"/>
          <w:kern w:val="0"/>
          <w:lang w:eastAsia="zh-CN"/>
        </w:rPr>
        <w:t>铜精炼炉浇铸溜槽用耐火浇注料</w:t>
      </w:r>
      <w:r>
        <w:rPr>
          <w:rFonts w:hint="eastAsia" w:ascii="Times New Roman" w:hAnsi="Times New Roman"/>
          <w:kern w:val="0"/>
        </w:rPr>
        <w:t>的分类、技术要求、试验方法、</w:t>
      </w:r>
      <w:r>
        <w:rPr>
          <w:rFonts w:hint="eastAsia" w:ascii="Times New Roman" w:hAnsi="Times New Roman"/>
          <w:kern w:val="0"/>
          <w:lang w:val="en-US" w:eastAsia="zh-CN"/>
        </w:rPr>
        <w:t>检验规则</w:t>
      </w:r>
      <w:r>
        <w:rPr>
          <w:rFonts w:ascii="Times New Roman" w:hAnsi="Times New Roman"/>
          <w:kern w:val="0"/>
        </w:rPr>
        <w:t>及标志、包装、运输、贮存</w:t>
      </w:r>
      <w:r>
        <w:rPr>
          <w:rFonts w:hint="eastAsia" w:ascii="Times New Roman" w:hAnsi="Times New Roman"/>
          <w:kern w:val="0"/>
          <w:lang w:val="en-US" w:eastAsia="zh-CN"/>
        </w:rPr>
        <w:t>及</w:t>
      </w:r>
      <w:r>
        <w:rPr>
          <w:rFonts w:hint="eastAsia" w:ascii="Times New Roman" w:hAnsi="Times New Roman"/>
          <w:kern w:val="0"/>
          <w:lang w:eastAsia="zh-CN"/>
        </w:rPr>
        <w:t>随行文件</w:t>
      </w:r>
      <w:r>
        <w:rPr>
          <w:rFonts w:hint="eastAsia" w:ascii="Times New Roman" w:hAnsi="Times New Roman"/>
          <w:kern w:val="0"/>
          <w:lang w:val="en-US" w:eastAsia="zh-CN"/>
        </w:rPr>
        <w:t>和</w:t>
      </w:r>
      <w:r>
        <w:rPr>
          <w:rFonts w:ascii="Times New Roman" w:hAnsi="Times New Roman"/>
          <w:kern w:val="0"/>
        </w:rPr>
        <w:t>订货单内容。</w:t>
      </w:r>
    </w:p>
    <w:p w14:paraId="13A6E149">
      <w:pPr>
        <w:pStyle w:val="65"/>
        <w:spacing w:line="240" w:lineRule="auto"/>
        <w:ind w:firstLine="420"/>
        <w:rPr>
          <w:rFonts w:ascii="Times New Roman" w:hAnsi="Times New Roman"/>
          <w:color w:val="auto"/>
          <w:kern w:val="0"/>
        </w:rPr>
      </w:pPr>
      <w:r>
        <w:rPr>
          <w:rFonts w:hint="eastAsia"/>
          <w:color w:val="auto"/>
          <w:kern w:val="0"/>
          <w:lang w:val="en-US" w:eastAsia="zh-CN"/>
        </w:rPr>
        <w:t>本文件适用于火法工艺流程中液态金属（如铜、铅、铝等温度小于1300℃）浇铸溜槽所用浇注料，主要用于保温、隔热内衬等装置的制作材料。</w:t>
      </w:r>
    </w:p>
    <w:p w14:paraId="3E5A634E">
      <w:pPr>
        <w:pStyle w:val="65"/>
        <w:spacing w:beforeLines="100" w:afterLines="100" w:line="240" w:lineRule="auto"/>
        <w:ind w:firstLine="0" w:firstLineChars="0"/>
        <w:rPr>
          <w:rFonts w:hint="eastAsia" w:ascii="黑体" w:hAnsi="黑体" w:eastAsia="黑体" w:cs="黑体"/>
          <w:bCs/>
        </w:rPr>
      </w:pPr>
      <w:r>
        <w:rPr>
          <w:rFonts w:hint="eastAsia" w:ascii="黑体" w:hAnsi="黑体" w:eastAsia="黑体" w:cs="黑体"/>
          <w:bCs/>
          <w:lang w:val="en-US" w:eastAsia="zh-CN"/>
        </w:rPr>
        <w:t xml:space="preserve">2 </w:t>
      </w:r>
      <w:r>
        <w:rPr>
          <w:rFonts w:hint="eastAsia" w:ascii="黑体" w:hAnsi="黑体" w:eastAsia="黑体" w:cs="黑体"/>
          <w:bCs/>
        </w:rPr>
        <w:t>规范性引用文件</w:t>
      </w:r>
    </w:p>
    <w:p w14:paraId="000716B6">
      <w:pPr>
        <w:pStyle w:val="65"/>
        <w:spacing w:line="240" w:lineRule="auto"/>
        <w:ind w:firstLine="420"/>
        <w:rPr>
          <w:rFonts w:hint="eastAsia" w:ascii="Times New Roman" w:hAnsi="Times New Roman"/>
          <w:kern w:val="0"/>
        </w:rPr>
      </w:pPr>
      <w:r>
        <w:rPr>
          <w:rFonts w:hint="eastAsia" w:ascii="Times New Roman" w:hAnsi="Times New Roman"/>
          <w:kern w:val="0"/>
        </w:rPr>
        <w:t>下列文件中的内容通过文中的规范性引用而构成本文件必不可少的条款。其中</w:t>
      </w:r>
      <w:r>
        <w:rPr>
          <w:rFonts w:hint="eastAsia" w:ascii="Times New Roman" w:hAnsi="Times New Roman"/>
          <w:kern w:val="0"/>
          <w:lang w:eastAsia="zh-CN"/>
        </w:rPr>
        <w:t>，</w:t>
      </w:r>
      <w:r>
        <w:rPr>
          <w:rFonts w:hint="eastAsia" w:ascii="Times New Roman" w:hAnsi="Times New Roman"/>
          <w:kern w:val="0"/>
        </w:rPr>
        <w:t>注日期的引用文件</w:t>
      </w:r>
      <w:r>
        <w:rPr>
          <w:rFonts w:hint="eastAsia" w:ascii="Times New Roman" w:hAnsi="Times New Roman"/>
          <w:kern w:val="0"/>
          <w:lang w:val="en-US" w:eastAsia="zh-CN"/>
        </w:rPr>
        <w:t>,</w:t>
      </w:r>
      <w:r>
        <w:rPr>
          <w:rFonts w:hint="eastAsia" w:ascii="Times New Roman" w:hAnsi="Times New Roman"/>
          <w:kern w:val="0"/>
        </w:rPr>
        <w:t>仅该日期对应的版本适用于本文件</w:t>
      </w:r>
      <w:r>
        <w:rPr>
          <w:rFonts w:hint="eastAsia" w:ascii="Times New Roman" w:hAnsi="Times New Roman"/>
          <w:kern w:val="0"/>
          <w:lang w:eastAsia="zh-CN"/>
        </w:rPr>
        <w:t>；</w:t>
      </w:r>
      <w:r>
        <w:rPr>
          <w:rFonts w:hint="eastAsia" w:ascii="Times New Roman" w:hAnsi="Times New Roman"/>
          <w:kern w:val="0"/>
        </w:rPr>
        <w:t>不注日期的引用文件</w:t>
      </w:r>
      <w:r>
        <w:rPr>
          <w:rFonts w:hint="eastAsia" w:ascii="Times New Roman" w:hAnsi="Times New Roman"/>
          <w:kern w:val="0"/>
          <w:lang w:eastAsia="zh-CN"/>
        </w:rPr>
        <w:t>，</w:t>
      </w:r>
      <w:r>
        <w:rPr>
          <w:rFonts w:hint="eastAsia" w:ascii="Times New Roman" w:hAnsi="Times New Roman"/>
          <w:kern w:val="0"/>
        </w:rPr>
        <w:t>其最新版本</w:t>
      </w:r>
      <w:r>
        <w:rPr>
          <w:rFonts w:hint="eastAsia" w:ascii="Times New Roman" w:hAnsi="Times New Roman"/>
          <w:kern w:val="0"/>
          <w:lang w:eastAsia="zh-CN"/>
        </w:rPr>
        <w:t>（</w:t>
      </w:r>
      <w:r>
        <w:rPr>
          <w:rFonts w:hint="eastAsia" w:ascii="Times New Roman" w:hAnsi="Times New Roman"/>
          <w:kern w:val="0"/>
        </w:rPr>
        <w:t>包括所有的修改单</w:t>
      </w:r>
      <w:r>
        <w:rPr>
          <w:rFonts w:hint="eastAsia" w:ascii="Times New Roman" w:hAnsi="Times New Roman"/>
          <w:kern w:val="0"/>
          <w:lang w:eastAsia="zh-CN"/>
        </w:rPr>
        <w:t>）</w:t>
      </w:r>
      <w:r>
        <w:rPr>
          <w:rFonts w:hint="eastAsia" w:ascii="Times New Roman" w:hAnsi="Times New Roman"/>
          <w:kern w:val="0"/>
        </w:rPr>
        <w:t>适用于本文件。</w:t>
      </w:r>
    </w:p>
    <w:p w14:paraId="324BAD64">
      <w:pPr>
        <w:pStyle w:val="65"/>
        <w:spacing w:line="240" w:lineRule="auto"/>
        <w:ind w:firstLine="420"/>
        <w:rPr>
          <w:rFonts w:hint="eastAsia" w:ascii="Times New Roman" w:hAnsi="Times New Roman"/>
          <w:color w:val="auto"/>
          <w:kern w:val="0"/>
          <w:lang w:val="en-US" w:eastAsia="zh-CN"/>
        </w:rPr>
      </w:pPr>
      <w:bookmarkStart w:id="2" w:name="OLE_LINK9"/>
      <w:bookmarkStart w:id="3" w:name="OLE_LINK6"/>
      <w:r>
        <w:rPr>
          <w:rFonts w:hint="eastAsia" w:ascii="Times New Roman" w:hAnsi="Times New Roman"/>
          <w:color w:val="auto"/>
          <w:kern w:val="0"/>
        </w:rPr>
        <w:t xml:space="preserve">GB/T </w:t>
      </w:r>
      <w:r>
        <w:rPr>
          <w:rFonts w:hint="eastAsia" w:ascii="Times New Roman" w:hAnsi="Times New Roman"/>
          <w:color w:val="auto"/>
          <w:kern w:val="0"/>
          <w:lang w:val="en-US" w:eastAsia="zh-CN"/>
        </w:rPr>
        <w:t>2999</w:t>
      </w:r>
      <w:bookmarkEnd w:id="2"/>
      <w:r>
        <w:rPr>
          <w:rFonts w:hint="eastAsia" w:ascii="Times New Roman" w:hAnsi="Times New Roman"/>
          <w:color w:val="auto"/>
          <w:kern w:val="0"/>
        </w:rPr>
        <w:t xml:space="preserve"> 耐火材料</w:t>
      </w:r>
      <w:r>
        <w:rPr>
          <w:rFonts w:hint="eastAsia" w:ascii="Times New Roman" w:hAnsi="Times New Roman"/>
          <w:color w:val="auto"/>
          <w:kern w:val="0"/>
          <w:lang w:val="en-US" w:eastAsia="zh-CN"/>
        </w:rPr>
        <w:t xml:space="preserve"> 颗粒体积密度试验方法</w:t>
      </w:r>
    </w:p>
    <w:p w14:paraId="6A87A692">
      <w:pPr>
        <w:pStyle w:val="65"/>
        <w:spacing w:line="240" w:lineRule="auto"/>
        <w:ind w:firstLine="420"/>
        <w:rPr>
          <w:rFonts w:hint="eastAsia" w:ascii="Times New Roman" w:hAnsi="Times New Roman"/>
          <w:color w:val="auto"/>
          <w:kern w:val="0"/>
        </w:rPr>
      </w:pPr>
      <w:r>
        <w:rPr>
          <w:rFonts w:hint="eastAsia" w:ascii="Times New Roman" w:hAnsi="Times New Roman"/>
          <w:color w:val="auto"/>
          <w:kern w:val="0"/>
        </w:rPr>
        <w:t>GB/T 4513.5</w:t>
      </w:r>
      <w:bookmarkEnd w:id="3"/>
      <w:r>
        <w:rPr>
          <w:rFonts w:hint="eastAsia" w:ascii="Times New Roman" w:hAnsi="Times New Roman"/>
          <w:color w:val="auto"/>
          <w:kern w:val="0"/>
        </w:rPr>
        <w:t xml:space="preserve"> 不定形耐火材料</w:t>
      </w:r>
      <w:r>
        <w:rPr>
          <w:rFonts w:hint="eastAsia" w:ascii="Times New Roman" w:hAnsi="Times New Roman"/>
          <w:color w:val="auto"/>
          <w:kern w:val="0"/>
          <w:lang w:val="en-US" w:eastAsia="zh-CN"/>
        </w:rPr>
        <w:t xml:space="preserve"> </w:t>
      </w:r>
      <w:r>
        <w:rPr>
          <w:rFonts w:hint="eastAsia" w:ascii="Times New Roman" w:hAnsi="Times New Roman"/>
          <w:color w:val="auto"/>
          <w:kern w:val="0"/>
        </w:rPr>
        <w:t>第5部分</w:t>
      </w:r>
      <w:r>
        <w:rPr>
          <w:rFonts w:hint="eastAsia" w:ascii="Times New Roman" w:hAnsi="Times New Roman"/>
          <w:color w:val="auto"/>
          <w:kern w:val="0"/>
          <w:lang w:val="en-US" w:eastAsia="zh-CN"/>
        </w:rPr>
        <w:t>：</w:t>
      </w:r>
      <w:r>
        <w:rPr>
          <w:rFonts w:hint="eastAsia" w:ascii="Times New Roman" w:hAnsi="Times New Roman"/>
          <w:color w:val="auto"/>
          <w:kern w:val="0"/>
        </w:rPr>
        <w:t>试样制备和预处理</w:t>
      </w:r>
    </w:p>
    <w:p w14:paraId="26BF38BE">
      <w:pPr>
        <w:pStyle w:val="65"/>
        <w:spacing w:line="240" w:lineRule="auto"/>
        <w:ind w:firstLine="420"/>
        <w:rPr>
          <w:rFonts w:hint="eastAsia" w:ascii="Times New Roman" w:hAnsi="Times New Roman"/>
          <w:color w:val="auto"/>
          <w:kern w:val="0"/>
        </w:rPr>
      </w:pPr>
      <w:bookmarkStart w:id="4" w:name="OLE_LINK8"/>
      <w:r>
        <w:rPr>
          <w:rFonts w:hint="eastAsia" w:ascii="Times New Roman" w:hAnsi="Times New Roman"/>
          <w:color w:val="auto"/>
          <w:kern w:val="0"/>
        </w:rPr>
        <w:t>GB/T 4513.6 不定形耐火材料</w:t>
      </w:r>
      <w:r>
        <w:rPr>
          <w:rFonts w:hint="eastAsia" w:ascii="Times New Roman" w:hAnsi="Times New Roman"/>
          <w:color w:val="auto"/>
          <w:kern w:val="0"/>
          <w:lang w:val="en-US" w:eastAsia="zh-CN"/>
        </w:rPr>
        <w:t xml:space="preserve"> </w:t>
      </w:r>
      <w:r>
        <w:rPr>
          <w:rFonts w:hint="eastAsia" w:ascii="Times New Roman" w:hAnsi="Times New Roman"/>
          <w:color w:val="auto"/>
          <w:kern w:val="0"/>
        </w:rPr>
        <w:t>第6部分</w:t>
      </w:r>
      <w:r>
        <w:rPr>
          <w:rFonts w:hint="eastAsia" w:ascii="Times New Roman" w:hAnsi="Times New Roman"/>
          <w:color w:val="auto"/>
          <w:kern w:val="0"/>
          <w:lang w:val="en-US" w:eastAsia="zh-CN"/>
        </w:rPr>
        <w:t>：</w:t>
      </w:r>
      <w:r>
        <w:rPr>
          <w:rFonts w:hint="eastAsia" w:ascii="Times New Roman" w:hAnsi="Times New Roman"/>
          <w:color w:val="auto"/>
          <w:kern w:val="0"/>
        </w:rPr>
        <w:t>物理性能的测定</w:t>
      </w:r>
      <w:bookmarkEnd w:id="4"/>
    </w:p>
    <w:p w14:paraId="5F706E97">
      <w:pPr>
        <w:pStyle w:val="65"/>
        <w:spacing w:line="240" w:lineRule="auto"/>
        <w:ind w:firstLine="420"/>
        <w:rPr>
          <w:rFonts w:hint="eastAsia" w:ascii="Times New Roman" w:hAnsi="Times New Roman"/>
          <w:kern w:val="0"/>
        </w:rPr>
      </w:pPr>
      <w:r>
        <w:rPr>
          <w:rFonts w:hint="eastAsia" w:ascii="Times New Roman" w:hAnsi="Times New Roman"/>
          <w:kern w:val="0"/>
        </w:rPr>
        <w:t>GB/T 6900 铝硅系耐火材料化学分析方法</w:t>
      </w:r>
    </w:p>
    <w:p w14:paraId="19CBD959">
      <w:pPr>
        <w:pStyle w:val="65"/>
        <w:spacing w:line="240" w:lineRule="auto"/>
        <w:ind w:firstLine="420"/>
        <w:rPr>
          <w:rFonts w:hint="eastAsia" w:ascii="Times New Roman" w:hAnsi="Times New Roman"/>
          <w:kern w:val="0"/>
        </w:rPr>
      </w:pPr>
      <w:r>
        <w:rPr>
          <w:rFonts w:hint="eastAsia" w:ascii="Times New Roman" w:hAnsi="Times New Roman"/>
          <w:kern w:val="0"/>
        </w:rPr>
        <w:t>GB/T 15545 不定形耐火材料包装、标志、运输、储存和质量证明书的一般规定</w:t>
      </w:r>
      <w:bookmarkStart w:id="5" w:name="OLE_LINK5"/>
    </w:p>
    <w:p w14:paraId="170D41BF">
      <w:pPr>
        <w:pStyle w:val="65"/>
        <w:spacing w:line="240" w:lineRule="auto"/>
        <w:ind w:firstLine="420"/>
        <w:rPr>
          <w:rFonts w:hint="eastAsia" w:ascii="Times New Roman" w:hAnsi="Times New Roman"/>
          <w:kern w:val="0"/>
        </w:rPr>
      </w:pPr>
      <w:r>
        <w:rPr>
          <w:rFonts w:hint="eastAsia" w:ascii="Times New Roman" w:hAnsi="Times New Roman"/>
          <w:color w:val="auto"/>
          <w:kern w:val="0"/>
        </w:rPr>
        <w:t xml:space="preserve">GB/T </w:t>
      </w:r>
      <w:r>
        <w:rPr>
          <w:rFonts w:hint="eastAsia"/>
          <w:color w:val="auto"/>
          <w:kern w:val="0"/>
          <w:lang w:val="en-US" w:eastAsia="zh-CN"/>
        </w:rPr>
        <w:t>17617</w:t>
      </w:r>
      <w:bookmarkEnd w:id="5"/>
      <w:r>
        <w:rPr>
          <w:rFonts w:hint="eastAsia" w:ascii="Times New Roman" w:hAnsi="Times New Roman"/>
          <w:color w:val="auto"/>
          <w:kern w:val="0"/>
        </w:rPr>
        <w:t xml:space="preserve"> </w:t>
      </w:r>
      <w:r>
        <w:rPr>
          <w:rFonts w:hint="eastAsia"/>
          <w:color w:val="auto"/>
          <w:kern w:val="0"/>
          <w:lang w:val="en-US" w:eastAsia="zh-CN"/>
        </w:rPr>
        <w:t>耐火原料抽样检验规则</w:t>
      </w:r>
    </w:p>
    <w:p w14:paraId="77F0BDCA">
      <w:pPr>
        <w:pStyle w:val="65"/>
        <w:spacing w:line="240" w:lineRule="auto"/>
        <w:ind w:firstLine="420"/>
        <w:rPr>
          <w:rFonts w:hint="eastAsia" w:ascii="Times New Roman" w:hAnsi="Times New Roman"/>
          <w:kern w:val="0"/>
        </w:rPr>
      </w:pPr>
      <w:r>
        <w:rPr>
          <w:rFonts w:hint="eastAsia" w:ascii="Times New Roman" w:hAnsi="Times New Roman"/>
          <w:kern w:val="0"/>
        </w:rPr>
        <w:t>GB/T 21114 耐火材料X射线荧光光谱化学分析</w:t>
      </w:r>
      <w:r>
        <w:rPr>
          <w:rFonts w:hint="eastAsia" w:ascii="Times New Roman" w:hAnsi="Times New Roman"/>
          <w:kern w:val="0"/>
          <w:lang w:val="en-US" w:eastAsia="zh-CN"/>
        </w:rPr>
        <w:t xml:space="preserve"> 熔</w:t>
      </w:r>
      <w:r>
        <w:rPr>
          <w:rFonts w:hint="eastAsia" w:ascii="Times New Roman" w:hAnsi="Times New Roman"/>
          <w:kern w:val="0"/>
        </w:rPr>
        <w:t>铸玻璃片法</w:t>
      </w:r>
    </w:p>
    <w:p w14:paraId="7C98EC81">
      <w:pPr>
        <w:pStyle w:val="65"/>
        <w:spacing w:beforeLines="100"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3 术语和定义</w:t>
      </w:r>
    </w:p>
    <w:p w14:paraId="2783CB52">
      <w:pPr>
        <w:pStyle w:val="65"/>
        <w:spacing w:line="240" w:lineRule="auto"/>
        <w:ind w:firstLine="420"/>
        <w:rPr>
          <w:rFonts w:hint="eastAsia" w:ascii="Times New Roman" w:hAnsi="Times New Roman"/>
          <w:kern w:val="0"/>
          <w:lang w:eastAsia="zh-CN"/>
        </w:rPr>
      </w:pPr>
      <w:r>
        <w:rPr>
          <w:rFonts w:hint="eastAsia" w:ascii="Times New Roman" w:hAnsi="Times New Roman"/>
          <w:kern w:val="0"/>
        </w:rPr>
        <w:t>本文件没有需要界定的术语和定义。</w:t>
      </w:r>
    </w:p>
    <w:p w14:paraId="5468CAED">
      <w:pPr>
        <w:pStyle w:val="65"/>
        <w:spacing w:beforeLines="100" w:afterLines="100" w:line="240" w:lineRule="auto"/>
        <w:ind w:firstLine="0" w:firstLineChars="0"/>
        <w:rPr>
          <w:rFonts w:hint="eastAsia" w:ascii="黑体" w:hAnsi="黑体" w:eastAsia="黑体" w:cs="黑体"/>
          <w:bCs/>
          <w:color w:val="auto"/>
          <w:lang w:val="en-US" w:eastAsia="zh-CN"/>
        </w:rPr>
      </w:pPr>
      <w:r>
        <w:rPr>
          <w:rFonts w:hint="eastAsia" w:ascii="黑体" w:hAnsi="黑体" w:eastAsia="黑体" w:cs="黑体"/>
          <w:bCs/>
          <w:lang w:val="en-US" w:eastAsia="zh-CN"/>
        </w:rPr>
        <w:t xml:space="preserve">4 </w:t>
      </w:r>
      <w:r>
        <w:rPr>
          <w:rFonts w:hint="eastAsia" w:ascii="黑体" w:hAnsi="黑体" w:eastAsia="黑体" w:cs="黑体"/>
          <w:bCs/>
          <w:color w:val="auto"/>
          <w:lang w:val="en-US" w:eastAsia="zh-CN"/>
        </w:rPr>
        <w:t>产品分类</w:t>
      </w:r>
    </w:p>
    <w:p w14:paraId="4AD25101">
      <w:pPr>
        <w:pStyle w:val="65"/>
        <w:spacing w:line="240" w:lineRule="auto"/>
        <w:ind w:firstLine="420"/>
        <w:rPr>
          <w:rFonts w:hint="eastAsia" w:ascii="Times New Roman" w:hAnsi="Times New Roman"/>
          <w:color w:val="auto"/>
          <w:kern w:val="0"/>
        </w:rPr>
      </w:pPr>
      <w:r>
        <w:rPr>
          <w:rFonts w:hint="eastAsia" w:ascii="Times New Roman" w:hAnsi="Times New Roman"/>
          <w:color w:val="auto"/>
          <w:kern w:val="0"/>
          <w:lang w:eastAsia="zh-CN"/>
        </w:rPr>
        <w:t>铜精炼炉浇铸溜槽用耐火浇注料</w:t>
      </w:r>
      <w:r>
        <w:rPr>
          <w:rFonts w:hint="eastAsia" w:ascii="Times New Roman" w:hAnsi="Times New Roman"/>
          <w:color w:val="auto"/>
          <w:kern w:val="0"/>
          <w:lang w:val="en-US" w:eastAsia="zh-CN"/>
        </w:rPr>
        <w:t>按</w:t>
      </w:r>
      <w:r>
        <w:rPr>
          <w:rFonts w:hint="eastAsia" w:ascii="Times New Roman" w:hAnsi="Times New Roman"/>
          <w:color w:val="auto"/>
          <w:kern w:val="0"/>
        </w:rPr>
        <w:t>氧化铝含量</w:t>
      </w:r>
      <w:r>
        <w:rPr>
          <w:rFonts w:hint="eastAsia"/>
          <w:color w:val="auto"/>
          <w:kern w:val="0"/>
          <w:lang w:val="en-US" w:eastAsia="zh-CN"/>
        </w:rPr>
        <w:t>设定牌号为</w:t>
      </w:r>
      <w:r>
        <w:rPr>
          <w:rFonts w:hint="eastAsia" w:ascii="Times New Roman" w:hAnsi="Times New Roman"/>
          <w:color w:val="auto"/>
          <w:kern w:val="0"/>
        </w:rPr>
        <w:t>TJ-50</w:t>
      </w:r>
      <w:r>
        <w:rPr>
          <w:rFonts w:hint="eastAsia"/>
          <w:color w:val="auto"/>
          <w:kern w:val="0"/>
          <w:lang w:eastAsia="zh-CN"/>
        </w:rPr>
        <w:t>，</w:t>
      </w:r>
      <w:r>
        <w:rPr>
          <w:rFonts w:hint="eastAsia" w:ascii="Times New Roman" w:hAnsi="Times New Roman"/>
          <w:color w:val="auto"/>
          <w:kern w:val="0"/>
        </w:rPr>
        <w:t>其中T、J分别</w:t>
      </w:r>
      <w:r>
        <w:rPr>
          <w:rFonts w:hint="eastAsia" w:ascii="Times New Roman" w:hAnsi="Times New Roman"/>
          <w:color w:val="auto"/>
          <w:kern w:val="0"/>
          <w:lang w:val="en-US" w:eastAsia="zh-CN"/>
        </w:rPr>
        <w:t>为</w:t>
      </w:r>
      <w:r>
        <w:rPr>
          <w:rFonts w:hint="eastAsia" w:ascii="Times New Roman" w:hAnsi="Times New Roman"/>
          <w:color w:val="auto"/>
          <w:kern w:val="0"/>
        </w:rPr>
        <w:t>“铜精炼炉”“浇注料”首个汉字汉语拼音首字母</w:t>
      </w:r>
      <w:r>
        <w:rPr>
          <w:rFonts w:hint="eastAsia"/>
          <w:color w:val="auto"/>
          <w:kern w:val="0"/>
          <w:lang w:eastAsia="zh-CN"/>
        </w:rPr>
        <w:t>，</w:t>
      </w:r>
      <w:r>
        <w:rPr>
          <w:rFonts w:hint="eastAsia" w:ascii="宋体" w:hAnsi="宋体" w:eastAsia="宋体" w:cs="宋体"/>
          <w:color w:val="auto"/>
          <w:sz w:val="21"/>
          <w:szCs w:val="21"/>
        </w:rPr>
        <w:t>数字表示产品Al</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rPr>
        <w:t>O</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rPr>
        <w:t>含量的质量百分数</w:t>
      </w:r>
      <w:r>
        <w:rPr>
          <w:rFonts w:hint="eastAsia" w:ascii="Times New Roman" w:hAnsi="Times New Roman"/>
          <w:color w:val="auto"/>
          <w:kern w:val="0"/>
        </w:rPr>
        <w:t>。</w:t>
      </w:r>
    </w:p>
    <w:p w14:paraId="345CC4F2">
      <w:pPr>
        <w:pStyle w:val="65"/>
        <w:spacing w:beforeLines="100"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5 技术要求</w:t>
      </w:r>
    </w:p>
    <w:p w14:paraId="05993543">
      <w:pPr>
        <w:pStyle w:val="65"/>
        <w:spacing w:beforeLines="50" w:afterLines="50" w:line="240" w:lineRule="auto"/>
        <w:ind w:firstLine="0" w:firstLineChars="0"/>
        <w:rPr>
          <w:rFonts w:hint="default" w:ascii="黑体" w:hAnsi="黑体" w:eastAsia="黑体" w:cs="黑体"/>
          <w:bCs/>
          <w:lang w:val="en-US" w:eastAsia="zh-CN"/>
        </w:rPr>
      </w:pPr>
      <w:r>
        <w:rPr>
          <w:rFonts w:hint="eastAsia" w:ascii="黑体" w:hAnsi="黑体" w:eastAsia="黑体" w:cs="黑体"/>
          <w:bCs/>
        </w:rPr>
        <w:t>5.1</w:t>
      </w:r>
      <w:r>
        <w:rPr>
          <w:rFonts w:hint="eastAsia" w:ascii="黑体" w:hAnsi="黑体" w:eastAsia="黑体" w:cs="黑体"/>
          <w:bCs/>
          <w:lang w:val="en-US" w:eastAsia="zh-CN"/>
        </w:rPr>
        <w:t xml:space="preserve"> 化学成分</w:t>
      </w:r>
    </w:p>
    <w:p w14:paraId="4C2E543F">
      <w:pPr>
        <w:pStyle w:val="65"/>
        <w:spacing w:line="240" w:lineRule="auto"/>
        <w:ind w:firstLine="420"/>
        <w:rPr>
          <w:rFonts w:hint="eastAsia" w:ascii="Times New Roman" w:hAnsi="Times New Roman"/>
          <w:kern w:val="0"/>
          <w:lang w:val="en-US" w:eastAsia="zh-CN"/>
        </w:rPr>
      </w:pPr>
      <w:r>
        <w:rPr>
          <w:rFonts w:hint="eastAsia" w:ascii="Times New Roman" w:hAnsi="Times New Roman"/>
          <w:kern w:val="0"/>
          <w:lang w:eastAsia="zh-CN"/>
        </w:rPr>
        <w:t>铜精炼炉浇铸溜槽用耐火浇注料</w:t>
      </w:r>
      <w:r>
        <w:rPr>
          <w:rFonts w:hint="eastAsia" w:ascii="Times New Roman" w:hAnsi="Times New Roman"/>
          <w:kern w:val="0"/>
          <w:lang w:val="en-US" w:eastAsia="zh-CN"/>
        </w:rPr>
        <w:t>化学成分应符合表1的规定。</w:t>
      </w:r>
    </w:p>
    <w:p w14:paraId="7058536E">
      <w:pPr>
        <w:spacing w:beforeLines="50" w:afterLines="50"/>
        <w:jc w:val="center"/>
        <w:rPr>
          <w:rFonts w:hint="eastAsia" w:ascii="黑体" w:hAnsi="黑体" w:eastAsia="黑体" w:cs="黑体"/>
          <w:spacing w:val="-13"/>
          <w:lang w:eastAsia="zh-CN"/>
        </w:rPr>
      </w:pPr>
      <w:r>
        <w:rPr>
          <w:rFonts w:hint="eastAsia" w:ascii="黑体" w:hAnsi="黑体" w:eastAsia="黑体" w:cs="黑体"/>
          <w:spacing w:val="-13"/>
        </w:rPr>
        <w:t>表1 化学成分</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630"/>
        <w:gridCol w:w="1603"/>
        <w:gridCol w:w="1603"/>
        <w:gridCol w:w="1630"/>
        <w:gridCol w:w="1603"/>
      </w:tblGrid>
      <w:tr w14:paraId="71D4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pct"/>
            <w:vAlign w:val="center"/>
          </w:tcPr>
          <w:p w14:paraId="575F3E7C">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牌号</w:t>
            </w:r>
          </w:p>
        </w:tc>
        <w:tc>
          <w:tcPr>
            <w:tcW w:w="851" w:type="pct"/>
            <w:vAlign w:val="center"/>
          </w:tcPr>
          <w:p w14:paraId="289D78E4">
            <w:pPr>
              <w:pStyle w:val="28"/>
              <w:widowControl w:val="0"/>
              <w:tabs>
                <w:tab w:val="center" w:pos="4201"/>
                <w:tab w:val="right" w:leader="dot" w:pos="9298"/>
              </w:tabs>
              <w:ind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Al</w:t>
            </w:r>
            <w:r>
              <w:rPr>
                <w:rFonts w:hint="default" w:ascii="Times New Roman" w:hAnsi="Times New Roman" w:cs="Times New Roman"/>
                <w:color w:val="auto"/>
                <w:sz w:val="18"/>
                <w:szCs w:val="18"/>
                <w:vertAlign w:val="subscript"/>
              </w:rPr>
              <w:t>2</w:t>
            </w:r>
            <w:r>
              <w:rPr>
                <w:rFonts w:hint="default" w:ascii="Times New Roman" w:hAnsi="Times New Roman" w:cs="Times New Roman"/>
                <w:color w:val="auto"/>
                <w:sz w:val="18"/>
                <w:szCs w:val="18"/>
              </w:rPr>
              <w:t>O</w:t>
            </w:r>
            <w:r>
              <w:rPr>
                <w:rFonts w:hint="default" w:ascii="Times New Roman" w:hAnsi="Times New Roman" w:cs="Times New Roman"/>
                <w:color w:val="auto"/>
                <w:sz w:val="18"/>
                <w:szCs w:val="18"/>
                <w:vertAlign w:val="subscript"/>
              </w:rPr>
              <w:t>3</w:t>
            </w:r>
            <w:r>
              <w:rPr>
                <w:rFonts w:hint="default" w:ascii="Times New Roman" w:hAnsi="Times New Roman" w:cs="Times New Roman"/>
                <w:color w:val="auto"/>
                <w:sz w:val="18"/>
                <w:szCs w:val="18"/>
              </w:rPr>
              <w:t>不小于</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w:t>
            </w:r>
          </w:p>
        </w:tc>
        <w:tc>
          <w:tcPr>
            <w:tcW w:w="837" w:type="pct"/>
            <w:vAlign w:val="center"/>
          </w:tcPr>
          <w:p w14:paraId="03809D07">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SiO</w:t>
            </w:r>
            <w:r>
              <w:rPr>
                <w:rFonts w:hint="default" w:ascii="Times New Roman" w:hAnsi="Times New Roman" w:cs="Times New Roman"/>
                <w:color w:val="auto"/>
                <w:sz w:val="18"/>
                <w:szCs w:val="18"/>
                <w:vertAlign w:val="subscript"/>
              </w:rPr>
              <w:t>2</w:t>
            </w:r>
            <w:r>
              <w:rPr>
                <w:rFonts w:hint="default" w:ascii="Times New Roman" w:hAnsi="Times New Roman" w:cs="Times New Roman"/>
                <w:color w:val="auto"/>
                <w:sz w:val="18"/>
                <w:szCs w:val="18"/>
              </w:rPr>
              <w:t>不小于</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w:t>
            </w:r>
          </w:p>
        </w:tc>
        <w:tc>
          <w:tcPr>
            <w:tcW w:w="837" w:type="pct"/>
            <w:vAlign w:val="center"/>
          </w:tcPr>
          <w:p w14:paraId="6692D307">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CaO不大于</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w:t>
            </w:r>
          </w:p>
        </w:tc>
        <w:tc>
          <w:tcPr>
            <w:tcW w:w="851" w:type="pct"/>
            <w:vAlign w:val="center"/>
          </w:tcPr>
          <w:p w14:paraId="3F9612E5">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Fe</w:t>
            </w:r>
            <w:r>
              <w:rPr>
                <w:rFonts w:hint="default" w:ascii="Times New Roman" w:hAnsi="Times New Roman" w:cs="Times New Roman"/>
                <w:color w:val="auto"/>
                <w:sz w:val="18"/>
                <w:szCs w:val="18"/>
                <w:vertAlign w:val="subscript"/>
              </w:rPr>
              <w:t>2</w:t>
            </w:r>
            <w:r>
              <w:rPr>
                <w:rFonts w:hint="default" w:ascii="Times New Roman" w:hAnsi="Times New Roman" w:cs="Times New Roman"/>
                <w:color w:val="auto"/>
                <w:sz w:val="18"/>
                <w:szCs w:val="18"/>
              </w:rPr>
              <w:t>O</w:t>
            </w:r>
            <w:r>
              <w:rPr>
                <w:rFonts w:hint="default" w:ascii="Times New Roman" w:hAnsi="Times New Roman" w:cs="Times New Roman"/>
                <w:color w:val="auto"/>
                <w:sz w:val="18"/>
                <w:szCs w:val="18"/>
                <w:vertAlign w:val="subscript"/>
              </w:rPr>
              <w:t>3</w:t>
            </w:r>
            <w:r>
              <w:rPr>
                <w:rFonts w:hint="default" w:ascii="Times New Roman" w:hAnsi="Times New Roman" w:cs="Times New Roman"/>
                <w:color w:val="auto"/>
                <w:sz w:val="18"/>
                <w:szCs w:val="18"/>
              </w:rPr>
              <w:t>不大于</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w:t>
            </w:r>
          </w:p>
        </w:tc>
        <w:tc>
          <w:tcPr>
            <w:tcW w:w="837" w:type="pct"/>
            <w:vAlign w:val="center"/>
          </w:tcPr>
          <w:p w14:paraId="36D5209B">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TiO</w:t>
            </w:r>
            <w:r>
              <w:rPr>
                <w:rFonts w:hint="default" w:ascii="Times New Roman" w:hAnsi="Times New Roman" w:cs="Times New Roman"/>
                <w:color w:val="auto"/>
                <w:sz w:val="18"/>
                <w:szCs w:val="18"/>
                <w:vertAlign w:val="subscript"/>
              </w:rPr>
              <w:t>2</w:t>
            </w:r>
            <w:r>
              <w:rPr>
                <w:rFonts w:hint="default" w:ascii="Times New Roman" w:hAnsi="Times New Roman" w:cs="Times New Roman"/>
                <w:color w:val="auto"/>
                <w:sz w:val="18"/>
                <w:szCs w:val="18"/>
              </w:rPr>
              <w:t>不大于</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w:t>
            </w:r>
          </w:p>
        </w:tc>
      </w:tr>
      <w:tr w14:paraId="47B5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Align w:val="center"/>
          </w:tcPr>
          <w:p w14:paraId="5DEB2490">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bookmarkStart w:id="6" w:name="OLE_LINK1" w:colFirst="1" w:colLast="5"/>
            <w:r>
              <w:rPr>
                <w:rFonts w:hint="default" w:ascii="Times New Roman" w:hAnsi="Times New Roman" w:cs="Times New Roman"/>
                <w:color w:val="auto"/>
                <w:sz w:val="18"/>
                <w:szCs w:val="18"/>
              </w:rPr>
              <w:t>TJ-50</w:t>
            </w:r>
          </w:p>
        </w:tc>
        <w:tc>
          <w:tcPr>
            <w:tcW w:w="851" w:type="pct"/>
            <w:vAlign w:val="center"/>
          </w:tcPr>
          <w:p w14:paraId="3D8D2CE8">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50.0</w:t>
            </w:r>
          </w:p>
        </w:tc>
        <w:tc>
          <w:tcPr>
            <w:tcW w:w="837" w:type="pct"/>
            <w:vAlign w:val="center"/>
          </w:tcPr>
          <w:p w14:paraId="00E5442F">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25.0</w:t>
            </w:r>
          </w:p>
        </w:tc>
        <w:tc>
          <w:tcPr>
            <w:tcW w:w="837" w:type="pct"/>
            <w:vAlign w:val="center"/>
          </w:tcPr>
          <w:p w14:paraId="1E3B0452">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851" w:type="pct"/>
            <w:vAlign w:val="center"/>
          </w:tcPr>
          <w:p w14:paraId="025B87BB">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w:t>
            </w:r>
          </w:p>
        </w:tc>
        <w:tc>
          <w:tcPr>
            <w:tcW w:w="837" w:type="pct"/>
            <w:vAlign w:val="center"/>
          </w:tcPr>
          <w:p w14:paraId="3C1AC571">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w:t>
            </w:r>
          </w:p>
        </w:tc>
      </w:tr>
      <w:bookmarkEnd w:id="6"/>
    </w:tbl>
    <w:p w14:paraId="2EBF0512">
      <w:pPr>
        <w:pStyle w:val="65"/>
        <w:spacing w:beforeLines="50" w:afterLines="50" w:line="240" w:lineRule="auto"/>
        <w:ind w:firstLine="0" w:firstLineChars="0"/>
        <w:rPr>
          <w:rFonts w:hint="eastAsia" w:ascii="黑体" w:hAnsi="黑体" w:eastAsia="黑体" w:cs="黑体"/>
          <w:bCs/>
        </w:rPr>
      </w:pPr>
    </w:p>
    <w:p w14:paraId="32C4F0EC">
      <w:pPr>
        <w:pStyle w:val="65"/>
        <w:spacing w:beforeLines="50" w:afterLines="50" w:line="240" w:lineRule="auto"/>
        <w:ind w:firstLine="0" w:firstLineChars="0"/>
        <w:rPr>
          <w:rFonts w:hint="eastAsia" w:ascii="黑体" w:hAnsi="黑体" w:eastAsia="黑体" w:cs="黑体"/>
          <w:bCs/>
        </w:rPr>
      </w:pPr>
      <w:r>
        <w:rPr>
          <w:rFonts w:hint="eastAsia" w:ascii="黑体" w:hAnsi="黑体" w:eastAsia="黑体" w:cs="黑体"/>
          <w:bCs/>
        </w:rPr>
        <w:t>5.2 物理性能</w:t>
      </w:r>
    </w:p>
    <w:p w14:paraId="234E14A1">
      <w:pPr>
        <w:pStyle w:val="28"/>
        <w:tabs>
          <w:tab w:val="center" w:pos="4201"/>
          <w:tab w:val="right" w:leader="dot" w:pos="9298"/>
        </w:tabs>
        <w:spacing w:line="360" w:lineRule="auto"/>
        <w:ind w:firstLine="420"/>
        <w:rPr>
          <w:rFonts w:hint="default" w:hAnsi="Times New Roman" w:cs="Times New Roman"/>
          <w:color w:val="auto"/>
          <w:lang w:val="en-US" w:eastAsia="zh-CN"/>
        </w:rPr>
      </w:pPr>
      <w:r>
        <w:rPr>
          <w:rFonts w:hint="eastAsia" w:ascii="Times New Roman" w:hAnsi="Times New Roman"/>
          <w:kern w:val="0"/>
          <w:lang w:eastAsia="zh-CN"/>
        </w:rPr>
        <w:t>铜精炼炉浇铸溜槽用耐火浇注料</w:t>
      </w:r>
      <w:r>
        <w:rPr>
          <w:rFonts w:hint="eastAsia" w:hAnsi="Times New Roman" w:cs="Times New Roman"/>
          <w:color w:val="auto"/>
          <w:lang w:val="en-US" w:eastAsia="zh-CN"/>
        </w:rPr>
        <w:t>物理性能应符合表2的规定</w:t>
      </w:r>
      <w:r>
        <w:rPr>
          <w:rFonts w:hint="eastAsia" w:cs="Times New Roman"/>
          <w:color w:val="auto"/>
          <w:lang w:val="en-US" w:eastAsia="zh-CN"/>
        </w:rPr>
        <w:t>，</w:t>
      </w:r>
      <w:bookmarkStart w:id="7" w:name="OLE_LINK11"/>
      <w:bookmarkStart w:id="8" w:name="OLE_LINK10"/>
      <w:r>
        <w:rPr>
          <w:rFonts w:hint="eastAsia" w:cs="Times New Roman"/>
          <w:color w:val="auto"/>
          <w:lang w:val="en-US" w:eastAsia="zh-CN"/>
        </w:rPr>
        <w:t>颗粒体积密度测定按照</w:t>
      </w:r>
      <w:r>
        <w:rPr>
          <w:rFonts w:hint="eastAsia" w:ascii="Times New Roman" w:hAnsi="Times New Roman"/>
          <w:color w:val="auto"/>
          <w:kern w:val="0"/>
        </w:rPr>
        <w:t xml:space="preserve">GB/T </w:t>
      </w:r>
      <w:r>
        <w:rPr>
          <w:rFonts w:hint="eastAsia" w:ascii="Times New Roman" w:hAnsi="Times New Roman"/>
          <w:color w:val="auto"/>
          <w:kern w:val="0"/>
          <w:lang w:val="en-US" w:eastAsia="zh-CN"/>
        </w:rPr>
        <w:t>2999</w:t>
      </w:r>
      <w:r>
        <w:rPr>
          <w:rFonts w:hint="default" w:ascii="Times New Roman" w:hAnsi="Times New Roman" w:eastAsia="宋体" w:cs="Times New Roman"/>
          <w:color w:val="auto"/>
          <w:spacing w:val="8"/>
          <w:szCs w:val="24"/>
          <w:lang w:val="en-US" w:eastAsia="zh-CN"/>
        </w:rPr>
        <w:t>的规定进行</w:t>
      </w:r>
      <w:bookmarkEnd w:id="7"/>
      <w:r>
        <w:rPr>
          <w:rFonts w:hint="eastAsia" w:cs="Times New Roman"/>
          <w:color w:val="auto"/>
          <w:lang w:val="en-US" w:eastAsia="zh-CN"/>
        </w:rPr>
        <w:t>。</w:t>
      </w:r>
    </w:p>
    <w:bookmarkEnd w:id="8"/>
    <w:p w14:paraId="4893A176">
      <w:pPr>
        <w:spacing w:beforeLines="50" w:afterLines="50"/>
        <w:jc w:val="center"/>
        <w:rPr>
          <w:rFonts w:hint="eastAsia" w:ascii="黑体" w:hAnsi="黑体" w:eastAsia="黑体" w:cs="黑体"/>
          <w:spacing w:val="-13"/>
        </w:rPr>
      </w:pPr>
      <w:r>
        <w:rPr>
          <w:rFonts w:hint="eastAsia" w:ascii="黑体" w:hAnsi="黑体" w:eastAsia="黑体" w:cs="黑体"/>
          <w:spacing w:val="-13"/>
        </w:rPr>
        <w:t>表2 物理性能</w:t>
      </w:r>
    </w:p>
    <w:tbl>
      <w:tblPr>
        <w:tblStyle w:val="1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94"/>
        <w:gridCol w:w="1393"/>
        <w:gridCol w:w="1457"/>
        <w:gridCol w:w="1632"/>
        <w:gridCol w:w="1411"/>
        <w:gridCol w:w="964"/>
      </w:tblGrid>
      <w:tr w14:paraId="126D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0" w:type="dxa"/>
            <w:vMerge w:val="restart"/>
            <w:vAlign w:val="center"/>
          </w:tcPr>
          <w:p w14:paraId="3D8C2B91">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牌号</w:t>
            </w:r>
          </w:p>
        </w:tc>
        <w:tc>
          <w:tcPr>
            <w:tcW w:w="1394" w:type="dxa"/>
            <w:vMerge w:val="restart"/>
            <w:vAlign w:val="center"/>
          </w:tcPr>
          <w:p w14:paraId="5E8BC8E6">
            <w:pPr>
              <w:pStyle w:val="28"/>
              <w:widowControl w:val="0"/>
              <w:tabs>
                <w:tab w:val="center" w:pos="4201"/>
                <w:tab w:val="right" w:leader="dot" w:pos="9298"/>
              </w:tabs>
              <w:ind w:firstLine="0" w:firstLineChars="0"/>
              <w:jc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体积密度</w:t>
            </w:r>
            <w:r>
              <w:rPr>
                <w:rFonts w:hint="eastAsia" w:ascii="Times New Roman" w:cs="Times New Roman"/>
                <w:color w:val="auto"/>
                <w:sz w:val="18"/>
                <w:szCs w:val="18"/>
                <w:lang w:eastAsia="zh-CN"/>
              </w:rPr>
              <w:t>，</w:t>
            </w:r>
          </w:p>
          <w:p w14:paraId="37E00194">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不小于</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g/cm</w:t>
            </w:r>
            <w:r>
              <w:rPr>
                <w:rFonts w:hint="default" w:ascii="Times New Roman" w:hAnsi="Times New Roman" w:cs="Times New Roman"/>
                <w:color w:val="auto"/>
                <w:sz w:val="18"/>
                <w:szCs w:val="18"/>
                <w:vertAlign w:val="superscript"/>
              </w:rPr>
              <w:t>3</w:t>
            </w:r>
          </w:p>
        </w:tc>
        <w:tc>
          <w:tcPr>
            <w:tcW w:w="2850" w:type="dxa"/>
            <w:gridSpan w:val="2"/>
            <w:vAlign w:val="center"/>
          </w:tcPr>
          <w:p w14:paraId="51143F79">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耐压强度</w:t>
            </w:r>
            <w:r>
              <w:rPr>
                <w:rFonts w:hint="eastAsia" w:ascii="Times New Roman" w:cs="Times New Roman"/>
                <w:color w:val="auto"/>
                <w:sz w:val="18"/>
                <w:szCs w:val="18"/>
                <w:lang w:eastAsia="zh-CN"/>
              </w:rPr>
              <w:t>，</w:t>
            </w:r>
            <w:r>
              <w:rPr>
                <w:rFonts w:hint="default" w:ascii="Times New Roman" w:hAnsi="Times New Roman" w:cs="Times New Roman"/>
                <w:color w:val="auto"/>
                <w:sz w:val="18"/>
                <w:szCs w:val="18"/>
              </w:rPr>
              <w:t>不小于</w:t>
            </w:r>
          </w:p>
          <w:p w14:paraId="4F6B4573">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N/mm</w:t>
            </w:r>
            <w:r>
              <w:rPr>
                <w:rFonts w:hint="default" w:ascii="Times New Roman" w:hAnsi="Times New Roman" w:cs="Times New Roman"/>
                <w:color w:val="auto"/>
                <w:sz w:val="18"/>
                <w:szCs w:val="18"/>
                <w:vertAlign w:val="superscript"/>
              </w:rPr>
              <w:t>2</w:t>
            </w:r>
          </w:p>
        </w:tc>
        <w:tc>
          <w:tcPr>
            <w:tcW w:w="1632" w:type="dxa"/>
            <w:vMerge w:val="restart"/>
            <w:vAlign w:val="center"/>
          </w:tcPr>
          <w:p w14:paraId="14957FF6">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加热永久线变化</w:t>
            </w:r>
            <w:r>
              <w:rPr>
                <w:rFonts w:hint="eastAsia" w:ascii="Times New Roman" w:cs="Times New Roman"/>
                <w:color w:val="auto"/>
                <w:sz w:val="18"/>
                <w:szCs w:val="18"/>
                <w:lang w:val="en-US" w:eastAsia="zh-CN"/>
              </w:rPr>
              <w:t>，</w:t>
            </w:r>
          </w:p>
          <w:p w14:paraId="0F8EE72C">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(试验温度×3</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h)</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p>
        </w:tc>
        <w:tc>
          <w:tcPr>
            <w:tcW w:w="1411" w:type="dxa"/>
            <w:vMerge w:val="restart"/>
            <w:vAlign w:val="center"/>
          </w:tcPr>
          <w:p w14:paraId="12E5867C">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推荐使用温度</w:t>
            </w:r>
            <w:r>
              <w:rPr>
                <w:rFonts w:hint="eastAsia" w:ascii="Times New Roman" w:cs="Times New Roman"/>
                <w:color w:val="auto"/>
                <w:sz w:val="18"/>
                <w:szCs w:val="18"/>
                <w:lang w:eastAsia="zh-CN"/>
              </w:rPr>
              <w:t>，</w:t>
            </w:r>
            <w:r>
              <w:rPr>
                <w:rFonts w:hint="default" w:ascii="Times New Roman" w:hAnsi="Times New Roman" w:cs="Times New Roman"/>
                <w:color w:val="auto"/>
                <w:sz w:val="18"/>
                <w:szCs w:val="18"/>
              </w:rPr>
              <w:t>不小于℃</w:t>
            </w:r>
          </w:p>
        </w:tc>
        <w:tc>
          <w:tcPr>
            <w:tcW w:w="964" w:type="dxa"/>
            <w:vMerge w:val="restart"/>
            <w:vAlign w:val="center"/>
          </w:tcPr>
          <w:p w14:paraId="4FBE7FFF">
            <w:pPr>
              <w:pStyle w:val="28"/>
              <w:widowControl w:val="0"/>
              <w:tabs>
                <w:tab w:val="center" w:pos="4201"/>
                <w:tab w:val="right" w:leader="dot" w:pos="9298"/>
              </w:tabs>
              <w:ind w:firstLine="0" w:firstLineChars="0"/>
              <w:jc w:val="center"/>
              <w:rPr>
                <w:rFonts w:hint="default" w:ascii="Times New Roman" w:hAnsi="Times New Roman" w:eastAsia="宋体" w:cs="Times New Roman"/>
                <w:color w:val="auto"/>
                <w:sz w:val="18"/>
                <w:szCs w:val="18"/>
                <w:lang w:val="en-US" w:eastAsia="zh-CN"/>
              </w:rPr>
            </w:pPr>
            <w:r>
              <w:rPr>
                <w:rFonts w:hint="eastAsia" w:ascii="Times New Roman" w:cs="Times New Roman"/>
                <w:color w:val="auto"/>
                <w:sz w:val="18"/>
                <w:szCs w:val="18"/>
                <w:lang w:val="en-US" w:eastAsia="zh-CN"/>
              </w:rPr>
              <w:t>颗粒体积密度</w:t>
            </w:r>
          </w:p>
        </w:tc>
      </w:tr>
      <w:tr w14:paraId="5426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vAlign w:val="center"/>
          </w:tcPr>
          <w:p w14:paraId="4C314B61">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p>
        </w:tc>
        <w:tc>
          <w:tcPr>
            <w:tcW w:w="1394" w:type="dxa"/>
            <w:vMerge w:val="continue"/>
            <w:vAlign w:val="center"/>
          </w:tcPr>
          <w:p w14:paraId="2E078187">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p>
        </w:tc>
        <w:tc>
          <w:tcPr>
            <w:tcW w:w="1393" w:type="dxa"/>
            <w:vAlign w:val="center"/>
          </w:tcPr>
          <w:p w14:paraId="378196BE">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110</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24</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h</w:t>
            </w:r>
          </w:p>
        </w:tc>
        <w:tc>
          <w:tcPr>
            <w:tcW w:w="1457" w:type="dxa"/>
            <w:vAlign w:val="center"/>
          </w:tcPr>
          <w:p w14:paraId="62B73985">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试验温度×3</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h</w:t>
            </w:r>
          </w:p>
        </w:tc>
        <w:tc>
          <w:tcPr>
            <w:tcW w:w="1632" w:type="dxa"/>
            <w:vMerge w:val="continue"/>
            <w:vAlign w:val="center"/>
          </w:tcPr>
          <w:p w14:paraId="4D4D65D3">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p>
        </w:tc>
        <w:tc>
          <w:tcPr>
            <w:tcW w:w="1411" w:type="dxa"/>
            <w:vMerge w:val="continue"/>
            <w:vAlign w:val="center"/>
          </w:tcPr>
          <w:p w14:paraId="535AA67C">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p>
        </w:tc>
        <w:tc>
          <w:tcPr>
            <w:tcW w:w="964" w:type="dxa"/>
            <w:vMerge w:val="continue"/>
            <w:vAlign w:val="center"/>
          </w:tcPr>
          <w:p w14:paraId="5D46BC89">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p>
        </w:tc>
      </w:tr>
      <w:tr w14:paraId="1A2A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1966A023">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bookmarkStart w:id="9" w:name="OLE_LINK2" w:colFirst="2" w:colLast="6"/>
            <w:r>
              <w:rPr>
                <w:rFonts w:hint="default" w:ascii="Times New Roman" w:hAnsi="Times New Roman" w:cs="Times New Roman"/>
                <w:color w:val="auto"/>
                <w:sz w:val="18"/>
                <w:szCs w:val="18"/>
              </w:rPr>
              <w:t>TJ-</w:t>
            </w:r>
            <w:r>
              <w:rPr>
                <w:rFonts w:hint="eastAsia" w:ascii="Times New Roman" w:cs="Times New Roman"/>
                <w:color w:val="auto"/>
                <w:sz w:val="18"/>
                <w:szCs w:val="18"/>
                <w:lang w:val="en-US" w:eastAsia="zh-CN"/>
              </w:rPr>
              <w:t>5</w:t>
            </w:r>
            <w:r>
              <w:rPr>
                <w:rFonts w:hint="default" w:ascii="Times New Roman" w:hAnsi="Times New Roman" w:cs="Times New Roman"/>
                <w:color w:val="auto"/>
                <w:sz w:val="18"/>
                <w:szCs w:val="18"/>
              </w:rPr>
              <w:t>0</w:t>
            </w:r>
          </w:p>
        </w:tc>
        <w:tc>
          <w:tcPr>
            <w:tcW w:w="1394" w:type="dxa"/>
            <w:vAlign w:val="center"/>
          </w:tcPr>
          <w:p w14:paraId="41BDF0E5">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r>
              <w:rPr>
                <w:rFonts w:hint="eastAsia" w:ascii="Times New Roman" w:cs="Times New Roman"/>
                <w:color w:val="auto"/>
                <w:sz w:val="18"/>
                <w:szCs w:val="18"/>
                <w:lang w:val="en-US" w:eastAsia="zh-CN"/>
              </w:rPr>
              <w:t>5</w:t>
            </w:r>
            <w:r>
              <w:rPr>
                <w:rFonts w:hint="default" w:ascii="Times New Roman" w:hAnsi="Times New Roman" w:cs="Times New Roman"/>
                <w:color w:val="auto"/>
                <w:sz w:val="18"/>
                <w:szCs w:val="18"/>
              </w:rPr>
              <w:t>0</w:t>
            </w:r>
          </w:p>
        </w:tc>
        <w:tc>
          <w:tcPr>
            <w:tcW w:w="1393" w:type="dxa"/>
            <w:vAlign w:val="center"/>
          </w:tcPr>
          <w:p w14:paraId="1F246A54">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35</w:t>
            </w:r>
          </w:p>
        </w:tc>
        <w:tc>
          <w:tcPr>
            <w:tcW w:w="1457" w:type="dxa"/>
            <w:vAlign w:val="center"/>
          </w:tcPr>
          <w:p w14:paraId="33AC7207">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45(1200</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p>
        </w:tc>
        <w:tc>
          <w:tcPr>
            <w:tcW w:w="1632" w:type="dxa"/>
            <w:vAlign w:val="center"/>
          </w:tcPr>
          <w:p w14:paraId="51309087">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±0.5(1200</w:t>
            </w:r>
            <w:r>
              <w:rPr>
                <w:rFonts w:hint="eastAsia" w:ascii="Times New Roman" w:cs="Times New Roman"/>
                <w:color w:val="auto"/>
                <w:sz w:val="18"/>
                <w:szCs w:val="18"/>
                <w:lang w:val="en-US" w:eastAsia="zh-CN"/>
              </w:rPr>
              <w:t xml:space="preserve"> </w:t>
            </w:r>
            <w:r>
              <w:rPr>
                <w:rFonts w:hint="default" w:ascii="Times New Roman" w:hAnsi="Times New Roman" w:cs="Times New Roman"/>
                <w:color w:val="auto"/>
                <w:sz w:val="18"/>
                <w:szCs w:val="18"/>
              </w:rPr>
              <w:t>℃)</w:t>
            </w:r>
          </w:p>
        </w:tc>
        <w:tc>
          <w:tcPr>
            <w:tcW w:w="1411" w:type="dxa"/>
            <w:vAlign w:val="center"/>
          </w:tcPr>
          <w:p w14:paraId="649FFFE9">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1200</w:t>
            </w:r>
          </w:p>
        </w:tc>
        <w:tc>
          <w:tcPr>
            <w:tcW w:w="964" w:type="dxa"/>
            <w:vAlign w:val="center"/>
          </w:tcPr>
          <w:p w14:paraId="1D86AB6B">
            <w:pPr>
              <w:pStyle w:val="28"/>
              <w:widowControl w:val="0"/>
              <w:tabs>
                <w:tab w:val="center" w:pos="4201"/>
                <w:tab w:val="right" w:leader="dot" w:pos="9298"/>
              </w:tabs>
              <w:ind w:firstLine="0" w:firstLineChars="0"/>
              <w:jc w:val="center"/>
              <w:rPr>
                <w:rFonts w:hint="default" w:ascii="Times New Roman" w:hAnsi="Times New Roman" w:cs="Times New Roman"/>
                <w:color w:val="auto"/>
                <w:sz w:val="18"/>
                <w:szCs w:val="18"/>
              </w:rPr>
            </w:pPr>
            <w:r>
              <w:rPr>
                <w:rFonts w:hint="eastAsia" w:ascii="Times New Roman" w:cs="Times New Roman"/>
                <w:color w:val="auto"/>
                <w:sz w:val="18"/>
                <w:szCs w:val="18"/>
                <w:lang w:val="en-US" w:eastAsia="zh-CN"/>
              </w:rPr>
              <w:t>2</w:t>
            </w:r>
            <w:r>
              <w:rPr>
                <w:rFonts w:hint="default" w:ascii="Times New Roman" w:hAnsi="Times New Roman" w:cs="Times New Roman"/>
                <w:color w:val="auto"/>
                <w:sz w:val="18"/>
                <w:szCs w:val="18"/>
              </w:rPr>
              <w:t>～5</w:t>
            </w:r>
          </w:p>
        </w:tc>
      </w:tr>
      <w:bookmarkEnd w:id="9"/>
    </w:tbl>
    <w:p w14:paraId="3A0251C3">
      <w:pPr>
        <w:pStyle w:val="65"/>
        <w:spacing w:beforeLines="100" w:afterLines="100" w:line="240" w:lineRule="auto"/>
        <w:ind w:firstLine="0" w:firstLineChars="0"/>
        <w:rPr>
          <w:rFonts w:hint="eastAsia" w:ascii="黑体" w:hAnsi="黑体" w:eastAsia="黑体" w:cs="黑体"/>
          <w:bCs/>
          <w:lang w:val="en-US" w:eastAsia="zh-CN"/>
        </w:rPr>
      </w:pPr>
    </w:p>
    <w:p w14:paraId="61B848F8">
      <w:pPr>
        <w:pStyle w:val="65"/>
        <w:spacing w:beforeLines="100"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6 试验方法</w:t>
      </w:r>
    </w:p>
    <w:p w14:paraId="0C31AEA8">
      <w:pPr>
        <w:pStyle w:val="65"/>
        <w:spacing w:beforeLines="50" w:afterLines="50" w:line="240" w:lineRule="auto"/>
        <w:ind w:firstLine="0" w:firstLineChars="0"/>
        <w:rPr>
          <w:rFonts w:hint="eastAsia" w:ascii="黑体" w:hAnsi="黑体" w:eastAsia="黑体" w:cs="黑体"/>
          <w:bCs/>
        </w:rPr>
      </w:pPr>
      <w:r>
        <w:rPr>
          <w:rFonts w:hint="eastAsia" w:ascii="黑体" w:hAnsi="黑体" w:eastAsia="黑体" w:cs="黑体"/>
          <w:bCs/>
          <w:lang w:val="en-US" w:eastAsia="zh-CN"/>
        </w:rPr>
        <w:t>6</w:t>
      </w:r>
      <w:r>
        <w:rPr>
          <w:rFonts w:hint="eastAsia" w:ascii="黑体" w:hAnsi="黑体" w:eastAsia="黑体" w:cs="黑体"/>
          <w:bCs/>
        </w:rPr>
        <w:t>.1</w:t>
      </w:r>
      <w:r>
        <w:rPr>
          <w:rFonts w:hint="eastAsia" w:ascii="黑体" w:hAnsi="黑体" w:eastAsia="黑体" w:cs="黑体"/>
          <w:bCs/>
          <w:lang w:val="en-US" w:eastAsia="zh-CN"/>
        </w:rPr>
        <w:t xml:space="preserve"> 化学成分</w:t>
      </w:r>
    </w:p>
    <w:p w14:paraId="1A9E16D8">
      <w:pPr>
        <w:pStyle w:val="28"/>
        <w:tabs>
          <w:tab w:val="center" w:pos="4201"/>
          <w:tab w:val="right" w:leader="dot" w:pos="9298"/>
        </w:tabs>
        <w:adjustRightInd w:val="0"/>
        <w:snapToGrid w:val="0"/>
        <w:spacing w:line="276" w:lineRule="auto"/>
        <w:ind w:left="0" w:leftChars="0" w:firstLine="452" w:firstLineChars="200"/>
        <w:rPr>
          <w:rFonts w:hint="default" w:ascii="Times New Roman" w:hAnsi="Times New Roman" w:eastAsia="宋体" w:cs="Times New Roman"/>
          <w:color w:val="auto"/>
          <w:spacing w:val="8"/>
          <w:szCs w:val="24"/>
        </w:rPr>
      </w:pPr>
      <w:r>
        <w:rPr>
          <w:rFonts w:hint="default" w:ascii="Times New Roman" w:hAnsi="Times New Roman" w:eastAsia="宋体" w:cs="Times New Roman"/>
          <w:color w:val="auto"/>
          <w:spacing w:val="8"/>
          <w:szCs w:val="24"/>
          <w:lang w:val="en-US" w:eastAsia="zh-CN"/>
        </w:rPr>
        <w:t>产品化学成分</w:t>
      </w:r>
      <w:r>
        <w:rPr>
          <w:rFonts w:hint="default" w:ascii="Times New Roman" w:hAnsi="Times New Roman" w:eastAsia="宋体" w:cs="Times New Roman"/>
          <w:color w:val="auto"/>
          <w:spacing w:val="8"/>
          <w:szCs w:val="24"/>
        </w:rPr>
        <w:t>含量的测定按</w:t>
      </w:r>
      <w:r>
        <w:rPr>
          <w:rFonts w:hint="eastAsia" w:ascii="Times New Roman" w:hAnsi="Times New Roman" w:eastAsia="宋体" w:cs="Times New Roman"/>
          <w:color w:val="auto"/>
          <w:spacing w:val="8"/>
          <w:szCs w:val="24"/>
          <w:lang w:val="en-US" w:eastAsia="zh-CN"/>
        </w:rPr>
        <w:t>照</w:t>
      </w:r>
      <w:r>
        <w:rPr>
          <w:rFonts w:hint="default" w:ascii="Times New Roman" w:hAnsi="Times New Roman" w:eastAsia="宋体" w:cs="Times New Roman"/>
          <w:color w:val="auto"/>
          <w:spacing w:val="8"/>
          <w:szCs w:val="24"/>
        </w:rPr>
        <w:t>GB/T 6900</w:t>
      </w:r>
      <w:r>
        <w:rPr>
          <w:rFonts w:hint="default" w:ascii="Times New Roman" w:hAnsi="Times New Roman" w:eastAsia="宋体" w:cs="Times New Roman"/>
          <w:color w:val="auto"/>
          <w:spacing w:val="8"/>
          <w:szCs w:val="24"/>
          <w:lang w:val="en-US" w:eastAsia="zh-CN"/>
        </w:rPr>
        <w:t>或GB/T</w:t>
      </w:r>
      <w:r>
        <w:rPr>
          <w:rFonts w:hint="eastAsia" w:ascii="Times New Roman" w:hAnsi="Times New Roman" w:eastAsia="宋体" w:cs="Times New Roman"/>
          <w:color w:val="auto"/>
          <w:spacing w:val="8"/>
          <w:szCs w:val="24"/>
          <w:lang w:val="en-US" w:eastAsia="zh-CN"/>
        </w:rPr>
        <w:t xml:space="preserve"> </w:t>
      </w:r>
      <w:r>
        <w:rPr>
          <w:rFonts w:hint="default" w:ascii="Times New Roman" w:hAnsi="Times New Roman" w:eastAsia="宋体" w:cs="Times New Roman"/>
          <w:color w:val="auto"/>
          <w:spacing w:val="8"/>
          <w:szCs w:val="24"/>
          <w:lang w:val="en-US" w:eastAsia="zh-CN"/>
        </w:rPr>
        <w:t>21114的规定进行</w:t>
      </w:r>
      <w:r>
        <w:rPr>
          <w:rFonts w:hint="eastAsia" w:ascii="Times New Roman" w:hAnsi="Times New Roman" w:eastAsia="宋体" w:cs="Times New Roman"/>
          <w:color w:val="auto"/>
          <w:spacing w:val="8"/>
          <w:szCs w:val="24"/>
          <w:lang w:val="en-US" w:eastAsia="zh-CN"/>
        </w:rPr>
        <w:t>，仲裁时，按照</w:t>
      </w:r>
      <w:r>
        <w:rPr>
          <w:rFonts w:hint="default" w:ascii="Times New Roman" w:hAnsi="Times New Roman" w:eastAsia="宋体" w:cs="Times New Roman"/>
          <w:color w:val="auto"/>
          <w:spacing w:val="8"/>
          <w:szCs w:val="24"/>
        </w:rPr>
        <w:t>GB/T 6900</w:t>
      </w:r>
      <w:r>
        <w:rPr>
          <w:rFonts w:hint="eastAsia" w:ascii="Times New Roman" w:hAnsi="Times New Roman" w:eastAsia="宋体" w:cs="Times New Roman"/>
          <w:color w:val="auto"/>
          <w:spacing w:val="8"/>
          <w:szCs w:val="24"/>
          <w:lang w:val="en-US" w:eastAsia="zh-CN"/>
        </w:rPr>
        <w:t>的规定进行</w:t>
      </w:r>
      <w:r>
        <w:rPr>
          <w:rFonts w:hint="default" w:ascii="Times New Roman" w:hAnsi="Times New Roman" w:eastAsia="宋体" w:cs="Times New Roman"/>
          <w:color w:val="auto"/>
          <w:spacing w:val="8"/>
          <w:szCs w:val="24"/>
        </w:rPr>
        <w:t>。</w:t>
      </w:r>
    </w:p>
    <w:p w14:paraId="1887B516">
      <w:pPr>
        <w:pStyle w:val="65"/>
        <w:spacing w:beforeLines="50" w:afterLines="50" w:line="240" w:lineRule="auto"/>
        <w:ind w:firstLine="0" w:firstLineChars="0"/>
        <w:rPr>
          <w:rFonts w:hint="default" w:ascii="黑体" w:hAnsi="黑体" w:eastAsia="黑体" w:cs="黑体"/>
          <w:bCs/>
          <w:lang w:val="en-US" w:eastAsia="zh-CN"/>
        </w:rPr>
      </w:pPr>
      <w:r>
        <w:rPr>
          <w:rFonts w:hint="eastAsia" w:ascii="黑体" w:hAnsi="黑体" w:eastAsia="黑体" w:cs="黑体"/>
          <w:bCs/>
          <w:lang w:val="en-US" w:eastAsia="zh-CN"/>
        </w:rPr>
        <w:t>6.2 物理性能</w:t>
      </w:r>
    </w:p>
    <w:p w14:paraId="4CE56853">
      <w:pPr>
        <w:pStyle w:val="28"/>
        <w:tabs>
          <w:tab w:val="center" w:pos="4201"/>
          <w:tab w:val="right" w:leader="dot" w:pos="9298"/>
        </w:tabs>
        <w:adjustRightInd w:val="0"/>
        <w:snapToGrid w:val="0"/>
        <w:spacing w:line="276" w:lineRule="auto"/>
        <w:ind w:firstLine="0" w:firstLineChars="0"/>
        <w:rPr>
          <w:rFonts w:hint="eastAsia"/>
          <w:color w:val="auto"/>
        </w:rPr>
      </w:pPr>
      <w:r>
        <w:rPr>
          <w:rFonts w:hint="eastAsia" w:ascii="黑体" w:hAnsi="黑体" w:eastAsia="黑体" w:cs="黑体"/>
          <w:color w:val="auto"/>
          <w:lang w:val="en-US" w:eastAsia="zh-CN"/>
        </w:rPr>
        <w:t>6</w:t>
      </w:r>
      <w:r>
        <w:rPr>
          <w:rFonts w:hint="eastAsia" w:ascii="黑体" w:hAnsi="黑体" w:eastAsia="黑体" w:cs="黑体"/>
          <w:color w:val="auto"/>
        </w:rPr>
        <w:t>.2.1</w:t>
      </w:r>
      <w:r>
        <w:rPr>
          <w:rFonts w:hint="eastAsia" w:hAnsi="宋体"/>
          <w:color w:val="auto"/>
        </w:rPr>
        <w:t xml:space="preserve"> </w:t>
      </w:r>
      <w:r>
        <w:rPr>
          <w:rFonts w:hint="default" w:ascii="Times New Roman" w:hAnsi="Times New Roman" w:eastAsia="宋体" w:cs="Times New Roman"/>
          <w:color w:val="auto"/>
          <w:spacing w:val="8"/>
          <w:szCs w:val="24"/>
          <w:lang w:val="en-US" w:eastAsia="zh-CN"/>
        </w:rPr>
        <w:t>产品</w:t>
      </w:r>
      <w:r>
        <w:rPr>
          <w:rFonts w:hint="default" w:ascii="Times New Roman" w:hAnsi="Times New Roman" w:eastAsia="宋体" w:cs="Times New Roman"/>
          <w:color w:val="auto"/>
          <w:spacing w:val="8"/>
          <w:szCs w:val="24"/>
        </w:rPr>
        <w:t>体积密度、耐压强度</w:t>
      </w:r>
      <w:r>
        <w:rPr>
          <w:rFonts w:hint="eastAsia" w:ascii="Times New Roman" w:cs="Times New Roman"/>
          <w:color w:val="auto"/>
          <w:spacing w:val="8"/>
          <w:szCs w:val="24"/>
          <w:lang w:eastAsia="zh-CN"/>
        </w:rPr>
        <w:t>，</w:t>
      </w:r>
      <w:r>
        <w:rPr>
          <w:rFonts w:hint="default" w:ascii="Times New Roman" w:hAnsi="Times New Roman" w:eastAsia="宋体" w:cs="Times New Roman"/>
          <w:color w:val="auto"/>
          <w:spacing w:val="8"/>
          <w:szCs w:val="24"/>
          <w:lang w:val="en-US" w:eastAsia="zh-CN"/>
        </w:rPr>
        <w:t>加热永久线变化</w:t>
      </w:r>
      <w:r>
        <w:rPr>
          <w:rFonts w:hint="default" w:ascii="Times New Roman" w:hAnsi="Times New Roman" w:eastAsia="宋体" w:cs="Times New Roman"/>
          <w:color w:val="auto"/>
          <w:spacing w:val="8"/>
          <w:szCs w:val="24"/>
        </w:rPr>
        <w:t>的测定按</w:t>
      </w:r>
      <w:r>
        <w:rPr>
          <w:rFonts w:hint="eastAsia" w:cs="Times New Roman"/>
          <w:color w:val="auto"/>
          <w:spacing w:val="8"/>
          <w:szCs w:val="24"/>
          <w:lang w:val="en-US" w:eastAsia="zh-CN"/>
        </w:rPr>
        <w:t>照</w:t>
      </w:r>
      <w:r>
        <w:rPr>
          <w:rFonts w:hint="default" w:ascii="Times New Roman" w:hAnsi="Times New Roman" w:eastAsia="宋体" w:cs="Times New Roman"/>
          <w:color w:val="auto"/>
          <w:spacing w:val="8"/>
          <w:szCs w:val="24"/>
        </w:rPr>
        <w:t>GB/T 4513.6</w:t>
      </w:r>
      <w:r>
        <w:rPr>
          <w:rFonts w:hint="default" w:ascii="Times New Roman" w:hAnsi="Times New Roman" w:eastAsia="宋体" w:cs="Times New Roman"/>
          <w:color w:val="auto"/>
          <w:spacing w:val="8"/>
          <w:szCs w:val="24"/>
          <w:lang w:eastAsia="zh-CN"/>
        </w:rPr>
        <w:t>的</w:t>
      </w:r>
      <w:r>
        <w:rPr>
          <w:rFonts w:hint="eastAsia" w:cs="Times New Roman"/>
          <w:color w:val="auto"/>
          <w:spacing w:val="8"/>
          <w:szCs w:val="24"/>
          <w:lang w:val="en-US" w:eastAsia="zh-CN"/>
        </w:rPr>
        <w:t>相应</w:t>
      </w:r>
      <w:r>
        <w:rPr>
          <w:rFonts w:hint="default" w:ascii="Times New Roman" w:hAnsi="Times New Roman" w:eastAsia="宋体" w:cs="Times New Roman"/>
          <w:color w:val="auto"/>
          <w:spacing w:val="8"/>
          <w:szCs w:val="24"/>
          <w:lang w:val="en-US" w:eastAsia="zh-CN"/>
        </w:rPr>
        <w:t>规定</w:t>
      </w:r>
      <w:r>
        <w:rPr>
          <w:rFonts w:hint="default" w:ascii="Times New Roman" w:hAnsi="Times New Roman" w:eastAsia="宋体" w:cs="Times New Roman"/>
          <w:color w:val="auto"/>
          <w:spacing w:val="8"/>
          <w:szCs w:val="24"/>
        </w:rPr>
        <w:t>进行</w:t>
      </w:r>
      <w:r>
        <w:rPr>
          <w:rFonts w:hint="default" w:ascii="Times New Roman" w:hAnsi="Times New Roman" w:eastAsia="宋体" w:cs="Times New Roman"/>
          <w:color w:val="auto"/>
          <w:spacing w:val="8"/>
          <w:szCs w:val="24"/>
          <w:lang w:eastAsia="zh-CN"/>
        </w:rPr>
        <w:t>。</w:t>
      </w:r>
    </w:p>
    <w:p w14:paraId="64DC42F3">
      <w:pPr>
        <w:pStyle w:val="28"/>
        <w:tabs>
          <w:tab w:val="center" w:pos="4201"/>
          <w:tab w:val="right" w:leader="dot" w:pos="9298"/>
        </w:tabs>
        <w:adjustRightInd w:val="0"/>
        <w:snapToGrid w:val="0"/>
        <w:spacing w:line="276" w:lineRule="auto"/>
        <w:ind w:firstLine="0" w:firstLineChars="0"/>
        <w:rPr>
          <w:rFonts w:hint="default" w:eastAsia="宋体"/>
          <w:color w:val="auto"/>
          <w:lang w:val="en-US" w:eastAsia="zh-CN"/>
        </w:rPr>
      </w:pPr>
      <w:r>
        <w:rPr>
          <w:rFonts w:hint="eastAsia" w:ascii="黑体" w:hAnsi="黑体" w:eastAsia="黑体" w:cs="黑体"/>
          <w:color w:val="auto"/>
          <w:lang w:val="en-US" w:eastAsia="zh-CN"/>
        </w:rPr>
        <w:t>6.2.2</w:t>
      </w:r>
      <w:r>
        <w:rPr>
          <w:rFonts w:hint="eastAsia"/>
          <w:color w:val="auto"/>
          <w:lang w:val="en-US" w:eastAsia="zh-CN"/>
        </w:rPr>
        <w:t xml:space="preserve"> </w:t>
      </w:r>
      <w:r>
        <w:rPr>
          <w:rFonts w:hint="default" w:ascii="Times New Roman" w:hAnsi="Times New Roman" w:eastAsia="宋体" w:cs="Times New Roman"/>
          <w:color w:val="auto"/>
          <w:spacing w:val="8"/>
          <w:szCs w:val="24"/>
          <w:lang w:val="en-US" w:eastAsia="zh-CN"/>
        </w:rPr>
        <w:t>产品颗粒尺寸使用筛分法测量。</w:t>
      </w:r>
    </w:p>
    <w:p w14:paraId="3F420953">
      <w:pPr>
        <w:pStyle w:val="65"/>
        <w:spacing w:beforeLines="100" w:afterLines="100" w:line="240" w:lineRule="auto"/>
        <w:ind w:firstLine="0" w:firstLineChars="0"/>
        <w:rPr>
          <w:rFonts w:hint="default" w:ascii="黑体" w:hAnsi="黑体" w:eastAsia="黑体" w:cs="黑体"/>
          <w:bCs/>
          <w:lang w:val="en-US" w:eastAsia="zh-CN"/>
        </w:rPr>
      </w:pPr>
      <w:r>
        <w:rPr>
          <w:rFonts w:hint="eastAsia" w:ascii="黑体" w:hAnsi="黑体" w:eastAsia="黑体" w:cs="黑体"/>
          <w:bCs/>
          <w:lang w:val="en-US" w:eastAsia="zh-CN"/>
        </w:rPr>
        <w:t>7 检验规则</w:t>
      </w:r>
    </w:p>
    <w:p w14:paraId="12A22A21">
      <w:pPr>
        <w:pStyle w:val="65"/>
        <w:spacing w:beforeLines="50" w:afterLines="50" w:line="240" w:lineRule="auto"/>
        <w:ind w:firstLine="0" w:firstLineChars="0"/>
        <w:rPr>
          <w:rFonts w:hint="default" w:ascii="黑体" w:hAnsi="黑体" w:eastAsia="黑体" w:cs="黑体"/>
          <w:bCs/>
          <w:lang w:val="en-US" w:eastAsia="zh-CN"/>
        </w:rPr>
      </w:pPr>
      <w:r>
        <w:rPr>
          <w:rFonts w:hint="eastAsia" w:ascii="黑体" w:hAnsi="黑体" w:eastAsia="黑体" w:cs="黑体"/>
          <w:bCs/>
          <w:lang w:val="en-US" w:eastAsia="zh-CN"/>
        </w:rPr>
        <w:t>7.1 检查与验收</w:t>
      </w:r>
    </w:p>
    <w:p w14:paraId="64ADD36A">
      <w:pPr>
        <w:pStyle w:val="31"/>
        <w:numPr>
          <w:ilvl w:val="0"/>
          <w:numId w:val="0"/>
        </w:numPr>
        <w:spacing w:before="156" w:afterLines="0"/>
        <w:rPr>
          <w:rFonts w:hint="eastAsia"/>
          <w:color w:val="auto"/>
        </w:rPr>
      </w:pPr>
      <w:r>
        <w:rPr>
          <w:rFonts w:hint="eastAsia"/>
          <w:color w:val="auto"/>
          <w:lang w:val="en-US" w:eastAsia="zh-CN"/>
        </w:rPr>
        <w:t>7</w:t>
      </w:r>
      <w:r>
        <w:rPr>
          <w:rFonts w:hint="eastAsia"/>
          <w:color w:val="auto"/>
        </w:rPr>
        <w:t>.</w:t>
      </w:r>
      <w:r>
        <w:rPr>
          <w:rFonts w:hint="eastAsia"/>
          <w:color w:val="auto"/>
          <w:lang w:val="en-US" w:eastAsia="zh-CN"/>
        </w:rPr>
        <w:t>1.1</w:t>
      </w:r>
      <w:r>
        <w:rPr>
          <w:rFonts w:hint="eastAsia"/>
          <w:color w:val="auto"/>
        </w:rPr>
        <w:t xml:space="preserve"> </w:t>
      </w:r>
      <w:r>
        <w:rPr>
          <w:rFonts w:ascii="Times New Roman" w:hAnsi="Times New Roman" w:eastAsia="宋体" w:cs="Times New Roman"/>
          <w:color w:val="auto"/>
          <w:spacing w:val="8"/>
        </w:rPr>
        <w:t>产品应由供方</w:t>
      </w:r>
      <w:r>
        <w:rPr>
          <w:rFonts w:hint="eastAsia" w:ascii="Times New Roman" w:hAnsi="Times New Roman" w:eastAsia="宋体" w:cs="Times New Roman"/>
          <w:color w:val="auto"/>
          <w:spacing w:val="8"/>
        </w:rPr>
        <w:t>或第三方</w:t>
      </w:r>
      <w:r>
        <w:rPr>
          <w:rFonts w:ascii="Times New Roman" w:hAnsi="Times New Roman" w:eastAsia="宋体" w:cs="Times New Roman"/>
          <w:color w:val="auto"/>
          <w:spacing w:val="8"/>
        </w:rPr>
        <w:t>进行检验，产品质量</w:t>
      </w:r>
      <w:r>
        <w:rPr>
          <w:rFonts w:hint="eastAsia" w:ascii="Times New Roman" w:hAnsi="Times New Roman" w:eastAsia="宋体" w:cs="Times New Roman"/>
          <w:color w:val="auto"/>
          <w:spacing w:val="8"/>
        </w:rPr>
        <w:t>应</w:t>
      </w:r>
      <w:r>
        <w:rPr>
          <w:rFonts w:ascii="Times New Roman" w:hAnsi="Times New Roman" w:eastAsia="宋体" w:cs="Times New Roman"/>
          <w:color w:val="auto"/>
          <w:spacing w:val="8"/>
        </w:rPr>
        <w:t>符合本文件及订货单的规定。</w:t>
      </w:r>
    </w:p>
    <w:p w14:paraId="1BC5A64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3"/>
        <w:rPr>
          <w:rFonts w:ascii="Times New Roman" w:hAnsi="Times New Roman" w:eastAsia="宋体" w:cs="Times New Roman"/>
          <w:color w:val="auto"/>
          <w:spacing w:val="8"/>
        </w:rPr>
      </w:pPr>
      <w:r>
        <w:rPr>
          <w:rFonts w:hint="eastAsia" w:ascii="黑体" w:hAnsi="黑体" w:eastAsia="黑体" w:cs="黑体"/>
          <w:color w:val="auto"/>
          <w:spacing w:val="16"/>
        </w:rPr>
        <w:t>7.1.2</w:t>
      </w:r>
      <w:r>
        <w:rPr>
          <w:rFonts w:ascii="Times New Roman" w:hAnsi="Times New Roman" w:eastAsia="黑体" w:cs="Times New Roman"/>
          <w:color w:val="auto"/>
          <w:spacing w:val="9"/>
          <w:sz w:val="20"/>
          <w:szCs w:val="20"/>
        </w:rPr>
        <w:t xml:space="preserve"> </w:t>
      </w:r>
      <w:r>
        <w:rPr>
          <w:rFonts w:ascii="Times New Roman" w:hAnsi="Times New Roman" w:eastAsia="宋体" w:cs="Times New Roman"/>
          <w:color w:val="auto"/>
          <w:spacing w:val="8"/>
        </w:rPr>
        <w:t>需方可对收到的产品按照本文件或订货单内容的规定进行检验。如检验结果与本文件或订货单内容的规定不符时，应在收到产品之日起一个月内向供方提出，由供需双方协商解决。如需仲裁，仲裁取样在需方，由供需双方共同进行。</w:t>
      </w:r>
    </w:p>
    <w:p w14:paraId="1FD93969">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default" w:ascii="黑体" w:hAnsi="宋体" w:eastAsia="黑体" w:cs="Times New Roman"/>
          <w:color w:val="auto"/>
          <w:szCs w:val="21"/>
          <w:lang w:val="en-US" w:eastAsia="zh-CN"/>
        </w:rPr>
      </w:pPr>
      <w:r>
        <w:rPr>
          <w:rFonts w:hint="eastAsia" w:ascii="黑体" w:hAnsi="宋体" w:eastAsia="黑体" w:cs="Times New Roman"/>
          <w:color w:val="auto"/>
          <w:szCs w:val="21"/>
          <w:lang w:val="en-US" w:eastAsia="zh-CN"/>
        </w:rPr>
        <w:t>7.2 组批</w:t>
      </w:r>
    </w:p>
    <w:p w14:paraId="61C13B9A">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ascii="Times New Roman" w:hAnsi="Times New Roman" w:eastAsia="宋体" w:cs="Times New Roman"/>
          <w:color w:val="auto"/>
          <w:spacing w:val="8"/>
          <w:highlight w:val="none"/>
        </w:rPr>
      </w:pPr>
      <w:r>
        <w:rPr>
          <w:rFonts w:hint="eastAsia" w:ascii="Times New Roman" w:hAnsi="Times New Roman" w:eastAsia="宋体" w:cs="Times New Roman"/>
          <w:color w:val="auto"/>
          <w:spacing w:val="8"/>
        </w:rPr>
        <w:t>产品应成批提交验收，每批应由同一生产周期、同一牌号的产品组成</w:t>
      </w:r>
      <w:bookmarkStart w:id="10" w:name="OLE_LINK3"/>
      <w:r>
        <w:rPr>
          <w:rFonts w:hint="eastAsia" w:cs="Times New Roman"/>
          <w:color w:val="auto"/>
          <w:spacing w:val="8"/>
          <w:lang w:eastAsia="zh-CN"/>
        </w:rPr>
        <w:t>，</w:t>
      </w:r>
      <w:r>
        <w:rPr>
          <w:rFonts w:hint="eastAsia" w:ascii="Times New Roman" w:hAnsi="Times New Roman" w:eastAsia="宋体" w:cs="Times New Roman"/>
          <w:color w:val="auto"/>
          <w:spacing w:val="8"/>
          <w:highlight w:val="none"/>
        </w:rPr>
        <w:t>铜精炼炉</w:t>
      </w:r>
      <w:r>
        <w:rPr>
          <w:rFonts w:hint="eastAsia" w:cs="Times New Roman"/>
          <w:color w:val="auto"/>
          <w:spacing w:val="8"/>
          <w:highlight w:val="none"/>
          <w:shd w:val="clear"/>
          <w:lang w:eastAsia="zh-CN"/>
        </w:rPr>
        <w:t>（</w:t>
      </w:r>
      <w:r>
        <w:rPr>
          <w:rFonts w:hint="eastAsia" w:cs="Times New Roman"/>
          <w:color w:val="auto"/>
          <w:spacing w:val="8"/>
          <w:highlight w:val="none"/>
          <w:shd w:val="clear"/>
          <w:lang w:val="en-US" w:eastAsia="zh-CN"/>
        </w:rPr>
        <w:t>溜槽及中间包、浇铸包）</w:t>
      </w:r>
      <w:r>
        <w:rPr>
          <w:rFonts w:hint="eastAsia" w:ascii="Times New Roman" w:hAnsi="Times New Roman" w:eastAsia="宋体" w:cs="Times New Roman"/>
          <w:color w:val="auto"/>
          <w:spacing w:val="8"/>
          <w:highlight w:val="none"/>
        </w:rPr>
        <w:t>隔热衬用耐火浇注料每批不超过50</w:t>
      </w:r>
      <w:r>
        <w:rPr>
          <w:rFonts w:hint="eastAsia" w:cs="Times New Roman"/>
          <w:color w:val="auto"/>
          <w:spacing w:val="8"/>
          <w:highlight w:val="none"/>
          <w:lang w:val="en-US" w:eastAsia="zh-CN"/>
        </w:rPr>
        <w:t xml:space="preserve"> </w:t>
      </w:r>
      <w:r>
        <w:rPr>
          <w:rFonts w:hint="eastAsia" w:ascii="Times New Roman" w:hAnsi="Times New Roman" w:eastAsia="宋体" w:cs="Times New Roman"/>
          <w:color w:val="auto"/>
          <w:spacing w:val="8"/>
          <w:highlight w:val="none"/>
        </w:rPr>
        <w:t>t</w:t>
      </w:r>
      <w:bookmarkEnd w:id="10"/>
      <w:r>
        <w:rPr>
          <w:rFonts w:hint="eastAsia" w:cs="Times New Roman"/>
          <w:color w:val="auto"/>
          <w:spacing w:val="8"/>
          <w:highlight w:val="none"/>
          <w:lang w:eastAsia="zh-CN"/>
        </w:rPr>
        <w:t>，</w:t>
      </w:r>
      <w:r>
        <w:rPr>
          <w:rFonts w:hint="eastAsia" w:ascii="Times New Roman" w:hAnsi="Times New Roman" w:eastAsia="宋体" w:cs="Times New Roman"/>
          <w:color w:val="auto"/>
          <w:spacing w:val="8"/>
          <w:highlight w:val="none"/>
        </w:rPr>
        <w:t>原料或生产工艺变更时应另组批。</w:t>
      </w:r>
    </w:p>
    <w:p w14:paraId="3B48E2E3">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default" w:ascii="黑体" w:hAnsi="宋体" w:eastAsia="黑体" w:cs="Times New Roman"/>
          <w:color w:val="auto"/>
          <w:szCs w:val="21"/>
          <w:lang w:val="en-US" w:eastAsia="zh-CN"/>
        </w:rPr>
      </w:pPr>
      <w:r>
        <w:rPr>
          <w:rFonts w:hint="eastAsia" w:ascii="黑体" w:hAnsi="宋体" w:eastAsia="黑体" w:cs="Times New Roman"/>
          <w:color w:val="auto"/>
          <w:szCs w:val="21"/>
          <w:lang w:val="en-US" w:eastAsia="zh-CN"/>
        </w:rPr>
        <w:t>7.3 取样和制样</w:t>
      </w:r>
    </w:p>
    <w:p w14:paraId="6ADB0D6D">
      <w:pPr>
        <w:pStyle w:val="28"/>
        <w:tabs>
          <w:tab w:val="center" w:pos="4201"/>
          <w:tab w:val="right" w:leader="dot" w:pos="9298"/>
        </w:tabs>
        <w:adjustRightInd w:val="0"/>
        <w:snapToGrid w:val="0"/>
        <w:spacing w:line="276" w:lineRule="auto"/>
        <w:ind w:left="0" w:leftChars="0" w:firstLine="452" w:firstLineChars="200"/>
        <w:rPr>
          <w:rFonts w:hint="eastAsia" w:ascii="Times New Roman" w:hAnsi="Times New Roman" w:eastAsia="宋体" w:cs="Times New Roman"/>
          <w:color w:val="auto"/>
          <w:spacing w:val="8"/>
          <w:szCs w:val="24"/>
        </w:rPr>
      </w:pPr>
      <w:r>
        <w:rPr>
          <w:rFonts w:hint="eastAsia" w:cs="Times New Roman"/>
          <w:color w:val="auto"/>
          <w:spacing w:val="8"/>
          <w:lang w:val="en-US" w:eastAsia="zh-CN"/>
        </w:rPr>
        <w:t>取样方法</w:t>
      </w:r>
      <w:r>
        <w:rPr>
          <w:rFonts w:hint="eastAsia" w:ascii="Times New Roman" w:hAnsi="Times New Roman" w:eastAsia="宋体" w:cs="Times New Roman"/>
          <w:color w:val="auto"/>
          <w:spacing w:val="8"/>
        </w:rPr>
        <w:t>按</w:t>
      </w:r>
      <w:bookmarkStart w:id="11" w:name="OLE_LINK4"/>
      <w:r>
        <w:rPr>
          <w:rFonts w:hint="eastAsia" w:ascii="宋体" w:hAnsi="宋体" w:eastAsia="宋体" w:cs="宋体"/>
          <w:color w:val="auto"/>
          <w:sz w:val="21"/>
          <w:szCs w:val="21"/>
        </w:rPr>
        <w:t xml:space="preserve">GB/T </w:t>
      </w:r>
      <w:r>
        <w:rPr>
          <w:rFonts w:hint="eastAsia" w:ascii="宋体" w:hAnsi="宋体" w:eastAsia="宋体" w:cs="宋体"/>
          <w:color w:val="auto"/>
          <w:sz w:val="21"/>
          <w:szCs w:val="21"/>
          <w:lang w:val="en-US" w:eastAsia="zh-CN"/>
        </w:rPr>
        <w:t>17617</w:t>
      </w:r>
      <w:bookmarkEnd w:id="11"/>
      <w:r>
        <w:rPr>
          <w:rFonts w:hint="eastAsia" w:ascii="Times New Roman" w:hAnsi="Times New Roman" w:eastAsia="宋体" w:cs="Times New Roman"/>
          <w:color w:val="auto"/>
          <w:spacing w:val="8"/>
        </w:rPr>
        <w:t>的规定进行</w:t>
      </w:r>
      <w:r>
        <w:rPr>
          <w:rFonts w:hint="eastAsia" w:ascii="Times New Roman" w:cs="Times New Roman"/>
          <w:color w:val="auto"/>
          <w:spacing w:val="8"/>
          <w:lang w:eastAsia="zh-CN"/>
        </w:rPr>
        <w:t>，</w:t>
      </w:r>
      <w:r>
        <w:rPr>
          <w:rFonts w:hint="eastAsia" w:ascii="Times New Roman" w:hAnsi="Times New Roman" w:cs="Times New Roman"/>
          <w:color w:val="auto"/>
          <w:spacing w:val="8"/>
          <w:szCs w:val="24"/>
          <w:lang w:val="en-US" w:eastAsia="zh-CN"/>
        </w:rPr>
        <w:t>制样方法</w:t>
      </w:r>
      <w:r>
        <w:rPr>
          <w:rFonts w:hint="eastAsia" w:ascii="Times New Roman" w:hAnsi="Times New Roman" w:eastAsia="宋体" w:cs="Times New Roman"/>
          <w:color w:val="auto"/>
          <w:spacing w:val="8"/>
          <w:szCs w:val="24"/>
        </w:rPr>
        <w:t>按</w:t>
      </w:r>
      <w:r>
        <w:rPr>
          <w:rFonts w:hint="eastAsia" w:ascii="Times New Roman" w:cs="Times New Roman"/>
          <w:color w:val="auto"/>
          <w:spacing w:val="8"/>
          <w:szCs w:val="24"/>
          <w:lang w:val="en-US" w:eastAsia="zh-CN"/>
        </w:rPr>
        <w:t>照</w:t>
      </w:r>
      <w:bookmarkStart w:id="12" w:name="OLE_LINK7"/>
      <w:r>
        <w:rPr>
          <w:rFonts w:hint="eastAsia" w:ascii="Times New Roman" w:hAnsi="Times New Roman"/>
          <w:color w:val="auto"/>
          <w:kern w:val="0"/>
        </w:rPr>
        <w:t>GB/T 4513.5</w:t>
      </w:r>
      <w:bookmarkEnd w:id="12"/>
      <w:r>
        <w:rPr>
          <w:rFonts w:hint="eastAsia" w:ascii="Times New Roman" w:hAnsi="Times New Roman" w:cs="Times New Roman"/>
          <w:color w:val="auto"/>
          <w:spacing w:val="8"/>
          <w:szCs w:val="24"/>
          <w:lang w:eastAsia="zh-CN"/>
        </w:rPr>
        <w:t>的</w:t>
      </w:r>
      <w:r>
        <w:rPr>
          <w:rFonts w:hint="eastAsia" w:ascii="Times New Roman" w:hAnsi="Times New Roman" w:cs="Times New Roman"/>
          <w:color w:val="auto"/>
          <w:spacing w:val="8"/>
          <w:szCs w:val="24"/>
          <w:lang w:val="en-US" w:eastAsia="zh-CN"/>
        </w:rPr>
        <w:t>规定</w:t>
      </w:r>
      <w:r>
        <w:rPr>
          <w:rFonts w:hint="eastAsia" w:ascii="Times New Roman" w:hAnsi="Times New Roman" w:eastAsia="宋体" w:cs="Times New Roman"/>
          <w:color w:val="auto"/>
          <w:spacing w:val="8"/>
          <w:szCs w:val="24"/>
        </w:rPr>
        <w:t>进行。</w:t>
      </w:r>
    </w:p>
    <w:p w14:paraId="569AC0AF">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color w:val="auto"/>
          <w:szCs w:val="21"/>
          <w:lang w:val="en-US" w:eastAsia="zh-CN"/>
        </w:rPr>
      </w:pPr>
      <w:r>
        <w:rPr>
          <w:rFonts w:hint="eastAsia" w:ascii="黑体" w:hAnsi="宋体" w:eastAsia="黑体" w:cs="Times New Roman"/>
          <w:color w:val="auto"/>
          <w:szCs w:val="21"/>
          <w:lang w:val="en-US" w:eastAsia="zh-CN"/>
        </w:rPr>
        <w:t>7.3 检验结果判定</w:t>
      </w:r>
    </w:p>
    <w:p w14:paraId="719027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spacing w:val="8"/>
        </w:rPr>
      </w:pPr>
      <w:r>
        <w:rPr>
          <w:rFonts w:hint="eastAsia" w:ascii="黑体" w:hAnsi="黑体" w:eastAsia="黑体" w:cs="黑体"/>
          <w:color w:val="auto"/>
          <w:spacing w:val="8"/>
        </w:rPr>
        <w:t>7.</w:t>
      </w:r>
      <w:r>
        <w:rPr>
          <w:rFonts w:hint="eastAsia" w:ascii="黑体" w:hAnsi="黑体" w:eastAsia="黑体" w:cs="黑体"/>
          <w:color w:val="auto"/>
          <w:spacing w:val="8"/>
          <w:lang w:val="en-US" w:eastAsia="zh-CN"/>
        </w:rPr>
        <w:t>3</w:t>
      </w:r>
      <w:r>
        <w:rPr>
          <w:rFonts w:hint="eastAsia" w:ascii="黑体" w:hAnsi="黑体" w:eastAsia="黑体" w:cs="黑体"/>
          <w:color w:val="auto"/>
          <w:spacing w:val="8"/>
        </w:rPr>
        <w:t>.1</w:t>
      </w:r>
      <w:r>
        <w:rPr>
          <w:rFonts w:hint="eastAsia" w:ascii="Times New Roman" w:hAnsi="Times New Roman" w:eastAsia="宋体" w:cs="Times New Roman"/>
          <w:color w:val="auto"/>
          <w:spacing w:val="8"/>
        </w:rPr>
        <w:t xml:space="preserve"> 产品的化学成分、耐压强度、</w:t>
      </w:r>
      <w:r>
        <w:rPr>
          <w:rFonts w:hint="eastAsia" w:ascii="Times New Roman" w:hAnsi="Times New Roman" w:eastAsia="宋体" w:cs="Times New Roman"/>
          <w:color w:val="auto"/>
          <w:spacing w:val="8"/>
          <w:lang w:val="en-US" w:eastAsia="zh-CN"/>
        </w:rPr>
        <w:t>加热永久线变化</w:t>
      </w:r>
      <w:r>
        <w:rPr>
          <w:rFonts w:hint="eastAsia" w:ascii="Times New Roman" w:hAnsi="Times New Roman" w:eastAsia="宋体" w:cs="Times New Roman"/>
          <w:color w:val="auto"/>
          <w:spacing w:val="8"/>
        </w:rPr>
        <w:t>检验不合格时，则判该批产品为不合格。</w:t>
      </w:r>
    </w:p>
    <w:p w14:paraId="66BDDD7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3"/>
        <w:rPr>
          <w:rFonts w:hint="eastAsia" w:ascii="Times New Roman" w:hAnsi="Times New Roman" w:eastAsia="宋体" w:cs="Times New Roman"/>
          <w:color w:val="auto"/>
          <w:spacing w:val="8"/>
        </w:rPr>
      </w:pPr>
      <w:r>
        <w:rPr>
          <w:rFonts w:hint="eastAsia" w:ascii="黑体" w:hAnsi="黑体" w:eastAsia="黑体" w:cs="黑体"/>
          <w:color w:val="auto"/>
          <w:spacing w:val="8"/>
        </w:rPr>
        <w:t>7.</w:t>
      </w:r>
      <w:r>
        <w:rPr>
          <w:rFonts w:hint="eastAsia" w:ascii="黑体" w:hAnsi="黑体" w:eastAsia="黑体" w:cs="黑体"/>
          <w:color w:val="auto"/>
          <w:spacing w:val="8"/>
          <w:lang w:val="en-US" w:eastAsia="zh-CN"/>
        </w:rPr>
        <w:t>3</w:t>
      </w:r>
      <w:r>
        <w:rPr>
          <w:rFonts w:hint="eastAsia" w:ascii="黑体" w:hAnsi="黑体" w:eastAsia="黑体" w:cs="黑体"/>
          <w:color w:val="auto"/>
          <w:spacing w:val="8"/>
        </w:rPr>
        <w:t xml:space="preserve">.2 </w:t>
      </w:r>
      <w:r>
        <w:rPr>
          <w:rFonts w:hint="eastAsia" w:ascii="Times New Roman" w:hAnsi="Times New Roman" w:eastAsia="宋体" w:cs="Times New Roman"/>
          <w:color w:val="auto"/>
          <w:spacing w:val="8"/>
        </w:rPr>
        <w:t>产品的体积密度、颗粒尺寸检验不合格时，应从该批产品中另取双倍数量的试样进行重复该项目试验。重复试验全部合格，则判该批产品合格。若重复试验结果仍有试样不合格，则判该批产品为不合格。</w:t>
      </w:r>
    </w:p>
    <w:p w14:paraId="638E10B5">
      <w:pPr>
        <w:pStyle w:val="65"/>
        <w:spacing w:beforeLines="100"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8 标志、包装、运输、贮存和随行文件</w:t>
      </w:r>
    </w:p>
    <w:p w14:paraId="285A7ED2">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color w:val="auto"/>
          <w:szCs w:val="21"/>
          <w:lang w:val="en-US" w:eastAsia="zh-CN"/>
        </w:rPr>
      </w:pPr>
      <w:r>
        <w:rPr>
          <w:rFonts w:hint="eastAsia" w:ascii="黑体" w:hAnsi="宋体" w:eastAsia="黑体" w:cs="Times New Roman"/>
          <w:color w:val="auto"/>
          <w:szCs w:val="21"/>
          <w:lang w:val="en-US" w:eastAsia="zh-CN"/>
        </w:rPr>
        <w:t>8.1 标志、包装、运输、贮存</w:t>
      </w:r>
    </w:p>
    <w:p w14:paraId="5597EEB5">
      <w:pPr>
        <w:keepNext w:val="0"/>
        <w:keepLines w:val="0"/>
        <w:pageBreakBefore w:val="0"/>
        <w:widowControl w:val="0"/>
        <w:kinsoku/>
        <w:wordWrap/>
        <w:overflowPunct/>
        <w:topLinePunct w:val="0"/>
        <w:autoSpaceDE/>
        <w:autoSpaceDN/>
        <w:bidi w:val="0"/>
        <w:adjustRightInd/>
        <w:snapToGrid/>
        <w:spacing w:beforeLines="-2147483648" w:afterLines="-2147483648" w:line="240" w:lineRule="auto"/>
        <w:ind w:firstLine="452" w:firstLineChars="200"/>
        <w:textAlignment w:val="auto"/>
        <w:outlineLvl w:val="3"/>
        <w:rPr>
          <w:rFonts w:hint="eastAsia" w:ascii="Times New Roman" w:hAnsi="Times New Roman" w:eastAsia="宋体" w:cs="Times New Roman"/>
          <w:color w:val="auto"/>
          <w:spacing w:val="8"/>
          <w:szCs w:val="24"/>
          <w:lang w:val="en-US" w:eastAsia="zh-CN"/>
        </w:rPr>
      </w:pPr>
      <w:r>
        <w:rPr>
          <w:rFonts w:hint="eastAsia" w:cs="Times New Roman"/>
          <w:color w:val="auto"/>
          <w:spacing w:val="8"/>
          <w:szCs w:val="24"/>
          <w:lang w:val="en-US" w:eastAsia="zh-CN"/>
        </w:rPr>
        <w:t>产品的标志、包装、运输、贮存</w:t>
      </w:r>
      <w:r>
        <w:rPr>
          <w:rFonts w:hint="eastAsia" w:ascii="Times New Roman" w:hAnsi="Times New Roman" w:eastAsia="宋体" w:cs="Times New Roman"/>
          <w:color w:val="auto"/>
          <w:spacing w:val="8"/>
          <w:szCs w:val="24"/>
          <w:lang w:val="en-US" w:eastAsia="zh-CN"/>
        </w:rPr>
        <w:t>按</w:t>
      </w:r>
      <w:r>
        <w:rPr>
          <w:rFonts w:hint="eastAsia" w:cs="Times New Roman"/>
          <w:color w:val="auto"/>
          <w:spacing w:val="8"/>
          <w:szCs w:val="24"/>
          <w:lang w:val="en-US" w:eastAsia="zh-CN"/>
        </w:rPr>
        <w:t>照</w:t>
      </w:r>
      <w:r>
        <w:rPr>
          <w:rFonts w:hint="eastAsia" w:ascii="Times New Roman" w:hAnsi="Times New Roman" w:eastAsia="宋体" w:cs="Times New Roman"/>
          <w:color w:val="auto"/>
          <w:spacing w:val="8"/>
          <w:szCs w:val="24"/>
          <w:lang w:val="en-US" w:eastAsia="zh-CN"/>
        </w:rPr>
        <w:t xml:space="preserve"> GB/T 15545的规定进行。</w:t>
      </w:r>
    </w:p>
    <w:p w14:paraId="16BFEE39">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default" w:ascii="黑体" w:hAnsi="宋体" w:eastAsia="黑体" w:cs="Times New Roman"/>
          <w:color w:val="auto"/>
          <w:szCs w:val="21"/>
          <w:lang w:val="en-US" w:eastAsia="zh-CN"/>
        </w:rPr>
      </w:pPr>
      <w:r>
        <w:rPr>
          <w:rFonts w:hint="eastAsia" w:ascii="黑体" w:hAnsi="宋体" w:eastAsia="黑体" w:cs="Times New Roman"/>
          <w:color w:val="auto"/>
          <w:szCs w:val="21"/>
          <w:lang w:val="en-US" w:eastAsia="zh-CN"/>
        </w:rPr>
        <w:t>8.2 随行文件</w:t>
      </w:r>
    </w:p>
    <w:p w14:paraId="3CF64840">
      <w:pPr>
        <w:keepNext w:val="0"/>
        <w:keepLines w:val="0"/>
        <w:pageBreakBefore w:val="0"/>
        <w:widowControl w:val="0"/>
        <w:kinsoku/>
        <w:wordWrap/>
        <w:overflowPunct/>
        <w:topLinePunct w:val="0"/>
        <w:autoSpaceDE/>
        <w:autoSpaceDN/>
        <w:bidi w:val="0"/>
        <w:adjustRightInd/>
        <w:snapToGrid/>
        <w:spacing w:beforeLines="50" w:afterLines="50" w:line="24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每批产品应附有随行文件，其中除应包括供方信息、产品信息、本文件编号、出厂日期或包装日期外，还宜包括：</w:t>
      </w:r>
    </w:p>
    <w:p w14:paraId="7786D2C7">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a)产品质量保证书：</w:t>
      </w:r>
    </w:p>
    <w:p w14:paraId="14EA75A2">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·产品的主要性能及技术参数；</w:t>
      </w:r>
    </w:p>
    <w:p w14:paraId="7414CB42">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·产品特点(包括制造工艺及原材料的特点)；</w:t>
      </w:r>
    </w:p>
    <w:p w14:paraId="7B4942EB">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·对产品质量所负的责任；</w:t>
      </w:r>
    </w:p>
    <w:p w14:paraId="4F4F9F03">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·产品获得的质量认证及带供方技术监督部门检印的各项分析检验结果；</w:t>
      </w:r>
    </w:p>
    <w:p w14:paraId="536F4639">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b)产品合格证：</w:t>
      </w:r>
    </w:p>
    <w:p w14:paraId="7256C768">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·检验项目及其结果或检验结论；</w:t>
      </w:r>
    </w:p>
    <w:p w14:paraId="238377A0">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·批号；</w:t>
      </w:r>
    </w:p>
    <w:p w14:paraId="200836DF">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·检验日期；</w:t>
      </w:r>
    </w:p>
    <w:p w14:paraId="58FAE493">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·检验员签名或盖章；</w:t>
      </w:r>
    </w:p>
    <w:p w14:paraId="572495B4">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c)产品质量控制程中的检验报告及成品检验报告；</w:t>
      </w:r>
    </w:p>
    <w:p w14:paraId="5556C43D">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d)产品使用说明：正确搬运、使用、贮存方法等；</w:t>
      </w:r>
    </w:p>
    <w:p w14:paraId="571C93CA">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hAnsi="Times New Roman" w:cs="Times New Roman"/>
          <w:color w:val="auto"/>
          <w:lang w:val="en-US" w:eastAsia="zh-CN"/>
        </w:rPr>
      </w:pPr>
      <w:r>
        <w:rPr>
          <w:rFonts w:hint="eastAsia" w:hAnsi="Times New Roman" w:cs="Times New Roman"/>
          <w:color w:val="auto"/>
          <w:lang w:val="en-US" w:eastAsia="zh-CN"/>
        </w:rPr>
        <w:t>e)其他。</w:t>
      </w:r>
    </w:p>
    <w:p w14:paraId="05137A75">
      <w:pPr>
        <w:pStyle w:val="65"/>
        <w:spacing w:beforeLines="100"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9 订货单内容</w:t>
      </w:r>
    </w:p>
    <w:p w14:paraId="381DB148">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color w:val="auto"/>
        </w:rPr>
      </w:pPr>
      <w:r>
        <w:rPr>
          <w:rFonts w:hint="eastAsia"/>
          <w:color w:val="auto"/>
        </w:rPr>
        <w:t>需方可根据自身需要，在订购本文件所列产品的订货单内，列出如下内容：</w:t>
      </w:r>
    </w:p>
    <w:p w14:paraId="614AD9E7">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color w:val="auto"/>
        </w:rPr>
      </w:pPr>
      <w:r>
        <w:rPr>
          <w:rFonts w:hint="eastAsia"/>
          <w:color w:val="auto"/>
        </w:rPr>
        <w:t>a)产品名称；</w:t>
      </w:r>
    </w:p>
    <w:p w14:paraId="18E4A431">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color w:val="auto"/>
        </w:rPr>
      </w:pPr>
      <w:r>
        <w:rPr>
          <w:rFonts w:hint="eastAsia"/>
          <w:color w:val="auto"/>
        </w:rPr>
        <w:t>b)牌号；</w:t>
      </w:r>
    </w:p>
    <w:p w14:paraId="1CF6840A">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color w:val="auto"/>
        </w:rPr>
      </w:pPr>
      <w:r>
        <w:rPr>
          <w:rFonts w:hint="eastAsia"/>
          <w:color w:val="auto"/>
        </w:rPr>
        <w:t>c)产品净重；</w:t>
      </w:r>
    </w:p>
    <w:p w14:paraId="183B2B28">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color w:val="auto"/>
        </w:rPr>
      </w:pPr>
      <w:r>
        <w:rPr>
          <w:rFonts w:hint="eastAsia"/>
          <w:color w:val="auto"/>
        </w:rPr>
        <w:t>d)本文件编号；</w:t>
      </w:r>
    </w:p>
    <w:p w14:paraId="4D3378B1">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rFonts w:hint="eastAsia"/>
          <w:color w:val="auto"/>
        </w:rPr>
      </w:pPr>
      <w:r>
        <w:rPr>
          <w:rFonts w:hint="eastAsia"/>
          <w:color w:val="auto"/>
          <w:lang w:val="en-US" w:eastAsia="zh-CN"/>
        </w:rPr>
        <w:t>e)</w:t>
      </w:r>
      <w:r>
        <w:rPr>
          <w:rFonts w:hint="eastAsia"/>
          <w:color w:val="auto"/>
        </w:rPr>
        <w:t>本文件中供需双方协商确定的其他特殊要求；</w:t>
      </w:r>
    </w:p>
    <w:p w14:paraId="6F9EFE4D">
      <w:pPr>
        <w:pStyle w:val="28"/>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200"/>
        <w:textAlignment w:val="auto"/>
        <w:rPr>
          <w:color w:val="auto"/>
        </w:rPr>
      </w:pPr>
      <w:r>
        <w:rPr>
          <w:rFonts w:hint="eastAsia"/>
          <w:color w:val="auto"/>
        </w:rPr>
        <w:t>f)其他。</w:t>
      </w:r>
    </w:p>
    <w:p w14:paraId="5A5DAA3E">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hAnsi="宋体"/>
          <w:color w:val="auto"/>
          <w:szCs w:val="21"/>
        </w:rPr>
      </w:pPr>
      <w:r>
        <w:rPr>
          <w:rFonts w:ascii="宋体" w:hAnsi="宋体"/>
          <w:color w:val="auto"/>
          <w:szCs w:val="21"/>
        </w:rPr>
        <w:pict>
          <v:shape id="_x0000_s1040" o:spid="_x0000_s1040" o:spt="32" type="#_x0000_t32" style="position:absolute;left:0pt;margin-left:168.9pt;margin-top:16.1pt;height:0pt;width:99.55pt;z-index:251667456;mso-width-relative:page;mso-height-relative:page;" o:connectortype="straight" filled="f" coordsize="21600,21600">
            <v:path arrowok="t"/>
            <v:fill on="f" focussize="0,0"/>
            <v:stroke/>
            <v:imagedata o:title=""/>
            <o:lock v:ext="edit"/>
          </v:shape>
        </w:pict>
      </w:r>
    </w:p>
    <w:sectPr>
      <w:headerReference r:id="rId10" w:type="default"/>
      <w:footerReference r:id="rId12" w:type="default"/>
      <w:headerReference r:id="rId11" w:type="even"/>
      <w:footerReference r:id="rId13" w:type="even"/>
      <w:pgSz w:w="11907" w:h="16839"/>
      <w:pgMar w:top="1418" w:right="1134" w:bottom="1418" w:left="1418" w:header="720" w:footer="720" w:gutter="0"/>
      <w:pgNumType w:fmt="decimal"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316C9">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I</w:t>
    </w:r>
    <w:r>
      <w:rPr>
        <w:rStyle w:val="18"/>
      </w:rPr>
      <w:fldChar w:fldCharType="end"/>
    </w:r>
  </w:p>
  <w:p w14:paraId="3A83A785">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4B47">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43FE77D7">
    <w:pPr>
      <w:pStyle w:val="22"/>
      <w:ind w:right="360" w:firstLine="36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C53F4">
    <w:pPr>
      <w:pStyle w:val="23"/>
    </w:pPr>
    <w:r>
      <w:fldChar w:fldCharType="begin"/>
    </w:r>
    <w:r>
      <w:instrText xml:space="preserve"> PAGE  \* MERGEFORMAT </w:instrText>
    </w:r>
    <w:r>
      <w:fldChar w:fldCharType="separate"/>
    </w:r>
    <w: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9063C">
    <w:pPr>
      <w:pStyle w:val="10"/>
      <w:ind w:left="9540" w:hanging="9540" w:hangingChars="5300"/>
      <w:jc w:val="both"/>
      <w:rPr>
        <w:rStyle w:val="18"/>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D9427D4">
                <w:pPr>
                  <w:pStyle w:val="10"/>
                  <w:ind w:left="9540" w:hanging="9540" w:hangingChars="5300"/>
                  <w:jc w:val="both"/>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04E5">
    <w:pPr>
      <w:pStyle w:val="22"/>
      <w:ind w:right="360" w:firstLine="360"/>
      <w:rPr>
        <w:rStyle w:val="18"/>
      </w:rPr>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CE04A36">
                <w:pPr>
                  <w:pStyle w:val="10"/>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23E52393"/>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1326F">
    <w:pPr>
      <w:pStyle w:val="24"/>
      <w:spacing w:before="640" w:after="0"/>
    </w:pPr>
    <w:r>
      <w:t>GB/T</w:t>
    </w:r>
    <w:r>
      <w:rPr>
        <w:rFonts w:hint="eastAsia"/>
      </w:rPr>
      <w:t>7160</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E7C7">
    <w:pPr>
      <w:pStyle w:val="24"/>
      <w:spacing w:before="640" w:after="0"/>
    </w:pPr>
    <w:r>
      <w:rPr>
        <w:b/>
      </w:rPr>
      <w:t>GB/T</w:t>
    </w:r>
    <w:r>
      <w:rPr>
        <w:rFonts w:hint="eastAsia" w:ascii="黑体" w:hAnsi="黑体" w:eastAsia="黑体"/>
      </w:rPr>
      <w:t xml:space="preserve"> 7160</w:t>
    </w:r>
    <w:r>
      <w:rPr>
        <w:rFonts w:ascii="黑体" w:hAnsi="黑体" w:eastAsia="黑体"/>
      </w:rPr>
      <w:t>—</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CC9C">
    <w:pPr>
      <w:pStyle w:val="24"/>
    </w:pPr>
  </w:p>
  <w:p w14:paraId="1F2B5208">
    <w:pPr>
      <w:pStyle w:val="2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C47F">
    <w:pPr>
      <w:pStyle w:val="11"/>
      <w:pBdr>
        <w:top w:val="none" w:color="auto" w:sz="0" w:space="0"/>
        <w:left w:val="none" w:color="auto" w:sz="0" w:space="0"/>
        <w:bottom w:val="none" w:color="auto" w:sz="0" w:space="1"/>
        <w:right w:val="none" w:color="auto" w:sz="0" w:space="0"/>
        <w:between w:val="none" w:color="auto" w:sz="0" w:space="0"/>
      </w:pBdr>
      <w:jc w:val="right"/>
    </w:pPr>
    <w:r>
      <w:rPr>
        <w:rFonts w:hint="eastAsia" w:ascii="黑体" w:hAnsi="黑体" w:eastAsia="黑体" w:cs="黑体"/>
        <w:sz w:val="21"/>
        <w:szCs w:val="21"/>
        <w:lang w:val="en-US" w:eastAsia="zh-CN"/>
      </w:rPr>
      <w:t>T/CNIA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9684">
    <w:pPr>
      <w:pStyle w:val="11"/>
      <w:pBdr>
        <w:top w:val="none" w:color="auto" w:sz="0" w:space="0"/>
        <w:left w:val="none" w:color="auto" w:sz="0" w:space="0"/>
        <w:bottom w:val="none" w:color="auto" w:sz="0" w:space="1"/>
        <w:right w:val="none" w:color="auto" w:sz="0" w:space="0"/>
        <w:between w:val="none" w:color="auto" w:sz="0" w:space="0"/>
      </w:pBdr>
    </w:pPr>
    <w:r>
      <w:rPr>
        <w:rFonts w:hint="eastAsia" w:ascii="黑体" w:hAnsi="黑体" w:eastAsia="黑体" w:cs="黑体"/>
        <w:lang w:val="en-US" w:eastAsia="zh-CN"/>
      </w:rPr>
      <w:t xml:space="preserve">                                                                                </w:t>
    </w:r>
    <w:r>
      <w:rPr>
        <w:rFonts w:hint="eastAsia" w:ascii="黑体" w:hAnsi="黑体" w:eastAsia="黑体" w:cs="黑体"/>
        <w:sz w:val="21"/>
        <w:szCs w:val="21"/>
        <w:lang w:val="en-US" w:eastAsia="zh-CN"/>
      </w:rPr>
      <w:t xml:space="preserve"> T/CNIA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A045">
    <w:pPr>
      <w:pStyle w:val="24"/>
      <w:tabs>
        <w:tab w:val="left" w:pos="3817"/>
        <w:tab w:val="center" w:pos="4737"/>
      </w:tabs>
      <w:spacing w:before="640" w:after="520"/>
      <w:jc w:val="left"/>
      <w:rPr>
        <w:sz w:val="18"/>
        <w:szCs w:val="18"/>
      </w:rPr>
    </w:pPr>
    <w:r>
      <w:rPr>
        <w:rFonts w:hint="eastAsia" w:ascii="黑体" w:hAnsi="黑体" w:eastAsia="黑体" w:cs="黑体"/>
        <w:sz w:val="21"/>
        <w:szCs w:val="21"/>
        <w:lang w:val="en-US" w:eastAsia="zh-CN"/>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none"/>
      <w:pStyle w:val="27"/>
      <w:suff w:val="nothing"/>
      <w:lvlText w:val="%1"/>
      <w:lvlJc w:val="left"/>
      <w:pPr>
        <w:ind w:left="0" w:firstLine="0"/>
      </w:pPr>
      <w:rPr>
        <w:rFonts w:hint="default" w:ascii="Times New Roman" w:hAnsi="Times New Roman"/>
        <w:b/>
        <w:i w:val="0"/>
        <w:sz w:val="21"/>
      </w:rPr>
    </w:lvl>
    <w:lvl w:ilvl="1" w:tentative="0">
      <w:start w:val="1"/>
      <w:numFmt w:val="decimal"/>
      <w:pStyle w:val="3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xMTE0ZjQ3NTVkMDY2MzUwZmQ5YTgyN2QyNWUyNmEifQ=="/>
  </w:docVars>
  <w:rsids>
    <w:rsidRoot w:val="00A1554F"/>
    <w:rsid w:val="00005BCE"/>
    <w:rsid w:val="0000743F"/>
    <w:rsid w:val="00012CF0"/>
    <w:rsid w:val="00026E37"/>
    <w:rsid w:val="000372C5"/>
    <w:rsid w:val="00050B7C"/>
    <w:rsid w:val="0005160F"/>
    <w:rsid w:val="00055078"/>
    <w:rsid w:val="00075E14"/>
    <w:rsid w:val="00093855"/>
    <w:rsid w:val="000C2001"/>
    <w:rsid w:val="000C5CC6"/>
    <w:rsid w:val="000D4245"/>
    <w:rsid w:val="000E4919"/>
    <w:rsid w:val="001127A2"/>
    <w:rsid w:val="00132415"/>
    <w:rsid w:val="001534D3"/>
    <w:rsid w:val="001668CE"/>
    <w:rsid w:val="001802A8"/>
    <w:rsid w:val="001B7EF0"/>
    <w:rsid w:val="001C090F"/>
    <w:rsid w:val="001E2AD8"/>
    <w:rsid w:val="0020336A"/>
    <w:rsid w:val="00211D6A"/>
    <w:rsid w:val="00213326"/>
    <w:rsid w:val="00215A0E"/>
    <w:rsid w:val="00243171"/>
    <w:rsid w:val="00244A0E"/>
    <w:rsid w:val="0024589C"/>
    <w:rsid w:val="00255F20"/>
    <w:rsid w:val="002614E5"/>
    <w:rsid w:val="00272B6C"/>
    <w:rsid w:val="002A0DAA"/>
    <w:rsid w:val="002A56B9"/>
    <w:rsid w:val="002A702A"/>
    <w:rsid w:val="002B70A3"/>
    <w:rsid w:val="002E3308"/>
    <w:rsid w:val="002E33C9"/>
    <w:rsid w:val="002E43DF"/>
    <w:rsid w:val="002F166F"/>
    <w:rsid w:val="00316551"/>
    <w:rsid w:val="00357BAF"/>
    <w:rsid w:val="00386407"/>
    <w:rsid w:val="00397FE2"/>
    <w:rsid w:val="003A4C23"/>
    <w:rsid w:val="003A56D3"/>
    <w:rsid w:val="003B5867"/>
    <w:rsid w:val="003B6179"/>
    <w:rsid w:val="003C0EA4"/>
    <w:rsid w:val="003C597A"/>
    <w:rsid w:val="003D5672"/>
    <w:rsid w:val="003D62BF"/>
    <w:rsid w:val="003E37B5"/>
    <w:rsid w:val="003E4BF0"/>
    <w:rsid w:val="003E58B0"/>
    <w:rsid w:val="003E602C"/>
    <w:rsid w:val="003F4390"/>
    <w:rsid w:val="003F747E"/>
    <w:rsid w:val="00400DF0"/>
    <w:rsid w:val="00413A00"/>
    <w:rsid w:val="00443318"/>
    <w:rsid w:val="00465FD2"/>
    <w:rsid w:val="00470F44"/>
    <w:rsid w:val="00471515"/>
    <w:rsid w:val="004907E4"/>
    <w:rsid w:val="00490807"/>
    <w:rsid w:val="004911B6"/>
    <w:rsid w:val="004A46CC"/>
    <w:rsid w:val="004B5912"/>
    <w:rsid w:val="004C1521"/>
    <w:rsid w:val="004D4476"/>
    <w:rsid w:val="004D6BAD"/>
    <w:rsid w:val="00513AA9"/>
    <w:rsid w:val="00522EA1"/>
    <w:rsid w:val="00523D88"/>
    <w:rsid w:val="00530977"/>
    <w:rsid w:val="00554B4F"/>
    <w:rsid w:val="00564406"/>
    <w:rsid w:val="00564EC9"/>
    <w:rsid w:val="00570444"/>
    <w:rsid w:val="005B0F0D"/>
    <w:rsid w:val="005B1E6A"/>
    <w:rsid w:val="005C4B23"/>
    <w:rsid w:val="00621A39"/>
    <w:rsid w:val="006273A3"/>
    <w:rsid w:val="00652FD1"/>
    <w:rsid w:val="00662473"/>
    <w:rsid w:val="00676A0D"/>
    <w:rsid w:val="00684960"/>
    <w:rsid w:val="0068740D"/>
    <w:rsid w:val="006B108B"/>
    <w:rsid w:val="006B2B78"/>
    <w:rsid w:val="006B6CA8"/>
    <w:rsid w:val="006C31C4"/>
    <w:rsid w:val="006F3953"/>
    <w:rsid w:val="006F6F29"/>
    <w:rsid w:val="00753F11"/>
    <w:rsid w:val="00754723"/>
    <w:rsid w:val="0076654F"/>
    <w:rsid w:val="00770CDD"/>
    <w:rsid w:val="00776F15"/>
    <w:rsid w:val="0079028A"/>
    <w:rsid w:val="00795B7D"/>
    <w:rsid w:val="007A16D1"/>
    <w:rsid w:val="007B7B18"/>
    <w:rsid w:val="007C79DF"/>
    <w:rsid w:val="007D377A"/>
    <w:rsid w:val="007D4161"/>
    <w:rsid w:val="007D579B"/>
    <w:rsid w:val="007E7A07"/>
    <w:rsid w:val="008107CE"/>
    <w:rsid w:val="0081142A"/>
    <w:rsid w:val="00812D7B"/>
    <w:rsid w:val="00813D52"/>
    <w:rsid w:val="00840B25"/>
    <w:rsid w:val="0084142F"/>
    <w:rsid w:val="008505E7"/>
    <w:rsid w:val="0085087A"/>
    <w:rsid w:val="008938A5"/>
    <w:rsid w:val="00896417"/>
    <w:rsid w:val="008B7487"/>
    <w:rsid w:val="008C1C23"/>
    <w:rsid w:val="008C44DF"/>
    <w:rsid w:val="00924206"/>
    <w:rsid w:val="00955044"/>
    <w:rsid w:val="00966F36"/>
    <w:rsid w:val="0097419F"/>
    <w:rsid w:val="00975C1C"/>
    <w:rsid w:val="0099258C"/>
    <w:rsid w:val="00996BD9"/>
    <w:rsid w:val="0099704C"/>
    <w:rsid w:val="00997A02"/>
    <w:rsid w:val="009A1E39"/>
    <w:rsid w:val="009B43AA"/>
    <w:rsid w:val="009B57F0"/>
    <w:rsid w:val="009C1698"/>
    <w:rsid w:val="009C36C5"/>
    <w:rsid w:val="009C51B8"/>
    <w:rsid w:val="009D200C"/>
    <w:rsid w:val="009D47B9"/>
    <w:rsid w:val="009D6E2A"/>
    <w:rsid w:val="009F58A0"/>
    <w:rsid w:val="009F5BE8"/>
    <w:rsid w:val="00A0732E"/>
    <w:rsid w:val="00A1009F"/>
    <w:rsid w:val="00A13DBB"/>
    <w:rsid w:val="00A1554F"/>
    <w:rsid w:val="00A3032D"/>
    <w:rsid w:val="00A3247A"/>
    <w:rsid w:val="00A46FB7"/>
    <w:rsid w:val="00A73710"/>
    <w:rsid w:val="00A9087F"/>
    <w:rsid w:val="00AA371F"/>
    <w:rsid w:val="00AB7F27"/>
    <w:rsid w:val="00B04749"/>
    <w:rsid w:val="00B047BA"/>
    <w:rsid w:val="00B16346"/>
    <w:rsid w:val="00B22D53"/>
    <w:rsid w:val="00B25AFC"/>
    <w:rsid w:val="00B27815"/>
    <w:rsid w:val="00B27E8B"/>
    <w:rsid w:val="00B34F10"/>
    <w:rsid w:val="00B75C8C"/>
    <w:rsid w:val="00B7646D"/>
    <w:rsid w:val="00B7687A"/>
    <w:rsid w:val="00B77DFF"/>
    <w:rsid w:val="00B94F1D"/>
    <w:rsid w:val="00BC2ACE"/>
    <w:rsid w:val="00BC5BFF"/>
    <w:rsid w:val="00BE1468"/>
    <w:rsid w:val="00BE5237"/>
    <w:rsid w:val="00BF06F5"/>
    <w:rsid w:val="00BF5B65"/>
    <w:rsid w:val="00BF71D6"/>
    <w:rsid w:val="00C123FA"/>
    <w:rsid w:val="00C12D8C"/>
    <w:rsid w:val="00C13BB5"/>
    <w:rsid w:val="00C220A7"/>
    <w:rsid w:val="00C4179D"/>
    <w:rsid w:val="00C60375"/>
    <w:rsid w:val="00C75D82"/>
    <w:rsid w:val="00C90C74"/>
    <w:rsid w:val="00C9361B"/>
    <w:rsid w:val="00C95BE4"/>
    <w:rsid w:val="00CB4E7F"/>
    <w:rsid w:val="00CB57E7"/>
    <w:rsid w:val="00CC4EC5"/>
    <w:rsid w:val="00CC5699"/>
    <w:rsid w:val="00CD1B1E"/>
    <w:rsid w:val="00CD6221"/>
    <w:rsid w:val="00CE4F63"/>
    <w:rsid w:val="00D20F01"/>
    <w:rsid w:val="00D33363"/>
    <w:rsid w:val="00D43AB1"/>
    <w:rsid w:val="00D6021E"/>
    <w:rsid w:val="00D64B1F"/>
    <w:rsid w:val="00D77B20"/>
    <w:rsid w:val="00D976A2"/>
    <w:rsid w:val="00DB0289"/>
    <w:rsid w:val="00DD5BFE"/>
    <w:rsid w:val="00DD5D48"/>
    <w:rsid w:val="00DE272E"/>
    <w:rsid w:val="00DF295F"/>
    <w:rsid w:val="00DF3887"/>
    <w:rsid w:val="00DF73D8"/>
    <w:rsid w:val="00E00A3F"/>
    <w:rsid w:val="00E05BA9"/>
    <w:rsid w:val="00E16612"/>
    <w:rsid w:val="00E17D26"/>
    <w:rsid w:val="00E2474E"/>
    <w:rsid w:val="00E26609"/>
    <w:rsid w:val="00E37E1A"/>
    <w:rsid w:val="00E451CA"/>
    <w:rsid w:val="00E459E4"/>
    <w:rsid w:val="00E60272"/>
    <w:rsid w:val="00E65115"/>
    <w:rsid w:val="00EA0B46"/>
    <w:rsid w:val="00EA4EAC"/>
    <w:rsid w:val="00EC34A5"/>
    <w:rsid w:val="00ED73DC"/>
    <w:rsid w:val="00EE778F"/>
    <w:rsid w:val="00F055FD"/>
    <w:rsid w:val="00F53CBC"/>
    <w:rsid w:val="00F70365"/>
    <w:rsid w:val="00F74A66"/>
    <w:rsid w:val="00FA5304"/>
    <w:rsid w:val="00FB5235"/>
    <w:rsid w:val="00FC19A9"/>
    <w:rsid w:val="00FC3B2D"/>
    <w:rsid w:val="00FC43F9"/>
    <w:rsid w:val="00FC495B"/>
    <w:rsid w:val="00FD072C"/>
    <w:rsid w:val="00FD7E54"/>
    <w:rsid w:val="00FE7973"/>
    <w:rsid w:val="01F6413A"/>
    <w:rsid w:val="027A3567"/>
    <w:rsid w:val="02FF7A7B"/>
    <w:rsid w:val="068762D2"/>
    <w:rsid w:val="08A27337"/>
    <w:rsid w:val="0B533667"/>
    <w:rsid w:val="0CE00A95"/>
    <w:rsid w:val="0E455CF9"/>
    <w:rsid w:val="0F0373B1"/>
    <w:rsid w:val="0FF65EAA"/>
    <w:rsid w:val="10081CEE"/>
    <w:rsid w:val="1025078D"/>
    <w:rsid w:val="12224D50"/>
    <w:rsid w:val="13D60011"/>
    <w:rsid w:val="14386639"/>
    <w:rsid w:val="15065D8D"/>
    <w:rsid w:val="151059A5"/>
    <w:rsid w:val="17681C4F"/>
    <w:rsid w:val="17ED2B4F"/>
    <w:rsid w:val="19042D9A"/>
    <w:rsid w:val="195E3FE3"/>
    <w:rsid w:val="1A111C52"/>
    <w:rsid w:val="1A237139"/>
    <w:rsid w:val="1B776F9B"/>
    <w:rsid w:val="1B8439CA"/>
    <w:rsid w:val="1B977D90"/>
    <w:rsid w:val="1BCD6167"/>
    <w:rsid w:val="1CC8164D"/>
    <w:rsid w:val="1D012325"/>
    <w:rsid w:val="1E424262"/>
    <w:rsid w:val="1E6C1DA5"/>
    <w:rsid w:val="1EA700D7"/>
    <w:rsid w:val="1EB36F58"/>
    <w:rsid w:val="1F4D1EEA"/>
    <w:rsid w:val="230F0271"/>
    <w:rsid w:val="23A7361D"/>
    <w:rsid w:val="2422161D"/>
    <w:rsid w:val="262417A6"/>
    <w:rsid w:val="26CF203B"/>
    <w:rsid w:val="27660C73"/>
    <w:rsid w:val="288F0A8A"/>
    <w:rsid w:val="2ABC2559"/>
    <w:rsid w:val="2B15508B"/>
    <w:rsid w:val="2B3247EE"/>
    <w:rsid w:val="2B455A0D"/>
    <w:rsid w:val="2E6B2BD5"/>
    <w:rsid w:val="2E8851BA"/>
    <w:rsid w:val="2ED8336B"/>
    <w:rsid w:val="304F6DD1"/>
    <w:rsid w:val="30F40505"/>
    <w:rsid w:val="312F34BF"/>
    <w:rsid w:val="35607A21"/>
    <w:rsid w:val="363864B1"/>
    <w:rsid w:val="36FF081F"/>
    <w:rsid w:val="38702BA7"/>
    <w:rsid w:val="3A51309F"/>
    <w:rsid w:val="3BE13253"/>
    <w:rsid w:val="3D351B7B"/>
    <w:rsid w:val="3D415961"/>
    <w:rsid w:val="3E5E189B"/>
    <w:rsid w:val="400F75CF"/>
    <w:rsid w:val="405465FA"/>
    <w:rsid w:val="41BC57E8"/>
    <w:rsid w:val="452E518F"/>
    <w:rsid w:val="45B11EE5"/>
    <w:rsid w:val="467D37BD"/>
    <w:rsid w:val="46F651B2"/>
    <w:rsid w:val="47AF19AB"/>
    <w:rsid w:val="48592E98"/>
    <w:rsid w:val="486017CE"/>
    <w:rsid w:val="4A0759A1"/>
    <w:rsid w:val="4CE85823"/>
    <w:rsid w:val="4E6920B3"/>
    <w:rsid w:val="4F46459E"/>
    <w:rsid w:val="500B5B5C"/>
    <w:rsid w:val="5070025C"/>
    <w:rsid w:val="51E44568"/>
    <w:rsid w:val="546D3F92"/>
    <w:rsid w:val="5640237D"/>
    <w:rsid w:val="566F05EE"/>
    <w:rsid w:val="58B92086"/>
    <w:rsid w:val="58BA1767"/>
    <w:rsid w:val="59032417"/>
    <w:rsid w:val="59854F6F"/>
    <w:rsid w:val="59957788"/>
    <w:rsid w:val="599C4B94"/>
    <w:rsid w:val="5A600155"/>
    <w:rsid w:val="5BEE05B8"/>
    <w:rsid w:val="5CD22158"/>
    <w:rsid w:val="5D790E28"/>
    <w:rsid w:val="5D794C8F"/>
    <w:rsid w:val="5DA256DB"/>
    <w:rsid w:val="5E275DFA"/>
    <w:rsid w:val="5FC30824"/>
    <w:rsid w:val="624258F8"/>
    <w:rsid w:val="626052F2"/>
    <w:rsid w:val="685B6233"/>
    <w:rsid w:val="69AF1771"/>
    <w:rsid w:val="6ACF764A"/>
    <w:rsid w:val="6BD540B7"/>
    <w:rsid w:val="6C606935"/>
    <w:rsid w:val="6D3A03D4"/>
    <w:rsid w:val="6DC80B9F"/>
    <w:rsid w:val="6E1F57B8"/>
    <w:rsid w:val="6E3030D4"/>
    <w:rsid w:val="6EFE4E26"/>
    <w:rsid w:val="6FD93890"/>
    <w:rsid w:val="74C861D0"/>
    <w:rsid w:val="75E51694"/>
    <w:rsid w:val="760F2F87"/>
    <w:rsid w:val="77360CF8"/>
    <w:rsid w:val="777C3F16"/>
    <w:rsid w:val="7AB236D8"/>
    <w:rsid w:val="7C2D3A90"/>
    <w:rsid w:val="7CED0260"/>
    <w:rsid w:val="7DDF2AFA"/>
    <w:rsid w:val="7EBA5812"/>
    <w:rsid w:val="7F400A98"/>
    <w:rsid w:val="7FBA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annotation text"/>
    <w:basedOn w:val="1"/>
    <w:link w:val="53"/>
    <w:qFormat/>
    <w:uiPriority w:val="0"/>
    <w:pPr>
      <w:jc w:val="left"/>
    </w:pPr>
  </w:style>
  <w:style w:type="paragraph" w:styleId="5">
    <w:name w:val="Body Text Indent"/>
    <w:basedOn w:val="1"/>
    <w:qFormat/>
    <w:uiPriority w:val="0"/>
    <w:pPr>
      <w:widowControl/>
      <w:spacing w:line="440" w:lineRule="exact"/>
      <w:ind w:firstLine="658"/>
    </w:pPr>
    <w:rPr>
      <w:rFonts w:ascii="宋体"/>
      <w:kern w:val="0"/>
      <w:szCs w:val="20"/>
    </w:rPr>
  </w:style>
  <w:style w:type="paragraph" w:styleId="6">
    <w:name w:val="toc 3"/>
    <w:basedOn w:val="1"/>
    <w:next w:val="1"/>
    <w:autoRedefine/>
    <w:qFormat/>
    <w:uiPriority w:val="0"/>
    <w:pPr>
      <w:ind w:left="840" w:leftChars="400"/>
    </w:pPr>
  </w:style>
  <w:style w:type="paragraph" w:styleId="7">
    <w:name w:val="Plain Text"/>
    <w:basedOn w:val="1"/>
    <w:autoRedefine/>
    <w:qFormat/>
    <w:uiPriority w:val="0"/>
    <w:rPr>
      <w:rFonts w:hint="eastAsia" w:ascii="宋体" w:hAnsi="Courier New" w:cs="Courier New"/>
      <w:szCs w:val="21"/>
    </w:rPr>
  </w:style>
  <w:style w:type="paragraph" w:styleId="8">
    <w:name w:val="Date"/>
    <w:basedOn w:val="1"/>
    <w:next w:val="1"/>
    <w:link w:val="61"/>
    <w:autoRedefine/>
    <w:semiHidden/>
    <w:unhideWhenUsed/>
    <w:qFormat/>
    <w:uiPriority w:val="99"/>
    <w:pPr>
      <w:ind w:left="100" w:leftChars="2500"/>
    </w:pPr>
  </w:style>
  <w:style w:type="paragraph" w:styleId="9">
    <w:name w:val="Balloon Text"/>
    <w:basedOn w:val="1"/>
    <w:autoRedefine/>
    <w:qFormat/>
    <w:uiPriority w:val="0"/>
    <w:rPr>
      <w:sz w:val="18"/>
      <w:szCs w:val="18"/>
    </w:rPr>
  </w:style>
  <w:style w:type="paragraph" w:styleId="10">
    <w:name w:val="footer"/>
    <w:basedOn w:val="1"/>
    <w:qFormat/>
    <w:uiPriority w:val="0"/>
    <w:pPr>
      <w:tabs>
        <w:tab w:val="center" w:pos="4153"/>
        <w:tab w:val="right" w:pos="8306"/>
      </w:tabs>
      <w:snapToGrid w:val="0"/>
      <w:ind w:right="210" w:rightChars="100"/>
      <w:jc w:val="righ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next w:val="1"/>
    <w:autoRedefine/>
    <w:qFormat/>
    <w:uiPriority w:val="0"/>
    <w:pPr>
      <w:jc w:val="both"/>
    </w:pPr>
    <w:rPr>
      <w:rFonts w:ascii="宋体" w:hAnsi="Times New Roman" w:eastAsia="宋体" w:cs="Times New Roman"/>
      <w:sz w:val="21"/>
      <w:lang w:val="en-US" w:eastAsia="zh-CN" w:bidi="ar-SA"/>
    </w:rPr>
  </w:style>
  <w:style w:type="paragraph" w:styleId="13">
    <w:name w:val="toc 4"/>
    <w:basedOn w:val="6"/>
    <w:next w:val="1"/>
    <w:autoRedefine/>
    <w:qFormat/>
    <w:uiPriority w:val="0"/>
    <w:pPr>
      <w:widowControl/>
      <w:ind w:left="0" w:leftChars="0"/>
    </w:pPr>
    <w:rPr>
      <w:rFonts w:ascii="宋体"/>
      <w:kern w:val="0"/>
      <w:szCs w:val="20"/>
    </w:rPr>
  </w:style>
  <w:style w:type="paragraph" w:styleId="14">
    <w:name w:val="annotation subject"/>
    <w:basedOn w:val="4"/>
    <w:next w:val="4"/>
    <w:link w:val="54"/>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autoRedefine/>
    <w:qFormat/>
    <w:uiPriority w:val="0"/>
    <w:rPr>
      <w:rFonts w:ascii="Times New Roman" w:hAnsi="Times New Roman" w:eastAsia="宋体"/>
      <w:sz w:val="18"/>
    </w:rPr>
  </w:style>
  <w:style w:type="character" w:styleId="19">
    <w:name w:val="Hyperlink"/>
    <w:autoRedefine/>
    <w:qFormat/>
    <w:uiPriority w:val="0"/>
    <w:rPr>
      <w:color w:val="0000FF"/>
      <w:u w:val="single"/>
    </w:rPr>
  </w:style>
  <w:style w:type="character" w:styleId="20">
    <w:name w:val="annotation reference"/>
    <w:basedOn w:val="17"/>
    <w:autoRedefine/>
    <w:qFormat/>
    <w:uiPriority w:val="0"/>
    <w:rPr>
      <w:sz w:val="21"/>
      <w:szCs w:val="21"/>
    </w:rPr>
  </w:style>
  <w:style w:type="paragraph" w:customStyle="1" w:styleId="2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标准书眉_偶数页"/>
    <w:basedOn w:val="24"/>
    <w:next w:val="1"/>
    <w:autoRedefine/>
    <w:qFormat/>
    <w:uiPriority w:val="0"/>
    <w:pPr>
      <w:jc w:val="left"/>
    </w:pPr>
  </w:style>
  <w:style w:type="paragraph" w:customStyle="1" w:styleId="26">
    <w:name w:val="标准书眉一"/>
    <w:autoRedefine/>
    <w:qFormat/>
    <w:uiPriority w:val="0"/>
    <w:pPr>
      <w:jc w:val="both"/>
    </w:pPr>
    <w:rPr>
      <w:rFonts w:ascii="Times New Roman" w:hAnsi="Times New Roman" w:eastAsia="宋体" w:cs="Times New Roman"/>
      <w:lang w:val="en-US" w:eastAsia="zh-CN" w:bidi="ar-SA"/>
    </w:rPr>
  </w:style>
  <w:style w:type="paragraph" w:customStyle="1" w:styleId="27">
    <w:name w:val="前言、引言标题"/>
    <w:next w:val="28"/>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段"/>
    <w:link w:val="5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_Style 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章标题"/>
    <w:next w:val="28"/>
    <w:autoRedefine/>
    <w:qFormat/>
    <w:uiPriority w:val="0"/>
    <w:pPr>
      <w:numPr>
        <w:ilvl w:val="1"/>
        <w:numId w:val="1"/>
      </w:numPr>
      <w:spacing w:before="50" w:after="50"/>
      <w:jc w:val="both"/>
      <w:outlineLvl w:val="1"/>
    </w:pPr>
    <w:rPr>
      <w:rFonts w:ascii="黑体" w:hAnsi="Times New Roman" w:eastAsia="黑体" w:cs="Times New Roman"/>
      <w:sz w:val="21"/>
      <w:lang w:val="en-US" w:eastAsia="zh-CN" w:bidi="ar-SA"/>
    </w:rPr>
  </w:style>
  <w:style w:type="paragraph" w:customStyle="1" w:styleId="31">
    <w:name w:val="一级条标题"/>
    <w:basedOn w:val="30"/>
    <w:next w:val="28"/>
    <w:autoRedefine/>
    <w:qFormat/>
    <w:uiPriority w:val="0"/>
    <w:pPr>
      <w:numPr>
        <w:ilvl w:val="2"/>
        <w:numId w:val="0"/>
      </w:numPr>
      <w:spacing w:before="0" w:after="0"/>
      <w:outlineLvl w:val="2"/>
    </w:pPr>
  </w:style>
  <w:style w:type="paragraph" w:customStyle="1" w:styleId="32">
    <w:name w:val="二级条标题"/>
    <w:basedOn w:val="31"/>
    <w:next w:val="28"/>
    <w:autoRedefine/>
    <w:qFormat/>
    <w:uiPriority w:val="0"/>
    <w:pPr>
      <w:numPr>
        <w:ilvl w:val="3"/>
      </w:numPr>
      <w:outlineLvl w:val="3"/>
    </w:pPr>
  </w:style>
  <w:style w:type="character" w:customStyle="1" w:styleId="33">
    <w:name w:val="发布"/>
    <w:autoRedefine/>
    <w:qFormat/>
    <w:uiPriority w:val="0"/>
    <w:rPr>
      <w:rFonts w:ascii="黑体" w:eastAsia="黑体"/>
      <w:spacing w:val="22"/>
      <w:w w:val="100"/>
      <w:position w:val="3"/>
      <w:sz w:val="28"/>
    </w:rPr>
  </w:style>
  <w:style w:type="paragraph" w:customStyle="1" w:styleId="34">
    <w:name w:val="发布部门"/>
    <w:next w:val="2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0">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
    <w:name w:val="封面正文"/>
    <w:autoRedefine/>
    <w:qFormat/>
    <w:uiPriority w:val="0"/>
    <w:pPr>
      <w:jc w:val="both"/>
    </w:pPr>
    <w:rPr>
      <w:rFonts w:ascii="Times New Roman" w:hAnsi="Times New Roman" w:eastAsia="宋体" w:cs="Times New Roman"/>
      <w:lang w:val="en-US" w:eastAsia="zh-CN" w:bidi="ar-SA"/>
    </w:rPr>
  </w:style>
  <w:style w:type="paragraph" w:customStyle="1" w:styleId="43">
    <w:name w:val="目次、标准名称标题"/>
    <w:basedOn w:val="27"/>
    <w:next w:val="28"/>
    <w:autoRedefine/>
    <w:qFormat/>
    <w:uiPriority w:val="0"/>
    <w:pPr>
      <w:numPr>
        <w:numId w:val="0"/>
      </w:numPr>
      <w:spacing w:line="460" w:lineRule="exact"/>
    </w:pPr>
  </w:style>
  <w:style w:type="paragraph" w:customStyle="1" w:styleId="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
    <w:name w:val="三级条标题"/>
    <w:basedOn w:val="32"/>
    <w:next w:val="28"/>
    <w:autoRedefine/>
    <w:qFormat/>
    <w:uiPriority w:val="0"/>
    <w:pPr>
      <w:numPr>
        <w:ilvl w:val="4"/>
      </w:numPr>
      <w:outlineLvl w:val="4"/>
    </w:pPr>
  </w:style>
  <w:style w:type="paragraph" w:customStyle="1" w:styleId="46">
    <w:name w:val="实施日期"/>
    <w:basedOn w:val="35"/>
    <w:autoRedefine/>
    <w:qFormat/>
    <w:uiPriority w:val="0"/>
    <w:pPr>
      <w:framePr w:hSpace="0" w:wrap="around" w:xAlign="right"/>
      <w:jc w:val="right"/>
    </w:pPr>
  </w:style>
  <w:style w:type="paragraph" w:customStyle="1" w:styleId="47">
    <w:name w:val="四级条标题"/>
    <w:basedOn w:val="45"/>
    <w:next w:val="28"/>
    <w:autoRedefine/>
    <w:qFormat/>
    <w:uiPriority w:val="0"/>
    <w:pPr>
      <w:numPr>
        <w:ilvl w:val="5"/>
      </w:numPr>
      <w:outlineLvl w:val="5"/>
    </w:pPr>
  </w:style>
  <w:style w:type="paragraph" w:customStyle="1" w:styleId="4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9">
    <w:name w:val="五级条标题"/>
    <w:basedOn w:val="47"/>
    <w:next w:val="28"/>
    <w:autoRedefine/>
    <w:qFormat/>
    <w:uiPriority w:val="0"/>
    <w:pPr>
      <w:numPr>
        <w:ilvl w:val="6"/>
      </w:numPr>
      <w:outlineLvl w:val="6"/>
    </w:pPr>
  </w:style>
  <w:style w:type="paragraph" w:customStyle="1" w:styleId="50">
    <w:name w:val="_Style 4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小节标题"/>
    <w:basedOn w:val="1"/>
    <w:autoRedefine/>
    <w:qFormat/>
    <w:uiPriority w:val="0"/>
    <w:pPr>
      <w:tabs>
        <w:tab w:val="left" w:pos="396"/>
      </w:tabs>
      <w:snapToGrid w:val="0"/>
      <w:spacing w:line="440" w:lineRule="exact"/>
      <w:ind w:firstLine="420" w:firstLineChars="200"/>
    </w:pPr>
    <w:rPr>
      <w:rFonts w:ascii="宋体"/>
      <w:color w:val="000000"/>
      <w:szCs w:val="21"/>
      <w:u w:color="000000"/>
    </w:rPr>
  </w:style>
  <w:style w:type="paragraph" w:customStyle="1" w:styleId="52">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character" w:customStyle="1" w:styleId="53">
    <w:name w:val="批注文字 Char"/>
    <w:basedOn w:val="17"/>
    <w:link w:val="4"/>
    <w:autoRedefine/>
    <w:qFormat/>
    <w:uiPriority w:val="0"/>
    <w:rPr>
      <w:kern w:val="2"/>
      <w:sz w:val="21"/>
      <w:szCs w:val="24"/>
    </w:rPr>
  </w:style>
  <w:style w:type="character" w:customStyle="1" w:styleId="54">
    <w:name w:val="批注主题 Char"/>
    <w:basedOn w:val="53"/>
    <w:link w:val="14"/>
    <w:autoRedefine/>
    <w:qFormat/>
    <w:uiPriority w:val="0"/>
    <w:rPr>
      <w:b/>
      <w:bCs/>
      <w:kern w:val="2"/>
      <w:sz w:val="21"/>
      <w:szCs w:val="24"/>
    </w:rPr>
  </w:style>
  <w:style w:type="character" w:customStyle="1" w:styleId="55">
    <w:name w:val="段 Char"/>
    <w:basedOn w:val="17"/>
    <w:link w:val="28"/>
    <w:autoRedefine/>
    <w:qFormat/>
    <w:uiPriority w:val="0"/>
    <w:rPr>
      <w:rFonts w:ascii="宋体"/>
      <w:sz w:val="21"/>
    </w:rPr>
  </w:style>
  <w:style w:type="paragraph" w:customStyle="1" w:styleId="56">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7">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8">
    <w:name w:val="编号列项（三级）"/>
    <w:autoRedefine/>
    <w:qFormat/>
    <w:uiPriority w:val="0"/>
    <w:pPr>
      <w:numPr>
        <w:ilvl w:val="2"/>
        <w:numId w:val="2"/>
      </w:numPr>
    </w:pPr>
    <w:rPr>
      <w:rFonts w:ascii="宋体" w:hAnsi="Times New Roman" w:eastAsia="宋体" w:cs="Times New Roman"/>
      <w:sz w:val="21"/>
      <w:lang w:val="en-US" w:eastAsia="zh-CN" w:bidi="ar-SA"/>
    </w:rPr>
  </w:style>
  <w:style w:type="paragraph" w:customStyle="1" w:styleId="5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character" w:customStyle="1" w:styleId="61">
    <w:name w:val="日期 Char"/>
    <w:basedOn w:val="17"/>
    <w:link w:val="8"/>
    <w:autoRedefine/>
    <w:semiHidden/>
    <w:qFormat/>
    <w:uiPriority w:val="99"/>
    <w:rPr>
      <w:kern w:val="2"/>
      <w:sz w:val="21"/>
      <w:szCs w:val="24"/>
    </w:rPr>
  </w:style>
  <w:style w:type="paragraph" w:customStyle="1" w:styleId="62">
    <w:name w:val="封面文字"/>
    <w:autoRedefine/>
    <w:qFormat/>
    <w:uiPriority w:val="0"/>
    <w:pPr>
      <w:spacing w:before="320" w:after="320"/>
      <w:jc w:val="center"/>
    </w:pPr>
    <w:rPr>
      <w:rFonts w:ascii="Times New Roman" w:hAnsi="Times New Roman" w:eastAsia="宋体" w:cs="Times New Roman"/>
      <w:b/>
      <w:spacing w:val="80"/>
      <w:w w:val="150"/>
      <w:kern w:val="0"/>
      <w:sz w:val="48"/>
      <w:szCs w:val="20"/>
      <w:lang w:val="en-US" w:eastAsia="zh-CN" w:bidi="ar-SA"/>
    </w:rPr>
  </w:style>
  <w:style w:type="paragraph" w:customStyle="1" w:styleId="63">
    <w:name w:val="Default"/>
    <w:autoRedefine/>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正文标准"/>
    <w:basedOn w:val="1"/>
    <w:autoRedefine/>
    <w:qFormat/>
    <w:uiPriority w:val="0"/>
    <w:pPr>
      <w:spacing w:line="360" w:lineRule="exact"/>
      <w:ind w:left="0" w:leftChars="0" w:firstLine="200" w:firstLineChars="200"/>
    </w:pPr>
    <w:rPr>
      <w:rFonts w:cs="宋体"/>
      <w:szCs w:val="20"/>
    </w:rPr>
  </w:style>
  <w:style w:type="paragraph" w:customStyle="1" w:styleId="66">
    <w:name w:val="封面标准号2"/>
    <w:basedOn w:val="1"/>
    <w:autoRedefine/>
    <w:qFormat/>
    <w:uiPriority w:val="0"/>
    <w:pPr>
      <w:framePr w:w="9138" w:h="1244" w:hRule="exact" w:wrap="auto" w:vAnchor="page" w:hAnchor="margin" w:y="2908" w:anchorLock="1"/>
      <w:kinsoku w:val="0"/>
      <w:overflowPunct w:val="0"/>
      <w:autoSpaceDE w:val="0"/>
      <w:autoSpaceDN w:val="0"/>
      <w:adjustRightInd w:val="0"/>
      <w:spacing w:before="357" w:line="280" w:lineRule="exact"/>
      <w:ind w:left="0" w:leftChars="0"/>
      <w:jc w:val="right"/>
      <w:textAlignment w:val="center"/>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46"/>
    <customShpInfo spid="_x0000_s1032"/>
    <customShpInfo spid="_x0000_s1042"/>
    <customShpInfo spid="_x0000_s1041"/>
    <customShpInfo spid="_x0000_s1034"/>
    <customShpInfo spid="_x0000_s1037"/>
    <customShpInfo spid="_x0000_s1030"/>
    <customShpInfo spid="_x0000_s1029"/>
    <customShpInfo spid="_x0000_s1028"/>
    <customShpInfo spid="_x0000_s1045"/>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KJB</Company>
  <Pages>7</Pages>
  <Words>1702</Words>
  <Characters>1967</Characters>
  <Lines>12</Lines>
  <Paragraphs>3</Paragraphs>
  <TotalTime>1</TotalTime>
  <ScaleCrop>false</ScaleCrop>
  <LinksUpToDate>false</LinksUpToDate>
  <CharactersWithSpaces>2107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2024-03-31T11:39:00Z</dcterms:created>
  <dc:creator>zpz</dc:creator>
  <cp:lastModifiedBy>樊赣湘</cp:lastModifiedBy>
  <cp:lastPrinted>2016-10-17T09:48:00Z</cp:lastPrinted>
  <dcterms:modified xsi:type="dcterms:W3CDTF">2025-05-09T08:36:42Z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F3D2F9C9257D46438D5B95CCE2716E82</vt:lpwstr>
  </property>
  <property fmtid="{D5CDD505-2E9C-101B-9397-08002B2CF9AE}" pid="4" name="KSOTemplateDocerSaveRecord">
    <vt:lpwstr>eyJoZGlkIjoiMjJhNDg4MTAyZGQxZmY5OGVlZWQ5M2Y2NDY4MDBlMWMiLCJ1c2VySWQiOiIxNDkzNzg0NzAzIn0=</vt:lpwstr>
  </property>
</Properties>
</file>