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925C" w14:textId="77777777" w:rsidR="00C77399" w:rsidRDefault="00C77399">
      <w:pPr>
        <w:pStyle w:val="a5"/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Toc3598"/>
      <w:bookmarkStart w:id="1" w:name="_Toc21425"/>
    </w:p>
    <w:p w14:paraId="1E5D9C54" w14:textId="77777777" w:rsidR="00C77399" w:rsidRDefault="00C77399">
      <w:pPr>
        <w:pStyle w:val="a5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14:paraId="0843123E" w14:textId="77777777" w:rsidR="00C77399" w:rsidRDefault="00C77399">
      <w:pPr>
        <w:pStyle w:val="a5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14:paraId="101F9231" w14:textId="77777777" w:rsidR="00C77399" w:rsidRDefault="00000000">
      <w:pPr>
        <w:pStyle w:val="a5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/>
          <w:b/>
          <w:bCs/>
          <w:sz w:val="44"/>
          <w:szCs w:val="44"/>
        </w:rPr>
        <w:t>湿法冶金用防腐复合板</w:t>
      </w:r>
      <w:bookmarkEnd w:id="0"/>
      <w:bookmarkEnd w:id="1"/>
    </w:p>
    <w:p w14:paraId="26382816" w14:textId="77777777" w:rsidR="00C77399" w:rsidRDefault="00C77399">
      <w:pPr>
        <w:pStyle w:val="a5"/>
        <w:kinsoku w:val="0"/>
        <w:overflowPunct w:val="0"/>
        <w:jc w:val="center"/>
        <w:rPr>
          <w:rFonts w:ascii="黑体" w:eastAsia="黑体" w:cs="黑体" w:hint="default"/>
          <w:b/>
          <w:bCs/>
          <w:sz w:val="44"/>
          <w:szCs w:val="44"/>
        </w:rPr>
      </w:pPr>
    </w:p>
    <w:p w14:paraId="53669601" w14:textId="77777777" w:rsidR="00C77399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bookmarkStart w:id="2" w:name="_Toc9276"/>
      <w:bookmarkStart w:id="3" w:name="_Toc5350"/>
      <w:r>
        <w:rPr>
          <w:rFonts w:ascii="黑体" w:eastAsia="黑体" w:hAnsi="黑体" w:cs="黑体"/>
          <w:sz w:val="32"/>
          <w:szCs w:val="32"/>
        </w:rPr>
        <w:t>（预审稿）</w:t>
      </w:r>
      <w:bookmarkEnd w:id="2"/>
      <w:bookmarkEnd w:id="3"/>
    </w:p>
    <w:p w14:paraId="21957F2E" w14:textId="77777777" w:rsidR="00C77399" w:rsidRDefault="00C77399">
      <w:pPr>
        <w:pStyle w:val="a5"/>
        <w:kinsoku w:val="0"/>
        <w:overflowPunct w:val="0"/>
        <w:jc w:val="center"/>
        <w:rPr>
          <w:rFonts w:ascii="黑体" w:eastAsia="黑体" w:cs="黑体" w:hint="default"/>
          <w:b/>
          <w:bCs/>
          <w:sz w:val="44"/>
          <w:szCs w:val="44"/>
        </w:rPr>
      </w:pPr>
    </w:p>
    <w:p w14:paraId="7F3CC0E1" w14:textId="77777777" w:rsidR="00C77399" w:rsidRDefault="00000000">
      <w:pPr>
        <w:pStyle w:val="a5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编制说明</w:t>
      </w:r>
    </w:p>
    <w:p w14:paraId="58C06848" w14:textId="77777777" w:rsidR="00C77399" w:rsidRDefault="00C77399">
      <w:pPr>
        <w:pStyle w:val="4"/>
        <w:rPr>
          <w:rFonts w:hint="default"/>
        </w:rPr>
      </w:pPr>
    </w:p>
    <w:p w14:paraId="686D6566" w14:textId="77777777" w:rsidR="00C77399" w:rsidRDefault="00C77399">
      <w:pPr>
        <w:pStyle w:val="4"/>
        <w:rPr>
          <w:rFonts w:hint="default"/>
        </w:rPr>
      </w:pPr>
    </w:p>
    <w:p w14:paraId="47D7F2B0" w14:textId="77777777" w:rsidR="00C77399" w:rsidRDefault="00C77399">
      <w:pPr>
        <w:pStyle w:val="4"/>
        <w:rPr>
          <w:rFonts w:hint="default"/>
        </w:rPr>
      </w:pPr>
    </w:p>
    <w:p w14:paraId="428634B6" w14:textId="77777777" w:rsidR="00C77399" w:rsidRDefault="00C77399">
      <w:pPr>
        <w:pStyle w:val="4"/>
        <w:rPr>
          <w:rFonts w:hint="default"/>
        </w:rPr>
      </w:pPr>
    </w:p>
    <w:p w14:paraId="31A0FDBD" w14:textId="77777777" w:rsidR="00C77399" w:rsidRDefault="00C77399">
      <w:pPr>
        <w:pStyle w:val="4"/>
        <w:rPr>
          <w:rFonts w:hint="default"/>
        </w:rPr>
      </w:pPr>
    </w:p>
    <w:p w14:paraId="08330A6A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29233450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469AB68E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385A4917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7AB2D995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3A522E5A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7DC90B08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24B93808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70A743C6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5BDFFDF6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3B1EAA19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227051DB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4A01110E" w14:textId="77777777" w:rsidR="00C77399" w:rsidRDefault="00C77399">
      <w:pPr>
        <w:pStyle w:val="a5"/>
        <w:kinsoku w:val="0"/>
        <w:overflowPunct w:val="0"/>
        <w:rPr>
          <w:rFonts w:hint="default"/>
          <w:b/>
          <w:sz w:val="20"/>
          <w:szCs w:val="20"/>
        </w:rPr>
      </w:pPr>
    </w:p>
    <w:p w14:paraId="25F81F67" w14:textId="77777777" w:rsidR="00C77399" w:rsidRDefault="00C77399">
      <w:pPr>
        <w:pStyle w:val="a5"/>
        <w:rPr>
          <w:rFonts w:hint="default"/>
        </w:rPr>
      </w:pPr>
    </w:p>
    <w:p w14:paraId="3AD979AD" w14:textId="77777777" w:rsidR="00C77399" w:rsidRDefault="00000000">
      <w:pPr>
        <w:pStyle w:val="a5"/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bookmarkStart w:id="4" w:name="_Toc27615"/>
      <w:bookmarkStart w:id="5" w:name="_Toc8138"/>
      <w:r>
        <w:rPr>
          <w:rFonts w:ascii="黑体" w:eastAsia="黑体" w:hAnsi="黑体" w:cs="黑体"/>
          <w:sz w:val="28"/>
          <w:szCs w:val="28"/>
        </w:rPr>
        <w:t>《湿法冶金用防腐复合板团体标准制定》编制组</w:t>
      </w:r>
      <w:bookmarkEnd w:id="4"/>
      <w:bookmarkEnd w:id="5"/>
    </w:p>
    <w:p w14:paraId="441DB1B9" w14:textId="77777777" w:rsidR="00C77399" w:rsidRDefault="00000000">
      <w:pPr>
        <w:pStyle w:val="a5"/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主编单位：江西铜业股份有限公司</w:t>
      </w:r>
    </w:p>
    <w:p w14:paraId="4237D1CF" w14:textId="77777777" w:rsidR="00C77399" w:rsidRDefault="00000000">
      <w:pPr>
        <w:pStyle w:val="a5"/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2025年5月</w:t>
      </w:r>
    </w:p>
    <w:p w14:paraId="7278D69A" w14:textId="77777777" w:rsidR="00C77399" w:rsidRDefault="00C77399">
      <w:pPr>
        <w:rPr>
          <w:rFonts w:hint="default"/>
        </w:rPr>
      </w:pPr>
    </w:p>
    <w:p w14:paraId="20CDBB12" w14:textId="77777777" w:rsidR="00C77399" w:rsidRDefault="00C77399">
      <w:pPr>
        <w:rPr>
          <w:rFonts w:hint="default"/>
        </w:rPr>
      </w:pPr>
    </w:p>
    <w:p w14:paraId="0F8E7563" w14:textId="77777777" w:rsidR="00C77399" w:rsidRDefault="00C77399">
      <w:pPr>
        <w:rPr>
          <w:rFonts w:hint="default"/>
        </w:rPr>
      </w:pPr>
    </w:p>
    <w:p w14:paraId="673A1441" w14:textId="77777777" w:rsidR="00C77399" w:rsidRDefault="00C77399">
      <w:pPr>
        <w:rPr>
          <w:rFonts w:hint="default"/>
        </w:rPr>
      </w:pPr>
    </w:p>
    <w:p w14:paraId="3A27F1C8" w14:textId="77777777" w:rsidR="00C77399" w:rsidRDefault="00C77399">
      <w:pPr>
        <w:pStyle w:val="a5"/>
        <w:kinsoku w:val="0"/>
        <w:overflowPunct w:val="0"/>
        <w:spacing w:before="73" w:line="405" w:lineRule="auto"/>
        <w:ind w:right="1755"/>
        <w:jc w:val="both"/>
        <w:rPr>
          <w:rFonts w:ascii="黑体" w:eastAsia="黑体" w:cs="黑体" w:hint="default"/>
          <w:sz w:val="44"/>
          <w:szCs w:val="44"/>
        </w:rPr>
      </w:pPr>
    </w:p>
    <w:p w14:paraId="29735C46" w14:textId="77777777" w:rsidR="00C77399" w:rsidRDefault="00C77399">
      <w:pPr>
        <w:pStyle w:val="4"/>
        <w:rPr>
          <w:rFonts w:hint="default"/>
        </w:rPr>
      </w:pPr>
    </w:p>
    <w:p w14:paraId="49A7C25F" w14:textId="77777777" w:rsidR="00C77399" w:rsidRDefault="00C77399">
      <w:pPr>
        <w:pStyle w:val="4"/>
        <w:rPr>
          <w:rFonts w:hint="default"/>
        </w:rPr>
      </w:pPr>
    </w:p>
    <w:p w14:paraId="43D8814A" w14:textId="77777777" w:rsidR="00C77399" w:rsidRDefault="00C77399">
      <w:pPr>
        <w:pStyle w:val="4"/>
        <w:rPr>
          <w:rFonts w:hint="default"/>
        </w:rPr>
      </w:pPr>
    </w:p>
    <w:p w14:paraId="63E4D85C" w14:textId="77777777" w:rsidR="00C77399" w:rsidRDefault="00C77399">
      <w:pPr>
        <w:pStyle w:val="a5"/>
        <w:kinsoku w:val="0"/>
        <w:overflowPunct w:val="0"/>
        <w:spacing w:before="143"/>
        <w:ind w:right="216"/>
        <w:jc w:val="center"/>
        <w:rPr>
          <w:rFonts w:ascii="黑体" w:eastAsia="黑体" w:cs="黑体" w:hint="default"/>
          <w:spacing w:val="-34"/>
          <w:sz w:val="28"/>
          <w:szCs w:val="28"/>
        </w:rPr>
        <w:sectPr w:rsidR="00C77399">
          <w:pgSz w:w="11910" w:h="16840"/>
          <w:pgMar w:top="1460" w:right="1845" w:bottom="280" w:left="2127" w:header="720" w:footer="720" w:gutter="0"/>
          <w:cols w:space="720"/>
        </w:sectPr>
      </w:pPr>
    </w:p>
    <w:p w14:paraId="5D4D3183" w14:textId="77777777" w:rsidR="00C77399" w:rsidRDefault="00000000">
      <w:pPr>
        <w:pStyle w:val="TOC1"/>
        <w:tabs>
          <w:tab w:val="right" w:leader="dot" w:pos="9410"/>
        </w:tabs>
        <w:jc w:val="center"/>
        <w:rPr>
          <w:rFonts w:ascii="Times New Roman" w:eastAsia="黑体" w:cs="Times New Roman" w:hint="default"/>
          <w:sz w:val="28"/>
          <w:szCs w:val="28"/>
        </w:rPr>
      </w:pPr>
      <w:r>
        <w:rPr>
          <w:rFonts w:ascii="Times New Roman" w:eastAsia="黑体" w:cs="Times New Roman"/>
          <w:sz w:val="28"/>
          <w:szCs w:val="28"/>
        </w:rPr>
        <w:lastRenderedPageBreak/>
        <w:t>目</w:t>
      </w:r>
      <w:r>
        <w:rPr>
          <w:rFonts w:ascii="Times New Roman" w:eastAsia="黑体" w:cs="Times New Roman"/>
          <w:sz w:val="28"/>
          <w:szCs w:val="28"/>
        </w:rPr>
        <w:t xml:space="preserve">  </w:t>
      </w:r>
      <w:r>
        <w:rPr>
          <w:rFonts w:ascii="Times New Roman" w:eastAsia="黑体" w:cs="Times New Roman"/>
          <w:sz w:val="28"/>
          <w:szCs w:val="28"/>
        </w:rPr>
        <w:t>录</w:t>
      </w:r>
    </w:p>
    <w:p w14:paraId="75716499" w14:textId="77777777" w:rsidR="00C77399" w:rsidRDefault="00C77399">
      <w:pPr>
        <w:rPr>
          <w:rFonts w:hint="default"/>
        </w:rPr>
      </w:pPr>
    </w:p>
    <w:p w14:paraId="1A2D4502" w14:textId="77777777" w:rsidR="00C77399" w:rsidRDefault="00C77399">
      <w:pPr>
        <w:rPr>
          <w:rFonts w:hint="default"/>
        </w:rPr>
      </w:pPr>
    </w:p>
    <w:p w14:paraId="55BD2847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r>
        <w:rPr>
          <w:rFonts w:ascii="Times New Roman" w:eastAsia="黑体" w:cs="Times New Roman" w:hint="default"/>
          <w:sz w:val="20"/>
          <w:szCs w:val="20"/>
        </w:rPr>
        <w:fldChar w:fldCharType="begin"/>
      </w:r>
      <w:r>
        <w:rPr>
          <w:rFonts w:ascii="Times New Roman" w:eastAsia="黑体" w:cs="Times New Roman" w:hint="default"/>
          <w:sz w:val="20"/>
          <w:szCs w:val="20"/>
        </w:rPr>
        <w:instrText xml:space="preserve">TOC \o "1-3" \h \u </w:instrText>
      </w:r>
      <w:r>
        <w:rPr>
          <w:rFonts w:ascii="Times New Roman" w:eastAsia="黑体" w:cs="Times New Roman" w:hint="default"/>
          <w:sz w:val="20"/>
          <w:szCs w:val="20"/>
        </w:rPr>
        <w:fldChar w:fldCharType="separate"/>
      </w:r>
      <w:hyperlink w:anchor="_Toc2461" w:history="1">
        <w:r>
          <w:rPr>
            <w:rFonts w:ascii="Times New Roman" w:eastAsia="黑体" w:cs="Times New Roman" w:hint="default"/>
            <w:sz w:val="20"/>
            <w:szCs w:val="20"/>
          </w:rPr>
          <w:t>一、工作简况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 w:hint="default"/>
            <w:sz w:val="20"/>
            <w:szCs w:val="20"/>
          </w:rPr>
          <w:fldChar w:fldCharType="begin"/>
        </w:r>
        <w:r>
          <w:rPr>
            <w:rFonts w:ascii="Times New Roman" w:eastAsia="黑体" w:cs="Times New Roman" w:hint="default"/>
            <w:sz w:val="20"/>
            <w:szCs w:val="20"/>
          </w:rPr>
          <w:instrText xml:space="preserve"> PAGEREF _Toc2461 \h </w:instrText>
        </w:r>
        <w:r>
          <w:rPr>
            <w:rFonts w:ascii="Times New Roman" w:eastAsia="黑体" w:cs="Times New Roman" w:hint="default"/>
            <w:sz w:val="20"/>
            <w:szCs w:val="20"/>
          </w:rPr>
        </w:r>
        <w:r>
          <w:rPr>
            <w:rFonts w:ascii="Times New Roman" w:eastAsia="黑体" w:cs="Times New Roman" w:hint="default"/>
            <w:sz w:val="20"/>
            <w:szCs w:val="20"/>
          </w:rPr>
          <w:fldChar w:fldCharType="separate"/>
        </w:r>
        <w:r>
          <w:rPr>
            <w:rFonts w:ascii="Times New Roman" w:eastAsia="黑体" w:cs="Times New Roman" w:hint="default"/>
            <w:sz w:val="20"/>
            <w:szCs w:val="20"/>
          </w:rPr>
          <w:t>1</w:t>
        </w:r>
        <w:r>
          <w:rPr>
            <w:rFonts w:ascii="Times New Roman" w:eastAsia="黑体" w:cs="Times New Roman" w:hint="default"/>
            <w:sz w:val="20"/>
            <w:szCs w:val="20"/>
          </w:rPr>
          <w:fldChar w:fldCharType="end"/>
        </w:r>
      </w:hyperlink>
    </w:p>
    <w:p w14:paraId="54BF21BB" w14:textId="77777777" w:rsidR="00C77399" w:rsidRDefault="00000000">
      <w:pPr>
        <w:pStyle w:val="TOC2"/>
        <w:tabs>
          <w:tab w:val="right" w:leader="dot" w:pos="9410"/>
        </w:tabs>
        <w:ind w:left="440"/>
        <w:rPr>
          <w:rFonts w:ascii="Times New Roman" w:eastAsia="黑体" w:cs="Times New Roman" w:hint="default"/>
          <w:sz w:val="20"/>
          <w:szCs w:val="20"/>
        </w:rPr>
      </w:pPr>
      <w:hyperlink w:anchor="_Toc12535" w:history="1">
        <w:r>
          <w:rPr>
            <w:rFonts w:ascii="Times New Roman" w:eastAsia="黑体" w:cs="Times New Roman" w:hint="default"/>
            <w:sz w:val="20"/>
            <w:szCs w:val="20"/>
          </w:rPr>
          <w:t>（一）</w:t>
        </w:r>
        <w:r>
          <w:rPr>
            <w:rFonts w:ascii="Times New Roman" w:eastAsia="黑体" w:cs="Times New Roman"/>
            <w:sz w:val="20"/>
            <w:szCs w:val="20"/>
          </w:rPr>
          <w:t>任务来源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 w:hint="default"/>
            <w:sz w:val="20"/>
            <w:szCs w:val="20"/>
          </w:rPr>
          <w:fldChar w:fldCharType="begin"/>
        </w:r>
        <w:r>
          <w:rPr>
            <w:rFonts w:ascii="Times New Roman" w:eastAsia="黑体" w:cs="Times New Roman" w:hint="default"/>
            <w:sz w:val="20"/>
            <w:szCs w:val="20"/>
          </w:rPr>
          <w:instrText xml:space="preserve"> PAGEREF _Toc12535 \h </w:instrText>
        </w:r>
        <w:r>
          <w:rPr>
            <w:rFonts w:ascii="Times New Roman" w:eastAsia="黑体" w:cs="Times New Roman" w:hint="default"/>
            <w:sz w:val="20"/>
            <w:szCs w:val="20"/>
          </w:rPr>
        </w:r>
        <w:r>
          <w:rPr>
            <w:rFonts w:ascii="Times New Roman" w:eastAsia="黑体" w:cs="Times New Roman" w:hint="default"/>
            <w:sz w:val="20"/>
            <w:szCs w:val="20"/>
          </w:rPr>
          <w:fldChar w:fldCharType="separate"/>
        </w:r>
        <w:r>
          <w:rPr>
            <w:rFonts w:ascii="Times New Roman" w:eastAsia="黑体" w:cs="Times New Roman" w:hint="default"/>
            <w:sz w:val="20"/>
            <w:szCs w:val="20"/>
          </w:rPr>
          <w:t>1</w:t>
        </w:r>
        <w:r>
          <w:rPr>
            <w:rFonts w:ascii="Times New Roman" w:eastAsia="黑体" w:cs="Times New Roman" w:hint="default"/>
            <w:sz w:val="20"/>
            <w:szCs w:val="20"/>
          </w:rPr>
          <w:fldChar w:fldCharType="end"/>
        </w:r>
      </w:hyperlink>
    </w:p>
    <w:p w14:paraId="437DD907" w14:textId="77777777" w:rsidR="00C77399" w:rsidRDefault="00000000">
      <w:pPr>
        <w:pStyle w:val="TOC2"/>
        <w:tabs>
          <w:tab w:val="right" w:leader="dot" w:pos="9410"/>
        </w:tabs>
        <w:ind w:left="440"/>
        <w:rPr>
          <w:rFonts w:ascii="Times New Roman" w:eastAsia="黑体" w:cs="Times New Roman" w:hint="default"/>
          <w:sz w:val="20"/>
          <w:szCs w:val="20"/>
        </w:rPr>
      </w:pPr>
      <w:hyperlink w:anchor="_Toc1721" w:history="1">
        <w:r>
          <w:rPr>
            <w:rFonts w:ascii="Times New Roman" w:eastAsia="黑体" w:cs="Times New Roman" w:hint="default"/>
            <w:sz w:val="20"/>
            <w:szCs w:val="20"/>
          </w:rPr>
          <w:t>（二）</w:t>
        </w:r>
        <w:r>
          <w:rPr>
            <w:rFonts w:ascii="黑体" w:eastAsia="黑体" w:hAnsi="黑体" w:cs="黑体"/>
            <w:kern w:val="2"/>
            <w:sz w:val="21"/>
          </w:rPr>
          <w:t>主要参加单位和工作成员及其所作的工作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 w:hint="default"/>
            <w:sz w:val="20"/>
            <w:szCs w:val="20"/>
          </w:rPr>
          <w:fldChar w:fldCharType="begin"/>
        </w:r>
        <w:r>
          <w:rPr>
            <w:rFonts w:ascii="Times New Roman" w:eastAsia="黑体" w:cs="Times New Roman" w:hint="default"/>
            <w:sz w:val="20"/>
            <w:szCs w:val="20"/>
          </w:rPr>
          <w:instrText xml:space="preserve"> PAGEREF _Toc1721 \h </w:instrText>
        </w:r>
        <w:r>
          <w:rPr>
            <w:rFonts w:ascii="Times New Roman" w:eastAsia="黑体" w:cs="Times New Roman" w:hint="default"/>
            <w:sz w:val="20"/>
            <w:szCs w:val="20"/>
          </w:rPr>
        </w:r>
        <w:r>
          <w:rPr>
            <w:rFonts w:ascii="Times New Roman" w:eastAsia="黑体" w:cs="Times New Roman" w:hint="default"/>
            <w:sz w:val="20"/>
            <w:szCs w:val="20"/>
          </w:rPr>
          <w:fldChar w:fldCharType="separate"/>
        </w:r>
        <w:r>
          <w:rPr>
            <w:rFonts w:ascii="Times New Roman" w:eastAsia="黑体" w:cs="Times New Roman" w:hint="default"/>
            <w:sz w:val="20"/>
            <w:szCs w:val="20"/>
          </w:rPr>
          <w:t>1</w:t>
        </w:r>
        <w:r>
          <w:rPr>
            <w:rFonts w:ascii="Times New Roman" w:eastAsia="黑体" w:cs="Times New Roman" w:hint="default"/>
            <w:sz w:val="20"/>
            <w:szCs w:val="20"/>
          </w:rPr>
          <w:fldChar w:fldCharType="end"/>
        </w:r>
      </w:hyperlink>
    </w:p>
    <w:p w14:paraId="4DFBB011" w14:textId="77777777" w:rsidR="00C77399" w:rsidRDefault="00000000">
      <w:pPr>
        <w:pStyle w:val="TOC2"/>
        <w:tabs>
          <w:tab w:val="right" w:leader="dot" w:pos="9410"/>
        </w:tabs>
        <w:ind w:left="440"/>
        <w:rPr>
          <w:rFonts w:ascii="Times New Roman" w:eastAsia="黑体" w:cs="Times New Roman" w:hint="default"/>
          <w:sz w:val="20"/>
          <w:szCs w:val="20"/>
        </w:rPr>
      </w:pPr>
      <w:hyperlink w:anchor="_Toc31793" w:history="1">
        <w:r>
          <w:rPr>
            <w:rFonts w:ascii="Times New Roman" w:eastAsia="黑体" w:cs="Times New Roman" w:hint="default"/>
            <w:sz w:val="20"/>
            <w:szCs w:val="20"/>
          </w:rPr>
          <w:t>（三）</w:t>
        </w:r>
        <w:r>
          <w:rPr>
            <w:rFonts w:ascii="黑体" w:eastAsia="黑体" w:hAnsi="黑体" w:cs="黑体" w:hint="default"/>
            <w:kern w:val="2"/>
            <w:sz w:val="21"/>
          </w:rPr>
          <w:t>主要工作过程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2</w:t>
        </w:r>
      </w:hyperlink>
    </w:p>
    <w:p w14:paraId="4B9E63CD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4247" w:history="1">
        <w:r>
          <w:rPr>
            <w:rFonts w:ascii="Times New Roman" w:eastAsia="黑体" w:cs="Times New Roman" w:hint="default"/>
            <w:sz w:val="20"/>
            <w:szCs w:val="20"/>
          </w:rPr>
          <w:t>二、</w:t>
        </w:r>
        <w:r>
          <w:rPr>
            <w:rFonts w:ascii="Times New Roman" w:eastAsia="黑体" w:cs="Times New Roman"/>
            <w:sz w:val="20"/>
            <w:szCs w:val="20"/>
          </w:rPr>
          <w:t>标准</w:t>
        </w:r>
        <w:r>
          <w:rPr>
            <w:rFonts w:ascii="Times New Roman" w:eastAsia="黑体" w:cs="Times New Roman" w:hint="default"/>
            <w:sz w:val="20"/>
            <w:szCs w:val="20"/>
          </w:rPr>
          <w:t>编制原则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3</w:t>
        </w:r>
      </w:hyperlink>
    </w:p>
    <w:p w14:paraId="16679155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31510" w:history="1">
        <w:r>
          <w:rPr>
            <w:rFonts w:ascii="Times New Roman" w:eastAsia="黑体" w:cs="Times New Roman" w:hint="default"/>
            <w:sz w:val="20"/>
            <w:szCs w:val="20"/>
          </w:rPr>
          <w:t>三、</w:t>
        </w:r>
        <w:r>
          <w:rPr>
            <w:rFonts w:ascii="Times New Roman" w:eastAsia="黑体" w:cs="Times New Roman"/>
            <w:sz w:val="20"/>
            <w:szCs w:val="20"/>
          </w:rPr>
          <w:t>标准主要内容的确定依据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4</w:t>
        </w:r>
      </w:hyperlink>
    </w:p>
    <w:p w14:paraId="1E3F25E6" w14:textId="77777777" w:rsidR="00C77399" w:rsidRDefault="00000000">
      <w:pPr>
        <w:pStyle w:val="TOC2"/>
        <w:tabs>
          <w:tab w:val="right" w:leader="dot" w:pos="9410"/>
        </w:tabs>
        <w:ind w:left="440"/>
        <w:rPr>
          <w:rFonts w:ascii="Times New Roman" w:eastAsia="黑体" w:cs="Times New Roman" w:hint="default"/>
          <w:sz w:val="20"/>
          <w:szCs w:val="20"/>
        </w:rPr>
      </w:pPr>
      <w:hyperlink w:anchor="_Toc9197" w:history="1">
        <w:r>
          <w:rPr>
            <w:rFonts w:ascii="Times New Roman" w:eastAsia="黑体" w:cs="Times New Roman"/>
            <w:sz w:val="20"/>
            <w:szCs w:val="20"/>
          </w:rPr>
          <w:t>（一）</w:t>
        </w:r>
        <w:r>
          <w:rPr>
            <w:rFonts w:ascii="Times New Roman" w:eastAsia="黑体" w:cs="Times New Roman"/>
            <w:bCs/>
            <w:sz w:val="21"/>
            <w:szCs w:val="21"/>
          </w:rPr>
          <w:t>物理化学性能等级确定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4</w:t>
        </w:r>
      </w:hyperlink>
    </w:p>
    <w:p w14:paraId="779DAEFC" w14:textId="77777777" w:rsidR="00C77399" w:rsidRDefault="00000000">
      <w:pPr>
        <w:pStyle w:val="TOC2"/>
        <w:tabs>
          <w:tab w:val="right" w:leader="dot" w:pos="9410"/>
        </w:tabs>
        <w:ind w:left="440"/>
        <w:rPr>
          <w:rFonts w:ascii="Times New Roman" w:eastAsia="黑体" w:cs="Times New Roman" w:hint="default"/>
          <w:sz w:val="20"/>
          <w:szCs w:val="20"/>
        </w:rPr>
      </w:pPr>
      <w:hyperlink w:anchor="_Toc26525" w:history="1">
        <w:r>
          <w:rPr>
            <w:rFonts w:ascii="Times New Roman" w:eastAsia="黑体" w:cs="Times New Roman"/>
            <w:sz w:val="20"/>
            <w:szCs w:val="20"/>
          </w:rPr>
          <w:t>（二）</w:t>
        </w:r>
        <w:r>
          <w:rPr>
            <w:rFonts w:ascii="Times New Roman" w:eastAsia="黑体" w:cs="Times New Roman"/>
            <w:bCs/>
            <w:sz w:val="21"/>
            <w:szCs w:val="21"/>
          </w:rPr>
          <w:t>尺寸及翘曲度偏差确定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4</w:t>
        </w:r>
      </w:hyperlink>
    </w:p>
    <w:p w14:paraId="774EEFDB" w14:textId="77777777" w:rsidR="00C77399" w:rsidRDefault="00000000">
      <w:pPr>
        <w:pStyle w:val="TOC2"/>
        <w:tabs>
          <w:tab w:val="right" w:leader="dot" w:pos="9410"/>
        </w:tabs>
        <w:ind w:left="440"/>
        <w:rPr>
          <w:rFonts w:ascii="Times New Roman" w:eastAsia="黑体" w:cs="Times New Roman" w:hint="default"/>
          <w:sz w:val="20"/>
          <w:szCs w:val="20"/>
        </w:rPr>
      </w:pPr>
      <w:hyperlink w:anchor="_Toc15459" w:history="1">
        <w:r>
          <w:rPr>
            <w:rFonts w:ascii="Times New Roman" w:eastAsia="黑体" w:cs="Times New Roman"/>
            <w:sz w:val="20"/>
            <w:szCs w:val="20"/>
          </w:rPr>
          <w:t>（三）</w:t>
        </w:r>
        <w:r>
          <w:rPr>
            <w:rFonts w:ascii="Times New Roman" w:eastAsia="黑体" w:cs="Times New Roman"/>
            <w:bCs/>
            <w:sz w:val="21"/>
            <w:szCs w:val="21"/>
          </w:rPr>
          <w:t>物化性能测试方法确定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5</w:t>
        </w:r>
      </w:hyperlink>
    </w:p>
    <w:p w14:paraId="2A549D92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21778" w:history="1">
        <w:r>
          <w:rPr>
            <w:rFonts w:ascii="Times New Roman" w:eastAsia="黑体" w:cs="Times New Roman" w:hint="default"/>
            <w:sz w:val="20"/>
            <w:szCs w:val="20"/>
          </w:rPr>
          <w:t>四、与现行法律、法规、强制性国家标准及相关标准协调配套情况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6</w:t>
        </w:r>
      </w:hyperlink>
    </w:p>
    <w:p w14:paraId="0B2DAB01" w14:textId="77777777" w:rsidR="00C77399" w:rsidRDefault="00000000">
      <w:pPr>
        <w:pStyle w:val="TOC2"/>
        <w:tabs>
          <w:tab w:val="right" w:leader="dot" w:pos="9410"/>
        </w:tabs>
        <w:ind w:left="440"/>
        <w:rPr>
          <w:rFonts w:ascii="Times New Roman" w:eastAsia="黑体" w:cs="Times New Roman" w:hint="default"/>
          <w:sz w:val="20"/>
          <w:szCs w:val="20"/>
        </w:rPr>
      </w:pPr>
      <w:hyperlink w:anchor="_Toc24185" w:history="1">
        <w:r>
          <w:rPr>
            <w:rFonts w:ascii="Times New Roman" w:eastAsia="黑体" w:cs="Times New Roman" w:hint="default"/>
            <w:sz w:val="20"/>
            <w:szCs w:val="20"/>
          </w:rPr>
          <w:t>（一）现有政策法规与新制定标准的关系分析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6</w:t>
        </w:r>
      </w:hyperlink>
    </w:p>
    <w:p w14:paraId="72060B58" w14:textId="77777777" w:rsidR="00C77399" w:rsidRDefault="00000000">
      <w:pPr>
        <w:pStyle w:val="TOC2"/>
        <w:tabs>
          <w:tab w:val="right" w:leader="dot" w:pos="9410"/>
        </w:tabs>
        <w:ind w:left="440"/>
        <w:rPr>
          <w:rFonts w:ascii="Times New Roman" w:eastAsia="黑体" w:cs="Times New Roman" w:hint="default"/>
          <w:sz w:val="20"/>
          <w:szCs w:val="20"/>
        </w:rPr>
      </w:pPr>
      <w:hyperlink w:anchor="_Toc23500" w:history="1">
        <w:r>
          <w:rPr>
            <w:rFonts w:ascii="Times New Roman" w:eastAsia="黑体" w:cs="Times New Roman" w:hint="default"/>
            <w:sz w:val="20"/>
            <w:szCs w:val="20"/>
          </w:rPr>
          <w:t>（二）现有标准与新制定标准的关系分析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6</w:t>
        </w:r>
      </w:hyperlink>
    </w:p>
    <w:p w14:paraId="6CEE21D5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15468" w:history="1">
        <w:r>
          <w:rPr>
            <w:rFonts w:ascii="Times New Roman" w:eastAsia="黑体" w:cs="Times New Roman" w:hint="default"/>
            <w:sz w:val="20"/>
            <w:szCs w:val="20"/>
          </w:rPr>
          <w:t>五、预期的经济效益、社会效益和生态效益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6</w:t>
        </w:r>
      </w:hyperlink>
    </w:p>
    <w:p w14:paraId="0694D3C1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24881" w:history="1">
        <w:r>
          <w:rPr>
            <w:rFonts w:ascii="Times New Roman" w:eastAsia="黑体" w:cs="Times New Roman" w:hint="default"/>
            <w:sz w:val="20"/>
            <w:szCs w:val="20"/>
          </w:rPr>
          <w:t>六、重大分歧意见的处理过程、处理意见及其依据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</w:hyperlink>
      <w:r>
        <w:rPr>
          <w:rFonts w:ascii="Times New Roman" w:eastAsia="黑体" w:cs="Times New Roman"/>
          <w:sz w:val="20"/>
          <w:szCs w:val="20"/>
        </w:rPr>
        <w:t>7</w:t>
      </w:r>
    </w:p>
    <w:p w14:paraId="168C51D5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28070" w:history="1">
        <w:r>
          <w:rPr>
            <w:rFonts w:ascii="Times New Roman" w:eastAsia="黑体" w:cs="Times New Roman" w:hint="default"/>
            <w:sz w:val="20"/>
            <w:szCs w:val="20"/>
          </w:rPr>
          <w:t>七、实施强制性国家标准有关的政策措施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7</w:t>
        </w:r>
      </w:hyperlink>
    </w:p>
    <w:p w14:paraId="202C0D21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11242" w:history="1">
        <w:r>
          <w:rPr>
            <w:rFonts w:ascii="Times New Roman" w:eastAsia="黑体" w:cs="Times New Roman" w:hint="default"/>
            <w:sz w:val="20"/>
            <w:szCs w:val="20"/>
          </w:rPr>
          <w:t>八、是否需要对外通报的建议及理由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7</w:t>
        </w:r>
      </w:hyperlink>
    </w:p>
    <w:p w14:paraId="55008008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2660" w:history="1">
        <w:r>
          <w:rPr>
            <w:rFonts w:ascii="Times New Roman" w:eastAsia="黑体" w:cs="Times New Roman" w:hint="default"/>
            <w:sz w:val="20"/>
            <w:szCs w:val="20"/>
          </w:rPr>
          <w:t>九、废止现行有关标准的建议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7</w:t>
        </w:r>
      </w:hyperlink>
    </w:p>
    <w:p w14:paraId="0F3C92F8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5780" w:history="1">
        <w:r>
          <w:rPr>
            <w:rFonts w:ascii="Times New Roman" w:eastAsia="黑体" w:cs="Times New Roman" w:hint="default"/>
            <w:sz w:val="20"/>
            <w:szCs w:val="20"/>
          </w:rPr>
          <w:t>十、涉及专利的有关说明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7</w:t>
        </w:r>
      </w:hyperlink>
    </w:p>
    <w:p w14:paraId="21DEE254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24796" w:history="1">
        <w:r>
          <w:rPr>
            <w:rFonts w:ascii="Times New Roman" w:eastAsia="黑体" w:cs="Times New Roman" w:hint="default"/>
            <w:sz w:val="20"/>
            <w:szCs w:val="20"/>
          </w:rPr>
          <w:t>十一、强制性国家标准所涉及的产品、过程或者服务目录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7</w:t>
        </w:r>
      </w:hyperlink>
    </w:p>
    <w:p w14:paraId="7E9D66C3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17517" w:history="1">
        <w:r>
          <w:rPr>
            <w:rFonts w:ascii="Times New Roman" w:eastAsia="黑体" w:cs="Times New Roman" w:hint="default"/>
            <w:sz w:val="20"/>
            <w:szCs w:val="20"/>
          </w:rPr>
          <w:t>十二、贯彻标准的要求和措施建议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7</w:t>
        </w:r>
      </w:hyperlink>
    </w:p>
    <w:p w14:paraId="777C3428" w14:textId="77777777" w:rsidR="00C77399" w:rsidRDefault="00000000">
      <w:pPr>
        <w:pStyle w:val="TOC1"/>
        <w:tabs>
          <w:tab w:val="right" w:leader="dot" w:pos="9410"/>
        </w:tabs>
        <w:rPr>
          <w:rFonts w:ascii="Times New Roman" w:eastAsia="黑体" w:cs="Times New Roman" w:hint="default"/>
          <w:sz w:val="20"/>
          <w:szCs w:val="20"/>
        </w:rPr>
      </w:pPr>
      <w:hyperlink w:anchor="_Toc26025" w:history="1">
        <w:r>
          <w:rPr>
            <w:rFonts w:ascii="Times New Roman" w:eastAsia="黑体" w:cs="Times New Roman" w:hint="default"/>
            <w:sz w:val="20"/>
            <w:szCs w:val="20"/>
          </w:rPr>
          <w:t>十三、其他应当予以说明的事项</w:t>
        </w:r>
        <w:r>
          <w:rPr>
            <w:rFonts w:ascii="Times New Roman" w:eastAsia="黑体" w:cs="Times New Roman" w:hint="default"/>
            <w:sz w:val="20"/>
            <w:szCs w:val="20"/>
          </w:rPr>
          <w:tab/>
        </w:r>
        <w:r>
          <w:rPr>
            <w:rFonts w:ascii="Times New Roman" w:eastAsia="黑体" w:cs="Times New Roman"/>
            <w:sz w:val="20"/>
            <w:szCs w:val="20"/>
          </w:rPr>
          <w:t>7</w:t>
        </w:r>
      </w:hyperlink>
    </w:p>
    <w:p w14:paraId="72E9E355" w14:textId="77777777" w:rsidR="00C77399" w:rsidRDefault="00000000">
      <w:pPr>
        <w:pStyle w:val="a5"/>
        <w:tabs>
          <w:tab w:val="right" w:leader="dot" w:pos="9046"/>
        </w:tabs>
        <w:kinsoku w:val="0"/>
        <w:overflowPunct w:val="0"/>
        <w:spacing w:before="277"/>
        <w:rPr>
          <w:rFonts w:ascii="黑体" w:eastAsia="黑体" w:hAnsi="黑体" w:cs="黑体"/>
          <w:sz w:val="20"/>
          <w:szCs w:val="20"/>
        </w:rPr>
        <w:sectPr w:rsidR="00C77399">
          <w:footerReference w:type="default" r:id="rId8"/>
          <w:pgSz w:w="11910" w:h="16840"/>
          <w:pgMar w:top="1440" w:right="1160" w:bottom="1380" w:left="1340" w:header="0" w:footer="1196" w:gutter="0"/>
          <w:pgNumType w:start="1"/>
          <w:cols w:space="720"/>
        </w:sectPr>
      </w:pPr>
      <w:r>
        <w:rPr>
          <w:rFonts w:ascii="Times New Roman" w:eastAsia="黑体" w:cs="Times New Roman" w:hint="default"/>
          <w:sz w:val="20"/>
          <w:szCs w:val="20"/>
        </w:rPr>
        <w:fldChar w:fldCharType="end"/>
      </w:r>
    </w:p>
    <w:p w14:paraId="11C31703" w14:textId="77777777" w:rsidR="00C77399" w:rsidRDefault="00000000">
      <w:pPr>
        <w:autoSpaceDE/>
        <w:autoSpaceDN/>
        <w:adjustRightInd/>
        <w:spacing w:beforeLines="100" w:before="312" w:afterLines="100" w:after="312"/>
        <w:jc w:val="center"/>
        <w:rPr>
          <w:rFonts w:asciiTheme="minorHAnsi" w:eastAsia="黑体" w:hAnsiTheme="minorHAnsi" w:cstheme="minorBidi" w:hint="default"/>
          <w:kern w:val="2"/>
          <w:sz w:val="28"/>
          <w:szCs w:val="28"/>
        </w:rPr>
      </w:pPr>
      <w:bookmarkStart w:id="6" w:name="_bookmark0"/>
      <w:bookmarkStart w:id="7" w:name="_Toc2461"/>
      <w:bookmarkStart w:id="8" w:name="_Toc19874"/>
      <w:bookmarkEnd w:id="6"/>
      <w:r>
        <w:rPr>
          <w:rFonts w:asciiTheme="minorHAnsi" w:eastAsia="黑体" w:hAnsiTheme="minorHAnsi" w:cstheme="minorBidi"/>
          <w:kern w:val="2"/>
          <w:sz w:val="28"/>
          <w:szCs w:val="28"/>
        </w:rPr>
        <w:lastRenderedPageBreak/>
        <w:t>《湿法冶金用防腐复合板》（预审稿）编制说明</w:t>
      </w:r>
    </w:p>
    <w:p w14:paraId="04568D8F" w14:textId="77777777" w:rsidR="00C77399" w:rsidRDefault="00000000">
      <w:pPr>
        <w:pStyle w:val="TOC2"/>
        <w:numPr>
          <w:ilvl w:val="0"/>
          <w:numId w:val="1"/>
        </w:numPr>
        <w:tabs>
          <w:tab w:val="right" w:leader="dot" w:pos="9174"/>
        </w:tabs>
        <w:autoSpaceDE/>
        <w:autoSpaceDN/>
        <w:adjustRightInd/>
        <w:spacing w:beforeLines="50" w:before="156" w:afterLines="50" w:after="156"/>
        <w:ind w:leftChars="0" w:left="0"/>
        <w:rPr>
          <w:rFonts w:ascii="黑体" w:eastAsia="黑体" w:hAnsi="黑体" w:cs="黑体"/>
          <w:kern w:val="2"/>
          <w:sz w:val="21"/>
        </w:rPr>
      </w:pPr>
      <w:r>
        <w:rPr>
          <w:rFonts w:ascii="黑体" w:eastAsia="黑体" w:hAnsi="黑体" w:cs="黑体" w:hint="default"/>
          <w:kern w:val="2"/>
          <w:sz w:val="21"/>
        </w:rPr>
        <w:t>工作简况</w:t>
      </w:r>
      <w:bookmarkEnd w:id="7"/>
      <w:bookmarkEnd w:id="8"/>
    </w:p>
    <w:p w14:paraId="078154A9" w14:textId="77777777" w:rsidR="00C77399" w:rsidRDefault="00000000">
      <w:pPr>
        <w:pStyle w:val="TOC2"/>
        <w:tabs>
          <w:tab w:val="right" w:leader="dot" w:pos="9174"/>
        </w:tabs>
        <w:autoSpaceDE/>
        <w:autoSpaceDN/>
        <w:adjustRightInd/>
        <w:spacing w:beforeLines="50" w:before="156" w:afterLines="50" w:after="156"/>
        <w:ind w:leftChars="0" w:left="0"/>
        <w:rPr>
          <w:rFonts w:hAnsi="宋体"/>
          <w:szCs w:val="21"/>
        </w:rPr>
      </w:pPr>
      <w:bookmarkStart w:id="9" w:name="_bookmark1"/>
      <w:bookmarkStart w:id="10" w:name="_Toc12535"/>
      <w:bookmarkEnd w:id="9"/>
      <w:r>
        <w:rPr>
          <w:rFonts w:ascii="黑体" w:eastAsia="黑体" w:hAnsi="黑体" w:cs="黑体" w:hint="default"/>
          <w:kern w:val="2"/>
          <w:sz w:val="21"/>
        </w:rPr>
        <w:t>（一）</w:t>
      </w:r>
      <w:bookmarkEnd w:id="10"/>
      <w:r>
        <w:rPr>
          <w:rFonts w:ascii="黑体" w:eastAsia="黑体" w:hAnsi="黑体" w:cs="黑体"/>
          <w:kern w:val="2"/>
          <w:sz w:val="21"/>
        </w:rPr>
        <w:t>任务来源</w:t>
      </w:r>
      <w:bookmarkStart w:id="11" w:name="_bookmark2"/>
      <w:bookmarkEnd w:id="11"/>
    </w:p>
    <w:p w14:paraId="0799833B" w14:textId="77777777" w:rsidR="00C77399" w:rsidRDefault="00000000">
      <w:pPr>
        <w:autoSpaceDE/>
        <w:autoSpaceDN/>
        <w:ind w:firstLineChars="200" w:firstLine="440"/>
        <w:jc w:val="both"/>
        <w:rPr>
          <w:rFonts w:hAnsi="宋体"/>
          <w:szCs w:val="21"/>
        </w:rPr>
      </w:pPr>
      <w:r>
        <w:rPr>
          <w:rFonts w:hAnsi="宋体"/>
          <w:szCs w:val="21"/>
        </w:rPr>
        <w:t>防腐复合板是近几年来开始在湿法冶炼车间使用的防腐板材，具有性能稳定、耐腐蚀性能好、抗压耐磨、密实度高、吸水率低等优点，维护成本低，使用寿命长，综合性能优异。目前防腐复合板已经在贵溪冶炼厂、大冶有色、</w:t>
      </w:r>
      <w:proofErr w:type="gramStart"/>
      <w:r>
        <w:rPr>
          <w:rFonts w:hAnsi="宋体"/>
          <w:szCs w:val="21"/>
        </w:rPr>
        <w:t>五矿铜业</w:t>
      </w:r>
      <w:proofErr w:type="gramEnd"/>
      <w:r>
        <w:rPr>
          <w:rFonts w:hAnsi="宋体"/>
          <w:szCs w:val="21"/>
        </w:rPr>
        <w:t>、铜陵有色、云南铜业等大型冶炼企业应用，效果良好，能有效降低湿法冶炼车间地面维修频率，降低维护成本，为湿法冶炼企业的高效运转发挥了重要作用。但</w:t>
      </w:r>
      <w:r>
        <w:rPr>
          <w:szCs w:val="21"/>
        </w:rPr>
        <w:t>目前</w:t>
      </w:r>
      <w:r>
        <w:rPr>
          <w:rFonts w:hAnsi="宋体"/>
          <w:szCs w:val="21"/>
        </w:rPr>
        <w:t>防腐复合板没有统一的产品规范，</w:t>
      </w:r>
      <w:r>
        <w:rPr>
          <w:szCs w:val="21"/>
        </w:rPr>
        <w:t>有色金属冶炼行业还尚无限定</w:t>
      </w:r>
      <w:r>
        <w:rPr>
          <w:rFonts w:hAnsi="宋体"/>
          <w:szCs w:val="21"/>
        </w:rPr>
        <w:t>防腐复合板</w:t>
      </w:r>
      <w:r>
        <w:rPr>
          <w:szCs w:val="21"/>
        </w:rPr>
        <w:t>需满足的技术指标要求的标准可依据，不利于</w:t>
      </w:r>
      <w:r>
        <w:rPr>
          <w:rFonts w:hAnsi="宋体"/>
          <w:szCs w:val="21"/>
        </w:rPr>
        <w:t>防腐复合板在有色金属冶炼行业的推广应用。基于此，江西铜业股份有限公司作为防腐复合板的使用单位和生产厂家，提出《湿法冶金用防腐复合板》团体标准的立项计划，通过该标准</w:t>
      </w:r>
      <w:r>
        <w:rPr>
          <w:rFonts w:ascii="Times New Roman" w:cs="Times New Roman"/>
          <w:szCs w:val="21"/>
        </w:rPr>
        <w:t>对</w:t>
      </w:r>
      <w:r>
        <w:rPr>
          <w:rFonts w:hAnsi="宋体"/>
          <w:szCs w:val="21"/>
        </w:rPr>
        <w:t>防腐复合板</w:t>
      </w:r>
      <w:r>
        <w:rPr>
          <w:rFonts w:ascii="Times New Roman" w:cs="Times New Roman"/>
          <w:szCs w:val="21"/>
        </w:rPr>
        <w:t>需达到的技术指标及测试方法做出具体限定，让</w:t>
      </w:r>
      <w:r>
        <w:rPr>
          <w:rFonts w:asciiTheme="minorEastAsia" w:hAnsiTheme="minorEastAsia"/>
          <w:szCs w:val="21"/>
        </w:rPr>
        <w:t>湿法冶金防腐用的</w:t>
      </w:r>
      <w:r>
        <w:rPr>
          <w:rFonts w:hAnsi="宋体"/>
          <w:szCs w:val="21"/>
        </w:rPr>
        <w:t>防腐</w:t>
      </w:r>
      <w:r>
        <w:rPr>
          <w:rFonts w:asciiTheme="minorEastAsia" w:hAnsiTheme="minorEastAsia"/>
          <w:szCs w:val="21"/>
        </w:rPr>
        <w:t>复合板</w:t>
      </w:r>
      <w:r>
        <w:rPr>
          <w:rFonts w:ascii="Times New Roman" w:cs="Times New Roman"/>
          <w:szCs w:val="21"/>
        </w:rPr>
        <w:t>有标准可依，以确保湿法冶炼企业在选择</w:t>
      </w:r>
      <w:r>
        <w:rPr>
          <w:rFonts w:hAnsi="宋体"/>
          <w:szCs w:val="21"/>
        </w:rPr>
        <w:t>防腐</w:t>
      </w:r>
      <w:r>
        <w:rPr>
          <w:rFonts w:ascii="Times New Roman" w:cs="Times New Roman"/>
          <w:szCs w:val="21"/>
        </w:rPr>
        <w:t>复合板时的产品质量和安全性。</w:t>
      </w:r>
    </w:p>
    <w:p w14:paraId="274C2BE0" w14:textId="77777777" w:rsidR="00C77399" w:rsidRDefault="00000000">
      <w:pPr>
        <w:autoSpaceDE/>
        <w:autoSpaceDN/>
        <w:ind w:firstLineChars="200" w:firstLine="440"/>
        <w:jc w:val="both"/>
        <w:rPr>
          <w:rFonts w:hAnsi="宋体"/>
          <w:szCs w:val="21"/>
        </w:rPr>
      </w:pPr>
      <w:r>
        <w:rPr>
          <w:rFonts w:hAnsi="宋体"/>
          <w:szCs w:val="21"/>
        </w:rPr>
        <w:t>根据全国有色金属标准化技术委员会（以下称“有色标委会”）《关于转发 2024 年第三批有色金属国家标准、团体标准制(修)订项目计划及征集起草单位的通知》（有色标委(2024)84号）的要求，同意有色金属团体标准《湿法冶金用防腐复合板》立项，归口计划编号为2024-059-T/CNIA，由江西铜业股份有限公司负责起草，项目周期为16个月，完成年限为2026年1月。</w:t>
      </w:r>
    </w:p>
    <w:p w14:paraId="303C081E" w14:textId="77777777" w:rsidR="00C77399" w:rsidRDefault="00000000">
      <w:pPr>
        <w:pStyle w:val="TOC2"/>
        <w:tabs>
          <w:tab w:val="right" w:leader="dot" w:pos="9174"/>
        </w:tabs>
        <w:autoSpaceDE/>
        <w:autoSpaceDN/>
        <w:adjustRightInd/>
        <w:spacing w:beforeLines="50" w:before="156" w:afterLines="50" w:after="156"/>
        <w:ind w:leftChars="0" w:left="0"/>
        <w:rPr>
          <w:rFonts w:ascii="黑体" w:eastAsia="黑体" w:hAnsi="黑体" w:cs="黑体"/>
          <w:kern w:val="2"/>
          <w:sz w:val="21"/>
        </w:rPr>
      </w:pPr>
      <w:r>
        <w:rPr>
          <w:rFonts w:ascii="黑体" w:eastAsia="黑体" w:hAnsi="黑体" w:cs="黑体" w:hint="default"/>
          <w:kern w:val="2"/>
          <w:sz w:val="21"/>
        </w:rPr>
        <w:t>（</w:t>
      </w:r>
      <w:r>
        <w:rPr>
          <w:rFonts w:ascii="黑体" w:eastAsia="黑体" w:hAnsi="黑体" w:cs="黑体"/>
          <w:kern w:val="2"/>
          <w:sz w:val="21"/>
        </w:rPr>
        <w:t>二</w:t>
      </w:r>
      <w:r>
        <w:rPr>
          <w:rFonts w:ascii="黑体" w:eastAsia="黑体" w:hAnsi="黑体" w:cs="黑体" w:hint="default"/>
          <w:kern w:val="2"/>
          <w:sz w:val="21"/>
        </w:rPr>
        <w:t>）</w:t>
      </w:r>
      <w:r>
        <w:rPr>
          <w:rFonts w:ascii="黑体" w:eastAsia="黑体" w:hAnsi="黑体" w:cs="黑体"/>
          <w:kern w:val="2"/>
          <w:sz w:val="21"/>
        </w:rPr>
        <w:t>主要参加单位和工作成员及其所作的工作</w:t>
      </w:r>
    </w:p>
    <w:p w14:paraId="0A103547" w14:textId="77777777" w:rsidR="00C77399" w:rsidRDefault="00000000">
      <w:p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1、主要参加单位情况</w:t>
      </w:r>
    </w:p>
    <w:p w14:paraId="2AD8981F" w14:textId="4ACFAD3D" w:rsidR="00C77399" w:rsidRDefault="00000000">
      <w:pPr>
        <w:autoSpaceDE/>
        <w:autoSpaceDN/>
        <w:adjustRightInd/>
        <w:ind w:firstLineChars="200" w:firstLine="420"/>
        <w:jc w:val="both"/>
        <w:rPr>
          <w:rFonts w:hAnsi="宋体"/>
          <w:kern w:val="2"/>
          <w:sz w:val="21"/>
          <w:szCs w:val="21"/>
        </w:rPr>
      </w:pPr>
      <w:r>
        <w:rPr>
          <w:rFonts w:ascii="Times New Roman" w:cs="Times New Roman"/>
          <w:sz w:val="21"/>
        </w:rPr>
        <w:t>本标准参与单位包括江西铜业股份有限公司、中国瑞林工程技术股份有限公司、长沙有色冶金设计研究院有限公司、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上海富晨化工有限公司、</w:t>
      </w:r>
      <w:r>
        <w:rPr>
          <w:rFonts w:ascii="Times New Roman" w:cs="Times New Roman"/>
          <w:sz w:val="21"/>
        </w:rPr>
        <w:t>江西石蕴新材料有限公司、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湖南豪特防腐工程有限公司、萍乡市北纬环保设备有限公司。涵盖了防腐复合板使用单位、生产单位、施工单位、设计单位，以及防腐复合板主要生产原料的供应单位。其中牵头单位为</w:t>
      </w:r>
      <w:r>
        <w:rPr>
          <w:rFonts w:asciiTheme="minorHAnsi" w:eastAsiaTheme="minorEastAsia" w:hAnsiTheme="minorHAnsi" w:cstheme="minorBidi"/>
        </w:rPr>
        <w:t>江西铜业股份有限公司，是从事有色金属采矿、选矿、冶炼、加工的国有企业，</w:t>
      </w:r>
      <w:r>
        <w:t>旗下全资子公</w:t>
      </w:r>
      <w:r>
        <w:rPr>
          <w:rFonts w:asciiTheme="minorHAnsi" w:eastAsiaTheme="minorEastAsia" w:hAnsiTheme="minorHAnsi" w:cstheme="minorBidi"/>
        </w:rPr>
        <w:t>司江西铜业技术研究院有限公司（江铜研究院）是一家集技术开发与服务、材料加工与生产、分析测试等为一体的研发机构。江铜研究院自主研发出高性能防腐复合板，已实现稳定生产，产品已在贵溪冶炼厂大规模应用。</w:t>
      </w:r>
    </w:p>
    <w:p w14:paraId="5250A0FF" w14:textId="77777777" w:rsidR="00C77399" w:rsidRDefault="00000000">
      <w:p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2、主要工作成员所负责的工作情况</w:t>
      </w:r>
    </w:p>
    <w:p w14:paraId="7A3D3844" w14:textId="77777777" w:rsidR="00C77399" w:rsidRDefault="00000000">
      <w:pPr>
        <w:autoSpaceDE/>
        <w:autoSpaceDN/>
        <w:adjustRightInd/>
        <w:ind w:firstLineChars="200" w:firstLine="420"/>
        <w:jc w:val="both"/>
        <w:rPr>
          <w:rFonts w:hAnsi="宋体"/>
          <w:color w:val="0000FF"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本标准主要起草人及工作职责见表1。</w:t>
      </w:r>
    </w:p>
    <w:p w14:paraId="19A47C8C" w14:textId="77777777" w:rsidR="00C77399" w:rsidRDefault="00000000">
      <w:pPr>
        <w:pStyle w:val="a5"/>
        <w:kinsoku w:val="0"/>
        <w:overflowPunct w:val="0"/>
        <w:spacing w:beforeLines="50" w:before="156"/>
        <w:jc w:val="center"/>
        <w:rPr>
          <w:rFonts w:ascii="Times New Roman" w:eastAsia="黑体" w:cs="Times New Roman" w:hint="default"/>
          <w:sz w:val="21"/>
          <w:szCs w:val="21"/>
        </w:rPr>
      </w:pPr>
      <w:r>
        <w:rPr>
          <w:rFonts w:ascii="Times New Roman" w:eastAsia="黑体" w:cs="Times New Roman" w:hint="default"/>
          <w:sz w:val="21"/>
          <w:szCs w:val="21"/>
        </w:rPr>
        <w:t>表</w:t>
      </w:r>
      <w:r>
        <w:rPr>
          <w:rFonts w:ascii="Times New Roman" w:eastAsia="黑体" w:cs="Times New Roman"/>
          <w:sz w:val="21"/>
          <w:szCs w:val="21"/>
        </w:rPr>
        <w:t>1</w:t>
      </w:r>
      <w:r>
        <w:rPr>
          <w:rFonts w:ascii="Times New Roman" w:eastAsia="黑体" w:cs="Times New Roman" w:hint="default"/>
          <w:sz w:val="21"/>
          <w:szCs w:val="21"/>
        </w:rPr>
        <w:t xml:space="preserve"> </w:t>
      </w:r>
      <w:r>
        <w:rPr>
          <w:rFonts w:ascii="Times New Roman" w:eastAsia="黑体" w:cs="Times New Roman" w:hint="default"/>
          <w:sz w:val="21"/>
          <w:szCs w:val="21"/>
        </w:rPr>
        <w:t>主要起草人及工作职责</w:t>
      </w:r>
    </w:p>
    <w:tbl>
      <w:tblPr>
        <w:tblStyle w:val="ab"/>
        <w:tblW w:w="4998" w:type="pct"/>
        <w:jc w:val="center"/>
        <w:tblLook w:val="04A0" w:firstRow="1" w:lastRow="0" w:firstColumn="1" w:lastColumn="0" w:noHBand="0" w:noVBand="1"/>
      </w:tblPr>
      <w:tblGrid>
        <w:gridCol w:w="736"/>
        <w:gridCol w:w="1038"/>
        <w:gridCol w:w="6745"/>
      </w:tblGrid>
      <w:tr w:rsidR="00C77399" w14:paraId="54AB3CA0" w14:textId="77777777">
        <w:trPr>
          <w:trHeight w:val="340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564AB371" w14:textId="77777777" w:rsidR="00C77399" w:rsidRDefault="00000000">
            <w:pPr>
              <w:spacing w:line="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序号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AD2D2D1" w14:textId="77777777" w:rsidR="00C77399" w:rsidRDefault="00000000">
            <w:pPr>
              <w:spacing w:line="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姓名</w:t>
            </w:r>
          </w:p>
        </w:tc>
        <w:tc>
          <w:tcPr>
            <w:tcW w:w="3958" w:type="pct"/>
            <w:shd w:val="clear" w:color="auto" w:fill="auto"/>
            <w:vAlign w:val="center"/>
          </w:tcPr>
          <w:p w14:paraId="54EE4A75" w14:textId="77777777" w:rsidR="00C77399" w:rsidRDefault="00000000">
            <w:pPr>
              <w:spacing w:line="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组内职责</w:t>
            </w:r>
          </w:p>
        </w:tc>
      </w:tr>
      <w:tr w:rsidR="00C77399" w14:paraId="74EFDB88" w14:textId="77777777">
        <w:trPr>
          <w:trHeight w:val="340"/>
          <w:jc w:val="center"/>
        </w:trPr>
        <w:tc>
          <w:tcPr>
            <w:tcW w:w="432" w:type="pct"/>
            <w:vAlign w:val="center"/>
          </w:tcPr>
          <w:p w14:paraId="4841A2F6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center"/>
          </w:tcPr>
          <w:p w14:paraId="1915933B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proofErr w:type="gramStart"/>
            <w:r>
              <w:rPr>
                <w:rFonts w:hAnsi="宋体"/>
                <w:sz w:val="18"/>
                <w:szCs w:val="18"/>
              </w:rPr>
              <w:t>王全勇</w:t>
            </w:r>
            <w:proofErr w:type="gramEnd"/>
          </w:p>
        </w:tc>
        <w:tc>
          <w:tcPr>
            <w:tcW w:w="3958" w:type="pct"/>
            <w:vAlign w:val="center"/>
          </w:tcPr>
          <w:p w14:paraId="6BBE0C6E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组长，全面负责标准研制工作</w:t>
            </w:r>
          </w:p>
        </w:tc>
      </w:tr>
      <w:tr w:rsidR="00C77399" w14:paraId="3AE8F47C" w14:textId="77777777">
        <w:trPr>
          <w:trHeight w:val="340"/>
          <w:jc w:val="center"/>
        </w:trPr>
        <w:tc>
          <w:tcPr>
            <w:tcW w:w="432" w:type="pct"/>
            <w:vAlign w:val="center"/>
          </w:tcPr>
          <w:p w14:paraId="30C5EF1C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</w:p>
        </w:tc>
        <w:tc>
          <w:tcPr>
            <w:tcW w:w="609" w:type="pct"/>
            <w:vAlign w:val="center"/>
          </w:tcPr>
          <w:p w14:paraId="3472E502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高杨</w:t>
            </w:r>
          </w:p>
        </w:tc>
        <w:tc>
          <w:tcPr>
            <w:tcW w:w="3958" w:type="pct"/>
            <w:vAlign w:val="center"/>
          </w:tcPr>
          <w:p w14:paraId="36C83D6B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副组长，协助组长协调相关事项</w:t>
            </w:r>
          </w:p>
        </w:tc>
      </w:tr>
      <w:tr w:rsidR="00C77399" w14:paraId="57484BE5" w14:textId="77777777">
        <w:trPr>
          <w:trHeight w:val="340"/>
          <w:jc w:val="center"/>
        </w:trPr>
        <w:tc>
          <w:tcPr>
            <w:tcW w:w="432" w:type="pct"/>
            <w:vAlign w:val="center"/>
          </w:tcPr>
          <w:p w14:paraId="15F7FEE2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</w:p>
        </w:tc>
        <w:tc>
          <w:tcPr>
            <w:tcW w:w="609" w:type="pct"/>
            <w:vAlign w:val="center"/>
          </w:tcPr>
          <w:p w14:paraId="65F9E2AA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proofErr w:type="gramStart"/>
            <w:r>
              <w:rPr>
                <w:rFonts w:hAnsi="宋体"/>
                <w:sz w:val="18"/>
                <w:szCs w:val="18"/>
              </w:rPr>
              <w:t>涂宇</w:t>
            </w:r>
            <w:proofErr w:type="gramEnd"/>
          </w:p>
        </w:tc>
        <w:tc>
          <w:tcPr>
            <w:tcW w:w="3958" w:type="pct"/>
            <w:vAlign w:val="center"/>
          </w:tcPr>
          <w:p w14:paraId="3E79874C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副组长，协助组长协调相关事项</w:t>
            </w:r>
          </w:p>
        </w:tc>
      </w:tr>
      <w:tr w:rsidR="00C77399" w14:paraId="38446C8F" w14:textId="77777777">
        <w:trPr>
          <w:trHeight w:val="340"/>
          <w:jc w:val="center"/>
        </w:trPr>
        <w:tc>
          <w:tcPr>
            <w:tcW w:w="432" w:type="pct"/>
            <w:vAlign w:val="center"/>
          </w:tcPr>
          <w:p w14:paraId="0B946F81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4</w:t>
            </w:r>
          </w:p>
        </w:tc>
        <w:tc>
          <w:tcPr>
            <w:tcW w:w="609" w:type="pct"/>
            <w:vAlign w:val="center"/>
          </w:tcPr>
          <w:p w14:paraId="58865D23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proofErr w:type="gramStart"/>
            <w:r>
              <w:rPr>
                <w:rFonts w:hAnsi="宋体"/>
                <w:sz w:val="18"/>
                <w:szCs w:val="18"/>
              </w:rPr>
              <w:t>章宁</w:t>
            </w:r>
            <w:proofErr w:type="gramEnd"/>
          </w:p>
        </w:tc>
        <w:tc>
          <w:tcPr>
            <w:tcW w:w="3958" w:type="pct"/>
            <w:vAlign w:val="center"/>
          </w:tcPr>
          <w:p w14:paraId="35AFE72D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副组长，协助组长协调相关事项</w:t>
            </w:r>
          </w:p>
        </w:tc>
      </w:tr>
      <w:tr w:rsidR="00C77399" w14:paraId="4D4DA773" w14:textId="77777777">
        <w:trPr>
          <w:trHeight w:val="340"/>
          <w:jc w:val="center"/>
        </w:trPr>
        <w:tc>
          <w:tcPr>
            <w:tcW w:w="432" w:type="pct"/>
            <w:vAlign w:val="center"/>
          </w:tcPr>
          <w:p w14:paraId="3405812B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5</w:t>
            </w:r>
          </w:p>
        </w:tc>
        <w:tc>
          <w:tcPr>
            <w:tcW w:w="609" w:type="pct"/>
            <w:vAlign w:val="center"/>
          </w:tcPr>
          <w:p w14:paraId="52391295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俞锦</w:t>
            </w:r>
          </w:p>
        </w:tc>
        <w:tc>
          <w:tcPr>
            <w:tcW w:w="3958" w:type="pct"/>
            <w:vAlign w:val="center"/>
          </w:tcPr>
          <w:p w14:paraId="728AAE4D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参与标准主要技术指标的确定</w:t>
            </w:r>
          </w:p>
        </w:tc>
      </w:tr>
      <w:tr w:rsidR="00C77399" w14:paraId="5136FEDF" w14:textId="77777777">
        <w:trPr>
          <w:trHeight w:val="340"/>
          <w:jc w:val="center"/>
        </w:trPr>
        <w:tc>
          <w:tcPr>
            <w:tcW w:w="432" w:type="pct"/>
            <w:vAlign w:val="center"/>
          </w:tcPr>
          <w:p w14:paraId="371DBAC6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lastRenderedPageBreak/>
              <w:t>6</w:t>
            </w:r>
          </w:p>
        </w:tc>
        <w:tc>
          <w:tcPr>
            <w:tcW w:w="609" w:type="pct"/>
            <w:vAlign w:val="center"/>
          </w:tcPr>
          <w:p w14:paraId="0A930929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李安</w:t>
            </w:r>
          </w:p>
        </w:tc>
        <w:tc>
          <w:tcPr>
            <w:tcW w:w="3958" w:type="pct"/>
            <w:vAlign w:val="center"/>
          </w:tcPr>
          <w:p w14:paraId="45D32B75" w14:textId="77777777" w:rsidR="00C77399" w:rsidRDefault="00000000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参与标准主要技术指标的确定</w:t>
            </w:r>
          </w:p>
        </w:tc>
      </w:tr>
    </w:tbl>
    <w:p w14:paraId="45DC82E9" w14:textId="77777777" w:rsidR="00C77399" w:rsidRDefault="00000000">
      <w:pPr>
        <w:pStyle w:val="TOC2"/>
        <w:tabs>
          <w:tab w:val="right" w:leader="dot" w:pos="9174"/>
        </w:tabs>
        <w:autoSpaceDE/>
        <w:autoSpaceDN/>
        <w:adjustRightInd/>
        <w:spacing w:beforeLines="50" w:before="156" w:afterLines="50" w:after="156"/>
        <w:ind w:leftChars="0" w:left="0"/>
        <w:rPr>
          <w:rFonts w:ascii="黑体" w:eastAsia="黑体" w:hAnsi="黑体" w:cs="黑体"/>
          <w:kern w:val="2"/>
          <w:sz w:val="21"/>
        </w:rPr>
      </w:pPr>
      <w:bookmarkStart w:id="12" w:name="_Toc11604"/>
      <w:r>
        <w:rPr>
          <w:rFonts w:ascii="黑体" w:eastAsia="黑体" w:hAnsi="黑体" w:cs="黑体"/>
          <w:kern w:val="2"/>
          <w:sz w:val="21"/>
        </w:rPr>
        <w:t>（三）</w:t>
      </w:r>
      <w:r>
        <w:rPr>
          <w:rFonts w:ascii="黑体" w:eastAsia="黑体" w:hAnsi="黑体" w:cs="黑体" w:hint="default"/>
          <w:kern w:val="2"/>
          <w:sz w:val="21"/>
        </w:rPr>
        <w:t>主要工作过程</w:t>
      </w:r>
      <w:bookmarkEnd w:id="12"/>
      <w:r>
        <w:rPr>
          <w:rFonts w:ascii="黑体" w:eastAsia="黑体" w:hAnsi="黑体" w:cs="黑体" w:hint="default"/>
          <w:kern w:val="2"/>
          <w:sz w:val="21"/>
        </w:rPr>
        <w:t xml:space="preserve"> </w:t>
      </w:r>
      <w:bookmarkStart w:id="13" w:name="_Toc16741"/>
    </w:p>
    <w:p w14:paraId="3796EC94" w14:textId="77777777" w:rsidR="00C77399" w:rsidRDefault="00000000">
      <w:pPr>
        <w:pStyle w:val="20"/>
        <w:spacing w:before="156" w:after="156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default"/>
        </w:rPr>
        <w:t>预研阶段</w:t>
      </w:r>
      <w:bookmarkEnd w:id="13"/>
    </w:p>
    <w:p w14:paraId="33FEABA1" w14:textId="77777777" w:rsidR="00C77399" w:rsidRDefault="00000000">
      <w:pPr>
        <w:autoSpaceDE/>
        <w:autoSpaceDN/>
        <w:adjustRightInd/>
        <w:ind w:firstLineChars="200" w:firstLine="440"/>
        <w:jc w:val="both"/>
        <w:rPr>
          <w:rFonts w:hAnsi="宋体"/>
          <w:kern w:val="2"/>
          <w:sz w:val="21"/>
          <w:szCs w:val="21"/>
        </w:rPr>
      </w:pPr>
      <w:r>
        <w:t>2024年2月，根据</w:t>
      </w:r>
      <w:r>
        <w:rPr>
          <w:rFonts w:hAnsi="宋体"/>
          <w:szCs w:val="21"/>
        </w:rPr>
        <w:t>有色标委[2024]20号文件通知要求，征集2024年度有色金属国家标准、行业标准、协会标准项目计划，</w:t>
      </w:r>
      <w:r>
        <w:rPr>
          <w:rFonts w:hAnsi="宋体" w:hint="default"/>
          <w:kern w:val="2"/>
          <w:sz w:val="21"/>
          <w:szCs w:val="21"/>
        </w:rPr>
        <w:t>江西铜业股份有限公司</w:t>
      </w:r>
      <w:r>
        <w:rPr>
          <w:rFonts w:hAnsi="宋体"/>
          <w:kern w:val="2"/>
          <w:sz w:val="21"/>
          <w:szCs w:val="21"/>
        </w:rPr>
        <w:t>组织相关人员成立</w:t>
      </w:r>
      <w:r>
        <w:rPr>
          <w:rFonts w:hAnsi="宋体" w:hint="default"/>
          <w:kern w:val="2"/>
          <w:sz w:val="21"/>
          <w:szCs w:val="21"/>
        </w:rPr>
        <w:t>标准编制小组</w:t>
      </w:r>
      <w:r>
        <w:rPr>
          <w:rFonts w:hAnsi="宋体"/>
          <w:kern w:val="2"/>
          <w:sz w:val="21"/>
          <w:szCs w:val="21"/>
        </w:rPr>
        <w:t>，对计划制定的标准进行梳理总结，提出制定</w:t>
      </w:r>
      <w:r>
        <w:rPr>
          <w:rFonts w:hAnsi="宋体" w:hint="default"/>
          <w:kern w:val="2"/>
          <w:sz w:val="21"/>
          <w:szCs w:val="21"/>
        </w:rPr>
        <w:t>《</w:t>
      </w:r>
      <w:r>
        <w:rPr>
          <w:rFonts w:hAnsi="宋体"/>
          <w:kern w:val="2"/>
          <w:sz w:val="21"/>
          <w:szCs w:val="21"/>
        </w:rPr>
        <w:t>湿法冶金用</w:t>
      </w:r>
      <w:r>
        <w:rPr>
          <w:rFonts w:hAnsi="宋体"/>
          <w:sz w:val="21"/>
          <w:szCs w:val="21"/>
        </w:rPr>
        <w:t>防腐</w:t>
      </w:r>
      <w:r>
        <w:rPr>
          <w:rFonts w:asciiTheme="minorEastAsia" w:hAnsiTheme="minorEastAsia"/>
          <w:sz w:val="21"/>
          <w:szCs w:val="21"/>
        </w:rPr>
        <w:t>复合板</w:t>
      </w:r>
      <w:r>
        <w:rPr>
          <w:rFonts w:hAnsi="宋体" w:hint="default"/>
          <w:kern w:val="2"/>
          <w:sz w:val="21"/>
          <w:szCs w:val="21"/>
        </w:rPr>
        <w:t>》</w:t>
      </w:r>
      <w:r>
        <w:rPr>
          <w:rFonts w:hAnsi="宋体"/>
          <w:kern w:val="2"/>
          <w:sz w:val="21"/>
          <w:szCs w:val="21"/>
        </w:rPr>
        <w:t>团体</w:t>
      </w:r>
      <w:r>
        <w:rPr>
          <w:rFonts w:hAnsi="宋体" w:hint="default"/>
          <w:kern w:val="2"/>
          <w:sz w:val="21"/>
          <w:szCs w:val="21"/>
        </w:rPr>
        <w:t>标准</w:t>
      </w:r>
      <w:r>
        <w:rPr>
          <w:rFonts w:hAnsi="宋体"/>
          <w:kern w:val="2"/>
          <w:sz w:val="21"/>
          <w:szCs w:val="21"/>
        </w:rPr>
        <w:t>。</w:t>
      </w:r>
      <w:r>
        <w:rPr>
          <w:rFonts w:hAnsi="宋体" w:hint="default"/>
          <w:kern w:val="2"/>
          <w:sz w:val="21"/>
          <w:szCs w:val="21"/>
        </w:rPr>
        <w:t>标准编制小组开展标准调研工作</w:t>
      </w:r>
      <w:r>
        <w:rPr>
          <w:rFonts w:hAnsi="宋体"/>
          <w:kern w:val="2"/>
          <w:sz w:val="21"/>
          <w:szCs w:val="21"/>
        </w:rPr>
        <w:t>，了解企业生产</w:t>
      </w:r>
      <w:r>
        <w:rPr>
          <w:rFonts w:hAnsi="宋体"/>
          <w:sz w:val="21"/>
          <w:szCs w:val="21"/>
        </w:rPr>
        <w:t>防腐</w:t>
      </w:r>
      <w:r>
        <w:rPr>
          <w:rFonts w:asciiTheme="minorEastAsia" w:hAnsiTheme="minorEastAsia"/>
          <w:sz w:val="21"/>
          <w:szCs w:val="21"/>
        </w:rPr>
        <w:t>复合板</w:t>
      </w:r>
      <w:r>
        <w:rPr>
          <w:rFonts w:hAnsi="宋体"/>
          <w:kern w:val="2"/>
          <w:sz w:val="21"/>
          <w:szCs w:val="21"/>
        </w:rPr>
        <w:t>的品质及销售情况，与企业技术人员深入讨论产品标准的具体要求，参观企业现场工作情况，根据此次调研情况，整理形成项目建议书、标准草案、项目申报书，并提交标委会秘书处。</w:t>
      </w:r>
    </w:p>
    <w:p w14:paraId="4C0B0C5D" w14:textId="77777777" w:rsidR="00C77399" w:rsidRDefault="00000000">
      <w:pPr>
        <w:autoSpaceDE/>
        <w:autoSpaceDN/>
        <w:adjustRightInd/>
        <w:ind w:firstLineChars="200" w:firstLine="420"/>
        <w:jc w:val="both"/>
        <w:rPr>
          <w:rFonts w:hAnsi="宋体"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2024年4月，有色标委会在长沙召开有色金属标准项目论证会，</w:t>
      </w:r>
      <w:r>
        <w:rPr>
          <w:rFonts w:hAnsi="宋体" w:hint="default"/>
          <w:kern w:val="2"/>
          <w:sz w:val="21"/>
          <w:szCs w:val="21"/>
        </w:rPr>
        <w:t>《</w:t>
      </w:r>
      <w:r>
        <w:rPr>
          <w:rFonts w:hAnsi="宋体"/>
          <w:kern w:val="2"/>
          <w:sz w:val="21"/>
          <w:szCs w:val="21"/>
        </w:rPr>
        <w:t>湿法冶金用</w:t>
      </w:r>
      <w:r>
        <w:rPr>
          <w:rFonts w:hAnsi="宋体"/>
          <w:sz w:val="21"/>
          <w:szCs w:val="21"/>
        </w:rPr>
        <w:t>防腐</w:t>
      </w:r>
      <w:r>
        <w:rPr>
          <w:rFonts w:asciiTheme="minorEastAsia" w:hAnsiTheme="minorEastAsia"/>
          <w:sz w:val="21"/>
          <w:szCs w:val="21"/>
        </w:rPr>
        <w:t>复合板</w:t>
      </w:r>
      <w:r>
        <w:rPr>
          <w:rFonts w:hAnsi="宋体" w:hint="default"/>
          <w:kern w:val="2"/>
          <w:sz w:val="21"/>
          <w:szCs w:val="21"/>
        </w:rPr>
        <w:t>》</w:t>
      </w:r>
      <w:r>
        <w:rPr>
          <w:rFonts w:hAnsi="宋体"/>
          <w:kern w:val="2"/>
          <w:sz w:val="21"/>
          <w:szCs w:val="21"/>
        </w:rPr>
        <w:t>团体</w:t>
      </w:r>
      <w:r>
        <w:rPr>
          <w:rFonts w:hAnsi="宋体" w:hint="default"/>
          <w:kern w:val="2"/>
          <w:sz w:val="21"/>
          <w:szCs w:val="21"/>
        </w:rPr>
        <w:t>标准</w:t>
      </w:r>
      <w:r>
        <w:rPr>
          <w:rFonts w:hAnsi="宋体"/>
          <w:kern w:val="2"/>
          <w:sz w:val="21"/>
          <w:szCs w:val="21"/>
        </w:rPr>
        <w:t>上会论证，</w:t>
      </w:r>
      <w:r>
        <w:rPr>
          <w:rFonts w:hAnsi="宋体" w:hint="default"/>
          <w:kern w:val="2"/>
          <w:sz w:val="21"/>
          <w:szCs w:val="21"/>
        </w:rPr>
        <w:t>全体委员会</w:t>
      </w:r>
      <w:proofErr w:type="gramStart"/>
      <w:r>
        <w:rPr>
          <w:rFonts w:hAnsi="宋体" w:hint="default"/>
          <w:kern w:val="2"/>
          <w:sz w:val="21"/>
          <w:szCs w:val="21"/>
        </w:rPr>
        <w:t>议论证</w:t>
      </w:r>
      <w:proofErr w:type="gramEnd"/>
      <w:r>
        <w:rPr>
          <w:rFonts w:hAnsi="宋体" w:hint="default"/>
          <w:kern w:val="2"/>
          <w:sz w:val="21"/>
          <w:szCs w:val="21"/>
        </w:rPr>
        <w:t>结论为同意</w:t>
      </w:r>
      <w:r>
        <w:rPr>
          <w:rFonts w:hAnsi="宋体"/>
          <w:kern w:val="2"/>
          <w:sz w:val="21"/>
          <w:szCs w:val="21"/>
        </w:rPr>
        <w:t>该团体</w:t>
      </w:r>
      <w:r>
        <w:rPr>
          <w:rFonts w:hAnsi="宋体" w:hint="default"/>
          <w:kern w:val="2"/>
          <w:sz w:val="21"/>
          <w:szCs w:val="21"/>
        </w:rPr>
        <w:t>标准立项，</w:t>
      </w:r>
      <w:r>
        <w:rPr>
          <w:rFonts w:hAnsi="宋体"/>
          <w:kern w:val="2"/>
          <w:sz w:val="21"/>
          <w:szCs w:val="21"/>
        </w:rPr>
        <w:t>同时提出修改意见。</w:t>
      </w:r>
      <w:r>
        <w:rPr>
          <w:rFonts w:hAnsi="宋体" w:hint="default"/>
          <w:kern w:val="2"/>
          <w:sz w:val="21"/>
          <w:szCs w:val="21"/>
        </w:rPr>
        <w:t>标准编制小组</w:t>
      </w:r>
      <w:r>
        <w:rPr>
          <w:rFonts w:hAnsi="宋体"/>
          <w:kern w:val="2"/>
          <w:sz w:val="21"/>
          <w:szCs w:val="21"/>
        </w:rPr>
        <w:t>针对有色标委会提出的意见，修改项目建议书、标准草案、项目申报书，重新提交到标委会秘书处。</w:t>
      </w:r>
    </w:p>
    <w:p w14:paraId="5EE6338F" w14:textId="77777777" w:rsidR="00C77399" w:rsidRDefault="00000000">
      <w:pPr>
        <w:pStyle w:val="30"/>
        <w:spacing w:before="156" w:after="156"/>
        <w:rPr>
          <w:rFonts w:ascii="Times New Roman" w:hAnsi="Times New Roman" w:cs="Times New Roman" w:hint="default"/>
        </w:rPr>
      </w:pPr>
      <w:bookmarkStart w:id="14" w:name="_Toc22341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default"/>
        </w:rPr>
        <w:t>立项</w:t>
      </w:r>
      <w:bookmarkEnd w:id="14"/>
      <w:r>
        <w:rPr>
          <w:rFonts w:ascii="Times New Roman" w:hAnsi="Times New Roman" w:cs="Times New Roman"/>
        </w:rPr>
        <w:t>阶段</w:t>
      </w:r>
    </w:p>
    <w:p w14:paraId="4054E4BE" w14:textId="77777777" w:rsidR="00C77399" w:rsidRDefault="00000000">
      <w:pPr>
        <w:autoSpaceDE/>
        <w:autoSpaceDN/>
        <w:adjustRightInd/>
        <w:ind w:firstLineChars="200" w:firstLine="420"/>
        <w:jc w:val="both"/>
        <w:rPr>
          <w:rFonts w:hAnsi="宋体"/>
          <w:kern w:val="2"/>
          <w:sz w:val="21"/>
          <w:szCs w:val="21"/>
        </w:rPr>
      </w:pPr>
      <w:r>
        <w:rPr>
          <w:rFonts w:hAnsi="宋体" w:hint="default"/>
          <w:kern w:val="2"/>
          <w:sz w:val="21"/>
          <w:szCs w:val="21"/>
        </w:rPr>
        <w:t>202</w:t>
      </w:r>
      <w:r>
        <w:rPr>
          <w:rFonts w:hAnsi="宋体"/>
          <w:kern w:val="2"/>
          <w:sz w:val="21"/>
          <w:szCs w:val="21"/>
        </w:rPr>
        <w:t>4</w:t>
      </w:r>
      <w:r>
        <w:rPr>
          <w:rFonts w:hAnsi="宋体" w:hint="default"/>
          <w:kern w:val="2"/>
          <w:sz w:val="21"/>
          <w:szCs w:val="21"/>
        </w:rPr>
        <w:t>年</w:t>
      </w:r>
      <w:r>
        <w:rPr>
          <w:rFonts w:hAnsi="宋体"/>
          <w:kern w:val="2"/>
          <w:sz w:val="21"/>
          <w:szCs w:val="21"/>
        </w:rPr>
        <w:t>8</w:t>
      </w:r>
      <w:r>
        <w:rPr>
          <w:rFonts w:hAnsi="宋体" w:hint="default"/>
          <w:kern w:val="2"/>
          <w:sz w:val="21"/>
          <w:szCs w:val="21"/>
        </w:rPr>
        <w:t>月，根据</w:t>
      </w:r>
      <w:r>
        <w:rPr>
          <w:rFonts w:hAnsi="宋体"/>
          <w:kern w:val="2"/>
          <w:sz w:val="21"/>
          <w:szCs w:val="21"/>
        </w:rPr>
        <w:t>中</w:t>
      </w:r>
      <w:proofErr w:type="gramStart"/>
      <w:r>
        <w:rPr>
          <w:rFonts w:hAnsi="宋体"/>
          <w:kern w:val="2"/>
          <w:sz w:val="21"/>
          <w:szCs w:val="21"/>
        </w:rPr>
        <w:t>色协</w:t>
      </w:r>
      <w:r>
        <w:rPr>
          <w:rFonts w:hAnsi="宋体" w:hint="default"/>
          <w:kern w:val="2"/>
          <w:sz w:val="21"/>
          <w:szCs w:val="21"/>
        </w:rPr>
        <w:t>科</w:t>
      </w:r>
      <w:proofErr w:type="gramEnd"/>
      <w:r>
        <w:rPr>
          <w:rFonts w:hAnsi="宋体"/>
          <w:kern w:val="2"/>
          <w:sz w:val="21"/>
          <w:szCs w:val="21"/>
        </w:rPr>
        <w:t>字</w:t>
      </w:r>
      <w:r>
        <w:rPr>
          <w:rFonts w:hAnsi="宋体" w:hint="default"/>
          <w:kern w:val="2"/>
          <w:sz w:val="21"/>
          <w:szCs w:val="21"/>
        </w:rPr>
        <w:t>[202</w:t>
      </w:r>
      <w:r>
        <w:rPr>
          <w:rFonts w:hAnsi="宋体"/>
          <w:kern w:val="2"/>
          <w:sz w:val="21"/>
          <w:szCs w:val="21"/>
        </w:rPr>
        <w:t>4</w:t>
      </w:r>
      <w:r>
        <w:rPr>
          <w:rFonts w:hAnsi="宋体" w:hint="default"/>
          <w:kern w:val="2"/>
          <w:sz w:val="21"/>
          <w:szCs w:val="21"/>
        </w:rPr>
        <w:t>]</w:t>
      </w:r>
      <w:r>
        <w:rPr>
          <w:rFonts w:hAnsi="宋体"/>
          <w:kern w:val="2"/>
          <w:sz w:val="21"/>
          <w:szCs w:val="21"/>
        </w:rPr>
        <w:t>80</w:t>
      </w:r>
      <w:r>
        <w:rPr>
          <w:rFonts w:hAnsi="宋体" w:hint="default"/>
          <w:kern w:val="2"/>
          <w:sz w:val="21"/>
          <w:szCs w:val="21"/>
        </w:rPr>
        <w:t>号</w:t>
      </w:r>
      <w:r>
        <w:rPr>
          <w:rFonts w:hAnsi="宋体"/>
          <w:kern w:val="2"/>
          <w:sz w:val="21"/>
          <w:szCs w:val="21"/>
        </w:rPr>
        <w:t>和中</w:t>
      </w:r>
      <w:proofErr w:type="gramStart"/>
      <w:r>
        <w:rPr>
          <w:rFonts w:hAnsi="宋体"/>
          <w:kern w:val="2"/>
          <w:sz w:val="21"/>
          <w:szCs w:val="21"/>
        </w:rPr>
        <w:t>色协</w:t>
      </w:r>
      <w:r>
        <w:rPr>
          <w:rFonts w:hAnsi="宋体" w:hint="default"/>
          <w:kern w:val="2"/>
          <w:sz w:val="21"/>
          <w:szCs w:val="21"/>
        </w:rPr>
        <w:t>科</w:t>
      </w:r>
      <w:proofErr w:type="gramEnd"/>
      <w:r>
        <w:rPr>
          <w:rFonts w:hAnsi="宋体"/>
          <w:kern w:val="2"/>
          <w:sz w:val="21"/>
          <w:szCs w:val="21"/>
        </w:rPr>
        <w:t>字</w:t>
      </w:r>
      <w:r>
        <w:rPr>
          <w:rFonts w:hAnsi="宋体" w:hint="default"/>
          <w:kern w:val="2"/>
          <w:sz w:val="21"/>
          <w:szCs w:val="21"/>
        </w:rPr>
        <w:t>[202</w:t>
      </w:r>
      <w:r>
        <w:rPr>
          <w:rFonts w:hAnsi="宋体"/>
          <w:kern w:val="2"/>
          <w:sz w:val="21"/>
          <w:szCs w:val="21"/>
        </w:rPr>
        <w:t>4</w:t>
      </w:r>
      <w:r>
        <w:rPr>
          <w:rFonts w:hAnsi="宋体" w:hint="default"/>
          <w:kern w:val="2"/>
          <w:sz w:val="21"/>
          <w:szCs w:val="21"/>
        </w:rPr>
        <w:t>]</w:t>
      </w:r>
      <w:r>
        <w:rPr>
          <w:rFonts w:hAnsi="宋体"/>
          <w:kern w:val="2"/>
          <w:sz w:val="21"/>
          <w:szCs w:val="21"/>
        </w:rPr>
        <w:t>92</w:t>
      </w:r>
      <w:r>
        <w:rPr>
          <w:rFonts w:hAnsi="宋体" w:hint="default"/>
          <w:kern w:val="2"/>
          <w:sz w:val="21"/>
          <w:szCs w:val="21"/>
        </w:rPr>
        <w:t>号的文件通知要求，有色标委会下达了</w:t>
      </w:r>
      <w:r>
        <w:rPr>
          <w:rFonts w:hAnsi="宋体"/>
          <w:kern w:val="2"/>
          <w:sz w:val="21"/>
          <w:szCs w:val="21"/>
        </w:rPr>
        <w:t>制定</w:t>
      </w:r>
      <w:r>
        <w:rPr>
          <w:rFonts w:hAnsi="宋体" w:hint="default"/>
          <w:kern w:val="2"/>
          <w:sz w:val="21"/>
          <w:szCs w:val="21"/>
        </w:rPr>
        <w:t>《</w:t>
      </w:r>
      <w:r>
        <w:rPr>
          <w:rFonts w:hAnsi="宋体"/>
          <w:kern w:val="2"/>
          <w:sz w:val="21"/>
          <w:szCs w:val="21"/>
        </w:rPr>
        <w:t>湿法冶金用</w:t>
      </w:r>
      <w:r>
        <w:rPr>
          <w:rFonts w:hAnsi="宋体"/>
          <w:sz w:val="21"/>
          <w:szCs w:val="21"/>
        </w:rPr>
        <w:t>防腐</w:t>
      </w:r>
      <w:r>
        <w:rPr>
          <w:rFonts w:asciiTheme="minorEastAsia" w:hAnsiTheme="minorEastAsia"/>
          <w:sz w:val="21"/>
          <w:szCs w:val="21"/>
        </w:rPr>
        <w:t>复合板</w:t>
      </w:r>
      <w:r>
        <w:rPr>
          <w:rFonts w:hAnsi="宋体" w:hint="default"/>
          <w:kern w:val="2"/>
          <w:sz w:val="21"/>
          <w:szCs w:val="21"/>
        </w:rPr>
        <w:t>》</w:t>
      </w:r>
      <w:r>
        <w:rPr>
          <w:rFonts w:hAnsi="宋体"/>
          <w:kern w:val="2"/>
          <w:sz w:val="21"/>
          <w:szCs w:val="21"/>
        </w:rPr>
        <w:t>团体</w:t>
      </w:r>
      <w:r>
        <w:rPr>
          <w:rFonts w:hAnsi="宋体" w:hint="default"/>
          <w:kern w:val="2"/>
          <w:sz w:val="21"/>
          <w:szCs w:val="21"/>
        </w:rPr>
        <w:t>标准的任务，完成</w:t>
      </w:r>
      <w:r>
        <w:rPr>
          <w:rFonts w:hAnsi="宋体"/>
          <w:kern w:val="2"/>
          <w:sz w:val="21"/>
          <w:szCs w:val="21"/>
        </w:rPr>
        <w:t>年</w:t>
      </w:r>
      <w:r>
        <w:rPr>
          <w:rFonts w:hAnsi="宋体" w:hint="default"/>
          <w:kern w:val="2"/>
          <w:sz w:val="21"/>
          <w:szCs w:val="21"/>
        </w:rPr>
        <w:t>限为202</w:t>
      </w:r>
      <w:r>
        <w:rPr>
          <w:rFonts w:hAnsi="宋体"/>
          <w:kern w:val="2"/>
          <w:sz w:val="21"/>
          <w:szCs w:val="21"/>
        </w:rPr>
        <w:t>6</w:t>
      </w:r>
      <w:r>
        <w:rPr>
          <w:rFonts w:hAnsi="宋体" w:hint="default"/>
          <w:kern w:val="2"/>
          <w:sz w:val="21"/>
          <w:szCs w:val="21"/>
        </w:rPr>
        <w:t>年，技术归口</w:t>
      </w:r>
      <w:r>
        <w:rPr>
          <w:rFonts w:hAnsi="宋体"/>
          <w:kern w:val="2"/>
          <w:sz w:val="21"/>
          <w:szCs w:val="21"/>
        </w:rPr>
        <w:t>单位</w:t>
      </w:r>
      <w:r>
        <w:rPr>
          <w:rFonts w:hAnsi="宋体" w:hint="default"/>
          <w:kern w:val="2"/>
          <w:sz w:val="21"/>
          <w:szCs w:val="21"/>
        </w:rPr>
        <w:t>为有色标委会。</w:t>
      </w:r>
      <w:r>
        <w:rPr>
          <w:rFonts w:hAnsi="宋体"/>
          <w:kern w:val="2"/>
          <w:sz w:val="21"/>
          <w:szCs w:val="21"/>
        </w:rPr>
        <w:t>根据标委会的建议，编制组对</w:t>
      </w:r>
      <w:r>
        <w:rPr>
          <w:rFonts w:hAnsi="宋体" w:hint="default"/>
          <w:kern w:val="2"/>
          <w:sz w:val="21"/>
          <w:szCs w:val="21"/>
        </w:rPr>
        <w:t>《</w:t>
      </w:r>
      <w:r>
        <w:rPr>
          <w:rFonts w:hAnsi="宋体"/>
          <w:kern w:val="2"/>
          <w:sz w:val="21"/>
          <w:szCs w:val="21"/>
        </w:rPr>
        <w:t>湿法冶金用</w:t>
      </w:r>
      <w:r>
        <w:rPr>
          <w:rFonts w:hAnsi="宋体"/>
          <w:sz w:val="21"/>
          <w:szCs w:val="21"/>
        </w:rPr>
        <w:t>防腐</w:t>
      </w:r>
      <w:r>
        <w:rPr>
          <w:rFonts w:asciiTheme="minorEastAsia" w:hAnsiTheme="minorEastAsia"/>
          <w:sz w:val="21"/>
          <w:szCs w:val="21"/>
        </w:rPr>
        <w:t>复合板</w:t>
      </w:r>
      <w:r>
        <w:rPr>
          <w:rFonts w:hAnsi="宋体" w:hint="default"/>
          <w:kern w:val="2"/>
          <w:sz w:val="21"/>
          <w:szCs w:val="21"/>
        </w:rPr>
        <w:t>》</w:t>
      </w:r>
      <w:r>
        <w:rPr>
          <w:rFonts w:hAnsi="宋体"/>
          <w:kern w:val="2"/>
          <w:sz w:val="21"/>
          <w:szCs w:val="21"/>
        </w:rPr>
        <w:t>团体</w:t>
      </w:r>
      <w:r>
        <w:rPr>
          <w:rFonts w:hAnsi="宋体" w:hint="default"/>
          <w:kern w:val="2"/>
          <w:sz w:val="21"/>
          <w:szCs w:val="21"/>
        </w:rPr>
        <w:t>标准</w:t>
      </w:r>
      <w:r>
        <w:rPr>
          <w:rFonts w:hAnsi="宋体"/>
          <w:kern w:val="2"/>
          <w:sz w:val="21"/>
          <w:szCs w:val="21"/>
        </w:rPr>
        <w:t>的初稿进行修改，形成了讨论稿，同时撰写编制说明，填写项目任务书。</w:t>
      </w:r>
    </w:p>
    <w:p w14:paraId="13D8272A" w14:textId="77777777" w:rsidR="00C77399" w:rsidRDefault="00000000">
      <w:pPr>
        <w:autoSpaceDE/>
        <w:autoSpaceDN/>
        <w:adjustRightInd/>
        <w:ind w:firstLineChars="200" w:firstLine="420"/>
        <w:jc w:val="both"/>
        <w:rPr>
          <w:rFonts w:hAnsi="宋体"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2024年11月，在全国有色金属标准技术工作会议上对</w:t>
      </w:r>
      <w:r>
        <w:rPr>
          <w:rFonts w:hAnsi="宋体" w:hint="default"/>
          <w:kern w:val="2"/>
          <w:sz w:val="21"/>
          <w:szCs w:val="21"/>
        </w:rPr>
        <w:t>《</w:t>
      </w:r>
      <w:r>
        <w:rPr>
          <w:rFonts w:hAnsi="宋体"/>
          <w:kern w:val="2"/>
          <w:sz w:val="21"/>
          <w:szCs w:val="21"/>
        </w:rPr>
        <w:t>湿法冶金用</w:t>
      </w:r>
      <w:r>
        <w:rPr>
          <w:rFonts w:hAnsi="宋体"/>
          <w:sz w:val="21"/>
          <w:szCs w:val="21"/>
        </w:rPr>
        <w:t>防腐</w:t>
      </w:r>
      <w:r>
        <w:rPr>
          <w:rFonts w:asciiTheme="minorEastAsia" w:hAnsiTheme="minorEastAsia"/>
          <w:sz w:val="21"/>
          <w:szCs w:val="21"/>
        </w:rPr>
        <w:t>复合板</w:t>
      </w:r>
      <w:r>
        <w:rPr>
          <w:rFonts w:hAnsi="宋体" w:hint="default"/>
          <w:kern w:val="2"/>
          <w:sz w:val="21"/>
          <w:szCs w:val="21"/>
        </w:rPr>
        <w:t>》</w:t>
      </w:r>
      <w:r>
        <w:rPr>
          <w:rFonts w:hAnsi="宋体"/>
          <w:kern w:val="2"/>
          <w:sz w:val="21"/>
          <w:szCs w:val="21"/>
        </w:rPr>
        <w:t>团体</w:t>
      </w:r>
      <w:r>
        <w:rPr>
          <w:rFonts w:hAnsi="宋体" w:hint="default"/>
          <w:kern w:val="2"/>
          <w:sz w:val="21"/>
          <w:szCs w:val="21"/>
        </w:rPr>
        <w:t>标准</w:t>
      </w:r>
      <w:r>
        <w:rPr>
          <w:rFonts w:hAnsi="宋体"/>
          <w:kern w:val="2"/>
          <w:sz w:val="21"/>
          <w:szCs w:val="21"/>
        </w:rPr>
        <w:t>进行了讨论，根据标委会的建议，编制组对标准讨论稿作进一步修改完善，形成预审稿。</w:t>
      </w:r>
    </w:p>
    <w:p w14:paraId="66633D70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15" w:name="_Toc4247"/>
      <w:bookmarkStart w:id="16" w:name="_Toc14535"/>
      <w:r>
        <w:rPr>
          <w:rFonts w:ascii="Times New Roman" w:hAnsi="Times New Roman" w:cs="Times New Roman" w:hint="default"/>
        </w:rPr>
        <w:t>二、</w:t>
      </w:r>
      <w:r>
        <w:rPr>
          <w:rFonts w:ascii="Times New Roman" w:hAnsi="Times New Roman" w:cs="Times New Roman"/>
        </w:rPr>
        <w:t>标准</w:t>
      </w:r>
      <w:r>
        <w:rPr>
          <w:rFonts w:ascii="Times New Roman" w:hAnsi="Times New Roman" w:cs="Times New Roman" w:hint="default"/>
        </w:rPr>
        <w:t>编制原则</w:t>
      </w:r>
      <w:bookmarkEnd w:id="15"/>
      <w:bookmarkEnd w:id="16"/>
    </w:p>
    <w:p w14:paraId="0838E0F6" w14:textId="77777777" w:rsidR="00C77399" w:rsidRDefault="00000000">
      <w:p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1.</w:t>
      </w:r>
      <w:r>
        <w:rPr>
          <w:rFonts w:hAnsi="宋体" w:hint="default"/>
          <w:kern w:val="2"/>
          <w:sz w:val="21"/>
          <w:szCs w:val="21"/>
        </w:rPr>
        <w:t>本文件的制定工作遵循“统一性、协调性、适用性、一致性、规范性”的原则，本着先进性、科学性、合理性和可操作性的原则，按照GB/T1.1-2020《标准化工作导则第1部分:标准化文件的结构和起草规则》给出的规则编写。</w:t>
      </w:r>
    </w:p>
    <w:p w14:paraId="091AE6BB" w14:textId="77777777" w:rsidR="00C77399" w:rsidRDefault="00000000">
      <w:p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>
        <w:rPr>
          <w:rFonts w:hAnsi="宋体" w:hint="default"/>
          <w:kern w:val="2"/>
          <w:sz w:val="21"/>
          <w:szCs w:val="21"/>
        </w:rPr>
        <w:t>2</w:t>
      </w:r>
      <w:r>
        <w:rPr>
          <w:rFonts w:hAnsi="宋体"/>
          <w:kern w:val="2"/>
          <w:sz w:val="21"/>
          <w:szCs w:val="21"/>
        </w:rPr>
        <w:t>.</w:t>
      </w:r>
      <w:r>
        <w:rPr>
          <w:rFonts w:hAnsi="宋体" w:hint="default"/>
          <w:kern w:val="2"/>
          <w:sz w:val="21"/>
          <w:szCs w:val="21"/>
        </w:rPr>
        <w:t>编制</w:t>
      </w:r>
      <w:proofErr w:type="gramStart"/>
      <w:r>
        <w:rPr>
          <w:rFonts w:hAnsi="宋体" w:hint="default"/>
          <w:kern w:val="2"/>
          <w:sz w:val="21"/>
          <w:szCs w:val="21"/>
        </w:rPr>
        <w:t>《</w:t>
      </w:r>
      <w:r>
        <w:rPr>
          <w:rFonts w:hAnsi="宋体"/>
          <w:kern w:val="2"/>
          <w:sz w:val="21"/>
          <w:szCs w:val="21"/>
        </w:rPr>
        <w:t>湿法冶金用</w:t>
      </w:r>
      <w:r>
        <w:rPr>
          <w:rFonts w:hAnsi="宋体"/>
          <w:sz w:val="21"/>
          <w:szCs w:val="21"/>
        </w:rPr>
        <w:t>防腐</w:t>
      </w:r>
      <w:r>
        <w:rPr>
          <w:rFonts w:asciiTheme="minorEastAsia" w:hAnsiTheme="minorEastAsia"/>
          <w:sz w:val="21"/>
          <w:szCs w:val="21"/>
        </w:rPr>
        <w:t>复合板</w:t>
      </w:r>
      <w:r>
        <w:rPr>
          <w:rFonts w:hAnsi="宋体" w:hint="default"/>
          <w:kern w:val="2"/>
          <w:sz w:val="21"/>
          <w:szCs w:val="21"/>
        </w:rPr>
        <w:t>》团标以</w:t>
      </w:r>
      <w:proofErr w:type="gramEnd"/>
      <w:r>
        <w:rPr>
          <w:rFonts w:hAnsi="宋体" w:hint="default"/>
          <w:kern w:val="2"/>
          <w:sz w:val="21"/>
          <w:szCs w:val="21"/>
        </w:rPr>
        <w:t>满足市场需求为指导，应有利于</w:t>
      </w:r>
      <w:r>
        <w:rPr>
          <w:rFonts w:hAnsi="宋体"/>
          <w:sz w:val="21"/>
          <w:szCs w:val="21"/>
        </w:rPr>
        <w:t>防腐</w:t>
      </w:r>
      <w:r>
        <w:rPr>
          <w:rFonts w:asciiTheme="minorEastAsia" w:hAnsiTheme="minorEastAsia"/>
          <w:sz w:val="21"/>
          <w:szCs w:val="21"/>
        </w:rPr>
        <w:t>复合板</w:t>
      </w:r>
      <w:r>
        <w:rPr>
          <w:rFonts w:hAnsi="宋体" w:hint="default"/>
          <w:kern w:val="2"/>
          <w:sz w:val="21"/>
          <w:szCs w:val="21"/>
        </w:rPr>
        <w:t>的国际、国内贸易，同时也可以起到规范和引导</w:t>
      </w:r>
      <w:r>
        <w:rPr>
          <w:rFonts w:hAnsi="宋体"/>
          <w:sz w:val="21"/>
          <w:szCs w:val="21"/>
        </w:rPr>
        <w:t>防腐</w:t>
      </w:r>
      <w:r>
        <w:rPr>
          <w:rFonts w:asciiTheme="minorEastAsia" w:hAnsiTheme="minorEastAsia"/>
          <w:sz w:val="21"/>
          <w:szCs w:val="21"/>
        </w:rPr>
        <w:t>复合板</w:t>
      </w:r>
      <w:r>
        <w:rPr>
          <w:rFonts w:hAnsi="宋体" w:hint="default"/>
          <w:kern w:val="2"/>
          <w:sz w:val="21"/>
          <w:szCs w:val="21"/>
        </w:rPr>
        <w:t>的生产及消费</w:t>
      </w:r>
      <w:r>
        <w:rPr>
          <w:rFonts w:hAnsi="宋体"/>
          <w:kern w:val="2"/>
          <w:sz w:val="21"/>
          <w:szCs w:val="21"/>
        </w:rPr>
        <w:t>的作用</w:t>
      </w:r>
      <w:r>
        <w:rPr>
          <w:rFonts w:hAnsi="宋体" w:hint="default"/>
          <w:kern w:val="2"/>
          <w:sz w:val="21"/>
          <w:szCs w:val="21"/>
        </w:rPr>
        <w:t>。</w:t>
      </w:r>
    </w:p>
    <w:p w14:paraId="68125199" w14:textId="77777777" w:rsidR="00C77399" w:rsidRDefault="00000000">
      <w:pPr>
        <w:autoSpaceDE/>
        <w:autoSpaceDN/>
        <w:adjustRightInd/>
        <w:jc w:val="both"/>
        <w:rPr>
          <w:rFonts w:hAnsi="宋体"/>
          <w:kern w:val="2"/>
          <w:sz w:val="21"/>
          <w:szCs w:val="21"/>
        </w:rPr>
      </w:pPr>
      <w:r>
        <w:rPr>
          <w:rFonts w:hAnsi="宋体" w:hint="default"/>
          <w:kern w:val="2"/>
          <w:sz w:val="21"/>
          <w:szCs w:val="21"/>
        </w:rPr>
        <w:t>3</w:t>
      </w:r>
      <w:r>
        <w:rPr>
          <w:rFonts w:hAnsi="宋体"/>
          <w:kern w:val="2"/>
          <w:sz w:val="21"/>
          <w:szCs w:val="21"/>
        </w:rPr>
        <w:t>.</w:t>
      </w:r>
      <w:r>
        <w:rPr>
          <w:rFonts w:hAnsi="宋体" w:hint="default"/>
          <w:kern w:val="2"/>
          <w:sz w:val="21"/>
          <w:szCs w:val="21"/>
        </w:rPr>
        <w:t>本文件的编制应充分考虑生产企业的产品质量和相关单位的意见，同时要确保用户的需求，为</w:t>
      </w:r>
      <w:r>
        <w:rPr>
          <w:rFonts w:hAnsi="宋体"/>
          <w:sz w:val="21"/>
          <w:szCs w:val="21"/>
        </w:rPr>
        <w:t>防腐</w:t>
      </w:r>
      <w:r>
        <w:rPr>
          <w:rFonts w:asciiTheme="minorEastAsia" w:hAnsiTheme="minorEastAsia"/>
          <w:sz w:val="21"/>
          <w:szCs w:val="21"/>
        </w:rPr>
        <w:t>复合板</w:t>
      </w:r>
      <w:r>
        <w:rPr>
          <w:rFonts w:hAnsi="宋体" w:hint="default"/>
          <w:kern w:val="2"/>
          <w:sz w:val="21"/>
          <w:szCs w:val="21"/>
        </w:rPr>
        <w:t>使用企业提供满意</w:t>
      </w:r>
      <w:r>
        <w:rPr>
          <w:rFonts w:hAnsi="宋体"/>
          <w:kern w:val="2"/>
          <w:sz w:val="21"/>
          <w:szCs w:val="21"/>
        </w:rPr>
        <w:t>产品</w:t>
      </w:r>
      <w:r>
        <w:rPr>
          <w:rFonts w:hAnsi="宋体" w:hint="default"/>
          <w:kern w:val="2"/>
          <w:sz w:val="21"/>
          <w:szCs w:val="21"/>
        </w:rPr>
        <w:t>。</w:t>
      </w:r>
    </w:p>
    <w:p w14:paraId="21D1473B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>三</w:t>
      </w:r>
      <w:r>
        <w:rPr>
          <w:rFonts w:ascii="Times New Roman" w:hAnsi="Times New Roman" w:cs="Times New Roman" w:hint="default"/>
        </w:rPr>
        <w:t>、</w:t>
      </w:r>
      <w:r>
        <w:rPr>
          <w:rFonts w:ascii="Times New Roman" w:hAnsi="Times New Roman" w:cs="Times New Roman"/>
        </w:rPr>
        <w:t>标准主要内容的确定依据</w:t>
      </w:r>
    </w:p>
    <w:p w14:paraId="74A66471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eastAsia="黑体" w:cs="Times New Roman" w:hint="default"/>
          <w:bCs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本标准所涉及的防腐复合板是一种有机人造石英石板材，在民用建材领域，已有GB/T 41919-2022和JC/T 908-2013等标准，因此，本标准技术内容主要参考GB/T 41919-2022和JC/T 908-2013</w:t>
      </w:r>
      <w:proofErr w:type="gramStart"/>
      <w:r>
        <w:rPr>
          <w:rFonts w:hAnsi="宋体"/>
          <w:kern w:val="2"/>
          <w:sz w:val="21"/>
          <w:szCs w:val="21"/>
        </w:rPr>
        <w:t>两</w:t>
      </w:r>
      <w:proofErr w:type="gramEnd"/>
      <w:r>
        <w:rPr>
          <w:rFonts w:hAnsi="宋体"/>
          <w:kern w:val="2"/>
          <w:sz w:val="21"/>
          <w:szCs w:val="21"/>
        </w:rPr>
        <w:t>个标准，同时结合实际应用中对材料的性能要求，对物理化学性能、尺寸及允许偏差、平整度、外观质量等方面进行限定。</w:t>
      </w:r>
    </w:p>
    <w:p w14:paraId="2E68443B" w14:textId="77777777" w:rsidR="00C77399" w:rsidRDefault="00000000">
      <w:pPr>
        <w:pStyle w:val="a5"/>
        <w:kinsoku w:val="0"/>
        <w:overflowPunct w:val="0"/>
        <w:jc w:val="both"/>
        <w:rPr>
          <w:rFonts w:ascii="Times New Roman" w:eastAsia="黑体" w:cs="Times New Roman" w:hint="default"/>
          <w:bCs/>
          <w:sz w:val="21"/>
          <w:szCs w:val="21"/>
        </w:rPr>
      </w:pPr>
      <w:r>
        <w:rPr>
          <w:rFonts w:ascii="Times New Roman" w:eastAsia="黑体" w:cs="Times New Roman"/>
          <w:bCs/>
          <w:sz w:val="21"/>
          <w:szCs w:val="21"/>
        </w:rPr>
        <w:t>（一）物理化学性能确定依据</w:t>
      </w:r>
    </w:p>
    <w:p w14:paraId="710E449A" w14:textId="77777777" w:rsidR="00C77399" w:rsidRDefault="00000000">
      <w:pPr>
        <w:pStyle w:val="a5"/>
        <w:kinsoku w:val="0"/>
        <w:overflowPunct w:val="0"/>
        <w:jc w:val="both"/>
        <w:rPr>
          <w:rFonts w:hAnsi="宋体"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1、防腐复合板实际应用过程中相关的主要物理化学性能包括吸水率、莫氏硬度、弯曲强度、压缩强度、冲击强度、线性热膨胀系数、耐磨性、耐酸度等，根据这些性能指标，将防腐复合板分为AC-1、AC-2等两个牌号，具体性能要求如表1所示。</w:t>
      </w:r>
    </w:p>
    <w:p w14:paraId="4B6AB87D" w14:textId="77777777" w:rsidR="00C77399" w:rsidRDefault="00000000">
      <w:pPr>
        <w:spacing w:beforeLines="50" w:before="156"/>
        <w:jc w:val="center"/>
        <w:rPr>
          <w:rFonts w:ascii="Times New Roman" w:hint="default"/>
          <w:sz w:val="21"/>
          <w:szCs w:val="21"/>
        </w:rPr>
      </w:pPr>
      <w:r>
        <w:rPr>
          <w:rFonts w:ascii="Times New Roman"/>
          <w:sz w:val="21"/>
          <w:szCs w:val="21"/>
        </w:rPr>
        <w:lastRenderedPageBreak/>
        <w:t>表</w:t>
      </w:r>
      <w:r>
        <w:rPr>
          <w:rFonts w:ascii="Times New Roman"/>
          <w:sz w:val="21"/>
          <w:szCs w:val="21"/>
        </w:rPr>
        <w:t xml:space="preserve">1 </w:t>
      </w:r>
      <w:r>
        <w:rPr>
          <w:rFonts w:ascii="Times New Roman"/>
          <w:sz w:val="21"/>
          <w:szCs w:val="21"/>
        </w:rPr>
        <w:t>物理化学性能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93"/>
        <w:gridCol w:w="2776"/>
        <w:gridCol w:w="2682"/>
      </w:tblGrid>
      <w:tr w:rsidR="00C77399" w14:paraId="26322DBF" w14:textId="77777777">
        <w:trPr>
          <w:jc w:val="center"/>
        </w:trPr>
        <w:tc>
          <w:tcPr>
            <w:tcW w:w="2893" w:type="dxa"/>
            <w:vMerge w:val="restart"/>
            <w:vAlign w:val="center"/>
          </w:tcPr>
          <w:p w14:paraId="583466A8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项目</w:t>
            </w:r>
          </w:p>
        </w:tc>
        <w:tc>
          <w:tcPr>
            <w:tcW w:w="5458" w:type="dxa"/>
            <w:gridSpan w:val="2"/>
            <w:vAlign w:val="center"/>
          </w:tcPr>
          <w:p w14:paraId="6D530D4D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要求</w:t>
            </w:r>
          </w:p>
        </w:tc>
      </w:tr>
      <w:tr w:rsidR="00C77399" w14:paraId="581FF61B" w14:textId="77777777">
        <w:trPr>
          <w:jc w:val="center"/>
        </w:trPr>
        <w:tc>
          <w:tcPr>
            <w:tcW w:w="2893" w:type="dxa"/>
            <w:vMerge/>
            <w:vAlign w:val="center"/>
          </w:tcPr>
          <w:p w14:paraId="6E11CC14" w14:textId="77777777" w:rsidR="00C77399" w:rsidRDefault="00C77399">
            <w:pPr>
              <w:jc w:val="center"/>
              <w:rPr>
                <w:rFonts w:ascii="Times New Roman" w:hint="default"/>
                <w:sz w:val="21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3BCF1759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AC-1</w:t>
            </w:r>
          </w:p>
        </w:tc>
        <w:tc>
          <w:tcPr>
            <w:tcW w:w="2682" w:type="dxa"/>
            <w:vAlign w:val="center"/>
          </w:tcPr>
          <w:p w14:paraId="12BF8362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AC-2</w:t>
            </w:r>
          </w:p>
        </w:tc>
      </w:tr>
      <w:tr w:rsidR="00C77399" w14:paraId="69DC233E" w14:textId="77777777">
        <w:trPr>
          <w:jc w:val="center"/>
        </w:trPr>
        <w:tc>
          <w:tcPr>
            <w:tcW w:w="2893" w:type="dxa"/>
            <w:vAlign w:val="center"/>
          </w:tcPr>
          <w:p w14:paraId="5D3149CA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吸水率（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  <w:r>
              <w:rPr>
                <w:rFonts w:ascii="Times New Roman"/>
                <w:sz w:val="21"/>
                <w:szCs w:val="21"/>
              </w:rPr>
              <w:t>）</w:t>
            </w:r>
          </w:p>
        </w:tc>
        <w:tc>
          <w:tcPr>
            <w:tcW w:w="5458" w:type="dxa"/>
            <w:gridSpan w:val="2"/>
            <w:vAlign w:val="center"/>
          </w:tcPr>
          <w:p w14:paraId="46E8BE5F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≤</w:t>
            </w:r>
            <w:r>
              <w:rPr>
                <w:rFonts w:ascii="Times New Roman"/>
                <w:sz w:val="21"/>
                <w:szCs w:val="21"/>
              </w:rPr>
              <w:t>0.05</w:t>
            </w:r>
          </w:p>
        </w:tc>
      </w:tr>
      <w:tr w:rsidR="00C77399" w14:paraId="233AEC04" w14:textId="77777777">
        <w:trPr>
          <w:jc w:val="center"/>
        </w:trPr>
        <w:tc>
          <w:tcPr>
            <w:tcW w:w="2893" w:type="dxa"/>
            <w:vAlign w:val="center"/>
          </w:tcPr>
          <w:p w14:paraId="3D40EE78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莫氏硬度</w:t>
            </w:r>
          </w:p>
        </w:tc>
        <w:tc>
          <w:tcPr>
            <w:tcW w:w="5458" w:type="dxa"/>
            <w:gridSpan w:val="2"/>
            <w:vAlign w:val="center"/>
          </w:tcPr>
          <w:p w14:paraId="7F094F7A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≥</w:t>
            </w:r>
            <w:r>
              <w:rPr>
                <w:rFonts w:ascii="Times New Roman"/>
                <w:sz w:val="21"/>
                <w:szCs w:val="21"/>
              </w:rPr>
              <w:t>5</w:t>
            </w:r>
          </w:p>
        </w:tc>
      </w:tr>
      <w:tr w:rsidR="00C77399" w14:paraId="06606BB8" w14:textId="77777777">
        <w:trPr>
          <w:jc w:val="center"/>
        </w:trPr>
        <w:tc>
          <w:tcPr>
            <w:tcW w:w="2893" w:type="dxa"/>
            <w:vAlign w:val="center"/>
          </w:tcPr>
          <w:p w14:paraId="267D1020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弯曲强度（</w:t>
            </w:r>
            <w:r>
              <w:rPr>
                <w:rFonts w:ascii="Times New Roman"/>
                <w:sz w:val="21"/>
                <w:szCs w:val="21"/>
              </w:rPr>
              <w:t>MPa</w:t>
            </w:r>
            <w:r>
              <w:rPr>
                <w:rFonts w:ascii="Times New Roman"/>
                <w:sz w:val="21"/>
                <w:szCs w:val="21"/>
              </w:rPr>
              <w:t>）</w:t>
            </w:r>
          </w:p>
        </w:tc>
        <w:tc>
          <w:tcPr>
            <w:tcW w:w="2776" w:type="dxa"/>
            <w:vAlign w:val="center"/>
          </w:tcPr>
          <w:p w14:paraId="26E057B8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≥</w:t>
            </w:r>
            <w:r>
              <w:rPr>
                <w:rFonts w:ascii="Times New Roman"/>
                <w:sz w:val="21"/>
                <w:szCs w:val="21"/>
              </w:rPr>
              <w:t>40</w:t>
            </w:r>
          </w:p>
        </w:tc>
        <w:tc>
          <w:tcPr>
            <w:tcW w:w="2682" w:type="dxa"/>
            <w:vAlign w:val="center"/>
          </w:tcPr>
          <w:p w14:paraId="0791FB40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≥</w:t>
            </w:r>
            <w:r>
              <w:rPr>
                <w:rFonts w:ascii="Times New Roman"/>
                <w:sz w:val="21"/>
                <w:szCs w:val="21"/>
              </w:rPr>
              <w:t>30</w:t>
            </w:r>
          </w:p>
        </w:tc>
      </w:tr>
      <w:tr w:rsidR="00C77399" w14:paraId="52D4339F" w14:textId="77777777">
        <w:trPr>
          <w:jc w:val="center"/>
        </w:trPr>
        <w:tc>
          <w:tcPr>
            <w:tcW w:w="2893" w:type="dxa"/>
            <w:vAlign w:val="center"/>
          </w:tcPr>
          <w:p w14:paraId="3C111E6D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压缩强度（</w:t>
            </w:r>
            <w:r>
              <w:rPr>
                <w:rFonts w:ascii="Times New Roman"/>
                <w:sz w:val="21"/>
                <w:szCs w:val="21"/>
              </w:rPr>
              <w:t>MPa</w:t>
            </w:r>
            <w:r>
              <w:rPr>
                <w:rFonts w:ascii="Times New Roman"/>
                <w:sz w:val="21"/>
                <w:szCs w:val="21"/>
              </w:rPr>
              <w:t>）</w:t>
            </w:r>
          </w:p>
        </w:tc>
        <w:tc>
          <w:tcPr>
            <w:tcW w:w="2776" w:type="dxa"/>
            <w:vAlign w:val="center"/>
          </w:tcPr>
          <w:p w14:paraId="77C9185B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≥</w:t>
            </w:r>
            <w:r>
              <w:rPr>
                <w:rFonts w:ascii="Times New Roman"/>
                <w:sz w:val="21"/>
                <w:szCs w:val="21"/>
              </w:rPr>
              <w:t>160</w:t>
            </w:r>
          </w:p>
        </w:tc>
        <w:tc>
          <w:tcPr>
            <w:tcW w:w="2682" w:type="dxa"/>
            <w:vAlign w:val="center"/>
          </w:tcPr>
          <w:p w14:paraId="78B85650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≥</w:t>
            </w:r>
            <w:r>
              <w:rPr>
                <w:rFonts w:ascii="Times New Roman"/>
                <w:sz w:val="21"/>
                <w:szCs w:val="21"/>
              </w:rPr>
              <w:t>130</w:t>
            </w:r>
          </w:p>
        </w:tc>
      </w:tr>
      <w:tr w:rsidR="00C77399" w14:paraId="6D278DC7" w14:textId="77777777">
        <w:trPr>
          <w:jc w:val="center"/>
        </w:trPr>
        <w:tc>
          <w:tcPr>
            <w:tcW w:w="2893" w:type="dxa"/>
            <w:vAlign w:val="center"/>
          </w:tcPr>
          <w:p w14:paraId="31CD3EA4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耐冲击性（</w:t>
            </w:r>
            <w:r>
              <w:rPr>
                <w:rFonts w:ascii="Times New Roman"/>
                <w:sz w:val="21"/>
                <w:szCs w:val="21"/>
              </w:rPr>
              <w:t>J</w:t>
            </w:r>
            <w:r>
              <w:rPr>
                <w:rFonts w:ascii="Times New Roman"/>
                <w:sz w:val="21"/>
                <w:szCs w:val="21"/>
              </w:rPr>
              <w:t>）</w:t>
            </w:r>
          </w:p>
        </w:tc>
        <w:tc>
          <w:tcPr>
            <w:tcW w:w="2776" w:type="dxa"/>
            <w:vAlign w:val="center"/>
          </w:tcPr>
          <w:p w14:paraId="29E8F84A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2682" w:type="dxa"/>
            <w:vAlign w:val="center"/>
          </w:tcPr>
          <w:p w14:paraId="6989F922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</w:p>
        </w:tc>
      </w:tr>
      <w:tr w:rsidR="00C77399" w14:paraId="3C7BBFDA" w14:textId="77777777">
        <w:trPr>
          <w:jc w:val="center"/>
        </w:trPr>
        <w:tc>
          <w:tcPr>
            <w:tcW w:w="2893" w:type="dxa"/>
            <w:vAlign w:val="center"/>
          </w:tcPr>
          <w:p w14:paraId="2176F1DF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线性热膨胀系数（</w:t>
            </w:r>
            <w:r>
              <w:rPr>
                <w:rFonts w:ascii="Times New Roman" w:cs="Times New Roman" w:hint="default"/>
                <w:sz w:val="21"/>
                <w:szCs w:val="21"/>
              </w:rPr>
              <w:t>℃</w:t>
            </w:r>
            <w:r>
              <w:rPr>
                <w:rFonts w:ascii="Times New Roman" w:cs="Times New Roman" w:hint="default"/>
                <w:sz w:val="21"/>
                <w:szCs w:val="21"/>
                <w:vertAlign w:val="superscript"/>
              </w:rPr>
              <w:t>-1</w:t>
            </w:r>
            <w:r>
              <w:rPr>
                <w:rFonts w:ascii="Times New Roman"/>
                <w:sz w:val="21"/>
                <w:szCs w:val="21"/>
              </w:rPr>
              <w:t>）</w:t>
            </w:r>
          </w:p>
        </w:tc>
        <w:tc>
          <w:tcPr>
            <w:tcW w:w="5458" w:type="dxa"/>
            <w:gridSpan w:val="2"/>
            <w:vAlign w:val="center"/>
          </w:tcPr>
          <w:p w14:paraId="6B29C51C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≤</w:t>
            </w: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bCs/>
                <w:sz w:val="18"/>
                <w:szCs w:val="18"/>
              </w:rPr>
              <w:t>×</w:t>
            </w:r>
            <w:r>
              <w:rPr>
                <w:rFonts w:ascii="Times New Roman"/>
                <w:sz w:val="21"/>
                <w:szCs w:val="21"/>
              </w:rPr>
              <w:t>10</w:t>
            </w:r>
            <w:r>
              <w:rPr>
                <w:rFonts w:ascii="Times New Roman"/>
                <w:sz w:val="21"/>
                <w:szCs w:val="21"/>
                <w:vertAlign w:val="superscript"/>
              </w:rPr>
              <w:t>-5</w:t>
            </w:r>
          </w:p>
        </w:tc>
      </w:tr>
      <w:tr w:rsidR="00C77399" w14:paraId="22585319" w14:textId="77777777">
        <w:trPr>
          <w:jc w:val="center"/>
        </w:trPr>
        <w:tc>
          <w:tcPr>
            <w:tcW w:w="2893" w:type="dxa"/>
            <w:vAlign w:val="center"/>
          </w:tcPr>
          <w:p w14:paraId="727BF19F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耐磨性（</w:t>
            </w:r>
            <w:r>
              <w:rPr>
                <w:rFonts w:ascii="Times New Roman"/>
                <w:sz w:val="21"/>
                <w:szCs w:val="21"/>
              </w:rPr>
              <w:t>mm</w:t>
            </w:r>
            <w:r>
              <w:rPr>
                <w:rFonts w:ascii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/>
                <w:sz w:val="21"/>
                <w:szCs w:val="21"/>
              </w:rPr>
              <w:t>）</w:t>
            </w:r>
          </w:p>
        </w:tc>
        <w:tc>
          <w:tcPr>
            <w:tcW w:w="5458" w:type="dxa"/>
            <w:gridSpan w:val="2"/>
            <w:vAlign w:val="center"/>
          </w:tcPr>
          <w:p w14:paraId="17F16264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≤</w:t>
            </w:r>
            <w:r>
              <w:rPr>
                <w:rFonts w:ascii="Times New Roman"/>
                <w:sz w:val="21"/>
                <w:szCs w:val="21"/>
              </w:rPr>
              <w:t>200</w:t>
            </w:r>
          </w:p>
        </w:tc>
      </w:tr>
      <w:tr w:rsidR="00C77399" w14:paraId="115075C5" w14:textId="77777777">
        <w:trPr>
          <w:jc w:val="center"/>
        </w:trPr>
        <w:tc>
          <w:tcPr>
            <w:tcW w:w="2893" w:type="dxa"/>
            <w:vAlign w:val="center"/>
          </w:tcPr>
          <w:p w14:paraId="3178A579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耐酸度（</w:t>
            </w:r>
            <w:r>
              <w:rPr>
                <w:rFonts w:ascii="Times New Roman"/>
                <w:sz w:val="21"/>
                <w:szCs w:val="21"/>
              </w:rPr>
              <w:t>%</w:t>
            </w:r>
            <w:r>
              <w:rPr>
                <w:rFonts w:ascii="Times New Roman"/>
                <w:sz w:val="21"/>
                <w:szCs w:val="21"/>
              </w:rPr>
              <w:t>）</w:t>
            </w:r>
          </w:p>
        </w:tc>
        <w:tc>
          <w:tcPr>
            <w:tcW w:w="5458" w:type="dxa"/>
            <w:gridSpan w:val="2"/>
            <w:vAlign w:val="center"/>
          </w:tcPr>
          <w:p w14:paraId="7C70E00E" w14:textId="77777777" w:rsidR="00C77399" w:rsidRDefault="00000000">
            <w:pPr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≥</w:t>
            </w:r>
            <w:r>
              <w:rPr>
                <w:rFonts w:ascii="Times New Roman"/>
                <w:sz w:val="21"/>
                <w:szCs w:val="21"/>
              </w:rPr>
              <w:t>99.8</w:t>
            </w:r>
          </w:p>
        </w:tc>
      </w:tr>
    </w:tbl>
    <w:p w14:paraId="56C2C3A2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hAnsi="宋体"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AC-1牌号的吸水率、莫氏硬度、弯曲强度、压缩强度、冲击强度、</w:t>
      </w:r>
      <w:r>
        <w:rPr>
          <w:rFonts w:ascii="Times New Roman"/>
          <w:sz w:val="21"/>
          <w:szCs w:val="21"/>
        </w:rPr>
        <w:t>线性热膨胀系数、耐磨性等</w:t>
      </w:r>
      <w:r>
        <w:rPr>
          <w:rFonts w:hAnsi="宋体"/>
          <w:kern w:val="2"/>
          <w:sz w:val="21"/>
          <w:szCs w:val="21"/>
        </w:rPr>
        <w:t>性能参数基于民用建材人造有机石英</w:t>
      </w:r>
      <w:proofErr w:type="gramStart"/>
      <w:r>
        <w:rPr>
          <w:rFonts w:hAnsi="宋体"/>
          <w:kern w:val="2"/>
          <w:sz w:val="21"/>
          <w:szCs w:val="21"/>
        </w:rPr>
        <w:t>石要求</w:t>
      </w:r>
      <w:proofErr w:type="gramEnd"/>
      <w:r>
        <w:rPr>
          <w:rFonts w:hAnsi="宋体"/>
          <w:kern w:val="2"/>
          <w:sz w:val="21"/>
          <w:szCs w:val="21"/>
        </w:rPr>
        <w:t>来确定，可满足对承重要求较高的场景，</w:t>
      </w:r>
      <w:r>
        <w:rPr>
          <w:rFonts w:ascii="Times New Roman"/>
          <w:sz w:val="21"/>
          <w:szCs w:val="21"/>
        </w:rPr>
        <w:t>耐酸</w:t>
      </w:r>
      <w:proofErr w:type="gramStart"/>
      <w:r>
        <w:rPr>
          <w:rFonts w:ascii="Times New Roman"/>
          <w:sz w:val="21"/>
          <w:szCs w:val="21"/>
        </w:rPr>
        <w:t>度根据</w:t>
      </w:r>
      <w:proofErr w:type="gramEnd"/>
      <w:r>
        <w:rPr>
          <w:rFonts w:hAnsi="宋体"/>
          <w:kern w:val="2"/>
          <w:sz w:val="21"/>
          <w:szCs w:val="21"/>
        </w:rPr>
        <w:t>耐酸砖标准GB/T 8488-2008来确定。AC-2牌号可满足对承重要求不高的场景。统计了五家企业的防腐复合板物理化学性能数据，如表2所示。企业1、企业2、企业3产品的物理化学性能满足AC-1牌号的要求，企业4、企业5产品的物理化学性能满足AC-2牌号的要求，</w:t>
      </w:r>
    </w:p>
    <w:p w14:paraId="08D7F91E" w14:textId="77777777" w:rsidR="00C77399" w:rsidRDefault="00000000">
      <w:pPr>
        <w:pStyle w:val="1"/>
        <w:widowControl/>
        <w:shd w:val="clear" w:color="auto" w:fill="FFFFFF"/>
        <w:spacing w:beforeLines="50" w:before="156" w:line="240" w:lineRule="atLeast"/>
        <w:ind w:left="0"/>
        <w:jc w:val="center"/>
        <w:rPr>
          <w:rFonts w:hAnsi="宋体"/>
          <w:b w:val="0"/>
          <w:kern w:val="2"/>
          <w:sz w:val="21"/>
          <w:szCs w:val="21"/>
        </w:rPr>
      </w:pPr>
      <w:r>
        <w:rPr>
          <w:rFonts w:hAnsi="宋体"/>
          <w:b w:val="0"/>
          <w:kern w:val="2"/>
          <w:sz w:val="18"/>
          <w:szCs w:val="18"/>
        </w:rPr>
        <w:t>表2 不同企业生产的防腐复合板性能参数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030"/>
        <w:gridCol w:w="818"/>
        <w:gridCol w:w="1027"/>
        <w:gridCol w:w="1000"/>
        <w:gridCol w:w="900"/>
        <w:gridCol w:w="928"/>
        <w:gridCol w:w="1327"/>
        <w:gridCol w:w="791"/>
        <w:gridCol w:w="698"/>
      </w:tblGrid>
      <w:tr w:rsidR="00C77399" w14:paraId="0F09065E" w14:textId="77777777">
        <w:tc>
          <w:tcPr>
            <w:tcW w:w="1030" w:type="dxa"/>
            <w:vAlign w:val="center"/>
          </w:tcPr>
          <w:p w14:paraId="607CB084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项目</w:t>
            </w:r>
          </w:p>
        </w:tc>
        <w:tc>
          <w:tcPr>
            <w:tcW w:w="818" w:type="dxa"/>
            <w:vAlign w:val="center"/>
          </w:tcPr>
          <w:p w14:paraId="2A8C8FC5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吸水率(</w:t>
            </w:r>
            <w:r>
              <w:rPr>
                <w:rFonts w:ascii="Times New Roman" w:cs="Times New Roman"/>
                <w:sz w:val="15"/>
                <w:szCs w:val="15"/>
              </w:rPr>
              <w:t>%</w:t>
            </w:r>
            <w:r>
              <w:rPr>
                <w:rFonts w:hAnsi="宋体"/>
                <w:b w:val="0"/>
                <w:kern w:val="2"/>
                <w:sz w:val="15"/>
                <w:szCs w:val="15"/>
              </w:rPr>
              <w:t>)</w:t>
            </w:r>
          </w:p>
        </w:tc>
        <w:tc>
          <w:tcPr>
            <w:tcW w:w="1027" w:type="dxa"/>
            <w:vAlign w:val="center"/>
          </w:tcPr>
          <w:p w14:paraId="6D744DE8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莫氏硬度</w:t>
            </w:r>
          </w:p>
        </w:tc>
        <w:tc>
          <w:tcPr>
            <w:tcW w:w="1000" w:type="dxa"/>
            <w:vAlign w:val="center"/>
          </w:tcPr>
          <w:p w14:paraId="21DDB937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弯曲强度(</w:t>
            </w:r>
            <w:r>
              <w:rPr>
                <w:rFonts w:ascii="Times New Roman"/>
                <w:b w:val="0"/>
                <w:bCs/>
                <w:sz w:val="15"/>
                <w:szCs w:val="15"/>
              </w:rPr>
              <w:t>MPa</w:t>
            </w:r>
            <w:r>
              <w:rPr>
                <w:rFonts w:hAnsi="宋体"/>
                <w:b w:val="0"/>
                <w:kern w:val="2"/>
                <w:sz w:val="15"/>
                <w:szCs w:val="15"/>
              </w:rPr>
              <w:t>)</w:t>
            </w:r>
          </w:p>
        </w:tc>
        <w:tc>
          <w:tcPr>
            <w:tcW w:w="900" w:type="dxa"/>
            <w:vAlign w:val="center"/>
          </w:tcPr>
          <w:p w14:paraId="5217373D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压缩强度(</w:t>
            </w:r>
            <w:r>
              <w:rPr>
                <w:rFonts w:ascii="Times New Roman"/>
                <w:b w:val="0"/>
                <w:bCs/>
                <w:sz w:val="15"/>
                <w:szCs w:val="15"/>
              </w:rPr>
              <w:t>MPa</w:t>
            </w:r>
            <w:r>
              <w:rPr>
                <w:rFonts w:hAnsi="宋体"/>
                <w:b w:val="0"/>
                <w:kern w:val="2"/>
                <w:sz w:val="15"/>
                <w:szCs w:val="15"/>
              </w:rPr>
              <w:t>)</w:t>
            </w:r>
          </w:p>
        </w:tc>
        <w:tc>
          <w:tcPr>
            <w:tcW w:w="928" w:type="dxa"/>
            <w:vAlign w:val="center"/>
          </w:tcPr>
          <w:p w14:paraId="5FAF0B35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冲击强度(</w:t>
            </w:r>
            <w:r>
              <w:rPr>
                <w:rFonts w:ascii="Times New Roman"/>
                <w:b w:val="0"/>
                <w:bCs/>
                <w:sz w:val="15"/>
                <w:szCs w:val="15"/>
              </w:rPr>
              <w:t>J</w:t>
            </w:r>
            <w:r>
              <w:rPr>
                <w:rFonts w:hAnsi="宋体"/>
                <w:b w:val="0"/>
                <w:kern w:val="2"/>
                <w:sz w:val="15"/>
                <w:szCs w:val="15"/>
              </w:rPr>
              <w:t>)</w:t>
            </w:r>
          </w:p>
        </w:tc>
        <w:tc>
          <w:tcPr>
            <w:tcW w:w="1327" w:type="dxa"/>
            <w:vAlign w:val="center"/>
          </w:tcPr>
          <w:p w14:paraId="594DC73F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线性热膨胀系数(</w:t>
            </w:r>
            <w:r>
              <w:rPr>
                <w:rFonts w:ascii="Times New Roman" w:cs="Times New Roman" w:hint="default"/>
                <w:b w:val="0"/>
                <w:bCs/>
                <w:sz w:val="15"/>
                <w:szCs w:val="15"/>
              </w:rPr>
              <w:t>℃</w:t>
            </w:r>
            <w:r>
              <w:rPr>
                <w:rFonts w:ascii="Times New Roman" w:cs="Times New Roman" w:hint="default"/>
                <w:b w:val="0"/>
                <w:bCs/>
                <w:sz w:val="15"/>
                <w:szCs w:val="15"/>
                <w:vertAlign w:val="superscript"/>
              </w:rPr>
              <w:t>-1</w:t>
            </w:r>
            <w:r>
              <w:rPr>
                <w:rFonts w:hAnsi="宋体"/>
                <w:b w:val="0"/>
                <w:kern w:val="2"/>
                <w:sz w:val="15"/>
                <w:szCs w:val="15"/>
              </w:rPr>
              <w:t>)</w:t>
            </w:r>
          </w:p>
        </w:tc>
        <w:tc>
          <w:tcPr>
            <w:tcW w:w="791" w:type="dxa"/>
            <w:vAlign w:val="center"/>
          </w:tcPr>
          <w:p w14:paraId="17E1914F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耐磨性(</w:t>
            </w:r>
            <w:r>
              <w:rPr>
                <w:rFonts w:ascii="Times New Roman"/>
                <w:b w:val="0"/>
                <w:bCs/>
                <w:sz w:val="15"/>
                <w:szCs w:val="15"/>
              </w:rPr>
              <w:t>mm</w:t>
            </w:r>
            <w:r>
              <w:rPr>
                <w:rFonts w:ascii="Times New Roman"/>
                <w:b w:val="0"/>
                <w:bCs/>
                <w:sz w:val="15"/>
                <w:szCs w:val="15"/>
                <w:vertAlign w:val="superscript"/>
              </w:rPr>
              <w:t>3</w:t>
            </w:r>
            <w:r>
              <w:rPr>
                <w:rFonts w:hAnsi="宋体"/>
                <w:b w:val="0"/>
                <w:kern w:val="2"/>
                <w:sz w:val="15"/>
                <w:szCs w:val="15"/>
              </w:rPr>
              <w:t>)</w:t>
            </w:r>
          </w:p>
        </w:tc>
        <w:tc>
          <w:tcPr>
            <w:tcW w:w="698" w:type="dxa"/>
            <w:vAlign w:val="center"/>
          </w:tcPr>
          <w:p w14:paraId="439039DF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耐酸度(</w:t>
            </w:r>
            <w:r>
              <w:rPr>
                <w:rFonts w:ascii="Times New Roman"/>
                <w:b w:val="0"/>
                <w:bCs/>
                <w:sz w:val="15"/>
                <w:szCs w:val="15"/>
              </w:rPr>
              <w:t>%</w:t>
            </w:r>
            <w:r>
              <w:rPr>
                <w:rFonts w:hAnsi="宋体"/>
                <w:b w:val="0"/>
                <w:kern w:val="2"/>
                <w:sz w:val="15"/>
                <w:szCs w:val="15"/>
              </w:rPr>
              <w:t>)</w:t>
            </w:r>
          </w:p>
        </w:tc>
      </w:tr>
      <w:tr w:rsidR="00C77399" w14:paraId="65D82075" w14:textId="77777777">
        <w:tc>
          <w:tcPr>
            <w:tcW w:w="1030" w:type="dxa"/>
            <w:vAlign w:val="center"/>
          </w:tcPr>
          <w:p w14:paraId="6845FC45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企业1</w:t>
            </w:r>
          </w:p>
        </w:tc>
        <w:tc>
          <w:tcPr>
            <w:tcW w:w="818" w:type="dxa"/>
            <w:vAlign w:val="center"/>
          </w:tcPr>
          <w:p w14:paraId="5FEBBEC7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0.02</w:t>
            </w:r>
          </w:p>
        </w:tc>
        <w:tc>
          <w:tcPr>
            <w:tcW w:w="1027" w:type="dxa"/>
            <w:vAlign w:val="center"/>
          </w:tcPr>
          <w:p w14:paraId="7202BEB8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6</w:t>
            </w:r>
          </w:p>
        </w:tc>
        <w:tc>
          <w:tcPr>
            <w:tcW w:w="1000" w:type="dxa"/>
            <w:vAlign w:val="center"/>
          </w:tcPr>
          <w:p w14:paraId="6E5B7E4B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42</w:t>
            </w:r>
          </w:p>
        </w:tc>
        <w:tc>
          <w:tcPr>
            <w:tcW w:w="900" w:type="dxa"/>
            <w:vAlign w:val="center"/>
          </w:tcPr>
          <w:p w14:paraId="4709015A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212</w:t>
            </w:r>
          </w:p>
        </w:tc>
        <w:tc>
          <w:tcPr>
            <w:tcW w:w="928" w:type="dxa"/>
            <w:vAlign w:val="center"/>
          </w:tcPr>
          <w:p w14:paraId="3F85A825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6.2</w:t>
            </w:r>
          </w:p>
        </w:tc>
        <w:tc>
          <w:tcPr>
            <w:tcW w:w="1327" w:type="dxa"/>
            <w:vAlign w:val="center"/>
          </w:tcPr>
          <w:p w14:paraId="0590741A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1.6</w:t>
            </w:r>
            <w:r>
              <w:rPr>
                <w:rFonts w:ascii="Times New Roman" w:cs="Times New Roman"/>
                <w:b w:val="0"/>
                <w:sz w:val="15"/>
                <w:szCs w:val="15"/>
              </w:rPr>
              <w:t>×</w:t>
            </w:r>
            <w:r>
              <w:rPr>
                <w:rFonts w:ascii="Times New Roman" w:cs="Times New Roman" w:hint="default"/>
                <w:b w:val="0"/>
                <w:sz w:val="15"/>
                <w:szCs w:val="15"/>
              </w:rPr>
              <w:t>10</w:t>
            </w:r>
            <w:r>
              <w:rPr>
                <w:rFonts w:ascii="Times New Roman" w:cs="Times New Roman" w:hint="default"/>
                <w:b w:val="0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791" w:type="dxa"/>
            <w:vAlign w:val="center"/>
          </w:tcPr>
          <w:p w14:paraId="11C2C910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101</w:t>
            </w:r>
          </w:p>
        </w:tc>
        <w:tc>
          <w:tcPr>
            <w:tcW w:w="698" w:type="dxa"/>
            <w:vAlign w:val="center"/>
          </w:tcPr>
          <w:p w14:paraId="78A82674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99.8</w:t>
            </w:r>
          </w:p>
        </w:tc>
      </w:tr>
      <w:tr w:rsidR="00C77399" w14:paraId="21C8D51C" w14:textId="77777777">
        <w:tc>
          <w:tcPr>
            <w:tcW w:w="1030" w:type="dxa"/>
            <w:vAlign w:val="center"/>
          </w:tcPr>
          <w:p w14:paraId="2F620D22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企业2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F9EA904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0.01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4C6EC39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E612485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C2C5AE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185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E266300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4.7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1B0D916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1.8</w:t>
            </w:r>
            <w:r>
              <w:rPr>
                <w:rFonts w:ascii="Times New Roman" w:cs="Times New Roman"/>
                <w:b w:val="0"/>
                <w:sz w:val="15"/>
                <w:szCs w:val="15"/>
              </w:rPr>
              <w:t>×</w:t>
            </w:r>
            <w:r>
              <w:rPr>
                <w:rFonts w:ascii="Times New Roman" w:cs="Times New Roman" w:hint="default"/>
                <w:b w:val="0"/>
                <w:sz w:val="15"/>
                <w:szCs w:val="15"/>
              </w:rPr>
              <w:t>10</w:t>
            </w:r>
            <w:r>
              <w:rPr>
                <w:rFonts w:ascii="Times New Roman" w:cs="Times New Roman" w:hint="default"/>
                <w:b w:val="0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7884CB8C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102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981C0A9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-</w:t>
            </w:r>
          </w:p>
        </w:tc>
      </w:tr>
      <w:tr w:rsidR="00C77399" w14:paraId="3ED64C1F" w14:textId="77777777">
        <w:tc>
          <w:tcPr>
            <w:tcW w:w="1030" w:type="dxa"/>
            <w:vAlign w:val="center"/>
          </w:tcPr>
          <w:p w14:paraId="30A4521D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企业3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AEEEC31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0.017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AE7DC7C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C023BDE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BF7DAE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160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945415E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0E9A616" w14:textId="77777777" w:rsidR="00C77399" w:rsidRDefault="00000000">
            <w:pPr>
              <w:pStyle w:val="1"/>
              <w:widowControl/>
              <w:autoSpaceDE/>
              <w:autoSpaceDN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2.7</w:t>
            </w:r>
            <w:r>
              <w:rPr>
                <w:rFonts w:ascii="Times New Roman" w:cs="Times New Roman"/>
                <w:b w:val="0"/>
                <w:sz w:val="15"/>
                <w:szCs w:val="15"/>
              </w:rPr>
              <w:t>×</w:t>
            </w:r>
            <w:r>
              <w:rPr>
                <w:rFonts w:ascii="Times New Roman" w:cs="Times New Roman" w:hint="default"/>
                <w:b w:val="0"/>
                <w:sz w:val="15"/>
                <w:szCs w:val="15"/>
              </w:rPr>
              <w:t>10</w:t>
            </w:r>
            <w:r>
              <w:rPr>
                <w:rFonts w:ascii="Times New Roman" w:cs="Times New Roman" w:hint="default"/>
                <w:b w:val="0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E958C68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121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A3859B5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-</w:t>
            </w:r>
          </w:p>
        </w:tc>
      </w:tr>
      <w:tr w:rsidR="00C77399" w14:paraId="6491DBCA" w14:textId="77777777">
        <w:tc>
          <w:tcPr>
            <w:tcW w:w="1030" w:type="dxa"/>
            <w:vAlign w:val="center"/>
          </w:tcPr>
          <w:p w14:paraId="3E331329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企业4</w:t>
            </w:r>
          </w:p>
        </w:tc>
        <w:tc>
          <w:tcPr>
            <w:tcW w:w="818" w:type="dxa"/>
            <w:vAlign w:val="center"/>
          </w:tcPr>
          <w:p w14:paraId="4872D3D3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0.06</w:t>
            </w:r>
          </w:p>
        </w:tc>
        <w:tc>
          <w:tcPr>
            <w:tcW w:w="1027" w:type="dxa"/>
            <w:vAlign w:val="center"/>
          </w:tcPr>
          <w:p w14:paraId="78352DE0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5</w:t>
            </w:r>
          </w:p>
        </w:tc>
        <w:tc>
          <w:tcPr>
            <w:tcW w:w="1000" w:type="dxa"/>
            <w:vAlign w:val="center"/>
          </w:tcPr>
          <w:p w14:paraId="2B2DDD9E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35.6</w:t>
            </w:r>
          </w:p>
        </w:tc>
        <w:tc>
          <w:tcPr>
            <w:tcW w:w="900" w:type="dxa"/>
            <w:vAlign w:val="center"/>
          </w:tcPr>
          <w:p w14:paraId="199BB7F7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152.8</w:t>
            </w:r>
          </w:p>
        </w:tc>
        <w:tc>
          <w:tcPr>
            <w:tcW w:w="928" w:type="dxa"/>
            <w:vAlign w:val="center"/>
          </w:tcPr>
          <w:p w14:paraId="05ED2FBD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4.6</w:t>
            </w:r>
          </w:p>
        </w:tc>
        <w:tc>
          <w:tcPr>
            <w:tcW w:w="1327" w:type="dxa"/>
            <w:vAlign w:val="center"/>
          </w:tcPr>
          <w:p w14:paraId="774D1131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1.7</w:t>
            </w:r>
            <w:r>
              <w:rPr>
                <w:rFonts w:ascii="Times New Roman" w:cs="Times New Roman"/>
                <w:b w:val="0"/>
                <w:sz w:val="15"/>
                <w:szCs w:val="15"/>
              </w:rPr>
              <w:t>×</w:t>
            </w:r>
            <w:r>
              <w:rPr>
                <w:rFonts w:ascii="Times New Roman" w:cs="Times New Roman" w:hint="default"/>
                <w:b w:val="0"/>
                <w:sz w:val="15"/>
                <w:szCs w:val="15"/>
              </w:rPr>
              <w:t>10</w:t>
            </w:r>
            <w:r>
              <w:rPr>
                <w:rFonts w:ascii="Times New Roman" w:cs="Times New Roman" w:hint="default"/>
                <w:b w:val="0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791" w:type="dxa"/>
            <w:vAlign w:val="center"/>
          </w:tcPr>
          <w:p w14:paraId="62997318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90.5</w:t>
            </w:r>
          </w:p>
        </w:tc>
        <w:tc>
          <w:tcPr>
            <w:tcW w:w="698" w:type="dxa"/>
            <w:vAlign w:val="center"/>
          </w:tcPr>
          <w:p w14:paraId="33E147F2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99.8</w:t>
            </w:r>
          </w:p>
        </w:tc>
      </w:tr>
      <w:tr w:rsidR="00C77399" w14:paraId="0BCAD200" w14:textId="77777777">
        <w:tc>
          <w:tcPr>
            <w:tcW w:w="1030" w:type="dxa"/>
            <w:vAlign w:val="center"/>
          </w:tcPr>
          <w:p w14:paraId="4AA9BC28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企业5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CA43A52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0.02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35E5C4A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6077082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36.5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73D4CF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158.5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4B80223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4.1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236B2A3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1.9</w:t>
            </w:r>
            <w:r>
              <w:rPr>
                <w:rFonts w:ascii="Times New Roman" w:cs="Times New Roman"/>
                <w:b w:val="0"/>
                <w:sz w:val="15"/>
                <w:szCs w:val="15"/>
              </w:rPr>
              <w:t>×</w:t>
            </w:r>
            <w:r>
              <w:rPr>
                <w:rFonts w:ascii="Times New Roman" w:cs="Times New Roman" w:hint="default"/>
                <w:b w:val="0"/>
                <w:sz w:val="15"/>
                <w:szCs w:val="15"/>
              </w:rPr>
              <w:t>10</w:t>
            </w:r>
            <w:r>
              <w:rPr>
                <w:rFonts w:ascii="Times New Roman" w:cs="Times New Roman" w:hint="default"/>
                <w:b w:val="0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76FDA5A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118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9187EF2" w14:textId="77777777" w:rsidR="00C77399" w:rsidRDefault="00000000">
            <w:pPr>
              <w:pStyle w:val="1"/>
              <w:widowControl/>
              <w:autoSpaceDE/>
              <w:autoSpaceDN/>
              <w:ind w:left="0"/>
              <w:jc w:val="center"/>
              <w:rPr>
                <w:rFonts w:hAnsi="宋体"/>
                <w:b w:val="0"/>
                <w:kern w:val="2"/>
                <w:sz w:val="15"/>
                <w:szCs w:val="15"/>
              </w:rPr>
            </w:pPr>
            <w:r>
              <w:rPr>
                <w:rFonts w:hAnsi="宋体"/>
                <w:b w:val="0"/>
                <w:kern w:val="2"/>
                <w:sz w:val="15"/>
                <w:szCs w:val="15"/>
              </w:rPr>
              <w:t>99.8</w:t>
            </w:r>
          </w:p>
        </w:tc>
      </w:tr>
    </w:tbl>
    <w:p w14:paraId="7EE6F36F" w14:textId="77777777" w:rsidR="00C77399" w:rsidRDefault="00000000">
      <w:pPr>
        <w:pStyle w:val="a5"/>
        <w:kinsoku w:val="0"/>
        <w:overflowPunct w:val="0"/>
        <w:spacing w:beforeLines="50" w:before="156"/>
        <w:jc w:val="both"/>
        <w:rPr>
          <w:rFonts w:ascii="Times New Roman" w:eastAsia="黑体" w:cs="Times New Roman" w:hint="default"/>
          <w:bCs/>
          <w:sz w:val="21"/>
          <w:szCs w:val="21"/>
        </w:rPr>
      </w:pPr>
      <w:r>
        <w:rPr>
          <w:rFonts w:ascii="Times New Roman" w:eastAsia="黑体" w:cs="Times New Roman"/>
          <w:bCs/>
          <w:sz w:val="21"/>
          <w:szCs w:val="21"/>
        </w:rPr>
        <w:t>（二）尺寸及允许偏差确定依据</w:t>
      </w:r>
    </w:p>
    <w:p w14:paraId="7D15D452" w14:textId="77777777" w:rsidR="00C77399" w:rsidRDefault="00000000">
      <w:pPr>
        <w:pStyle w:val="1"/>
        <w:widowControl/>
        <w:shd w:val="clear" w:color="auto" w:fill="FFFFFF"/>
        <w:spacing w:line="240" w:lineRule="atLeast"/>
        <w:ind w:left="0"/>
        <w:jc w:val="center"/>
        <w:rPr>
          <w:rFonts w:hint="default"/>
          <w:sz w:val="18"/>
          <w:szCs w:val="18"/>
        </w:rPr>
      </w:pPr>
      <w:r>
        <w:rPr>
          <w:rFonts w:hAnsi="宋体"/>
          <w:b w:val="0"/>
          <w:kern w:val="2"/>
          <w:sz w:val="18"/>
          <w:szCs w:val="18"/>
        </w:rPr>
        <w:t>表3 产品常用规格尺寸</w:t>
      </w:r>
    </w:p>
    <w:p w14:paraId="497F3650" w14:textId="77777777" w:rsidR="00C77399" w:rsidRDefault="00000000">
      <w:pPr>
        <w:autoSpaceDE/>
        <w:autoSpaceDN/>
        <w:adjustRightInd/>
        <w:snapToGrid w:val="0"/>
        <w:jc w:val="right"/>
        <w:rPr>
          <w:rFonts w:ascii="Times New Roman" w:hAnsi="宋体" w:cs="Times New Roman"/>
          <w:sz w:val="21"/>
          <w:szCs w:val="21"/>
        </w:rPr>
      </w:pPr>
      <w:r>
        <w:rPr>
          <w:rFonts w:ascii="Times New Roman" w:cs="Times New Roman"/>
          <w:sz w:val="18"/>
          <w:szCs w:val="18"/>
        </w:rPr>
        <w:t>单位为毫米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75"/>
        <w:gridCol w:w="5847"/>
      </w:tblGrid>
      <w:tr w:rsidR="00C77399" w14:paraId="47059B61" w14:textId="77777777">
        <w:tc>
          <w:tcPr>
            <w:tcW w:w="2675" w:type="dxa"/>
          </w:tcPr>
          <w:p w14:paraId="305383E3" w14:textId="77777777" w:rsidR="00C77399" w:rsidRDefault="00000000">
            <w:pPr>
              <w:snapToGrid w:val="0"/>
              <w:jc w:val="center"/>
              <w:rPr>
                <w:rFonts w:ascii="Times New Roman" w:cs="Times New Roman" w:hint="default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项目</w:t>
            </w:r>
          </w:p>
        </w:tc>
        <w:tc>
          <w:tcPr>
            <w:tcW w:w="5847" w:type="dxa"/>
          </w:tcPr>
          <w:p w14:paraId="0EF779BA" w14:textId="77777777" w:rsidR="00C77399" w:rsidRDefault="00000000">
            <w:pPr>
              <w:snapToGrid w:val="0"/>
              <w:jc w:val="center"/>
              <w:rPr>
                <w:rFonts w:ascii="Times New Roman" w:cs="Times New Roman" w:hint="default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尺寸</w:t>
            </w:r>
          </w:p>
        </w:tc>
      </w:tr>
      <w:tr w:rsidR="00C77399" w14:paraId="105F1827" w14:textId="77777777">
        <w:tc>
          <w:tcPr>
            <w:tcW w:w="2675" w:type="dxa"/>
          </w:tcPr>
          <w:p w14:paraId="3D26A4AA" w14:textId="77777777" w:rsidR="00C77399" w:rsidRDefault="00000000">
            <w:pPr>
              <w:snapToGrid w:val="0"/>
              <w:jc w:val="center"/>
              <w:rPr>
                <w:rFonts w:ascii="Times New Roman" w:cs="Times New Roman" w:hint="default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边长</w:t>
            </w:r>
          </w:p>
        </w:tc>
        <w:tc>
          <w:tcPr>
            <w:tcW w:w="5847" w:type="dxa"/>
          </w:tcPr>
          <w:p w14:paraId="0E87F217" w14:textId="77777777" w:rsidR="00C77399" w:rsidRDefault="00000000">
            <w:pPr>
              <w:snapToGrid w:val="0"/>
              <w:jc w:val="center"/>
              <w:rPr>
                <w:rFonts w:ascii="Times New Roman" w:cs="Times New Roman" w:hint="default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100</w:t>
            </w:r>
            <w:r>
              <w:rPr>
                <w:rFonts w:ascii="Times New Roman" w:cs="Times New Roman" w:hint="default"/>
                <w:sz w:val="18"/>
                <w:szCs w:val="18"/>
              </w:rPr>
              <w:t>、</w:t>
            </w:r>
            <w:r>
              <w:rPr>
                <w:rFonts w:ascii="Times New Roman" w:cs="Times New Roman" w:hint="default"/>
                <w:sz w:val="18"/>
                <w:szCs w:val="18"/>
              </w:rPr>
              <w:t>200</w:t>
            </w:r>
            <w:r>
              <w:rPr>
                <w:rFonts w:ascii="Times New Roman" w:cs="Times New Roman" w:hint="default"/>
                <w:sz w:val="18"/>
                <w:szCs w:val="18"/>
              </w:rPr>
              <w:t>、</w:t>
            </w:r>
            <w:r>
              <w:rPr>
                <w:rFonts w:ascii="Times New Roman" w:cs="Times New Roman" w:hint="default"/>
                <w:sz w:val="18"/>
                <w:szCs w:val="18"/>
              </w:rPr>
              <w:t>300</w:t>
            </w:r>
            <w:r>
              <w:rPr>
                <w:rFonts w:ascii="Times New Roman" w:cs="Times New Roman" w:hint="default"/>
                <w:sz w:val="18"/>
                <w:szCs w:val="18"/>
              </w:rPr>
              <w:t>、</w:t>
            </w:r>
            <w:r>
              <w:rPr>
                <w:rFonts w:ascii="Times New Roman" w:cs="Times New Roman" w:hint="default"/>
                <w:sz w:val="18"/>
                <w:szCs w:val="18"/>
              </w:rPr>
              <w:t>400</w:t>
            </w:r>
            <w:r>
              <w:rPr>
                <w:rFonts w:ascii="Times New Roman" w:cs="Times New Roman" w:hint="default"/>
                <w:sz w:val="18"/>
                <w:szCs w:val="18"/>
              </w:rPr>
              <w:t>、</w:t>
            </w:r>
            <w:r>
              <w:rPr>
                <w:rFonts w:ascii="Times New Roman" w:cs="Times New Roman" w:hint="default"/>
                <w:sz w:val="18"/>
                <w:szCs w:val="18"/>
              </w:rPr>
              <w:t>500</w:t>
            </w:r>
            <w:r>
              <w:rPr>
                <w:rFonts w:ascii="Times New Roman" w:cs="Times New Roman" w:hint="default"/>
                <w:sz w:val="18"/>
                <w:szCs w:val="18"/>
              </w:rPr>
              <w:t>、</w:t>
            </w:r>
            <w:r>
              <w:rPr>
                <w:rFonts w:ascii="Times New Roman" w:cs="Times New Roman" w:hint="default"/>
                <w:sz w:val="18"/>
                <w:szCs w:val="18"/>
              </w:rPr>
              <w:t>600</w:t>
            </w:r>
            <w:r>
              <w:rPr>
                <w:rFonts w:ascii="Times New Roman" w:cs="Times New Roman" w:hint="default"/>
                <w:sz w:val="18"/>
                <w:szCs w:val="18"/>
              </w:rPr>
              <w:t>、</w:t>
            </w:r>
            <w:r>
              <w:rPr>
                <w:rFonts w:ascii="Times New Roman" w:cs="Times New Roman" w:hint="default"/>
                <w:sz w:val="18"/>
                <w:szCs w:val="18"/>
              </w:rPr>
              <w:t>800</w:t>
            </w:r>
          </w:p>
        </w:tc>
      </w:tr>
      <w:tr w:rsidR="00C77399" w14:paraId="630CB944" w14:textId="77777777">
        <w:tc>
          <w:tcPr>
            <w:tcW w:w="2675" w:type="dxa"/>
          </w:tcPr>
          <w:p w14:paraId="2B2E41B2" w14:textId="77777777" w:rsidR="00C77399" w:rsidRDefault="00000000">
            <w:pPr>
              <w:snapToGrid w:val="0"/>
              <w:jc w:val="center"/>
              <w:rPr>
                <w:rFonts w:ascii="Times New Roman" w:cs="Times New Roman" w:hint="default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厚度</w:t>
            </w:r>
          </w:p>
        </w:tc>
        <w:tc>
          <w:tcPr>
            <w:tcW w:w="5847" w:type="dxa"/>
          </w:tcPr>
          <w:p w14:paraId="289B25FA" w14:textId="77777777" w:rsidR="00C77399" w:rsidRDefault="00000000">
            <w:pPr>
              <w:snapToGrid w:val="0"/>
              <w:jc w:val="center"/>
              <w:rPr>
                <w:rFonts w:ascii="Times New Roman" w:cs="Times New Roman" w:hint="default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10.0</w:t>
            </w:r>
            <w:r>
              <w:rPr>
                <w:rFonts w:asci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cs="Times New Roman" w:hint="default"/>
                <w:sz w:val="18"/>
                <w:szCs w:val="18"/>
              </w:rPr>
              <w:t>12</w:t>
            </w:r>
            <w:r>
              <w:rPr>
                <w:rFonts w:asci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cs="Times New Roman" w:hint="default"/>
                <w:sz w:val="18"/>
                <w:szCs w:val="18"/>
              </w:rPr>
              <w:t>、</w:t>
            </w:r>
            <w:r>
              <w:rPr>
                <w:rFonts w:ascii="Times New Roman" w:cs="Times New Roman" w:hint="default"/>
                <w:sz w:val="18"/>
                <w:szCs w:val="18"/>
              </w:rPr>
              <w:t>15</w:t>
            </w:r>
            <w:r>
              <w:rPr>
                <w:rFonts w:asci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cs="Times New Roman" w:hint="default"/>
                <w:sz w:val="18"/>
                <w:szCs w:val="18"/>
              </w:rPr>
              <w:t>、</w:t>
            </w:r>
            <w:r>
              <w:rPr>
                <w:rFonts w:ascii="Times New Roman" w:cs="Times New Roman" w:hint="default"/>
                <w:sz w:val="18"/>
                <w:szCs w:val="18"/>
              </w:rPr>
              <w:t>20</w:t>
            </w:r>
            <w:r>
              <w:rPr>
                <w:rFonts w:asci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cs="Times New Roman" w:hint="default"/>
                <w:sz w:val="18"/>
                <w:szCs w:val="18"/>
              </w:rPr>
              <w:t>、</w:t>
            </w:r>
            <w:r>
              <w:rPr>
                <w:rFonts w:ascii="Times New Roman" w:cs="Times New Roman" w:hint="default"/>
                <w:sz w:val="18"/>
                <w:szCs w:val="18"/>
              </w:rPr>
              <w:t>30</w:t>
            </w:r>
            <w:r>
              <w:rPr>
                <w:rFonts w:ascii="Times New Roman" w:cs="Times New Roman"/>
                <w:sz w:val="18"/>
                <w:szCs w:val="18"/>
              </w:rPr>
              <w:t>.0</w:t>
            </w:r>
          </w:p>
        </w:tc>
      </w:tr>
      <w:tr w:rsidR="00C77399" w14:paraId="111B0BD0" w14:textId="77777777">
        <w:tc>
          <w:tcPr>
            <w:tcW w:w="8522" w:type="dxa"/>
            <w:gridSpan w:val="2"/>
          </w:tcPr>
          <w:p w14:paraId="7A2C508C" w14:textId="77777777" w:rsidR="00C77399" w:rsidRDefault="00000000">
            <w:pPr>
              <w:snapToGrid w:val="0"/>
              <w:jc w:val="left"/>
              <w:rPr>
                <w:rFonts w:ascii="Times New Roman" w:cs="Times New Roman" w:hint="default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注：</w:t>
            </w:r>
            <w:r>
              <w:rPr>
                <w:rFonts w:ascii="Times New Roman" w:cs="Times New Roman" w:hint="default"/>
                <w:sz w:val="18"/>
                <w:szCs w:val="18"/>
              </w:rPr>
              <w:t>其他边长与厚度尺寸也可由供需双方商定。</w:t>
            </w:r>
          </w:p>
        </w:tc>
      </w:tr>
    </w:tbl>
    <w:p w14:paraId="55A0F544" w14:textId="77777777" w:rsidR="00C77399" w:rsidRDefault="00000000">
      <w:pPr>
        <w:spacing w:beforeLines="50" w:before="156"/>
        <w:ind w:firstLineChars="200" w:firstLine="420"/>
        <w:jc w:val="both"/>
        <w:rPr>
          <w:rFonts w:ascii="Times New Roman" w:hint="default"/>
          <w:sz w:val="21"/>
          <w:szCs w:val="21"/>
        </w:rPr>
      </w:pPr>
      <w:r>
        <w:rPr>
          <w:rFonts w:ascii="Times New Roman"/>
          <w:sz w:val="21"/>
          <w:szCs w:val="21"/>
        </w:rPr>
        <w:t>根据防腐复合板使用单位的具体需求，确定防腐复合板常用规格尺寸如表</w:t>
      </w:r>
      <w:r>
        <w:rPr>
          <w:rFonts w:ascii="Times New Roman"/>
          <w:sz w:val="21"/>
          <w:szCs w:val="21"/>
        </w:rPr>
        <w:t>3</w:t>
      </w:r>
      <w:r>
        <w:rPr>
          <w:rFonts w:ascii="Times New Roman"/>
          <w:sz w:val="21"/>
          <w:szCs w:val="21"/>
        </w:rPr>
        <w:t>所示。边长尺寸可以根据要求进行切割，板材厚度也可以根据要求进行调整。在民用建材领域，</w:t>
      </w:r>
      <w:r>
        <w:rPr>
          <w:rFonts w:hAnsi="宋体"/>
          <w:kern w:val="2"/>
          <w:sz w:val="21"/>
          <w:szCs w:val="21"/>
        </w:rPr>
        <w:t>人造有机石英石板材一般用于桌面、台面等场景，产品尺寸比较大，因此允许误差比较大，</w:t>
      </w:r>
      <w:r>
        <w:rPr>
          <w:rFonts w:ascii="Times New Roman"/>
          <w:sz w:val="21"/>
          <w:szCs w:val="21"/>
        </w:rPr>
        <w:t>根据</w:t>
      </w:r>
      <w:r>
        <w:rPr>
          <w:rFonts w:hAnsi="宋体"/>
          <w:kern w:val="2"/>
          <w:sz w:val="21"/>
          <w:szCs w:val="21"/>
        </w:rPr>
        <w:t>GB/T 41919-2022中规定，人造有机石英石板材的边长允许偏差为</w:t>
      </w:r>
      <w:r>
        <w:rPr>
          <w:rFonts w:ascii="Times New Roman" w:cs="Times New Roman" w:hint="default"/>
          <w:sz w:val="21"/>
          <w:szCs w:val="21"/>
        </w:rPr>
        <w:t>±</w:t>
      </w:r>
      <w:r>
        <w:rPr>
          <w:rFonts w:ascii="Times New Roman" w:cs="Times New Roman"/>
          <w:sz w:val="21"/>
          <w:szCs w:val="21"/>
        </w:rPr>
        <w:t>3.0mm</w:t>
      </w:r>
      <w:r>
        <w:rPr>
          <w:rFonts w:ascii="Times New Roman" w:cs="Times New Roman"/>
          <w:sz w:val="21"/>
          <w:szCs w:val="21"/>
        </w:rPr>
        <w:t>，厚度允许</w:t>
      </w:r>
      <w:r>
        <w:rPr>
          <w:rFonts w:hAnsi="宋体"/>
          <w:kern w:val="2"/>
          <w:sz w:val="21"/>
          <w:szCs w:val="21"/>
        </w:rPr>
        <w:t>偏差为</w:t>
      </w:r>
      <w:r>
        <w:rPr>
          <w:rFonts w:ascii="Times New Roman" w:cs="Times New Roman" w:hint="default"/>
          <w:sz w:val="21"/>
          <w:szCs w:val="21"/>
        </w:rPr>
        <w:t>±</w:t>
      </w:r>
      <w:r>
        <w:rPr>
          <w:rFonts w:ascii="Times New Roman" w:cs="Times New Roman"/>
          <w:sz w:val="21"/>
          <w:szCs w:val="21"/>
        </w:rPr>
        <w:t>0.7mm</w:t>
      </w:r>
      <w:r>
        <w:rPr>
          <w:rFonts w:ascii="Times New Roman" w:cs="Times New Roman"/>
          <w:sz w:val="21"/>
          <w:szCs w:val="21"/>
        </w:rPr>
        <w:t>。而工业防腐用途的防腐复合板是小尺寸铺贴，尺寸偏差较大，会影响施工质量，最终影响防腐效果。因此，确定</w:t>
      </w:r>
      <w:r>
        <w:rPr>
          <w:rFonts w:ascii="Times New Roman"/>
          <w:sz w:val="21"/>
          <w:szCs w:val="21"/>
        </w:rPr>
        <w:t>防腐复合板尺寸允许偏差如表</w:t>
      </w:r>
      <w:r>
        <w:rPr>
          <w:rFonts w:ascii="Times New Roman"/>
          <w:sz w:val="21"/>
          <w:szCs w:val="21"/>
        </w:rPr>
        <w:t>4</w:t>
      </w:r>
      <w:r>
        <w:rPr>
          <w:rFonts w:ascii="Times New Roman"/>
          <w:sz w:val="21"/>
          <w:szCs w:val="21"/>
        </w:rPr>
        <w:t>所示。对五家生产企业的尺寸最大偏差进行了统计，如表</w:t>
      </w:r>
      <w:r>
        <w:rPr>
          <w:rFonts w:ascii="Times New Roman"/>
          <w:sz w:val="21"/>
          <w:szCs w:val="21"/>
        </w:rPr>
        <w:t>5</w:t>
      </w:r>
      <w:r>
        <w:rPr>
          <w:rFonts w:ascii="Times New Roman"/>
          <w:sz w:val="21"/>
          <w:szCs w:val="21"/>
        </w:rPr>
        <w:t>所示，五家企业的最大尺寸偏差均符合表</w:t>
      </w:r>
      <w:r>
        <w:rPr>
          <w:rFonts w:ascii="Times New Roman"/>
          <w:sz w:val="21"/>
          <w:szCs w:val="21"/>
        </w:rPr>
        <w:t>4</w:t>
      </w:r>
      <w:r>
        <w:rPr>
          <w:rFonts w:ascii="Times New Roman"/>
          <w:sz w:val="21"/>
          <w:szCs w:val="21"/>
        </w:rPr>
        <w:t>要求。</w:t>
      </w:r>
    </w:p>
    <w:p w14:paraId="1AEE0F37" w14:textId="77777777" w:rsidR="00C77399" w:rsidRDefault="00000000">
      <w:pPr>
        <w:spacing w:beforeLines="50" w:before="156"/>
        <w:jc w:val="center"/>
        <w:rPr>
          <w:rFonts w:ascii="Times New Roman" w:hint="default"/>
          <w:sz w:val="18"/>
          <w:szCs w:val="18"/>
        </w:rPr>
      </w:pPr>
      <w:r>
        <w:rPr>
          <w:rFonts w:ascii="Times New Roman"/>
          <w:sz w:val="18"/>
          <w:szCs w:val="18"/>
        </w:rPr>
        <w:t>表</w:t>
      </w:r>
      <w:r>
        <w:rPr>
          <w:rFonts w:ascii="Times New Roman"/>
          <w:sz w:val="18"/>
          <w:szCs w:val="18"/>
        </w:rPr>
        <w:t xml:space="preserve">4 </w:t>
      </w:r>
      <w:r>
        <w:rPr>
          <w:rFonts w:ascii="Times New Roman"/>
          <w:sz w:val="18"/>
          <w:szCs w:val="18"/>
        </w:rPr>
        <w:t>尺寸允许偏差</w:t>
      </w:r>
    </w:p>
    <w:p w14:paraId="39CA7ED5" w14:textId="77777777" w:rsidR="00C77399" w:rsidRDefault="00000000">
      <w:pPr>
        <w:autoSpaceDE/>
        <w:autoSpaceDN/>
        <w:adjustRightInd/>
        <w:jc w:val="right"/>
        <w:rPr>
          <w:rFonts w:ascii="Times New Roman" w:cs="Times New Roman" w:hint="default"/>
          <w:bCs/>
          <w:sz w:val="18"/>
          <w:szCs w:val="18"/>
        </w:rPr>
      </w:pPr>
      <w:r>
        <w:rPr>
          <w:rFonts w:ascii="Times New Roman" w:cs="Times New Roman"/>
          <w:bCs/>
          <w:sz w:val="18"/>
          <w:szCs w:val="18"/>
        </w:rPr>
        <w:t>单位为毫米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0"/>
        <w:gridCol w:w="4272"/>
      </w:tblGrid>
      <w:tr w:rsidR="00C77399" w14:paraId="66F9E142" w14:textId="77777777">
        <w:tc>
          <w:tcPr>
            <w:tcW w:w="4981" w:type="dxa"/>
          </w:tcPr>
          <w:p w14:paraId="287080A8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Cs/>
                <w:sz w:val="18"/>
                <w:szCs w:val="18"/>
              </w:rPr>
              <w:t>项目</w:t>
            </w:r>
          </w:p>
        </w:tc>
        <w:tc>
          <w:tcPr>
            <w:tcW w:w="4981" w:type="dxa"/>
          </w:tcPr>
          <w:p w14:paraId="7F04673F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Cs/>
                <w:sz w:val="18"/>
                <w:szCs w:val="18"/>
              </w:rPr>
              <w:t>允许偏差</w:t>
            </w:r>
          </w:p>
        </w:tc>
      </w:tr>
      <w:tr w:rsidR="00C77399" w14:paraId="6B871E0A" w14:textId="77777777">
        <w:tc>
          <w:tcPr>
            <w:tcW w:w="4981" w:type="dxa"/>
          </w:tcPr>
          <w:p w14:paraId="1B43871B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边长</w:t>
            </w:r>
          </w:p>
        </w:tc>
        <w:tc>
          <w:tcPr>
            <w:tcW w:w="4981" w:type="dxa"/>
          </w:tcPr>
          <w:p w14:paraId="08A2E064" w14:textId="77777777" w:rsidR="00C77399" w:rsidRDefault="00000000">
            <w:pPr>
              <w:jc w:val="center"/>
              <w:rPr>
                <w:rFonts w:ascii="Times New Roman" w:eastAsiaTheme="minorEastAsia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</w:t>
            </w:r>
            <w:r>
              <w:rPr>
                <w:rFonts w:ascii="Times New Roman" w:cs="Times New Roman"/>
                <w:sz w:val="18"/>
                <w:szCs w:val="18"/>
              </w:rPr>
              <w:t>2.0</w:t>
            </w:r>
          </w:p>
        </w:tc>
      </w:tr>
      <w:tr w:rsidR="00C77399" w14:paraId="15970127" w14:textId="77777777">
        <w:tc>
          <w:tcPr>
            <w:tcW w:w="4981" w:type="dxa"/>
          </w:tcPr>
          <w:p w14:paraId="39984AF0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厚度</w:t>
            </w:r>
          </w:p>
        </w:tc>
        <w:tc>
          <w:tcPr>
            <w:tcW w:w="4981" w:type="dxa"/>
          </w:tcPr>
          <w:p w14:paraId="227FA2D8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±0.5</w:t>
            </w:r>
          </w:p>
        </w:tc>
      </w:tr>
    </w:tbl>
    <w:p w14:paraId="5D13EFFC" w14:textId="77777777" w:rsidR="00C77399" w:rsidRDefault="00C77399">
      <w:pPr>
        <w:pStyle w:val="a5"/>
        <w:kinsoku w:val="0"/>
        <w:overflowPunct w:val="0"/>
        <w:spacing w:beforeLines="50" w:before="156"/>
        <w:jc w:val="center"/>
        <w:rPr>
          <w:rFonts w:hAnsi="宋体"/>
          <w:kern w:val="2"/>
          <w:sz w:val="18"/>
          <w:szCs w:val="18"/>
        </w:rPr>
      </w:pPr>
    </w:p>
    <w:p w14:paraId="60EA86F0" w14:textId="77777777" w:rsidR="00C77399" w:rsidRDefault="00000000">
      <w:pPr>
        <w:pStyle w:val="a5"/>
        <w:kinsoku w:val="0"/>
        <w:overflowPunct w:val="0"/>
        <w:spacing w:beforeLines="50" w:before="156"/>
        <w:jc w:val="center"/>
        <w:rPr>
          <w:rFonts w:hAnsi="宋体"/>
          <w:kern w:val="2"/>
          <w:sz w:val="18"/>
          <w:szCs w:val="18"/>
        </w:rPr>
      </w:pPr>
      <w:r>
        <w:rPr>
          <w:rFonts w:hAnsi="宋体"/>
          <w:kern w:val="2"/>
          <w:sz w:val="18"/>
          <w:szCs w:val="18"/>
        </w:rPr>
        <w:t>表5 不同企业生产的防腐复合板尺寸偏差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77399" w14:paraId="08E21292" w14:textId="77777777">
        <w:trPr>
          <w:trHeight w:val="283"/>
        </w:trPr>
        <w:tc>
          <w:tcPr>
            <w:tcW w:w="2840" w:type="dxa"/>
            <w:vMerge w:val="restart"/>
            <w:vAlign w:val="center"/>
          </w:tcPr>
          <w:p w14:paraId="204790B6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项目</w:t>
            </w:r>
          </w:p>
        </w:tc>
        <w:tc>
          <w:tcPr>
            <w:tcW w:w="5682" w:type="dxa"/>
            <w:gridSpan w:val="2"/>
            <w:vAlign w:val="center"/>
          </w:tcPr>
          <w:p w14:paraId="748762B1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最大偏差（毫米）</w:t>
            </w:r>
          </w:p>
        </w:tc>
      </w:tr>
      <w:tr w:rsidR="00C77399" w14:paraId="77149495" w14:textId="77777777">
        <w:trPr>
          <w:trHeight w:val="283"/>
        </w:trPr>
        <w:tc>
          <w:tcPr>
            <w:tcW w:w="2840" w:type="dxa"/>
            <w:vMerge/>
            <w:vAlign w:val="center"/>
          </w:tcPr>
          <w:p w14:paraId="63EF1EAA" w14:textId="77777777" w:rsidR="00C77399" w:rsidRDefault="00C77399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14:paraId="67783F5D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边长</w:t>
            </w:r>
          </w:p>
        </w:tc>
        <w:tc>
          <w:tcPr>
            <w:tcW w:w="2841" w:type="dxa"/>
            <w:vAlign w:val="center"/>
          </w:tcPr>
          <w:p w14:paraId="0B23CA4D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厚度</w:t>
            </w:r>
          </w:p>
        </w:tc>
      </w:tr>
      <w:tr w:rsidR="00C77399" w14:paraId="41610DD7" w14:textId="77777777">
        <w:trPr>
          <w:trHeight w:val="283"/>
        </w:trPr>
        <w:tc>
          <w:tcPr>
            <w:tcW w:w="2840" w:type="dxa"/>
            <w:vAlign w:val="center"/>
          </w:tcPr>
          <w:p w14:paraId="6B950333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企业1</w:t>
            </w:r>
          </w:p>
        </w:tc>
        <w:tc>
          <w:tcPr>
            <w:tcW w:w="2841" w:type="dxa"/>
            <w:vAlign w:val="center"/>
          </w:tcPr>
          <w:p w14:paraId="4EA8AB18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</w:t>
            </w:r>
            <w:r>
              <w:rPr>
                <w:rFonts w:ascii="Times New Roman" w:cs="Times New Roman"/>
                <w:sz w:val="18"/>
                <w:szCs w:val="18"/>
              </w:rPr>
              <w:t>2.0</w:t>
            </w:r>
          </w:p>
        </w:tc>
        <w:tc>
          <w:tcPr>
            <w:tcW w:w="2841" w:type="dxa"/>
            <w:vAlign w:val="center"/>
          </w:tcPr>
          <w:p w14:paraId="37B8A364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±0.5</w:t>
            </w:r>
            <w:r>
              <w:rPr>
                <w:rFonts w:ascii="Times New Roman" w:cs="Times New Roman"/>
                <w:sz w:val="18"/>
                <w:szCs w:val="18"/>
              </w:rPr>
              <w:t>0</w:t>
            </w:r>
          </w:p>
        </w:tc>
      </w:tr>
      <w:tr w:rsidR="00C77399" w14:paraId="0B63EE21" w14:textId="77777777">
        <w:trPr>
          <w:trHeight w:val="283"/>
        </w:trPr>
        <w:tc>
          <w:tcPr>
            <w:tcW w:w="2840" w:type="dxa"/>
            <w:vAlign w:val="center"/>
          </w:tcPr>
          <w:p w14:paraId="435CDB21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企业2</w:t>
            </w:r>
          </w:p>
        </w:tc>
        <w:tc>
          <w:tcPr>
            <w:tcW w:w="2841" w:type="dxa"/>
            <w:vAlign w:val="center"/>
          </w:tcPr>
          <w:p w14:paraId="5C4F5BA6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</w:t>
            </w:r>
            <w:r>
              <w:rPr>
                <w:rFonts w:ascii="Times New Roman" w:cs="Times New Roman"/>
                <w:sz w:val="18"/>
                <w:szCs w:val="18"/>
              </w:rPr>
              <w:t>1.0</w:t>
            </w:r>
          </w:p>
        </w:tc>
        <w:tc>
          <w:tcPr>
            <w:tcW w:w="2841" w:type="dxa"/>
            <w:vAlign w:val="center"/>
          </w:tcPr>
          <w:p w14:paraId="6B7BE743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±0.</w:t>
            </w:r>
            <w:r>
              <w:rPr>
                <w:rFonts w:ascii="Times New Roman" w:cs="Times New Roman"/>
                <w:sz w:val="18"/>
                <w:szCs w:val="18"/>
              </w:rPr>
              <w:t>35</w:t>
            </w:r>
          </w:p>
        </w:tc>
      </w:tr>
      <w:tr w:rsidR="00C77399" w14:paraId="136768A7" w14:textId="77777777">
        <w:trPr>
          <w:trHeight w:val="283"/>
        </w:trPr>
        <w:tc>
          <w:tcPr>
            <w:tcW w:w="2840" w:type="dxa"/>
            <w:vAlign w:val="center"/>
          </w:tcPr>
          <w:p w14:paraId="13B313F9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企业3</w:t>
            </w:r>
          </w:p>
        </w:tc>
        <w:tc>
          <w:tcPr>
            <w:tcW w:w="2841" w:type="dxa"/>
            <w:vAlign w:val="center"/>
          </w:tcPr>
          <w:p w14:paraId="581202D5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</w:t>
            </w:r>
            <w:r>
              <w:rPr>
                <w:rFonts w:asci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841" w:type="dxa"/>
            <w:vAlign w:val="center"/>
          </w:tcPr>
          <w:p w14:paraId="46039B3E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±0.</w:t>
            </w:r>
            <w:r>
              <w:rPr>
                <w:rFonts w:ascii="Times New Roman" w:cs="Times New Roman"/>
                <w:sz w:val="18"/>
                <w:szCs w:val="18"/>
              </w:rPr>
              <w:t>40</w:t>
            </w:r>
          </w:p>
        </w:tc>
      </w:tr>
      <w:tr w:rsidR="00C77399" w14:paraId="357BA652" w14:textId="77777777">
        <w:trPr>
          <w:trHeight w:val="283"/>
        </w:trPr>
        <w:tc>
          <w:tcPr>
            <w:tcW w:w="2840" w:type="dxa"/>
            <w:vAlign w:val="center"/>
          </w:tcPr>
          <w:p w14:paraId="01267AF4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企业4</w:t>
            </w:r>
          </w:p>
        </w:tc>
        <w:tc>
          <w:tcPr>
            <w:tcW w:w="2841" w:type="dxa"/>
            <w:vAlign w:val="center"/>
          </w:tcPr>
          <w:p w14:paraId="3C47A387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</w:t>
            </w:r>
            <w:r>
              <w:rPr>
                <w:rFonts w:ascii="Times New Roman" w:cs="Times New Roman"/>
                <w:sz w:val="18"/>
                <w:szCs w:val="18"/>
              </w:rPr>
              <w:t>1.0</w:t>
            </w:r>
          </w:p>
        </w:tc>
        <w:tc>
          <w:tcPr>
            <w:tcW w:w="2841" w:type="dxa"/>
            <w:vAlign w:val="center"/>
          </w:tcPr>
          <w:p w14:paraId="2359576D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±0.</w:t>
            </w:r>
            <w:r>
              <w:rPr>
                <w:rFonts w:ascii="Times New Roman" w:cs="Times New Roman"/>
                <w:sz w:val="18"/>
                <w:szCs w:val="18"/>
              </w:rPr>
              <w:t>45</w:t>
            </w:r>
          </w:p>
        </w:tc>
      </w:tr>
      <w:tr w:rsidR="00C77399" w14:paraId="24022448" w14:textId="77777777">
        <w:trPr>
          <w:trHeight w:val="283"/>
        </w:trPr>
        <w:tc>
          <w:tcPr>
            <w:tcW w:w="2840" w:type="dxa"/>
            <w:vAlign w:val="center"/>
          </w:tcPr>
          <w:p w14:paraId="63A87AB1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企业5</w:t>
            </w:r>
          </w:p>
        </w:tc>
        <w:tc>
          <w:tcPr>
            <w:tcW w:w="2841" w:type="dxa"/>
            <w:vAlign w:val="center"/>
          </w:tcPr>
          <w:p w14:paraId="5177CF83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</w:t>
            </w:r>
            <w:r>
              <w:rPr>
                <w:rFonts w:ascii="Times New Roman" w:cs="Times New Roman"/>
                <w:sz w:val="18"/>
                <w:szCs w:val="18"/>
              </w:rPr>
              <w:t>2.0</w:t>
            </w:r>
          </w:p>
        </w:tc>
        <w:tc>
          <w:tcPr>
            <w:tcW w:w="2841" w:type="dxa"/>
            <w:vAlign w:val="center"/>
          </w:tcPr>
          <w:p w14:paraId="7C60AE0D" w14:textId="77777777" w:rsidR="00C77399" w:rsidRDefault="00000000">
            <w:pPr>
              <w:pStyle w:val="a5"/>
              <w:kinsoku w:val="0"/>
              <w:overflowPunct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±0.5</w:t>
            </w:r>
            <w:r>
              <w:rPr>
                <w:rFonts w:ascii="Times New Roman" w:cs="Times New Roman"/>
                <w:sz w:val="18"/>
                <w:szCs w:val="18"/>
              </w:rPr>
              <w:t>0</w:t>
            </w:r>
          </w:p>
        </w:tc>
      </w:tr>
    </w:tbl>
    <w:p w14:paraId="0136A5DE" w14:textId="77777777" w:rsidR="00C77399" w:rsidRDefault="00000000">
      <w:pPr>
        <w:pStyle w:val="a5"/>
        <w:kinsoku w:val="0"/>
        <w:overflowPunct w:val="0"/>
        <w:spacing w:beforeLines="50" w:before="156"/>
        <w:jc w:val="both"/>
        <w:rPr>
          <w:rFonts w:ascii="Times New Roman" w:eastAsia="黑体" w:cs="Times New Roman" w:hint="default"/>
          <w:bCs/>
          <w:sz w:val="21"/>
          <w:szCs w:val="21"/>
        </w:rPr>
      </w:pPr>
      <w:r>
        <w:rPr>
          <w:rFonts w:ascii="Times New Roman" w:eastAsia="黑体" w:cs="Times New Roman"/>
          <w:bCs/>
          <w:sz w:val="21"/>
          <w:szCs w:val="21"/>
        </w:rPr>
        <w:t>（三）平整度的确定依据</w:t>
      </w:r>
    </w:p>
    <w:p w14:paraId="2885E29B" w14:textId="77777777" w:rsidR="00C77399" w:rsidRDefault="00000000">
      <w:pPr>
        <w:jc w:val="center"/>
        <w:rPr>
          <w:rFonts w:ascii="黑体" w:eastAsia="黑体" w:hAnsi="黑体" w:cs="黑体"/>
          <w:bCs/>
          <w:sz w:val="18"/>
          <w:szCs w:val="18"/>
        </w:rPr>
      </w:pPr>
      <w:r>
        <w:rPr>
          <w:rFonts w:ascii="黑体" w:eastAsia="黑体" w:hAnsi="黑体" w:cs="黑体"/>
          <w:bCs/>
          <w:sz w:val="18"/>
          <w:szCs w:val="18"/>
        </w:rPr>
        <w:t>表6 平整度</w:t>
      </w:r>
    </w:p>
    <w:p w14:paraId="33532D8D" w14:textId="77777777" w:rsidR="00C77399" w:rsidRDefault="00000000">
      <w:pPr>
        <w:jc w:val="right"/>
        <w:rPr>
          <w:rFonts w:ascii="Times New Roman" w:cs="Times New Roman" w:hint="default"/>
          <w:bCs/>
          <w:sz w:val="18"/>
          <w:szCs w:val="18"/>
        </w:rPr>
      </w:pPr>
      <w:r>
        <w:rPr>
          <w:rFonts w:ascii="Times New Roman" w:cs="Times New Roman"/>
          <w:bCs/>
          <w:sz w:val="18"/>
          <w:szCs w:val="18"/>
        </w:rPr>
        <w:t>单位为毫米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6"/>
        <w:gridCol w:w="4256"/>
      </w:tblGrid>
      <w:tr w:rsidR="00C77399" w14:paraId="2902CEF0" w14:textId="77777777">
        <w:trPr>
          <w:trHeight w:val="255"/>
        </w:trPr>
        <w:tc>
          <w:tcPr>
            <w:tcW w:w="4981" w:type="dxa"/>
            <w:vAlign w:val="center"/>
          </w:tcPr>
          <w:p w14:paraId="19074604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Cs/>
                <w:sz w:val="18"/>
                <w:szCs w:val="18"/>
              </w:rPr>
              <w:t>边长</w:t>
            </w:r>
            <w:r>
              <w:rPr>
                <w:rFonts w:ascii="Times New Roman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4981" w:type="dxa"/>
            <w:vAlign w:val="center"/>
          </w:tcPr>
          <w:p w14:paraId="4715C3BC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Cs/>
                <w:sz w:val="18"/>
                <w:szCs w:val="18"/>
              </w:rPr>
              <w:t>技术指标</w:t>
            </w:r>
          </w:p>
        </w:tc>
      </w:tr>
      <w:tr w:rsidR="00C77399" w14:paraId="5FB751FD" w14:textId="77777777">
        <w:trPr>
          <w:trHeight w:val="255"/>
        </w:trPr>
        <w:tc>
          <w:tcPr>
            <w:tcW w:w="4981" w:type="dxa"/>
            <w:vAlign w:val="center"/>
          </w:tcPr>
          <w:p w14:paraId="6BC9A1DB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Cs/>
                <w:sz w:val="18"/>
                <w:szCs w:val="18"/>
              </w:rPr>
              <w:t>L</w:t>
            </w:r>
            <w:r>
              <w:rPr>
                <w:rFonts w:ascii="Times New Roman" w:cs="Times New Roman" w:hint="default"/>
                <w:sz w:val="18"/>
                <w:szCs w:val="18"/>
              </w:rPr>
              <w:t>≤</w:t>
            </w:r>
            <w:r>
              <w:rPr>
                <w:rFonts w:asci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cs="Times New Roman" w:hint="default"/>
                <w:sz w:val="18"/>
                <w:szCs w:val="18"/>
              </w:rPr>
              <w:t>00</w:t>
            </w:r>
          </w:p>
        </w:tc>
        <w:tc>
          <w:tcPr>
            <w:tcW w:w="4981" w:type="dxa"/>
            <w:vAlign w:val="center"/>
          </w:tcPr>
          <w:p w14:paraId="31533224" w14:textId="77777777" w:rsidR="00C77399" w:rsidRDefault="00000000">
            <w:pPr>
              <w:jc w:val="center"/>
              <w:rPr>
                <w:rFonts w:ascii="Times New Roman" w:eastAsiaTheme="minorEastAsia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≤</w:t>
            </w:r>
            <w:r>
              <w:rPr>
                <w:rFonts w:ascii="Times New Roman" w:cs="Times New Roman"/>
                <w:sz w:val="18"/>
                <w:szCs w:val="18"/>
              </w:rPr>
              <w:t>0.20</w:t>
            </w:r>
          </w:p>
        </w:tc>
      </w:tr>
      <w:tr w:rsidR="00C77399" w14:paraId="0B330226" w14:textId="77777777">
        <w:trPr>
          <w:trHeight w:val="255"/>
        </w:trPr>
        <w:tc>
          <w:tcPr>
            <w:tcW w:w="4981" w:type="dxa"/>
            <w:vAlign w:val="center"/>
          </w:tcPr>
          <w:p w14:paraId="16D1389F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cs="Times New Roman" w:hint="default"/>
                <w:sz w:val="18"/>
                <w:szCs w:val="18"/>
              </w:rPr>
              <w:t>00&lt;</w:t>
            </w:r>
            <w:r>
              <w:rPr>
                <w:rFonts w:ascii="Times New Roman" w:cs="Times New Roman" w:hint="default"/>
                <w:sz w:val="18"/>
                <w:szCs w:val="18"/>
              </w:rPr>
              <w:t>尺寸</w:t>
            </w:r>
            <w:r>
              <w:rPr>
                <w:rFonts w:ascii="Times New Roman" w:cs="Times New Roman" w:hint="default"/>
                <w:sz w:val="18"/>
                <w:szCs w:val="18"/>
              </w:rPr>
              <w:t>&lt;</w:t>
            </w:r>
            <w:r>
              <w:rPr>
                <w:rFonts w:asci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cs="Times New Roman" w:hint="default"/>
                <w:sz w:val="18"/>
                <w:szCs w:val="18"/>
              </w:rPr>
              <w:t>00</w:t>
            </w:r>
          </w:p>
        </w:tc>
        <w:tc>
          <w:tcPr>
            <w:tcW w:w="4981" w:type="dxa"/>
            <w:vAlign w:val="center"/>
          </w:tcPr>
          <w:p w14:paraId="7375D9D7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≤</w:t>
            </w:r>
            <w:r>
              <w:rPr>
                <w:rFonts w:ascii="Times New Roman" w:cs="Times New Roman"/>
                <w:sz w:val="18"/>
                <w:szCs w:val="18"/>
              </w:rPr>
              <w:t>0.50</w:t>
            </w:r>
          </w:p>
        </w:tc>
      </w:tr>
      <w:tr w:rsidR="00C77399" w14:paraId="0DD15BB7" w14:textId="77777777">
        <w:trPr>
          <w:trHeight w:val="255"/>
        </w:trPr>
        <w:tc>
          <w:tcPr>
            <w:tcW w:w="4981" w:type="dxa"/>
            <w:vAlign w:val="center"/>
          </w:tcPr>
          <w:p w14:paraId="3EE614CA" w14:textId="77777777" w:rsidR="00C77399" w:rsidRDefault="00000000">
            <w:pPr>
              <w:jc w:val="center"/>
              <w:rPr>
                <w:rFonts w:ascii="Times New Roman" w:eastAsiaTheme="minorEastAsia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/>
                <w:bCs/>
                <w:sz w:val="18"/>
                <w:szCs w:val="18"/>
              </w:rPr>
              <w:t>800</w:t>
            </w:r>
            <w:r>
              <w:rPr>
                <w:rFonts w:ascii="Times New Roman" w:cs="Times New Roman" w:hint="default"/>
                <w:sz w:val="18"/>
                <w:szCs w:val="18"/>
              </w:rPr>
              <w:t>≤</w:t>
            </w:r>
            <w:r>
              <w:rPr>
                <w:rFonts w:ascii="Times New Roman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4981" w:type="dxa"/>
            <w:vAlign w:val="center"/>
          </w:tcPr>
          <w:p w14:paraId="1BB870F0" w14:textId="77777777" w:rsidR="00C77399" w:rsidRDefault="00000000">
            <w:pPr>
              <w:jc w:val="center"/>
              <w:rPr>
                <w:rFonts w:ascii="Times New Roman" w:cs="Times New Roman" w:hint="default"/>
                <w:bCs/>
                <w:sz w:val="18"/>
                <w:szCs w:val="18"/>
              </w:rPr>
            </w:pPr>
            <w:r>
              <w:rPr>
                <w:rFonts w:ascii="Times New Roman" w:cs="Times New Roman" w:hint="default"/>
                <w:sz w:val="18"/>
                <w:szCs w:val="18"/>
              </w:rPr>
              <w:t>≤</w:t>
            </w:r>
            <w:r>
              <w:rPr>
                <w:rFonts w:ascii="Times New Roman" w:cs="Times New Roman"/>
                <w:sz w:val="18"/>
                <w:szCs w:val="18"/>
              </w:rPr>
              <w:t>0.70</w:t>
            </w:r>
          </w:p>
        </w:tc>
      </w:tr>
    </w:tbl>
    <w:p w14:paraId="33B83B9F" w14:textId="77777777" w:rsidR="00C77399" w:rsidRDefault="00000000">
      <w:pPr>
        <w:pStyle w:val="a5"/>
        <w:kinsoku w:val="0"/>
        <w:overflowPunct w:val="0"/>
        <w:spacing w:beforeLines="50" w:before="156"/>
        <w:ind w:firstLineChars="200" w:firstLine="420"/>
        <w:jc w:val="both"/>
        <w:rPr>
          <w:rFonts w:ascii="Times New Roman" w:eastAsia="黑体" w:cs="Times New Roman" w:hint="default"/>
          <w:bCs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防腐复合板的平整度要求参考标准</w:t>
      </w:r>
      <w:bookmarkStart w:id="17" w:name="OLE_LINK1"/>
      <w:r>
        <w:rPr>
          <w:rFonts w:hAnsi="宋体"/>
          <w:kern w:val="2"/>
          <w:sz w:val="21"/>
          <w:szCs w:val="21"/>
        </w:rPr>
        <w:t>GB/T 41919-2022</w:t>
      </w:r>
      <w:bookmarkEnd w:id="17"/>
      <w:r>
        <w:rPr>
          <w:rFonts w:hAnsi="宋体"/>
          <w:kern w:val="2"/>
          <w:sz w:val="21"/>
          <w:szCs w:val="21"/>
        </w:rPr>
        <w:t>，如表6所示。同时，标准编制组调研了五家生产企业，产品均能达到表6要求。</w:t>
      </w:r>
    </w:p>
    <w:p w14:paraId="3DD408D2" w14:textId="77777777" w:rsidR="00C77399" w:rsidRDefault="00000000">
      <w:pPr>
        <w:pStyle w:val="a5"/>
        <w:kinsoku w:val="0"/>
        <w:overflowPunct w:val="0"/>
        <w:spacing w:beforeLines="50" w:before="156"/>
        <w:jc w:val="both"/>
        <w:rPr>
          <w:rFonts w:ascii="Times New Roman" w:eastAsia="黑体" w:cs="Times New Roman" w:hint="default"/>
          <w:bCs/>
          <w:sz w:val="21"/>
          <w:szCs w:val="21"/>
        </w:rPr>
      </w:pPr>
      <w:r>
        <w:rPr>
          <w:rFonts w:ascii="Times New Roman" w:eastAsia="黑体" w:cs="Times New Roman"/>
          <w:bCs/>
          <w:sz w:val="21"/>
          <w:szCs w:val="21"/>
        </w:rPr>
        <w:t>（四）物化性能测试方法确定</w:t>
      </w:r>
    </w:p>
    <w:p w14:paraId="0A6333C3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hAnsi="宋体"/>
          <w:kern w:val="2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本项目的防腐复合板属于一种有机人造石，因此参考有机人造石的标准进行相关性能测试，耐酸</w:t>
      </w:r>
      <w:proofErr w:type="gramStart"/>
      <w:r>
        <w:rPr>
          <w:rFonts w:hAnsi="宋体"/>
          <w:kern w:val="2"/>
          <w:sz w:val="21"/>
          <w:szCs w:val="21"/>
        </w:rPr>
        <w:t>度没有</w:t>
      </w:r>
      <w:proofErr w:type="gramEnd"/>
      <w:r>
        <w:rPr>
          <w:rFonts w:hAnsi="宋体"/>
          <w:kern w:val="2"/>
          <w:sz w:val="21"/>
          <w:szCs w:val="21"/>
        </w:rPr>
        <w:t>相应的人造</w:t>
      </w:r>
      <w:proofErr w:type="gramStart"/>
      <w:r>
        <w:rPr>
          <w:rFonts w:hAnsi="宋体"/>
          <w:kern w:val="2"/>
          <w:sz w:val="21"/>
          <w:szCs w:val="21"/>
        </w:rPr>
        <w:t>石标准</w:t>
      </w:r>
      <w:proofErr w:type="gramEnd"/>
      <w:r>
        <w:rPr>
          <w:rFonts w:hAnsi="宋体"/>
          <w:kern w:val="2"/>
          <w:sz w:val="21"/>
          <w:szCs w:val="21"/>
        </w:rPr>
        <w:t>可参考，则按照竞争产品耐酸砖的标准进行测试。因此，吸水率、莫氏硬度、弯曲强度、压缩强度、冲击强度、线性热膨胀系数、耐磨性等物化性能的测试方法参考标准GB/T 41919-2022</w:t>
      </w:r>
      <w:r>
        <w:rPr>
          <w:rFonts w:ascii="Times New Roman" w:cs="Times New Roman" w:hint="default"/>
          <w:kern w:val="2"/>
          <w:sz w:val="21"/>
          <w:szCs w:val="21"/>
        </w:rPr>
        <w:t>和</w:t>
      </w:r>
      <w:r>
        <w:rPr>
          <w:rFonts w:ascii="Times New Roman" w:cs="Times New Roman" w:hint="default"/>
          <w:kern w:val="2"/>
          <w:sz w:val="21"/>
          <w:szCs w:val="21"/>
        </w:rPr>
        <w:t>JC/T 908</w:t>
      </w:r>
      <w:r>
        <w:rPr>
          <w:rFonts w:ascii="Times New Roman" w:cs="Times New Roman"/>
          <w:kern w:val="2"/>
          <w:sz w:val="21"/>
          <w:szCs w:val="21"/>
        </w:rPr>
        <w:t>-2013</w:t>
      </w:r>
      <w:r>
        <w:rPr>
          <w:rFonts w:hAnsi="宋体"/>
          <w:kern w:val="2"/>
          <w:sz w:val="21"/>
          <w:szCs w:val="21"/>
        </w:rPr>
        <w:t>，耐酸度测试方法参考标准</w:t>
      </w:r>
      <w:r>
        <w:rPr>
          <w:rFonts w:ascii="Times New Roman" w:cs="Times New Roman" w:hint="default"/>
          <w:kern w:val="2"/>
          <w:sz w:val="21"/>
          <w:szCs w:val="21"/>
        </w:rPr>
        <w:t>GB/T 8488-2008</w:t>
      </w:r>
      <w:r>
        <w:rPr>
          <w:rFonts w:hAnsi="宋体"/>
          <w:kern w:val="2"/>
          <w:sz w:val="21"/>
          <w:szCs w:val="21"/>
        </w:rPr>
        <w:t>。</w:t>
      </w:r>
    </w:p>
    <w:p w14:paraId="1AC580A8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18" w:name="_Toc27775"/>
      <w:bookmarkStart w:id="19" w:name="_Toc21778"/>
      <w:r>
        <w:rPr>
          <w:rFonts w:ascii="Times New Roman" w:hAnsi="Times New Roman" w:cs="Times New Roman" w:hint="default"/>
        </w:rPr>
        <w:t>四、与现行法律、法规、强制性国家标准及相关标准协调配套情况</w:t>
      </w:r>
      <w:bookmarkEnd w:id="18"/>
      <w:bookmarkEnd w:id="19"/>
    </w:p>
    <w:p w14:paraId="25E56514" w14:textId="77777777" w:rsidR="00C77399" w:rsidRDefault="00000000">
      <w:pPr>
        <w:pStyle w:val="20"/>
        <w:spacing w:beforeLines="100" w:before="312" w:afterLines="100" w:after="312"/>
        <w:rPr>
          <w:rFonts w:ascii="Times New Roman" w:hAnsi="Times New Roman" w:cs="Times New Roman" w:hint="default"/>
        </w:rPr>
      </w:pPr>
      <w:bookmarkStart w:id="20" w:name="_Toc24185"/>
      <w:r>
        <w:rPr>
          <w:rFonts w:ascii="Times New Roman" w:hAnsi="Times New Roman" w:cs="Times New Roman" w:hint="default"/>
        </w:rPr>
        <w:t>（一）现有政策法规与新制定标准的关系分析</w:t>
      </w:r>
      <w:bookmarkEnd w:id="20"/>
    </w:p>
    <w:p w14:paraId="6C638502" w14:textId="77777777" w:rsidR="00C77399" w:rsidRDefault="00000000">
      <w:pPr>
        <w:pStyle w:val="a5"/>
        <w:kinsoku w:val="0"/>
        <w:overflowPunct w:val="0"/>
        <w:ind w:firstLineChars="200" w:firstLine="420"/>
        <w:rPr>
          <w:rFonts w:ascii="Times New Roman" w:cs="Times New Roman" w:hint="default"/>
        </w:rPr>
      </w:pPr>
      <w:r>
        <w:rPr>
          <w:rFonts w:ascii="Times New Roman" w:cs="Times New Roman" w:hint="default"/>
          <w:sz w:val="21"/>
          <w:szCs w:val="21"/>
        </w:rPr>
        <w:t>现有政策法规与新制定标准并无冲突。</w:t>
      </w:r>
    </w:p>
    <w:p w14:paraId="40F28846" w14:textId="77777777" w:rsidR="00C77399" w:rsidRDefault="00000000">
      <w:pPr>
        <w:pStyle w:val="20"/>
        <w:spacing w:beforeLines="100" w:before="312" w:afterLines="100" w:after="312"/>
        <w:rPr>
          <w:rFonts w:ascii="Times New Roman" w:hAnsi="Times New Roman" w:cs="Times New Roman" w:hint="default"/>
        </w:rPr>
      </w:pPr>
      <w:bookmarkStart w:id="21" w:name="_Toc23500"/>
      <w:r>
        <w:rPr>
          <w:rFonts w:ascii="Times New Roman" w:hAnsi="Times New Roman" w:cs="Times New Roman" w:hint="default"/>
        </w:rPr>
        <w:t>（二）现有标准与新制定标准的关系分析</w:t>
      </w:r>
      <w:bookmarkEnd w:id="21"/>
    </w:p>
    <w:p w14:paraId="3362CAA9" w14:textId="77777777" w:rsidR="00C77399" w:rsidRDefault="00000000">
      <w:pPr>
        <w:pStyle w:val="1"/>
        <w:widowControl/>
        <w:wordWrap w:val="0"/>
        <w:ind w:left="0" w:firstLineChars="200" w:firstLine="440"/>
        <w:rPr>
          <w:rFonts w:hint="default"/>
          <w:szCs w:val="21"/>
        </w:rPr>
      </w:pPr>
      <w:r>
        <w:rPr>
          <w:rFonts w:ascii="Times New Roman"/>
          <w:b w:val="0"/>
          <w:sz w:val="22"/>
          <w:szCs w:val="21"/>
        </w:rPr>
        <w:t>本项目防腐复合板属于一种人造有机石英石板材，目前相关的国内标准有</w:t>
      </w:r>
      <w:r>
        <w:rPr>
          <w:rFonts w:ascii="Times New Roman"/>
          <w:b w:val="0"/>
          <w:sz w:val="22"/>
          <w:szCs w:val="21"/>
        </w:rPr>
        <w:t>JC/T 908-2013</w:t>
      </w:r>
      <w:r>
        <w:rPr>
          <w:rFonts w:ascii="Times New Roman"/>
          <w:b w:val="0"/>
          <w:sz w:val="22"/>
          <w:szCs w:val="21"/>
        </w:rPr>
        <w:t>《人造石》、</w:t>
      </w:r>
      <w:r>
        <w:rPr>
          <w:rFonts w:ascii="Times New Roman"/>
          <w:b w:val="0"/>
          <w:sz w:val="22"/>
          <w:szCs w:val="21"/>
        </w:rPr>
        <w:t>JC/T 2534-2019</w:t>
      </w:r>
      <w:r>
        <w:rPr>
          <w:rFonts w:ascii="Times New Roman"/>
          <w:b w:val="0"/>
          <w:sz w:val="22"/>
          <w:szCs w:val="21"/>
        </w:rPr>
        <w:t>《建筑用人造石英石和岗石地板》、</w:t>
      </w:r>
      <w:r>
        <w:rPr>
          <w:rFonts w:ascii="Times New Roman"/>
          <w:b w:val="0"/>
          <w:sz w:val="22"/>
          <w:szCs w:val="21"/>
        </w:rPr>
        <w:t>JG</w:t>
      </w:r>
      <w:r>
        <w:rPr>
          <w:rFonts w:ascii="Times New Roman"/>
          <w:b w:val="0"/>
          <w:sz w:val="22"/>
          <w:szCs w:val="21"/>
        </w:rPr>
        <w:t>∕</w:t>
      </w:r>
      <w:r>
        <w:rPr>
          <w:rFonts w:ascii="Times New Roman"/>
          <w:b w:val="0"/>
          <w:sz w:val="22"/>
          <w:szCs w:val="21"/>
        </w:rPr>
        <w:t>T 463-2014</w:t>
      </w:r>
      <w:r>
        <w:rPr>
          <w:rFonts w:ascii="Times New Roman"/>
          <w:b w:val="0"/>
          <w:sz w:val="22"/>
          <w:szCs w:val="21"/>
        </w:rPr>
        <w:t>《建筑装饰用人造石英石板》、</w:t>
      </w:r>
      <w:r>
        <w:rPr>
          <w:rFonts w:ascii="Times New Roman"/>
          <w:b w:val="0"/>
          <w:sz w:val="22"/>
          <w:szCs w:val="21"/>
        </w:rPr>
        <w:t>GB/T 41919</w:t>
      </w:r>
      <w:r>
        <w:rPr>
          <w:rFonts w:ascii="Times New Roman"/>
          <w:b w:val="0"/>
          <w:sz w:val="22"/>
          <w:szCs w:val="21"/>
        </w:rPr>
        <w:t>《</w:t>
      </w:r>
      <w:r>
        <w:rPr>
          <w:rFonts w:ascii="Times New Roman" w:hint="default"/>
          <w:b w:val="0"/>
          <w:sz w:val="22"/>
          <w:szCs w:val="21"/>
        </w:rPr>
        <w:t>人造石建筑板材</w:t>
      </w:r>
      <w:r>
        <w:rPr>
          <w:rFonts w:ascii="Times New Roman"/>
          <w:b w:val="0"/>
          <w:sz w:val="22"/>
          <w:szCs w:val="21"/>
        </w:rPr>
        <w:t>》等，相关的国际标准有</w:t>
      </w:r>
      <w:r>
        <w:rPr>
          <w:rFonts w:ascii="Times New Roman"/>
          <w:b w:val="0"/>
          <w:sz w:val="22"/>
          <w:szCs w:val="21"/>
        </w:rPr>
        <w:t>EN 15285</w:t>
      </w:r>
      <w:r>
        <w:rPr>
          <w:rFonts w:ascii="Times New Roman"/>
          <w:b w:val="0"/>
          <w:sz w:val="22"/>
          <w:szCs w:val="21"/>
        </w:rPr>
        <w:t>《人造石</w:t>
      </w:r>
      <w:r>
        <w:rPr>
          <w:rFonts w:ascii="Times New Roman"/>
          <w:b w:val="0"/>
          <w:sz w:val="22"/>
          <w:szCs w:val="21"/>
        </w:rPr>
        <w:t>-</w:t>
      </w:r>
      <w:r>
        <w:rPr>
          <w:rFonts w:ascii="Times New Roman"/>
          <w:b w:val="0"/>
          <w:sz w:val="22"/>
          <w:szCs w:val="21"/>
        </w:rPr>
        <w:t>地面和台阶用规格板》、</w:t>
      </w:r>
      <w:r>
        <w:rPr>
          <w:rFonts w:ascii="Times New Roman"/>
          <w:b w:val="0"/>
          <w:sz w:val="22"/>
          <w:szCs w:val="21"/>
        </w:rPr>
        <w:t>EN 15286</w:t>
      </w:r>
      <w:r>
        <w:rPr>
          <w:rFonts w:ascii="Times New Roman"/>
          <w:b w:val="0"/>
          <w:sz w:val="22"/>
          <w:szCs w:val="21"/>
        </w:rPr>
        <w:t>《人造石</w:t>
      </w:r>
      <w:r>
        <w:rPr>
          <w:rFonts w:ascii="Times New Roman"/>
          <w:b w:val="0"/>
          <w:sz w:val="22"/>
          <w:szCs w:val="21"/>
        </w:rPr>
        <w:t>-</w:t>
      </w:r>
      <w:r>
        <w:rPr>
          <w:rFonts w:ascii="Times New Roman"/>
          <w:b w:val="0"/>
          <w:sz w:val="22"/>
          <w:szCs w:val="21"/>
        </w:rPr>
        <w:t>墙板和墙砖》、</w:t>
      </w:r>
      <w:r>
        <w:rPr>
          <w:rFonts w:ascii="Times New Roman"/>
          <w:b w:val="0"/>
          <w:sz w:val="22"/>
          <w:szCs w:val="21"/>
        </w:rPr>
        <w:t>EN 15388</w:t>
      </w:r>
      <w:r>
        <w:rPr>
          <w:rFonts w:ascii="Times New Roman"/>
          <w:b w:val="0"/>
          <w:sz w:val="22"/>
          <w:szCs w:val="21"/>
        </w:rPr>
        <w:t>《人造石</w:t>
      </w:r>
      <w:r>
        <w:rPr>
          <w:rFonts w:ascii="Times New Roman"/>
          <w:b w:val="0"/>
          <w:sz w:val="22"/>
          <w:szCs w:val="21"/>
        </w:rPr>
        <w:t>-</w:t>
      </w:r>
      <w:r>
        <w:rPr>
          <w:rFonts w:ascii="Times New Roman"/>
          <w:b w:val="0"/>
          <w:sz w:val="22"/>
          <w:szCs w:val="21"/>
        </w:rPr>
        <w:t>卫浴厨房台面规格板》、</w:t>
      </w:r>
      <w:r>
        <w:rPr>
          <w:rFonts w:ascii="Times New Roman"/>
          <w:b w:val="0"/>
          <w:sz w:val="22"/>
          <w:szCs w:val="21"/>
        </w:rPr>
        <w:t>EN 14618</w:t>
      </w:r>
      <w:r>
        <w:rPr>
          <w:rFonts w:ascii="Times New Roman"/>
          <w:b w:val="0"/>
          <w:sz w:val="22"/>
          <w:szCs w:val="21"/>
        </w:rPr>
        <w:t>《人造合成石》等，这些标准对人造石英石在民用和普通工业用途中的性能做了要求，强调材料的光滑度、色泽，耐油抗污，耐弱酸弱碱性能等。而湿法冶炼车间对地面铺设的材料要求更高，需要更高的强度，更好的耐酸腐蚀性能，同时对材料的热膨胀性能要求更高，对光滑度、色泽、耐油抗污等</w:t>
      </w:r>
      <w:r>
        <w:rPr>
          <w:rFonts w:ascii="Times New Roman"/>
          <w:b w:val="0"/>
          <w:sz w:val="22"/>
          <w:szCs w:val="21"/>
        </w:rPr>
        <w:lastRenderedPageBreak/>
        <w:t>要求不高。因此，本标准将对有色行业湿法冶金中使用的防腐复合板（人造石英石板材）的关键技术指标做出具体限定。</w:t>
      </w:r>
    </w:p>
    <w:p w14:paraId="70057814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22" w:name="_Toc29289"/>
      <w:bookmarkStart w:id="23" w:name="_Toc15468"/>
      <w:r>
        <w:rPr>
          <w:rFonts w:ascii="Times New Roman" w:hAnsi="Times New Roman" w:cs="Times New Roman" w:hint="default"/>
        </w:rPr>
        <w:t>五、预期的经济效益、社会效益和生态效益</w:t>
      </w:r>
      <w:bookmarkEnd w:id="22"/>
      <w:bookmarkEnd w:id="23"/>
    </w:p>
    <w:p w14:paraId="1CDC8A6F" w14:textId="77777777" w:rsidR="00C77399" w:rsidRDefault="00000000">
      <w:pPr>
        <w:autoSpaceDE/>
        <w:autoSpaceDN/>
        <w:adjustRightInd/>
        <w:ind w:firstLineChars="200" w:firstLine="440"/>
        <w:jc w:val="both"/>
        <w:rPr>
          <w:rFonts w:hint="default"/>
          <w:szCs w:val="21"/>
        </w:rPr>
      </w:pPr>
      <w:r>
        <w:rPr>
          <w:szCs w:val="21"/>
        </w:rPr>
        <w:t>防腐复合板与传统防腐材料，例如</w:t>
      </w:r>
      <w:r>
        <w:rPr>
          <w:rFonts w:hAnsi="宋体"/>
          <w:szCs w:val="21"/>
        </w:rPr>
        <w:t>花岗岩、耐酸瓷砖、呋喃混凝土、树脂砂浆等相比，表现出更好的强度、韧性、耐酸性能，使用寿命长，维修频率低，可以明显降低冶炼厂对防腐地面的维修成本。同时，</w:t>
      </w:r>
      <w:r>
        <w:rPr>
          <w:szCs w:val="21"/>
        </w:rPr>
        <w:t>防腐复合板生产过程中的废水废渣可循环利用，基本可以实现废水废渣零排放，属于环保材料。</w:t>
      </w:r>
      <w:r>
        <w:rPr>
          <w:rFonts w:hAnsi="宋体"/>
          <w:szCs w:val="21"/>
        </w:rPr>
        <w:t>近几年国内外翻</w:t>
      </w:r>
      <w:proofErr w:type="gramStart"/>
      <w:r>
        <w:rPr>
          <w:rFonts w:hAnsi="宋体"/>
          <w:szCs w:val="21"/>
        </w:rPr>
        <w:t>新或者</w:t>
      </w:r>
      <w:proofErr w:type="gramEnd"/>
      <w:r>
        <w:rPr>
          <w:rFonts w:hAnsi="宋体"/>
          <w:szCs w:val="21"/>
        </w:rPr>
        <w:t>新建冶炼厂，大多数采用</w:t>
      </w:r>
      <w:r>
        <w:rPr>
          <w:szCs w:val="21"/>
        </w:rPr>
        <w:t>防腐复合板作为电解车间、</w:t>
      </w:r>
      <w:proofErr w:type="gramStart"/>
      <w:r>
        <w:rPr>
          <w:szCs w:val="21"/>
        </w:rPr>
        <w:t>净液车间</w:t>
      </w:r>
      <w:proofErr w:type="gramEnd"/>
      <w:r>
        <w:rPr>
          <w:szCs w:val="21"/>
        </w:rPr>
        <w:t>的地面防腐材料，</w:t>
      </w:r>
      <w:proofErr w:type="gramStart"/>
      <w:r>
        <w:rPr>
          <w:szCs w:val="21"/>
        </w:rPr>
        <w:t>例如卡阿莫</w:t>
      </w:r>
      <w:proofErr w:type="gramEnd"/>
      <w:r>
        <w:rPr>
          <w:szCs w:val="21"/>
        </w:rPr>
        <w:t>-</w:t>
      </w:r>
      <w:proofErr w:type="gramStart"/>
      <w:r>
        <w:rPr>
          <w:szCs w:val="21"/>
        </w:rPr>
        <w:t>卡库拉铜</w:t>
      </w:r>
      <w:proofErr w:type="gramEnd"/>
      <w:r>
        <w:rPr>
          <w:szCs w:val="21"/>
        </w:rPr>
        <w:t>冶炼厂、</w:t>
      </w:r>
      <w:proofErr w:type="gramStart"/>
      <w:r>
        <w:rPr>
          <w:szCs w:val="21"/>
        </w:rPr>
        <w:t>烟台国</w:t>
      </w:r>
      <w:proofErr w:type="gramEnd"/>
      <w:r>
        <w:rPr>
          <w:szCs w:val="21"/>
        </w:rPr>
        <w:t>兴、山东恒邦、株冶有色、贵溪冶炼厂等。</w:t>
      </w:r>
      <w:r>
        <w:rPr>
          <w:rFonts w:hAnsi="宋体"/>
          <w:szCs w:val="21"/>
        </w:rPr>
        <w:t>但</w:t>
      </w:r>
      <w:r>
        <w:rPr>
          <w:szCs w:val="21"/>
        </w:rPr>
        <w:t>目前</w:t>
      </w:r>
      <w:r>
        <w:rPr>
          <w:rFonts w:hAnsi="宋体"/>
          <w:szCs w:val="21"/>
        </w:rPr>
        <w:t>防腐复合板没有统一的产品规范，</w:t>
      </w:r>
      <w:r>
        <w:rPr>
          <w:szCs w:val="21"/>
        </w:rPr>
        <w:t>有色金属冶炼行业还尚无限定</w:t>
      </w:r>
      <w:r>
        <w:rPr>
          <w:rFonts w:hAnsi="宋体"/>
          <w:szCs w:val="21"/>
        </w:rPr>
        <w:t>防腐复合板</w:t>
      </w:r>
      <w:r>
        <w:rPr>
          <w:szCs w:val="21"/>
        </w:rPr>
        <w:t>需满足的技术指标要求的标准可依据，不利于</w:t>
      </w:r>
      <w:r>
        <w:rPr>
          <w:rFonts w:hAnsi="宋体"/>
          <w:szCs w:val="21"/>
        </w:rPr>
        <w:t>防腐复合板在有色金属冶炼行业的推广应用。</w:t>
      </w:r>
    </w:p>
    <w:p w14:paraId="53B77ED8" w14:textId="77777777" w:rsidR="00C77399" w:rsidRDefault="00000000">
      <w:pPr>
        <w:autoSpaceDE/>
        <w:autoSpaceDN/>
        <w:adjustRightInd/>
        <w:ind w:firstLineChars="200" w:firstLine="440"/>
        <w:jc w:val="both"/>
        <w:rPr>
          <w:rFonts w:hAnsi="宋体"/>
          <w:kern w:val="2"/>
          <w:sz w:val="21"/>
          <w:szCs w:val="21"/>
        </w:rPr>
      </w:pPr>
      <w:r>
        <w:rPr>
          <w:szCs w:val="21"/>
        </w:rPr>
        <w:t>若本标准完成制定、发布实施，将规范和促进防腐复合板在有色金属行业的应用推广，逐步替代高能耗的耐酸瓷砖和天然花岗岩，对</w:t>
      </w:r>
      <w:proofErr w:type="gramStart"/>
      <w:r>
        <w:rPr>
          <w:szCs w:val="21"/>
        </w:rPr>
        <w:t>实现碳达峰</w:t>
      </w:r>
      <w:proofErr w:type="gramEnd"/>
      <w:r>
        <w:rPr>
          <w:szCs w:val="21"/>
        </w:rPr>
        <w:t>和环境保护有一定的积极作用。同时，防腐复合板在有色行业应用，为湿法车间提供了性价</w:t>
      </w:r>
      <w:proofErr w:type="gramStart"/>
      <w:r>
        <w:rPr>
          <w:szCs w:val="21"/>
        </w:rPr>
        <w:t>比更好</w:t>
      </w:r>
      <w:proofErr w:type="gramEnd"/>
      <w:r>
        <w:rPr>
          <w:szCs w:val="21"/>
        </w:rPr>
        <w:t>的防腐产品，可降低冶炼企业在防腐上的投入成本，有利于有色金属企业高质量发展。总之，本标准的制定实施，具有良好的经济效益、社会效益和生态效益。</w:t>
      </w:r>
    </w:p>
    <w:p w14:paraId="4189F8FD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24" w:name="_Toc24881"/>
      <w:bookmarkStart w:id="25" w:name="_Toc2232"/>
      <w:r>
        <w:rPr>
          <w:rFonts w:ascii="Times New Roman" w:hAnsi="Times New Roman" w:cs="Times New Roman" w:hint="default"/>
        </w:rPr>
        <w:t>六、重大分歧意见的处理过程、处理意见及其依据</w:t>
      </w:r>
      <w:bookmarkEnd w:id="24"/>
      <w:bookmarkEnd w:id="25"/>
    </w:p>
    <w:p w14:paraId="6521D78D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cs="Times New Roman" w:hint="default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本文件</w:t>
      </w:r>
      <w:r>
        <w:rPr>
          <w:rFonts w:ascii="Times New Roman" w:cs="Times New Roman" w:hint="default"/>
          <w:sz w:val="21"/>
          <w:szCs w:val="21"/>
        </w:rPr>
        <w:t>在编制过程中未出现重大分歧意见。</w:t>
      </w:r>
      <w:bookmarkStart w:id="26" w:name="_bookmark5"/>
      <w:bookmarkEnd w:id="26"/>
    </w:p>
    <w:p w14:paraId="5E572DAA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27" w:name="_Toc5457"/>
      <w:bookmarkStart w:id="28" w:name="_Toc28070"/>
      <w:r>
        <w:rPr>
          <w:rFonts w:ascii="Times New Roman" w:hAnsi="Times New Roman" w:cs="Times New Roman" w:hint="default"/>
        </w:rPr>
        <w:t>七、实施强制性国家标准有关的政策措施</w:t>
      </w:r>
      <w:bookmarkStart w:id="29" w:name="_bookmark11"/>
      <w:bookmarkEnd w:id="27"/>
      <w:bookmarkEnd w:id="28"/>
      <w:bookmarkEnd w:id="29"/>
    </w:p>
    <w:p w14:paraId="517FACBF" w14:textId="77777777" w:rsidR="00C77399" w:rsidRDefault="00000000">
      <w:pPr>
        <w:spacing w:beforeLines="100" w:before="312"/>
        <w:ind w:firstLine="442"/>
        <w:jc w:val="both"/>
        <w:rPr>
          <w:rFonts w:ascii="Times New Roman" w:cs="Times New Roman" w:hint="default"/>
          <w:sz w:val="21"/>
          <w:szCs w:val="21"/>
        </w:rPr>
      </w:pPr>
      <w:r>
        <w:rPr>
          <w:rFonts w:hAnsi="宋体"/>
          <w:kern w:val="2"/>
          <w:sz w:val="21"/>
          <w:szCs w:val="21"/>
        </w:rPr>
        <w:t>本文件</w:t>
      </w:r>
      <w:r>
        <w:rPr>
          <w:rFonts w:hAnsi="宋体" w:hint="default"/>
          <w:kern w:val="2"/>
          <w:sz w:val="21"/>
          <w:szCs w:val="21"/>
        </w:rPr>
        <w:t>规定了</w:t>
      </w:r>
      <w:r>
        <w:rPr>
          <w:rFonts w:hAnsi="宋体"/>
          <w:kern w:val="2"/>
          <w:sz w:val="21"/>
          <w:szCs w:val="21"/>
        </w:rPr>
        <w:t>湿法冶金用防腐复合板</w:t>
      </w:r>
      <w:r>
        <w:rPr>
          <w:rFonts w:hAnsi="宋体" w:hint="default"/>
          <w:kern w:val="2"/>
          <w:sz w:val="21"/>
          <w:szCs w:val="21"/>
        </w:rPr>
        <w:t>的</w:t>
      </w:r>
      <w:r>
        <w:rPr>
          <w:rFonts w:hAnsi="宋体"/>
          <w:kern w:val="2"/>
          <w:sz w:val="21"/>
          <w:szCs w:val="21"/>
        </w:rPr>
        <w:t>性能</w:t>
      </w:r>
      <w:r>
        <w:rPr>
          <w:rFonts w:hAnsi="宋体" w:hint="default"/>
          <w:kern w:val="2"/>
          <w:sz w:val="21"/>
          <w:szCs w:val="21"/>
        </w:rPr>
        <w:t>要求</w:t>
      </w:r>
      <w:r>
        <w:rPr>
          <w:rFonts w:hAnsi="宋体"/>
          <w:kern w:val="2"/>
          <w:sz w:val="21"/>
          <w:szCs w:val="21"/>
        </w:rPr>
        <w:t>及检测方法</w:t>
      </w:r>
      <w:r>
        <w:rPr>
          <w:rFonts w:hAnsi="宋体" w:hint="default"/>
          <w:kern w:val="2"/>
          <w:sz w:val="21"/>
          <w:szCs w:val="21"/>
        </w:rPr>
        <w:t>，符合目前国内</w:t>
      </w:r>
      <w:r>
        <w:rPr>
          <w:rFonts w:hAnsi="宋体"/>
          <w:kern w:val="2"/>
          <w:sz w:val="21"/>
          <w:szCs w:val="21"/>
        </w:rPr>
        <w:t>有色金属湿法冶金</w:t>
      </w:r>
      <w:r>
        <w:rPr>
          <w:rFonts w:hAnsi="宋体" w:hint="default"/>
          <w:kern w:val="2"/>
          <w:sz w:val="21"/>
          <w:szCs w:val="21"/>
        </w:rPr>
        <w:t>的发展需求，具有较好的适用性和科学性，</w:t>
      </w:r>
      <w:r>
        <w:rPr>
          <w:rFonts w:hAnsi="宋体"/>
          <w:kern w:val="2"/>
          <w:sz w:val="21"/>
          <w:szCs w:val="21"/>
        </w:rPr>
        <w:t>本文件</w:t>
      </w:r>
      <w:r>
        <w:rPr>
          <w:rFonts w:hAnsi="宋体" w:hint="default"/>
          <w:kern w:val="2"/>
          <w:sz w:val="21"/>
          <w:szCs w:val="21"/>
        </w:rPr>
        <w:t>符合现行法律、法规的要求，并与其他同类国家标准、行业标准无冲突、重叠和不协调之处。</w:t>
      </w:r>
    </w:p>
    <w:p w14:paraId="2A12FAFF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30" w:name="_Toc27110"/>
      <w:bookmarkStart w:id="31" w:name="_Toc11242"/>
      <w:r>
        <w:rPr>
          <w:rFonts w:ascii="Times New Roman" w:hAnsi="Times New Roman" w:cs="Times New Roman" w:hint="default"/>
        </w:rPr>
        <w:t>八、是否需要对外通报的建议及理由</w:t>
      </w:r>
      <w:bookmarkEnd w:id="30"/>
      <w:bookmarkEnd w:id="31"/>
    </w:p>
    <w:p w14:paraId="3533D9C9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cs="Times New Roman" w:hint="default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本文件</w:t>
      </w:r>
      <w:r>
        <w:rPr>
          <w:rFonts w:ascii="Times New Roman" w:cs="Times New Roman" w:hint="default"/>
          <w:sz w:val="21"/>
          <w:szCs w:val="21"/>
        </w:rPr>
        <w:t>涉及国际贸易，建议通报。</w:t>
      </w:r>
    </w:p>
    <w:p w14:paraId="2136C2FF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32" w:name="_bookmark12"/>
      <w:bookmarkStart w:id="33" w:name="_Toc570"/>
      <w:bookmarkStart w:id="34" w:name="_Toc2660"/>
      <w:bookmarkEnd w:id="32"/>
      <w:r>
        <w:rPr>
          <w:rFonts w:ascii="Times New Roman" w:hAnsi="Times New Roman" w:cs="Times New Roman" w:hint="default"/>
        </w:rPr>
        <w:t>九、废止现行有关标准的建议</w:t>
      </w:r>
      <w:bookmarkEnd w:id="33"/>
      <w:bookmarkEnd w:id="34"/>
    </w:p>
    <w:p w14:paraId="4CE37558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cs="Times New Roman" w:hint="default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无废止现行有关标准的建议</w:t>
      </w:r>
      <w:r>
        <w:rPr>
          <w:rFonts w:ascii="Times New Roman" w:cs="Times New Roman" w:hint="default"/>
          <w:sz w:val="21"/>
          <w:szCs w:val="21"/>
        </w:rPr>
        <w:t>。</w:t>
      </w:r>
    </w:p>
    <w:p w14:paraId="4D19A076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35" w:name="_bookmark13"/>
      <w:bookmarkStart w:id="36" w:name="_Toc5780"/>
      <w:bookmarkStart w:id="37" w:name="_Toc10104"/>
      <w:bookmarkEnd w:id="35"/>
      <w:r>
        <w:rPr>
          <w:rFonts w:ascii="Times New Roman" w:hAnsi="Times New Roman" w:cs="Times New Roman" w:hint="default"/>
        </w:rPr>
        <w:t>十、涉及专利的有关说明</w:t>
      </w:r>
      <w:bookmarkEnd w:id="36"/>
      <w:bookmarkEnd w:id="37"/>
    </w:p>
    <w:p w14:paraId="6B2DB37E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cs="Times New Roman" w:hint="default"/>
          <w:sz w:val="27"/>
          <w:szCs w:val="27"/>
        </w:rPr>
      </w:pPr>
      <w:r>
        <w:rPr>
          <w:rFonts w:ascii="Times New Roman" w:cs="Times New Roman"/>
          <w:sz w:val="21"/>
          <w:szCs w:val="21"/>
        </w:rPr>
        <w:t>本文件</w:t>
      </w:r>
      <w:r>
        <w:rPr>
          <w:rFonts w:ascii="Times New Roman" w:cs="Times New Roman" w:hint="default"/>
          <w:sz w:val="21"/>
          <w:szCs w:val="21"/>
        </w:rPr>
        <w:t>不涉及相关专利情况。</w:t>
      </w:r>
      <w:r>
        <w:rPr>
          <w:rFonts w:ascii="Times New Roman" w:cs="Times New Roman" w:hint="default"/>
          <w:sz w:val="21"/>
          <w:szCs w:val="21"/>
        </w:rPr>
        <w:t xml:space="preserve"> </w:t>
      </w:r>
    </w:p>
    <w:p w14:paraId="534BE6CD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38" w:name="_bookmark14"/>
      <w:bookmarkStart w:id="39" w:name="_Toc24796"/>
      <w:bookmarkStart w:id="40" w:name="_Toc7098"/>
      <w:bookmarkEnd w:id="38"/>
      <w:r>
        <w:rPr>
          <w:rFonts w:ascii="Times New Roman" w:hAnsi="Times New Roman" w:cs="Times New Roman" w:hint="default"/>
        </w:rPr>
        <w:t>十一、强制性国家标准所涉及的产品、过程或者服务目录</w:t>
      </w:r>
      <w:bookmarkEnd w:id="39"/>
      <w:bookmarkEnd w:id="40"/>
    </w:p>
    <w:p w14:paraId="21E23465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cs="Times New Roman" w:hint="default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本文件</w:t>
      </w:r>
      <w:r>
        <w:rPr>
          <w:rFonts w:ascii="Times New Roman" w:cs="Times New Roman" w:hint="default"/>
          <w:sz w:val="21"/>
          <w:szCs w:val="21"/>
        </w:rPr>
        <w:t>主要涉及的产品为</w:t>
      </w:r>
      <w:r>
        <w:rPr>
          <w:rFonts w:ascii="Times New Roman" w:cs="Times New Roman"/>
          <w:sz w:val="21"/>
          <w:szCs w:val="21"/>
        </w:rPr>
        <w:t>湿法冶金用防腐复合板</w:t>
      </w:r>
      <w:r>
        <w:rPr>
          <w:rFonts w:ascii="Times New Roman" w:cs="Times New Roman" w:hint="default"/>
          <w:sz w:val="21"/>
          <w:szCs w:val="21"/>
        </w:rPr>
        <w:t>。</w:t>
      </w:r>
      <w:r>
        <w:rPr>
          <w:rFonts w:ascii="Times New Roman" w:cs="Times New Roman" w:hint="default"/>
          <w:sz w:val="21"/>
          <w:szCs w:val="21"/>
        </w:rPr>
        <w:t xml:space="preserve"> </w:t>
      </w:r>
      <w:bookmarkStart w:id="41" w:name="_bookmark15"/>
      <w:bookmarkEnd w:id="41"/>
    </w:p>
    <w:p w14:paraId="7E00CC12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42" w:name="_Toc17517"/>
      <w:bookmarkStart w:id="43" w:name="_Toc18159"/>
      <w:r>
        <w:rPr>
          <w:rFonts w:ascii="Times New Roman" w:hAnsi="Times New Roman" w:cs="Times New Roman" w:hint="default"/>
        </w:rPr>
        <w:lastRenderedPageBreak/>
        <w:t>十二、贯彻标准的要求和措施建议</w:t>
      </w:r>
      <w:bookmarkEnd w:id="42"/>
      <w:bookmarkEnd w:id="43"/>
    </w:p>
    <w:p w14:paraId="7FA1D661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cs="Times New Roman" w:hint="default"/>
          <w:sz w:val="21"/>
          <w:szCs w:val="21"/>
        </w:rPr>
      </w:pPr>
      <w:r>
        <w:rPr>
          <w:rFonts w:ascii="Times New Roman" w:cs="Times New Roman" w:hint="default"/>
          <w:sz w:val="21"/>
          <w:szCs w:val="21"/>
        </w:rPr>
        <w:t>1</w:t>
      </w:r>
      <w:r>
        <w:rPr>
          <w:rFonts w:ascii="Times New Roman" w:cs="Times New Roman" w:hint="default"/>
          <w:sz w:val="21"/>
          <w:szCs w:val="21"/>
        </w:rPr>
        <w:t>、首先应在实施前保证标准文本的充足供应，使每个</w:t>
      </w:r>
      <w:r>
        <w:rPr>
          <w:rFonts w:ascii="Times New Roman" w:cs="Times New Roman"/>
          <w:sz w:val="21"/>
          <w:szCs w:val="21"/>
        </w:rPr>
        <w:t>防腐复合板</w:t>
      </w:r>
      <w:r>
        <w:rPr>
          <w:rFonts w:ascii="Times New Roman" w:cs="Times New Roman" w:hint="default"/>
          <w:sz w:val="21"/>
          <w:szCs w:val="21"/>
        </w:rPr>
        <w:t>生产企业及相关检测机构都能及时获得</w:t>
      </w:r>
      <w:r>
        <w:rPr>
          <w:rFonts w:ascii="Times New Roman" w:cs="Times New Roman"/>
          <w:sz w:val="21"/>
          <w:szCs w:val="21"/>
        </w:rPr>
        <w:t>本文件</w:t>
      </w:r>
      <w:r>
        <w:rPr>
          <w:rFonts w:ascii="Times New Roman" w:cs="Times New Roman" w:hint="default"/>
          <w:sz w:val="21"/>
          <w:szCs w:val="21"/>
        </w:rPr>
        <w:t>，这是保证新标准贯彻实施的基础。</w:t>
      </w:r>
    </w:p>
    <w:p w14:paraId="7EAA5393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cs="Times New Roman" w:hint="default"/>
          <w:sz w:val="21"/>
          <w:szCs w:val="21"/>
        </w:rPr>
      </w:pPr>
      <w:r>
        <w:rPr>
          <w:rFonts w:ascii="Times New Roman" w:cs="Times New Roman" w:hint="default"/>
          <w:sz w:val="21"/>
          <w:szCs w:val="21"/>
        </w:rPr>
        <w:t>2</w:t>
      </w:r>
      <w:r>
        <w:rPr>
          <w:rFonts w:ascii="Times New Roman" w:cs="Times New Roman" w:hint="default"/>
          <w:sz w:val="21"/>
          <w:szCs w:val="21"/>
        </w:rPr>
        <w:t>、本次修订的《</w:t>
      </w:r>
      <w:r>
        <w:rPr>
          <w:rFonts w:ascii="Times New Roman" w:cs="Times New Roman"/>
          <w:sz w:val="21"/>
          <w:szCs w:val="21"/>
        </w:rPr>
        <w:t>湿法冶金用防腐复合板</w:t>
      </w:r>
      <w:r>
        <w:rPr>
          <w:rFonts w:ascii="Times New Roman" w:cs="Times New Roman" w:hint="default"/>
          <w:sz w:val="21"/>
          <w:szCs w:val="21"/>
        </w:rPr>
        <w:t>》标准，与生产企业</w:t>
      </w:r>
      <w:r>
        <w:rPr>
          <w:rFonts w:ascii="Times New Roman" w:cs="Times New Roman"/>
          <w:sz w:val="21"/>
          <w:szCs w:val="21"/>
        </w:rPr>
        <w:t>和使用企业</w:t>
      </w:r>
      <w:r>
        <w:rPr>
          <w:rFonts w:ascii="Times New Roman" w:cs="Times New Roman" w:hint="default"/>
          <w:sz w:val="21"/>
          <w:szCs w:val="21"/>
        </w:rPr>
        <w:t>有关，对于标准使用过程中出现的疑问，起草单位有义务进行解释。</w:t>
      </w:r>
    </w:p>
    <w:p w14:paraId="675536D8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cs="Times New Roman" w:hint="default"/>
          <w:sz w:val="21"/>
          <w:szCs w:val="21"/>
        </w:rPr>
      </w:pPr>
      <w:r>
        <w:rPr>
          <w:rFonts w:ascii="Times New Roman" w:cs="Times New Roman" w:hint="default"/>
          <w:sz w:val="21"/>
          <w:szCs w:val="21"/>
        </w:rPr>
        <w:t>3</w:t>
      </w:r>
      <w:r>
        <w:rPr>
          <w:rFonts w:ascii="Times New Roman" w:cs="Times New Roman" w:hint="default"/>
          <w:sz w:val="21"/>
          <w:szCs w:val="21"/>
        </w:rPr>
        <w:t>、可以针对标准使用的不同对象，有侧重点的进行标准培训和宣贯，以保证标准的贯彻实施。</w:t>
      </w:r>
    </w:p>
    <w:p w14:paraId="4B25F3D4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cs="Times New Roman" w:hint="default"/>
          <w:sz w:val="21"/>
          <w:szCs w:val="21"/>
        </w:rPr>
      </w:pPr>
      <w:r>
        <w:rPr>
          <w:rFonts w:ascii="Times New Roman" w:cs="Times New Roman" w:hint="default"/>
          <w:sz w:val="21"/>
          <w:szCs w:val="21"/>
        </w:rPr>
        <w:t>4</w:t>
      </w:r>
      <w:r>
        <w:rPr>
          <w:rFonts w:ascii="Times New Roman" w:cs="Times New Roman" w:hint="default"/>
          <w:sz w:val="21"/>
          <w:szCs w:val="21"/>
        </w:rPr>
        <w:t>、建议标准发布后</w:t>
      </w:r>
      <w:r>
        <w:rPr>
          <w:rFonts w:ascii="Times New Roman" w:cs="Times New Roman" w:hint="default"/>
          <w:sz w:val="21"/>
          <w:szCs w:val="21"/>
        </w:rPr>
        <w:t>6</w:t>
      </w:r>
      <w:r>
        <w:rPr>
          <w:rFonts w:ascii="Times New Roman" w:cs="Times New Roman" w:hint="default"/>
          <w:sz w:val="21"/>
          <w:szCs w:val="21"/>
        </w:rPr>
        <w:t>个月实施。</w:t>
      </w:r>
    </w:p>
    <w:p w14:paraId="0A07F36C" w14:textId="77777777" w:rsidR="00C77399" w:rsidRDefault="00000000">
      <w:pPr>
        <w:pStyle w:val="10"/>
        <w:spacing w:before="312" w:after="312"/>
        <w:rPr>
          <w:rFonts w:ascii="Times New Roman" w:hAnsi="Times New Roman" w:cs="Times New Roman" w:hint="default"/>
        </w:rPr>
      </w:pPr>
      <w:bookmarkStart w:id="44" w:name="_Toc26025"/>
      <w:bookmarkStart w:id="45" w:name="_Toc20880"/>
      <w:r>
        <w:rPr>
          <w:rFonts w:ascii="Times New Roman" w:hAnsi="Times New Roman" w:cs="Times New Roman" w:hint="default"/>
        </w:rPr>
        <w:t>十三、其他应当予以说明的事项</w:t>
      </w:r>
      <w:bookmarkEnd w:id="44"/>
      <w:bookmarkEnd w:id="45"/>
    </w:p>
    <w:p w14:paraId="6E121CD2" w14:textId="77777777" w:rsidR="00C77399" w:rsidRDefault="00000000">
      <w:pPr>
        <w:pStyle w:val="a5"/>
        <w:kinsoku w:val="0"/>
        <w:overflowPunct w:val="0"/>
        <w:ind w:firstLineChars="200" w:firstLine="420"/>
        <w:jc w:val="both"/>
        <w:rPr>
          <w:rFonts w:ascii="Times New Roman" w:cs="Times New Roman" w:hint="default"/>
          <w:sz w:val="21"/>
          <w:szCs w:val="21"/>
        </w:rPr>
      </w:pPr>
      <w:r>
        <w:rPr>
          <w:rFonts w:ascii="Times New Roman" w:cs="Times New Roman" w:hint="default"/>
          <w:sz w:val="21"/>
          <w:szCs w:val="21"/>
        </w:rPr>
        <w:t xml:space="preserve">  </w:t>
      </w:r>
      <w:r>
        <w:rPr>
          <w:rFonts w:ascii="Times New Roman" w:cs="Times New Roman" w:hint="default"/>
          <w:sz w:val="21"/>
          <w:szCs w:val="21"/>
        </w:rPr>
        <w:t>暂无。</w:t>
      </w:r>
      <w:r>
        <w:rPr>
          <w:rFonts w:ascii="Times New Roman" w:cs="Times New Roman" w:hint="default"/>
          <w:sz w:val="21"/>
          <w:szCs w:val="21"/>
        </w:rPr>
        <w:t xml:space="preserve"> </w:t>
      </w:r>
    </w:p>
    <w:p w14:paraId="47E89308" w14:textId="77777777" w:rsidR="00C77399" w:rsidRDefault="00C77399">
      <w:pPr>
        <w:spacing w:line="276" w:lineRule="auto"/>
        <w:rPr>
          <w:rFonts w:ascii="Times New Roman" w:cs="Times New Roman" w:hint="default"/>
        </w:rPr>
      </w:pPr>
    </w:p>
    <w:p w14:paraId="405D85BA" w14:textId="77777777" w:rsidR="00C77399" w:rsidRDefault="00C77399">
      <w:pPr>
        <w:pStyle w:val="a5"/>
        <w:kinsoku w:val="0"/>
        <w:overflowPunct w:val="0"/>
        <w:spacing w:before="235"/>
        <w:ind w:right="216"/>
        <w:jc w:val="center"/>
        <w:rPr>
          <w:rFonts w:ascii="黑体" w:eastAsia="黑体" w:cs="黑体" w:hint="default"/>
          <w:spacing w:val="-1"/>
          <w:sz w:val="28"/>
          <w:szCs w:val="28"/>
        </w:rPr>
      </w:pPr>
    </w:p>
    <w:p w14:paraId="5EE01905" w14:textId="77777777" w:rsidR="00C77399" w:rsidRDefault="00C77399">
      <w:pPr>
        <w:spacing w:line="276" w:lineRule="auto"/>
        <w:rPr>
          <w:rFonts w:hint="default"/>
        </w:rPr>
      </w:pPr>
    </w:p>
    <w:p w14:paraId="562CB699" w14:textId="77777777" w:rsidR="00C77399" w:rsidRDefault="00C77399">
      <w:pPr>
        <w:rPr>
          <w:rFonts w:hint="default"/>
        </w:rPr>
      </w:pPr>
    </w:p>
    <w:sectPr w:rsidR="00C7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C5FDD" w14:textId="77777777" w:rsidR="003308FE" w:rsidRDefault="003308FE">
      <w:pPr>
        <w:rPr>
          <w:rFonts w:hint="default"/>
        </w:rPr>
      </w:pPr>
      <w:r>
        <w:separator/>
      </w:r>
    </w:p>
  </w:endnote>
  <w:endnote w:type="continuationSeparator" w:id="0">
    <w:p w14:paraId="71083FEF" w14:textId="77777777" w:rsidR="003308FE" w:rsidRDefault="003308F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9569" w14:textId="77777777" w:rsidR="00C77399" w:rsidRDefault="00000000">
    <w:pPr>
      <w:pStyle w:val="a5"/>
      <w:kinsoku w:val="0"/>
      <w:overflowPunct w:val="0"/>
      <w:spacing w:line="14" w:lineRule="auto"/>
      <w:rPr>
        <w:rFonts w:ascii="Times New Roman" w:cs="Times New Roman" w:hint="default"/>
        <w:sz w:val="20"/>
        <w:szCs w:val="20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35EDEE" wp14:editId="54F5B307">
              <wp:simplePos x="0" y="0"/>
              <wp:positionH relativeFrom="page">
                <wp:posOffset>3684905</wp:posOffset>
              </wp:positionH>
              <wp:positionV relativeFrom="page">
                <wp:posOffset>9792970</wp:posOffset>
              </wp:positionV>
              <wp:extent cx="16700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E1FF23" w14:textId="77777777" w:rsidR="00C77399" w:rsidRDefault="00C77399">
                          <w:pPr>
                            <w:pStyle w:val="a5"/>
                            <w:kinsoku w:val="0"/>
                            <w:overflowPunct w:val="0"/>
                            <w:spacing w:before="12"/>
                            <w:ind w:left="40"/>
                            <w:rPr>
                              <w:rFonts w:ascii="Times New Roman" w:cs="Times New Roman" w:hint="defaul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935ED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0.15pt;margin-top:771.1pt;width:13.1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" o:allowincell="f" filled="f" stroked="f">
              <v:textbox inset="0,0,0,0">
                <w:txbxContent>
                  <w:p w14:paraId="70E1FF23" w14:textId="77777777" w:rsidR="00C77399" w:rsidRDefault="00C77399">
                    <w:pPr>
                      <w:pStyle w:val="a5"/>
                      <w:kinsoku w:val="0"/>
                      <w:overflowPunct w:val="0"/>
                      <w:spacing w:before="12"/>
                      <w:ind w:left="40"/>
                      <w:rPr>
                        <w:rFonts w:ascii="Times New Roman" w:cs="Times New Roman" w:hint="default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2FEC5" w14:textId="77777777" w:rsidR="003308FE" w:rsidRDefault="003308FE">
      <w:pPr>
        <w:rPr>
          <w:rFonts w:hint="default"/>
        </w:rPr>
      </w:pPr>
      <w:r>
        <w:separator/>
      </w:r>
    </w:p>
  </w:footnote>
  <w:footnote w:type="continuationSeparator" w:id="0">
    <w:p w14:paraId="4BFF2596" w14:textId="77777777" w:rsidR="003308FE" w:rsidRDefault="003308F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91A3"/>
    <w:multiLevelType w:val="singleLevel"/>
    <w:tmpl w:val="0B9091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2938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1ODdhYzdiYTUxODY5MzllZGVkZjExZTAyNTc2ZjMifQ=="/>
  </w:docVars>
  <w:rsids>
    <w:rsidRoot w:val="0093173F"/>
    <w:rsid w:val="00024DCD"/>
    <w:rsid w:val="001A4ADF"/>
    <w:rsid w:val="0024091E"/>
    <w:rsid w:val="0025732D"/>
    <w:rsid w:val="003308FE"/>
    <w:rsid w:val="00340AFC"/>
    <w:rsid w:val="004B0BE1"/>
    <w:rsid w:val="007B375F"/>
    <w:rsid w:val="00835CEE"/>
    <w:rsid w:val="0093173F"/>
    <w:rsid w:val="00A110CB"/>
    <w:rsid w:val="00B71F65"/>
    <w:rsid w:val="00C77399"/>
    <w:rsid w:val="01110175"/>
    <w:rsid w:val="0156177E"/>
    <w:rsid w:val="027A76EE"/>
    <w:rsid w:val="02897931"/>
    <w:rsid w:val="028D2630"/>
    <w:rsid w:val="036E328E"/>
    <w:rsid w:val="03E5328D"/>
    <w:rsid w:val="05917228"/>
    <w:rsid w:val="05CD222A"/>
    <w:rsid w:val="06DC2725"/>
    <w:rsid w:val="08EC6A84"/>
    <w:rsid w:val="0B5E5DFE"/>
    <w:rsid w:val="0FFF7484"/>
    <w:rsid w:val="106E1E0F"/>
    <w:rsid w:val="12D96F1E"/>
    <w:rsid w:val="14B66A78"/>
    <w:rsid w:val="15431BC1"/>
    <w:rsid w:val="15475B55"/>
    <w:rsid w:val="15CC7E09"/>
    <w:rsid w:val="1695469E"/>
    <w:rsid w:val="17C90AA4"/>
    <w:rsid w:val="18422604"/>
    <w:rsid w:val="1AF20311"/>
    <w:rsid w:val="1CFD6DCB"/>
    <w:rsid w:val="1EFD1033"/>
    <w:rsid w:val="242A28CA"/>
    <w:rsid w:val="263A491A"/>
    <w:rsid w:val="280451E0"/>
    <w:rsid w:val="28AE5A9A"/>
    <w:rsid w:val="292E2450"/>
    <w:rsid w:val="2B884367"/>
    <w:rsid w:val="2D0B1F79"/>
    <w:rsid w:val="2F4D56BE"/>
    <w:rsid w:val="32A47CEB"/>
    <w:rsid w:val="33A51F6D"/>
    <w:rsid w:val="340A6274"/>
    <w:rsid w:val="340E22A5"/>
    <w:rsid w:val="36941E25"/>
    <w:rsid w:val="36F8680F"/>
    <w:rsid w:val="3930052B"/>
    <w:rsid w:val="3D5B369C"/>
    <w:rsid w:val="3DA768E2"/>
    <w:rsid w:val="3F137531"/>
    <w:rsid w:val="417300D0"/>
    <w:rsid w:val="46D70238"/>
    <w:rsid w:val="4E35077D"/>
    <w:rsid w:val="50100316"/>
    <w:rsid w:val="51527191"/>
    <w:rsid w:val="520D0FB1"/>
    <w:rsid w:val="54595F7A"/>
    <w:rsid w:val="55450A62"/>
    <w:rsid w:val="55D87B28"/>
    <w:rsid w:val="5737262D"/>
    <w:rsid w:val="57D66D10"/>
    <w:rsid w:val="58472D43"/>
    <w:rsid w:val="590C382F"/>
    <w:rsid w:val="5A56101C"/>
    <w:rsid w:val="5A942284"/>
    <w:rsid w:val="5AAD1584"/>
    <w:rsid w:val="5D891708"/>
    <w:rsid w:val="5F076D88"/>
    <w:rsid w:val="5FBF7663"/>
    <w:rsid w:val="61AF1358"/>
    <w:rsid w:val="63253C81"/>
    <w:rsid w:val="67672ABA"/>
    <w:rsid w:val="689627C2"/>
    <w:rsid w:val="6C661592"/>
    <w:rsid w:val="6CD24E7A"/>
    <w:rsid w:val="6ED0363B"/>
    <w:rsid w:val="72050F76"/>
    <w:rsid w:val="75A90742"/>
    <w:rsid w:val="75AB270C"/>
    <w:rsid w:val="75C612F4"/>
    <w:rsid w:val="78C344E7"/>
    <w:rsid w:val="7A603AC5"/>
    <w:rsid w:val="7AE21ABB"/>
    <w:rsid w:val="7BC77B74"/>
    <w:rsid w:val="7D847ACA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6CF1C4"/>
  <w15:docId w15:val="{F1DE861B-0D55-456B-9248-9935B75B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unhideWhenUsed="1" w:qFormat="1"/>
    <w:lsdException w:name="heading 1" w:uiPriority="1" w:unhideWhenUsed="1" w:qFormat="1"/>
    <w:lsdException w:name="heading 2" w:uiPriority="1" w:unhideWhenUsed="1" w:qFormat="1"/>
    <w:lsdException w:name="heading 3" w:semiHidden="1" w:unhideWhenUsed="1" w:qFormat="1"/>
    <w:lsdException w:name="heading 4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cs="宋体" w:hint="eastAsia"/>
      <w:sz w:val="22"/>
      <w:szCs w:val="22"/>
    </w:rPr>
  </w:style>
  <w:style w:type="paragraph" w:styleId="1">
    <w:name w:val="heading 1"/>
    <w:basedOn w:val="a"/>
    <w:next w:val="a"/>
    <w:uiPriority w:val="1"/>
    <w:unhideWhenUsed/>
    <w:qFormat/>
    <w:pPr>
      <w:ind w:left="134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1"/>
    <w:unhideWhenUsed/>
    <w:qFormat/>
    <w:pPr>
      <w:ind w:left="702" w:hanging="569"/>
      <w:outlineLvl w:val="1"/>
    </w:pPr>
    <w:rPr>
      <w:b/>
      <w:sz w:val="30"/>
      <w:szCs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1"/>
    <w:unhideWhenUsed/>
    <w:qFormat/>
    <w:pPr>
      <w:kinsoku w:val="0"/>
      <w:overflowPunct w:val="0"/>
      <w:spacing w:before="66"/>
      <w:ind w:right="96"/>
      <w:jc w:val="center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unhideWhenUsed/>
    <w:qFormat/>
    <w:rPr>
      <w:sz w:val="24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9">
    <w:name w:val="annotation subject"/>
    <w:basedOn w:val="a3"/>
    <w:next w:val="a3"/>
    <w:link w:val="aa"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paragraph" w:customStyle="1" w:styleId="20">
    <w:name w:val="2"/>
    <w:basedOn w:val="2"/>
    <w:qFormat/>
    <w:pPr>
      <w:tabs>
        <w:tab w:val="left" w:pos="703"/>
      </w:tabs>
      <w:kinsoku w:val="0"/>
      <w:overflowPunct w:val="0"/>
      <w:spacing w:beforeLines="50" w:before="50" w:afterLines="50" w:after="50"/>
      <w:ind w:left="0" w:firstLine="0"/>
    </w:pPr>
    <w:rPr>
      <w:rFonts w:ascii="黑体" w:eastAsia="黑体" w:hAnsi="黑体" w:cs="黑体"/>
      <w:b w:val="0"/>
      <w:bCs/>
      <w:sz w:val="21"/>
      <w:szCs w:val="21"/>
    </w:rPr>
  </w:style>
  <w:style w:type="paragraph" w:customStyle="1" w:styleId="30">
    <w:name w:val="3"/>
    <w:basedOn w:val="3"/>
    <w:qFormat/>
    <w:pPr>
      <w:tabs>
        <w:tab w:val="left" w:pos="703"/>
      </w:tabs>
      <w:kinsoku w:val="0"/>
      <w:overflowPunct w:val="0"/>
      <w:spacing w:beforeLines="50" w:before="50" w:afterLines="50" w:after="50" w:line="240" w:lineRule="auto"/>
    </w:pPr>
    <w:rPr>
      <w:rFonts w:ascii="黑体" w:eastAsia="黑体" w:hAnsi="黑体" w:cs="黑体"/>
      <w:b w:val="0"/>
      <w:bCs/>
      <w:sz w:val="21"/>
      <w:szCs w:val="21"/>
    </w:rPr>
  </w:style>
  <w:style w:type="paragraph" w:customStyle="1" w:styleId="10">
    <w:name w:val="1"/>
    <w:basedOn w:val="1"/>
    <w:next w:val="a"/>
    <w:qFormat/>
    <w:pPr>
      <w:spacing w:beforeLines="100" w:before="100" w:afterLines="100" w:after="100"/>
      <w:ind w:left="0"/>
    </w:pPr>
    <w:rPr>
      <w:rFonts w:eastAsia="黑体" w:hAnsi="宋体"/>
      <w:b w:val="0"/>
      <w:sz w:val="21"/>
    </w:rPr>
  </w:style>
  <w:style w:type="paragraph" w:customStyle="1" w:styleId="11">
    <w:name w:val="正文1"/>
    <w:qFormat/>
    <w:pPr>
      <w:jc w:val="both"/>
    </w:pPr>
    <w:rPr>
      <w:kern w:val="2"/>
      <w:sz w:val="21"/>
      <w:szCs w:val="21"/>
    </w:rPr>
  </w:style>
  <w:style w:type="character" w:customStyle="1" w:styleId="a8">
    <w:name w:val="页眉 字符"/>
    <w:basedOn w:val="a0"/>
    <w:link w:val="a7"/>
    <w:rPr>
      <w:rFonts w:ascii="宋体" w:cs="宋体"/>
      <w:sz w:val="18"/>
      <w:szCs w:val="18"/>
    </w:rPr>
  </w:style>
  <w:style w:type="paragraph" w:customStyle="1" w:styleId="12">
    <w:name w:val="修订1"/>
    <w:hidden/>
    <w:uiPriority w:val="99"/>
    <w:unhideWhenUsed/>
    <w:rPr>
      <w:rFonts w:ascii="宋体" w:cs="宋体" w:hint="eastAsia"/>
      <w:sz w:val="22"/>
      <w:szCs w:val="22"/>
    </w:rPr>
  </w:style>
  <w:style w:type="character" w:customStyle="1" w:styleId="a4">
    <w:name w:val="批注文字 字符"/>
    <w:basedOn w:val="a0"/>
    <w:link w:val="a3"/>
    <w:rPr>
      <w:rFonts w:ascii="宋体" w:cs="宋体"/>
      <w:sz w:val="22"/>
      <w:szCs w:val="22"/>
    </w:rPr>
  </w:style>
  <w:style w:type="character" w:customStyle="1" w:styleId="aa">
    <w:name w:val="批注主题 字符"/>
    <w:basedOn w:val="a4"/>
    <w:link w:val="a9"/>
    <w:rPr>
      <w:rFonts w:ascii="宋体" w:cs="宋体"/>
      <w:b/>
      <w:bCs/>
      <w:sz w:val="22"/>
      <w:szCs w:val="22"/>
    </w:rPr>
  </w:style>
  <w:style w:type="paragraph" w:styleId="ad">
    <w:name w:val="Revision"/>
    <w:hidden/>
    <w:uiPriority w:val="99"/>
    <w:unhideWhenUsed/>
    <w:rsid w:val="0025732D"/>
    <w:rPr>
      <w:rFonts w:ascii="宋体" w:cs="宋体"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wangqy</dc:creator>
  <cp:lastModifiedBy>晓鹃 冀</cp:lastModifiedBy>
  <cp:revision>4</cp:revision>
  <dcterms:created xsi:type="dcterms:W3CDTF">2024-03-19T12:23:00Z</dcterms:created>
  <dcterms:modified xsi:type="dcterms:W3CDTF">2025-05-09T01:15:00Z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D5185EEB8F864FE18A63C0CC3ADD4346_13</vt:lpwstr>
  </property>
  <property fmtid="{D5CDD505-2E9C-101B-9397-08002B2CF9AE}" pid="4" name="KSOTemplateDocerSaveRecord">
    <vt:lpwstr>eyJoZGlkIjoiMDc1ODdhYzdiYTUxODY5MzllZGVkZjExZTAyNTc2ZjMiLCJ1c2VySWQiOiI0NjI1OTQ3OTkifQ==</vt:lpwstr>
  </property>
</Properties>
</file>