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4"/>
    <w:p w:rsidR="00A91553" w:rsidRPr="00D743EA" w:rsidRDefault="006320F5">
      <w:pPr>
        <w:pStyle w:val="affff9"/>
      </w:pPr>
      <w:r w:rsidRPr="00D743EA">
        <w:rPr>
          <w:noProof/>
        </w:rPr>
        <mc:AlternateContent>
          <mc:Choice Requires="wps">
            <w:drawing>
              <wp:anchor distT="0" distB="0" distL="114300" distR="114300" simplePos="0" relativeHeight="251659264" behindDoc="0" locked="1" layoutInCell="1" allowOverlap="1" wp14:anchorId="766951ED" wp14:editId="4178E310">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A91553" w:rsidRDefault="00A91553">
                            <w:pPr>
                              <w:pStyle w:val="afffa"/>
                              <w:rPr>
                                <w:rFonts w:ascii="宋体" w:eastAsia="宋体" w:hAnsi="宋体" w:cs="宋体"/>
                                <w:spacing w:val="58"/>
                                <w:w w:val="120"/>
                                <w:kern w:val="2"/>
                                <w:sz w:val="28"/>
                                <w:szCs w:val="28"/>
                              </w:rPr>
                            </w:pPr>
                          </w:p>
                          <w:p w:rsidR="00A91553" w:rsidRDefault="009D4598">
                            <w:pPr>
                              <w:jc w:val="center"/>
                              <w:rPr>
                                <w:rFonts w:ascii="宋体" w:hAnsi="宋体" w:cs="宋体"/>
                                <w:spacing w:val="58"/>
                                <w:w w:val="120"/>
                                <w:sz w:val="28"/>
                                <w:szCs w:val="28"/>
                              </w:rPr>
                            </w:pPr>
                            <w:r w:rsidRPr="009D4598">
                              <w:rPr>
                                <w:rFonts w:ascii="宋体" w:hAnsi="宋体" w:cs="宋体" w:hint="eastAsia"/>
                                <w:spacing w:val="58"/>
                                <w:w w:val="120"/>
                                <w:sz w:val="28"/>
                                <w:szCs w:val="28"/>
                              </w:rPr>
                              <w:t>相控阵超声探伤仪校准规范</w:t>
                            </w:r>
                          </w:p>
                          <w:p w:rsidR="00A91553" w:rsidRDefault="006320F5">
                            <w:pPr>
                              <w:jc w:val="center"/>
                              <w:rPr>
                                <w:rFonts w:ascii="宋体" w:hAnsi="宋体" w:cs="宋体"/>
                                <w:sz w:val="28"/>
                                <w:szCs w:val="28"/>
                              </w:rPr>
                            </w:pPr>
                            <w:r>
                              <w:rPr>
                                <w:rFonts w:ascii="宋体" w:hAnsi="宋体" w:cs="宋体" w:hint="eastAsia"/>
                                <w:spacing w:val="58"/>
                                <w:w w:val="120"/>
                                <w:sz w:val="28"/>
                                <w:szCs w:val="28"/>
                              </w:rPr>
                              <w:t>编制组</w:t>
                            </w:r>
                          </w:p>
                          <w:p w:rsidR="00A91553" w:rsidRDefault="006320F5">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A91553" w:rsidRDefault="00A91553">
                      <w:pPr>
                        <w:pStyle w:val="afffa"/>
                        <w:rPr>
                          <w:rFonts w:ascii="宋体" w:eastAsia="宋体" w:hAnsi="宋体" w:cs="宋体"/>
                          <w:spacing w:val="58"/>
                          <w:w w:val="120"/>
                          <w:kern w:val="2"/>
                          <w:sz w:val="28"/>
                          <w:szCs w:val="28"/>
                        </w:rPr>
                      </w:pPr>
                    </w:p>
                    <w:p w:rsidR="00A91553" w:rsidRDefault="009D4598">
                      <w:pPr>
                        <w:jc w:val="center"/>
                        <w:rPr>
                          <w:rFonts w:ascii="宋体" w:hAnsi="宋体" w:cs="宋体"/>
                          <w:spacing w:val="58"/>
                          <w:w w:val="120"/>
                          <w:sz w:val="28"/>
                          <w:szCs w:val="28"/>
                        </w:rPr>
                      </w:pPr>
                      <w:r w:rsidRPr="009D4598">
                        <w:rPr>
                          <w:rFonts w:ascii="宋体" w:hAnsi="宋体" w:cs="宋体" w:hint="eastAsia"/>
                          <w:spacing w:val="58"/>
                          <w:w w:val="120"/>
                          <w:sz w:val="28"/>
                          <w:szCs w:val="28"/>
                        </w:rPr>
                        <w:t>相控阵超声探伤仪校准规范</w:t>
                      </w:r>
                    </w:p>
                    <w:p w:rsidR="00A91553" w:rsidRDefault="006320F5">
                      <w:pPr>
                        <w:jc w:val="center"/>
                        <w:rPr>
                          <w:rFonts w:ascii="宋体" w:hAnsi="宋体" w:cs="宋体"/>
                          <w:sz w:val="28"/>
                          <w:szCs w:val="28"/>
                        </w:rPr>
                      </w:pPr>
                      <w:r>
                        <w:rPr>
                          <w:rFonts w:ascii="宋体" w:hAnsi="宋体" w:cs="宋体" w:hint="eastAsia"/>
                          <w:spacing w:val="58"/>
                          <w:w w:val="120"/>
                          <w:sz w:val="28"/>
                          <w:szCs w:val="28"/>
                        </w:rPr>
                        <w:t>编制组</w:t>
                      </w:r>
                    </w:p>
                    <w:p w:rsidR="00A91553" w:rsidRDefault="006320F5">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sidRPr="00D743EA">
        <w:rPr>
          <w:noProof/>
        </w:rPr>
        <mc:AlternateContent>
          <mc:Choice Requires="wps">
            <w:drawing>
              <wp:anchor distT="0" distB="0" distL="114300" distR="114300" simplePos="0" relativeHeight="251660288" behindDoc="0" locked="1" layoutInCell="1" allowOverlap="1" wp14:anchorId="55ABC14A" wp14:editId="392323FA">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讨论稿</w:t>
                            </w:r>
                          </w:p>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1F6C6F">
                              <w:rPr>
                                <w:rFonts w:ascii="黑体" w:eastAsia="黑体" w:hAnsi="黑体" w:hint="eastAsia"/>
                                <w:sz w:val="36"/>
                                <w:szCs w:val="36"/>
                              </w:rPr>
                              <w:t>5</w:t>
                            </w:r>
                            <w:r>
                              <w:rPr>
                                <w:rFonts w:ascii="黑体" w:eastAsia="黑体" w:hAnsi="黑体" w:hint="eastAsia"/>
                                <w:sz w:val="36"/>
                                <w:szCs w:val="36"/>
                              </w:rPr>
                              <w:t>-0</w:t>
                            </w:r>
                            <w:r w:rsidR="007B580F">
                              <w:rPr>
                                <w:rFonts w:ascii="黑体" w:eastAsia="黑体" w:hAnsi="黑体" w:hint="eastAsia"/>
                                <w:sz w:val="36"/>
                                <w:szCs w:val="36"/>
                              </w:rPr>
                              <w:t>4</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讨论稿</w:t>
                      </w:r>
                    </w:p>
                    <w:p w:rsidR="00A91553" w:rsidRDefault="006320F5">
                      <w:pPr>
                        <w:pStyle w:val="afff3"/>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sidR="001F6C6F">
                        <w:rPr>
                          <w:rFonts w:ascii="黑体" w:eastAsia="黑体" w:hAnsi="黑体" w:hint="eastAsia"/>
                          <w:sz w:val="36"/>
                          <w:szCs w:val="36"/>
                        </w:rPr>
                        <w:t>5</w:t>
                      </w:r>
                      <w:r>
                        <w:rPr>
                          <w:rFonts w:ascii="黑体" w:eastAsia="黑体" w:hAnsi="黑体" w:hint="eastAsia"/>
                          <w:sz w:val="36"/>
                          <w:szCs w:val="36"/>
                        </w:rPr>
                        <w:t>-0</w:t>
                      </w:r>
                      <w:r w:rsidR="007B580F">
                        <w:rPr>
                          <w:rFonts w:ascii="黑体" w:eastAsia="黑体" w:hAnsi="黑体" w:hint="eastAsia"/>
                          <w:sz w:val="36"/>
                          <w:szCs w:val="36"/>
                        </w:rPr>
                        <w:t>4</w:t>
                      </w:r>
                    </w:p>
                  </w:txbxContent>
                </v:textbox>
                <w10:wrap anchorx="margin" anchory="margin"/>
                <w10:anchorlock/>
              </v:rect>
            </w:pict>
          </mc:Fallback>
        </mc:AlternateContent>
      </w:r>
      <w:r w:rsidRPr="00D743EA">
        <w:rPr>
          <w:noProof/>
        </w:rPr>
        <mc:AlternateContent>
          <mc:Choice Requires="wps">
            <w:drawing>
              <wp:anchor distT="0" distB="0" distL="114300" distR="114300" simplePos="0" relativeHeight="251661312" behindDoc="0" locked="1" layoutInCell="1" allowOverlap="1" wp14:anchorId="1427FD79" wp14:editId="5D33C1A7">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A91553" w:rsidRDefault="006320F5">
                            <w:pPr>
                              <w:pStyle w:val="afffa"/>
                              <w:rPr>
                                <w:rFonts w:hAnsi="黑体" w:cs="黑体"/>
                                <w:sz w:val="44"/>
                                <w:szCs w:val="44"/>
                              </w:rPr>
                            </w:pPr>
                            <w:bookmarkStart w:id="2"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rsidR="00A91553" w:rsidRDefault="001F6C6F">
                            <w:pPr>
                              <w:pStyle w:val="afffa"/>
                              <w:rPr>
                                <w:rFonts w:hAnsi="黑体" w:cs="黑体"/>
                                <w:szCs w:val="52"/>
                              </w:rPr>
                            </w:pPr>
                            <w:r w:rsidRPr="001F6C6F">
                              <w:rPr>
                                <w:rFonts w:hAnsi="黑体" w:cs="黑体" w:hint="eastAsia"/>
                                <w:szCs w:val="52"/>
                              </w:rPr>
                              <w:t>相控阵超声探伤仪校准规范</w:t>
                            </w:r>
                          </w:p>
                          <w:p w:rsidR="00A91553" w:rsidRDefault="006320F5">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A91553" w:rsidRDefault="006320F5">
                      <w:pPr>
                        <w:pStyle w:val="afffa"/>
                        <w:rPr>
                          <w:rFonts w:hAnsi="黑体" w:cs="黑体"/>
                          <w:sz w:val="44"/>
                          <w:szCs w:val="44"/>
                        </w:rPr>
                      </w:pPr>
                      <w:bookmarkStart w:id="3" w:name="_Hlk23687263"/>
                      <w:r>
                        <w:rPr>
                          <w:rFonts w:hAnsi="黑体" w:cs="黑体" w:hint="eastAsia"/>
                          <w:sz w:val="44"/>
                          <w:szCs w:val="44"/>
                        </w:rPr>
                        <w:t xml:space="preserve"> JJF（</w:t>
                      </w:r>
                      <w:r>
                        <w:rPr>
                          <w:rFonts w:hAnsi="黑体" w:cs="黑体" w:hint="eastAsia"/>
                          <w:sz w:val="44"/>
                          <w:szCs w:val="44"/>
                        </w:rPr>
                        <w:t>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3"/>
                    <w:p w:rsidR="00A91553" w:rsidRDefault="001F6C6F">
                      <w:pPr>
                        <w:pStyle w:val="afffa"/>
                        <w:rPr>
                          <w:rFonts w:hAnsi="黑体" w:cs="黑体"/>
                          <w:szCs w:val="52"/>
                        </w:rPr>
                      </w:pPr>
                      <w:r w:rsidRPr="001F6C6F">
                        <w:rPr>
                          <w:rFonts w:hAnsi="黑体" w:cs="黑体" w:hint="eastAsia"/>
                          <w:szCs w:val="52"/>
                        </w:rPr>
                        <w:t>相控阵超声探伤仪校准规范</w:t>
                      </w:r>
                    </w:p>
                    <w:p w:rsidR="00A91553" w:rsidRDefault="006320F5">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rsidR="00A91553" w:rsidRPr="00D743EA" w:rsidRDefault="00A91553">
      <w:pPr>
        <w:pStyle w:val="af2"/>
        <w:numPr>
          <w:ilvl w:val="0"/>
          <w:numId w:val="0"/>
        </w:numPr>
        <w:ind w:left="840" w:hanging="420"/>
        <w:jc w:val="center"/>
        <w:rPr>
          <w:rFonts w:ascii="Times New Roman"/>
          <w:b/>
        </w:rPr>
      </w:pPr>
    </w:p>
    <w:p w:rsidR="00A91553" w:rsidRPr="00D743EA" w:rsidRDefault="00A91553">
      <w:pPr>
        <w:pStyle w:val="affe"/>
        <w:ind w:firstLine="420"/>
        <w:rPr>
          <w:rFonts w:ascii="Times New Roman" w:hAnsi="Times New Roman"/>
        </w:rPr>
        <w:sectPr w:rsidR="00A91553" w:rsidRPr="00D743EA">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3" w:name="_Toc464728891"/>
      <w:r w:rsidRPr="00D743EA">
        <w:rPr>
          <w:rFonts w:ascii="Times New Roman"/>
        </w:rPr>
        <w:lastRenderedPageBreak/>
        <w:t>工作简况</w:t>
      </w:r>
      <w:bookmarkEnd w:id="3"/>
    </w:p>
    <w:p w:rsidR="00A91553" w:rsidRPr="00D743EA" w:rsidRDefault="006320F5" w:rsidP="00FD3C65">
      <w:pPr>
        <w:pStyle w:val="afff1"/>
        <w:rPr>
          <w:rFonts w:ascii="Times New Roman" w:hAnsi="Times New Roman"/>
        </w:rPr>
      </w:pPr>
      <w:bookmarkStart w:id="4" w:name="_Toc456592524"/>
      <w:bookmarkStart w:id="5" w:name="_Toc464728892"/>
      <w:r w:rsidRPr="00D743EA">
        <w:rPr>
          <w:rFonts w:ascii="Times New Roman" w:hAnsi="Times New Roman"/>
        </w:rPr>
        <w:t>1.</w:t>
      </w:r>
      <w:r w:rsidRPr="00D743EA">
        <w:rPr>
          <w:rFonts w:ascii="Times New Roman" w:hAnsi="Times New Roman"/>
        </w:rPr>
        <w:t>立项目的</w:t>
      </w:r>
      <w:bookmarkEnd w:id="4"/>
      <w:bookmarkEnd w:id="5"/>
    </w:p>
    <w:p w:rsidR="001D6A71" w:rsidRPr="00D743EA" w:rsidRDefault="00DE5995" w:rsidP="001D6A71">
      <w:pPr>
        <w:spacing w:line="300" w:lineRule="auto"/>
        <w:ind w:firstLineChars="200" w:firstLine="420"/>
      </w:pPr>
      <w:bookmarkStart w:id="6" w:name="_Toc464728896"/>
      <w:r>
        <w:t>相控阵超声探伤仪</w:t>
      </w:r>
      <w:r w:rsidR="001D6A71" w:rsidRPr="00D743EA">
        <w:t>主要用于</w:t>
      </w:r>
      <w:r w:rsidR="00E34594">
        <w:t>无损检测</w:t>
      </w:r>
      <w:r w:rsidR="001D6A71" w:rsidRPr="00D743EA">
        <w:t>。</w:t>
      </w:r>
      <w:r w:rsidR="00A433E8" w:rsidRPr="00A433E8">
        <w:rPr>
          <w:rFonts w:hint="eastAsia"/>
        </w:rPr>
        <w:t>和</w:t>
      </w:r>
      <w:r w:rsidR="00A433E8" w:rsidRPr="00A433E8">
        <w:rPr>
          <w:rFonts w:hint="eastAsia"/>
        </w:rPr>
        <w:t>A</w:t>
      </w:r>
      <w:r w:rsidR="00A433E8" w:rsidRPr="00A433E8">
        <w:rPr>
          <w:rFonts w:hint="eastAsia"/>
        </w:rPr>
        <w:t>型常规检测仪一样</w:t>
      </w:r>
      <w:r w:rsidR="00A433E8" w:rsidRPr="00A433E8">
        <w:rPr>
          <w:rFonts w:hint="eastAsia"/>
        </w:rPr>
        <w:t>,</w:t>
      </w:r>
      <w:r w:rsidR="00A433E8" w:rsidRPr="00A433E8">
        <w:rPr>
          <w:rFonts w:hint="eastAsia"/>
        </w:rPr>
        <w:t>相控阵</w:t>
      </w:r>
      <w:proofErr w:type="gramStart"/>
      <w:r w:rsidR="00A433E8" w:rsidRPr="00A433E8">
        <w:rPr>
          <w:rFonts w:hint="eastAsia"/>
        </w:rPr>
        <w:t>超声均</w:t>
      </w:r>
      <w:proofErr w:type="gramEnd"/>
      <w:r w:rsidR="00A433E8" w:rsidRPr="00A433E8">
        <w:rPr>
          <w:rFonts w:hint="eastAsia"/>
        </w:rPr>
        <w:t>是基于采用脉冲反射法检测，均采用相同的缺陷定量及定位方法。但相控阵超声检测仪是高性能的数字化仪器</w:t>
      </w:r>
      <w:r w:rsidR="00921F0C">
        <w:rPr>
          <w:rFonts w:hint="eastAsia"/>
        </w:rPr>
        <w:t>，</w:t>
      </w:r>
      <w:r w:rsidR="00A433E8" w:rsidRPr="00A433E8">
        <w:rPr>
          <w:rFonts w:hint="eastAsia"/>
        </w:rPr>
        <w:t>能够实现</w:t>
      </w:r>
      <w:proofErr w:type="gramStart"/>
      <w:r w:rsidR="00A433E8" w:rsidRPr="00A433E8">
        <w:rPr>
          <w:rFonts w:hint="eastAsia"/>
        </w:rPr>
        <w:t>检测全</w:t>
      </w:r>
      <w:proofErr w:type="gramEnd"/>
      <w:r w:rsidR="00A433E8" w:rsidRPr="00A433E8">
        <w:rPr>
          <w:rFonts w:hint="eastAsia"/>
        </w:rPr>
        <w:t>过程信号的记录</w:t>
      </w:r>
      <w:r w:rsidR="00A433E8" w:rsidRPr="00A433E8">
        <w:rPr>
          <w:rFonts w:hint="eastAsia"/>
        </w:rPr>
        <w:t>,</w:t>
      </w:r>
      <w:r w:rsidR="00A433E8" w:rsidRPr="00A433E8">
        <w:rPr>
          <w:rFonts w:hint="eastAsia"/>
        </w:rPr>
        <w:t>通过对信号进行处理</w:t>
      </w:r>
      <w:r w:rsidR="00A433E8" w:rsidRPr="00A433E8">
        <w:rPr>
          <w:rFonts w:hint="eastAsia"/>
        </w:rPr>
        <w:t>,</w:t>
      </w:r>
      <w:r w:rsidR="00A433E8" w:rsidRPr="00A433E8">
        <w:rPr>
          <w:rFonts w:hint="eastAsia"/>
        </w:rPr>
        <w:t>系统能生成和显示不同方向投影的高质量图像</w:t>
      </w:r>
      <w:r w:rsidR="00C65821">
        <w:rPr>
          <w:rFonts w:hint="eastAsia"/>
        </w:rPr>
        <w:t>。</w:t>
      </w:r>
    </w:p>
    <w:p w:rsidR="00A91553" w:rsidRPr="00D743EA" w:rsidRDefault="001D6A71" w:rsidP="001D6A71">
      <w:pPr>
        <w:spacing w:line="300" w:lineRule="auto"/>
        <w:ind w:firstLineChars="200" w:firstLine="420"/>
      </w:pPr>
      <w:r w:rsidRPr="00D743EA">
        <w:t>目前，可参考对</w:t>
      </w:r>
      <w:r w:rsidR="001F5BEC">
        <w:t>相控阵超声探伤仪</w:t>
      </w:r>
      <w:r w:rsidRPr="00D743EA">
        <w:t>进行校准的有</w:t>
      </w:r>
      <w:r w:rsidR="008B642C" w:rsidRPr="008B642C">
        <w:rPr>
          <w:rFonts w:hint="eastAsia"/>
        </w:rPr>
        <w:t xml:space="preserve">JJF 1338-2012 </w:t>
      </w:r>
      <w:r w:rsidR="008B642C">
        <w:rPr>
          <w:rFonts w:hint="eastAsia"/>
        </w:rPr>
        <w:t>《</w:t>
      </w:r>
      <w:r w:rsidR="008B642C" w:rsidRPr="008B642C">
        <w:rPr>
          <w:rFonts w:hint="eastAsia"/>
        </w:rPr>
        <w:t>相控阵超声探伤仪校准规范</w:t>
      </w:r>
      <w:r w:rsidR="008B642C">
        <w:rPr>
          <w:rFonts w:hint="eastAsia"/>
        </w:rPr>
        <w:t>》，</w:t>
      </w:r>
      <w:r w:rsidR="008B642C">
        <w:rPr>
          <w:rFonts w:eastAsiaTheme="minorEastAsia"/>
          <w:kern w:val="0"/>
          <w:sz w:val="24"/>
        </w:rPr>
        <w:t>I</w:t>
      </w:r>
      <w:r w:rsidR="008B642C">
        <w:rPr>
          <w:rFonts w:eastAsiaTheme="minorEastAsia" w:hint="eastAsia"/>
          <w:kern w:val="0"/>
          <w:sz w:val="24"/>
        </w:rPr>
        <w:t>SO</w:t>
      </w:r>
      <w:r w:rsidR="008B642C">
        <w:rPr>
          <w:rFonts w:eastAsiaTheme="minorEastAsia"/>
          <w:kern w:val="0"/>
          <w:sz w:val="24"/>
        </w:rPr>
        <w:t xml:space="preserve"> </w:t>
      </w:r>
      <w:r w:rsidR="008B642C">
        <w:rPr>
          <w:rFonts w:eastAsiaTheme="minorEastAsia" w:hint="eastAsia"/>
          <w:kern w:val="0"/>
          <w:sz w:val="24"/>
        </w:rPr>
        <w:t>18563</w:t>
      </w:r>
      <w:r w:rsidR="008B642C">
        <w:rPr>
          <w:rFonts w:eastAsiaTheme="minorEastAsia"/>
          <w:kern w:val="0"/>
          <w:sz w:val="24"/>
        </w:rPr>
        <w:t>-</w:t>
      </w:r>
      <w:r w:rsidR="008B642C">
        <w:rPr>
          <w:rFonts w:eastAsiaTheme="minorEastAsia" w:hint="eastAsia"/>
          <w:kern w:val="0"/>
          <w:sz w:val="24"/>
        </w:rPr>
        <w:t>1</w:t>
      </w:r>
      <w:r w:rsidR="008B642C">
        <w:rPr>
          <w:rFonts w:eastAsiaTheme="minorEastAsia"/>
          <w:kern w:val="0"/>
          <w:sz w:val="24"/>
        </w:rPr>
        <w:t xml:space="preserve">:2022 </w:t>
      </w:r>
      <w:r w:rsidR="008B642C">
        <w:rPr>
          <w:rFonts w:eastAsiaTheme="minorEastAsia"/>
          <w:kern w:val="0"/>
          <w:sz w:val="24"/>
        </w:rPr>
        <w:t>《</w:t>
      </w:r>
      <w:r w:rsidR="008B642C">
        <w:rPr>
          <w:rFonts w:eastAsiaTheme="minorEastAsia" w:hint="eastAsia"/>
          <w:kern w:val="0"/>
          <w:sz w:val="24"/>
        </w:rPr>
        <w:t>无损检测仪器</w:t>
      </w:r>
      <w:r w:rsidR="008B642C">
        <w:rPr>
          <w:rFonts w:eastAsiaTheme="minorEastAsia" w:hint="eastAsia"/>
          <w:kern w:val="0"/>
          <w:sz w:val="24"/>
        </w:rPr>
        <w:t xml:space="preserve"> </w:t>
      </w:r>
      <w:r w:rsidR="008B642C">
        <w:rPr>
          <w:rFonts w:eastAsiaTheme="minorEastAsia" w:hint="eastAsia"/>
          <w:kern w:val="0"/>
          <w:sz w:val="24"/>
        </w:rPr>
        <w:t>相控阵超声设备的性能与检验</w:t>
      </w:r>
      <w:r w:rsidR="008B642C">
        <w:rPr>
          <w:rFonts w:eastAsiaTheme="minorEastAsia" w:hint="eastAsia"/>
          <w:kern w:val="0"/>
          <w:sz w:val="24"/>
        </w:rPr>
        <w:t xml:space="preserve"> </w:t>
      </w:r>
      <w:r w:rsidR="008B642C">
        <w:rPr>
          <w:rFonts w:eastAsiaTheme="minorEastAsia" w:hint="eastAsia"/>
          <w:kern w:val="0"/>
          <w:sz w:val="24"/>
        </w:rPr>
        <w:t>第</w:t>
      </w:r>
      <w:r w:rsidR="008B642C">
        <w:rPr>
          <w:rFonts w:eastAsiaTheme="minorEastAsia" w:hint="eastAsia"/>
          <w:kern w:val="0"/>
          <w:sz w:val="24"/>
        </w:rPr>
        <w:t>1</w:t>
      </w:r>
      <w:r w:rsidR="008B642C">
        <w:rPr>
          <w:rFonts w:eastAsiaTheme="minorEastAsia" w:hint="eastAsia"/>
          <w:kern w:val="0"/>
          <w:sz w:val="24"/>
        </w:rPr>
        <w:t>部分</w:t>
      </w:r>
      <w:r w:rsidR="008B642C">
        <w:rPr>
          <w:rFonts w:eastAsiaTheme="minorEastAsia"/>
          <w:kern w:val="0"/>
          <w:sz w:val="24"/>
        </w:rPr>
        <w:t>》</w:t>
      </w:r>
      <w:r w:rsidR="00FA5F49" w:rsidRPr="00D743EA">
        <w:t>等规范。</w:t>
      </w:r>
      <w:r w:rsidRPr="00D743EA">
        <w:t>但</w:t>
      </w:r>
      <w:r w:rsidR="001567DA" w:rsidRPr="00D743EA">
        <w:t>这些规范的发布日期距离当前已经有较长时间，</w:t>
      </w:r>
      <w:r w:rsidRPr="00D743EA">
        <w:t>导致</w:t>
      </w:r>
      <w:r w:rsidR="001567DA" w:rsidRPr="00D743EA">
        <w:t>这些规范</w:t>
      </w:r>
      <w:r w:rsidRPr="00D743EA">
        <w:t>在</w:t>
      </w:r>
      <w:r w:rsidR="001567DA" w:rsidRPr="00D743EA">
        <w:t>当前的</w:t>
      </w:r>
      <w:r w:rsidRPr="00D743EA">
        <w:t>实</w:t>
      </w:r>
      <w:r w:rsidR="007878E5">
        <w:t>际校准工作中存在校准方法不适用等问题，</w:t>
      </w:r>
      <w:r w:rsidR="00B173B2" w:rsidRPr="00D743EA">
        <w:t>无法保证</w:t>
      </w:r>
      <w:r w:rsidRPr="00D743EA">
        <w:t>校准结果的准确性与可靠性。重新编写更适用于</w:t>
      </w:r>
      <w:r w:rsidR="007878E5">
        <w:t>相控阵超声探伤仪</w:t>
      </w:r>
      <w:r w:rsidRPr="00D743EA">
        <w:t>的校准方法，完善相关校准项目，保证</w:t>
      </w:r>
      <w:r w:rsidR="007878E5">
        <w:t>相控阵超声探伤仪</w:t>
      </w:r>
      <w:r w:rsidRPr="00D743EA">
        <w:t>校准结果的准确可靠，</w:t>
      </w:r>
      <w:r w:rsidR="00642A06" w:rsidRPr="00D743EA">
        <w:t>可以</w:t>
      </w:r>
      <w:r w:rsidRPr="00D743EA">
        <w:t>为指定的探伤工艺提供保障，进一步帮助有色金属行业实现高标准、高质量的</w:t>
      </w:r>
      <w:proofErr w:type="gramStart"/>
      <w:r w:rsidRPr="00D743EA">
        <w:t>的</w:t>
      </w:r>
      <w:proofErr w:type="gramEnd"/>
      <w:r w:rsidRPr="00D743EA">
        <w:t>发展目标。</w:t>
      </w:r>
    </w:p>
    <w:p w:rsidR="00A91553" w:rsidRPr="00D743EA" w:rsidRDefault="006320F5" w:rsidP="00FD3C65">
      <w:pPr>
        <w:pStyle w:val="afff1"/>
        <w:rPr>
          <w:rFonts w:ascii="Times New Roman" w:hAnsi="Times New Roman"/>
        </w:rPr>
      </w:pPr>
      <w:r w:rsidRPr="00D743EA">
        <w:rPr>
          <w:rFonts w:ascii="Times New Roman" w:hAnsi="Times New Roman"/>
        </w:rPr>
        <w:t>2.</w:t>
      </w:r>
      <w:r w:rsidRPr="00D743EA">
        <w:rPr>
          <w:rFonts w:ascii="Times New Roman" w:hAnsi="Times New Roman"/>
        </w:rPr>
        <w:t>任务来源</w:t>
      </w:r>
      <w:bookmarkEnd w:id="6"/>
    </w:p>
    <w:p w:rsidR="00A91553" w:rsidRPr="00D743EA" w:rsidRDefault="006320F5">
      <w:pPr>
        <w:spacing w:line="300" w:lineRule="auto"/>
        <w:ind w:firstLineChars="200" w:firstLine="420"/>
        <w:contextualSpacing/>
        <w:jc w:val="left"/>
        <w:rPr>
          <w:color w:val="FF0000"/>
          <w:szCs w:val="21"/>
        </w:rPr>
      </w:pPr>
      <w:r w:rsidRPr="00D743EA">
        <w:rPr>
          <w:szCs w:val="21"/>
        </w:rPr>
        <w:t>为保证用于校准</w:t>
      </w:r>
      <w:r w:rsidR="004A1291">
        <w:t>相控阵超声探伤仪</w:t>
      </w:r>
      <w:r w:rsidRPr="00D743EA">
        <w:rPr>
          <w:szCs w:val="21"/>
        </w:rPr>
        <w:t>的量值准确、可靠，适应我国有色金属行业的快速发展和满足国内外市场的需要，工业和信息化部以</w:t>
      </w:r>
      <w:proofErr w:type="gramStart"/>
      <w:r w:rsidRPr="00D743EA">
        <w:rPr>
          <w:szCs w:val="21"/>
        </w:rPr>
        <w:t>工信</w:t>
      </w:r>
      <w:r w:rsidRPr="007E21C3">
        <w:rPr>
          <w:color w:val="000000" w:themeColor="text1"/>
          <w:szCs w:val="21"/>
        </w:rPr>
        <w:t>厅下达</w:t>
      </w:r>
      <w:proofErr w:type="gramEnd"/>
      <w:r w:rsidRPr="007E21C3">
        <w:rPr>
          <w:color w:val="000000" w:themeColor="text1"/>
          <w:szCs w:val="21"/>
        </w:rPr>
        <w:t>了</w:t>
      </w:r>
      <w:r w:rsidR="007E21C3" w:rsidRPr="007E21C3">
        <w:rPr>
          <w:rFonts w:hint="eastAsia"/>
          <w:color w:val="000000" w:themeColor="text1"/>
          <w:szCs w:val="21"/>
        </w:rPr>
        <w:t>根据工信部《工业和信息化部办公厅关于印发</w:t>
      </w:r>
      <w:r w:rsidR="007E21C3" w:rsidRPr="007E21C3">
        <w:rPr>
          <w:rFonts w:hint="eastAsia"/>
          <w:color w:val="000000" w:themeColor="text1"/>
          <w:szCs w:val="21"/>
        </w:rPr>
        <w:t>2024</w:t>
      </w:r>
      <w:r w:rsidR="007E21C3" w:rsidRPr="007E21C3">
        <w:rPr>
          <w:rFonts w:hint="eastAsia"/>
          <w:color w:val="000000" w:themeColor="text1"/>
          <w:szCs w:val="21"/>
        </w:rPr>
        <w:t>年行业计量技术规范制修订计划的通知》</w:t>
      </w:r>
      <w:r w:rsidR="007E21C3" w:rsidRPr="007E21C3">
        <w:rPr>
          <w:rFonts w:hint="eastAsia"/>
          <w:color w:val="000000" w:themeColor="text1"/>
          <w:szCs w:val="21"/>
        </w:rPr>
        <w:t>(</w:t>
      </w:r>
      <w:r w:rsidR="007E21C3" w:rsidRPr="007E21C3">
        <w:rPr>
          <w:rFonts w:hint="eastAsia"/>
          <w:color w:val="000000" w:themeColor="text1"/>
          <w:szCs w:val="21"/>
        </w:rPr>
        <w:t>工厅科〔</w:t>
      </w:r>
      <w:r w:rsidR="007E21C3" w:rsidRPr="007E21C3">
        <w:rPr>
          <w:rFonts w:hint="eastAsia"/>
          <w:color w:val="000000" w:themeColor="text1"/>
          <w:szCs w:val="21"/>
        </w:rPr>
        <w:t>2024</w:t>
      </w:r>
      <w:r w:rsidR="007E21C3" w:rsidRPr="007E21C3">
        <w:rPr>
          <w:rFonts w:hint="eastAsia"/>
          <w:color w:val="000000" w:themeColor="text1"/>
          <w:szCs w:val="21"/>
        </w:rPr>
        <w:t>〕</w:t>
      </w:r>
      <w:r w:rsidR="007E21C3" w:rsidRPr="007E21C3">
        <w:rPr>
          <w:rFonts w:hint="eastAsia"/>
          <w:color w:val="000000" w:themeColor="text1"/>
          <w:szCs w:val="21"/>
        </w:rPr>
        <w:t>602</w:t>
      </w:r>
      <w:r w:rsidR="007E21C3" w:rsidRPr="007E21C3">
        <w:rPr>
          <w:rFonts w:hint="eastAsia"/>
          <w:color w:val="000000" w:themeColor="text1"/>
          <w:szCs w:val="21"/>
        </w:rPr>
        <w:t>号</w:t>
      </w:r>
      <w:r w:rsidR="007E21C3" w:rsidRPr="007E21C3">
        <w:rPr>
          <w:rFonts w:hint="eastAsia"/>
          <w:color w:val="000000" w:themeColor="text1"/>
          <w:szCs w:val="21"/>
        </w:rPr>
        <w:t>)</w:t>
      </w:r>
      <w:r w:rsidR="00D868FC" w:rsidRPr="007E21C3">
        <w:rPr>
          <w:bCs/>
          <w:color w:val="000000" w:themeColor="text1"/>
          <w:szCs w:val="21"/>
        </w:rPr>
        <w:t>，</w:t>
      </w:r>
      <w:r w:rsidRPr="007E21C3">
        <w:rPr>
          <w:color w:val="000000" w:themeColor="text1"/>
          <w:szCs w:val="21"/>
        </w:rPr>
        <w:t>计划完成年限为</w:t>
      </w:r>
      <w:r w:rsidRPr="007E21C3">
        <w:rPr>
          <w:color w:val="000000" w:themeColor="text1"/>
          <w:szCs w:val="21"/>
        </w:rPr>
        <w:t>202</w:t>
      </w:r>
      <w:r w:rsidR="007A4B06">
        <w:rPr>
          <w:rFonts w:hint="eastAsia"/>
          <w:color w:val="000000" w:themeColor="text1"/>
          <w:szCs w:val="21"/>
        </w:rPr>
        <w:t>5</w:t>
      </w:r>
      <w:r w:rsidRPr="007E21C3">
        <w:rPr>
          <w:color w:val="000000" w:themeColor="text1"/>
          <w:szCs w:val="21"/>
        </w:rPr>
        <w:t>年。</w:t>
      </w:r>
    </w:p>
    <w:p w:rsidR="00A91553" w:rsidRPr="00D743EA" w:rsidRDefault="006320F5" w:rsidP="00FD3C65">
      <w:pPr>
        <w:pStyle w:val="afff1"/>
        <w:rPr>
          <w:rFonts w:ascii="Times New Roman" w:hAnsi="Times New Roman"/>
        </w:rPr>
      </w:pPr>
      <w:bookmarkStart w:id="7" w:name="_Toc464728898"/>
      <w:bookmarkStart w:id="8" w:name="_Toc462884342"/>
      <w:r w:rsidRPr="00D743EA">
        <w:rPr>
          <w:rFonts w:ascii="Times New Roman" w:hAnsi="Times New Roman"/>
        </w:rPr>
        <w:t>3.</w:t>
      </w:r>
      <w:r w:rsidRPr="00D743EA">
        <w:rPr>
          <w:rFonts w:ascii="Times New Roman" w:hAnsi="Times New Roman"/>
        </w:rPr>
        <w:t>项目编制</w:t>
      </w:r>
      <w:proofErr w:type="gramStart"/>
      <w:r w:rsidRPr="00D743EA">
        <w:rPr>
          <w:rFonts w:ascii="Times New Roman" w:hAnsi="Times New Roman"/>
        </w:rPr>
        <w:t>组单位</w:t>
      </w:r>
      <w:proofErr w:type="gramEnd"/>
      <w:r w:rsidRPr="00D743EA">
        <w:rPr>
          <w:rFonts w:ascii="Times New Roman" w:hAnsi="Times New Roman"/>
        </w:rPr>
        <w:t>简况</w:t>
      </w:r>
      <w:bookmarkEnd w:id="7"/>
      <w:bookmarkEnd w:id="8"/>
      <w:r w:rsidRPr="00D743EA">
        <w:rPr>
          <w:rFonts w:ascii="Times New Roman" w:hAnsi="Times New Roman"/>
        </w:rPr>
        <w:t xml:space="preserve">      </w:t>
      </w:r>
    </w:p>
    <w:p w:rsidR="00A91553" w:rsidRPr="00D743EA" w:rsidRDefault="006320F5" w:rsidP="00FD3C65">
      <w:pPr>
        <w:pStyle w:val="afff0"/>
        <w:ind w:firstLine="404"/>
        <w:rPr>
          <w:rFonts w:ascii="Times New Roman" w:hAnsi="Times New Roman"/>
        </w:rPr>
      </w:pPr>
      <w:bookmarkStart w:id="9" w:name="_Toc462884343"/>
      <w:bookmarkStart w:id="10" w:name="_Toc464728899"/>
      <w:r w:rsidRPr="00D743EA">
        <w:rPr>
          <w:rFonts w:ascii="Times New Roman" w:hAnsi="Times New Roman"/>
        </w:rPr>
        <w:t>3.1</w:t>
      </w:r>
      <w:r w:rsidRPr="00D743EA">
        <w:rPr>
          <w:rFonts w:ascii="Times New Roman" w:hAnsi="Times New Roman"/>
        </w:rPr>
        <w:t>编制组成员单位</w:t>
      </w:r>
      <w:bookmarkEnd w:id="9"/>
      <w:bookmarkEnd w:id="10"/>
    </w:p>
    <w:p w:rsidR="00A91553" w:rsidRPr="00D743EA" w:rsidRDefault="006320F5">
      <w:pPr>
        <w:widowControl/>
        <w:autoSpaceDE w:val="0"/>
        <w:autoSpaceDN w:val="0"/>
        <w:spacing w:line="360" w:lineRule="auto"/>
        <w:ind w:firstLineChars="200" w:firstLine="420"/>
        <w:rPr>
          <w:szCs w:val="21"/>
        </w:rPr>
      </w:pPr>
      <w:bookmarkStart w:id="11" w:name="_Toc464728900"/>
      <w:bookmarkStart w:id="12" w:name="_Toc462884344"/>
      <w:r w:rsidRPr="00D743EA">
        <w:rPr>
          <w:szCs w:val="21"/>
        </w:rPr>
        <w:t>本规范的编制</w:t>
      </w:r>
      <w:proofErr w:type="gramStart"/>
      <w:r w:rsidRPr="00D743EA">
        <w:rPr>
          <w:szCs w:val="21"/>
        </w:rPr>
        <w:t>组单位</w:t>
      </w:r>
      <w:proofErr w:type="gramEnd"/>
      <w:r w:rsidRPr="00D743EA">
        <w:rPr>
          <w:szCs w:val="21"/>
        </w:rPr>
        <w:t>为：西安汉唐分析检测有限公司。</w:t>
      </w:r>
    </w:p>
    <w:bookmarkEnd w:id="11"/>
    <w:bookmarkEnd w:id="12"/>
    <w:p w:rsidR="00A91553" w:rsidRPr="00D743EA" w:rsidRDefault="006320F5" w:rsidP="00FD3C65">
      <w:pPr>
        <w:pStyle w:val="afff0"/>
        <w:ind w:firstLine="404"/>
        <w:rPr>
          <w:rFonts w:ascii="Times New Roman" w:hAnsi="Times New Roman"/>
        </w:rPr>
      </w:pPr>
      <w:r w:rsidRPr="00D743EA">
        <w:rPr>
          <w:rFonts w:ascii="Times New Roman" w:hAnsi="Times New Roman"/>
        </w:rPr>
        <w:t>3.2</w:t>
      </w:r>
      <w:r w:rsidRPr="00D743EA">
        <w:rPr>
          <w:rFonts w:ascii="Times New Roman" w:hAnsi="Times New Roman"/>
        </w:rPr>
        <w:t>主编单位简介</w:t>
      </w:r>
    </w:p>
    <w:p w:rsidR="00A91553" w:rsidRPr="00D743EA" w:rsidRDefault="006320F5" w:rsidP="00FD3C65">
      <w:pPr>
        <w:pStyle w:val="afff"/>
        <w:ind w:firstLine="396"/>
        <w:rPr>
          <w:rFonts w:ascii="Times New Roman" w:hAnsi="Times New Roman"/>
        </w:rPr>
      </w:pPr>
      <w:r w:rsidRPr="00D743EA">
        <w:rPr>
          <w:rFonts w:ascii="Times New Roman" w:hAnsi="Times New Roman"/>
        </w:rPr>
        <w:t>3.2.1</w:t>
      </w:r>
      <w:r w:rsidRPr="00D743EA">
        <w:rPr>
          <w:rFonts w:ascii="Times New Roman" w:hAnsi="Times New Roman"/>
        </w:rPr>
        <w:t>西安汉唐分析检测有限公司</w:t>
      </w:r>
    </w:p>
    <w:p w:rsidR="00A91553" w:rsidRPr="00D743EA" w:rsidRDefault="006320F5">
      <w:pPr>
        <w:spacing w:line="360" w:lineRule="auto"/>
        <w:ind w:firstLineChars="200" w:firstLine="420"/>
        <w:rPr>
          <w:szCs w:val="21"/>
        </w:rPr>
      </w:pPr>
      <w:r w:rsidRPr="00D743EA">
        <w:rPr>
          <w:szCs w:val="21"/>
        </w:rPr>
        <w:t>西安汉唐分析检测有限公司是西北有色金属研究院</w:t>
      </w:r>
      <w:r w:rsidRPr="00D743EA">
        <w:rPr>
          <w:szCs w:val="21"/>
        </w:rPr>
        <w:t>(</w:t>
      </w:r>
      <w:r w:rsidRPr="00D743EA">
        <w:rPr>
          <w:szCs w:val="21"/>
        </w:rPr>
        <w:t>集团</w:t>
      </w:r>
      <w:r w:rsidRPr="00D743EA">
        <w:rPr>
          <w:szCs w:val="21"/>
        </w:rPr>
        <w:t>)</w:t>
      </w:r>
      <w:r w:rsidRPr="00D743EA">
        <w:rPr>
          <w:szCs w:val="21"/>
        </w:rPr>
        <w:t>控股子公司，属国有企业，主要从事有色产品的检测、可靠性评价、失效分析、质量评估、腐蚀性能及表面测试与表征、规范起草、检测方法的开发、标物的研制、设备的计量校准等。</w:t>
      </w:r>
    </w:p>
    <w:p w:rsidR="00A91553" w:rsidRPr="00D743EA" w:rsidRDefault="006320F5">
      <w:pPr>
        <w:spacing w:line="360" w:lineRule="auto"/>
        <w:ind w:firstLineChars="200" w:firstLine="420"/>
        <w:rPr>
          <w:szCs w:val="21"/>
        </w:rPr>
      </w:pPr>
      <w:r w:rsidRPr="00D743EA">
        <w:rPr>
          <w:szCs w:val="21"/>
        </w:rPr>
        <w:t>公司于</w:t>
      </w:r>
      <w:r w:rsidRPr="00D743EA">
        <w:rPr>
          <w:szCs w:val="21"/>
        </w:rPr>
        <w:t>1985</w:t>
      </w:r>
      <w:r w:rsidRPr="00D743EA">
        <w:rPr>
          <w:szCs w:val="21"/>
        </w:rPr>
        <w:t>年被陕西省质监局授权为陕西省有色金属产品质量监督检验站。</w:t>
      </w:r>
      <w:r w:rsidRPr="00D743EA">
        <w:rPr>
          <w:szCs w:val="21"/>
        </w:rPr>
        <w:t>1987</w:t>
      </w:r>
      <w:r w:rsidRPr="00D743EA">
        <w:rPr>
          <w:szCs w:val="21"/>
        </w:rPr>
        <w:t>年被中国有色金属工业总公司授权为西北质量监督检验中心，先后被国家质检总局确定为钛及钛合金、铜及铜合金管材生产许可证检验工作实施单位；公司通过</w:t>
      </w:r>
      <w:r w:rsidRPr="00D743EA">
        <w:rPr>
          <w:szCs w:val="21"/>
        </w:rPr>
        <w:t>CNAS</w:t>
      </w:r>
      <w:r w:rsidRPr="00D743EA">
        <w:rPr>
          <w:szCs w:val="21"/>
        </w:rPr>
        <w:t>、</w:t>
      </w:r>
      <w:r w:rsidRPr="00D743EA">
        <w:rPr>
          <w:szCs w:val="21"/>
        </w:rPr>
        <w:t>CMA</w:t>
      </w:r>
      <w:r w:rsidRPr="00D743EA">
        <w:rPr>
          <w:szCs w:val="21"/>
        </w:rPr>
        <w:t>、国防</w:t>
      </w:r>
      <w:proofErr w:type="spellStart"/>
      <w:r w:rsidRPr="00D743EA">
        <w:rPr>
          <w:szCs w:val="21"/>
        </w:rPr>
        <w:t>DiLAC</w:t>
      </w:r>
      <w:proofErr w:type="spellEnd"/>
      <w:r w:rsidRPr="00D743EA">
        <w:rPr>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w:t>
      </w:r>
      <w:r w:rsidRPr="00D743EA">
        <w:rPr>
          <w:szCs w:val="21"/>
        </w:rPr>
        <w:lastRenderedPageBreak/>
        <w:t>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A91553" w:rsidRPr="00D743EA" w:rsidRDefault="006320F5">
      <w:pPr>
        <w:spacing w:line="360" w:lineRule="auto"/>
        <w:ind w:firstLineChars="200" w:firstLine="420"/>
        <w:rPr>
          <w:szCs w:val="21"/>
        </w:rPr>
      </w:pPr>
      <w:r w:rsidRPr="00D743EA">
        <w:rPr>
          <w:szCs w:val="21"/>
        </w:rPr>
        <w:t>近</w:t>
      </w:r>
      <w:r w:rsidRPr="00D743EA">
        <w:rPr>
          <w:szCs w:val="21"/>
        </w:rPr>
        <w:t>10</w:t>
      </w:r>
      <w:r w:rsidRPr="00D743EA">
        <w:rPr>
          <w:szCs w:val="21"/>
        </w:rPr>
        <w:t>年起草有色金属国家</w:t>
      </w:r>
      <w:r w:rsidRPr="00D743EA">
        <w:rPr>
          <w:szCs w:val="21"/>
        </w:rPr>
        <w:t>/</w:t>
      </w:r>
      <w:r w:rsidRPr="00D743EA">
        <w:rPr>
          <w:szCs w:val="21"/>
        </w:rPr>
        <w:t>行业规范共</w:t>
      </w:r>
      <w:r w:rsidRPr="00D743EA">
        <w:rPr>
          <w:szCs w:val="21"/>
        </w:rPr>
        <w:t>80</w:t>
      </w:r>
      <w:r w:rsidRPr="00D743EA">
        <w:rPr>
          <w:szCs w:val="21"/>
        </w:rPr>
        <w:t>余项、发表论文</w:t>
      </w:r>
      <w:r w:rsidRPr="00D743EA">
        <w:rPr>
          <w:szCs w:val="21"/>
        </w:rPr>
        <w:t>120</w:t>
      </w:r>
      <w:r w:rsidRPr="00D743EA">
        <w:rPr>
          <w:szCs w:val="21"/>
        </w:rPr>
        <w:t>余篇、授权专利</w:t>
      </w:r>
      <w:r w:rsidRPr="00D743EA">
        <w:rPr>
          <w:szCs w:val="21"/>
        </w:rPr>
        <w:t>30</w:t>
      </w:r>
      <w:r w:rsidRPr="00D743EA">
        <w:rPr>
          <w:szCs w:val="21"/>
        </w:rPr>
        <w:t>余项。先后荣获中国有色金属工业一等奖、二等奖</w:t>
      </w:r>
      <w:r w:rsidRPr="00D743EA">
        <w:rPr>
          <w:szCs w:val="21"/>
        </w:rPr>
        <w:t>20</w:t>
      </w:r>
      <w:r w:rsidRPr="00D743EA">
        <w:rPr>
          <w:szCs w:val="21"/>
        </w:rPr>
        <w:t>余次。</w:t>
      </w:r>
    </w:p>
    <w:p w:rsidR="00A91553" w:rsidRPr="00D743EA" w:rsidRDefault="006320F5">
      <w:pPr>
        <w:spacing w:line="360" w:lineRule="auto"/>
        <w:ind w:firstLineChars="200" w:firstLine="420"/>
        <w:contextualSpacing/>
        <w:jc w:val="left"/>
        <w:rPr>
          <w:szCs w:val="21"/>
        </w:rPr>
      </w:pPr>
      <w:r w:rsidRPr="00D743EA">
        <w:rPr>
          <w:szCs w:val="21"/>
        </w:rPr>
        <w:t>本单位积极组织编制组各次工作会议，开展相关的校准，有效组织参编单位多次对规范的各版《征求意见稿》进行认真的讨论和审议，提出大量有益的意见和建议，在编制组中发挥了牵头作用。</w:t>
      </w:r>
    </w:p>
    <w:p w:rsidR="00A91553" w:rsidRPr="00D743EA" w:rsidRDefault="006320F5" w:rsidP="00FD3C65">
      <w:pPr>
        <w:pStyle w:val="afff0"/>
        <w:ind w:firstLine="404"/>
        <w:rPr>
          <w:rFonts w:ascii="Times New Roman" w:hAnsi="Times New Roman"/>
        </w:rPr>
      </w:pPr>
      <w:bookmarkStart w:id="13" w:name="_Toc462884345"/>
      <w:bookmarkStart w:id="14" w:name="_Toc464728901"/>
      <w:r w:rsidRPr="00D743EA">
        <w:rPr>
          <w:rFonts w:ascii="Times New Roman" w:hAnsi="Times New Roman"/>
        </w:rPr>
        <w:t>3.3</w:t>
      </w:r>
      <w:r w:rsidRPr="00D743EA">
        <w:rPr>
          <w:rFonts w:ascii="Times New Roman" w:hAnsi="Times New Roman"/>
        </w:rPr>
        <w:t>成员单位简介</w:t>
      </w:r>
      <w:bookmarkEnd w:id="13"/>
      <w:bookmarkEnd w:id="14"/>
    </w:p>
    <w:p w:rsidR="00A91553" w:rsidRPr="00D743EA" w:rsidRDefault="006320F5" w:rsidP="00FD3C65">
      <w:pPr>
        <w:pStyle w:val="afff1"/>
        <w:rPr>
          <w:rFonts w:ascii="Times New Roman" w:hAnsi="Times New Roman"/>
        </w:rPr>
      </w:pPr>
      <w:bookmarkStart w:id="15" w:name="_Toc462884357"/>
      <w:bookmarkStart w:id="16" w:name="_Toc464728913"/>
      <w:r w:rsidRPr="00D743EA">
        <w:rPr>
          <w:rFonts w:ascii="Times New Roman" w:hAnsi="Times New Roman"/>
        </w:rPr>
        <w:t>4.</w:t>
      </w:r>
      <w:r w:rsidRPr="00D743EA">
        <w:rPr>
          <w:rFonts w:ascii="Times New Roman" w:hAnsi="Times New Roman"/>
        </w:rPr>
        <w:t>主要工作过程</w:t>
      </w:r>
      <w:bookmarkEnd w:id="15"/>
      <w:bookmarkEnd w:id="16"/>
    </w:p>
    <w:p w:rsidR="00A91553" w:rsidRPr="00D743EA" w:rsidRDefault="006320F5">
      <w:pPr>
        <w:spacing w:line="360" w:lineRule="auto"/>
        <w:ind w:firstLineChars="200" w:firstLine="420"/>
        <w:rPr>
          <w:bCs/>
        </w:rPr>
      </w:pPr>
      <w:bookmarkStart w:id="17" w:name="_Toc464728924"/>
      <w:r w:rsidRPr="00D743EA">
        <w:rPr>
          <w:bCs/>
        </w:rPr>
        <w:t>西安汉唐分析检测有限公司接到有色金属行业计量技术委员会转发下达的制定任务后，成立了计量规范编制组，对计量技术规范编写工作进行了部署和分工，制定了制定原则及计划工作。</w:t>
      </w:r>
    </w:p>
    <w:p w:rsidR="00A91553" w:rsidRPr="00D743EA" w:rsidRDefault="006320F5">
      <w:pPr>
        <w:spacing w:line="360" w:lineRule="auto"/>
        <w:ind w:firstLineChars="200" w:firstLine="420"/>
        <w:rPr>
          <w:bCs/>
          <w:color w:val="FF0000"/>
        </w:rPr>
      </w:pPr>
      <w:r w:rsidRPr="00D743EA">
        <w:rPr>
          <w:bCs/>
          <w:color w:val="FF0000"/>
        </w:rPr>
        <w:t>202</w:t>
      </w:r>
      <w:r w:rsidR="00AD2E0B">
        <w:rPr>
          <w:rFonts w:hint="eastAsia"/>
          <w:bCs/>
          <w:color w:val="FF0000"/>
        </w:rPr>
        <w:t>4</w:t>
      </w:r>
      <w:r w:rsidRPr="00D743EA">
        <w:rPr>
          <w:bCs/>
          <w:color w:val="FF0000"/>
        </w:rPr>
        <w:t>年</w:t>
      </w:r>
      <w:r w:rsidR="007E21C3">
        <w:rPr>
          <w:rFonts w:hint="eastAsia"/>
          <w:bCs/>
          <w:color w:val="FF0000"/>
        </w:rPr>
        <w:t>1</w:t>
      </w:r>
      <w:r w:rsidR="007A4B06">
        <w:rPr>
          <w:rFonts w:hint="eastAsia"/>
          <w:bCs/>
          <w:color w:val="FF0000"/>
        </w:rPr>
        <w:t>1</w:t>
      </w:r>
      <w:r w:rsidRPr="00D743EA">
        <w:rPr>
          <w:bCs/>
          <w:color w:val="FF0000"/>
        </w:rPr>
        <w:t>月成立了计量规范编制组，明确编制组成员各自的工作内容及任务，对被校对</w:t>
      </w:r>
      <w:proofErr w:type="gramStart"/>
      <w:r w:rsidRPr="00D743EA">
        <w:rPr>
          <w:bCs/>
          <w:color w:val="FF0000"/>
        </w:rPr>
        <w:t>象</w:t>
      </w:r>
      <w:proofErr w:type="gramEnd"/>
      <w:r w:rsidRPr="00D743EA">
        <w:rPr>
          <w:bCs/>
          <w:color w:val="FF0000"/>
        </w:rPr>
        <w:t>的使用单位进行了校准需求调研，收集相关资料。</w:t>
      </w:r>
    </w:p>
    <w:p w:rsidR="00A91553" w:rsidRPr="00D743EA" w:rsidRDefault="006320F5">
      <w:pPr>
        <w:spacing w:line="360" w:lineRule="auto"/>
        <w:ind w:firstLineChars="200" w:firstLine="420"/>
        <w:rPr>
          <w:bCs/>
          <w:color w:val="FF0000"/>
        </w:rPr>
      </w:pPr>
      <w:r w:rsidRPr="00D743EA">
        <w:rPr>
          <w:bCs/>
          <w:color w:val="FF0000"/>
        </w:rPr>
        <w:t>202</w:t>
      </w:r>
      <w:r w:rsidR="00AD2E0B">
        <w:rPr>
          <w:rFonts w:hint="eastAsia"/>
          <w:bCs/>
          <w:color w:val="FF0000"/>
        </w:rPr>
        <w:t>4</w:t>
      </w:r>
      <w:r w:rsidRPr="00D743EA">
        <w:rPr>
          <w:bCs/>
          <w:color w:val="FF0000"/>
        </w:rPr>
        <w:t>年</w:t>
      </w:r>
      <w:r w:rsidR="007A4B06">
        <w:rPr>
          <w:rFonts w:hint="eastAsia"/>
          <w:bCs/>
          <w:color w:val="FF0000"/>
        </w:rPr>
        <w:t>1</w:t>
      </w:r>
      <w:r w:rsidR="00AD2E0B">
        <w:rPr>
          <w:rFonts w:hint="eastAsia"/>
          <w:bCs/>
          <w:color w:val="FF0000"/>
        </w:rPr>
        <w:t>2</w:t>
      </w:r>
      <w:r w:rsidRPr="00D743EA">
        <w:rPr>
          <w:bCs/>
          <w:color w:val="FF0000"/>
        </w:rPr>
        <w:t>月</w:t>
      </w:r>
      <w:r w:rsidRPr="00D743EA">
        <w:rPr>
          <w:bCs/>
          <w:color w:val="FF0000"/>
        </w:rPr>
        <w:t>~202</w:t>
      </w:r>
      <w:r w:rsidR="007A4B06">
        <w:rPr>
          <w:rFonts w:hint="eastAsia"/>
          <w:bCs/>
          <w:color w:val="FF0000"/>
        </w:rPr>
        <w:t>5</w:t>
      </w:r>
      <w:r w:rsidRPr="00D743EA">
        <w:rPr>
          <w:bCs/>
          <w:color w:val="FF0000"/>
        </w:rPr>
        <w:t>年</w:t>
      </w:r>
      <w:r w:rsidR="007A4B06">
        <w:rPr>
          <w:rFonts w:hint="eastAsia"/>
          <w:bCs/>
          <w:color w:val="FF0000"/>
        </w:rPr>
        <w:t>4</w:t>
      </w:r>
      <w:r w:rsidRPr="00D743EA">
        <w:rPr>
          <w:bCs/>
          <w:color w:val="FF0000"/>
        </w:rPr>
        <w:t>月编制组成员对校准规范中的计量特性及校准方法进行了讨论，确定了校准项目及方法，对关键技术指标提出了修改意见最终行成讨论稿。</w:t>
      </w:r>
    </w:p>
    <w:p w:rsidR="00A91553" w:rsidRPr="00D743EA" w:rsidRDefault="00A91553">
      <w:pPr>
        <w:spacing w:line="360" w:lineRule="auto"/>
        <w:ind w:firstLineChars="200" w:firstLine="420"/>
        <w:rPr>
          <w:bCs/>
        </w:rPr>
      </w:pP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规范编制原则和确定主要内容</w:t>
      </w:r>
      <w:bookmarkEnd w:id="17"/>
    </w:p>
    <w:p w:rsidR="00A91553" w:rsidRPr="00D743EA" w:rsidRDefault="006320F5">
      <w:pPr>
        <w:pStyle w:val="a9"/>
        <w:wordWrap/>
        <w:spacing w:beforeLines="0" w:after="156" w:line="360" w:lineRule="auto"/>
        <w:rPr>
          <w:rFonts w:ascii="Times New Roman"/>
        </w:rPr>
      </w:pPr>
      <w:bookmarkStart w:id="18" w:name="_Toc464728925"/>
      <w:r w:rsidRPr="00D743EA">
        <w:rPr>
          <w:rFonts w:ascii="Times New Roman"/>
        </w:rPr>
        <w:t>编制原则</w:t>
      </w:r>
      <w:bookmarkEnd w:id="18"/>
    </w:p>
    <w:p w:rsidR="00A91553" w:rsidRPr="00D743EA" w:rsidRDefault="006320F5">
      <w:pPr>
        <w:pStyle w:val="affe"/>
        <w:spacing w:line="324" w:lineRule="auto"/>
        <w:ind w:firstLineChars="0"/>
        <w:rPr>
          <w:rFonts w:ascii="Times New Roman" w:hAnsi="Times New Roman"/>
          <w:kern w:val="2"/>
          <w:szCs w:val="21"/>
        </w:rPr>
      </w:pPr>
      <w:bookmarkStart w:id="19" w:name="_Toc464728926"/>
      <w:r w:rsidRPr="00D743EA">
        <w:rPr>
          <w:rFonts w:ascii="Times New Roman" w:hAnsi="Times New Roman"/>
          <w:kern w:val="2"/>
          <w:szCs w:val="21"/>
        </w:rPr>
        <w:t>本规范是以</w:t>
      </w:r>
      <w:r w:rsidRPr="00D743EA">
        <w:rPr>
          <w:rFonts w:ascii="Times New Roman" w:hAnsi="Times New Roman"/>
          <w:kern w:val="2"/>
          <w:szCs w:val="21"/>
        </w:rPr>
        <w:t>JJF 1071-2010</w:t>
      </w:r>
      <w:r w:rsidRPr="00D743EA">
        <w:rPr>
          <w:rFonts w:ascii="Times New Roman" w:hAnsi="Times New Roman"/>
          <w:kern w:val="2"/>
          <w:szCs w:val="21"/>
        </w:rPr>
        <w:t>《国家计量校准规范编写规则》、</w:t>
      </w:r>
      <w:r w:rsidRPr="00D743EA">
        <w:rPr>
          <w:rFonts w:ascii="Times New Roman" w:hAnsi="Times New Roman"/>
          <w:kern w:val="2"/>
          <w:szCs w:val="21"/>
        </w:rPr>
        <w:t>JJF 1001-2011</w:t>
      </w:r>
      <w:r w:rsidRPr="00D743EA">
        <w:rPr>
          <w:rFonts w:ascii="Times New Roman" w:hAnsi="Times New Roman"/>
          <w:kern w:val="2"/>
          <w:szCs w:val="21"/>
        </w:rPr>
        <w:t>《通用计量术语及定义》和</w:t>
      </w:r>
      <w:r w:rsidRPr="00D743EA">
        <w:rPr>
          <w:rFonts w:ascii="Times New Roman" w:hAnsi="Times New Roman"/>
          <w:kern w:val="2"/>
          <w:szCs w:val="21"/>
        </w:rPr>
        <w:t>JJF 1059.1-2012</w:t>
      </w:r>
      <w:r w:rsidRPr="00D743EA">
        <w:rPr>
          <w:rFonts w:ascii="Times New Roman" w:hAnsi="Times New Roman"/>
          <w:kern w:val="2"/>
          <w:szCs w:val="21"/>
        </w:rPr>
        <w:t>《测量不确定度评定与表示》为基础性系列规范进行编写。</w:t>
      </w:r>
    </w:p>
    <w:p w:rsidR="00A91553" w:rsidRDefault="006320F5" w:rsidP="002A45F0">
      <w:pPr>
        <w:spacing w:line="324" w:lineRule="auto"/>
        <w:ind w:firstLineChars="200" w:firstLine="420"/>
        <w:rPr>
          <w:szCs w:val="21"/>
        </w:rPr>
      </w:pPr>
      <w:r w:rsidRPr="00D743EA">
        <w:rPr>
          <w:szCs w:val="21"/>
        </w:rPr>
        <w:t>本规范引用了</w:t>
      </w:r>
      <w:r w:rsidR="00B5408F" w:rsidRPr="00B5408F">
        <w:rPr>
          <w:rFonts w:hint="eastAsia"/>
          <w:szCs w:val="21"/>
        </w:rPr>
        <w:t xml:space="preserve">ISO 18563-1:2022 </w:t>
      </w:r>
      <w:r w:rsidR="00B5408F" w:rsidRPr="00B5408F">
        <w:rPr>
          <w:rFonts w:hint="eastAsia"/>
          <w:szCs w:val="21"/>
        </w:rPr>
        <w:t>《无损检测仪器</w:t>
      </w:r>
      <w:r w:rsidR="00B5408F" w:rsidRPr="00B5408F">
        <w:rPr>
          <w:rFonts w:hint="eastAsia"/>
          <w:szCs w:val="21"/>
        </w:rPr>
        <w:t xml:space="preserve"> </w:t>
      </w:r>
      <w:r w:rsidR="00B5408F" w:rsidRPr="00B5408F">
        <w:rPr>
          <w:rFonts w:hint="eastAsia"/>
          <w:szCs w:val="21"/>
        </w:rPr>
        <w:t>相控阵超声设备的性能与检验</w:t>
      </w:r>
      <w:r w:rsidR="00B5408F" w:rsidRPr="00B5408F">
        <w:rPr>
          <w:rFonts w:hint="eastAsia"/>
          <w:szCs w:val="21"/>
        </w:rPr>
        <w:t xml:space="preserve"> </w:t>
      </w:r>
      <w:r w:rsidR="00B5408F" w:rsidRPr="00B5408F">
        <w:rPr>
          <w:rFonts w:hint="eastAsia"/>
          <w:szCs w:val="21"/>
        </w:rPr>
        <w:t>第</w:t>
      </w:r>
      <w:r w:rsidR="00B5408F" w:rsidRPr="00B5408F">
        <w:rPr>
          <w:rFonts w:hint="eastAsia"/>
          <w:szCs w:val="21"/>
        </w:rPr>
        <w:t>1</w:t>
      </w:r>
      <w:r w:rsidR="00B5408F" w:rsidRPr="00B5408F">
        <w:rPr>
          <w:rFonts w:hint="eastAsia"/>
          <w:szCs w:val="21"/>
        </w:rPr>
        <w:t>部分》（</w:t>
      </w:r>
      <w:r w:rsidR="00B5408F" w:rsidRPr="00B5408F">
        <w:rPr>
          <w:rFonts w:hint="eastAsia"/>
          <w:szCs w:val="21"/>
        </w:rPr>
        <w:t xml:space="preserve">Non-destructive testing </w:t>
      </w:r>
      <w:r w:rsidR="00B5408F" w:rsidRPr="00B5408F">
        <w:rPr>
          <w:rFonts w:hint="eastAsia"/>
          <w:szCs w:val="21"/>
        </w:rPr>
        <w:t>—</w:t>
      </w:r>
      <w:r w:rsidR="00B5408F" w:rsidRPr="00B5408F">
        <w:rPr>
          <w:rFonts w:hint="eastAsia"/>
          <w:szCs w:val="21"/>
        </w:rPr>
        <w:t xml:space="preserve"> Characterization and verification of ultrasonic phased array equipment</w:t>
      </w:r>
      <w:r w:rsidR="00B5408F" w:rsidRPr="00B5408F">
        <w:rPr>
          <w:rFonts w:hint="eastAsia"/>
          <w:szCs w:val="21"/>
        </w:rPr>
        <w:t>）</w:t>
      </w:r>
      <w:r w:rsidRPr="00D743EA">
        <w:rPr>
          <w:szCs w:val="21"/>
        </w:rPr>
        <w:t>相关内容。</w:t>
      </w:r>
    </w:p>
    <w:p w:rsidR="00A91553" w:rsidRPr="00D743EA" w:rsidRDefault="006320F5">
      <w:pPr>
        <w:pStyle w:val="a9"/>
        <w:spacing w:beforeLines="100" w:before="312" w:afterLines="100" w:after="312"/>
        <w:rPr>
          <w:rFonts w:ascii="Times New Roman"/>
        </w:rPr>
      </w:pPr>
      <w:r w:rsidRPr="00D743EA">
        <w:rPr>
          <w:rFonts w:ascii="Times New Roman"/>
        </w:rPr>
        <w:t>确定主要内</w:t>
      </w:r>
      <w:bookmarkEnd w:id="19"/>
      <w:r w:rsidRPr="00D743EA">
        <w:rPr>
          <w:rFonts w:ascii="Times New Roman"/>
        </w:rPr>
        <w:t>容</w:t>
      </w:r>
    </w:p>
    <w:p w:rsidR="00A91553" w:rsidRPr="00D743EA" w:rsidRDefault="006320F5" w:rsidP="00FD3C65">
      <w:pPr>
        <w:pStyle w:val="afff1"/>
        <w:rPr>
          <w:rFonts w:ascii="Times New Roman" w:hAnsi="Times New Roman"/>
        </w:rPr>
      </w:pPr>
      <w:bookmarkStart w:id="20" w:name="_Toc23837_WPSOffice_Level1"/>
      <w:bookmarkStart w:id="21" w:name="_Toc193860027"/>
      <w:bookmarkStart w:id="22" w:name="_Toc193860177"/>
      <w:bookmarkStart w:id="23" w:name="_Toc193860208"/>
      <w:bookmarkStart w:id="24" w:name="_Toc500258929"/>
      <w:bookmarkStart w:id="25" w:name="_Toc464728964"/>
      <w:r w:rsidRPr="00D743EA">
        <w:rPr>
          <w:rFonts w:ascii="Times New Roman" w:hAnsi="Times New Roman"/>
        </w:rPr>
        <w:t xml:space="preserve">1 </w:t>
      </w:r>
      <w:r w:rsidRPr="00D743EA">
        <w:rPr>
          <w:rFonts w:ascii="Times New Roman" w:hAnsi="Times New Roman"/>
        </w:rPr>
        <w:t>范围</w:t>
      </w:r>
      <w:bookmarkEnd w:id="20"/>
      <w:bookmarkEnd w:id="21"/>
      <w:bookmarkEnd w:id="22"/>
      <w:bookmarkEnd w:id="23"/>
      <w:bookmarkEnd w:id="24"/>
    </w:p>
    <w:p w:rsidR="00A91553" w:rsidRPr="00D743EA" w:rsidRDefault="005A7971">
      <w:pPr>
        <w:pStyle w:val="affe"/>
        <w:spacing w:line="324" w:lineRule="auto"/>
        <w:ind w:firstLineChars="0"/>
        <w:rPr>
          <w:rFonts w:ascii="Times New Roman" w:hAnsi="Times New Roman"/>
          <w:kern w:val="2"/>
          <w:szCs w:val="21"/>
        </w:rPr>
      </w:pPr>
      <w:bookmarkStart w:id="26" w:name="_Toc193860028"/>
      <w:bookmarkStart w:id="27" w:name="_Toc193860178"/>
      <w:bookmarkStart w:id="28" w:name="_Toc193860209"/>
      <w:bookmarkStart w:id="29" w:name="_Toc500258930"/>
      <w:bookmarkStart w:id="30" w:name="_Toc7848_WPSOffice_Level1"/>
      <w:r w:rsidRPr="00D743EA">
        <w:rPr>
          <w:rFonts w:ascii="Times New Roman" w:hAnsi="Times New Roman"/>
          <w:kern w:val="2"/>
          <w:szCs w:val="21"/>
        </w:rPr>
        <w:lastRenderedPageBreak/>
        <w:t>本规范规定了用于超声无损检测的</w:t>
      </w:r>
      <w:r w:rsidR="00F37C1A">
        <w:rPr>
          <w:rFonts w:ascii="Times New Roman" w:hAnsi="Times New Roman"/>
          <w:kern w:val="2"/>
          <w:szCs w:val="21"/>
        </w:rPr>
        <w:t>相控阵超声探伤仪</w:t>
      </w:r>
      <w:r w:rsidRPr="00D743EA">
        <w:rPr>
          <w:rFonts w:ascii="Times New Roman" w:hAnsi="Times New Roman"/>
          <w:kern w:val="2"/>
          <w:szCs w:val="21"/>
        </w:rPr>
        <w:t>的计量特性、校准条件和校准方法。本规范适用于</w:t>
      </w:r>
      <w:r w:rsidR="008673E6" w:rsidRPr="008673E6">
        <w:rPr>
          <w:rFonts w:ascii="Times New Roman" w:hAnsi="Times New Roman" w:hint="eastAsia"/>
          <w:kern w:val="2"/>
          <w:szCs w:val="21"/>
        </w:rPr>
        <w:t>频率在（</w:t>
      </w:r>
      <w:r w:rsidR="008673E6" w:rsidRPr="008673E6">
        <w:rPr>
          <w:rFonts w:ascii="Times New Roman" w:hAnsi="Times New Roman" w:hint="eastAsia"/>
          <w:kern w:val="2"/>
          <w:szCs w:val="21"/>
        </w:rPr>
        <w:t>0.5~10</w:t>
      </w:r>
      <w:r w:rsidR="008673E6" w:rsidRPr="008673E6">
        <w:rPr>
          <w:rFonts w:ascii="Times New Roman" w:hAnsi="Times New Roman" w:hint="eastAsia"/>
          <w:kern w:val="2"/>
          <w:szCs w:val="21"/>
        </w:rPr>
        <w:t>）</w:t>
      </w:r>
      <w:r w:rsidR="008673E6" w:rsidRPr="008673E6">
        <w:rPr>
          <w:rFonts w:ascii="Times New Roman" w:hAnsi="Times New Roman" w:hint="eastAsia"/>
          <w:kern w:val="2"/>
          <w:szCs w:val="21"/>
        </w:rPr>
        <w:t>MHz</w:t>
      </w:r>
      <w:r w:rsidR="008673E6" w:rsidRPr="008673E6">
        <w:rPr>
          <w:rFonts w:ascii="Times New Roman" w:hAnsi="Times New Roman" w:hint="eastAsia"/>
          <w:kern w:val="2"/>
          <w:szCs w:val="21"/>
        </w:rPr>
        <w:t>范围内的多通道相控阵超声检测仪的校准</w:t>
      </w:r>
      <w:r w:rsidRPr="00D743EA">
        <w:rPr>
          <w:rFonts w:ascii="Times New Roman" w:hAnsi="Times New Roman"/>
          <w:kern w:val="2"/>
          <w:szCs w:val="21"/>
        </w:rPr>
        <w:t>。</w:t>
      </w:r>
    </w:p>
    <w:p w:rsidR="00A91553" w:rsidRPr="00D743EA" w:rsidRDefault="006320F5" w:rsidP="00FD3C65">
      <w:pPr>
        <w:pStyle w:val="afff1"/>
        <w:rPr>
          <w:rFonts w:ascii="Times New Roman" w:hAnsi="Times New Roman"/>
        </w:rPr>
      </w:pPr>
      <w:r w:rsidRPr="00D743EA">
        <w:rPr>
          <w:rFonts w:ascii="Times New Roman" w:hAnsi="Times New Roman"/>
        </w:rPr>
        <w:t xml:space="preserve">2 </w:t>
      </w:r>
      <w:r w:rsidRPr="00D743EA">
        <w:rPr>
          <w:rFonts w:ascii="Times New Roman" w:hAnsi="Times New Roman"/>
        </w:rPr>
        <w:t>引用文</w:t>
      </w:r>
      <w:bookmarkEnd w:id="26"/>
      <w:bookmarkEnd w:id="27"/>
      <w:bookmarkEnd w:id="28"/>
      <w:r w:rsidRPr="00D743EA">
        <w:rPr>
          <w:rFonts w:ascii="Times New Roman" w:hAnsi="Times New Roman"/>
        </w:rPr>
        <w:t>件</w:t>
      </w:r>
      <w:bookmarkEnd w:id="29"/>
      <w:bookmarkEnd w:id="30"/>
    </w:p>
    <w:p w:rsidR="00163830" w:rsidRPr="00D743EA" w:rsidRDefault="00135907" w:rsidP="00163830">
      <w:pPr>
        <w:spacing w:line="360" w:lineRule="auto"/>
        <w:ind w:firstLineChars="200" w:firstLine="420"/>
        <w:rPr>
          <w:szCs w:val="21"/>
        </w:rPr>
      </w:pPr>
      <w:bookmarkStart w:id="31" w:name="_Toc193860211"/>
      <w:bookmarkStart w:id="32" w:name="_Toc193619055"/>
      <w:bookmarkStart w:id="33" w:name="_Toc193619097"/>
      <w:bookmarkStart w:id="34" w:name="_Toc193860180"/>
      <w:bookmarkStart w:id="35" w:name="_Toc500258937"/>
      <w:bookmarkStart w:id="36" w:name="_Toc13054_WPSOffice_Level1"/>
      <w:bookmarkStart w:id="37" w:name="_Toc193860030"/>
      <w:bookmarkStart w:id="38" w:name="_Toc193618952"/>
      <w:r w:rsidRPr="00135907">
        <w:rPr>
          <w:rFonts w:hint="eastAsia"/>
          <w:szCs w:val="21"/>
        </w:rPr>
        <w:t>JJF 1071</w:t>
      </w:r>
      <w:r w:rsidRPr="00135907">
        <w:rPr>
          <w:rFonts w:hint="eastAsia"/>
          <w:szCs w:val="21"/>
        </w:rPr>
        <w:t>《国家计量校准规范编写规则》</w:t>
      </w:r>
    </w:p>
    <w:p w:rsidR="00163830" w:rsidRPr="00D743EA" w:rsidRDefault="00135907" w:rsidP="00163830">
      <w:pPr>
        <w:spacing w:line="360" w:lineRule="auto"/>
        <w:ind w:firstLineChars="200" w:firstLine="420"/>
        <w:rPr>
          <w:szCs w:val="21"/>
        </w:rPr>
      </w:pPr>
      <w:r w:rsidRPr="00135907">
        <w:rPr>
          <w:rFonts w:hint="eastAsia"/>
          <w:szCs w:val="21"/>
        </w:rPr>
        <w:t>JJF 1001-</w:t>
      </w:r>
      <w:r w:rsidRPr="00135907">
        <w:rPr>
          <w:rFonts w:hint="eastAsia"/>
          <w:szCs w:val="21"/>
        </w:rPr>
        <w:t>《通用计量术语及定义》</w:t>
      </w:r>
    </w:p>
    <w:p w:rsidR="00163830" w:rsidRPr="00D743EA" w:rsidRDefault="00A55144" w:rsidP="00163830">
      <w:pPr>
        <w:spacing w:line="360" w:lineRule="auto"/>
        <w:ind w:firstLineChars="200" w:firstLine="420"/>
        <w:rPr>
          <w:szCs w:val="21"/>
        </w:rPr>
      </w:pPr>
      <w:r w:rsidRPr="00A55144">
        <w:rPr>
          <w:rFonts w:hint="eastAsia"/>
          <w:szCs w:val="21"/>
        </w:rPr>
        <w:t>JJF 1059.1</w:t>
      </w:r>
      <w:r w:rsidRPr="00A55144">
        <w:rPr>
          <w:rFonts w:hint="eastAsia"/>
          <w:szCs w:val="21"/>
        </w:rPr>
        <w:t>《测量不确定度评定与表示》</w:t>
      </w:r>
    </w:p>
    <w:p w:rsidR="00A91553" w:rsidRPr="00D743EA" w:rsidRDefault="00135907" w:rsidP="00163830">
      <w:pPr>
        <w:spacing w:line="360" w:lineRule="auto"/>
        <w:ind w:firstLineChars="200" w:firstLine="420"/>
        <w:rPr>
          <w:szCs w:val="21"/>
        </w:rPr>
      </w:pPr>
      <w:r w:rsidRPr="00135907">
        <w:rPr>
          <w:rFonts w:hint="eastAsia"/>
          <w:szCs w:val="21"/>
        </w:rPr>
        <w:t xml:space="preserve">ISO 18563-1:2022 </w:t>
      </w:r>
      <w:r w:rsidRPr="00135907">
        <w:rPr>
          <w:rFonts w:hint="eastAsia"/>
          <w:szCs w:val="21"/>
        </w:rPr>
        <w:t>《无损检测仪器</w:t>
      </w:r>
      <w:r w:rsidRPr="00135907">
        <w:rPr>
          <w:rFonts w:hint="eastAsia"/>
          <w:szCs w:val="21"/>
        </w:rPr>
        <w:t xml:space="preserve"> </w:t>
      </w:r>
      <w:r w:rsidRPr="00135907">
        <w:rPr>
          <w:rFonts w:hint="eastAsia"/>
          <w:szCs w:val="21"/>
        </w:rPr>
        <w:t>相控阵超声设备的性能与检验</w:t>
      </w:r>
      <w:r w:rsidRPr="00135907">
        <w:rPr>
          <w:rFonts w:hint="eastAsia"/>
          <w:szCs w:val="21"/>
        </w:rPr>
        <w:t xml:space="preserve"> </w:t>
      </w:r>
      <w:r w:rsidRPr="00135907">
        <w:rPr>
          <w:rFonts w:hint="eastAsia"/>
          <w:szCs w:val="21"/>
        </w:rPr>
        <w:t>第</w:t>
      </w:r>
      <w:r w:rsidRPr="00135907">
        <w:rPr>
          <w:rFonts w:hint="eastAsia"/>
          <w:szCs w:val="21"/>
        </w:rPr>
        <w:t>1</w:t>
      </w:r>
      <w:r w:rsidRPr="00135907">
        <w:rPr>
          <w:rFonts w:hint="eastAsia"/>
          <w:szCs w:val="21"/>
        </w:rPr>
        <w:t>部分》（</w:t>
      </w:r>
      <w:r w:rsidRPr="00135907">
        <w:rPr>
          <w:rFonts w:hint="eastAsia"/>
          <w:szCs w:val="21"/>
        </w:rPr>
        <w:t xml:space="preserve">Non-destructive testing </w:t>
      </w:r>
      <w:r w:rsidRPr="00135907">
        <w:rPr>
          <w:rFonts w:hint="eastAsia"/>
          <w:szCs w:val="21"/>
        </w:rPr>
        <w:t>—</w:t>
      </w:r>
      <w:r w:rsidRPr="00135907">
        <w:rPr>
          <w:rFonts w:hint="eastAsia"/>
          <w:szCs w:val="21"/>
        </w:rPr>
        <w:t xml:space="preserve"> Characterization and verification of ultrasonic phased array equipment</w:t>
      </w:r>
      <w:r w:rsidR="007B6244">
        <w:rPr>
          <w:rFonts w:hint="eastAsia"/>
          <w:szCs w:val="21"/>
        </w:rPr>
        <w:t>）</w:t>
      </w:r>
    </w:p>
    <w:p w:rsidR="00A91553" w:rsidRPr="00D743EA" w:rsidRDefault="006320F5" w:rsidP="00FD3C65">
      <w:pPr>
        <w:pStyle w:val="afff1"/>
        <w:rPr>
          <w:rFonts w:ascii="Times New Roman" w:hAnsi="Times New Roman"/>
        </w:rPr>
      </w:pPr>
      <w:r w:rsidRPr="00D743EA">
        <w:rPr>
          <w:rFonts w:ascii="Times New Roman" w:hAnsi="Times New Roman"/>
        </w:rPr>
        <w:t xml:space="preserve">3 </w:t>
      </w:r>
      <w:r w:rsidRPr="00D743EA">
        <w:rPr>
          <w:rFonts w:ascii="Times New Roman" w:hAnsi="Times New Roman"/>
        </w:rPr>
        <w:t>概述</w:t>
      </w:r>
      <w:bookmarkEnd w:id="31"/>
      <w:bookmarkEnd w:id="32"/>
      <w:bookmarkEnd w:id="33"/>
      <w:bookmarkEnd w:id="34"/>
      <w:bookmarkEnd w:id="35"/>
      <w:bookmarkEnd w:id="36"/>
      <w:bookmarkEnd w:id="37"/>
      <w:bookmarkEnd w:id="38"/>
    </w:p>
    <w:p w:rsidR="00A91553" w:rsidRPr="00D743EA" w:rsidRDefault="007E3483">
      <w:pPr>
        <w:pStyle w:val="affe"/>
        <w:spacing w:line="324" w:lineRule="auto"/>
        <w:ind w:firstLineChars="0"/>
        <w:rPr>
          <w:rFonts w:ascii="Times New Roman" w:eastAsiaTheme="minorEastAsia" w:hAnsi="Times New Roman"/>
          <w:color w:val="FF0000"/>
          <w:szCs w:val="21"/>
        </w:rPr>
      </w:pPr>
      <w:proofErr w:type="gramStart"/>
      <w:r w:rsidRPr="00D743EA">
        <w:rPr>
          <w:rFonts w:ascii="Times New Roman" w:hAnsi="Times New Roman"/>
          <w:kern w:val="2"/>
          <w:szCs w:val="21"/>
        </w:rPr>
        <w:t>液浸式</w:t>
      </w:r>
      <w:proofErr w:type="gramEnd"/>
      <w:r w:rsidRPr="00D743EA">
        <w:rPr>
          <w:rFonts w:ascii="Times New Roman" w:hAnsi="Times New Roman"/>
          <w:kern w:val="2"/>
          <w:szCs w:val="21"/>
        </w:rPr>
        <w:t>超声换能器广泛应用在超声无损检测等领域，可分为聚焦换能器和平面换能器。</w:t>
      </w:r>
      <w:proofErr w:type="gramStart"/>
      <w:r w:rsidRPr="00D743EA">
        <w:rPr>
          <w:rFonts w:ascii="Times New Roman" w:hAnsi="Times New Roman"/>
          <w:kern w:val="2"/>
          <w:szCs w:val="21"/>
        </w:rPr>
        <w:t>液浸式</w:t>
      </w:r>
      <w:proofErr w:type="gramEnd"/>
      <w:r w:rsidRPr="00D743EA">
        <w:rPr>
          <w:rFonts w:ascii="Times New Roman" w:hAnsi="Times New Roman"/>
          <w:kern w:val="2"/>
          <w:szCs w:val="21"/>
        </w:rPr>
        <w:t>超声换能器的特性参数可通过球靶反射体法和水听器法测量超声信号和扫描声场获得</w:t>
      </w:r>
      <w:r w:rsidR="006320F5" w:rsidRPr="00D743EA">
        <w:rPr>
          <w:rFonts w:ascii="Times New Roman" w:hAnsi="Times New Roman"/>
          <w:kern w:val="2"/>
          <w:szCs w:val="21"/>
        </w:rPr>
        <w:t>。</w:t>
      </w:r>
    </w:p>
    <w:p w:rsidR="00A91553" w:rsidRPr="00D743EA" w:rsidRDefault="006320F5" w:rsidP="00FD3C65">
      <w:pPr>
        <w:pStyle w:val="afff1"/>
        <w:rPr>
          <w:rFonts w:ascii="Times New Roman" w:hAnsi="Times New Roman"/>
        </w:rPr>
      </w:pPr>
      <w:bookmarkStart w:id="39" w:name="_Toc193860212"/>
      <w:bookmarkStart w:id="40" w:name="_Toc193619098"/>
      <w:bookmarkStart w:id="41" w:name="_Toc500258938"/>
      <w:bookmarkStart w:id="42" w:name="_Toc193619056"/>
      <w:bookmarkStart w:id="43" w:name="_Toc19851_WPSOffice_Level1"/>
      <w:bookmarkStart w:id="44" w:name="_Toc193860031"/>
      <w:bookmarkStart w:id="45" w:name="_Toc193618953"/>
      <w:bookmarkStart w:id="46" w:name="_Toc193860181"/>
      <w:r w:rsidRPr="00D743EA">
        <w:rPr>
          <w:rFonts w:ascii="Times New Roman" w:hAnsi="Times New Roman"/>
        </w:rPr>
        <w:t xml:space="preserve">4 </w:t>
      </w:r>
      <w:r w:rsidRPr="00D743EA">
        <w:rPr>
          <w:rFonts w:ascii="Times New Roman" w:hAnsi="Times New Roman"/>
        </w:rPr>
        <w:t>计量特性</w:t>
      </w:r>
      <w:bookmarkEnd w:id="39"/>
      <w:bookmarkEnd w:id="40"/>
      <w:bookmarkEnd w:id="41"/>
      <w:bookmarkEnd w:id="42"/>
      <w:bookmarkEnd w:id="43"/>
      <w:bookmarkEnd w:id="44"/>
      <w:bookmarkEnd w:id="45"/>
      <w:bookmarkEnd w:id="46"/>
    </w:p>
    <w:p w:rsidR="00FD3C65" w:rsidRPr="00D743EA" w:rsidRDefault="00FD3C65" w:rsidP="00FD3C65">
      <w:pPr>
        <w:pStyle w:val="afff1"/>
        <w:rPr>
          <w:rFonts w:ascii="Times New Roman" w:hAnsi="Times New Roman"/>
        </w:rPr>
      </w:pPr>
      <w:bookmarkStart w:id="47" w:name="_Toc25829_WPSOffice_Level1"/>
      <w:r w:rsidRPr="00D743EA">
        <w:rPr>
          <w:rFonts w:ascii="Times New Roman" w:hAnsi="Times New Roman"/>
        </w:rPr>
        <w:t>4.1</w:t>
      </w:r>
      <w:r w:rsidR="00E84D9C" w:rsidRPr="00E84D9C">
        <w:rPr>
          <w:rFonts w:ascii="Times New Roman" w:hAnsi="Times New Roman" w:hint="eastAsia"/>
        </w:rPr>
        <w:t>发射脉冲电压、上升时间和脉冲宽度</w:t>
      </w:r>
    </w:p>
    <w:p w:rsidR="00E84D9C" w:rsidRPr="00E84D9C" w:rsidRDefault="00E84D9C" w:rsidP="00E84D9C">
      <w:pPr>
        <w:pStyle w:val="afff1"/>
        <w:ind w:firstLineChars="400" w:firstLine="840"/>
        <w:rPr>
          <w:rFonts w:ascii="Times New Roman" w:hAnsi="Times New Roman"/>
        </w:rPr>
      </w:pPr>
      <w:r w:rsidRPr="00E84D9C">
        <w:rPr>
          <w:rFonts w:ascii="Times New Roman" w:hAnsi="Times New Roman" w:hint="eastAsia"/>
        </w:rPr>
        <w:t>发射脉冲电压与制造商技术要求不超过±</w:t>
      </w:r>
      <w:r w:rsidRPr="00E84D9C">
        <w:rPr>
          <w:rFonts w:ascii="Times New Roman" w:hAnsi="Times New Roman" w:hint="eastAsia"/>
        </w:rPr>
        <w:t>10%</w:t>
      </w:r>
      <w:r w:rsidRPr="00E84D9C">
        <w:rPr>
          <w:rFonts w:ascii="Times New Roman" w:hAnsi="Times New Roman" w:hint="eastAsia"/>
        </w:rPr>
        <w:t>范围内；</w:t>
      </w:r>
    </w:p>
    <w:p w:rsidR="00E84D9C" w:rsidRPr="00E84D9C" w:rsidRDefault="00E84D9C" w:rsidP="00E84D9C">
      <w:pPr>
        <w:pStyle w:val="afff1"/>
        <w:ind w:firstLineChars="400" w:firstLine="840"/>
        <w:rPr>
          <w:rFonts w:ascii="Times New Roman" w:hAnsi="Times New Roman"/>
        </w:rPr>
      </w:pPr>
      <w:r w:rsidRPr="00E84D9C">
        <w:rPr>
          <w:rFonts w:ascii="Times New Roman" w:hAnsi="Times New Roman" w:hint="eastAsia"/>
        </w:rPr>
        <w:t>上升时间应小于制造商技术要求的最大值；</w:t>
      </w:r>
    </w:p>
    <w:p w:rsidR="00FD3C65" w:rsidRPr="00D743EA" w:rsidRDefault="00E84D9C" w:rsidP="00E84D9C">
      <w:pPr>
        <w:pStyle w:val="afff1"/>
        <w:ind w:firstLineChars="400" w:firstLine="840"/>
        <w:rPr>
          <w:rFonts w:ascii="Times New Roman" w:hAnsi="Times New Roman"/>
        </w:rPr>
      </w:pPr>
      <w:r w:rsidRPr="00E84D9C">
        <w:rPr>
          <w:rFonts w:ascii="Times New Roman" w:hAnsi="Times New Roman" w:hint="eastAsia"/>
        </w:rPr>
        <w:t>对于方波脉冲和双极性脉冲波形</w:t>
      </w:r>
      <w:r w:rsidRPr="00E84D9C">
        <w:rPr>
          <w:rFonts w:ascii="Times New Roman" w:hAnsi="Times New Roman" w:hint="eastAsia"/>
        </w:rPr>
        <w:t>,</w:t>
      </w:r>
      <w:r w:rsidRPr="00E84D9C">
        <w:rPr>
          <w:rFonts w:ascii="Times New Roman" w:hAnsi="Times New Roman" w:hint="eastAsia"/>
        </w:rPr>
        <w:t>每个单独测量通道脉冲宽度应在制造商技术要求规定值的±</w:t>
      </w:r>
      <w:r w:rsidRPr="00E84D9C">
        <w:rPr>
          <w:rFonts w:ascii="Times New Roman" w:hAnsi="Times New Roman" w:hint="eastAsia"/>
        </w:rPr>
        <w:t>10%</w:t>
      </w:r>
      <w:r w:rsidRPr="00E84D9C">
        <w:rPr>
          <w:rFonts w:ascii="Times New Roman" w:hAnsi="Times New Roman" w:hint="eastAsia"/>
        </w:rPr>
        <w:t>范围内。当使用一个尖峰脉冲时，脉冲宽度应小于制造商的技术规范中规定的最大值</w:t>
      </w:r>
      <w:r w:rsidRPr="00E84D9C">
        <w:rPr>
          <w:rFonts w:ascii="Times New Roman" w:hAnsi="Times New Roman" w:hint="eastAsia"/>
        </w:rPr>
        <w:t>,</w:t>
      </w:r>
      <w:r w:rsidRPr="00E84D9C">
        <w:rPr>
          <w:rFonts w:ascii="Times New Roman" w:hAnsi="Times New Roman" w:hint="eastAsia"/>
        </w:rPr>
        <w:t>且通道之间的变化应在±</w:t>
      </w:r>
      <w:r w:rsidRPr="00E84D9C">
        <w:rPr>
          <w:rFonts w:ascii="Times New Roman" w:hAnsi="Times New Roman" w:hint="eastAsia"/>
        </w:rPr>
        <w:t>20%</w:t>
      </w:r>
      <w:r w:rsidRPr="00E84D9C">
        <w:rPr>
          <w:rFonts w:ascii="Times New Roman" w:hAnsi="Times New Roman" w:hint="eastAsia"/>
        </w:rPr>
        <w:t>范围内</w:t>
      </w:r>
      <w:r w:rsidR="00FD3C65" w:rsidRPr="00D743EA">
        <w:rPr>
          <w:rFonts w:ascii="Times New Roman" w:hAnsi="Times New Roman"/>
        </w:rPr>
        <w:t>。</w:t>
      </w:r>
    </w:p>
    <w:p w:rsidR="00FD3C65" w:rsidRPr="00D743EA" w:rsidRDefault="00FD3C65" w:rsidP="00FD3C65">
      <w:pPr>
        <w:pStyle w:val="afff1"/>
        <w:rPr>
          <w:rFonts w:ascii="Times New Roman" w:hAnsi="Times New Roman"/>
        </w:rPr>
      </w:pPr>
      <w:r w:rsidRPr="00D743EA">
        <w:rPr>
          <w:rFonts w:ascii="Times New Roman" w:hAnsi="Times New Roman"/>
        </w:rPr>
        <w:t>4.2</w:t>
      </w:r>
      <w:r w:rsidR="004C4790" w:rsidRPr="004C4790">
        <w:rPr>
          <w:rFonts w:ascii="Times New Roman" w:hAnsi="Times New Roman" w:hint="eastAsia"/>
        </w:rPr>
        <w:t>延迟时间线性</w:t>
      </w:r>
    </w:p>
    <w:p w:rsidR="00FD3C65" w:rsidRPr="00D743EA" w:rsidRDefault="004C4790" w:rsidP="00FD3C65">
      <w:pPr>
        <w:pStyle w:val="afff1"/>
        <w:ind w:firstLineChars="400" w:firstLine="840"/>
        <w:rPr>
          <w:rFonts w:ascii="Times New Roman" w:hAnsi="Times New Roman"/>
        </w:rPr>
      </w:pPr>
      <w:r w:rsidRPr="004C4790">
        <w:rPr>
          <w:rFonts w:ascii="Times New Roman" w:hAnsi="Times New Roman" w:hint="eastAsia"/>
        </w:rPr>
        <w:t>小于制造商技术要求规定的最大延时时间的</w:t>
      </w:r>
      <w:r w:rsidRPr="004C4790">
        <w:rPr>
          <w:rFonts w:ascii="Times New Roman" w:hAnsi="Times New Roman" w:hint="eastAsia"/>
        </w:rPr>
        <w:t>1%</w:t>
      </w:r>
      <w:r w:rsidR="00FD3C65" w:rsidRPr="00D743EA">
        <w:rPr>
          <w:rFonts w:ascii="Times New Roman" w:hAnsi="Times New Roman"/>
        </w:rPr>
        <w:t>。</w:t>
      </w:r>
    </w:p>
    <w:p w:rsidR="00FD3C65" w:rsidRPr="00D743EA" w:rsidRDefault="00FD3C65" w:rsidP="00FD3C65">
      <w:pPr>
        <w:pStyle w:val="afff1"/>
        <w:rPr>
          <w:rFonts w:ascii="Times New Roman" w:hAnsi="Times New Roman"/>
        </w:rPr>
      </w:pPr>
      <w:r w:rsidRPr="00D743EA">
        <w:rPr>
          <w:rFonts w:ascii="Times New Roman" w:hAnsi="Times New Roman"/>
        </w:rPr>
        <w:t>4.3</w:t>
      </w:r>
      <w:r w:rsidR="001135C9" w:rsidRPr="001135C9">
        <w:rPr>
          <w:rFonts w:ascii="Times New Roman" w:hAnsi="Times New Roman" w:hint="eastAsia"/>
        </w:rPr>
        <w:t>频率响应</w:t>
      </w:r>
    </w:p>
    <w:p w:rsidR="00FD3C65" w:rsidRPr="00D743EA" w:rsidRDefault="001135C9" w:rsidP="00FD3C65">
      <w:pPr>
        <w:pStyle w:val="afff1"/>
        <w:ind w:firstLineChars="400" w:firstLine="840"/>
        <w:rPr>
          <w:rFonts w:ascii="Times New Roman" w:hAnsi="Times New Roman"/>
        </w:rPr>
      </w:pPr>
      <w:r w:rsidRPr="001135C9">
        <w:rPr>
          <w:rFonts w:ascii="Times New Roman" w:hAnsi="Times New Roman" w:hint="eastAsia"/>
        </w:rPr>
        <w:t>中心频率和带宽在制造商技术要求规定的±</w:t>
      </w:r>
      <w:r w:rsidRPr="001135C9">
        <w:rPr>
          <w:rFonts w:ascii="Times New Roman" w:hAnsi="Times New Roman" w:hint="eastAsia"/>
        </w:rPr>
        <w:t>10%</w:t>
      </w:r>
      <w:r w:rsidRPr="001135C9">
        <w:rPr>
          <w:rFonts w:ascii="Times New Roman" w:hAnsi="Times New Roman" w:hint="eastAsia"/>
        </w:rPr>
        <w:t>范围内</w:t>
      </w:r>
      <w:r w:rsidR="00FD3C65" w:rsidRPr="00D743EA">
        <w:rPr>
          <w:rFonts w:ascii="Times New Roman" w:hAnsi="Times New Roman"/>
        </w:rPr>
        <w:t>。</w:t>
      </w:r>
    </w:p>
    <w:p w:rsidR="00FD3C65" w:rsidRPr="00D743EA" w:rsidRDefault="00FD3C65" w:rsidP="00FD3C65">
      <w:pPr>
        <w:pStyle w:val="afff1"/>
        <w:rPr>
          <w:rFonts w:ascii="Times New Roman" w:hAnsi="Times New Roman"/>
        </w:rPr>
      </w:pPr>
      <w:r w:rsidRPr="00D743EA">
        <w:rPr>
          <w:rFonts w:ascii="Times New Roman" w:hAnsi="Times New Roman"/>
        </w:rPr>
        <w:t>4.4</w:t>
      </w:r>
      <w:r w:rsidR="00F75CBA" w:rsidRPr="00F75CBA">
        <w:rPr>
          <w:rFonts w:ascii="Times New Roman" w:hAnsi="Times New Roman" w:hint="eastAsia"/>
        </w:rPr>
        <w:t>等效输入噪声</w:t>
      </w:r>
    </w:p>
    <w:p w:rsidR="00FD3C65" w:rsidRPr="00D743EA" w:rsidRDefault="00F75CBA" w:rsidP="00FD3C65">
      <w:pPr>
        <w:pStyle w:val="afff1"/>
        <w:ind w:firstLineChars="400" w:firstLine="840"/>
        <w:rPr>
          <w:rFonts w:ascii="Times New Roman" w:hAnsi="Times New Roman"/>
        </w:rPr>
      </w:pPr>
      <w:r w:rsidRPr="00F75CBA">
        <w:rPr>
          <w:rFonts w:ascii="Times New Roman" w:hAnsi="Times New Roman" w:hint="eastAsia"/>
        </w:rPr>
        <w:t>小于制造商技术要求规定值</w:t>
      </w:r>
      <w:r w:rsidR="00FD3C65" w:rsidRPr="00D743EA">
        <w:rPr>
          <w:rFonts w:ascii="Times New Roman" w:hAnsi="Times New Roman"/>
        </w:rPr>
        <w:t>。</w:t>
      </w:r>
    </w:p>
    <w:p w:rsidR="00FD3C65" w:rsidRPr="00D743EA" w:rsidRDefault="00FD3C65" w:rsidP="00FD3C65">
      <w:pPr>
        <w:pStyle w:val="afff1"/>
        <w:rPr>
          <w:rFonts w:ascii="Times New Roman" w:hAnsi="Times New Roman"/>
        </w:rPr>
      </w:pPr>
      <w:r w:rsidRPr="00D743EA">
        <w:rPr>
          <w:rFonts w:ascii="Times New Roman" w:hAnsi="Times New Roman"/>
        </w:rPr>
        <w:lastRenderedPageBreak/>
        <w:t>4.5</w:t>
      </w:r>
      <w:r w:rsidR="003E6B09" w:rsidRPr="003E6B09">
        <w:rPr>
          <w:rFonts w:ascii="Times New Roman" w:hAnsi="Times New Roman" w:hint="eastAsia"/>
        </w:rPr>
        <w:t>增益线性</w:t>
      </w:r>
    </w:p>
    <w:p w:rsidR="003E6B09" w:rsidRPr="003E6B09" w:rsidRDefault="003E6B09" w:rsidP="003E6B09">
      <w:pPr>
        <w:pStyle w:val="afff1"/>
        <w:ind w:firstLineChars="400" w:firstLine="840"/>
        <w:rPr>
          <w:rFonts w:ascii="Times New Roman" w:hAnsi="Times New Roman"/>
        </w:rPr>
      </w:pPr>
      <w:r w:rsidRPr="003E6B09">
        <w:rPr>
          <w:rFonts w:ascii="Times New Roman" w:hAnsi="Times New Roman" w:hint="eastAsia"/>
        </w:rPr>
        <w:t>在制造商技术要求规定的整个增益范围内的任何连续</w:t>
      </w:r>
      <w:r w:rsidRPr="003E6B09">
        <w:rPr>
          <w:rFonts w:ascii="Times New Roman" w:hAnsi="Times New Roman" w:hint="eastAsia"/>
        </w:rPr>
        <w:t>1dB</w:t>
      </w:r>
      <w:r w:rsidRPr="003E6B09">
        <w:rPr>
          <w:rFonts w:ascii="Times New Roman" w:hAnsi="Times New Roman" w:hint="eastAsia"/>
        </w:rPr>
        <w:t>范围内</w:t>
      </w:r>
      <w:r w:rsidRPr="003E6B09">
        <w:rPr>
          <w:rFonts w:ascii="Times New Roman" w:hAnsi="Times New Roman" w:hint="eastAsia"/>
        </w:rPr>
        <w:t>,</w:t>
      </w:r>
      <w:r w:rsidRPr="003E6B09">
        <w:rPr>
          <w:rFonts w:ascii="Times New Roman" w:hAnsi="Times New Roman" w:hint="eastAsia"/>
        </w:rPr>
        <w:t>增益偏差应不超过</w:t>
      </w:r>
    </w:p>
    <w:p w:rsidR="003E6B09" w:rsidRPr="003E6B09" w:rsidRDefault="003E6B09" w:rsidP="003E6B09">
      <w:pPr>
        <w:pStyle w:val="afff1"/>
        <w:rPr>
          <w:rFonts w:ascii="Times New Roman" w:hAnsi="Times New Roman"/>
        </w:rPr>
      </w:pPr>
      <w:r w:rsidRPr="003E6B09">
        <w:rPr>
          <w:rFonts w:ascii="Times New Roman" w:hAnsi="Times New Roman" w:hint="eastAsia"/>
        </w:rPr>
        <w:t>±</w:t>
      </w:r>
      <w:r w:rsidRPr="003E6B09">
        <w:rPr>
          <w:rFonts w:ascii="Times New Roman" w:hAnsi="Times New Roman" w:hint="eastAsia"/>
        </w:rPr>
        <w:t>0.5 dB</w:t>
      </w:r>
      <w:r w:rsidRPr="003E6B09">
        <w:rPr>
          <w:rFonts w:ascii="Times New Roman" w:hAnsi="Times New Roman" w:hint="eastAsia"/>
        </w:rPr>
        <w:t>；</w:t>
      </w:r>
    </w:p>
    <w:p w:rsidR="003E6B09" w:rsidRPr="003E6B09" w:rsidRDefault="003E6B09" w:rsidP="003E6B09">
      <w:pPr>
        <w:pStyle w:val="afff1"/>
        <w:ind w:firstLineChars="400" w:firstLine="840"/>
        <w:rPr>
          <w:rFonts w:ascii="Times New Roman" w:hAnsi="Times New Roman"/>
        </w:rPr>
      </w:pPr>
      <w:r w:rsidRPr="003E6B09">
        <w:rPr>
          <w:rFonts w:ascii="Times New Roman" w:hAnsi="Times New Roman" w:hint="eastAsia"/>
        </w:rPr>
        <w:t>在制造商技术要求规定的整个增益范围内的任何连续</w:t>
      </w:r>
      <w:r w:rsidRPr="003E6B09">
        <w:rPr>
          <w:rFonts w:ascii="Times New Roman" w:hAnsi="Times New Roman" w:hint="eastAsia"/>
        </w:rPr>
        <w:t>20dB</w:t>
      </w:r>
      <w:r w:rsidRPr="003E6B09">
        <w:rPr>
          <w:rFonts w:ascii="Times New Roman" w:hAnsi="Times New Roman" w:hint="eastAsia"/>
        </w:rPr>
        <w:t>范围内，增益偏差应不超过</w:t>
      </w:r>
    </w:p>
    <w:p w:rsidR="003E6B09" w:rsidRPr="003E6B09" w:rsidRDefault="003E6B09" w:rsidP="003E6B09">
      <w:pPr>
        <w:pStyle w:val="afff1"/>
        <w:rPr>
          <w:rFonts w:ascii="Times New Roman" w:hAnsi="Times New Roman"/>
        </w:rPr>
      </w:pPr>
      <w:r w:rsidRPr="003E6B09">
        <w:rPr>
          <w:rFonts w:ascii="Times New Roman" w:hAnsi="Times New Roman" w:hint="eastAsia"/>
        </w:rPr>
        <w:t>±</w:t>
      </w:r>
      <w:r w:rsidRPr="003E6B09">
        <w:rPr>
          <w:rFonts w:ascii="Times New Roman" w:hAnsi="Times New Roman" w:hint="eastAsia"/>
        </w:rPr>
        <w:t>1 dB</w:t>
      </w:r>
      <w:r w:rsidRPr="003E6B09">
        <w:rPr>
          <w:rFonts w:ascii="Times New Roman" w:hAnsi="Times New Roman" w:hint="eastAsia"/>
        </w:rPr>
        <w:t>；</w:t>
      </w:r>
    </w:p>
    <w:p w:rsidR="00FD3C65" w:rsidRDefault="003E6B09" w:rsidP="003E6B09">
      <w:pPr>
        <w:pStyle w:val="afff1"/>
        <w:ind w:firstLineChars="400" w:firstLine="840"/>
        <w:rPr>
          <w:rFonts w:ascii="Times New Roman" w:hAnsi="Times New Roman"/>
        </w:rPr>
      </w:pPr>
      <w:r w:rsidRPr="003E6B09">
        <w:rPr>
          <w:rFonts w:ascii="Times New Roman" w:hAnsi="Times New Roman" w:hint="eastAsia"/>
        </w:rPr>
        <w:t>在制造商技术要求规定的增益范围内</w:t>
      </w:r>
      <w:r w:rsidRPr="003E6B09">
        <w:rPr>
          <w:rFonts w:ascii="Times New Roman" w:hAnsi="Times New Roman" w:hint="eastAsia"/>
        </w:rPr>
        <w:t>,</w:t>
      </w:r>
      <w:r w:rsidRPr="003E6B09">
        <w:rPr>
          <w:rFonts w:ascii="Times New Roman" w:hAnsi="Times New Roman" w:hint="eastAsia"/>
        </w:rPr>
        <w:t>增益偏差应不超过±</w:t>
      </w:r>
      <w:r w:rsidRPr="003E6B09">
        <w:rPr>
          <w:rFonts w:ascii="Times New Roman" w:hAnsi="Times New Roman" w:hint="eastAsia"/>
        </w:rPr>
        <w:t>2 dB</w:t>
      </w:r>
      <w:r w:rsidR="00FD3C65" w:rsidRPr="00D743EA">
        <w:rPr>
          <w:rFonts w:ascii="Times New Roman" w:hAnsi="Times New Roman"/>
        </w:rPr>
        <w:t>。</w:t>
      </w:r>
    </w:p>
    <w:p w:rsidR="00FD3C65" w:rsidRPr="00D743EA" w:rsidRDefault="00FD3C65" w:rsidP="00D660E5">
      <w:pPr>
        <w:pStyle w:val="afff1"/>
        <w:rPr>
          <w:rFonts w:ascii="Times New Roman" w:hAnsi="Times New Roman"/>
        </w:rPr>
      </w:pPr>
      <w:r w:rsidRPr="00D743EA">
        <w:rPr>
          <w:rFonts w:ascii="Times New Roman" w:hAnsi="Times New Roman"/>
        </w:rPr>
        <w:t>4.6</w:t>
      </w:r>
      <w:r w:rsidR="00400515" w:rsidRPr="00400515">
        <w:rPr>
          <w:rFonts w:ascii="Times New Roman" w:hAnsi="Times New Roman" w:hint="eastAsia"/>
        </w:rPr>
        <w:t>通道增益偏差</w:t>
      </w:r>
    </w:p>
    <w:p w:rsidR="00FD3C65" w:rsidRPr="00D743EA" w:rsidRDefault="00DE6053" w:rsidP="00FD3C65">
      <w:pPr>
        <w:pStyle w:val="afff1"/>
        <w:ind w:firstLineChars="400" w:firstLine="840"/>
        <w:rPr>
          <w:rFonts w:ascii="Times New Roman" w:hAnsi="Times New Roman"/>
        </w:rPr>
      </w:pPr>
      <w:r w:rsidRPr="00DE6053">
        <w:rPr>
          <w:rFonts w:ascii="Times New Roman" w:hAnsi="Times New Roman" w:hint="eastAsia"/>
        </w:rPr>
        <w:t>通道增益偏差应小于</w:t>
      </w:r>
      <w:r w:rsidRPr="00DE6053">
        <w:rPr>
          <w:rFonts w:ascii="Times New Roman" w:hAnsi="Times New Roman" w:hint="eastAsia"/>
        </w:rPr>
        <w:t>3dB</w:t>
      </w:r>
      <w:r w:rsidRPr="00DE6053">
        <w:rPr>
          <w:rFonts w:ascii="Times New Roman" w:hAnsi="Times New Roman" w:hint="eastAsia"/>
        </w:rPr>
        <w:t>。</w:t>
      </w:r>
    </w:p>
    <w:p w:rsidR="00FD3C65" w:rsidRPr="00D743EA" w:rsidRDefault="00FD3C65" w:rsidP="00FD3C65">
      <w:pPr>
        <w:pStyle w:val="afff1"/>
        <w:rPr>
          <w:rFonts w:ascii="Times New Roman" w:hAnsi="Times New Roman"/>
        </w:rPr>
      </w:pPr>
      <w:r w:rsidRPr="00D743EA">
        <w:rPr>
          <w:rFonts w:ascii="Times New Roman" w:hAnsi="Times New Roman"/>
        </w:rPr>
        <w:t>4.7</w:t>
      </w:r>
      <w:r w:rsidR="00613632" w:rsidRPr="00613632">
        <w:rPr>
          <w:rFonts w:ascii="Times New Roman" w:hAnsi="Times New Roman" w:hint="eastAsia"/>
        </w:rPr>
        <w:t>幅度线性</w:t>
      </w:r>
    </w:p>
    <w:p w:rsidR="00613632" w:rsidRDefault="00613632" w:rsidP="00613632">
      <w:pPr>
        <w:autoSpaceDE w:val="0"/>
        <w:autoSpaceDN w:val="0"/>
        <w:adjustRightInd w:val="0"/>
        <w:spacing w:line="360" w:lineRule="auto"/>
        <w:ind w:firstLineChars="200" w:firstLine="480"/>
        <w:rPr>
          <w:rFonts w:eastAsiaTheme="minorEastAsia"/>
          <w:kern w:val="0"/>
          <w:sz w:val="24"/>
        </w:rPr>
      </w:pPr>
      <w:r>
        <w:rPr>
          <w:rFonts w:eastAsiaTheme="minorEastAsia" w:hint="eastAsia"/>
          <w:kern w:val="0"/>
          <w:sz w:val="24"/>
        </w:rPr>
        <w:t>测得的信号幅度在允许范围内，允许范围见表</w:t>
      </w:r>
      <w:r>
        <w:rPr>
          <w:rFonts w:eastAsiaTheme="minorEastAsia" w:hint="eastAsia"/>
          <w:kern w:val="0"/>
          <w:sz w:val="24"/>
        </w:rPr>
        <w:t>1</w:t>
      </w:r>
      <w:r>
        <w:rPr>
          <w:rFonts w:eastAsiaTheme="minorEastAsia" w:hint="eastAsia"/>
          <w:kern w:val="0"/>
          <w:sz w:val="24"/>
        </w:rPr>
        <w:t>。</w:t>
      </w:r>
    </w:p>
    <w:p w:rsidR="00613632" w:rsidRDefault="00613632" w:rsidP="00613632">
      <w:pPr>
        <w:spacing w:line="360" w:lineRule="auto"/>
        <w:jc w:val="center"/>
        <w:rPr>
          <w:rFonts w:eastAsia="黑体"/>
          <w:kern w:val="0"/>
          <w:szCs w:val="21"/>
        </w:rPr>
      </w:pPr>
      <w:r>
        <w:rPr>
          <w:rFonts w:eastAsia="黑体" w:hint="eastAsia"/>
          <w:kern w:val="0"/>
          <w:szCs w:val="21"/>
        </w:rPr>
        <w:t>表</w:t>
      </w:r>
      <w:r>
        <w:rPr>
          <w:rFonts w:eastAsia="黑体" w:hint="eastAsia"/>
          <w:kern w:val="0"/>
          <w:szCs w:val="21"/>
        </w:rPr>
        <w:t xml:space="preserve">1 </w:t>
      </w:r>
      <w:r>
        <w:rPr>
          <w:rFonts w:eastAsia="黑体" w:hint="eastAsia"/>
          <w:kern w:val="0"/>
          <w:szCs w:val="21"/>
        </w:rPr>
        <w:t>幅度线性的验收指标</w:t>
      </w:r>
    </w:p>
    <w:tbl>
      <w:tblPr>
        <w:tblStyle w:val="aff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外部衰减器设定值</w:t>
            </w:r>
            <w:r>
              <w:rPr>
                <w:rFonts w:eastAsiaTheme="minorEastAsia" w:hint="eastAsia"/>
                <w:kern w:val="0"/>
                <w:szCs w:val="21"/>
              </w:rPr>
              <w:t>dB</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所显示信号幅度的目标值</w:t>
            </w:r>
            <w:r>
              <w:rPr>
                <w:rFonts w:eastAsiaTheme="minorEastAsia" w:hint="eastAsia"/>
                <w:kern w:val="0"/>
                <w:szCs w:val="21"/>
              </w:rPr>
              <w:t>/%</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验收指标</w:t>
            </w:r>
            <w:r>
              <w:rPr>
                <w:rFonts w:eastAsiaTheme="minorEastAsia" w:hint="eastAsia"/>
                <w:kern w:val="0"/>
                <w:szCs w:val="21"/>
              </w:rPr>
              <w:t>/%</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X-2</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100</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98~102</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X-1</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90</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88~92</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80</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基准</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X+2</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64</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62~66</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X+4</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50</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48~52</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X+6</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40</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38~42</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X+10</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25</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23~27</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X+12</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20</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18~22</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X+18</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10</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8~12</w:t>
            </w:r>
          </w:p>
        </w:tc>
      </w:tr>
      <w:tr w:rsidR="00613632" w:rsidTr="00F93A06">
        <w:trPr>
          <w:jc w:val="center"/>
        </w:trPr>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X+24</w:t>
            </w:r>
          </w:p>
        </w:tc>
        <w:tc>
          <w:tcPr>
            <w:tcW w:w="3190"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5</w:t>
            </w:r>
          </w:p>
        </w:tc>
        <w:tc>
          <w:tcPr>
            <w:tcW w:w="3191" w:type="dxa"/>
            <w:vAlign w:val="center"/>
          </w:tcPr>
          <w:p w:rsidR="00613632" w:rsidRDefault="00613632" w:rsidP="00F93A06">
            <w:pPr>
              <w:autoSpaceDE w:val="0"/>
              <w:autoSpaceDN w:val="0"/>
              <w:adjustRightInd w:val="0"/>
              <w:spacing w:line="360" w:lineRule="auto"/>
              <w:jc w:val="center"/>
              <w:rPr>
                <w:rFonts w:eastAsiaTheme="minorEastAsia"/>
                <w:kern w:val="0"/>
                <w:szCs w:val="21"/>
              </w:rPr>
            </w:pPr>
            <w:r>
              <w:rPr>
                <w:rFonts w:eastAsiaTheme="minorEastAsia" w:hint="eastAsia"/>
                <w:kern w:val="0"/>
                <w:szCs w:val="21"/>
              </w:rPr>
              <w:t>3~7</w:t>
            </w:r>
          </w:p>
        </w:tc>
      </w:tr>
    </w:tbl>
    <w:p w:rsidR="00613632" w:rsidRPr="00D743EA" w:rsidRDefault="00613632" w:rsidP="00613632">
      <w:pPr>
        <w:pStyle w:val="afff1"/>
        <w:rPr>
          <w:rFonts w:ascii="Times New Roman" w:hAnsi="Times New Roman"/>
        </w:rPr>
      </w:pPr>
      <w:r w:rsidRPr="00D743EA">
        <w:rPr>
          <w:rFonts w:ascii="Times New Roman" w:hAnsi="Times New Roman"/>
        </w:rPr>
        <w:t>4.</w:t>
      </w:r>
      <w:r>
        <w:rPr>
          <w:rFonts w:ascii="Times New Roman" w:hAnsi="Times New Roman" w:hint="eastAsia"/>
        </w:rPr>
        <w:t>8</w:t>
      </w:r>
      <w:r w:rsidRPr="00613632">
        <w:rPr>
          <w:rFonts w:ascii="Times New Roman" w:hAnsi="Times New Roman" w:hint="eastAsia"/>
        </w:rPr>
        <w:t>延迟时间线性</w:t>
      </w:r>
    </w:p>
    <w:p w:rsidR="00FD3C65" w:rsidRPr="00D743EA" w:rsidRDefault="00613632" w:rsidP="00FD3C65">
      <w:pPr>
        <w:pStyle w:val="afff1"/>
        <w:ind w:firstLineChars="400" w:firstLine="840"/>
        <w:rPr>
          <w:rFonts w:ascii="Times New Roman" w:hAnsi="Times New Roman"/>
        </w:rPr>
      </w:pPr>
      <w:r w:rsidRPr="00613632">
        <w:rPr>
          <w:rFonts w:ascii="Times New Roman" w:hAnsi="Times New Roman" w:hint="eastAsia"/>
        </w:rPr>
        <w:t>小于或等于制造商技术要求规定的相控阵超声检测</w:t>
      </w:r>
      <w:proofErr w:type="gramStart"/>
      <w:r w:rsidRPr="00613632">
        <w:rPr>
          <w:rFonts w:ascii="Times New Roman" w:hAnsi="Times New Roman" w:hint="eastAsia"/>
        </w:rPr>
        <w:t>仪最大</w:t>
      </w:r>
      <w:proofErr w:type="gramEnd"/>
      <w:r w:rsidRPr="00613632">
        <w:rPr>
          <w:rFonts w:ascii="Times New Roman" w:hAnsi="Times New Roman" w:hint="eastAsia"/>
        </w:rPr>
        <w:t>延迟时间的</w:t>
      </w:r>
      <w:r w:rsidRPr="00613632">
        <w:rPr>
          <w:rFonts w:ascii="Times New Roman" w:hAnsi="Times New Roman" w:hint="eastAsia"/>
        </w:rPr>
        <w:t>1%</w:t>
      </w:r>
      <w:r w:rsidRPr="00613632">
        <w:rPr>
          <w:rFonts w:ascii="Times New Roman" w:hAnsi="Times New Roman" w:hint="eastAsia"/>
        </w:rPr>
        <w:t>或时间分辨率。</w:t>
      </w:r>
    </w:p>
    <w:p w:rsidR="00A91553" w:rsidRPr="00D743EA" w:rsidRDefault="006320F5" w:rsidP="00FD3C65">
      <w:pPr>
        <w:pStyle w:val="afff1"/>
        <w:rPr>
          <w:rFonts w:ascii="Times New Roman" w:hAnsi="Times New Roman"/>
        </w:rPr>
      </w:pPr>
      <w:r w:rsidRPr="00D743EA">
        <w:rPr>
          <w:rFonts w:ascii="Times New Roman" w:hAnsi="Times New Roman"/>
        </w:rPr>
        <w:t xml:space="preserve">5 </w:t>
      </w:r>
      <w:r w:rsidRPr="00D743EA">
        <w:rPr>
          <w:rFonts w:ascii="Times New Roman" w:hAnsi="Times New Roman"/>
        </w:rPr>
        <w:t>校准条件</w:t>
      </w:r>
      <w:bookmarkStart w:id="48" w:name="_Toc193860183"/>
      <w:bookmarkStart w:id="49" w:name="_Toc500258942"/>
      <w:bookmarkStart w:id="50" w:name="_Toc193860033"/>
      <w:bookmarkStart w:id="51" w:name="_Toc193860214"/>
      <w:bookmarkEnd w:id="47"/>
    </w:p>
    <w:p w:rsidR="00A91553" w:rsidRPr="00D743EA" w:rsidRDefault="006320F5" w:rsidP="00FD3C65">
      <w:pPr>
        <w:pStyle w:val="afff1"/>
        <w:rPr>
          <w:rFonts w:ascii="Times New Roman" w:hAnsi="Times New Roman"/>
        </w:rPr>
      </w:pPr>
      <w:bookmarkStart w:id="52" w:name="_Toc193860216"/>
      <w:bookmarkStart w:id="53" w:name="_Toc193619058"/>
      <w:bookmarkStart w:id="54" w:name="_Toc193618955"/>
      <w:bookmarkStart w:id="55" w:name="_Toc193619100"/>
      <w:bookmarkStart w:id="56" w:name="_Toc2741_WPSOffice_Level1"/>
      <w:bookmarkStart w:id="57" w:name="_Toc500258944"/>
      <w:bookmarkStart w:id="58" w:name="_Toc193860035"/>
      <w:bookmarkStart w:id="59" w:name="_Toc193860185"/>
      <w:bookmarkEnd w:id="48"/>
      <w:bookmarkEnd w:id="49"/>
      <w:bookmarkEnd w:id="50"/>
      <w:bookmarkEnd w:id="51"/>
      <w:r w:rsidRPr="00D743EA">
        <w:rPr>
          <w:rFonts w:ascii="Times New Roman" w:hAnsi="Times New Roman"/>
        </w:rPr>
        <w:lastRenderedPageBreak/>
        <w:t>校准时的环境条件应满足以下要求：</w:t>
      </w:r>
    </w:p>
    <w:p w:rsidR="00A91553" w:rsidRDefault="009D0283" w:rsidP="00441D4A">
      <w:pPr>
        <w:pStyle w:val="afff1"/>
        <w:rPr>
          <w:rFonts w:ascii="Times New Roman" w:hAnsi="Times New Roman"/>
        </w:rPr>
      </w:pPr>
      <w:r w:rsidRPr="009D0283">
        <w:rPr>
          <w:rFonts w:ascii="Times New Roman" w:hAnsi="Times New Roman" w:hint="eastAsia"/>
        </w:rPr>
        <w:t>正常温湿度</w:t>
      </w:r>
      <w:r w:rsidR="00441D4A" w:rsidRPr="00441D4A">
        <w:rPr>
          <w:rFonts w:ascii="Times New Roman" w:hAnsi="Times New Roman" w:hint="eastAsia"/>
        </w:rPr>
        <w:t>。</w:t>
      </w:r>
    </w:p>
    <w:p w:rsidR="005924E7" w:rsidRDefault="005924E7" w:rsidP="005924E7">
      <w:pPr>
        <w:pStyle w:val="affe"/>
        <w:ind w:firstLine="420"/>
      </w:pPr>
      <w:r>
        <w:rPr>
          <w:rFonts w:hint="eastAsia"/>
        </w:rPr>
        <w:t>测量标准及设备应满足如下表</w:t>
      </w:r>
      <w:r w:rsidR="00A217C9">
        <w:rPr>
          <w:rFonts w:hint="eastAsia"/>
        </w:rPr>
        <w:t>2</w:t>
      </w:r>
      <w:r>
        <w:rPr>
          <w:rFonts w:hint="eastAsia"/>
        </w:rPr>
        <w:t>要求.</w:t>
      </w:r>
    </w:p>
    <w:p w:rsidR="0062664E" w:rsidRDefault="0062664E" w:rsidP="0062664E">
      <w:pPr>
        <w:jc w:val="center"/>
        <w:rPr>
          <w:rFonts w:eastAsia="黑体"/>
          <w:sz w:val="24"/>
        </w:rPr>
      </w:pPr>
      <w:r>
        <w:rPr>
          <w:rFonts w:eastAsia="黑体"/>
          <w:kern w:val="0"/>
          <w:szCs w:val="21"/>
        </w:rPr>
        <w:t>表</w:t>
      </w:r>
      <w:r w:rsidR="00A217C9">
        <w:rPr>
          <w:rFonts w:eastAsia="黑体" w:hint="eastAsia"/>
          <w:kern w:val="0"/>
          <w:szCs w:val="21"/>
        </w:rPr>
        <w:t>2</w:t>
      </w:r>
      <w:r>
        <w:rPr>
          <w:rFonts w:eastAsia="黑体"/>
          <w:kern w:val="0"/>
          <w:szCs w:val="21"/>
        </w:rPr>
        <w:t>校准设备</w:t>
      </w:r>
    </w:p>
    <w:tbl>
      <w:tblPr>
        <w:tblStyle w:val="af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505"/>
        <w:gridCol w:w="6045"/>
      </w:tblGrid>
      <w:tr w:rsidR="003711BF" w:rsidTr="00DE73DB">
        <w:tc>
          <w:tcPr>
            <w:tcW w:w="1021" w:type="dxa"/>
            <w:vAlign w:val="center"/>
          </w:tcPr>
          <w:p w:rsidR="003711BF" w:rsidRDefault="003711BF" w:rsidP="00F93A06">
            <w:pPr>
              <w:jc w:val="center"/>
              <w:rPr>
                <w:rFonts w:ascii="Calibri" w:eastAsiaTheme="minorEastAsia" w:hAnsi="Calibri"/>
                <w:szCs w:val="21"/>
              </w:rPr>
            </w:pPr>
            <w:r>
              <w:rPr>
                <w:rFonts w:ascii="Calibri" w:eastAsiaTheme="minorEastAsia" w:hAnsi="Calibri"/>
                <w:szCs w:val="21"/>
              </w:rPr>
              <w:t>序号</w:t>
            </w:r>
          </w:p>
        </w:tc>
        <w:tc>
          <w:tcPr>
            <w:tcW w:w="2505" w:type="dxa"/>
            <w:vAlign w:val="center"/>
          </w:tcPr>
          <w:p w:rsidR="003711BF" w:rsidRDefault="003711BF" w:rsidP="00F93A06">
            <w:pPr>
              <w:jc w:val="center"/>
              <w:rPr>
                <w:rFonts w:ascii="Calibri" w:eastAsiaTheme="minorEastAsia" w:hAnsi="Calibri"/>
                <w:szCs w:val="21"/>
              </w:rPr>
            </w:pPr>
            <w:r>
              <w:rPr>
                <w:rFonts w:ascii="Calibri" w:eastAsiaTheme="minorEastAsia" w:hAnsi="Calibri"/>
                <w:szCs w:val="21"/>
              </w:rPr>
              <w:t>测量标准及其他设备</w:t>
            </w:r>
          </w:p>
        </w:tc>
        <w:tc>
          <w:tcPr>
            <w:tcW w:w="6045" w:type="dxa"/>
            <w:vAlign w:val="center"/>
          </w:tcPr>
          <w:p w:rsidR="003711BF" w:rsidRDefault="003711BF" w:rsidP="00F93A06">
            <w:pPr>
              <w:jc w:val="center"/>
              <w:rPr>
                <w:rFonts w:ascii="Calibri" w:eastAsiaTheme="minorEastAsia" w:hAnsi="Calibri"/>
                <w:szCs w:val="21"/>
              </w:rPr>
            </w:pPr>
            <w:r>
              <w:rPr>
                <w:rFonts w:ascii="Calibri" w:eastAsiaTheme="minorEastAsia" w:hAnsi="Calibri"/>
                <w:szCs w:val="21"/>
              </w:rPr>
              <w:t>技术要求</w:t>
            </w:r>
          </w:p>
        </w:tc>
      </w:tr>
      <w:tr w:rsidR="003711BF" w:rsidTr="00DE73DB">
        <w:tc>
          <w:tcPr>
            <w:tcW w:w="1021" w:type="dxa"/>
            <w:vAlign w:val="center"/>
          </w:tcPr>
          <w:p w:rsidR="003711BF" w:rsidRDefault="003711BF" w:rsidP="00F93A06">
            <w:pPr>
              <w:jc w:val="center"/>
              <w:rPr>
                <w:rFonts w:ascii="Calibri" w:eastAsiaTheme="minorEastAsia" w:hAnsi="Calibri"/>
                <w:szCs w:val="21"/>
              </w:rPr>
            </w:pPr>
            <w:r>
              <w:rPr>
                <w:rFonts w:ascii="Calibri" w:eastAsiaTheme="minorEastAsia" w:hAnsi="Calibri" w:hint="eastAsia"/>
                <w:szCs w:val="21"/>
              </w:rPr>
              <w:t>1</w:t>
            </w:r>
          </w:p>
        </w:tc>
        <w:tc>
          <w:tcPr>
            <w:tcW w:w="2505" w:type="dxa"/>
            <w:vAlign w:val="center"/>
          </w:tcPr>
          <w:p w:rsidR="003711BF" w:rsidRDefault="003711BF" w:rsidP="00F93A06">
            <w:pPr>
              <w:jc w:val="center"/>
              <w:rPr>
                <w:rFonts w:ascii="Calibri" w:hAnsi="Calibri"/>
                <w:kern w:val="0"/>
                <w:szCs w:val="21"/>
              </w:rPr>
            </w:pPr>
            <w:r>
              <w:rPr>
                <w:rFonts w:ascii="Calibri" w:hAnsi="Calibri"/>
                <w:kern w:val="0"/>
                <w:szCs w:val="21"/>
              </w:rPr>
              <w:t>信号发生器</w:t>
            </w:r>
          </w:p>
        </w:tc>
        <w:tc>
          <w:tcPr>
            <w:tcW w:w="6045" w:type="dxa"/>
            <w:vAlign w:val="center"/>
          </w:tcPr>
          <w:p w:rsidR="003711BF" w:rsidRDefault="003711BF" w:rsidP="00F93A06">
            <w:pPr>
              <w:jc w:val="left"/>
              <w:rPr>
                <w:rFonts w:ascii="Calibri" w:hAnsi="Calibri"/>
                <w:kern w:val="0"/>
                <w:szCs w:val="21"/>
              </w:rPr>
            </w:pPr>
            <w:r>
              <w:rPr>
                <w:rFonts w:ascii="Calibri" w:hAnsi="Calibri" w:hint="eastAsia"/>
                <w:kern w:val="0"/>
                <w:szCs w:val="21"/>
              </w:rPr>
              <w:t>能够产生正弦波信号或正弦脉冲串信号。</w:t>
            </w:r>
          </w:p>
        </w:tc>
      </w:tr>
      <w:tr w:rsidR="003711BF" w:rsidTr="00DE73DB">
        <w:tc>
          <w:tcPr>
            <w:tcW w:w="1021" w:type="dxa"/>
            <w:vAlign w:val="center"/>
          </w:tcPr>
          <w:p w:rsidR="003711BF" w:rsidRDefault="003711BF" w:rsidP="00F93A06">
            <w:pPr>
              <w:jc w:val="center"/>
              <w:rPr>
                <w:rFonts w:ascii="Calibri" w:eastAsiaTheme="minorEastAsia" w:hAnsi="Calibri"/>
                <w:szCs w:val="21"/>
              </w:rPr>
            </w:pPr>
            <w:r>
              <w:rPr>
                <w:rFonts w:ascii="Calibri" w:eastAsiaTheme="minorEastAsia" w:hAnsi="Calibri"/>
                <w:szCs w:val="21"/>
              </w:rPr>
              <w:t>2</w:t>
            </w:r>
          </w:p>
        </w:tc>
        <w:tc>
          <w:tcPr>
            <w:tcW w:w="2505" w:type="dxa"/>
            <w:vAlign w:val="center"/>
          </w:tcPr>
          <w:p w:rsidR="003711BF" w:rsidRDefault="003711BF" w:rsidP="00F93A06">
            <w:pPr>
              <w:jc w:val="center"/>
              <w:rPr>
                <w:rFonts w:ascii="Calibri" w:hAnsi="Calibri"/>
                <w:kern w:val="0"/>
                <w:szCs w:val="21"/>
              </w:rPr>
            </w:pPr>
            <w:r>
              <w:rPr>
                <w:rFonts w:ascii="Calibri" w:hAnsi="Calibri"/>
                <w:kern w:val="0"/>
                <w:szCs w:val="21"/>
              </w:rPr>
              <w:t>数字存储示波器</w:t>
            </w:r>
          </w:p>
        </w:tc>
        <w:tc>
          <w:tcPr>
            <w:tcW w:w="6045" w:type="dxa"/>
            <w:vAlign w:val="center"/>
          </w:tcPr>
          <w:p w:rsidR="003711BF" w:rsidRDefault="003711BF" w:rsidP="00F93A06">
            <w:pPr>
              <w:jc w:val="left"/>
              <w:rPr>
                <w:rFonts w:ascii="Calibri" w:hAnsi="Calibri"/>
                <w:kern w:val="0"/>
                <w:szCs w:val="21"/>
              </w:rPr>
            </w:pPr>
            <w:r>
              <w:rPr>
                <w:rFonts w:ascii="Calibri" w:hAnsi="Calibri"/>
                <w:kern w:val="0"/>
                <w:szCs w:val="21"/>
              </w:rPr>
              <w:t>工作</w:t>
            </w:r>
            <w:r>
              <w:rPr>
                <w:rFonts w:ascii="Calibri" w:hAnsi="Calibri" w:hint="eastAsia"/>
                <w:kern w:val="0"/>
                <w:szCs w:val="21"/>
              </w:rPr>
              <w:t>带宽</w:t>
            </w:r>
            <w:r>
              <w:rPr>
                <w:rFonts w:ascii="Calibri" w:hAnsi="Calibri"/>
                <w:kern w:val="0"/>
                <w:szCs w:val="21"/>
              </w:rPr>
              <w:t>不低于</w:t>
            </w:r>
            <w:r>
              <w:rPr>
                <w:rFonts w:ascii="Calibri" w:hAnsi="Calibri"/>
                <w:kern w:val="0"/>
                <w:szCs w:val="21"/>
              </w:rPr>
              <w:t>100MHz</w:t>
            </w:r>
          </w:p>
        </w:tc>
      </w:tr>
      <w:tr w:rsidR="003711BF" w:rsidTr="00DE73DB">
        <w:tc>
          <w:tcPr>
            <w:tcW w:w="1021" w:type="dxa"/>
            <w:vAlign w:val="center"/>
          </w:tcPr>
          <w:p w:rsidR="003711BF" w:rsidRDefault="003711BF" w:rsidP="00F93A06">
            <w:pPr>
              <w:jc w:val="center"/>
              <w:rPr>
                <w:rFonts w:ascii="Calibri" w:eastAsiaTheme="minorEastAsia" w:hAnsi="Calibri"/>
                <w:szCs w:val="21"/>
              </w:rPr>
            </w:pPr>
            <w:r>
              <w:rPr>
                <w:rFonts w:ascii="Calibri" w:eastAsiaTheme="minorEastAsia" w:hAnsi="Calibri"/>
                <w:szCs w:val="21"/>
              </w:rPr>
              <w:t>3</w:t>
            </w:r>
          </w:p>
        </w:tc>
        <w:tc>
          <w:tcPr>
            <w:tcW w:w="2505" w:type="dxa"/>
            <w:vAlign w:val="center"/>
          </w:tcPr>
          <w:p w:rsidR="003711BF" w:rsidRDefault="003711BF" w:rsidP="00F93A06">
            <w:pPr>
              <w:jc w:val="center"/>
              <w:rPr>
                <w:rFonts w:ascii="Calibri" w:hAnsi="Calibri"/>
                <w:kern w:val="0"/>
                <w:szCs w:val="21"/>
              </w:rPr>
            </w:pPr>
            <w:r>
              <w:rPr>
                <w:rFonts w:ascii="Calibri" w:hAnsi="Calibri" w:hint="eastAsia"/>
                <w:kern w:val="0"/>
                <w:szCs w:val="21"/>
              </w:rPr>
              <w:t>无感电阻</w:t>
            </w:r>
          </w:p>
        </w:tc>
        <w:tc>
          <w:tcPr>
            <w:tcW w:w="6045" w:type="dxa"/>
            <w:vAlign w:val="center"/>
          </w:tcPr>
          <w:p w:rsidR="003711BF" w:rsidRDefault="003711BF" w:rsidP="00F93A06">
            <w:pPr>
              <w:jc w:val="left"/>
              <w:rPr>
                <w:rFonts w:ascii="Calibri" w:hAnsi="Calibri"/>
                <w:kern w:val="0"/>
                <w:szCs w:val="21"/>
              </w:rPr>
            </w:pPr>
            <w:r>
              <w:rPr>
                <w:rFonts w:ascii="Calibri" w:hAnsi="Calibri" w:hint="eastAsia"/>
                <w:kern w:val="0"/>
                <w:szCs w:val="21"/>
              </w:rPr>
              <w:t>阻</w:t>
            </w:r>
            <w:r>
              <w:rPr>
                <w:kern w:val="0"/>
                <w:szCs w:val="21"/>
              </w:rPr>
              <w:t>值为（</w:t>
            </w:r>
            <w:r>
              <w:rPr>
                <w:kern w:val="0"/>
                <w:szCs w:val="21"/>
              </w:rPr>
              <w:t>50±0.5</w:t>
            </w:r>
            <w:r>
              <w:rPr>
                <w:kern w:val="0"/>
                <w:szCs w:val="21"/>
              </w:rPr>
              <w:t>）</w:t>
            </w:r>
            <w:r>
              <w:rPr>
                <w:kern w:val="0"/>
                <w:szCs w:val="21"/>
              </w:rPr>
              <w:t>Ω</w:t>
            </w:r>
            <w:r>
              <w:rPr>
                <w:kern w:val="0"/>
                <w:szCs w:val="21"/>
              </w:rPr>
              <w:t>的无感电阻</w:t>
            </w:r>
            <w:r>
              <w:rPr>
                <w:rFonts w:ascii="Calibri" w:hAnsi="Calibri" w:hint="eastAsia"/>
                <w:kern w:val="0"/>
                <w:szCs w:val="21"/>
              </w:rPr>
              <w:t>。</w:t>
            </w:r>
          </w:p>
        </w:tc>
      </w:tr>
      <w:tr w:rsidR="003711BF" w:rsidTr="00DE73DB">
        <w:tc>
          <w:tcPr>
            <w:tcW w:w="1021" w:type="dxa"/>
            <w:vAlign w:val="center"/>
          </w:tcPr>
          <w:p w:rsidR="003711BF" w:rsidRDefault="003711BF" w:rsidP="00F93A06">
            <w:pPr>
              <w:jc w:val="center"/>
              <w:rPr>
                <w:rFonts w:ascii="Calibri" w:eastAsiaTheme="minorEastAsia" w:hAnsi="Calibri"/>
                <w:szCs w:val="21"/>
              </w:rPr>
            </w:pPr>
            <w:r>
              <w:rPr>
                <w:rFonts w:ascii="Calibri" w:eastAsiaTheme="minorEastAsia" w:hAnsi="Calibri"/>
                <w:szCs w:val="21"/>
              </w:rPr>
              <w:t>4</w:t>
            </w:r>
          </w:p>
        </w:tc>
        <w:tc>
          <w:tcPr>
            <w:tcW w:w="2505" w:type="dxa"/>
            <w:vAlign w:val="center"/>
          </w:tcPr>
          <w:p w:rsidR="003711BF" w:rsidRDefault="003711BF" w:rsidP="00F93A06">
            <w:pPr>
              <w:jc w:val="center"/>
              <w:rPr>
                <w:rFonts w:ascii="Calibri" w:hAnsi="Calibri"/>
                <w:kern w:val="0"/>
                <w:szCs w:val="21"/>
              </w:rPr>
            </w:pPr>
            <w:r>
              <w:rPr>
                <w:rFonts w:ascii="Calibri" w:hAnsi="Calibri" w:hint="eastAsia"/>
                <w:kern w:val="0"/>
                <w:szCs w:val="21"/>
              </w:rPr>
              <w:t>标准衰减器</w:t>
            </w:r>
          </w:p>
        </w:tc>
        <w:tc>
          <w:tcPr>
            <w:tcW w:w="6045" w:type="dxa"/>
            <w:vAlign w:val="center"/>
          </w:tcPr>
          <w:p w:rsidR="003711BF" w:rsidRDefault="003711BF" w:rsidP="00F93A06">
            <w:pPr>
              <w:jc w:val="left"/>
              <w:rPr>
                <w:rFonts w:ascii="Calibri" w:hAnsi="Calibri"/>
                <w:kern w:val="0"/>
                <w:szCs w:val="21"/>
              </w:rPr>
            </w:pPr>
            <w:r>
              <w:rPr>
                <w:kern w:val="0"/>
                <w:szCs w:val="21"/>
              </w:rPr>
              <w:t>步进</w:t>
            </w:r>
            <w:r>
              <w:rPr>
                <w:kern w:val="0"/>
                <w:szCs w:val="21"/>
              </w:rPr>
              <w:t>1dB</w:t>
            </w:r>
            <w:r>
              <w:rPr>
                <w:kern w:val="0"/>
                <w:szCs w:val="21"/>
              </w:rPr>
              <w:t>、总衰减量</w:t>
            </w:r>
            <w:r>
              <w:rPr>
                <w:kern w:val="0"/>
                <w:szCs w:val="21"/>
              </w:rPr>
              <w:t>100 dB</w:t>
            </w:r>
            <w:r>
              <w:rPr>
                <w:kern w:val="0"/>
                <w:szCs w:val="21"/>
              </w:rPr>
              <w:t>、</w:t>
            </w:r>
            <w:r>
              <w:rPr>
                <w:kern w:val="0"/>
                <w:szCs w:val="21"/>
              </w:rPr>
              <w:t>50Ω</w:t>
            </w:r>
            <w:r>
              <w:rPr>
                <w:kern w:val="0"/>
                <w:szCs w:val="21"/>
              </w:rPr>
              <w:t>的标准衰减器</w:t>
            </w:r>
            <w:r>
              <w:rPr>
                <w:kern w:val="0"/>
                <w:szCs w:val="21"/>
              </w:rPr>
              <w:t>,</w:t>
            </w:r>
            <w:r>
              <w:rPr>
                <w:kern w:val="0"/>
                <w:szCs w:val="21"/>
              </w:rPr>
              <w:t>当信号频率在</w:t>
            </w:r>
            <w:r>
              <w:rPr>
                <w:kern w:val="0"/>
                <w:szCs w:val="21"/>
              </w:rPr>
              <w:t>15MHz</w:t>
            </w:r>
            <w:r>
              <w:rPr>
                <w:kern w:val="0"/>
                <w:szCs w:val="21"/>
              </w:rPr>
              <w:t>以内时，该衰减器任意</w:t>
            </w:r>
            <w:r>
              <w:rPr>
                <w:kern w:val="0"/>
                <w:szCs w:val="21"/>
              </w:rPr>
              <w:t>10dB</w:t>
            </w:r>
            <w:r>
              <w:rPr>
                <w:kern w:val="0"/>
                <w:szCs w:val="21"/>
              </w:rPr>
              <w:t>范围的累积误差应小于</w:t>
            </w:r>
            <w:r>
              <w:rPr>
                <w:kern w:val="0"/>
                <w:szCs w:val="21"/>
              </w:rPr>
              <w:t>0.3 dB</w:t>
            </w:r>
          </w:p>
        </w:tc>
      </w:tr>
      <w:tr w:rsidR="003711BF" w:rsidTr="00DE73DB">
        <w:tc>
          <w:tcPr>
            <w:tcW w:w="1021" w:type="dxa"/>
            <w:vAlign w:val="center"/>
          </w:tcPr>
          <w:p w:rsidR="003711BF" w:rsidRDefault="003711BF" w:rsidP="00F93A06">
            <w:pPr>
              <w:jc w:val="center"/>
              <w:rPr>
                <w:rFonts w:ascii="Calibri" w:eastAsiaTheme="minorEastAsia" w:hAnsi="Calibri"/>
                <w:szCs w:val="21"/>
              </w:rPr>
            </w:pPr>
            <w:r>
              <w:rPr>
                <w:rFonts w:ascii="Calibri" w:eastAsiaTheme="minorEastAsia" w:hAnsi="Calibri"/>
                <w:szCs w:val="21"/>
              </w:rPr>
              <w:t>5</w:t>
            </w:r>
          </w:p>
        </w:tc>
        <w:tc>
          <w:tcPr>
            <w:tcW w:w="2505" w:type="dxa"/>
            <w:vAlign w:val="center"/>
          </w:tcPr>
          <w:p w:rsidR="003711BF" w:rsidRDefault="003711BF" w:rsidP="00F93A06">
            <w:pPr>
              <w:jc w:val="center"/>
              <w:rPr>
                <w:rFonts w:ascii="Calibri" w:eastAsiaTheme="minorEastAsia" w:hAnsi="Calibri"/>
                <w:szCs w:val="21"/>
              </w:rPr>
            </w:pPr>
            <w:r>
              <w:rPr>
                <w:rFonts w:ascii="Calibri" w:eastAsiaTheme="minorEastAsia" w:hAnsi="Calibri" w:hint="eastAsia"/>
                <w:szCs w:val="21"/>
              </w:rPr>
              <w:t>脉冲发生器</w:t>
            </w:r>
          </w:p>
        </w:tc>
        <w:tc>
          <w:tcPr>
            <w:tcW w:w="6045" w:type="dxa"/>
            <w:vAlign w:val="center"/>
          </w:tcPr>
          <w:p w:rsidR="003711BF" w:rsidRDefault="003711BF" w:rsidP="00F93A06">
            <w:pPr>
              <w:jc w:val="left"/>
              <w:rPr>
                <w:rFonts w:ascii="Calibri" w:eastAsiaTheme="minorEastAsia" w:hAnsi="Calibri"/>
                <w:szCs w:val="21"/>
              </w:rPr>
            </w:pPr>
            <w:r>
              <w:rPr>
                <w:rFonts w:ascii="Calibri" w:eastAsiaTheme="minorEastAsia" w:hAnsi="Calibri" w:hint="eastAsia"/>
                <w:szCs w:val="21"/>
              </w:rPr>
              <w:t>能够产生一个带延迟或不带延迟的触发脉冲</w:t>
            </w:r>
          </w:p>
        </w:tc>
      </w:tr>
    </w:tbl>
    <w:p w:rsidR="00A91553" w:rsidRPr="00D743EA" w:rsidRDefault="006320F5" w:rsidP="00FD3C65">
      <w:pPr>
        <w:pStyle w:val="afff1"/>
        <w:rPr>
          <w:rFonts w:ascii="Times New Roman" w:hAnsi="Times New Roman"/>
        </w:rPr>
      </w:pPr>
      <w:r w:rsidRPr="00D743EA">
        <w:rPr>
          <w:rFonts w:ascii="Times New Roman" w:hAnsi="Times New Roman"/>
        </w:rPr>
        <w:t xml:space="preserve">6 </w:t>
      </w:r>
      <w:r w:rsidRPr="00D743EA">
        <w:rPr>
          <w:rFonts w:ascii="Times New Roman" w:hAnsi="Times New Roman"/>
        </w:rPr>
        <w:t>校准项目和校准方法</w:t>
      </w:r>
      <w:bookmarkEnd w:id="52"/>
      <w:bookmarkEnd w:id="53"/>
      <w:bookmarkEnd w:id="54"/>
      <w:bookmarkEnd w:id="55"/>
      <w:bookmarkEnd w:id="56"/>
      <w:bookmarkEnd w:id="57"/>
      <w:bookmarkEnd w:id="58"/>
      <w:bookmarkEnd w:id="59"/>
    </w:p>
    <w:p w:rsidR="00AD5E7E" w:rsidRPr="00D743EA" w:rsidRDefault="00AD5E7E" w:rsidP="00AD5E7E">
      <w:pPr>
        <w:pStyle w:val="afff1"/>
        <w:rPr>
          <w:rFonts w:ascii="Times New Roman" w:hAnsi="Times New Roman"/>
        </w:rPr>
      </w:pPr>
      <w:bookmarkStart w:id="60" w:name="_Toc500258945"/>
      <w:bookmarkStart w:id="61" w:name="_Toc22718_WPSOffice_Level2"/>
      <w:r w:rsidRPr="00D743EA">
        <w:rPr>
          <w:rFonts w:ascii="Times New Roman" w:hAnsi="Times New Roman"/>
        </w:rPr>
        <w:t>6</w:t>
      </w:r>
      <w:r>
        <w:rPr>
          <w:rFonts w:ascii="Times New Roman" w:hAnsi="Times New Roman" w:hint="eastAsia"/>
        </w:rPr>
        <w:t>.1</w:t>
      </w:r>
      <w:r w:rsidRPr="00D743EA">
        <w:rPr>
          <w:rFonts w:ascii="Times New Roman" w:hAnsi="Times New Roman"/>
        </w:rPr>
        <w:t>校准项目</w:t>
      </w:r>
    </w:p>
    <w:p w:rsidR="00AD5E7E" w:rsidRDefault="008C16C8">
      <w:pPr>
        <w:spacing w:line="360" w:lineRule="auto"/>
        <w:ind w:firstLineChars="200" w:firstLine="420"/>
        <w:rPr>
          <w:kern w:val="0"/>
          <w:szCs w:val="21"/>
        </w:rPr>
      </w:pPr>
      <w:r w:rsidRPr="008C16C8">
        <w:rPr>
          <w:rFonts w:hint="eastAsia"/>
          <w:kern w:val="0"/>
          <w:szCs w:val="21"/>
        </w:rPr>
        <w:t>校准项目见表</w:t>
      </w:r>
      <w:r w:rsidR="002618A8">
        <w:rPr>
          <w:rFonts w:hint="eastAsia"/>
          <w:kern w:val="0"/>
          <w:szCs w:val="21"/>
        </w:rPr>
        <w:t>3</w:t>
      </w:r>
      <w:r>
        <w:rPr>
          <w:rFonts w:hint="eastAsia"/>
          <w:kern w:val="0"/>
          <w:szCs w:val="21"/>
        </w:rPr>
        <w:t>。</w:t>
      </w:r>
    </w:p>
    <w:p w:rsidR="000C794F" w:rsidRDefault="000C794F" w:rsidP="000C794F">
      <w:pPr>
        <w:jc w:val="center"/>
      </w:pPr>
      <w:r>
        <w:t>表</w:t>
      </w:r>
      <w:r w:rsidR="002618A8">
        <w:rPr>
          <w:rFonts w:hint="eastAsia"/>
        </w:rPr>
        <w:t>3</w:t>
      </w:r>
      <w:r w:rsidR="0016112D" w:rsidRPr="0016112D">
        <w:rPr>
          <w:rFonts w:hint="eastAsia"/>
        </w:rPr>
        <w:t>相控阵超声探伤仪</w:t>
      </w:r>
      <w:r>
        <w:t>校准项目一览表</w:t>
      </w:r>
    </w:p>
    <w:tbl>
      <w:tblPr>
        <w:tblStyle w:val="aff7"/>
        <w:tblW w:w="0" w:type="auto"/>
        <w:jc w:val="center"/>
        <w:tblLook w:val="04A0" w:firstRow="1" w:lastRow="0" w:firstColumn="1" w:lastColumn="0" w:noHBand="0" w:noVBand="1"/>
      </w:tblPr>
      <w:tblGrid>
        <w:gridCol w:w="4785"/>
        <w:gridCol w:w="4786"/>
      </w:tblGrid>
      <w:tr w:rsidR="000C794F" w:rsidTr="00DE73DB">
        <w:trPr>
          <w:jc w:val="center"/>
        </w:trPr>
        <w:tc>
          <w:tcPr>
            <w:tcW w:w="4785" w:type="dxa"/>
            <w:vAlign w:val="center"/>
          </w:tcPr>
          <w:p w:rsidR="000C794F" w:rsidRDefault="000C794F" w:rsidP="00DE73DB">
            <w:pPr>
              <w:jc w:val="center"/>
            </w:pPr>
            <w:r>
              <w:t>序号</w:t>
            </w:r>
          </w:p>
        </w:tc>
        <w:tc>
          <w:tcPr>
            <w:tcW w:w="4786" w:type="dxa"/>
            <w:vAlign w:val="center"/>
          </w:tcPr>
          <w:p w:rsidR="000C794F" w:rsidRDefault="000C794F" w:rsidP="00DE73DB">
            <w:pPr>
              <w:jc w:val="center"/>
            </w:pPr>
            <w:r>
              <w:t>项目名称</w:t>
            </w:r>
          </w:p>
        </w:tc>
      </w:tr>
      <w:tr w:rsidR="00B943DA" w:rsidTr="00DE73DB">
        <w:trPr>
          <w:jc w:val="center"/>
        </w:trPr>
        <w:tc>
          <w:tcPr>
            <w:tcW w:w="4785" w:type="dxa"/>
            <w:vAlign w:val="center"/>
          </w:tcPr>
          <w:p w:rsidR="00B943DA" w:rsidRDefault="00B943DA" w:rsidP="00DE73DB">
            <w:pPr>
              <w:jc w:val="center"/>
            </w:pPr>
            <w:r>
              <w:t>1</w:t>
            </w:r>
          </w:p>
        </w:tc>
        <w:tc>
          <w:tcPr>
            <w:tcW w:w="4786" w:type="dxa"/>
            <w:vAlign w:val="center"/>
          </w:tcPr>
          <w:p w:rsidR="00B943DA" w:rsidRDefault="00B943DA" w:rsidP="00F93A06">
            <w:pPr>
              <w:jc w:val="center"/>
              <w:rPr>
                <w:rFonts w:ascii="Calibri" w:hAnsi="Calibri"/>
              </w:rPr>
            </w:pPr>
            <w:r>
              <w:rPr>
                <w:rFonts w:ascii="Calibri" w:hAnsi="Calibri" w:hint="eastAsia"/>
              </w:rPr>
              <w:t>发射脉冲电压、上升时间和脉冲宽度</w:t>
            </w:r>
          </w:p>
        </w:tc>
      </w:tr>
      <w:tr w:rsidR="00B943DA" w:rsidTr="00DE73DB">
        <w:trPr>
          <w:jc w:val="center"/>
        </w:trPr>
        <w:tc>
          <w:tcPr>
            <w:tcW w:w="4785" w:type="dxa"/>
            <w:vAlign w:val="center"/>
          </w:tcPr>
          <w:p w:rsidR="00B943DA" w:rsidRDefault="00B943DA" w:rsidP="00DE73DB">
            <w:pPr>
              <w:jc w:val="center"/>
            </w:pPr>
            <w:r>
              <w:t>2</w:t>
            </w:r>
          </w:p>
        </w:tc>
        <w:tc>
          <w:tcPr>
            <w:tcW w:w="4786" w:type="dxa"/>
            <w:vAlign w:val="center"/>
          </w:tcPr>
          <w:p w:rsidR="00B943DA" w:rsidRDefault="00B943DA" w:rsidP="00F93A06">
            <w:pPr>
              <w:jc w:val="center"/>
              <w:rPr>
                <w:rFonts w:ascii="Calibri" w:hAnsi="Calibri"/>
              </w:rPr>
            </w:pPr>
            <w:r>
              <w:rPr>
                <w:rFonts w:ascii="Calibri" w:hAnsi="Calibri" w:hint="eastAsia"/>
              </w:rPr>
              <w:t>延迟时间线性</w:t>
            </w:r>
          </w:p>
        </w:tc>
      </w:tr>
      <w:tr w:rsidR="00B943DA" w:rsidTr="00DE73DB">
        <w:trPr>
          <w:jc w:val="center"/>
        </w:trPr>
        <w:tc>
          <w:tcPr>
            <w:tcW w:w="4785" w:type="dxa"/>
            <w:vAlign w:val="center"/>
          </w:tcPr>
          <w:p w:rsidR="00B943DA" w:rsidRDefault="00B943DA" w:rsidP="00DE73DB">
            <w:pPr>
              <w:jc w:val="center"/>
            </w:pPr>
            <w:r>
              <w:t>3</w:t>
            </w:r>
          </w:p>
        </w:tc>
        <w:tc>
          <w:tcPr>
            <w:tcW w:w="4786" w:type="dxa"/>
            <w:vAlign w:val="center"/>
          </w:tcPr>
          <w:p w:rsidR="00B943DA" w:rsidRDefault="00B943DA" w:rsidP="00F93A06">
            <w:pPr>
              <w:jc w:val="center"/>
              <w:rPr>
                <w:rFonts w:ascii="Calibri" w:hAnsi="Calibri"/>
              </w:rPr>
            </w:pPr>
            <w:r>
              <w:rPr>
                <w:rFonts w:ascii="Calibri" w:hAnsi="Calibri" w:hint="eastAsia"/>
              </w:rPr>
              <w:t>频率响应</w:t>
            </w:r>
          </w:p>
        </w:tc>
      </w:tr>
      <w:tr w:rsidR="00B943DA" w:rsidTr="00DE73DB">
        <w:trPr>
          <w:jc w:val="center"/>
        </w:trPr>
        <w:tc>
          <w:tcPr>
            <w:tcW w:w="4785" w:type="dxa"/>
            <w:vAlign w:val="center"/>
          </w:tcPr>
          <w:p w:rsidR="00B943DA" w:rsidRDefault="00B943DA" w:rsidP="00DE73DB">
            <w:pPr>
              <w:jc w:val="center"/>
            </w:pPr>
            <w:r>
              <w:t>4</w:t>
            </w:r>
          </w:p>
        </w:tc>
        <w:tc>
          <w:tcPr>
            <w:tcW w:w="4786" w:type="dxa"/>
            <w:vAlign w:val="center"/>
          </w:tcPr>
          <w:p w:rsidR="00B943DA" w:rsidRDefault="00B943DA" w:rsidP="00F93A06">
            <w:pPr>
              <w:jc w:val="center"/>
              <w:rPr>
                <w:rFonts w:ascii="Calibri" w:hAnsi="Calibri"/>
              </w:rPr>
            </w:pPr>
            <w:r>
              <w:rPr>
                <w:rFonts w:ascii="Calibri" w:hAnsi="Calibri" w:hint="eastAsia"/>
              </w:rPr>
              <w:t>等效输入噪声</w:t>
            </w:r>
          </w:p>
        </w:tc>
      </w:tr>
      <w:tr w:rsidR="00B943DA" w:rsidTr="00DE73DB">
        <w:trPr>
          <w:jc w:val="center"/>
        </w:trPr>
        <w:tc>
          <w:tcPr>
            <w:tcW w:w="4785" w:type="dxa"/>
            <w:vAlign w:val="center"/>
          </w:tcPr>
          <w:p w:rsidR="00B943DA" w:rsidRDefault="00B943DA" w:rsidP="00DE73DB">
            <w:pPr>
              <w:jc w:val="center"/>
            </w:pPr>
            <w:r>
              <w:t>5</w:t>
            </w:r>
          </w:p>
        </w:tc>
        <w:tc>
          <w:tcPr>
            <w:tcW w:w="4786" w:type="dxa"/>
            <w:vAlign w:val="center"/>
          </w:tcPr>
          <w:p w:rsidR="00B943DA" w:rsidRDefault="00B943DA" w:rsidP="00F93A06">
            <w:pPr>
              <w:jc w:val="center"/>
              <w:rPr>
                <w:rFonts w:ascii="Calibri" w:hAnsi="Calibri"/>
              </w:rPr>
            </w:pPr>
            <w:r>
              <w:rPr>
                <w:rFonts w:ascii="Calibri" w:hAnsi="Calibri" w:hint="eastAsia"/>
              </w:rPr>
              <w:t>增益线性</w:t>
            </w:r>
          </w:p>
        </w:tc>
      </w:tr>
      <w:tr w:rsidR="00B943DA" w:rsidTr="00DE73DB">
        <w:trPr>
          <w:jc w:val="center"/>
        </w:trPr>
        <w:tc>
          <w:tcPr>
            <w:tcW w:w="4785" w:type="dxa"/>
            <w:vAlign w:val="center"/>
          </w:tcPr>
          <w:p w:rsidR="00B943DA" w:rsidRDefault="00B943DA" w:rsidP="00DE73DB">
            <w:pPr>
              <w:jc w:val="center"/>
            </w:pPr>
            <w:r>
              <w:t>6</w:t>
            </w:r>
          </w:p>
        </w:tc>
        <w:tc>
          <w:tcPr>
            <w:tcW w:w="4786" w:type="dxa"/>
            <w:vAlign w:val="center"/>
          </w:tcPr>
          <w:p w:rsidR="00B943DA" w:rsidRDefault="00B943DA" w:rsidP="00F93A06">
            <w:pPr>
              <w:jc w:val="center"/>
              <w:rPr>
                <w:rFonts w:ascii="Calibri" w:hAnsi="Calibri"/>
              </w:rPr>
            </w:pPr>
            <w:r>
              <w:rPr>
                <w:rFonts w:ascii="Calibri" w:hAnsi="Calibri" w:hint="eastAsia"/>
              </w:rPr>
              <w:t>通道增益偏差</w:t>
            </w:r>
          </w:p>
        </w:tc>
      </w:tr>
      <w:tr w:rsidR="00B943DA" w:rsidTr="00DE73DB">
        <w:trPr>
          <w:jc w:val="center"/>
        </w:trPr>
        <w:tc>
          <w:tcPr>
            <w:tcW w:w="4785" w:type="dxa"/>
            <w:vAlign w:val="center"/>
          </w:tcPr>
          <w:p w:rsidR="00B943DA" w:rsidRDefault="00B943DA" w:rsidP="00DE73DB">
            <w:pPr>
              <w:jc w:val="center"/>
            </w:pPr>
            <w:r>
              <w:t>7</w:t>
            </w:r>
          </w:p>
        </w:tc>
        <w:tc>
          <w:tcPr>
            <w:tcW w:w="4786" w:type="dxa"/>
            <w:vAlign w:val="center"/>
          </w:tcPr>
          <w:p w:rsidR="00B943DA" w:rsidRDefault="00B943DA" w:rsidP="00F93A06">
            <w:pPr>
              <w:jc w:val="center"/>
              <w:rPr>
                <w:rFonts w:ascii="Calibri" w:hAnsi="Calibri"/>
              </w:rPr>
            </w:pPr>
            <w:r>
              <w:rPr>
                <w:rFonts w:ascii="Calibri" w:hAnsi="Calibri" w:hint="eastAsia"/>
              </w:rPr>
              <w:t>幅度线性</w:t>
            </w:r>
          </w:p>
        </w:tc>
      </w:tr>
      <w:tr w:rsidR="00B943DA" w:rsidTr="00DE73DB">
        <w:trPr>
          <w:jc w:val="center"/>
        </w:trPr>
        <w:tc>
          <w:tcPr>
            <w:tcW w:w="4785" w:type="dxa"/>
            <w:vAlign w:val="center"/>
          </w:tcPr>
          <w:p w:rsidR="00B943DA" w:rsidRDefault="00B943DA" w:rsidP="00DE73DB">
            <w:pPr>
              <w:jc w:val="center"/>
            </w:pPr>
            <w:r>
              <w:rPr>
                <w:rFonts w:hint="eastAsia"/>
              </w:rPr>
              <w:t>8</w:t>
            </w:r>
          </w:p>
        </w:tc>
        <w:tc>
          <w:tcPr>
            <w:tcW w:w="4786" w:type="dxa"/>
            <w:vAlign w:val="center"/>
          </w:tcPr>
          <w:p w:rsidR="00B943DA" w:rsidRDefault="00B943DA" w:rsidP="00F93A06">
            <w:pPr>
              <w:jc w:val="center"/>
              <w:rPr>
                <w:rFonts w:ascii="Calibri" w:hAnsi="Calibri"/>
              </w:rPr>
            </w:pPr>
            <w:r>
              <w:rPr>
                <w:rFonts w:ascii="Calibri" w:hAnsi="Calibri" w:hint="eastAsia"/>
              </w:rPr>
              <w:t>延迟时间线性</w:t>
            </w:r>
          </w:p>
        </w:tc>
      </w:tr>
    </w:tbl>
    <w:p w:rsidR="000C794F" w:rsidRPr="00D743EA" w:rsidRDefault="000C794F" w:rsidP="000C794F">
      <w:pPr>
        <w:pStyle w:val="afff1"/>
        <w:rPr>
          <w:rFonts w:ascii="Times New Roman" w:hAnsi="Times New Roman"/>
        </w:rPr>
      </w:pPr>
      <w:r w:rsidRPr="00D743EA">
        <w:rPr>
          <w:rFonts w:ascii="Times New Roman" w:hAnsi="Times New Roman"/>
        </w:rPr>
        <w:t>6</w:t>
      </w:r>
      <w:r>
        <w:rPr>
          <w:rFonts w:ascii="Times New Roman" w:hAnsi="Times New Roman" w:hint="eastAsia"/>
        </w:rPr>
        <w:t>.2</w:t>
      </w:r>
      <w:r>
        <w:rPr>
          <w:rFonts w:ascii="Times New Roman" w:hAnsi="Times New Roman"/>
        </w:rPr>
        <w:t>校准方法</w:t>
      </w:r>
    </w:p>
    <w:p w:rsidR="00B51F09" w:rsidRPr="00FA7FB2" w:rsidRDefault="00B51F09" w:rsidP="00FA7FB2">
      <w:pPr>
        <w:rPr>
          <w:bCs/>
          <w:sz w:val="24"/>
          <w:szCs w:val="32"/>
        </w:rPr>
      </w:pPr>
      <w:bookmarkStart w:id="62" w:name="_Toc3937"/>
      <w:bookmarkStart w:id="63" w:name="_Toc11209"/>
      <w:r w:rsidRPr="00FA7FB2">
        <w:rPr>
          <w:bCs/>
          <w:sz w:val="24"/>
          <w:szCs w:val="32"/>
        </w:rPr>
        <w:t>6.2.1</w:t>
      </w:r>
      <w:r w:rsidRPr="00FA7FB2">
        <w:rPr>
          <w:bCs/>
          <w:sz w:val="24"/>
          <w:szCs w:val="32"/>
        </w:rPr>
        <w:t>校准前检查</w:t>
      </w:r>
      <w:bookmarkEnd w:id="62"/>
      <w:bookmarkEnd w:id="63"/>
    </w:p>
    <w:p w:rsidR="00B51F09" w:rsidRDefault="00B51F09" w:rsidP="00B51F09">
      <w:pPr>
        <w:spacing w:line="360" w:lineRule="auto"/>
        <w:ind w:firstLine="420"/>
        <w:jc w:val="left"/>
        <w:rPr>
          <w:rFonts w:eastAsiaTheme="minorEastAsia"/>
          <w:sz w:val="24"/>
        </w:rPr>
      </w:pPr>
      <w:r>
        <w:rPr>
          <w:rFonts w:eastAsiaTheme="minorEastAsia" w:hint="eastAsia"/>
          <w:sz w:val="24"/>
        </w:rPr>
        <w:t>目测相控阵超声检测仪的外观，检查是否存在影响当前正常工作或未来可靠性的外部损伤。</w:t>
      </w:r>
    </w:p>
    <w:p w:rsidR="00B51F09" w:rsidRPr="00FA7FB2" w:rsidRDefault="00B51F09" w:rsidP="00FA7FB2">
      <w:pPr>
        <w:rPr>
          <w:bCs/>
          <w:sz w:val="24"/>
          <w:szCs w:val="32"/>
        </w:rPr>
      </w:pPr>
      <w:bookmarkStart w:id="64" w:name="_Toc11174"/>
      <w:bookmarkStart w:id="65" w:name="_Toc25210"/>
      <w:r w:rsidRPr="00FA7FB2">
        <w:rPr>
          <w:bCs/>
          <w:sz w:val="24"/>
          <w:szCs w:val="32"/>
        </w:rPr>
        <w:t>6.2.2</w:t>
      </w:r>
      <w:bookmarkEnd w:id="64"/>
      <w:r w:rsidRPr="00FA7FB2">
        <w:rPr>
          <w:rFonts w:hint="eastAsia"/>
          <w:bCs/>
          <w:sz w:val="24"/>
          <w:szCs w:val="32"/>
        </w:rPr>
        <w:t>发射脉冲电压、上升时间和脉冲宽度</w:t>
      </w:r>
      <w:bookmarkEnd w:id="65"/>
    </w:p>
    <w:p w:rsidR="00B51F09" w:rsidRDefault="00B51F09" w:rsidP="00B51F09">
      <w:pPr>
        <w:spacing w:line="360" w:lineRule="auto"/>
        <w:ind w:firstLineChars="200" w:firstLine="480"/>
        <w:rPr>
          <w:sz w:val="24"/>
        </w:rPr>
      </w:pPr>
      <w:r>
        <w:rPr>
          <w:rFonts w:hint="eastAsia"/>
          <w:sz w:val="24"/>
          <w:lang w:bidi="ar"/>
        </w:rPr>
        <w:t>将相控阵仪器，转换板卡和示波器采用线缆进行连接，测量电压幅度从</w:t>
      </w:r>
      <w:r>
        <w:rPr>
          <w:sz w:val="24"/>
          <w:lang w:bidi="ar"/>
        </w:rPr>
        <w:t>10%</w:t>
      </w:r>
      <w:r>
        <w:rPr>
          <w:rFonts w:hint="eastAsia"/>
          <w:sz w:val="24"/>
          <w:lang w:bidi="ar"/>
        </w:rPr>
        <w:t>到</w:t>
      </w:r>
      <w:r>
        <w:rPr>
          <w:sz w:val="24"/>
          <w:lang w:bidi="ar"/>
        </w:rPr>
        <w:t>90%</w:t>
      </w:r>
      <w:r>
        <w:rPr>
          <w:rFonts w:hint="eastAsia"/>
          <w:sz w:val="24"/>
          <w:lang w:bidi="ar"/>
        </w:rPr>
        <w:t>的脉冲上升时间，如图</w:t>
      </w:r>
      <w:r>
        <w:rPr>
          <w:rFonts w:hint="eastAsia"/>
          <w:sz w:val="24"/>
          <w:lang w:bidi="ar"/>
        </w:rPr>
        <w:t>1</w:t>
      </w:r>
      <w:r>
        <w:rPr>
          <w:rFonts w:hint="eastAsia"/>
          <w:sz w:val="24"/>
          <w:lang w:bidi="ar"/>
        </w:rPr>
        <w:t>所示，幅度在</w:t>
      </w:r>
      <w:r>
        <w:rPr>
          <w:sz w:val="24"/>
          <w:lang w:bidi="ar"/>
        </w:rPr>
        <w:t>50%</w:t>
      </w:r>
      <w:r>
        <w:rPr>
          <w:rFonts w:hint="eastAsia"/>
          <w:sz w:val="24"/>
          <w:lang w:bidi="ar"/>
        </w:rPr>
        <w:t>时的脉冲宽度，发射脉冲电压。</w:t>
      </w:r>
    </w:p>
    <w:p w:rsidR="00B51F09" w:rsidRDefault="00B51F09" w:rsidP="00B51F09">
      <w:pPr>
        <w:spacing w:line="360" w:lineRule="auto"/>
        <w:jc w:val="center"/>
        <w:rPr>
          <w:szCs w:val="21"/>
        </w:rPr>
      </w:pPr>
      <w:r>
        <w:rPr>
          <w:rFonts w:ascii="Calibri" w:hAnsi="Calibri"/>
          <w:noProof/>
          <w:szCs w:val="22"/>
        </w:rPr>
        <w:lastRenderedPageBreak/>
        <w:drawing>
          <wp:inline distT="0" distB="0" distL="114300" distR="114300" wp14:anchorId="4FBCD0F7" wp14:editId="19A96302">
            <wp:extent cx="3778885" cy="2785110"/>
            <wp:effectExtent l="0" t="0" r="12065" b="152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3778885" cy="2785110"/>
                    </a:xfrm>
                    <a:prstGeom prst="rect">
                      <a:avLst/>
                    </a:prstGeom>
                    <a:noFill/>
                    <a:ln>
                      <a:noFill/>
                    </a:ln>
                  </pic:spPr>
                </pic:pic>
              </a:graphicData>
            </a:graphic>
          </wp:inline>
        </w:drawing>
      </w:r>
      <w:r>
        <w:rPr>
          <w:rFonts w:ascii="Calibri" w:hAnsi="Calibri"/>
          <w:noProof/>
          <w:szCs w:val="22"/>
        </w:rPr>
        <w:drawing>
          <wp:inline distT="0" distB="0" distL="114300" distR="114300" wp14:anchorId="124814F4" wp14:editId="72588438">
            <wp:extent cx="4319270" cy="2797810"/>
            <wp:effectExtent l="0" t="0" r="5080" b="254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5"/>
                    <a:stretch>
                      <a:fillRect/>
                    </a:stretch>
                  </pic:blipFill>
                  <pic:spPr>
                    <a:xfrm>
                      <a:off x="0" y="0"/>
                      <a:ext cx="4319270" cy="2797810"/>
                    </a:xfrm>
                    <a:prstGeom prst="rect">
                      <a:avLst/>
                    </a:prstGeom>
                    <a:noFill/>
                    <a:ln>
                      <a:noFill/>
                    </a:ln>
                  </pic:spPr>
                </pic:pic>
              </a:graphicData>
            </a:graphic>
          </wp:inline>
        </w:drawing>
      </w:r>
    </w:p>
    <w:p w:rsidR="00B51F09" w:rsidRDefault="00B51F09" w:rsidP="00B51F09">
      <w:pPr>
        <w:autoSpaceDE w:val="0"/>
        <w:autoSpaceDN w:val="0"/>
        <w:spacing w:line="360" w:lineRule="auto"/>
        <w:ind w:firstLineChars="200" w:firstLine="480"/>
        <w:jc w:val="center"/>
        <w:rPr>
          <w:rFonts w:eastAsiaTheme="minorEastAsia"/>
          <w:kern w:val="0"/>
          <w:sz w:val="24"/>
        </w:rPr>
      </w:pPr>
      <w:r>
        <w:rPr>
          <w:rFonts w:eastAsiaTheme="minorEastAsia" w:hint="eastAsia"/>
          <w:kern w:val="0"/>
          <w:sz w:val="24"/>
        </w:rPr>
        <w:t>图</w:t>
      </w:r>
      <w:r>
        <w:rPr>
          <w:rFonts w:eastAsiaTheme="minorEastAsia" w:hint="eastAsia"/>
          <w:kern w:val="0"/>
          <w:sz w:val="24"/>
        </w:rPr>
        <w:t xml:space="preserve">1 </w:t>
      </w:r>
      <w:r>
        <w:rPr>
          <w:rFonts w:eastAsiaTheme="minorEastAsia" w:hint="eastAsia"/>
          <w:kern w:val="0"/>
          <w:sz w:val="24"/>
        </w:rPr>
        <w:t>测量的发射脉冲</w:t>
      </w:r>
    </w:p>
    <w:p w:rsidR="00B51F09" w:rsidRPr="00FA7FB2" w:rsidRDefault="00B51F09" w:rsidP="00FA7FB2">
      <w:pPr>
        <w:rPr>
          <w:bCs/>
          <w:sz w:val="24"/>
          <w:szCs w:val="32"/>
        </w:rPr>
      </w:pPr>
      <w:bookmarkStart w:id="66" w:name="_Toc20599"/>
      <w:bookmarkStart w:id="67" w:name="_Toc5579"/>
      <w:r w:rsidRPr="00FA7FB2">
        <w:rPr>
          <w:bCs/>
          <w:sz w:val="24"/>
          <w:szCs w:val="32"/>
        </w:rPr>
        <w:t>6.2.3</w:t>
      </w:r>
      <w:bookmarkEnd w:id="66"/>
      <w:r w:rsidRPr="00FA7FB2">
        <w:rPr>
          <w:rFonts w:hint="eastAsia"/>
          <w:bCs/>
          <w:sz w:val="24"/>
          <w:szCs w:val="32"/>
        </w:rPr>
        <w:t>延迟时间线性</w:t>
      </w:r>
      <w:bookmarkEnd w:id="67"/>
    </w:p>
    <w:p w:rsidR="00B51F09" w:rsidRDefault="00B51F09" w:rsidP="00B51F09">
      <w:pPr>
        <w:spacing w:line="360" w:lineRule="auto"/>
        <w:ind w:firstLineChars="200" w:firstLine="480"/>
        <w:rPr>
          <w:rFonts w:eastAsiaTheme="minorEastAsia"/>
        </w:rPr>
      </w:pPr>
      <w:r>
        <w:rPr>
          <w:rFonts w:eastAsiaTheme="minorEastAsia" w:hint="eastAsia"/>
          <w:kern w:val="0"/>
          <w:sz w:val="24"/>
        </w:rPr>
        <w:t>首先选择可同时激活的最大通道数；将发射脉冲的幅度设置为中间值；将每个通道的发射延迟设置为零；采用相控阵超声检测仪的同步信号同步示波器；测量在示波器上同步信号和被测通道脉冲之间的时间。</w:t>
      </w:r>
    </w:p>
    <w:p w:rsidR="00B51F09" w:rsidRPr="00FA7FB2" w:rsidRDefault="00B51F09" w:rsidP="00FA7FB2">
      <w:pPr>
        <w:rPr>
          <w:bCs/>
          <w:sz w:val="24"/>
          <w:szCs w:val="32"/>
        </w:rPr>
      </w:pPr>
      <w:bookmarkStart w:id="68" w:name="_Toc22616"/>
      <w:bookmarkStart w:id="69" w:name="_Toc24859"/>
      <w:r w:rsidRPr="00FA7FB2">
        <w:rPr>
          <w:bCs/>
          <w:sz w:val="24"/>
          <w:szCs w:val="32"/>
        </w:rPr>
        <w:t>6.2.4</w:t>
      </w:r>
      <w:bookmarkEnd w:id="68"/>
      <w:r w:rsidRPr="00FA7FB2">
        <w:rPr>
          <w:rFonts w:hint="eastAsia"/>
          <w:bCs/>
          <w:sz w:val="24"/>
          <w:szCs w:val="32"/>
        </w:rPr>
        <w:t>频率响应</w:t>
      </w:r>
      <w:bookmarkEnd w:id="69"/>
    </w:p>
    <w:p w:rsidR="00B51F09" w:rsidRDefault="00B51F09" w:rsidP="00B51F09">
      <w:pPr>
        <w:spacing w:line="360" w:lineRule="auto"/>
        <w:ind w:firstLine="480"/>
        <w:rPr>
          <w:rFonts w:eastAsiaTheme="minorEastAsia"/>
          <w:kern w:val="0"/>
          <w:sz w:val="24"/>
        </w:rPr>
      </w:pPr>
      <w:r>
        <w:rPr>
          <w:rFonts w:eastAsiaTheme="minorEastAsia" w:hint="eastAsia"/>
          <w:kern w:val="0"/>
          <w:sz w:val="24"/>
        </w:rPr>
        <w:t>将相控阵仪器、信号发生器、衰减器进行连接构成回路，用信号发生器将正弦波信号输入第一个通道，将输入相控阵超声检测仪的正弦信号设置为适当幅度</w:t>
      </w:r>
      <w:r>
        <w:rPr>
          <w:rFonts w:eastAsiaTheme="minorEastAsia" w:hint="eastAsia"/>
          <w:kern w:val="0"/>
          <w:sz w:val="24"/>
        </w:rPr>
        <w:t>,</w:t>
      </w:r>
      <w:r>
        <w:rPr>
          <w:rFonts w:eastAsiaTheme="minorEastAsia" w:hint="eastAsia"/>
          <w:kern w:val="0"/>
          <w:sz w:val="24"/>
        </w:rPr>
        <w:t>以在增益中间值设置下产生</w:t>
      </w:r>
      <w:r>
        <w:rPr>
          <w:rFonts w:eastAsiaTheme="minorEastAsia" w:hint="eastAsia"/>
          <w:kern w:val="0"/>
          <w:sz w:val="24"/>
        </w:rPr>
        <w:t>80%FSH</w:t>
      </w:r>
      <w:r>
        <w:rPr>
          <w:rFonts w:eastAsiaTheme="minorEastAsia" w:hint="eastAsia"/>
          <w:kern w:val="0"/>
          <w:sz w:val="24"/>
        </w:rPr>
        <w:t>的信号，在相控阵超声检测仪工作频率范围内，改变信号发生器输入信</w:t>
      </w:r>
      <w:r>
        <w:rPr>
          <w:rFonts w:eastAsiaTheme="minorEastAsia" w:hint="eastAsia"/>
          <w:kern w:val="0"/>
          <w:sz w:val="24"/>
        </w:rPr>
        <w:lastRenderedPageBreak/>
        <w:t>号的频率，记录每个频带在相控阵超声检测仪显示最大信号幅度时对应的频率，以小于标称频带带宽</w:t>
      </w:r>
      <w:r>
        <w:rPr>
          <w:rFonts w:eastAsiaTheme="minorEastAsia" w:hint="eastAsia"/>
          <w:kern w:val="0"/>
          <w:sz w:val="24"/>
        </w:rPr>
        <w:t>5%</w:t>
      </w:r>
      <w:r>
        <w:rPr>
          <w:rFonts w:eastAsiaTheme="minorEastAsia" w:hint="eastAsia"/>
          <w:kern w:val="0"/>
          <w:sz w:val="24"/>
        </w:rPr>
        <w:t>的增量，依次提高和降低频率</w:t>
      </w:r>
      <w:r>
        <w:rPr>
          <w:rFonts w:eastAsiaTheme="minorEastAsia" w:hint="eastAsia"/>
          <w:kern w:val="0"/>
          <w:sz w:val="24"/>
        </w:rPr>
        <w:t>,</w:t>
      </w:r>
      <w:r>
        <w:rPr>
          <w:rFonts w:eastAsiaTheme="minorEastAsia" w:hint="eastAsia"/>
          <w:kern w:val="0"/>
          <w:sz w:val="24"/>
        </w:rPr>
        <w:t>并记录相控阵超声检测仪显示的信号幅度低于最大幅度</w:t>
      </w:r>
      <w:r>
        <w:rPr>
          <w:rFonts w:eastAsiaTheme="minorEastAsia" w:hint="eastAsia"/>
          <w:kern w:val="0"/>
          <w:sz w:val="24"/>
        </w:rPr>
        <w:t>3dB</w:t>
      </w:r>
      <w:r>
        <w:rPr>
          <w:rFonts w:eastAsiaTheme="minorEastAsia" w:hint="eastAsia"/>
          <w:kern w:val="0"/>
          <w:sz w:val="24"/>
        </w:rPr>
        <w:t>时所对应的上限频率值和下限频率值，两者相加除以</w:t>
      </w:r>
      <w:r>
        <w:rPr>
          <w:rFonts w:eastAsiaTheme="minorEastAsia" w:hint="eastAsia"/>
          <w:kern w:val="0"/>
          <w:sz w:val="24"/>
        </w:rPr>
        <w:t>2</w:t>
      </w:r>
      <w:r>
        <w:rPr>
          <w:rFonts w:eastAsiaTheme="minorEastAsia" w:hint="eastAsia"/>
          <w:kern w:val="0"/>
          <w:sz w:val="24"/>
        </w:rPr>
        <w:t>得到中心频率，带宽等于上限频率减去下限频率。</w:t>
      </w:r>
    </w:p>
    <w:p w:rsidR="00B51F09" w:rsidRPr="00FA7FB2" w:rsidRDefault="00B51F09" w:rsidP="00FA7FB2">
      <w:pPr>
        <w:rPr>
          <w:bCs/>
          <w:sz w:val="24"/>
          <w:szCs w:val="32"/>
        </w:rPr>
      </w:pPr>
      <w:bookmarkStart w:id="70" w:name="_Toc29738"/>
      <w:bookmarkStart w:id="71" w:name="_Toc19728"/>
      <w:r w:rsidRPr="00FA7FB2">
        <w:rPr>
          <w:bCs/>
          <w:sz w:val="24"/>
          <w:szCs w:val="32"/>
        </w:rPr>
        <w:t>6.2.5</w:t>
      </w:r>
      <w:r w:rsidRPr="00FA7FB2">
        <w:rPr>
          <w:rFonts w:hint="eastAsia"/>
          <w:bCs/>
          <w:sz w:val="24"/>
          <w:szCs w:val="32"/>
        </w:rPr>
        <w:t>等效输入噪声</w:t>
      </w:r>
      <w:bookmarkEnd w:id="70"/>
      <w:bookmarkEnd w:id="71"/>
    </w:p>
    <w:p w:rsidR="00B51F09" w:rsidRDefault="00B51F09" w:rsidP="00B51F09">
      <w:pPr>
        <w:spacing w:line="360" w:lineRule="auto"/>
        <w:ind w:firstLine="480"/>
        <w:rPr>
          <w:rFonts w:eastAsiaTheme="minorEastAsia"/>
          <w:kern w:val="0"/>
          <w:sz w:val="24"/>
        </w:rPr>
      </w:pPr>
      <w:r>
        <w:rPr>
          <w:rFonts w:eastAsiaTheme="minorEastAsia" w:hint="eastAsia"/>
          <w:kern w:val="0"/>
          <w:sz w:val="24"/>
        </w:rPr>
        <w:t>采用</w:t>
      </w:r>
      <w:r>
        <w:rPr>
          <w:rFonts w:eastAsiaTheme="minorEastAsia" w:hint="eastAsia"/>
          <w:kern w:val="0"/>
          <w:sz w:val="24"/>
        </w:rPr>
        <w:t>6.2.4</w:t>
      </w:r>
      <w:r>
        <w:rPr>
          <w:rFonts w:eastAsiaTheme="minorEastAsia" w:hint="eastAsia"/>
          <w:kern w:val="0"/>
          <w:sz w:val="24"/>
        </w:rPr>
        <w:t>的测试装置连接方式，采用最大带宽中心频率</w:t>
      </w:r>
      <w:r>
        <w:rPr>
          <w:rFonts w:eastAsiaTheme="minorEastAsia" w:hint="eastAsia"/>
          <w:kern w:val="0"/>
          <w:sz w:val="24"/>
        </w:rPr>
        <w:t>f</w:t>
      </w:r>
      <w:r>
        <w:rPr>
          <w:rFonts w:eastAsiaTheme="minorEastAsia" w:hint="eastAsia"/>
          <w:kern w:val="0"/>
          <w:sz w:val="24"/>
        </w:rPr>
        <w:t>的输入信号，测量等效输入噪声；将相控阵超声检测仪的增益设置到最大值；断开输入信号，记录相控阵超声检测仪显示屏上的噪声电平，把增益降低</w:t>
      </w:r>
      <w:r>
        <w:rPr>
          <w:rFonts w:eastAsiaTheme="minorEastAsia" w:hint="eastAsia"/>
          <w:kern w:val="0"/>
          <w:sz w:val="24"/>
        </w:rPr>
        <w:t>40dB</w:t>
      </w:r>
      <w:r>
        <w:rPr>
          <w:rFonts w:eastAsiaTheme="minorEastAsia" w:hint="eastAsia"/>
          <w:kern w:val="0"/>
          <w:sz w:val="24"/>
        </w:rPr>
        <w:t>，重新接通输入信号；调整经过校准的外部衰减器和</w:t>
      </w:r>
      <w:r>
        <w:rPr>
          <w:rFonts w:eastAsiaTheme="minorEastAsia" w:hint="eastAsia"/>
          <w:kern w:val="0"/>
          <w:sz w:val="24"/>
        </w:rPr>
        <w:t>/</w:t>
      </w:r>
      <w:r>
        <w:rPr>
          <w:rFonts w:eastAsiaTheme="minorEastAsia" w:hint="eastAsia"/>
          <w:kern w:val="0"/>
          <w:sz w:val="24"/>
        </w:rPr>
        <w:t>或输入信号电平直至射频信号电平与上述噪声电平幅度相同，用示波器测量输入信号的峰</w:t>
      </w:r>
      <w:r>
        <w:rPr>
          <w:rFonts w:eastAsiaTheme="minorEastAsia" w:hint="eastAsia"/>
          <w:kern w:val="0"/>
          <w:sz w:val="24"/>
        </w:rPr>
        <w:t>-</w:t>
      </w:r>
      <w:r>
        <w:rPr>
          <w:rFonts w:eastAsiaTheme="minorEastAsia" w:hint="eastAsia"/>
          <w:kern w:val="0"/>
          <w:sz w:val="24"/>
        </w:rPr>
        <w:t>峰值电压，并记录经过校准的外部衰减器的衰减量。</w:t>
      </w:r>
    </w:p>
    <w:p w:rsidR="00B51F09" w:rsidRDefault="00B51F09" w:rsidP="00B51F09">
      <w:pPr>
        <w:rPr>
          <w:bCs/>
          <w:sz w:val="24"/>
          <w:szCs w:val="32"/>
        </w:rPr>
      </w:pPr>
      <w:r>
        <w:rPr>
          <w:bCs/>
          <w:sz w:val="24"/>
          <w:szCs w:val="32"/>
        </w:rPr>
        <w:t>6.2.</w:t>
      </w:r>
      <w:r>
        <w:rPr>
          <w:rFonts w:hint="eastAsia"/>
          <w:bCs/>
          <w:sz w:val="24"/>
          <w:szCs w:val="32"/>
        </w:rPr>
        <w:t>6</w:t>
      </w:r>
      <w:r>
        <w:rPr>
          <w:rFonts w:hint="eastAsia"/>
          <w:bCs/>
          <w:sz w:val="24"/>
          <w:szCs w:val="32"/>
        </w:rPr>
        <w:t>增益线性</w:t>
      </w:r>
    </w:p>
    <w:p w:rsidR="00B51F09" w:rsidRDefault="00B51F09" w:rsidP="00B51F09">
      <w:pPr>
        <w:autoSpaceDE w:val="0"/>
        <w:autoSpaceDN w:val="0"/>
        <w:spacing w:line="360" w:lineRule="auto"/>
        <w:ind w:firstLineChars="200" w:firstLine="480"/>
        <w:rPr>
          <w:rFonts w:eastAsiaTheme="minorEastAsia"/>
          <w:kern w:val="0"/>
          <w:sz w:val="24"/>
        </w:rPr>
      </w:pPr>
      <w:r>
        <w:rPr>
          <w:rFonts w:eastAsiaTheme="minorEastAsia" w:hint="eastAsia"/>
          <w:kern w:val="0"/>
          <w:sz w:val="24"/>
        </w:rPr>
        <w:t>采用</w:t>
      </w:r>
      <w:r>
        <w:rPr>
          <w:rFonts w:eastAsiaTheme="minorEastAsia" w:hint="eastAsia"/>
          <w:kern w:val="0"/>
          <w:sz w:val="24"/>
        </w:rPr>
        <w:t>6.2.4</w:t>
      </w:r>
      <w:r>
        <w:rPr>
          <w:rFonts w:eastAsiaTheme="minorEastAsia" w:hint="eastAsia"/>
          <w:kern w:val="0"/>
          <w:sz w:val="24"/>
        </w:rPr>
        <w:t>的连接方式，使用信号发生器，给通道</w:t>
      </w:r>
      <w:r>
        <w:rPr>
          <w:rFonts w:eastAsiaTheme="minorEastAsia" w:hint="eastAsia"/>
          <w:kern w:val="0"/>
          <w:sz w:val="24"/>
        </w:rPr>
        <w:t>1</w:t>
      </w:r>
      <w:r>
        <w:rPr>
          <w:rFonts w:eastAsiaTheme="minorEastAsia" w:hint="eastAsia"/>
          <w:kern w:val="0"/>
          <w:sz w:val="24"/>
        </w:rPr>
        <w:t>接入一个测出的最宽频带中</w:t>
      </w:r>
    </w:p>
    <w:p w:rsidR="00B51F09" w:rsidRDefault="00B51F09" w:rsidP="00B51F09">
      <w:pPr>
        <w:autoSpaceDE w:val="0"/>
        <w:autoSpaceDN w:val="0"/>
        <w:spacing w:line="360" w:lineRule="auto"/>
        <w:ind w:firstLineChars="200" w:firstLine="480"/>
        <w:rPr>
          <w:rFonts w:eastAsiaTheme="minorEastAsia"/>
          <w:kern w:val="0"/>
          <w:sz w:val="24"/>
        </w:rPr>
      </w:pPr>
      <w:r>
        <w:rPr>
          <w:rFonts w:eastAsiaTheme="minorEastAsia" w:hint="eastAsia"/>
          <w:kern w:val="0"/>
          <w:sz w:val="24"/>
        </w:rPr>
        <w:t>心频率正弦波信号，将相控阵超声检测仪的增益设置为最小值，并调整信号发生器产生的参考信号，使其不饱和显示，在整个增益范围内，以适当的增量，增加相控阵超声检测仪的增益，对于每个增益设定值</w:t>
      </w:r>
      <w:r>
        <w:rPr>
          <w:rFonts w:eastAsiaTheme="minorEastAsia" w:hint="eastAsia"/>
          <w:kern w:val="0"/>
          <w:sz w:val="24"/>
        </w:rPr>
        <w:t>,</w:t>
      </w:r>
      <w:r>
        <w:rPr>
          <w:rFonts w:eastAsiaTheme="minorEastAsia" w:hint="eastAsia"/>
          <w:kern w:val="0"/>
          <w:sz w:val="24"/>
        </w:rPr>
        <w:t>调整经过校准的外部衰减器</w:t>
      </w:r>
      <w:r>
        <w:rPr>
          <w:rFonts w:eastAsiaTheme="minorEastAsia" w:hint="eastAsia"/>
          <w:kern w:val="0"/>
          <w:sz w:val="24"/>
        </w:rPr>
        <w:t>,</w:t>
      </w:r>
      <w:r>
        <w:rPr>
          <w:rFonts w:eastAsiaTheme="minorEastAsia" w:hint="eastAsia"/>
          <w:kern w:val="0"/>
          <w:sz w:val="24"/>
        </w:rPr>
        <w:t>使信号幅度保持恒定高度，对应每个增量</w:t>
      </w:r>
      <w:r>
        <w:rPr>
          <w:rFonts w:eastAsiaTheme="minorEastAsia" w:hint="eastAsia"/>
          <w:kern w:val="0"/>
          <w:sz w:val="24"/>
        </w:rPr>
        <w:t>.</w:t>
      </w:r>
      <w:r>
        <w:rPr>
          <w:rFonts w:eastAsiaTheme="minorEastAsia" w:hint="eastAsia"/>
          <w:kern w:val="0"/>
          <w:sz w:val="24"/>
        </w:rPr>
        <w:t>记录相控阵超声检测仪的增益值和外部衰减器的衰减值之间的差值。</w:t>
      </w:r>
    </w:p>
    <w:p w:rsidR="00B51F09" w:rsidRDefault="00B51F09" w:rsidP="00B51F09">
      <w:pPr>
        <w:rPr>
          <w:rFonts w:eastAsiaTheme="minorEastAsia"/>
          <w:kern w:val="0"/>
          <w:sz w:val="24"/>
        </w:rPr>
      </w:pPr>
      <w:r>
        <w:rPr>
          <w:bCs/>
          <w:sz w:val="24"/>
          <w:szCs w:val="32"/>
        </w:rPr>
        <w:t>6.2.</w:t>
      </w:r>
      <w:r>
        <w:rPr>
          <w:rFonts w:hint="eastAsia"/>
          <w:bCs/>
          <w:sz w:val="24"/>
          <w:szCs w:val="32"/>
        </w:rPr>
        <w:t>7</w:t>
      </w:r>
      <w:r>
        <w:rPr>
          <w:rFonts w:hint="eastAsia"/>
          <w:bCs/>
          <w:sz w:val="24"/>
          <w:szCs w:val="32"/>
        </w:rPr>
        <w:t>通道增益偏差</w:t>
      </w:r>
    </w:p>
    <w:p w:rsidR="00B51F09" w:rsidRDefault="00B51F09" w:rsidP="00B51F09">
      <w:pPr>
        <w:spacing w:line="360" w:lineRule="auto"/>
        <w:ind w:firstLineChars="200" w:firstLine="480"/>
        <w:rPr>
          <w:bCs/>
          <w:sz w:val="24"/>
          <w:szCs w:val="32"/>
        </w:rPr>
      </w:pPr>
      <w:bookmarkStart w:id="72" w:name="_Toc766"/>
      <w:r>
        <w:rPr>
          <w:rFonts w:hint="eastAsia"/>
          <w:bCs/>
          <w:sz w:val="24"/>
          <w:szCs w:val="32"/>
        </w:rPr>
        <w:t>采用</w:t>
      </w:r>
      <w:r>
        <w:rPr>
          <w:rFonts w:hint="eastAsia"/>
          <w:bCs/>
          <w:sz w:val="24"/>
          <w:szCs w:val="32"/>
        </w:rPr>
        <w:t>6.2.4</w:t>
      </w:r>
      <w:r>
        <w:rPr>
          <w:rFonts w:hint="eastAsia"/>
          <w:bCs/>
          <w:sz w:val="24"/>
          <w:szCs w:val="32"/>
        </w:rPr>
        <w:t>的连接方式，启用通道</w:t>
      </w:r>
      <w:r>
        <w:rPr>
          <w:rFonts w:hint="eastAsia"/>
          <w:bCs/>
          <w:sz w:val="24"/>
          <w:szCs w:val="32"/>
        </w:rPr>
        <w:t>1</w:t>
      </w:r>
      <w:r>
        <w:rPr>
          <w:rFonts w:hint="eastAsia"/>
          <w:bCs/>
          <w:sz w:val="24"/>
          <w:szCs w:val="32"/>
        </w:rPr>
        <w:t>并连接信号发生器，提供一个频率对应最宽频带的中心频率的正弦信号，将相控阵超声检测仪的增益设置为中间值，调整信号发生器的输出信号，使通道</w:t>
      </w:r>
      <w:r>
        <w:rPr>
          <w:rFonts w:hint="eastAsia"/>
          <w:bCs/>
          <w:sz w:val="24"/>
          <w:szCs w:val="32"/>
        </w:rPr>
        <w:t>1</w:t>
      </w:r>
      <w:r>
        <w:rPr>
          <w:rFonts w:hint="eastAsia"/>
          <w:bCs/>
          <w:sz w:val="24"/>
          <w:szCs w:val="32"/>
        </w:rPr>
        <w:t>的信号的峰值幅度达到</w:t>
      </w:r>
      <w:r>
        <w:rPr>
          <w:rFonts w:hint="eastAsia"/>
          <w:bCs/>
          <w:sz w:val="24"/>
          <w:szCs w:val="32"/>
        </w:rPr>
        <w:t>FSH</w:t>
      </w:r>
      <w:r>
        <w:rPr>
          <w:rFonts w:hint="eastAsia"/>
          <w:bCs/>
          <w:sz w:val="24"/>
          <w:szCs w:val="32"/>
        </w:rPr>
        <w:t>的</w:t>
      </w:r>
      <w:r>
        <w:rPr>
          <w:rFonts w:hint="eastAsia"/>
          <w:bCs/>
          <w:sz w:val="24"/>
          <w:szCs w:val="32"/>
        </w:rPr>
        <w:t>80%</w:t>
      </w:r>
      <w:r>
        <w:rPr>
          <w:rFonts w:hint="eastAsia"/>
          <w:bCs/>
          <w:sz w:val="24"/>
          <w:szCs w:val="32"/>
        </w:rPr>
        <w:t>；测量</w:t>
      </w:r>
      <w:r>
        <w:rPr>
          <w:rFonts w:hint="eastAsia"/>
          <w:bCs/>
          <w:sz w:val="24"/>
          <w:szCs w:val="32"/>
        </w:rPr>
        <w:t>A</w:t>
      </w:r>
      <w:proofErr w:type="gramStart"/>
      <w:r>
        <w:rPr>
          <w:rFonts w:hint="eastAsia"/>
          <w:bCs/>
          <w:sz w:val="24"/>
          <w:szCs w:val="32"/>
        </w:rPr>
        <w:t>扫显示</w:t>
      </w:r>
      <w:proofErr w:type="gramEnd"/>
      <w:r>
        <w:rPr>
          <w:rFonts w:hint="eastAsia"/>
          <w:bCs/>
          <w:sz w:val="24"/>
          <w:szCs w:val="32"/>
        </w:rPr>
        <w:t>的正弦波的幅度，在所有通道上重复进行测量。</w:t>
      </w:r>
    </w:p>
    <w:p w:rsidR="00B51F09" w:rsidRPr="00FA7FB2" w:rsidRDefault="00B51F09" w:rsidP="00FA7FB2">
      <w:pPr>
        <w:rPr>
          <w:bCs/>
          <w:sz w:val="24"/>
          <w:szCs w:val="32"/>
        </w:rPr>
      </w:pPr>
      <w:bookmarkStart w:id="73" w:name="_Toc26225"/>
      <w:r w:rsidRPr="00FA7FB2">
        <w:rPr>
          <w:bCs/>
          <w:sz w:val="24"/>
          <w:szCs w:val="32"/>
        </w:rPr>
        <w:t>6.2.</w:t>
      </w:r>
      <w:r w:rsidRPr="00FA7FB2">
        <w:rPr>
          <w:rFonts w:hint="eastAsia"/>
          <w:bCs/>
          <w:sz w:val="24"/>
          <w:szCs w:val="32"/>
        </w:rPr>
        <w:t>8</w:t>
      </w:r>
      <w:bookmarkEnd w:id="72"/>
      <w:r w:rsidRPr="00FA7FB2">
        <w:rPr>
          <w:rFonts w:hint="eastAsia"/>
          <w:bCs/>
          <w:sz w:val="24"/>
          <w:szCs w:val="32"/>
        </w:rPr>
        <w:t>幅度线性</w:t>
      </w:r>
      <w:bookmarkEnd w:id="73"/>
    </w:p>
    <w:p w:rsidR="00B51F09" w:rsidRDefault="00B51F09" w:rsidP="00B51F09">
      <w:pPr>
        <w:spacing w:line="360" w:lineRule="auto"/>
        <w:ind w:firstLineChars="200" w:firstLine="480"/>
        <w:rPr>
          <w:bCs/>
          <w:sz w:val="24"/>
          <w:szCs w:val="32"/>
        </w:rPr>
      </w:pPr>
      <w:r>
        <w:rPr>
          <w:rFonts w:hint="eastAsia"/>
          <w:bCs/>
          <w:sz w:val="24"/>
          <w:szCs w:val="32"/>
        </w:rPr>
        <w:t>采用</w:t>
      </w:r>
      <w:r>
        <w:rPr>
          <w:rFonts w:hint="eastAsia"/>
          <w:bCs/>
          <w:sz w:val="24"/>
          <w:szCs w:val="32"/>
        </w:rPr>
        <w:t>6.2.4</w:t>
      </w:r>
      <w:r>
        <w:rPr>
          <w:rFonts w:hint="eastAsia"/>
          <w:bCs/>
          <w:sz w:val="24"/>
          <w:szCs w:val="32"/>
        </w:rPr>
        <w:t>的连接方式，通过信号发生器给通道</w:t>
      </w:r>
      <w:r>
        <w:rPr>
          <w:rFonts w:hint="eastAsia"/>
          <w:bCs/>
          <w:sz w:val="24"/>
          <w:szCs w:val="32"/>
        </w:rPr>
        <w:t>1</w:t>
      </w:r>
      <w:r>
        <w:rPr>
          <w:rFonts w:hint="eastAsia"/>
          <w:bCs/>
          <w:sz w:val="24"/>
          <w:szCs w:val="32"/>
        </w:rPr>
        <w:t>输入一个正弦波信号</w:t>
      </w:r>
      <w:r>
        <w:rPr>
          <w:rFonts w:hint="eastAsia"/>
          <w:bCs/>
          <w:sz w:val="24"/>
          <w:szCs w:val="32"/>
        </w:rPr>
        <w:t>,</w:t>
      </w:r>
      <w:r>
        <w:rPr>
          <w:rFonts w:hint="eastAsia"/>
          <w:bCs/>
          <w:sz w:val="24"/>
          <w:szCs w:val="32"/>
        </w:rPr>
        <w:t>其频率为滤波器最大带宽时的中心频率；将外部校准的衰减器设置为一个较低的值</w:t>
      </w:r>
      <w:r>
        <w:rPr>
          <w:rFonts w:hint="eastAsia"/>
          <w:bCs/>
          <w:sz w:val="24"/>
          <w:szCs w:val="32"/>
        </w:rPr>
        <w:t>X</w:t>
      </w:r>
      <w:r>
        <w:rPr>
          <w:rFonts w:hint="eastAsia"/>
          <w:bCs/>
          <w:sz w:val="24"/>
          <w:szCs w:val="32"/>
        </w:rPr>
        <w:t>，并调节输入信号的幅度和相控阵超声检测仪的增益</w:t>
      </w:r>
      <w:r>
        <w:rPr>
          <w:rFonts w:hint="eastAsia"/>
          <w:bCs/>
          <w:sz w:val="24"/>
          <w:szCs w:val="32"/>
        </w:rPr>
        <w:t>,</w:t>
      </w:r>
      <w:r>
        <w:rPr>
          <w:rFonts w:hint="eastAsia"/>
          <w:bCs/>
          <w:sz w:val="24"/>
          <w:szCs w:val="32"/>
        </w:rPr>
        <w:t>使该信号的幅度为</w:t>
      </w:r>
      <w:r>
        <w:rPr>
          <w:rFonts w:hint="eastAsia"/>
          <w:bCs/>
          <w:sz w:val="24"/>
          <w:szCs w:val="32"/>
        </w:rPr>
        <w:t>FSH</w:t>
      </w:r>
      <w:r>
        <w:rPr>
          <w:rFonts w:hint="eastAsia"/>
          <w:bCs/>
          <w:sz w:val="24"/>
          <w:szCs w:val="32"/>
        </w:rPr>
        <w:t>的</w:t>
      </w:r>
      <w:r>
        <w:rPr>
          <w:rFonts w:hint="eastAsia"/>
          <w:bCs/>
          <w:sz w:val="24"/>
          <w:szCs w:val="32"/>
        </w:rPr>
        <w:t>80%</w:t>
      </w:r>
      <w:r>
        <w:rPr>
          <w:rFonts w:hint="eastAsia"/>
          <w:bCs/>
          <w:sz w:val="24"/>
          <w:szCs w:val="32"/>
        </w:rPr>
        <w:t>；记录相关的增益设定值</w:t>
      </w:r>
      <w:r>
        <w:rPr>
          <w:rFonts w:hint="eastAsia"/>
          <w:bCs/>
          <w:sz w:val="24"/>
          <w:szCs w:val="32"/>
        </w:rPr>
        <w:t>(</w:t>
      </w:r>
      <w:r>
        <w:rPr>
          <w:rFonts w:hint="eastAsia"/>
          <w:bCs/>
          <w:sz w:val="24"/>
          <w:szCs w:val="32"/>
        </w:rPr>
        <w:t>参考增益</w:t>
      </w:r>
      <w:r>
        <w:rPr>
          <w:rFonts w:hint="eastAsia"/>
          <w:bCs/>
          <w:sz w:val="24"/>
          <w:szCs w:val="32"/>
        </w:rPr>
        <w:t>)</w:t>
      </w:r>
      <w:r>
        <w:rPr>
          <w:rFonts w:hint="eastAsia"/>
          <w:bCs/>
          <w:sz w:val="24"/>
          <w:szCs w:val="32"/>
        </w:rPr>
        <w:t>；在不改变相控阵超声检测仪增益的条件下，将经过校准的外部衰减器设置到表</w:t>
      </w:r>
      <w:r>
        <w:rPr>
          <w:rFonts w:hint="eastAsia"/>
          <w:bCs/>
          <w:sz w:val="24"/>
          <w:szCs w:val="32"/>
        </w:rPr>
        <w:t>1</w:t>
      </w:r>
      <w:r>
        <w:rPr>
          <w:rFonts w:hint="eastAsia"/>
          <w:bCs/>
          <w:sz w:val="24"/>
          <w:szCs w:val="32"/>
        </w:rPr>
        <w:t>所列的设定值，对应每个设定值，测量相控阵超声检测仪显示屏的信号幅度。</w:t>
      </w:r>
    </w:p>
    <w:p w:rsidR="00B51F09" w:rsidRDefault="00B51F09" w:rsidP="00B51F09">
      <w:pPr>
        <w:rPr>
          <w:bCs/>
          <w:sz w:val="24"/>
          <w:szCs w:val="32"/>
        </w:rPr>
      </w:pPr>
      <w:r>
        <w:rPr>
          <w:bCs/>
          <w:sz w:val="24"/>
          <w:szCs w:val="32"/>
        </w:rPr>
        <w:t>6.2.</w:t>
      </w:r>
      <w:r>
        <w:rPr>
          <w:rFonts w:hint="eastAsia"/>
          <w:bCs/>
          <w:sz w:val="24"/>
          <w:szCs w:val="32"/>
        </w:rPr>
        <w:t>9</w:t>
      </w:r>
      <w:r>
        <w:rPr>
          <w:rFonts w:hint="eastAsia"/>
          <w:bCs/>
          <w:sz w:val="24"/>
          <w:szCs w:val="32"/>
        </w:rPr>
        <w:t>延迟时间线性</w:t>
      </w:r>
    </w:p>
    <w:p w:rsidR="00B51F09" w:rsidRDefault="00B51F09" w:rsidP="00B51F09">
      <w:pPr>
        <w:autoSpaceDE w:val="0"/>
        <w:autoSpaceDN w:val="0"/>
        <w:spacing w:line="360" w:lineRule="auto"/>
        <w:ind w:firstLineChars="200" w:firstLine="480"/>
        <w:rPr>
          <w:rFonts w:eastAsiaTheme="minorEastAsia"/>
          <w:kern w:val="0"/>
          <w:sz w:val="24"/>
        </w:rPr>
      </w:pPr>
      <w:r>
        <w:rPr>
          <w:rFonts w:eastAsiaTheme="minorEastAsia" w:hint="eastAsia"/>
          <w:kern w:val="0"/>
          <w:sz w:val="24"/>
        </w:rPr>
        <w:t>通过相控阵超声检测仪同步信号来同步脉冲发生器和信号发生器</w:t>
      </w:r>
      <w:r>
        <w:rPr>
          <w:rFonts w:eastAsiaTheme="minorEastAsia" w:hint="eastAsia"/>
          <w:kern w:val="0"/>
          <w:sz w:val="24"/>
        </w:rPr>
        <w:t>(</w:t>
      </w:r>
      <w:r>
        <w:rPr>
          <w:rFonts w:eastAsiaTheme="minorEastAsia" w:hint="eastAsia"/>
          <w:kern w:val="0"/>
          <w:sz w:val="24"/>
        </w:rPr>
        <w:t>在缺省条件下，用信号发生器产生一个单周期正弦波的测试信号，将这个测试信号的频率设置为相控阵超声检</w:t>
      </w:r>
      <w:r>
        <w:rPr>
          <w:rFonts w:eastAsiaTheme="minorEastAsia" w:hint="eastAsia"/>
          <w:kern w:val="0"/>
          <w:sz w:val="24"/>
        </w:rPr>
        <w:lastRenderedPageBreak/>
        <w:t>测仪滤波器最宽频带时的中心频率；设置相控阵超声检测仪的增益为中间值</w:t>
      </w:r>
      <w:r>
        <w:rPr>
          <w:rFonts w:eastAsiaTheme="minorEastAsia" w:hint="eastAsia"/>
          <w:kern w:val="0"/>
          <w:sz w:val="24"/>
        </w:rPr>
        <w:t>,</w:t>
      </w:r>
      <w:r>
        <w:rPr>
          <w:rFonts w:eastAsiaTheme="minorEastAsia" w:hint="eastAsia"/>
          <w:kern w:val="0"/>
          <w:sz w:val="24"/>
        </w:rPr>
        <w:t>调整信号发生器的输出幅度</w:t>
      </w:r>
      <w:r>
        <w:rPr>
          <w:rFonts w:eastAsiaTheme="minorEastAsia" w:hint="eastAsia"/>
          <w:kern w:val="0"/>
          <w:sz w:val="24"/>
        </w:rPr>
        <w:t>,</w:t>
      </w:r>
      <w:r>
        <w:rPr>
          <w:rFonts w:eastAsiaTheme="minorEastAsia" w:hint="eastAsia"/>
          <w:kern w:val="0"/>
          <w:sz w:val="24"/>
        </w:rPr>
        <w:t>直至相控阵超声检测仪显示的信号幅度达到</w:t>
      </w:r>
      <w:r>
        <w:rPr>
          <w:rFonts w:eastAsiaTheme="minorEastAsia" w:hint="eastAsia"/>
          <w:kern w:val="0"/>
          <w:sz w:val="24"/>
        </w:rPr>
        <w:t>FSH</w:t>
      </w:r>
      <w:r>
        <w:rPr>
          <w:rFonts w:eastAsiaTheme="minorEastAsia" w:hint="eastAsia"/>
          <w:kern w:val="0"/>
          <w:sz w:val="24"/>
        </w:rPr>
        <w:t>的</w:t>
      </w:r>
      <w:r>
        <w:rPr>
          <w:rFonts w:eastAsiaTheme="minorEastAsia" w:hint="eastAsia"/>
          <w:kern w:val="0"/>
          <w:sz w:val="24"/>
        </w:rPr>
        <w:t>80%</w:t>
      </w:r>
      <w:r>
        <w:rPr>
          <w:rFonts w:eastAsiaTheme="minorEastAsia" w:hint="eastAsia"/>
          <w:kern w:val="0"/>
          <w:sz w:val="24"/>
        </w:rPr>
        <w:t>，将相控阵超声检测仪时基延迟设置为</w:t>
      </w:r>
      <w:r>
        <w:rPr>
          <w:rFonts w:eastAsiaTheme="minorEastAsia" w:hint="eastAsia"/>
          <w:kern w:val="0"/>
          <w:sz w:val="24"/>
        </w:rPr>
        <w:t>0</w:t>
      </w:r>
      <w:r>
        <w:rPr>
          <w:rFonts w:eastAsiaTheme="minorEastAsia" w:hint="eastAsia"/>
          <w:kern w:val="0"/>
          <w:sz w:val="24"/>
        </w:rPr>
        <w:t>μ</w:t>
      </w:r>
      <w:r>
        <w:rPr>
          <w:rFonts w:eastAsiaTheme="minorEastAsia" w:hint="eastAsia"/>
          <w:kern w:val="0"/>
          <w:sz w:val="24"/>
        </w:rPr>
        <w:t>s</w:t>
      </w:r>
      <w:r>
        <w:rPr>
          <w:rFonts w:eastAsiaTheme="minorEastAsia" w:hint="eastAsia"/>
          <w:kern w:val="0"/>
          <w:sz w:val="24"/>
        </w:rPr>
        <w:t>，并把测试信号接入仪器；将接收延迟设置为最大接收延迟时间的</w:t>
      </w:r>
      <w:r>
        <w:rPr>
          <w:rFonts w:eastAsiaTheme="minorEastAsia" w:hint="eastAsia"/>
          <w:kern w:val="0"/>
          <w:sz w:val="24"/>
        </w:rPr>
        <w:t>20%</w:t>
      </w:r>
      <w:r>
        <w:rPr>
          <w:rFonts w:eastAsiaTheme="minorEastAsia" w:hint="eastAsia"/>
          <w:kern w:val="0"/>
          <w:sz w:val="24"/>
        </w:rPr>
        <w:t>，调整相控阵超声检测仪时基的宽度</w:t>
      </w:r>
      <w:r>
        <w:rPr>
          <w:rFonts w:eastAsiaTheme="minorEastAsia" w:hint="eastAsia"/>
          <w:kern w:val="0"/>
          <w:sz w:val="24"/>
        </w:rPr>
        <w:t>,</w:t>
      </w:r>
      <w:r>
        <w:rPr>
          <w:rFonts w:eastAsiaTheme="minorEastAsia" w:hint="eastAsia"/>
          <w:kern w:val="0"/>
          <w:sz w:val="24"/>
        </w:rPr>
        <w:t>以显示最大延迟的信号，测量对应目标延迟时间测试信号。</w:t>
      </w:r>
    </w:p>
    <w:p w:rsidR="00A91553" w:rsidRPr="00D743EA" w:rsidRDefault="006320F5" w:rsidP="00FD3C65">
      <w:pPr>
        <w:pStyle w:val="afff1"/>
        <w:rPr>
          <w:rFonts w:ascii="Times New Roman" w:hAnsi="Times New Roman"/>
        </w:rPr>
      </w:pPr>
      <w:bookmarkStart w:id="74" w:name="_Toc193619059"/>
      <w:bookmarkStart w:id="75" w:name="_Toc193860188"/>
      <w:bookmarkStart w:id="76" w:name="_Toc193618956"/>
      <w:bookmarkStart w:id="77" w:name="_Toc193619101"/>
      <w:bookmarkStart w:id="78" w:name="_Toc193860038"/>
      <w:bookmarkStart w:id="79" w:name="_Toc193860219"/>
      <w:bookmarkStart w:id="80" w:name="_Toc500258947"/>
      <w:bookmarkStart w:id="81" w:name="_Toc25466_WPSOffice_Level1"/>
      <w:bookmarkEnd w:id="60"/>
      <w:bookmarkEnd w:id="61"/>
      <w:r w:rsidRPr="00D743EA">
        <w:rPr>
          <w:rFonts w:ascii="Times New Roman" w:hAnsi="Times New Roman"/>
        </w:rPr>
        <w:t xml:space="preserve">7 </w:t>
      </w:r>
      <w:r w:rsidRPr="00D743EA">
        <w:rPr>
          <w:rFonts w:ascii="Times New Roman" w:hAnsi="Times New Roman"/>
        </w:rPr>
        <w:t>校准结果</w:t>
      </w:r>
      <w:bookmarkEnd w:id="74"/>
      <w:bookmarkEnd w:id="75"/>
      <w:bookmarkEnd w:id="76"/>
      <w:bookmarkEnd w:id="77"/>
      <w:bookmarkEnd w:id="78"/>
      <w:bookmarkEnd w:id="79"/>
      <w:r w:rsidRPr="00D743EA">
        <w:rPr>
          <w:rFonts w:ascii="Times New Roman" w:hAnsi="Times New Roman"/>
        </w:rPr>
        <w:t>表达</w:t>
      </w:r>
      <w:bookmarkEnd w:id="80"/>
      <w:bookmarkEnd w:id="81"/>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经校准后出具校准证书，校准证书由封面和校准数据内页组成，封面由校准机构确定统一格式，校准数据按照附件B要求，并可根据</w:t>
      </w:r>
      <w:r w:rsidR="000C5C42">
        <w:rPr>
          <w:rFonts w:eastAsiaTheme="minorEastAsia"/>
          <w:szCs w:val="21"/>
        </w:rPr>
        <w:t>实际</w:t>
      </w:r>
      <w:r w:rsidRPr="00021A9F">
        <w:rPr>
          <w:rFonts w:eastAsiaTheme="minorEastAsia"/>
          <w:szCs w:val="21"/>
        </w:rPr>
        <w:t>情况进行填写。校准证书应至少包括以下信息：</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a) 标题：校准证书；</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b) 实验室名称和地址；</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c) 进行校准的地点（如与实验室的地址不同）；</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d) 证书的唯一性标识（如编号），每页及总页数的标识；</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e) 客户的名称和地址；</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f) 被校对</w:t>
      </w:r>
      <w:proofErr w:type="gramStart"/>
      <w:r w:rsidRPr="00021A9F">
        <w:rPr>
          <w:rFonts w:eastAsiaTheme="minorEastAsia"/>
          <w:szCs w:val="21"/>
        </w:rPr>
        <w:t>象</w:t>
      </w:r>
      <w:proofErr w:type="gramEnd"/>
      <w:r w:rsidRPr="00021A9F">
        <w:rPr>
          <w:rFonts w:eastAsiaTheme="minorEastAsia"/>
          <w:szCs w:val="21"/>
        </w:rPr>
        <w:t>的描述和明确标识；</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g) 进行校准的日期，如果与校准结果的有效性和应用有关时，应说明被校对</w:t>
      </w:r>
      <w:proofErr w:type="gramStart"/>
      <w:r w:rsidRPr="00021A9F">
        <w:rPr>
          <w:rFonts w:eastAsiaTheme="minorEastAsia"/>
          <w:szCs w:val="21"/>
        </w:rPr>
        <w:t>象</w:t>
      </w:r>
      <w:proofErr w:type="gramEnd"/>
      <w:r w:rsidRPr="00021A9F">
        <w:rPr>
          <w:rFonts w:eastAsiaTheme="minorEastAsia"/>
          <w:szCs w:val="21"/>
        </w:rPr>
        <w:t>的接收日期；</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h) 校准所依据的技术规范的标识，包括名称及代号；</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i) 本次校准所用测量标准的溯源性及有效性说明；</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j) 校准环境的描述；</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k) 校准结果及测量不确定度的说明；</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l) 对校准规范的偏离的说明；</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m) 校准证书签发人的签名、职务或等效标识以及签发日期；</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n) 校准结果仅对被校对</w:t>
      </w:r>
      <w:proofErr w:type="gramStart"/>
      <w:r w:rsidRPr="00021A9F">
        <w:rPr>
          <w:rFonts w:eastAsiaTheme="minorEastAsia"/>
          <w:szCs w:val="21"/>
        </w:rPr>
        <w:t>象</w:t>
      </w:r>
      <w:proofErr w:type="gramEnd"/>
      <w:r w:rsidRPr="00021A9F">
        <w:rPr>
          <w:rFonts w:eastAsiaTheme="minorEastAsia"/>
          <w:szCs w:val="21"/>
        </w:rPr>
        <w:t>有效的声明；</w:t>
      </w:r>
    </w:p>
    <w:p w:rsidR="00021A9F" w:rsidRPr="00021A9F" w:rsidRDefault="00021A9F" w:rsidP="00021A9F">
      <w:pPr>
        <w:pStyle w:val="affe"/>
        <w:spacing w:line="360" w:lineRule="auto"/>
        <w:ind w:firstLine="420"/>
        <w:rPr>
          <w:rFonts w:eastAsiaTheme="minorEastAsia"/>
          <w:szCs w:val="21"/>
        </w:rPr>
      </w:pPr>
      <w:r w:rsidRPr="00021A9F">
        <w:rPr>
          <w:rFonts w:eastAsiaTheme="minorEastAsia"/>
          <w:szCs w:val="21"/>
        </w:rPr>
        <w:t>o) 未经实验室书面批准，不得部分复制证书的声明。</w:t>
      </w:r>
    </w:p>
    <w:p w:rsidR="00A91553" w:rsidRPr="00D743EA" w:rsidRDefault="006320F5" w:rsidP="00FD3C65">
      <w:pPr>
        <w:pStyle w:val="afff1"/>
        <w:rPr>
          <w:rFonts w:ascii="Times New Roman" w:hAnsi="Times New Roman"/>
        </w:rPr>
      </w:pPr>
      <w:bookmarkStart w:id="82" w:name="_Toc14803_WPSOffice_Level1"/>
      <w:bookmarkStart w:id="83" w:name="_Toc5529"/>
      <w:bookmarkStart w:id="84" w:name="_Toc193860189"/>
      <w:bookmarkStart w:id="85" w:name="_Toc193860220"/>
      <w:bookmarkStart w:id="86" w:name="_Toc193860040"/>
      <w:bookmarkStart w:id="87" w:name="_Toc193860041"/>
      <w:r w:rsidRPr="00D743EA">
        <w:rPr>
          <w:rFonts w:ascii="Times New Roman" w:hAnsi="Times New Roman"/>
        </w:rPr>
        <w:t xml:space="preserve">8 </w:t>
      </w:r>
      <w:r w:rsidRPr="00D743EA">
        <w:rPr>
          <w:rFonts w:ascii="Times New Roman" w:hAnsi="Times New Roman"/>
        </w:rPr>
        <w:t>复校</w:t>
      </w:r>
      <w:bookmarkEnd w:id="82"/>
      <w:bookmarkEnd w:id="83"/>
      <w:bookmarkEnd w:id="84"/>
      <w:bookmarkEnd w:id="85"/>
      <w:bookmarkEnd w:id="86"/>
      <w:r w:rsidRPr="00D743EA">
        <w:rPr>
          <w:rFonts w:ascii="Times New Roman" w:hAnsi="Times New Roman"/>
        </w:rPr>
        <w:t>时间间隔</w:t>
      </w:r>
    </w:p>
    <w:bookmarkEnd w:id="87"/>
    <w:p w:rsidR="00A91553" w:rsidRPr="00D743EA" w:rsidRDefault="006320F5">
      <w:pPr>
        <w:pStyle w:val="affe"/>
        <w:spacing w:line="360" w:lineRule="auto"/>
        <w:ind w:firstLine="420"/>
        <w:rPr>
          <w:rFonts w:ascii="Times New Roman" w:eastAsiaTheme="minorEastAsia" w:hAnsi="Times New Roman"/>
          <w:kern w:val="2"/>
          <w:szCs w:val="21"/>
        </w:rPr>
      </w:pPr>
      <w:r w:rsidRPr="00D743EA">
        <w:rPr>
          <w:rFonts w:ascii="Times New Roman" w:eastAsiaTheme="minorEastAsia" w:hAnsi="Times New Roman"/>
          <w:kern w:val="2"/>
          <w:szCs w:val="21"/>
        </w:rPr>
        <w:t>建议校准时间间隔为</w:t>
      </w:r>
      <w:r w:rsidRPr="00D743EA">
        <w:rPr>
          <w:rFonts w:ascii="Times New Roman" w:eastAsiaTheme="minorEastAsia" w:hAnsi="Times New Roman"/>
          <w:kern w:val="2"/>
          <w:szCs w:val="21"/>
        </w:rPr>
        <w:t>1</w:t>
      </w:r>
      <w:r w:rsidRPr="00D743EA">
        <w:rPr>
          <w:rFonts w:ascii="Times New Roman" w:eastAsiaTheme="minorEastAsia" w:hAnsi="Times New Roman"/>
          <w:kern w:val="2"/>
          <w:szCs w:val="21"/>
        </w:rPr>
        <w:t>年；当使用频率较高时，建议用户缩短为</w:t>
      </w:r>
      <w:r w:rsidR="009148E0">
        <w:rPr>
          <w:rFonts w:ascii="Times New Roman" w:eastAsiaTheme="minorEastAsia" w:hAnsi="Times New Roman" w:hint="eastAsia"/>
          <w:kern w:val="2"/>
          <w:szCs w:val="21"/>
        </w:rPr>
        <w:t>3</w:t>
      </w:r>
      <w:r w:rsidR="009148E0">
        <w:rPr>
          <w:rFonts w:ascii="Times New Roman" w:eastAsiaTheme="minorEastAsia" w:hAnsi="Times New Roman" w:hint="eastAsia"/>
          <w:kern w:val="2"/>
          <w:szCs w:val="21"/>
        </w:rPr>
        <w:t>个月</w:t>
      </w:r>
      <w:r w:rsidRPr="00D743EA">
        <w:rPr>
          <w:rFonts w:ascii="Times New Roman" w:eastAsiaTheme="minorEastAsia" w:hAnsi="Times New Roman"/>
          <w:kern w:val="2"/>
          <w:szCs w:val="21"/>
        </w:rPr>
        <w:t>。</w:t>
      </w:r>
    </w:p>
    <w:p w:rsidR="00A91553" w:rsidRPr="00D743EA" w:rsidRDefault="006320F5" w:rsidP="00FD3C65">
      <w:pPr>
        <w:pStyle w:val="afff1"/>
        <w:rPr>
          <w:rFonts w:ascii="Times New Roman" w:hAnsi="Times New Roman"/>
        </w:rPr>
      </w:pPr>
      <w:r w:rsidRPr="00D743EA">
        <w:rPr>
          <w:rFonts w:ascii="Times New Roman" w:hAnsi="Times New Roman"/>
        </w:rPr>
        <w:t>9.</w:t>
      </w:r>
      <w:r w:rsidRPr="00D743EA">
        <w:rPr>
          <w:rFonts w:ascii="Times New Roman" w:hAnsi="Times New Roman"/>
        </w:rPr>
        <w:t>附录</w:t>
      </w:r>
    </w:p>
    <w:p w:rsidR="00A91553" w:rsidRPr="00D743EA" w:rsidRDefault="006320F5">
      <w:pPr>
        <w:pStyle w:val="affe"/>
        <w:spacing w:line="360" w:lineRule="auto"/>
        <w:ind w:firstLine="420"/>
        <w:rPr>
          <w:rFonts w:ascii="Times New Roman" w:eastAsiaTheme="minorEastAsia" w:hAnsi="Times New Roman"/>
          <w:kern w:val="2"/>
          <w:szCs w:val="21"/>
        </w:rPr>
      </w:pPr>
      <w:r w:rsidRPr="00D743EA">
        <w:rPr>
          <w:rFonts w:ascii="Times New Roman" w:eastAsiaTheme="minorEastAsia" w:hAnsi="Times New Roman"/>
          <w:kern w:val="2"/>
          <w:szCs w:val="21"/>
        </w:rPr>
        <w:t>附录主要包含校准原始记录参考格式、校准证书内页参考格式、测量不确定度评定示例三部分。</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88" w:name="_Toc464728965"/>
      <w:bookmarkEnd w:id="1"/>
      <w:bookmarkEnd w:id="25"/>
      <w:r w:rsidRPr="00D743EA">
        <w:rPr>
          <w:rFonts w:ascii="Times New Roman"/>
        </w:rPr>
        <w:t>规范水平分析</w:t>
      </w:r>
      <w:bookmarkEnd w:id="88"/>
    </w:p>
    <w:p w:rsidR="00A91553" w:rsidRPr="00D743EA" w:rsidRDefault="006320F5">
      <w:pPr>
        <w:adjustRightInd w:val="0"/>
        <w:spacing w:line="360" w:lineRule="auto"/>
        <w:rPr>
          <w:rFonts w:eastAsia="黑体"/>
          <w:bCs/>
          <w:szCs w:val="21"/>
        </w:rPr>
      </w:pPr>
      <w:r w:rsidRPr="00D743EA">
        <w:rPr>
          <w:rFonts w:eastAsia="黑体"/>
          <w:bCs/>
          <w:szCs w:val="21"/>
        </w:rPr>
        <w:lastRenderedPageBreak/>
        <w:t>3.1</w:t>
      </w:r>
      <w:r w:rsidRPr="00D743EA">
        <w:rPr>
          <w:rFonts w:eastAsia="黑体"/>
          <w:bCs/>
          <w:szCs w:val="21"/>
        </w:rPr>
        <w:t>采用国际标准及国外先进规范的程度</w:t>
      </w:r>
    </w:p>
    <w:p w:rsidR="00A91553" w:rsidRPr="00D743EA" w:rsidRDefault="006320F5">
      <w:pPr>
        <w:adjustRightInd w:val="0"/>
        <w:spacing w:line="360" w:lineRule="auto"/>
        <w:ind w:firstLineChars="200" w:firstLine="420"/>
        <w:rPr>
          <w:bCs/>
          <w:szCs w:val="21"/>
        </w:rPr>
      </w:pPr>
      <w:r w:rsidRPr="00D743EA">
        <w:rPr>
          <w:bCs/>
          <w:szCs w:val="21"/>
        </w:rPr>
        <w:t>据查，目前国内外针对</w:t>
      </w:r>
      <w:r w:rsidR="00DA5DF0">
        <w:rPr>
          <w:rFonts w:hint="eastAsia"/>
        </w:rPr>
        <w:t>相控阵超声探伤仪</w:t>
      </w:r>
      <w:r w:rsidR="00DA7289" w:rsidRPr="00DA7289">
        <w:rPr>
          <w:rFonts w:hint="eastAsia"/>
        </w:rPr>
        <w:t>特性</w:t>
      </w:r>
      <w:r w:rsidRPr="00D743EA">
        <w:rPr>
          <w:bCs/>
          <w:szCs w:val="21"/>
        </w:rPr>
        <w:t>的校准规范，计量检测机构对</w:t>
      </w:r>
      <w:r w:rsidR="00DE2554">
        <w:rPr>
          <w:rFonts w:hint="eastAsia"/>
        </w:rPr>
        <w:t>相控阵超声探伤仪</w:t>
      </w:r>
      <w:r w:rsidRPr="00D743EA">
        <w:rPr>
          <w:bCs/>
          <w:szCs w:val="21"/>
        </w:rPr>
        <w:t>校准项目的选取以及校准方式参照</w:t>
      </w:r>
      <w:r w:rsidR="00DA7289">
        <w:rPr>
          <w:bCs/>
          <w:szCs w:val="21"/>
        </w:rPr>
        <w:t>当前</w:t>
      </w:r>
      <w:r w:rsidR="00486647">
        <w:rPr>
          <w:bCs/>
          <w:szCs w:val="21"/>
        </w:rPr>
        <w:t>已有的</w:t>
      </w:r>
      <w:r w:rsidR="00DE2554" w:rsidRPr="00DE2554">
        <w:rPr>
          <w:rFonts w:hint="eastAsia"/>
        </w:rPr>
        <w:t xml:space="preserve">JJF 1338-2012 </w:t>
      </w:r>
      <w:r w:rsidR="00DE2554" w:rsidRPr="00DE2554">
        <w:rPr>
          <w:rFonts w:hint="eastAsia"/>
        </w:rPr>
        <w:t>《相控阵超声探伤仪校准规范》，</w:t>
      </w:r>
      <w:r w:rsidR="00DE2554" w:rsidRPr="00DE2554">
        <w:rPr>
          <w:rFonts w:hint="eastAsia"/>
        </w:rPr>
        <w:t xml:space="preserve">ISO 18563-1:2022 </w:t>
      </w:r>
      <w:r w:rsidR="00DE2554" w:rsidRPr="00DE2554">
        <w:rPr>
          <w:rFonts w:hint="eastAsia"/>
        </w:rPr>
        <w:t>《无损检测仪器</w:t>
      </w:r>
      <w:r w:rsidR="00DE2554" w:rsidRPr="00DE2554">
        <w:rPr>
          <w:rFonts w:hint="eastAsia"/>
        </w:rPr>
        <w:t xml:space="preserve"> </w:t>
      </w:r>
      <w:r w:rsidR="00DE2554" w:rsidRPr="00DE2554">
        <w:rPr>
          <w:rFonts w:hint="eastAsia"/>
        </w:rPr>
        <w:t>相控阵超声设备的性能与检验</w:t>
      </w:r>
      <w:r w:rsidR="00DE2554" w:rsidRPr="00DE2554">
        <w:rPr>
          <w:rFonts w:hint="eastAsia"/>
        </w:rPr>
        <w:t xml:space="preserve"> </w:t>
      </w:r>
      <w:r w:rsidR="00DE2554" w:rsidRPr="00DE2554">
        <w:rPr>
          <w:rFonts w:hint="eastAsia"/>
        </w:rPr>
        <w:t>第</w:t>
      </w:r>
      <w:r w:rsidR="00DE2554" w:rsidRPr="00DE2554">
        <w:rPr>
          <w:rFonts w:hint="eastAsia"/>
        </w:rPr>
        <w:t>1</w:t>
      </w:r>
      <w:r w:rsidR="00DE2554" w:rsidRPr="00DE2554">
        <w:rPr>
          <w:rFonts w:hint="eastAsia"/>
        </w:rPr>
        <w:t>部分》</w:t>
      </w:r>
      <w:r w:rsidR="00486647">
        <w:t>等规范进行校准，这些规范存在时间过长的问题，本规范为</w:t>
      </w:r>
      <w:r w:rsidR="00D57AEE">
        <w:t>目前</w:t>
      </w:r>
      <w:r w:rsidR="00486647">
        <w:t>最新的校准方法</w:t>
      </w:r>
      <w:r w:rsidRPr="00D743EA">
        <w:t>。</w:t>
      </w:r>
    </w:p>
    <w:p w:rsidR="00A91553" w:rsidRPr="00D743EA" w:rsidRDefault="006320F5">
      <w:pPr>
        <w:adjustRightInd w:val="0"/>
        <w:spacing w:line="360" w:lineRule="auto"/>
        <w:rPr>
          <w:rFonts w:eastAsia="黑体"/>
          <w:bCs/>
          <w:szCs w:val="21"/>
        </w:rPr>
      </w:pPr>
      <w:r w:rsidRPr="00D743EA">
        <w:rPr>
          <w:rFonts w:eastAsia="黑体"/>
          <w:bCs/>
          <w:szCs w:val="21"/>
        </w:rPr>
        <w:t>3.2</w:t>
      </w:r>
      <w:r w:rsidRPr="00D743EA">
        <w:rPr>
          <w:rFonts w:eastAsia="黑体"/>
          <w:bCs/>
          <w:szCs w:val="21"/>
        </w:rPr>
        <w:t>与国际及国外同类标准水平的对比分析</w:t>
      </w:r>
    </w:p>
    <w:p w:rsidR="00A91553" w:rsidRPr="00D743EA" w:rsidRDefault="006320F5">
      <w:pPr>
        <w:spacing w:line="360" w:lineRule="auto"/>
        <w:ind w:firstLineChars="200" w:firstLine="420"/>
        <w:rPr>
          <w:bCs/>
          <w:sz w:val="18"/>
        </w:rPr>
      </w:pPr>
      <w:r w:rsidRPr="00D743EA">
        <w:rPr>
          <w:bCs/>
          <w:szCs w:val="21"/>
        </w:rPr>
        <w:t>目前国外没有相关技术规范，本规范水平达到国外先进水平。</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bCs/>
          <w:szCs w:val="21"/>
        </w:rPr>
        <w:t>与有关的现行法律、法规和强制性国家标准的关系</w:t>
      </w:r>
    </w:p>
    <w:p w:rsidR="00A91553" w:rsidRPr="00D743EA" w:rsidRDefault="006320F5">
      <w:pPr>
        <w:pStyle w:val="affe"/>
        <w:spacing w:line="300" w:lineRule="auto"/>
        <w:ind w:firstLine="420"/>
        <w:rPr>
          <w:rFonts w:ascii="Times New Roman" w:hAnsi="Times New Roman"/>
        </w:rPr>
      </w:pPr>
      <w:r w:rsidRPr="00D743EA">
        <w:rPr>
          <w:rFonts w:ascii="Times New Roman" w:hAnsi="Times New Roman"/>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89" w:name="_Toc464728973"/>
      <w:r w:rsidRPr="00D743EA">
        <w:rPr>
          <w:rFonts w:ascii="Times New Roman"/>
        </w:rPr>
        <w:t>规范中涉及的专利或知识产权说明</w:t>
      </w:r>
      <w:bookmarkEnd w:id="89"/>
    </w:p>
    <w:p w:rsidR="00A91553" w:rsidRPr="00D743EA" w:rsidRDefault="006320F5">
      <w:pPr>
        <w:pStyle w:val="affe"/>
        <w:spacing w:line="300" w:lineRule="auto"/>
        <w:ind w:firstLineChars="0"/>
        <w:contextualSpacing/>
        <w:rPr>
          <w:rFonts w:ascii="Times New Roman" w:hAnsi="Times New Roman"/>
          <w:szCs w:val="21"/>
        </w:rPr>
      </w:pPr>
      <w:bookmarkStart w:id="90" w:name="_Toc464728974"/>
      <w:r w:rsidRPr="00D743EA">
        <w:rPr>
          <w:rFonts w:ascii="Times New Roman" w:hAnsi="Times New Roman"/>
          <w:szCs w:val="21"/>
        </w:rPr>
        <w:t>（无）</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重大分歧意见的处理经过和依据</w:t>
      </w:r>
      <w:bookmarkEnd w:id="90"/>
    </w:p>
    <w:p w:rsidR="00A91553" w:rsidRPr="00D743EA" w:rsidRDefault="006320F5">
      <w:pPr>
        <w:pStyle w:val="affe"/>
        <w:spacing w:line="300" w:lineRule="auto"/>
        <w:ind w:firstLine="420"/>
        <w:contextualSpacing/>
        <w:rPr>
          <w:rFonts w:ascii="Times New Roman" w:hAnsi="Times New Roman"/>
          <w:szCs w:val="21"/>
        </w:rPr>
      </w:pPr>
      <w:r w:rsidRPr="00D743EA">
        <w:rPr>
          <w:rFonts w:ascii="Times New Roman" w:hAnsi="Times New Roman"/>
          <w:szCs w:val="21"/>
        </w:rPr>
        <w:t>（无）</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规范作为强制性或推荐性国家（或行业）标准的建议</w:t>
      </w:r>
    </w:p>
    <w:p w:rsidR="00A91553" w:rsidRPr="00D743EA" w:rsidRDefault="006320F5">
      <w:pPr>
        <w:adjustRightInd w:val="0"/>
        <w:spacing w:line="360" w:lineRule="auto"/>
        <w:ind w:firstLineChars="200" w:firstLine="420"/>
        <w:rPr>
          <w:bCs/>
          <w:szCs w:val="21"/>
        </w:rPr>
      </w:pPr>
      <w:r w:rsidRPr="00D743EA">
        <w:rPr>
          <w:bCs/>
          <w:szCs w:val="21"/>
        </w:rPr>
        <w:t>建议本规范作为推荐性行业计量技术规范，供相关行业参考采用。</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91" w:name="_Toc464728976"/>
      <w:r w:rsidRPr="00D743EA">
        <w:rPr>
          <w:rFonts w:ascii="Times New Roman"/>
        </w:rPr>
        <w:t>贯彻规范的要求和措施建议</w:t>
      </w:r>
      <w:bookmarkEnd w:id="91"/>
    </w:p>
    <w:p w:rsidR="00A91553" w:rsidRPr="00D743EA" w:rsidRDefault="006320F5">
      <w:pPr>
        <w:pStyle w:val="affe"/>
        <w:spacing w:line="300" w:lineRule="auto"/>
        <w:ind w:firstLine="420"/>
        <w:contextualSpacing/>
        <w:rPr>
          <w:rFonts w:ascii="Times New Roman" w:hAnsi="Times New Roman"/>
          <w:szCs w:val="21"/>
        </w:rPr>
      </w:pPr>
      <w:r w:rsidRPr="00D743EA">
        <w:rPr>
          <w:rFonts w:ascii="Times New Roman" w:hAnsi="Times New Roman"/>
          <w:szCs w:val="21"/>
        </w:rPr>
        <w:t>本规范发布后，中国有色金属行业协会和有色金属行业计量技术委员会应加强本规范的宣传力度，促进</w:t>
      </w:r>
      <w:r w:rsidR="008C6FB7">
        <w:rPr>
          <w:rFonts w:ascii="Times New Roman" w:hAnsi="Times New Roman" w:hint="eastAsia"/>
        </w:rPr>
        <w:t>相控阵超声探伤仪</w:t>
      </w:r>
      <w:r w:rsidRPr="00D743EA">
        <w:rPr>
          <w:rFonts w:ascii="Times New Roman" w:hAnsi="Times New Roman"/>
          <w:szCs w:val="21"/>
        </w:rPr>
        <w:t>生产厂家按照实际情况合理选用校准规程，以促进我国企业的技术进步和产品质量上档次，提高我国产品在国际国内市场的竞争能力。</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bookmarkStart w:id="92" w:name="_Toc464728977"/>
      <w:r w:rsidRPr="00D743EA">
        <w:rPr>
          <w:rFonts w:ascii="Times New Roman"/>
        </w:rPr>
        <w:t>废止现行有关规范的建议</w:t>
      </w:r>
      <w:bookmarkEnd w:id="92"/>
    </w:p>
    <w:p w:rsidR="00A91553" w:rsidRPr="00D743EA" w:rsidRDefault="006320F5">
      <w:pPr>
        <w:pStyle w:val="affe"/>
        <w:spacing w:line="300" w:lineRule="auto"/>
        <w:ind w:firstLine="420"/>
        <w:contextualSpacing/>
        <w:rPr>
          <w:rFonts w:ascii="Times New Roman" w:hAnsi="Times New Roman"/>
          <w:szCs w:val="21"/>
        </w:rPr>
      </w:pPr>
      <w:r w:rsidRPr="00D743EA">
        <w:rPr>
          <w:rFonts w:ascii="Times New Roman" w:hAnsi="Times New Roman"/>
          <w:szCs w:val="21"/>
        </w:rPr>
        <w:t>（无）。</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预期效果</w:t>
      </w:r>
    </w:p>
    <w:p w:rsidR="00A91553" w:rsidRPr="00D743EA" w:rsidRDefault="006320F5">
      <w:pPr>
        <w:pStyle w:val="affe"/>
        <w:spacing w:line="300" w:lineRule="auto"/>
        <w:ind w:firstLineChars="0"/>
        <w:contextualSpacing/>
        <w:rPr>
          <w:rFonts w:ascii="Times New Roman" w:hAnsi="Times New Roman"/>
          <w:szCs w:val="21"/>
        </w:rPr>
      </w:pPr>
      <w:r w:rsidRPr="00D743EA">
        <w:rPr>
          <w:rFonts w:ascii="Times New Roman" w:hAnsi="Times New Roman"/>
          <w:kern w:val="2"/>
          <w:szCs w:val="21"/>
        </w:rPr>
        <w:lastRenderedPageBreak/>
        <w:t>本规范的制定，具有极大的经济效益和社会效益，填补了有色金属行业领域校准空白，对</w:t>
      </w:r>
      <w:r w:rsidR="00E21134">
        <w:rPr>
          <w:rFonts w:ascii="Times New Roman" w:hAnsi="Times New Roman" w:hint="eastAsia"/>
        </w:rPr>
        <w:t>相控阵超声探伤仪</w:t>
      </w:r>
      <w:r w:rsidR="00FC3C5F" w:rsidRPr="00FC3C5F">
        <w:rPr>
          <w:rFonts w:ascii="Times New Roman" w:hAnsi="Times New Roman" w:hint="eastAsia"/>
        </w:rPr>
        <w:t>特性</w:t>
      </w:r>
      <w:r w:rsidRPr="00D743EA">
        <w:rPr>
          <w:rFonts w:ascii="Times New Roman" w:hAnsi="Times New Roman"/>
        </w:rPr>
        <w:t>的</w:t>
      </w:r>
      <w:r w:rsidRPr="00D743EA">
        <w:rPr>
          <w:rFonts w:ascii="Times New Roman" w:hAnsi="Times New Roman"/>
          <w:szCs w:val="21"/>
        </w:rPr>
        <w:t>校准过程提供了技术支撑。</w:t>
      </w:r>
    </w:p>
    <w:p w:rsidR="00A91553" w:rsidRPr="00D743EA" w:rsidRDefault="006320F5">
      <w:pPr>
        <w:pStyle w:val="afff9"/>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bCs/>
          <w:szCs w:val="21"/>
        </w:rPr>
        <w:t>其他应予说明的事项</w:t>
      </w:r>
    </w:p>
    <w:p w:rsidR="00A91553" w:rsidRPr="00D743EA" w:rsidRDefault="006320F5">
      <w:pPr>
        <w:pStyle w:val="affe"/>
        <w:spacing w:line="300" w:lineRule="auto"/>
        <w:ind w:firstLineChars="0"/>
        <w:contextualSpacing/>
        <w:rPr>
          <w:rFonts w:ascii="Times New Roman" w:hAnsi="Times New Roman"/>
          <w:szCs w:val="21"/>
        </w:rPr>
      </w:pPr>
      <w:r w:rsidRPr="00D743EA">
        <w:rPr>
          <w:rFonts w:ascii="Times New Roman" w:hAnsi="Times New Roman"/>
          <w:szCs w:val="21"/>
        </w:rPr>
        <w:t>（无）。</w:t>
      </w:r>
    </w:p>
    <w:p w:rsidR="00A91553" w:rsidRPr="00D743EA" w:rsidRDefault="006320F5">
      <w:pPr>
        <w:pStyle w:val="affe"/>
        <w:spacing w:line="300" w:lineRule="auto"/>
        <w:ind w:firstLineChars="0"/>
        <w:contextualSpacing/>
        <w:jc w:val="right"/>
        <w:rPr>
          <w:rFonts w:ascii="Times New Roman" w:hAnsi="Times New Roman"/>
          <w:szCs w:val="21"/>
        </w:rPr>
      </w:pPr>
      <w:r w:rsidRPr="00D743EA">
        <w:rPr>
          <w:rFonts w:ascii="Times New Roman" w:eastAsia="黑体" w:hAnsi="Times New Roman"/>
          <w:bCs/>
        </w:rPr>
        <w:t xml:space="preserve">  </w:t>
      </w:r>
      <w:r w:rsidRPr="00D743EA">
        <w:rPr>
          <w:rFonts w:ascii="Times New Roman" w:eastAsia="方正行楷简体" w:hAnsi="Times New Roman"/>
          <w:bCs/>
          <w:szCs w:val="21"/>
        </w:rPr>
        <w:t>《</w:t>
      </w:r>
      <w:r w:rsidR="00E21134">
        <w:rPr>
          <w:rFonts w:ascii="Times New Roman" w:hAnsi="Times New Roman" w:hint="eastAsia"/>
        </w:rPr>
        <w:t>相控阵超声探伤仪</w:t>
      </w:r>
      <w:r w:rsidRPr="00D743EA">
        <w:rPr>
          <w:rFonts w:ascii="Times New Roman" w:hAnsi="Times New Roman"/>
          <w:szCs w:val="21"/>
        </w:rPr>
        <w:t>校准规范</w:t>
      </w:r>
      <w:r w:rsidRPr="00D743EA">
        <w:rPr>
          <w:rFonts w:ascii="Times New Roman" w:eastAsia="方正行楷简体" w:hAnsi="Times New Roman"/>
          <w:bCs/>
          <w:szCs w:val="21"/>
        </w:rPr>
        <w:t>》编制组</w:t>
      </w:r>
      <w:r w:rsidRPr="00D743EA">
        <w:rPr>
          <w:rFonts w:ascii="Times New Roman" w:eastAsia="方正行楷简体" w:hAnsi="Times New Roman"/>
          <w:bCs/>
          <w:szCs w:val="21"/>
        </w:rPr>
        <w:t xml:space="preserve">  202</w:t>
      </w:r>
      <w:r w:rsidR="00FF490F">
        <w:rPr>
          <w:rFonts w:ascii="Times New Roman" w:eastAsia="方正行楷简体" w:hAnsi="Times New Roman" w:hint="eastAsia"/>
          <w:bCs/>
          <w:szCs w:val="21"/>
        </w:rPr>
        <w:t>5</w:t>
      </w:r>
      <w:r w:rsidRPr="00D743EA">
        <w:rPr>
          <w:rFonts w:ascii="Times New Roman" w:eastAsia="方正行楷简体" w:hAnsi="Times New Roman"/>
          <w:bCs/>
          <w:szCs w:val="21"/>
        </w:rPr>
        <w:t>年</w:t>
      </w:r>
      <w:r w:rsidR="00FF490F">
        <w:rPr>
          <w:rFonts w:ascii="Times New Roman" w:eastAsia="方正行楷简体" w:hAnsi="Times New Roman" w:hint="eastAsia"/>
          <w:bCs/>
          <w:szCs w:val="21"/>
        </w:rPr>
        <w:t>4</w:t>
      </w:r>
      <w:bookmarkStart w:id="93" w:name="_GoBack"/>
      <w:bookmarkEnd w:id="93"/>
      <w:r w:rsidRPr="00D743EA">
        <w:rPr>
          <w:rFonts w:ascii="Times New Roman" w:eastAsia="方正行楷简体" w:hAnsi="Times New Roman"/>
          <w:bCs/>
          <w:szCs w:val="21"/>
        </w:rPr>
        <w:t>月</w:t>
      </w:r>
    </w:p>
    <w:p w:rsidR="00A91553" w:rsidRPr="00D743EA" w:rsidRDefault="00A91553" w:rsidP="00A91553">
      <w:pPr>
        <w:pStyle w:val="affe"/>
        <w:spacing w:line="300" w:lineRule="auto"/>
        <w:ind w:firstLine="420"/>
        <w:contextualSpacing/>
        <w:rPr>
          <w:rFonts w:ascii="Times New Roman" w:hAnsi="Times New Roman"/>
          <w:szCs w:val="21"/>
        </w:rPr>
      </w:pPr>
    </w:p>
    <w:sectPr w:rsidR="00A91553" w:rsidRPr="00D743EA">
      <w:headerReference w:type="default" r:id="rId16"/>
      <w:footerReference w:type="default" r:id="rId17"/>
      <w:footerReference w:type="first" r:id="rId18"/>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A3" w:rsidRDefault="008117A3">
      <w:r>
        <w:separator/>
      </w:r>
    </w:p>
  </w:endnote>
  <w:endnote w:type="continuationSeparator" w:id="0">
    <w:p w:rsidR="008117A3" w:rsidRDefault="0081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5"/>
      <w:rPr>
        <w:rStyle w:val="aff9"/>
      </w:rPr>
    </w:pPr>
    <w:r>
      <w:rPr>
        <w:rStyle w:val="aff9"/>
      </w:rPr>
      <w:fldChar w:fldCharType="begin"/>
    </w:r>
    <w:r>
      <w:rPr>
        <w:rStyle w:val="aff9"/>
      </w:rPr>
      <w:instrText xml:space="preserve">PAGE  </w:instrText>
    </w:r>
    <w:r>
      <w:rPr>
        <w:rStyle w:val="aff9"/>
      </w:rPr>
      <w:fldChar w:fldCharType="separate"/>
    </w:r>
    <w:r>
      <w:rPr>
        <w:rStyle w:val="aff9"/>
      </w:rPr>
      <w:t>II</w:t>
    </w:r>
    <w:r>
      <w:rPr>
        <w:rStyle w:val="aff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8"/>
      <w:rPr>
        <w:rStyle w:val="aff9"/>
      </w:rPr>
    </w:pPr>
    <w:r>
      <w:rPr>
        <w:rStyle w:val="aff9"/>
      </w:rPr>
      <w:fldChar w:fldCharType="begin"/>
    </w:r>
    <w:r>
      <w:rPr>
        <w:rStyle w:val="aff9"/>
      </w:rPr>
      <w:instrText xml:space="preserve">PAGE  </w:instrText>
    </w:r>
    <w:r>
      <w:rPr>
        <w:rStyle w:val="aff9"/>
      </w:rPr>
      <w:fldChar w:fldCharType="separate"/>
    </w:r>
    <w:r w:rsidR="00FF490F">
      <w:rPr>
        <w:rStyle w:val="aff9"/>
        <w:noProof/>
      </w:rPr>
      <w:t>I</w:t>
    </w:r>
    <w:r>
      <w:rPr>
        <w:rStyle w:val="af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8"/>
      <w:jc w:val="center"/>
      <w:rPr>
        <w:rStyle w:val="aff9"/>
      </w:rPr>
    </w:pPr>
    <w:r>
      <w:fldChar w:fldCharType="begin"/>
    </w:r>
    <w:r>
      <w:rPr>
        <w:rStyle w:val="aff9"/>
      </w:rPr>
      <w:instrText xml:space="preserve">PAGE  </w:instrText>
    </w:r>
    <w:r>
      <w:fldChar w:fldCharType="separate"/>
    </w:r>
    <w:r w:rsidR="00FF490F">
      <w:rPr>
        <w:rStyle w:val="aff9"/>
        <w:noProof/>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pPr>
      <w:pStyle w:val="aff0"/>
      <w:jc w:val="both"/>
    </w:pPr>
  </w:p>
  <w:p w:rsidR="00A91553" w:rsidRDefault="006320F5">
    <w:pPr>
      <w:pStyle w:val="aff0"/>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A3" w:rsidRDefault="008117A3">
      <w:r>
        <w:separator/>
      </w:r>
    </w:p>
  </w:footnote>
  <w:footnote w:type="continuationSeparator" w:id="0">
    <w:p w:rsidR="008117A3" w:rsidRDefault="00811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rsidP="00FD3C65">
    <w:pPr>
      <w:pStyle w:val="afff1"/>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2"/>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7947F5"/>
    <w:multiLevelType w:val="multilevel"/>
    <w:tmpl w:val="297947F5"/>
    <w:lvl w:ilvl="0">
      <w:start w:val="1"/>
      <w:numFmt w:val="japaneseCounting"/>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693668"/>
    <w:rsid w:val="00001F60"/>
    <w:rsid w:val="000038F0"/>
    <w:rsid w:val="00004648"/>
    <w:rsid w:val="00013992"/>
    <w:rsid w:val="00014C66"/>
    <w:rsid w:val="000211BF"/>
    <w:rsid w:val="00021A9F"/>
    <w:rsid w:val="000237D4"/>
    <w:rsid w:val="0002700F"/>
    <w:rsid w:val="000306E4"/>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5C42"/>
    <w:rsid w:val="000C772A"/>
    <w:rsid w:val="000C794F"/>
    <w:rsid w:val="000D1F80"/>
    <w:rsid w:val="000F15FB"/>
    <w:rsid w:val="000F714B"/>
    <w:rsid w:val="00100912"/>
    <w:rsid w:val="00104CBC"/>
    <w:rsid w:val="001135C9"/>
    <w:rsid w:val="001164A0"/>
    <w:rsid w:val="0012155C"/>
    <w:rsid w:val="00122AD8"/>
    <w:rsid w:val="00122CAF"/>
    <w:rsid w:val="00123CAD"/>
    <w:rsid w:val="00135907"/>
    <w:rsid w:val="00136813"/>
    <w:rsid w:val="0014120B"/>
    <w:rsid w:val="00150062"/>
    <w:rsid w:val="001527ED"/>
    <w:rsid w:val="001567DA"/>
    <w:rsid w:val="0016112D"/>
    <w:rsid w:val="00163830"/>
    <w:rsid w:val="0016493A"/>
    <w:rsid w:val="001859F4"/>
    <w:rsid w:val="0019431C"/>
    <w:rsid w:val="001A4F75"/>
    <w:rsid w:val="001B76E1"/>
    <w:rsid w:val="001C0648"/>
    <w:rsid w:val="001C13CE"/>
    <w:rsid w:val="001C7BB8"/>
    <w:rsid w:val="001D0501"/>
    <w:rsid w:val="001D6A71"/>
    <w:rsid w:val="001E0288"/>
    <w:rsid w:val="001E09C6"/>
    <w:rsid w:val="001F5BEC"/>
    <w:rsid w:val="001F6C6F"/>
    <w:rsid w:val="0020375B"/>
    <w:rsid w:val="00220437"/>
    <w:rsid w:val="00225EC9"/>
    <w:rsid w:val="00235374"/>
    <w:rsid w:val="00247A7D"/>
    <w:rsid w:val="00255EB1"/>
    <w:rsid w:val="002618A8"/>
    <w:rsid w:val="002732FF"/>
    <w:rsid w:val="00275F7A"/>
    <w:rsid w:val="00280BE9"/>
    <w:rsid w:val="002849BB"/>
    <w:rsid w:val="00291548"/>
    <w:rsid w:val="002977EC"/>
    <w:rsid w:val="002A1305"/>
    <w:rsid w:val="002A45F0"/>
    <w:rsid w:val="002B225D"/>
    <w:rsid w:val="002D0634"/>
    <w:rsid w:val="002D16B1"/>
    <w:rsid w:val="002D2103"/>
    <w:rsid w:val="002E6C19"/>
    <w:rsid w:val="002F4E61"/>
    <w:rsid w:val="002F6135"/>
    <w:rsid w:val="003012C4"/>
    <w:rsid w:val="00305CB9"/>
    <w:rsid w:val="00307A90"/>
    <w:rsid w:val="003113C5"/>
    <w:rsid w:val="00314BA2"/>
    <w:rsid w:val="0032338B"/>
    <w:rsid w:val="0033057E"/>
    <w:rsid w:val="003318C1"/>
    <w:rsid w:val="00335FEC"/>
    <w:rsid w:val="0034125E"/>
    <w:rsid w:val="00343AD0"/>
    <w:rsid w:val="00352269"/>
    <w:rsid w:val="00366AF1"/>
    <w:rsid w:val="003711BF"/>
    <w:rsid w:val="00373555"/>
    <w:rsid w:val="00397407"/>
    <w:rsid w:val="003A2156"/>
    <w:rsid w:val="003B0148"/>
    <w:rsid w:val="003B314C"/>
    <w:rsid w:val="003C2376"/>
    <w:rsid w:val="003C685D"/>
    <w:rsid w:val="003E10E7"/>
    <w:rsid w:val="003E237F"/>
    <w:rsid w:val="003E6B09"/>
    <w:rsid w:val="003F2C11"/>
    <w:rsid w:val="00400515"/>
    <w:rsid w:val="00400BF2"/>
    <w:rsid w:val="0040777C"/>
    <w:rsid w:val="00411DC2"/>
    <w:rsid w:val="00415481"/>
    <w:rsid w:val="00416978"/>
    <w:rsid w:val="00423CBD"/>
    <w:rsid w:val="00423FDF"/>
    <w:rsid w:val="0042558A"/>
    <w:rsid w:val="004257BB"/>
    <w:rsid w:val="00425D1F"/>
    <w:rsid w:val="004315D8"/>
    <w:rsid w:val="00441D4A"/>
    <w:rsid w:val="004508BB"/>
    <w:rsid w:val="00455FE9"/>
    <w:rsid w:val="0046211B"/>
    <w:rsid w:val="00464019"/>
    <w:rsid w:val="0048362B"/>
    <w:rsid w:val="00486647"/>
    <w:rsid w:val="00497039"/>
    <w:rsid w:val="004A1291"/>
    <w:rsid w:val="004A27E5"/>
    <w:rsid w:val="004B1DE2"/>
    <w:rsid w:val="004B3BD5"/>
    <w:rsid w:val="004C4790"/>
    <w:rsid w:val="004C6FDF"/>
    <w:rsid w:val="004D46FE"/>
    <w:rsid w:val="004E1361"/>
    <w:rsid w:val="004E2FD4"/>
    <w:rsid w:val="004E4C45"/>
    <w:rsid w:val="004E5080"/>
    <w:rsid w:val="00521FA9"/>
    <w:rsid w:val="00526AEB"/>
    <w:rsid w:val="0052761B"/>
    <w:rsid w:val="005305AE"/>
    <w:rsid w:val="00531FA0"/>
    <w:rsid w:val="00536268"/>
    <w:rsid w:val="00536BFA"/>
    <w:rsid w:val="005535AA"/>
    <w:rsid w:val="0055489A"/>
    <w:rsid w:val="00556AC4"/>
    <w:rsid w:val="005608DA"/>
    <w:rsid w:val="00567271"/>
    <w:rsid w:val="005709C3"/>
    <w:rsid w:val="0059121E"/>
    <w:rsid w:val="005924E7"/>
    <w:rsid w:val="00593500"/>
    <w:rsid w:val="005944B9"/>
    <w:rsid w:val="005A5A5D"/>
    <w:rsid w:val="005A7971"/>
    <w:rsid w:val="005B2B0B"/>
    <w:rsid w:val="005B3A80"/>
    <w:rsid w:val="005B5BAB"/>
    <w:rsid w:val="005C0BE7"/>
    <w:rsid w:val="005C2448"/>
    <w:rsid w:val="005C769A"/>
    <w:rsid w:val="005D60F8"/>
    <w:rsid w:val="005D7687"/>
    <w:rsid w:val="005E67C7"/>
    <w:rsid w:val="005F42DD"/>
    <w:rsid w:val="005F759F"/>
    <w:rsid w:val="00601ADF"/>
    <w:rsid w:val="00606487"/>
    <w:rsid w:val="00613632"/>
    <w:rsid w:val="00623451"/>
    <w:rsid w:val="00624A40"/>
    <w:rsid w:val="00625140"/>
    <w:rsid w:val="0062664E"/>
    <w:rsid w:val="00627726"/>
    <w:rsid w:val="006320F5"/>
    <w:rsid w:val="00633572"/>
    <w:rsid w:val="00636E32"/>
    <w:rsid w:val="00637AB5"/>
    <w:rsid w:val="00640443"/>
    <w:rsid w:val="00642A06"/>
    <w:rsid w:val="00644C6D"/>
    <w:rsid w:val="006510D6"/>
    <w:rsid w:val="00660A77"/>
    <w:rsid w:val="00667FDB"/>
    <w:rsid w:val="00672533"/>
    <w:rsid w:val="006738AA"/>
    <w:rsid w:val="00676748"/>
    <w:rsid w:val="006820CD"/>
    <w:rsid w:val="00683E68"/>
    <w:rsid w:val="00686643"/>
    <w:rsid w:val="00693668"/>
    <w:rsid w:val="006B3185"/>
    <w:rsid w:val="006B43C4"/>
    <w:rsid w:val="006B56BB"/>
    <w:rsid w:val="006C188A"/>
    <w:rsid w:val="006C2258"/>
    <w:rsid w:val="006C2AF8"/>
    <w:rsid w:val="006D1B98"/>
    <w:rsid w:val="006D68A7"/>
    <w:rsid w:val="006D7E99"/>
    <w:rsid w:val="006E11F0"/>
    <w:rsid w:val="00700A25"/>
    <w:rsid w:val="00724E03"/>
    <w:rsid w:val="00733C71"/>
    <w:rsid w:val="00735A75"/>
    <w:rsid w:val="007373AB"/>
    <w:rsid w:val="00740702"/>
    <w:rsid w:val="00743BA2"/>
    <w:rsid w:val="00743BAC"/>
    <w:rsid w:val="00746BAC"/>
    <w:rsid w:val="00750ED3"/>
    <w:rsid w:val="00764D0A"/>
    <w:rsid w:val="00765621"/>
    <w:rsid w:val="00770269"/>
    <w:rsid w:val="007878E5"/>
    <w:rsid w:val="007901C0"/>
    <w:rsid w:val="007902D1"/>
    <w:rsid w:val="007A3BEE"/>
    <w:rsid w:val="007A4B06"/>
    <w:rsid w:val="007B580F"/>
    <w:rsid w:val="007B6244"/>
    <w:rsid w:val="007C15E3"/>
    <w:rsid w:val="007E21C3"/>
    <w:rsid w:val="007E3483"/>
    <w:rsid w:val="007E56C9"/>
    <w:rsid w:val="00804BC8"/>
    <w:rsid w:val="008117A3"/>
    <w:rsid w:val="00817131"/>
    <w:rsid w:val="00820F69"/>
    <w:rsid w:val="00824B04"/>
    <w:rsid w:val="008353D7"/>
    <w:rsid w:val="00841A27"/>
    <w:rsid w:val="008461B6"/>
    <w:rsid w:val="0085122B"/>
    <w:rsid w:val="0086056F"/>
    <w:rsid w:val="0086378F"/>
    <w:rsid w:val="00865F38"/>
    <w:rsid w:val="008673E6"/>
    <w:rsid w:val="008754EE"/>
    <w:rsid w:val="00876D87"/>
    <w:rsid w:val="008840F2"/>
    <w:rsid w:val="008B22FC"/>
    <w:rsid w:val="008B38E0"/>
    <w:rsid w:val="008B642C"/>
    <w:rsid w:val="008C16C8"/>
    <w:rsid w:val="008C672E"/>
    <w:rsid w:val="008C6FB7"/>
    <w:rsid w:val="008C7D6D"/>
    <w:rsid w:val="008E0E28"/>
    <w:rsid w:val="008E415E"/>
    <w:rsid w:val="008F1961"/>
    <w:rsid w:val="008F5DCA"/>
    <w:rsid w:val="009034C1"/>
    <w:rsid w:val="009052E4"/>
    <w:rsid w:val="009111C1"/>
    <w:rsid w:val="00913ED1"/>
    <w:rsid w:val="009148E0"/>
    <w:rsid w:val="00921F0C"/>
    <w:rsid w:val="00933D2C"/>
    <w:rsid w:val="009359EC"/>
    <w:rsid w:val="00944D55"/>
    <w:rsid w:val="00946B7D"/>
    <w:rsid w:val="009513C5"/>
    <w:rsid w:val="00954DA4"/>
    <w:rsid w:val="00967A11"/>
    <w:rsid w:val="00967BBB"/>
    <w:rsid w:val="00971240"/>
    <w:rsid w:val="009737CF"/>
    <w:rsid w:val="00982373"/>
    <w:rsid w:val="009919FE"/>
    <w:rsid w:val="009A12AB"/>
    <w:rsid w:val="009B4929"/>
    <w:rsid w:val="009B561F"/>
    <w:rsid w:val="009C0597"/>
    <w:rsid w:val="009C2D10"/>
    <w:rsid w:val="009C3FBE"/>
    <w:rsid w:val="009D0283"/>
    <w:rsid w:val="009D4598"/>
    <w:rsid w:val="009D79FA"/>
    <w:rsid w:val="009E3D09"/>
    <w:rsid w:val="009F420F"/>
    <w:rsid w:val="00A06113"/>
    <w:rsid w:val="00A07D5A"/>
    <w:rsid w:val="00A11A21"/>
    <w:rsid w:val="00A12727"/>
    <w:rsid w:val="00A1378A"/>
    <w:rsid w:val="00A1497C"/>
    <w:rsid w:val="00A15577"/>
    <w:rsid w:val="00A217C9"/>
    <w:rsid w:val="00A27370"/>
    <w:rsid w:val="00A30766"/>
    <w:rsid w:val="00A3211C"/>
    <w:rsid w:val="00A363F7"/>
    <w:rsid w:val="00A40585"/>
    <w:rsid w:val="00A40E4F"/>
    <w:rsid w:val="00A419FA"/>
    <w:rsid w:val="00A433E8"/>
    <w:rsid w:val="00A47FE2"/>
    <w:rsid w:val="00A55144"/>
    <w:rsid w:val="00A56163"/>
    <w:rsid w:val="00A570CD"/>
    <w:rsid w:val="00A57E1E"/>
    <w:rsid w:val="00A57FA5"/>
    <w:rsid w:val="00A77511"/>
    <w:rsid w:val="00A7790F"/>
    <w:rsid w:val="00A8043A"/>
    <w:rsid w:val="00A8426B"/>
    <w:rsid w:val="00A86AF0"/>
    <w:rsid w:val="00A872B0"/>
    <w:rsid w:val="00A87866"/>
    <w:rsid w:val="00A91553"/>
    <w:rsid w:val="00AA53FB"/>
    <w:rsid w:val="00AB1F90"/>
    <w:rsid w:val="00AC0924"/>
    <w:rsid w:val="00AC1E7A"/>
    <w:rsid w:val="00AD093B"/>
    <w:rsid w:val="00AD2E0B"/>
    <w:rsid w:val="00AD5E7E"/>
    <w:rsid w:val="00AE0B35"/>
    <w:rsid w:val="00AE47AC"/>
    <w:rsid w:val="00AE69D6"/>
    <w:rsid w:val="00AF7111"/>
    <w:rsid w:val="00B056DA"/>
    <w:rsid w:val="00B05E25"/>
    <w:rsid w:val="00B07889"/>
    <w:rsid w:val="00B07D3B"/>
    <w:rsid w:val="00B173B2"/>
    <w:rsid w:val="00B369B6"/>
    <w:rsid w:val="00B43636"/>
    <w:rsid w:val="00B45E9C"/>
    <w:rsid w:val="00B51F09"/>
    <w:rsid w:val="00B53389"/>
    <w:rsid w:val="00B5408F"/>
    <w:rsid w:val="00B60FA7"/>
    <w:rsid w:val="00B614F2"/>
    <w:rsid w:val="00B706F7"/>
    <w:rsid w:val="00B7116A"/>
    <w:rsid w:val="00B75677"/>
    <w:rsid w:val="00B817F8"/>
    <w:rsid w:val="00B943DA"/>
    <w:rsid w:val="00BA5A9E"/>
    <w:rsid w:val="00BB316D"/>
    <w:rsid w:val="00BB3712"/>
    <w:rsid w:val="00BB4554"/>
    <w:rsid w:val="00BB7985"/>
    <w:rsid w:val="00BC66A0"/>
    <w:rsid w:val="00BC6B82"/>
    <w:rsid w:val="00BD599C"/>
    <w:rsid w:val="00BF4703"/>
    <w:rsid w:val="00C03A4F"/>
    <w:rsid w:val="00C058B2"/>
    <w:rsid w:val="00C10883"/>
    <w:rsid w:val="00C113A5"/>
    <w:rsid w:val="00C133C2"/>
    <w:rsid w:val="00C2681C"/>
    <w:rsid w:val="00C27739"/>
    <w:rsid w:val="00C3112F"/>
    <w:rsid w:val="00C34261"/>
    <w:rsid w:val="00C40CAE"/>
    <w:rsid w:val="00C5059F"/>
    <w:rsid w:val="00C53BDD"/>
    <w:rsid w:val="00C55028"/>
    <w:rsid w:val="00C5550F"/>
    <w:rsid w:val="00C57BAB"/>
    <w:rsid w:val="00C65821"/>
    <w:rsid w:val="00C66C85"/>
    <w:rsid w:val="00C70EA3"/>
    <w:rsid w:val="00C7537E"/>
    <w:rsid w:val="00C8056F"/>
    <w:rsid w:val="00C81A49"/>
    <w:rsid w:val="00C86EE5"/>
    <w:rsid w:val="00CB750D"/>
    <w:rsid w:val="00CB7CDF"/>
    <w:rsid w:val="00CC3C55"/>
    <w:rsid w:val="00CC3DDD"/>
    <w:rsid w:val="00CC491D"/>
    <w:rsid w:val="00CC51F6"/>
    <w:rsid w:val="00CC52E3"/>
    <w:rsid w:val="00CD2D13"/>
    <w:rsid w:val="00CD759E"/>
    <w:rsid w:val="00CF3CAA"/>
    <w:rsid w:val="00D01726"/>
    <w:rsid w:val="00D16568"/>
    <w:rsid w:val="00D17115"/>
    <w:rsid w:val="00D25D69"/>
    <w:rsid w:val="00D436F5"/>
    <w:rsid w:val="00D57AEE"/>
    <w:rsid w:val="00D6471A"/>
    <w:rsid w:val="00D660E5"/>
    <w:rsid w:val="00D71DEC"/>
    <w:rsid w:val="00D743EA"/>
    <w:rsid w:val="00D81C1D"/>
    <w:rsid w:val="00D85454"/>
    <w:rsid w:val="00D86648"/>
    <w:rsid w:val="00D868FC"/>
    <w:rsid w:val="00D903E4"/>
    <w:rsid w:val="00DA22D1"/>
    <w:rsid w:val="00DA3611"/>
    <w:rsid w:val="00DA5DF0"/>
    <w:rsid w:val="00DA7289"/>
    <w:rsid w:val="00DB4F65"/>
    <w:rsid w:val="00DC27E6"/>
    <w:rsid w:val="00DD6769"/>
    <w:rsid w:val="00DD7D39"/>
    <w:rsid w:val="00DE144C"/>
    <w:rsid w:val="00DE2554"/>
    <w:rsid w:val="00DE5995"/>
    <w:rsid w:val="00DE6053"/>
    <w:rsid w:val="00E019C6"/>
    <w:rsid w:val="00E21134"/>
    <w:rsid w:val="00E22714"/>
    <w:rsid w:val="00E23465"/>
    <w:rsid w:val="00E31A7B"/>
    <w:rsid w:val="00E32480"/>
    <w:rsid w:val="00E34594"/>
    <w:rsid w:val="00E5240D"/>
    <w:rsid w:val="00E544F0"/>
    <w:rsid w:val="00E71DCC"/>
    <w:rsid w:val="00E734F2"/>
    <w:rsid w:val="00E82471"/>
    <w:rsid w:val="00E84D9C"/>
    <w:rsid w:val="00E911BC"/>
    <w:rsid w:val="00EA26FD"/>
    <w:rsid w:val="00EB2994"/>
    <w:rsid w:val="00EC149D"/>
    <w:rsid w:val="00ED5F91"/>
    <w:rsid w:val="00ED67DD"/>
    <w:rsid w:val="00EE0476"/>
    <w:rsid w:val="00EE5988"/>
    <w:rsid w:val="00F10C9E"/>
    <w:rsid w:val="00F13CE4"/>
    <w:rsid w:val="00F14A09"/>
    <w:rsid w:val="00F22B01"/>
    <w:rsid w:val="00F32186"/>
    <w:rsid w:val="00F3447A"/>
    <w:rsid w:val="00F37C1A"/>
    <w:rsid w:val="00F45BA8"/>
    <w:rsid w:val="00F507FB"/>
    <w:rsid w:val="00F533AD"/>
    <w:rsid w:val="00F5644A"/>
    <w:rsid w:val="00F7167F"/>
    <w:rsid w:val="00F71F31"/>
    <w:rsid w:val="00F7369D"/>
    <w:rsid w:val="00F75CBA"/>
    <w:rsid w:val="00F80059"/>
    <w:rsid w:val="00F812C6"/>
    <w:rsid w:val="00F91E84"/>
    <w:rsid w:val="00FA4CA4"/>
    <w:rsid w:val="00FA5F49"/>
    <w:rsid w:val="00FA6198"/>
    <w:rsid w:val="00FA7260"/>
    <w:rsid w:val="00FA7FB2"/>
    <w:rsid w:val="00FC3C5F"/>
    <w:rsid w:val="00FC7BF3"/>
    <w:rsid w:val="00FD235D"/>
    <w:rsid w:val="00FD3C65"/>
    <w:rsid w:val="00FD7FCA"/>
    <w:rsid w:val="00FE0C1C"/>
    <w:rsid w:val="00FE17CA"/>
    <w:rsid w:val="00FE1932"/>
    <w:rsid w:val="00FE1A74"/>
    <w:rsid w:val="00FE36D2"/>
    <w:rsid w:val="00FE4ACB"/>
    <w:rsid w:val="00FF490F"/>
    <w:rsid w:val="00FF5630"/>
    <w:rsid w:val="01391B68"/>
    <w:rsid w:val="02F703B0"/>
    <w:rsid w:val="07DC0ED5"/>
    <w:rsid w:val="0904785D"/>
    <w:rsid w:val="09573966"/>
    <w:rsid w:val="0A781AE7"/>
    <w:rsid w:val="0CCA0314"/>
    <w:rsid w:val="0D975F7E"/>
    <w:rsid w:val="12995D7D"/>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4F68AC"/>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3">
    <w:name w:val="Normal"/>
    <w:qFormat/>
    <w:pPr>
      <w:widowControl w:val="0"/>
      <w:jc w:val="both"/>
    </w:pPr>
    <w:rPr>
      <w:rFonts w:ascii="Times New Roman" w:hAnsi="Times New Roman" w:cs="Times New Roman"/>
      <w:kern w:val="2"/>
      <w:sz w:val="21"/>
      <w:szCs w:val="24"/>
    </w:rPr>
  </w:style>
  <w:style w:type="paragraph" w:styleId="1">
    <w:name w:val="heading 1"/>
    <w:basedOn w:val="af3"/>
    <w:next w:val="af3"/>
    <w:link w:val="1Char"/>
    <w:qFormat/>
    <w:pPr>
      <w:keepNext/>
      <w:keepLines/>
      <w:spacing w:before="340" w:after="330" w:line="576" w:lineRule="auto"/>
      <w:outlineLvl w:val="0"/>
    </w:pPr>
    <w:rPr>
      <w:b/>
      <w:bCs/>
      <w:kern w:val="44"/>
      <w:sz w:val="44"/>
      <w:szCs w:val="44"/>
    </w:rPr>
  </w:style>
  <w:style w:type="paragraph" w:styleId="2">
    <w:name w:val="heading 2"/>
    <w:basedOn w:val="af3"/>
    <w:next w:val="af3"/>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3"/>
    <w:next w:val="af3"/>
    <w:link w:val="3Char"/>
    <w:qFormat/>
    <w:pPr>
      <w:keepNext/>
      <w:keepLines/>
      <w:spacing w:before="260" w:after="260" w:line="413" w:lineRule="auto"/>
      <w:outlineLvl w:val="2"/>
    </w:pPr>
    <w:rPr>
      <w:b/>
      <w:bCs/>
      <w:sz w:val="32"/>
      <w:szCs w:val="32"/>
    </w:rPr>
  </w:style>
  <w:style w:type="paragraph" w:styleId="4">
    <w:name w:val="heading 4"/>
    <w:basedOn w:val="af3"/>
    <w:next w:val="af3"/>
    <w:qFormat/>
    <w:pPr>
      <w:keepNext/>
      <w:keepLines/>
      <w:spacing w:before="280" w:after="290" w:line="372" w:lineRule="auto"/>
      <w:outlineLvl w:val="3"/>
    </w:pPr>
    <w:rPr>
      <w:rFonts w:ascii="Arial" w:eastAsia="黑体" w:hAnsi="Arial"/>
      <w:b/>
      <w:bCs/>
      <w:sz w:val="28"/>
      <w:szCs w:val="28"/>
    </w:rPr>
  </w:style>
  <w:style w:type="paragraph" w:styleId="5">
    <w:name w:val="heading 5"/>
    <w:basedOn w:val="af3"/>
    <w:next w:val="af3"/>
    <w:autoRedefine/>
    <w:qFormat/>
    <w:pPr>
      <w:keepNext/>
      <w:keepLines/>
      <w:spacing w:before="280" w:after="290" w:line="372" w:lineRule="auto"/>
      <w:outlineLvl w:val="4"/>
    </w:pPr>
    <w:rPr>
      <w:b/>
      <w:bCs/>
      <w:sz w:val="28"/>
      <w:szCs w:val="28"/>
    </w:rPr>
  </w:style>
  <w:style w:type="paragraph" w:styleId="6">
    <w:name w:val="heading 6"/>
    <w:basedOn w:val="af3"/>
    <w:next w:val="af3"/>
    <w:autoRedefine/>
    <w:qFormat/>
    <w:pPr>
      <w:keepNext/>
      <w:keepLines/>
      <w:spacing w:before="240" w:after="64" w:line="317" w:lineRule="auto"/>
      <w:outlineLvl w:val="5"/>
    </w:pPr>
    <w:rPr>
      <w:rFonts w:ascii="Arial" w:eastAsia="黑体" w:hAnsi="Arial"/>
      <w:b/>
      <w:bCs/>
      <w:sz w:val="24"/>
    </w:rPr>
  </w:style>
  <w:style w:type="paragraph" w:styleId="7">
    <w:name w:val="heading 7"/>
    <w:basedOn w:val="af3"/>
    <w:next w:val="af3"/>
    <w:autoRedefine/>
    <w:qFormat/>
    <w:pPr>
      <w:keepNext/>
      <w:keepLines/>
      <w:spacing w:before="240" w:after="64" w:line="317" w:lineRule="auto"/>
      <w:outlineLvl w:val="6"/>
    </w:pPr>
    <w:rPr>
      <w:b/>
      <w:bCs/>
      <w:sz w:val="24"/>
    </w:rPr>
  </w:style>
  <w:style w:type="paragraph" w:styleId="8">
    <w:name w:val="heading 8"/>
    <w:basedOn w:val="af3"/>
    <w:next w:val="af3"/>
    <w:qFormat/>
    <w:pPr>
      <w:keepNext/>
      <w:keepLines/>
      <w:spacing w:before="240" w:after="64" w:line="317" w:lineRule="auto"/>
      <w:outlineLvl w:val="7"/>
    </w:pPr>
    <w:rPr>
      <w:rFonts w:ascii="Arial" w:eastAsia="黑体" w:hAnsi="Arial"/>
      <w:sz w:val="24"/>
    </w:rPr>
  </w:style>
  <w:style w:type="paragraph" w:styleId="9">
    <w:name w:val="heading 9"/>
    <w:basedOn w:val="af3"/>
    <w:next w:val="af3"/>
    <w:qFormat/>
    <w:pPr>
      <w:keepNext/>
      <w:keepLines/>
      <w:spacing w:before="240" w:after="64" w:line="317"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70">
    <w:name w:val="toc 7"/>
    <w:basedOn w:val="60"/>
    <w:next w:val="af3"/>
    <w:autoRedefine/>
    <w:qFormat/>
  </w:style>
  <w:style w:type="paragraph" w:styleId="60">
    <w:name w:val="toc 6"/>
    <w:basedOn w:val="50"/>
    <w:next w:val="af3"/>
    <w:autoRedefine/>
    <w:qFormat/>
  </w:style>
  <w:style w:type="paragraph" w:styleId="50">
    <w:name w:val="toc 5"/>
    <w:basedOn w:val="40"/>
    <w:next w:val="af3"/>
    <w:autoRedefine/>
    <w:qFormat/>
  </w:style>
  <w:style w:type="paragraph" w:styleId="40">
    <w:name w:val="toc 4"/>
    <w:basedOn w:val="30"/>
    <w:next w:val="af3"/>
    <w:autoRedefine/>
    <w:qFormat/>
  </w:style>
  <w:style w:type="paragraph" w:styleId="30">
    <w:name w:val="toc 3"/>
    <w:basedOn w:val="20"/>
    <w:next w:val="af3"/>
    <w:autoRedefine/>
    <w:uiPriority w:val="39"/>
    <w:qFormat/>
  </w:style>
  <w:style w:type="paragraph" w:styleId="20">
    <w:name w:val="toc 2"/>
    <w:basedOn w:val="10"/>
    <w:next w:val="af3"/>
    <w:autoRedefine/>
    <w:uiPriority w:val="39"/>
    <w:qFormat/>
  </w:style>
  <w:style w:type="paragraph" w:styleId="10">
    <w:name w:val="toc 1"/>
    <w:next w:val="af3"/>
    <w:autoRedefine/>
    <w:uiPriority w:val="39"/>
    <w:qFormat/>
    <w:pPr>
      <w:jc w:val="both"/>
    </w:pPr>
    <w:rPr>
      <w:rFonts w:ascii="宋体" w:hAnsi="Times New Roman" w:cs="Times New Roman"/>
      <w:sz w:val="21"/>
    </w:rPr>
  </w:style>
  <w:style w:type="paragraph" w:styleId="af7">
    <w:name w:val="Normal Indent"/>
    <w:basedOn w:val="af3"/>
    <w:autoRedefine/>
    <w:qFormat/>
    <w:pPr>
      <w:ind w:firstLine="420"/>
    </w:pPr>
    <w:rPr>
      <w:szCs w:val="20"/>
    </w:rPr>
  </w:style>
  <w:style w:type="paragraph" w:styleId="af8">
    <w:name w:val="caption"/>
    <w:basedOn w:val="af3"/>
    <w:next w:val="af3"/>
    <w:autoRedefine/>
    <w:qFormat/>
    <w:pPr>
      <w:spacing w:before="152" w:after="160"/>
    </w:pPr>
    <w:rPr>
      <w:rFonts w:ascii="Arial" w:eastAsia="黑体" w:hAnsi="Arial"/>
      <w:szCs w:val="20"/>
    </w:rPr>
  </w:style>
  <w:style w:type="paragraph" w:styleId="af9">
    <w:name w:val="annotation text"/>
    <w:basedOn w:val="af3"/>
    <w:link w:val="Char"/>
    <w:autoRedefine/>
    <w:qFormat/>
    <w:pPr>
      <w:jc w:val="left"/>
    </w:pPr>
  </w:style>
  <w:style w:type="paragraph" w:styleId="afa">
    <w:name w:val="Body Text"/>
    <w:basedOn w:val="af3"/>
    <w:link w:val="Char0"/>
    <w:autoRedefine/>
    <w:qFormat/>
    <w:pPr>
      <w:spacing w:after="120"/>
    </w:pPr>
  </w:style>
  <w:style w:type="paragraph" w:styleId="afb">
    <w:name w:val="Body Text Indent"/>
    <w:basedOn w:val="af3"/>
    <w:link w:val="Char1"/>
    <w:autoRedefine/>
    <w:qFormat/>
    <w:pPr>
      <w:spacing w:line="360" w:lineRule="exact"/>
      <w:ind w:left="420" w:firstLine="480"/>
    </w:pPr>
    <w:rPr>
      <w:sz w:val="24"/>
      <w:szCs w:val="20"/>
    </w:rPr>
  </w:style>
  <w:style w:type="paragraph" w:styleId="HTML">
    <w:name w:val="HTML Address"/>
    <w:basedOn w:val="af3"/>
    <w:autoRedefine/>
    <w:qFormat/>
    <w:rPr>
      <w:i/>
      <w:iCs/>
    </w:rPr>
  </w:style>
  <w:style w:type="paragraph" w:styleId="afc">
    <w:name w:val="Plain Text"/>
    <w:basedOn w:val="af3"/>
    <w:link w:val="Char2"/>
    <w:autoRedefine/>
    <w:uiPriority w:val="99"/>
    <w:qFormat/>
    <w:rPr>
      <w:rFonts w:ascii="宋体" w:hAnsi="Courier New"/>
      <w:szCs w:val="21"/>
    </w:rPr>
  </w:style>
  <w:style w:type="paragraph" w:styleId="80">
    <w:name w:val="toc 8"/>
    <w:basedOn w:val="70"/>
    <w:next w:val="af3"/>
    <w:autoRedefine/>
    <w:qFormat/>
  </w:style>
  <w:style w:type="paragraph" w:styleId="afd">
    <w:name w:val="Date"/>
    <w:basedOn w:val="af3"/>
    <w:next w:val="af3"/>
    <w:link w:val="Char3"/>
    <w:autoRedefine/>
    <w:uiPriority w:val="99"/>
    <w:qFormat/>
    <w:pPr>
      <w:ind w:leftChars="2500" w:left="100"/>
    </w:pPr>
    <w:rPr>
      <w:sz w:val="24"/>
      <w:szCs w:val="20"/>
    </w:rPr>
  </w:style>
  <w:style w:type="paragraph" w:styleId="21">
    <w:name w:val="Body Text Indent 2"/>
    <w:basedOn w:val="af3"/>
    <w:link w:val="2Char0"/>
    <w:autoRedefine/>
    <w:qFormat/>
    <w:pPr>
      <w:spacing w:after="120" w:line="480" w:lineRule="auto"/>
      <w:ind w:leftChars="200" w:left="420"/>
    </w:pPr>
  </w:style>
  <w:style w:type="paragraph" w:styleId="afe">
    <w:name w:val="endnote text"/>
    <w:basedOn w:val="af3"/>
    <w:qFormat/>
    <w:pPr>
      <w:snapToGrid w:val="0"/>
    </w:pPr>
  </w:style>
  <w:style w:type="paragraph" w:styleId="aff">
    <w:name w:val="Balloon Text"/>
    <w:basedOn w:val="af3"/>
    <w:link w:val="Char4"/>
    <w:autoRedefine/>
    <w:qFormat/>
    <w:rPr>
      <w:sz w:val="18"/>
      <w:szCs w:val="18"/>
    </w:rPr>
  </w:style>
  <w:style w:type="paragraph" w:styleId="aff0">
    <w:name w:val="footer"/>
    <w:basedOn w:val="af3"/>
    <w:link w:val="Char5"/>
    <w:autoRedefine/>
    <w:qFormat/>
    <w:pPr>
      <w:tabs>
        <w:tab w:val="center" w:pos="4153"/>
        <w:tab w:val="right" w:pos="8306"/>
      </w:tabs>
      <w:snapToGrid w:val="0"/>
      <w:ind w:rightChars="100" w:right="210"/>
      <w:jc w:val="right"/>
    </w:pPr>
    <w:rPr>
      <w:sz w:val="18"/>
      <w:szCs w:val="18"/>
    </w:rPr>
  </w:style>
  <w:style w:type="paragraph" w:styleId="aff1">
    <w:name w:val="header"/>
    <w:basedOn w:val="af3"/>
    <w:link w:val="Char6"/>
    <w:qFormat/>
    <w:pPr>
      <w:pBdr>
        <w:bottom w:val="single" w:sz="6" w:space="1" w:color="auto"/>
      </w:pBdr>
      <w:tabs>
        <w:tab w:val="center" w:pos="4153"/>
        <w:tab w:val="right" w:pos="8306"/>
      </w:tabs>
      <w:snapToGrid w:val="0"/>
      <w:jc w:val="center"/>
    </w:pPr>
    <w:rPr>
      <w:sz w:val="18"/>
      <w:szCs w:val="18"/>
    </w:rPr>
  </w:style>
  <w:style w:type="paragraph" w:styleId="aff2">
    <w:name w:val="footnote text"/>
    <w:basedOn w:val="af3"/>
    <w:link w:val="Char7"/>
    <w:autoRedefine/>
    <w:qFormat/>
    <w:pPr>
      <w:snapToGrid w:val="0"/>
      <w:jc w:val="left"/>
    </w:pPr>
    <w:rPr>
      <w:sz w:val="18"/>
      <w:szCs w:val="18"/>
    </w:rPr>
  </w:style>
  <w:style w:type="paragraph" w:styleId="31">
    <w:name w:val="Body Text Indent 3"/>
    <w:basedOn w:val="af3"/>
    <w:autoRedefine/>
    <w:qFormat/>
    <w:pPr>
      <w:widowControl/>
      <w:spacing w:line="360" w:lineRule="auto"/>
      <w:ind w:firstLine="420"/>
    </w:pPr>
    <w:rPr>
      <w:rFonts w:hAnsi="宋体"/>
      <w:sz w:val="18"/>
    </w:rPr>
  </w:style>
  <w:style w:type="paragraph" w:styleId="90">
    <w:name w:val="toc 9"/>
    <w:basedOn w:val="80"/>
    <w:next w:val="af3"/>
    <w:autoRedefine/>
    <w:qFormat/>
  </w:style>
  <w:style w:type="paragraph" w:styleId="22">
    <w:name w:val="Body Text 2"/>
    <w:basedOn w:val="af3"/>
    <w:autoRedefine/>
    <w:uiPriority w:val="99"/>
    <w:semiHidden/>
    <w:unhideWhenUsed/>
    <w:qFormat/>
    <w:pPr>
      <w:spacing w:after="120" w:line="480" w:lineRule="auto"/>
    </w:pPr>
  </w:style>
  <w:style w:type="paragraph" w:styleId="HTML0">
    <w:name w:val="HTML Preformatted"/>
    <w:basedOn w:val="af3"/>
    <w:autoRedefine/>
    <w:qFormat/>
    <w:rPr>
      <w:rFonts w:ascii="Courier New" w:hAnsi="Courier New" w:cs="Courier New"/>
      <w:sz w:val="20"/>
      <w:szCs w:val="20"/>
    </w:rPr>
  </w:style>
  <w:style w:type="paragraph" w:styleId="aff3">
    <w:name w:val="Normal (Web)"/>
    <w:basedOn w:val="af3"/>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4">
    <w:name w:val="Title"/>
    <w:basedOn w:val="af3"/>
    <w:link w:val="Char8"/>
    <w:autoRedefine/>
    <w:qFormat/>
    <w:pPr>
      <w:spacing w:before="240" w:after="60"/>
      <w:jc w:val="center"/>
      <w:outlineLvl w:val="0"/>
    </w:pPr>
    <w:rPr>
      <w:rFonts w:ascii="Arial" w:hAnsi="Arial" w:cs="Arial"/>
      <w:b/>
      <w:bCs/>
      <w:sz w:val="32"/>
      <w:szCs w:val="32"/>
    </w:rPr>
  </w:style>
  <w:style w:type="paragraph" w:styleId="aff5">
    <w:name w:val="annotation subject"/>
    <w:basedOn w:val="af9"/>
    <w:next w:val="af9"/>
    <w:link w:val="Char9"/>
    <w:autoRedefine/>
    <w:qFormat/>
    <w:rPr>
      <w:b/>
      <w:bCs/>
    </w:rPr>
  </w:style>
  <w:style w:type="paragraph" w:styleId="aff6">
    <w:name w:val="Body Text First Indent"/>
    <w:basedOn w:val="afa"/>
    <w:autoRedefine/>
    <w:qFormat/>
    <w:pPr>
      <w:ind w:firstLine="420"/>
    </w:pPr>
    <w:rPr>
      <w:szCs w:val="20"/>
    </w:rPr>
  </w:style>
  <w:style w:type="table" w:styleId="aff7">
    <w:name w:val="Table Grid"/>
    <w:basedOn w:val="af5"/>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autoRedefine/>
    <w:uiPriority w:val="22"/>
    <w:qFormat/>
    <w:rPr>
      <w:b/>
      <w:bCs/>
    </w:rPr>
  </w:style>
  <w:style w:type="character" w:styleId="aff9">
    <w:name w:val="page number"/>
    <w:qFormat/>
    <w:rPr>
      <w:rFonts w:ascii="Times New Roman" w:eastAsia="宋体" w:hAnsi="Times New Roman"/>
      <w:sz w:val="18"/>
    </w:rPr>
  </w:style>
  <w:style w:type="character" w:styleId="affa">
    <w:name w:val="FollowedHyperlink"/>
    <w:autoRedefine/>
    <w:unhideWhenUsed/>
    <w:qFormat/>
    <w:rPr>
      <w:color w:val="800080"/>
      <w:u w:val="single"/>
    </w:rPr>
  </w:style>
  <w:style w:type="character" w:styleId="HTML1">
    <w:name w:val="HTML Definition"/>
    <w:qFormat/>
    <w:rPr>
      <w:i/>
      <w:iCs/>
    </w:rPr>
  </w:style>
  <w:style w:type="character" w:styleId="HTML2">
    <w:name w:val="HTML Typewriter"/>
    <w:autoRedefine/>
    <w:qFormat/>
    <w:rPr>
      <w:rFonts w:ascii="Courier New" w:hAnsi="Courier New"/>
      <w:sz w:val="20"/>
      <w:szCs w:val="20"/>
    </w:rPr>
  </w:style>
  <w:style w:type="character" w:styleId="HTML3">
    <w:name w:val="HTML Acronym"/>
    <w:basedOn w:val="af4"/>
    <w:autoRedefine/>
    <w:qFormat/>
  </w:style>
  <w:style w:type="character" w:styleId="HTML4">
    <w:name w:val="HTML Variable"/>
    <w:autoRedefine/>
    <w:qFormat/>
    <w:rPr>
      <w:i/>
      <w:iCs/>
    </w:rPr>
  </w:style>
  <w:style w:type="character" w:styleId="affb">
    <w:name w:val="Hyperlink"/>
    <w:basedOn w:val="af4"/>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c">
    <w:name w:val="annotation reference"/>
    <w:autoRedefine/>
    <w:qFormat/>
    <w:rPr>
      <w:sz w:val="21"/>
      <w:szCs w:val="21"/>
    </w:rPr>
  </w:style>
  <w:style w:type="character" w:styleId="HTML6">
    <w:name w:val="HTML Cite"/>
    <w:qFormat/>
    <w:rPr>
      <w:i/>
      <w:iCs/>
    </w:rPr>
  </w:style>
  <w:style w:type="character" w:styleId="affd">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e">
    <w:name w:val="段"/>
    <w:link w:val="Chara"/>
    <w:qFormat/>
    <w:pPr>
      <w:autoSpaceDE w:val="0"/>
      <w:autoSpaceDN w:val="0"/>
      <w:adjustRightInd w:val="0"/>
      <w:snapToGrid w:val="0"/>
      <w:ind w:firstLineChars="200" w:firstLine="400"/>
      <w:jc w:val="both"/>
    </w:pPr>
    <w:rPr>
      <w:rFonts w:ascii="宋体" w:hAnsi="宋体" w:cs="Times New Roman"/>
      <w:sz w:val="21"/>
    </w:rPr>
  </w:style>
  <w:style w:type="paragraph" w:customStyle="1" w:styleId="afff">
    <w:name w:val="二级条标题"/>
    <w:basedOn w:val="afff0"/>
    <w:next w:val="affe"/>
    <w:link w:val="Charb"/>
    <w:autoRedefine/>
    <w:qFormat/>
    <w:pPr>
      <w:numPr>
        <w:ilvl w:val="3"/>
      </w:numPr>
      <w:ind w:firstLineChars="200" w:firstLine="420"/>
      <w:outlineLvl w:val="3"/>
    </w:pPr>
    <w:rPr>
      <w:rFonts w:hAnsi="黑体"/>
      <w:color w:val="000000" w:themeColor="text1"/>
      <w:spacing w:val="-6"/>
    </w:rPr>
  </w:style>
  <w:style w:type="paragraph" w:customStyle="1" w:styleId="afff0">
    <w:name w:val="一级条标题"/>
    <w:basedOn w:val="afff1"/>
    <w:next w:val="affe"/>
    <w:link w:val="Charc"/>
    <w:autoRedefine/>
    <w:qFormat/>
    <w:pPr>
      <w:numPr>
        <w:ilvl w:val="2"/>
      </w:numPr>
      <w:spacing w:beforeLines="0" w:afterLines="0" w:line="300" w:lineRule="auto"/>
      <w:ind w:firstLineChars="200" w:firstLine="420"/>
      <w:outlineLvl w:val="2"/>
    </w:pPr>
    <w:rPr>
      <w:color w:val="FF0000"/>
      <w:spacing w:val="-4"/>
      <w:szCs w:val="24"/>
    </w:rPr>
  </w:style>
  <w:style w:type="paragraph" w:customStyle="1" w:styleId="afff1">
    <w:name w:val="章标题"/>
    <w:next w:val="affe"/>
    <w:link w:val="Chard"/>
    <w:autoRedefine/>
    <w:qFormat/>
    <w:rsid w:val="00FD3C65"/>
    <w:pPr>
      <w:spacing w:beforeLines="50" w:before="156" w:afterLines="50" w:after="156" w:line="360" w:lineRule="auto"/>
      <w:ind w:firstLineChars="200" w:firstLine="420"/>
      <w:jc w:val="both"/>
      <w:outlineLvl w:val="1"/>
    </w:pPr>
    <w:rPr>
      <w:rFonts w:asciiTheme="minorEastAsia" w:eastAsiaTheme="minorEastAsia" w:hAnsiTheme="minorEastAsia" w:cs="Times New Roman"/>
      <w:sz w:val="21"/>
    </w:rPr>
  </w:style>
  <w:style w:type="paragraph" w:customStyle="1" w:styleId="afff2">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3"/>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3">
    <w:name w:val="封面标准文稿编辑信息"/>
    <w:qFormat/>
    <w:pPr>
      <w:spacing w:before="180" w:line="180" w:lineRule="exact"/>
      <w:jc w:val="center"/>
    </w:pPr>
    <w:rPr>
      <w:rFonts w:ascii="宋体" w:hAnsi="Times New Roman" w:cs="Times New Roman"/>
      <w:sz w:val="21"/>
    </w:rPr>
  </w:style>
  <w:style w:type="paragraph" w:customStyle="1" w:styleId="afff4">
    <w:name w:val="发布部门"/>
    <w:next w:val="affe"/>
    <w:autoRedefine/>
    <w:qFormat/>
    <w:pPr>
      <w:jc w:val="center"/>
    </w:pPr>
    <w:rPr>
      <w:rFonts w:ascii="宋体" w:hAnsi="Times New Roman" w:cs="Times New Roman"/>
      <w:b/>
      <w:spacing w:val="20"/>
      <w:w w:val="135"/>
      <w:sz w:val="36"/>
    </w:rPr>
  </w:style>
  <w:style w:type="paragraph" w:customStyle="1" w:styleId="afff5">
    <w:name w:val="标准书脚_偶数页"/>
    <w:qFormat/>
    <w:pPr>
      <w:spacing w:before="120"/>
    </w:pPr>
    <w:rPr>
      <w:rFonts w:ascii="Times New Roman" w:hAnsi="Times New Roman" w:cs="Times New Roman"/>
      <w:sz w:val="18"/>
    </w:rPr>
  </w:style>
  <w:style w:type="paragraph" w:customStyle="1" w:styleId="afff6">
    <w:name w:val="四级条标题"/>
    <w:basedOn w:val="afff7"/>
    <w:next w:val="affe"/>
    <w:autoRedefine/>
    <w:qFormat/>
    <w:pPr>
      <w:numPr>
        <w:ilvl w:val="5"/>
      </w:numPr>
      <w:ind w:firstLineChars="200" w:firstLine="420"/>
      <w:outlineLvl w:val="5"/>
    </w:pPr>
  </w:style>
  <w:style w:type="paragraph" w:customStyle="1" w:styleId="afff7">
    <w:name w:val="三级条标题"/>
    <w:basedOn w:val="afff"/>
    <w:next w:val="affe"/>
    <w:link w:val="Charf"/>
    <w:autoRedefine/>
    <w:qFormat/>
    <w:pPr>
      <w:numPr>
        <w:ilvl w:val="4"/>
      </w:numPr>
      <w:ind w:firstLineChars="200" w:firstLine="420"/>
      <w:outlineLvl w:val="4"/>
    </w:pPr>
  </w:style>
  <w:style w:type="paragraph" w:customStyle="1" w:styleId="af2">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8">
    <w:name w:val="标准书脚_奇数页"/>
    <w:qFormat/>
    <w:pPr>
      <w:spacing w:before="120"/>
      <w:jc w:val="right"/>
    </w:pPr>
    <w:rPr>
      <w:rFonts w:ascii="Times New Roman" w:hAnsi="Times New Roman" w:cs="Times New Roman"/>
      <w:sz w:val="18"/>
    </w:rPr>
  </w:style>
  <w:style w:type="paragraph" w:customStyle="1" w:styleId="afff9">
    <w:name w:val="参考文献、索引标题"/>
    <w:basedOn w:val="af1"/>
    <w:next w:val="af3"/>
    <w:qFormat/>
    <w:pPr>
      <w:numPr>
        <w:numId w:val="0"/>
      </w:numPr>
      <w:spacing w:after="200"/>
    </w:pPr>
    <w:rPr>
      <w:sz w:val="21"/>
    </w:rPr>
  </w:style>
  <w:style w:type="paragraph" w:customStyle="1" w:styleId="afffa">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b">
    <w:name w:val="实施日期"/>
    <w:basedOn w:val="afffc"/>
    <w:autoRedefine/>
    <w:qFormat/>
    <w:pPr>
      <w:jc w:val="right"/>
    </w:pPr>
  </w:style>
  <w:style w:type="paragraph" w:customStyle="1" w:styleId="afffc">
    <w:name w:val="发布日期"/>
    <w:qFormat/>
    <w:rPr>
      <w:rFonts w:ascii="Times New Roman" w:eastAsia="黑体" w:hAnsi="Times New Roman" w:cs="Times New Roman"/>
      <w:sz w:val="28"/>
    </w:rPr>
  </w:style>
  <w:style w:type="paragraph" w:customStyle="1" w:styleId="afffd">
    <w:name w:val="条文脚注"/>
    <w:basedOn w:val="aff2"/>
    <w:qFormat/>
    <w:pPr>
      <w:ind w:leftChars="200" w:left="780" w:hangingChars="200" w:hanging="360"/>
      <w:jc w:val="both"/>
    </w:pPr>
    <w:rPr>
      <w:rFonts w:ascii="宋体"/>
    </w:rPr>
  </w:style>
  <w:style w:type="paragraph" w:customStyle="1" w:styleId="a9">
    <w:name w:val="附录章标题"/>
    <w:next w:val="affe"/>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e">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
    <w:name w:val="图表脚注"/>
    <w:next w:val="affe"/>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3"/>
    <w:autoRedefine/>
    <w:qFormat/>
    <w:pPr>
      <w:numPr>
        <w:ilvl w:val="6"/>
        <w:numId w:val="5"/>
      </w:numPr>
    </w:pPr>
  </w:style>
  <w:style w:type="paragraph" w:customStyle="1" w:styleId="affff0">
    <w:name w:val="标准标志"/>
    <w:next w:val="af3"/>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3"/>
    <w:qFormat/>
    <w:pPr>
      <w:widowControl/>
      <w:spacing w:after="160" w:line="240" w:lineRule="exact"/>
      <w:jc w:val="left"/>
    </w:pPr>
  </w:style>
  <w:style w:type="paragraph" w:customStyle="1" w:styleId="affff1">
    <w:name w:val="无标题条"/>
    <w:next w:val="affe"/>
    <w:autoRedefine/>
    <w:qFormat/>
    <w:pPr>
      <w:jc w:val="both"/>
    </w:pPr>
    <w:rPr>
      <w:rFonts w:ascii="Times New Roman" w:hAnsi="Times New Roman" w:cs="Times New Roman"/>
      <w:sz w:val="21"/>
    </w:rPr>
  </w:style>
  <w:style w:type="paragraph" w:customStyle="1" w:styleId="affff2">
    <w:name w:val="五级条标题"/>
    <w:basedOn w:val="afff6"/>
    <w:next w:val="affe"/>
    <w:autoRedefine/>
    <w:qFormat/>
    <w:pPr>
      <w:numPr>
        <w:ilvl w:val="6"/>
      </w:numPr>
      <w:ind w:firstLineChars="200" w:firstLine="420"/>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3"/>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e"/>
    <w:autoRedefine/>
    <w:qFormat/>
    <w:pPr>
      <w:numPr>
        <w:numId w:val="6"/>
      </w:numPr>
      <w:jc w:val="center"/>
    </w:pPr>
    <w:rPr>
      <w:rFonts w:ascii="黑体" w:eastAsia="黑体" w:hAnsi="Times New Roman" w:cs="Times New Roman"/>
      <w:sz w:val="21"/>
    </w:rPr>
  </w:style>
  <w:style w:type="paragraph" w:customStyle="1" w:styleId="a1">
    <w:name w:val="注："/>
    <w:next w:val="affe"/>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3"/>
    <w:autoRedefine/>
    <w:qFormat/>
    <w:pPr>
      <w:jc w:val="left"/>
    </w:pPr>
  </w:style>
  <w:style w:type="paragraph" w:customStyle="1" w:styleId="a3">
    <w:name w:val="二级无标题条"/>
    <w:basedOn w:val="af3"/>
    <w:autoRedefine/>
    <w:qFormat/>
    <w:pPr>
      <w:numPr>
        <w:ilvl w:val="3"/>
        <w:numId w:val="5"/>
      </w:numPr>
    </w:pPr>
  </w:style>
  <w:style w:type="paragraph" w:customStyle="1" w:styleId="affff6">
    <w:name w:val="附录表标题"/>
    <w:next w:val="affe"/>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e"/>
    <w:qFormat/>
    <w:pPr>
      <w:numPr>
        <w:ilvl w:val="6"/>
      </w:numPr>
      <w:outlineLvl w:val="6"/>
    </w:pPr>
  </w:style>
  <w:style w:type="paragraph" w:customStyle="1" w:styleId="ad">
    <w:name w:val="附录四级条标题"/>
    <w:basedOn w:val="ac"/>
    <w:next w:val="affe"/>
    <w:qFormat/>
    <w:pPr>
      <w:numPr>
        <w:ilvl w:val="5"/>
      </w:numPr>
      <w:outlineLvl w:val="5"/>
    </w:pPr>
  </w:style>
  <w:style w:type="paragraph" w:customStyle="1" w:styleId="ac">
    <w:name w:val="附录三级条标题"/>
    <w:basedOn w:val="ab"/>
    <w:next w:val="affe"/>
    <w:autoRedefine/>
    <w:qFormat/>
    <w:pPr>
      <w:numPr>
        <w:ilvl w:val="4"/>
      </w:numPr>
      <w:outlineLvl w:val="4"/>
    </w:pPr>
  </w:style>
  <w:style w:type="paragraph" w:customStyle="1" w:styleId="ab">
    <w:name w:val="附录二级条标题"/>
    <w:basedOn w:val="aa"/>
    <w:next w:val="affe"/>
    <w:qFormat/>
    <w:pPr>
      <w:numPr>
        <w:ilvl w:val="3"/>
      </w:numPr>
      <w:outlineLvl w:val="3"/>
    </w:pPr>
  </w:style>
  <w:style w:type="paragraph" w:customStyle="1" w:styleId="aa">
    <w:name w:val="附录一级条标题"/>
    <w:basedOn w:val="a9"/>
    <w:next w:val="affe"/>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e"/>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e"/>
    <w:autoRedefine/>
    <w:qFormat/>
    <w:pPr>
      <w:numPr>
        <w:numId w:val="8"/>
      </w:numPr>
      <w:jc w:val="center"/>
    </w:pPr>
    <w:rPr>
      <w:rFonts w:ascii="黑体" w:eastAsia="黑体" w:hAnsi="Times New Roman" w:cs="Times New Roman"/>
      <w:sz w:val="21"/>
    </w:rPr>
  </w:style>
  <w:style w:type="paragraph" w:customStyle="1" w:styleId="a0">
    <w:name w:val="示例"/>
    <w:next w:val="affe"/>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3"/>
    <w:next w:val="af3"/>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3"/>
    <w:autoRedefine/>
    <w:qFormat/>
    <w:pPr>
      <w:numPr>
        <w:ilvl w:val="5"/>
        <w:numId w:val="5"/>
      </w:numPr>
    </w:pPr>
  </w:style>
  <w:style w:type="paragraph" w:customStyle="1" w:styleId="affffe">
    <w:name w:val="目次、标准名称标题"/>
    <w:basedOn w:val="af1"/>
    <w:next w:val="affe"/>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3"/>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4"/>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3"/>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3"/>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3"/>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3"/>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3"/>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3"/>
    <w:autoRedefine/>
    <w:qFormat/>
    <w:pPr>
      <w:widowControl/>
      <w:spacing w:before="100" w:beforeAutospacing="1" w:after="100" w:afterAutospacing="1"/>
      <w:jc w:val="left"/>
    </w:pPr>
    <w:rPr>
      <w:b/>
      <w:bCs/>
      <w:kern w:val="0"/>
      <w:sz w:val="20"/>
      <w:szCs w:val="20"/>
    </w:rPr>
  </w:style>
  <w:style w:type="paragraph" w:customStyle="1" w:styleId="font7">
    <w:name w:val="font7"/>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3"/>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3"/>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3"/>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3"/>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3"/>
    <w:autoRedefine/>
    <w:qFormat/>
    <w:pPr>
      <w:adjustRightInd w:val="0"/>
      <w:jc w:val="center"/>
    </w:pPr>
    <w:rPr>
      <w:rFonts w:eastAsia="黑体"/>
      <w:kern w:val="0"/>
      <w:sz w:val="52"/>
      <w:szCs w:val="20"/>
    </w:rPr>
  </w:style>
  <w:style w:type="paragraph" w:customStyle="1" w:styleId="24">
    <w:name w:val="样式2"/>
    <w:basedOn w:val="afff7"/>
    <w:autoRedefine/>
    <w:qFormat/>
    <w:pPr>
      <w:spacing w:line="240" w:lineRule="auto"/>
      <w:ind w:left="454" w:firstLineChars="0" w:firstLine="0"/>
    </w:pPr>
    <w:rPr>
      <w:color w:val="auto"/>
      <w:spacing w:val="0"/>
      <w:szCs w:val="20"/>
    </w:rPr>
  </w:style>
  <w:style w:type="paragraph" w:customStyle="1" w:styleId="12">
    <w:name w:val="列出段落1"/>
    <w:basedOn w:val="af3"/>
    <w:autoRedefine/>
    <w:uiPriority w:val="34"/>
    <w:qFormat/>
    <w:pPr>
      <w:ind w:firstLineChars="200" w:firstLine="420"/>
    </w:pPr>
    <w:rPr>
      <w:rFonts w:ascii="Calibri" w:hAnsi="Calibri"/>
      <w:szCs w:val="22"/>
    </w:rPr>
  </w:style>
  <w:style w:type="paragraph" w:customStyle="1" w:styleId="afffff5">
    <w:name w:val="图表脚注说明"/>
    <w:basedOn w:val="af3"/>
    <w:autoRedefine/>
    <w:qFormat/>
    <w:rPr>
      <w:rFonts w:ascii="宋体"/>
      <w:sz w:val="18"/>
      <w:szCs w:val="18"/>
    </w:rPr>
  </w:style>
  <w:style w:type="paragraph" w:customStyle="1" w:styleId="Char11">
    <w:name w:val="Char11"/>
    <w:basedOn w:val="af3"/>
    <w:autoRedefine/>
    <w:qFormat/>
    <w:pPr>
      <w:widowControl/>
      <w:spacing w:after="160" w:line="240" w:lineRule="exact"/>
      <w:jc w:val="left"/>
    </w:pPr>
  </w:style>
  <w:style w:type="paragraph" w:customStyle="1" w:styleId="ordinary-output">
    <w:name w:val="ordinary-output"/>
    <w:basedOn w:val="af3"/>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3"/>
    <w:autoRedefine/>
    <w:uiPriority w:val="34"/>
    <w:qFormat/>
    <w:pPr>
      <w:ind w:firstLineChars="200" w:firstLine="420"/>
    </w:pPr>
    <w:rPr>
      <w:sz w:val="24"/>
    </w:rPr>
  </w:style>
  <w:style w:type="paragraph" w:customStyle="1" w:styleId="Char1CharCharChar">
    <w:name w:val="Char1 Char Char Char"/>
    <w:basedOn w:val="af3"/>
    <w:autoRedefine/>
    <w:qFormat/>
    <w:rPr>
      <w:szCs w:val="20"/>
    </w:rPr>
  </w:style>
  <w:style w:type="paragraph" w:customStyle="1" w:styleId="Char10">
    <w:name w:val="Char1"/>
    <w:basedOn w:val="af3"/>
    <w:autoRedefine/>
    <w:qFormat/>
    <w:pPr>
      <w:widowControl/>
      <w:spacing w:after="160" w:line="240" w:lineRule="exact"/>
      <w:jc w:val="left"/>
    </w:pPr>
  </w:style>
  <w:style w:type="paragraph" w:customStyle="1" w:styleId="DecimalAligned">
    <w:name w:val="Decimal Aligned"/>
    <w:basedOn w:val="af3"/>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3"/>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3"/>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3"/>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3"/>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3"/>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3"/>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3"/>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3"/>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3"/>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3"/>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3"/>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3"/>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3"/>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3"/>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3"/>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3"/>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3"/>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3"/>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3"/>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3"/>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3"/>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3"/>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3"/>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3"/>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3"/>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3"/>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3"/>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3"/>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3"/>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3"/>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3"/>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3"/>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3"/>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3"/>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3"/>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3"/>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3"/>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3"/>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3"/>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3"/>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3"/>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3"/>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3"/>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3"/>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3"/>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3"/>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3"/>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3"/>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3"/>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3"/>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3"/>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3"/>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3"/>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3"/>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3"/>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3"/>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3"/>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3"/>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3"/>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3"/>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3"/>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e"/>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ff"/>
    <w:autoRedefine/>
    <w:qFormat/>
    <w:rPr>
      <w:rFonts w:ascii="黑体" w:eastAsia="黑体" w:hAnsi="黑体" w:cs="Times New Roman"/>
      <w:color w:val="000000" w:themeColor="text1"/>
      <w:spacing w:val="-6"/>
      <w:sz w:val="21"/>
      <w:szCs w:val="24"/>
    </w:rPr>
  </w:style>
  <w:style w:type="character" w:customStyle="1" w:styleId="Chard">
    <w:name w:val="章标题 Char"/>
    <w:link w:val="afff1"/>
    <w:autoRedefine/>
    <w:qFormat/>
    <w:rsid w:val="00FD3C65"/>
    <w:rPr>
      <w:rFonts w:asciiTheme="minorEastAsia" w:eastAsiaTheme="minorEastAsia" w:hAnsiTheme="minorEastAsia" w:cs="Times New Roman"/>
      <w:sz w:val="21"/>
    </w:rPr>
  </w:style>
  <w:style w:type="character" w:customStyle="1" w:styleId="Charc">
    <w:name w:val="一级条标题 Char"/>
    <w:link w:val="afff0"/>
    <w:autoRedefine/>
    <w:qFormat/>
    <w:rPr>
      <w:rFonts w:ascii="黑体" w:eastAsia="黑体" w:hAnsi="Times New Roman" w:cs="Times New Roman"/>
      <w:color w:val="FF0000"/>
      <w:spacing w:val="-4"/>
      <w:sz w:val="21"/>
      <w:szCs w:val="24"/>
    </w:rPr>
  </w:style>
  <w:style w:type="character" w:customStyle="1" w:styleId="Char2">
    <w:name w:val="纯文本 Char"/>
    <w:link w:val="afc"/>
    <w:autoRedefine/>
    <w:uiPriority w:val="99"/>
    <w:qFormat/>
    <w:rPr>
      <w:rFonts w:ascii="宋体" w:hAnsi="Courier New" w:cs="Courier New"/>
      <w:kern w:val="2"/>
      <w:sz w:val="21"/>
      <w:szCs w:val="21"/>
    </w:rPr>
  </w:style>
  <w:style w:type="character" w:customStyle="1" w:styleId="Charf">
    <w:name w:val="三级条标题 Char"/>
    <w:link w:val="afff7"/>
    <w:autoRedefine/>
    <w:qFormat/>
    <w:rPr>
      <w:rFonts w:ascii="黑体" w:eastAsia="黑体"/>
      <w:color w:val="FF0000"/>
      <w:spacing w:val="-4"/>
      <w:sz w:val="21"/>
      <w:szCs w:val="24"/>
    </w:rPr>
  </w:style>
  <w:style w:type="character" w:customStyle="1" w:styleId="Char4">
    <w:name w:val="批注框文本 Char"/>
    <w:link w:val="aff"/>
    <w:autoRedefine/>
    <w:qFormat/>
    <w:rPr>
      <w:kern w:val="2"/>
      <w:sz w:val="18"/>
      <w:szCs w:val="18"/>
    </w:rPr>
  </w:style>
  <w:style w:type="character" w:customStyle="1" w:styleId="Char0">
    <w:name w:val="正文文本 Char"/>
    <w:link w:val="afa"/>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0"/>
    <w:autoRedefine/>
    <w:uiPriority w:val="99"/>
    <w:qFormat/>
    <w:rPr>
      <w:kern w:val="2"/>
      <w:sz w:val="18"/>
      <w:szCs w:val="18"/>
    </w:rPr>
  </w:style>
  <w:style w:type="character" w:customStyle="1" w:styleId="Char1">
    <w:name w:val="正文文本缩进 Char"/>
    <w:link w:val="afb"/>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9"/>
    <w:autoRedefine/>
    <w:qFormat/>
    <w:rPr>
      <w:kern w:val="2"/>
      <w:sz w:val="21"/>
      <w:szCs w:val="24"/>
    </w:rPr>
  </w:style>
  <w:style w:type="character" w:customStyle="1" w:styleId="Char9">
    <w:name w:val="批注主题 Char"/>
    <w:link w:val="aff5"/>
    <w:autoRedefine/>
    <w:qFormat/>
    <w:rPr>
      <w:b/>
      <w:bCs/>
      <w:kern w:val="2"/>
      <w:sz w:val="21"/>
      <w:szCs w:val="24"/>
    </w:rPr>
  </w:style>
  <w:style w:type="character" w:customStyle="1" w:styleId="Char6">
    <w:name w:val="页眉 Char"/>
    <w:link w:val="aff1"/>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d"/>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3"/>
    <w:autoRedefine/>
    <w:uiPriority w:val="34"/>
    <w:qFormat/>
    <w:pPr>
      <w:ind w:firstLineChars="200" w:firstLine="420"/>
    </w:pPr>
  </w:style>
  <w:style w:type="paragraph" w:customStyle="1" w:styleId="TableParagraph">
    <w:name w:val="Table Paragraph"/>
    <w:basedOn w:val="af3"/>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4"/>
    <w:autoRedefine/>
    <w:qFormat/>
    <w:rPr>
      <w:rFonts w:ascii="宋体" w:eastAsia="宋体" w:hAnsi="宋体" w:hint="eastAsia"/>
      <w:color w:val="000000"/>
      <w:sz w:val="24"/>
      <w:szCs w:val="24"/>
    </w:rPr>
  </w:style>
  <w:style w:type="character" w:customStyle="1" w:styleId="1Char">
    <w:name w:val="标题 1 Char"/>
    <w:basedOn w:val="af4"/>
    <w:link w:val="1"/>
    <w:autoRedefine/>
    <w:qFormat/>
    <w:rPr>
      <w:rFonts w:ascii="Times New Roman" w:eastAsia="宋体" w:hAnsi="Times New Roman" w:cs="Times New Roman"/>
      <w:b/>
      <w:bCs/>
      <w:kern w:val="44"/>
      <w:sz w:val="44"/>
      <w:szCs w:val="44"/>
    </w:rPr>
  </w:style>
  <w:style w:type="character" w:customStyle="1" w:styleId="2Char">
    <w:name w:val="标题 2 Char"/>
    <w:basedOn w:val="af4"/>
    <w:link w:val="2"/>
    <w:autoRedefine/>
    <w:qFormat/>
    <w:rPr>
      <w:rFonts w:ascii="Arial" w:eastAsia="黑体" w:hAnsi="Arial" w:cs="Times New Roman"/>
      <w:b/>
      <w:bCs/>
      <w:kern w:val="2"/>
      <w:sz w:val="32"/>
      <w:szCs w:val="32"/>
    </w:rPr>
  </w:style>
  <w:style w:type="character" w:customStyle="1" w:styleId="3Char">
    <w:name w:val="标题 3 Char"/>
    <w:basedOn w:val="af4"/>
    <w:link w:val="3"/>
    <w:autoRedefine/>
    <w:qFormat/>
    <w:rPr>
      <w:rFonts w:ascii="Times New Roman" w:eastAsia="宋体" w:hAnsi="Times New Roman" w:cs="Times New Roman"/>
      <w:b/>
      <w:bCs/>
      <w:kern w:val="2"/>
      <w:sz w:val="32"/>
      <w:szCs w:val="32"/>
    </w:rPr>
  </w:style>
  <w:style w:type="character" w:customStyle="1" w:styleId="Char8">
    <w:name w:val="标题 Char"/>
    <w:link w:val="aff4"/>
    <w:autoRedefine/>
    <w:qFormat/>
    <w:rPr>
      <w:rFonts w:ascii="Arial" w:eastAsia="宋体" w:hAnsi="Arial" w:cs="Arial"/>
      <w:b/>
      <w:bCs/>
      <w:kern w:val="2"/>
      <w:sz w:val="32"/>
      <w:szCs w:val="32"/>
    </w:rPr>
  </w:style>
  <w:style w:type="character" w:customStyle="1" w:styleId="Char7">
    <w:name w:val="脚注文本 Char"/>
    <w:link w:val="aff2"/>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4"/>
    <w:autoRedefine/>
    <w:uiPriority w:val="99"/>
    <w:semiHidden/>
    <w:qFormat/>
    <w:rPr>
      <w:rFonts w:ascii="Calibri" w:eastAsia="宋体" w:hAnsi="Calibri" w:cs="Times New Roman"/>
      <w:sz w:val="18"/>
      <w:szCs w:val="18"/>
    </w:rPr>
  </w:style>
  <w:style w:type="character" w:customStyle="1" w:styleId="Char14">
    <w:name w:val="脚注文本 Char1"/>
    <w:basedOn w:val="af4"/>
    <w:autoRedefine/>
    <w:uiPriority w:val="99"/>
    <w:semiHidden/>
    <w:qFormat/>
    <w:rPr>
      <w:rFonts w:ascii="Calibri" w:eastAsia="宋体" w:hAnsi="Calibri" w:cs="Times New Roman"/>
      <w:sz w:val="18"/>
      <w:szCs w:val="18"/>
    </w:rPr>
  </w:style>
  <w:style w:type="character" w:customStyle="1" w:styleId="Char15">
    <w:name w:val="标题 Char1"/>
    <w:basedOn w:val="af4"/>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3"/>
    <w:autoRedefine/>
    <w:qFormat/>
  </w:style>
  <w:style w:type="paragraph" w:customStyle="1" w:styleId="WPSOffice1">
    <w:name w:val="WPSOffice手动目录 1"/>
    <w:autoRedefine/>
    <w:qFormat/>
    <w:rPr>
      <w:rFonts w:cs="Times New Roman"/>
    </w:rPr>
  </w:style>
  <w:style w:type="paragraph" w:customStyle="1" w:styleId="15">
    <w:name w:val="1"/>
    <w:basedOn w:val="af3"/>
    <w:next w:val="afb"/>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3"/>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5"/>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basedOn w:val="af4"/>
    <w:autoRedefine/>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3"/>
    <w:autoRedefine/>
    <w:uiPriority w:val="1"/>
    <w:qFormat/>
    <w:pPr>
      <w:autoSpaceDE w:val="0"/>
      <w:autoSpaceDN w:val="0"/>
      <w:ind w:left="216"/>
      <w:jc w:val="left"/>
      <w:outlineLvl w:val="2"/>
    </w:pPr>
    <w:rPr>
      <w:rFonts w:eastAsia="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3">
    <w:name w:val="Normal"/>
    <w:qFormat/>
    <w:pPr>
      <w:widowControl w:val="0"/>
      <w:jc w:val="both"/>
    </w:pPr>
    <w:rPr>
      <w:rFonts w:ascii="Times New Roman" w:hAnsi="Times New Roman" w:cs="Times New Roman"/>
      <w:kern w:val="2"/>
      <w:sz w:val="21"/>
      <w:szCs w:val="24"/>
    </w:rPr>
  </w:style>
  <w:style w:type="paragraph" w:styleId="1">
    <w:name w:val="heading 1"/>
    <w:basedOn w:val="af3"/>
    <w:next w:val="af3"/>
    <w:link w:val="1Char"/>
    <w:qFormat/>
    <w:pPr>
      <w:keepNext/>
      <w:keepLines/>
      <w:spacing w:before="340" w:after="330" w:line="576" w:lineRule="auto"/>
      <w:outlineLvl w:val="0"/>
    </w:pPr>
    <w:rPr>
      <w:b/>
      <w:bCs/>
      <w:kern w:val="44"/>
      <w:sz w:val="44"/>
      <w:szCs w:val="44"/>
    </w:rPr>
  </w:style>
  <w:style w:type="paragraph" w:styleId="2">
    <w:name w:val="heading 2"/>
    <w:basedOn w:val="af3"/>
    <w:next w:val="af3"/>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3"/>
    <w:next w:val="af3"/>
    <w:link w:val="3Char"/>
    <w:qFormat/>
    <w:pPr>
      <w:keepNext/>
      <w:keepLines/>
      <w:spacing w:before="260" w:after="260" w:line="413" w:lineRule="auto"/>
      <w:outlineLvl w:val="2"/>
    </w:pPr>
    <w:rPr>
      <w:b/>
      <w:bCs/>
      <w:sz w:val="32"/>
      <w:szCs w:val="32"/>
    </w:rPr>
  </w:style>
  <w:style w:type="paragraph" w:styleId="4">
    <w:name w:val="heading 4"/>
    <w:basedOn w:val="af3"/>
    <w:next w:val="af3"/>
    <w:qFormat/>
    <w:pPr>
      <w:keepNext/>
      <w:keepLines/>
      <w:spacing w:before="280" w:after="290" w:line="372" w:lineRule="auto"/>
      <w:outlineLvl w:val="3"/>
    </w:pPr>
    <w:rPr>
      <w:rFonts w:ascii="Arial" w:eastAsia="黑体" w:hAnsi="Arial"/>
      <w:b/>
      <w:bCs/>
      <w:sz w:val="28"/>
      <w:szCs w:val="28"/>
    </w:rPr>
  </w:style>
  <w:style w:type="paragraph" w:styleId="5">
    <w:name w:val="heading 5"/>
    <w:basedOn w:val="af3"/>
    <w:next w:val="af3"/>
    <w:autoRedefine/>
    <w:qFormat/>
    <w:pPr>
      <w:keepNext/>
      <w:keepLines/>
      <w:spacing w:before="280" w:after="290" w:line="372" w:lineRule="auto"/>
      <w:outlineLvl w:val="4"/>
    </w:pPr>
    <w:rPr>
      <w:b/>
      <w:bCs/>
      <w:sz w:val="28"/>
      <w:szCs w:val="28"/>
    </w:rPr>
  </w:style>
  <w:style w:type="paragraph" w:styleId="6">
    <w:name w:val="heading 6"/>
    <w:basedOn w:val="af3"/>
    <w:next w:val="af3"/>
    <w:autoRedefine/>
    <w:qFormat/>
    <w:pPr>
      <w:keepNext/>
      <w:keepLines/>
      <w:spacing w:before="240" w:after="64" w:line="317" w:lineRule="auto"/>
      <w:outlineLvl w:val="5"/>
    </w:pPr>
    <w:rPr>
      <w:rFonts w:ascii="Arial" w:eastAsia="黑体" w:hAnsi="Arial"/>
      <w:b/>
      <w:bCs/>
      <w:sz w:val="24"/>
    </w:rPr>
  </w:style>
  <w:style w:type="paragraph" w:styleId="7">
    <w:name w:val="heading 7"/>
    <w:basedOn w:val="af3"/>
    <w:next w:val="af3"/>
    <w:autoRedefine/>
    <w:qFormat/>
    <w:pPr>
      <w:keepNext/>
      <w:keepLines/>
      <w:spacing w:before="240" w:after="64" w:line="317" w:lineRule="auto"/>
      <w:outlineLvl w:val="6"/>
    </w:pPr>
    <w:rPr>
      <w:b/>
      <w:bCs/>
      <w:sz w:val="24"/>
    </w:rPr>
  </w:style>
  <w:style w:type="paragraph" w:styleId="8">
    <w:name w:val="heading 8"/>
    <w:basedOn w:val="af3"/>
    <w:next w:val="af3"/>
    <w:qFormat/>
    <w:pPr>
      <w:keepNext/>
      <w:keepLines/>
      <w:spacing w:before="240" w:after="64" w:line="317" w:lineRule="auto"/>
      <w:outlineLvl w:val="7"/>
    </w:pPr>
    <w:rPr>
      <w:rFonts w:ascii="Arial" w:eastAsia="黑体" w:hAnsi="Arial"/>
      <w:sz w:val="24"/>
    </w:rPr>
  </w:style>
  <w:style w:type="paragraph" w:styleId="9">
    <w:name w:val="heading 9"/>
    <w:basedOn w:val="af3"/>
    <w:next w:val="af3"/>
    <w:qFormat/>
    <w:pPr>
      <w:keepNext/>
      <w:keepLines/>
      <w:spacing w:before="240" w:after="64" w:line="317"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70">
    <w:name w:val="toc 7"/>
    <w:basedOn w:val="60"/>
    <w:next w:val="af3"/>
    <w:autoRedefine/>
    <w:qFormat/>
  </w:style>
  <w:style w:type="paragraph" w:styleId="60">
    <w:name w:val="toc 6"/>
    <w:basedOn w:val="50"/>
    <w:next w:val="af3"/>
    <w:autoRedefine/>
    <w:qFormat/>
  </w:style>
  <w:style w:type="paragraph" w:styleId="50">
    <w:name w:val="toc 5"/>
    <w:basedOn w:val="40"/>
    <w:next w:val="af3"/>
    <w:autoRedefine/>
    <w:qFormat/>
  </w:style>
  <w:style w:type="paragraph" w:styleId="40">
    <w:name w:val="toc 4"/>
    <w:basedOn w:val="30"/>
    <w:next w:val="af3"/>
    <w:autoRedefine/>
    <w:qFormat/>
  </w:style>
  <w:style w:type="paragraph" w:styleId="30">
    <w:name w:val="toc 3"/>
    <w:basedOn w:val="20"/>
    <w:next w:val="af3"/>
    <w:autoRedefine/>
    <w:uiPriority w:val="39"/>
    <w:qFormat/>
  </w:style>
  <w:style w:type="paragraph" w:styleId="20">
    <w:name w:val="toc 2"/>
    <w:basedOn w:val="10"/>
    <w:next w:val="af3"/>
    <w:autoRedefine/>
    <w:uiPriority w:val="39"/>
    <w:qFormat/>
  </w:style>
  <w:style w:type="paragraph" w:styleId="10">
    <w:name w:val="toc 1"/>
    <w:next w:val="af3"/>
    <w:autoRedefine/>
    <w:uiPriority w:val="39"/>
    <w:qFormat/>
    <w:pPr>
      <w:jc w:val="both"/>
    </w:pPr>
    <w:rPr>
      <w:rFonts w:ascii="宋体" w:hAnsi="Times New Roman" w:cs="Times New Roman"/>
      <w:sz w:val="21"/>
    </w:rPr>
  </w:style>
  <w:style w:type="paragraph" w:styleId="af7">
    <w:name w:val="Normal Indent"/>
    <w:basedOn w:val="af3"/>
    <w:autoRedefine/>
    <w:qFormat/>
    <w:pPr>
      <w:ind w:firstLine="420"/>
    </w:pPr>
    <w:rPr>
      <w:szCs w:val="20"/>
    </w:rPr>
  </w:style>
  <w:style w:type="paragraph" w:styleId="af8">
    <w:name w:val="caption"/>
    <w:basedOn w:val="af3"/>
    <w:next w:val="af3"/>
    <w:autoRedefine/>
    <w:qFormat/>
    <w:pPr>
      <w:spacing w:before="152" w:after="160"/>
    </w:pPr>
    <w:rPr>
      <w:rFonts w:ascii="Arial" w:eastAsia="黑体" w:hAnsi="Arial"/>
      <w:szCs w:val="20"/>
    </w:rPr>
  </w:style>
  <w:style w:type="paragraph" w:styleId="af9">
    <w:name w:val="annotation text"/>
    <w:basedOn w:val="af3"/>
    <w:link w:val="Char"/>
    <w:autoRedefine/>
    <w:qFormat/>
    <w:pPr>
      <w:jc w:val="left"/>
    </w:pPr>
  </w:style>
  <w:style w:type="paragraph" w:styleId="afa">
    <w:name w:val="Body Text"/>
    <w:basedOn w:val="af3"/>
    <w:link w:val="Char0"/>
    <w:autoRedefine/>
    <w:qFormat/>
    <w:pPr>
      <w:spacing w:after="120"/>
    </w:pPr>
  </w:style>
  <w:style w:type="paragraph" w:styleId="afb">
    <w:name w:val="Body Text Indent"/>
    <w:basedOn w:val="af3"/>
    <w:link w:val="Char1"/>
    <w:autoRedefine/>
    <w:qFormat/>
    <w:pPr>
      <w:spacing w:line="360" w:lineRule="exact"/>
      <w:ind w:left="420" w:firstLine="480"/>
    </w:pPr>
    <w:rPr>
      <w:sz w:val="24"/>
      <w:szCs w:val="20"/>
    </w:rPr>
  </w:style>
  <w:style w:type="paragraph" w:styleId="HTML">
    <w:name w:val="HTML Address"/>
    <w:basedOn w:val="af3"/>
    <w:autoRedefine/>
    <w:qFormat/>
    <w:rPr>
      <w:i/>
      <w:iCs/>
    </w:rPr>
  </w:style>
  <w:style w:type="paragraph" w:styleId="afc">
    <w:name w:val="Plain Text"/>
    <w:basedOn w:val="af3"/>
    <w:link w:val="Char2"/>
    <w:autoRedefine/>
    <w:uiPriority w:val="99"/>
    <w:qFormat/>
    <w:rPr>
      <w:rFonts w:ascii="宋体" w:hAnsi="Courier New"/>
      <w:szCs w:val="21"/>
    </w:rPr>
  </w:style>
  <w:style w:type="paragraph" w:styleId="80">
    <w:name w:val="toc 8"/>
    <w:basedOn w:val="70"/>
    <w:next w:val="af3"/>
    <w:autoRedefine/>
    <w:qFormat/>
  </w:style>
  <w:style w:type="paragraph" w:styleId="afd">
    <w:name w:val="Date"/>
    <w:basedOn w:val="af3"/>
    <w:next w:val="af3"/>
    <w:link w:val="Char3"/>
    <w:autoRedefine/>
    <w:uiPriority w:val="99"/>
    <w:qFormat/>
    <w:pPr>
      <w:ind w:leftChars="2500" w:left="100"/>
    </w:pPr>
    <w:rPr>
      <w:sz w:val="24"/>
      <w:szCs w:val="20"/>
    </w:rPr>
  </w:style>
  <w:style w:type="paragraph" w:styleId="21">
    <w:name w:val="Body Text Indent 2"/>
    <w:basedOn w:val="af3"/>
    <w:link w:val="2Char0"/>
    <w:autoRedefine/>
    <w:qFormat/>
    <w:pPr>
      <w:spacing w:after="120" w:line="480" w:lineRule="auto"/>
      <w:ind w:leftChars="200" w:left="420"/>
    </w:pPr>
  </w:style>
  <w:style w:type="paragraph" w:styleId="afe">
    <w:name w:val="endnote text"/>
    <w:basedOn w:val="af3"/>
    <w:qFormat/>
    <w:pPr>
      <w:snapToGrid w:val="0"/>
    </w:pPr>
  </w:style>
  <w:style w:type="paragraph" w:styleId="aff">
    <w:name w:val="Balloon Text"/>
    <w:basedOn w:val="af3"/>
    <w:link w:val="Char4"/>
    <w:autoRedefine/>
    <w:qFormat/>
    <w:rPr>
      <w:sz w:val="18"/>
      <w:szCs w:val="18"/>
    </w:rPr>
  </w:style>
  <w:style w:type="paragraph" w:styleId="aff0">
    <w:name w:val="footer"/>
    <w:basedOn w:val="af3"/>
    <w:link w:val="Char5"/>
    <w:autoRedefine/>
    <w:qFormat/>
    <w:pPr>
      <w:tabs>
        <w:tab w:val="center" w:pos="4153"/>
        <w:tab w:val="right" w:pos="8306"/>
      </w:tabs>
      <w:snapToGrid w:val="0"/>
      <w:ind w:rightChars="100" w:right="210"/>
      <w:jc w:val="right"/>
    </w:pPr>
    <w:rPr>
      <w:sz w:val="18"/>
      <w:szCs w:val="18"/>
    </w:rPr>
  </w:style>
  <w:style w:type="paragraph" w:styleId="aff1">
    <w:name w:val="header"/>
    <w:basedOn w:val="af3"/>
    <w:link w:val="Char6"/>
    <w:qFormat/>
    <w:pPr>
      <w:pBdr>
        <w:bottom w:val="single" w:sz="6" w:space="1" w:color="auto"/>
      </w:pBdr>
      <w:tabs>
        <w:tab w:val="center" w:pos="4153"/>
        <w:tab w:val="right" w:pos="8306"/>
      </w:tabs>
      <w:snapToGrid w:val="0"/>
      <w:jc w:val="center"/>
    </w:pPr>
    <w:rPr>
      <w:sz w:val="18"/>
      <w:szCs w:val="18"/>
    </w:rPr>
  </w:style>
  <w:style w:type="paragraph" w:styleId="aff2">
    <w:name w:val="footnote text"/>
    <w:basedOn w:val="af3"/>
    <w:link w:val="Char7"/>
    <w:autoRedefine/>
    <w:qFormat/>
    <w:pPr>
      <w:snapToGrid w:val="0"/>
      <w:jc w:val="left"/>
    </w:pPr>
    <w:rPr>
      <w:sz w:val="18"/>
      <w:szCs w:val="18"/>
    </w:rPr>
  </w:style>
  <w:style w:type="paragraph" w:styleId="31">
    <w:name w:val="Body Text Indent 3"/>
    <w:basedOn w:val="af3"/>
    <w:autoRedefine/>
    <w:qFormat/>
    <w:pPr>
      <w:widowControl/>
      <w:spacing w:line="360" w:lineRule="auto"/>
      <w:ind w:firstLine="420"/>
    </w:pPr>
    <w:rPr>
      <w:rFonts w:hAnsi="宋体"/>
      <w:sz w:val="18"/>
    </w:rPr>
  </w:style>
  <w:style w:type="paragraph" w:styleId="90">
    <w:name w:val="toc 9"/>
    <w:basedOn w:val="80"/>
    <w:next w:val="af3"/>
    <w:autoRedefine/>
    <w:qFormat/>
  </w:style>
  <w:style w:type="paragraph" w:styleId="22">
    <w:name w:val="Body Text 2"/>
    <w:basedOn w:val="af3"/>
    <w:autoRedefine/>
    <w:uiPriority w:val="99"/>
    <w:semiHidden/>
    <w:unhideWhenUsed/>
    <w:qFormat/>
    <w:pPr>
      <w:spacing w:after="120" w:line="480" w:lineRule="auto"/>
    </w:pPr>
  </w:style>
  <w:style w:type="paragraph" w:styleId="HTML0">
    <w:name w:val="HTML Preformatted"/>
    <w:basedOn w:val="af3"/>
    <w:autoRedefine/>
    <w:qFormat/>
    <w:rPr>
      <w:rFonts w:ascii="Courier New" w:hAnsi="Courier New" w:cs="Courier New"/>
      <w:sz w:val="20"/>
      <w:szCs w:val="20"/>
    </w:rPr>
  </w:style>
  <w:style w:type="paragraph" w:styleId="aff3">
    <w:name w:val="Normal (Web)"/>
    <w:basedOn w:val="af3"/>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4">
    <w:name w:val="Title"/>
    <w:basedOn w:val="af3"/>
    <w:link w:val="Char8"/>
    <w:autoRedefine/>
    <w:qFormat/>
    <w:pPr>
      <w:spacing w:before="240" w:after="60"/>
      <w:jc w:val="center"/>
      <w:outlineLvl w:val="0"/>
    </w:pPr>
    <w:rPr>
      <w:rFonts w:ascii="Arial" w:hAnsi="Arial" w:cs="Arial"/>
      <w:b/>
      <w:bCs/>
      <w:sz w:val="32"/>
      <w:szCs w:val="32"/>
    </w:rPr>
  </w:style>
  <w:style w:type="paragraph" w:styleId="aff5">
    <w:name w:val="annotation subject"/>
    <w:basedOn w:val="af9"/>
    <w:next w:val="af9"/>
    <w:link w:val="Char9"/>
    <w:autoRedefine/>
    <w:qFormat/>
    <w:rPr>
      <w:b/>
      <w:bCs/>
    </w:rPr>
  </w:style>
  <w:style w:type="paragraph" w:styleId="aff6">
    <w:name w:val="Body Text First Indent"/>
    <w:basedOn w:val="afa"/>
    <w:autoRedefine/>
    <w:qFormat/>
    <w:pPr>
      <w:ind w:firstLine="420"/>
    </w:pPr>
    <w:rPr>
      <w:szCs w:val="20"/>
    </w:rPr>
  </w:style>
  <w:style w:type="table" w:styleId="aff7">
    <w:name w:val="Table Grid"/>
    <w:basedOn w:val="af5"/>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autoRedefine/>
    <w:uiPriority w:val="22"/>
    <w:qFormat/>
    <w:rPr>
      <w:b/>
      <w:bCs/>
    </w:rPr>
  </w:style>
  <w:style w:type="character" w:styleId="aff9">
    <w:name w:val="page number"/>
    <w:qFormat/>
    <w:rPr>
      <w:rFonts w:ascii="Times New Roman" w:eastAsia="宋体" w:hAnsi="Times New Roman"/>
      <w:sz w:val="18"/>
    </w:rPr>
  </w:style>
  <w:style w:type="character" w:styleId="affa">
    <w:name w:val="FollowedHyperlink"/>
    <w:autoRedefine/>
    <w:unhideWhenUsed/>
    <w:qFormat/>
    <w:rPr>
      <w:color w:val="800080"/>
      <w:u w:val="single"/>
    </w:rPr>
  </w:style>
  <w:style w:type="character" w:styleId="HTML1">
    <w:name w:val="HTML Definition"/>
    <w:qFormat/>
    <w:rPr>
      <w:i/>
      <w:iCs/>
    </w:rPr>
  </w:style>
  <w:style w:type="character" w:styleId="HTML2">
    <w:name w:val="HTML Typewriter"/>
    <w:autoRedefine/>
    <w:qFormat/>
    <w:rPr>
      <w:rFonts w:ascii="Courier New" w:hAnsi="Courier New"/>
      <w:sz w:val="20"/>
      <w:szCs w:val="20"/>
    </w:rPr>
  </w:style>
  <w:style w:type="character" w:styleId="HTML3">
    <w:name w:val="HTML Acronym"/>
    <w:basedOn w:val="af4"/>
    <w:autoRedefine/>
    <w:qFormat/>
  </w:style>
  <w:style w:type="character" w:styleId="HTML4">
    <w:name w:val="HTML Variable"/>
    <w:autoRedefine/>
    <w:qFormat/>
    <w:rPr>
      <w:i/>
      <w:iCs/>
    </w:rPr>
  </w:style>
  <w:style w:type="character" w:styleId="affb">
    <w:name w:val="Hyperlink"/>
    <w:basedOn w:val="af4"/>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c">
    <w:name w:val="annotation reference"/>
    <w:autoRedefine/>
    <w:qFormat/>
    <w:rPr>
      <w:sz w:val="21"/>
      <w:szCs w:val="21"/>
    </w:rPr>
  </w:style>
  <w:style w:type="character" w:styleId="HTML6">
    <w:name w:val="HTML Cite"/>
    <w:qFormat/>
    <w:rPr>
      <w:i/>
      <w:iCs/>
    </w:rPr>
  </w:style>
  <w:style w:type="character" w:styleId="affd">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e">
    <w:name w:val="段"/>
    <w:link w:val="Chara"/>
    <w:qFormat/>
    <w:pPr>
      <w:autoSpaceDE w:val="0"/>
      <w:autoSpaceDN w:val="0"/>
      <w:adjustRightInd w:val="0"/>
      <w:snapToGrid w:val="0"/>
      <w:ind w:firstLineChars="200" w:firstLine="400"/>
      <w:jc w:val="both"/>
    </w:pPr>
    <w:rPr>
      <w:rFonts w:ascii="宋体" w:hAnsi="宋体" w:cs="Times New Roman"/>
      <w:sz w:val="21"/>
    </w:rPr>
  </w:style>
  <w:style w:type="paragraph" w:customStyle="1" w:styleId="afff">
    <w:name w:val="二级条标题"/>
    <w:basedOn w:val="afff0"/>
    <w:next w:val="affe"/>
    <w:link w:val="Charb"/>
    <w:autoRedefine/>
    <w:qFormat/>
    <w:pPr>
      <w:numPr>
        <w:ilvl w:val="3"/>
      </w:numPr>
      <w:ind w:firstLineChars="200" w:firstLine="420"/>
      <w:outlineLvl w:val="3"/>
    </w:pPr>
    <w:rPr>
      <w:rFonts w:hAnsi="黑体"/>
      <w:color w:val="000000" w:themeColor="text1"/>
      <w:spacing w:val="-6"/>
    </w:rPr>
  </w:style>
  <w:style w:type="paragraph" w:customStyle="1" w:styleId="afff0">
    <w:name w:val="一级条标题"/>
    <w:basedOn w:val="afff1"/>
    <w:next w:val="affe"/>
    <w:link w:val="Charc"/>
    <w:autoRedefine/>
    <w:qFormat/>
    <w:pPr>
      <w:numPr>
        <w:ilvl w:val="2"/>
      </w:numPr>
      <w:spacing w:beforeLines="0" w:afterLines="0" w:line="300" w:lineRule="auto"/>
      <w:ind w:firstLineChars="200" w:firstLine="420"/>
      <w:outlineLvl w:val="2"/>
    </w:pPr>
    <w:rPr>
      <w:color w:val="FF0000"/>
      <w:spacing w:val="-4"/>
      <w:szCs w:val="24"/>
    </w:rPr>
  </w:style>
  <w:style w:type="paragraph" w:customStyle="1" w:styleId="afff1">
    <w:name w:val="章标题"/>
    <w:next w:val="affe"/>
    <w:link w:val="Chard"/>
    <w:autoRedefine/>
    <w:qFormat/>
    <w:rsid w:val="00FD3C65"/>
    <w:pPr>
      <w:spacing w:beforeLines="50" w:before="156" w:afterLines="50" w:after="156" w:line="360" w:lineRule="auto"/>
      <w:ind w:firstLineChars="200" w:firstLine="420"/>
      <w:jc w:val="both"/>
      <w:outlineLvl w:val="1"/>
    </w:pPr>
    <w:rPr>
      <w:rFonts w:asciiTheme="minorEastAsia" w:eastAsiaTheme="minorEastAsia" w:hAnsiTheme="minorEastAsia" w:cs="Times New Roman"/>
      <w:sz w:val="21"/>
    </w:rPr>
  </w:style>
  <w:style w:type="paragraph" w:customStyle="1" w:styleId="afff2">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3"/>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3">
    <w:name w:val="封面标准文稿编辑信息"/>
    <w:qFormat/>
    <w:pPr>
      <w:spacing w:before="180" w:line="180" w:lineRule="exact"/>
      <w:jc w:val="center"/>
    </w:pPr>
    <w:rPr>
      <w:rFonts w:ascii="宋体" w:hAnsi="Times New Roman" w:cs="Times New Roman"/>
      <w:sz w:val="21"/>
    </w:rPr>
  </w:style>
  <w:style w:type="paragraph" w:customStyle="1" w:styleId="afff4">
    <w:name w:val="发布部门"/>
    <w:next w:val="affe"/>
    <w:autoRedefine/>
    <w:qFormat/>
    <w:pPr>
      <w:jc w:val="center"/>
    </w:pPr>
    <w:rPr>
      <w:rFonts w:ascii="宋体" w:hAnsi="Times New Roman" w:cs="Times New Roman"/>
      <w:b/>
      <w:spacing w:val="20"/>
      <w:w w:val="135"/>
      <w:sz w:val="36"/>
    </w:rPr>
  </w:style>
  <w:style w:type="paragraph" w:customStyle="1" w:styleId="afff5">
    <w:name w:val="标准书脚_偶数页"/>
    <w:qFormat/>
    <w:pPr>
      <w:spacing w:before="120"/>
    </w:pPr>
    <w:rPr>
      <w:rFonts w:ascii="Times New Roman" w:hAnsi="Times New Roman" w:cs="Times New Roman"/>
      <w:sz w:val="18"/>
    </w:rPr>
  </w:style>
  <w:style w:type="paragraph" w:customStyle="1" w:styleId="afff6">
    <w:name w:val="四级条标题"/>
    <w:basedOn w:val="afff7"/>
    <w:next w:val="affe"/>
    <w:autoRedefine/>
    <w:qFormat/>
    <w:pPr>
      <w:numPr>
        <w:ilvl w:val="5"/>
      </w:numPr>
      <w:ind w:firstLineChars="200" w:firstLine="420"/>
      <w:outlineLvl w:val="5"/>
    </w:pPr>
  </w:style>
  <w:style w:type="paragraph" w:customStyle="1" w:styleId="afff7">
    <w:name w:val="三级条标题"/>
    <w:basedOn w:val="afff"/>
    <w:next w:val="affe"/>
    <w:link w:val="Charf"/>
    <w:autoRedefine/>
    <w:qFormat/>
    <w:pPr>
      <w:numPr>
        <w:ilvl w:val="4"/>
      </w:numPr>
      <w:ind w:firstLineChars="200" w:firstLine="420"/>
      <w:outlineLvl w:val="4"/>
    </w:pPr>
  </w:style>
  <w:style w:type="paragraph" w:customStyle="1" w:styleId="af2">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8">
    <w:name w:val="标准书脚_奇数页"/>
    <w:qFormat/>
    <w:pPr>
      <w:spacing w:before="120"/>
      <w:jc w:val="right"/>
    </w:pPr>
    <w:rPr>
      <w:rFonts w:ascii="Times New Roman" w:hAnsi="Times New Roman" w:cs="Times New Roman"/>
      <w:sz w:val="18"/>
    </w:rPr>
  </w:style>
  <w:style w:type="paragraph" w:customStyle="1" w:styleId="afff9">
    <w:name w:val="参考文献、索引标题"/>
    <w:basedOn w:val="af1"/>
    <w:next w:val="af3"/>
    <w:qFormat/>
    <w:pPr>
      <w:numPr>
        <w:numId w:val="0"/>
      </w:numPr>
      <w:spacing w:after="200"/>
    </w:pPr>
    <w:rPr>
      <w:sz w:val="21"/>
    </w:rPr>
  </w:style>
  <w:style w:type="paragraph" w:customStyle="1" w:styleId="afffa">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b">
    <w:name w:val="实施日期"/>
    <w:basedOn w:val="afffc"/>
    <w:autoRedefine/>
    <w:qFormat/>
    <w:pPr>
      <w:jc w:val="right"/>
    </w:pPr>
  </w:style>
  <w:style w:type="paragraph" w:customStyle="1" w:styleId="afffc">
    <w:name w:val="发布日期"/>
    <w:qFormat/>
    <w:rPr>
      <w:rFonts w:ascii="Times New Roman" w:eastAsia="黑体" w:hAnsi="Times New Roman" w:cs="Times New Roman"/>
      <w:sz w:val="28"/>
    </w:rPr>
  </w:style>
  <w:style w:type="paragraph" w:customStyle="1" w:styleId="afffd">
    <w:name w:val="条文脚注"/>
    <w:basedOn w:val="aff2"/>
    <w:qFormat/>
    <w:pPr>
      <w:ind w:leftChars="200" w:left="780" w:hangingChars="200" w:hanging="360"/>
      <w:jc w:val="both"/>
    </w:pPr>
    <w:rPr>
      <w:rFonts w:ascii="宋体"/>
    </w:rPr>
  </w:style>
  <w:style w:type="paragraph" w:customStyle="1" w:styleId="a9">
    <w:name w:val="附录章标题"/>
    <w:next w:val="affe"/>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e">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
    <w:name w:val="图表脚注"/>
    <w:next w:val="affe"/>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3"/>
    <w:autoRedefine/>
    <w:qFormat/>
    <w:pPr>
      <w:numPr>
        <w:ilvl w:val="6"/>
        <w:numId w:val="5"/>
      </w:numPr>
    </w:pPr>
  </w:style>
  <w:style w:type="paragraph" w:customStyle="1" w:styleId="affff0">
    <w:name w:val="标准标志"/>
    <w:next w:val="af3"/>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3"/>
    <w:qFormat/>
    <w:pPr>
      <w:widowControl/>
      <w:spacing w:after="160" w:line="240" w:lineRule="exact"/>
      <w:jc w:val="left"/>
    </w:pPr>
  </w:style>
  <w:style w:type="paragraph" w:customStyle="1" w:styleId="affff1">
    <w:name w:val="无标题条"/>
    <w:next w:val="affe"/>
    <w:autoRedefine/>
    <w:qFormat/>
    <w:pPr>
      <w:jc w:val="both"/>
    </w:pPr>
    <w:rPr>
      <w:rFonts w:ascii="Times New Roman" w:hAnsi="Times New Roman" w:cs="Times New Roman"/>
      <w:sz w:val="21"/>
    </w:rPr>
  </w:style>
  <w:style w:type="paragraph" w:customStyle="1" w:styleId="affff2">
    <w:name w:val="五级条标题"/>
    <w:basedOn w:val="afff6"/>
    <w:next w:val="affe"/>
    <w:autoRedefine/>
    <w:qFormat/>
    <w:pPr>
      <w:numPr>
        <w:ilvl w:val="6"/>
      </w:numPr>
      <w:ind w:firstLineChars="200" w:firstLine="420"/>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3"/>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e"/>
    <w:autoRedefine/>
    <w:qFormat/>
    <w:pPr>
      <w:numPr>
        <w:numId w:val="6"/>
      </w:numPr>
      <w:jc w:val="center"/>
    </w:pPr>
    <w:rPr>
      <w:rFonts w:ascii="黑体" w:eastAsia="黑体" w:hAnsi="Times New Roman" w:cs="Times New Roman"/>
      <w:sz w:val="21"/>
    </w:rPr>
  </w:style>
  <w:style w:type="paragraph" w:customStyle="1" w:styleId="a1">
    <w:name w:val="注："/>
    <w:next w:val="affe"/>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3"/>
    <w:autoRedefine/>
    <w:qFormat/>
    <w:pPr>
      <w:jc w:val="left"/>
    </w:pPr>
  </w:style>
  <w:style w:type="paragraph" w:customStyle="1" w:styleId="a3">
    <w:name w:val="二级无标题条"/>
    <w:basedOn w:val="af3"/>
    <w:autoRedefine/>
    <w:qFormat/>
    <w:pPr>
      <w:numPr>
        <w:ilvl w:val="3"/>
        <w:numId w:val="5"/>
      </w:numPr>
    </w:pPr>
  </w:style>
  <w:style w:type="paragraph" w:customStyle="1" w:styleId="affff6">
    <w:name w:val="附录表标题"/>
    <w:next w:val="affe"/>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e"/>
    <w:qFormat/>
    <w:pPr>
      <w:numPr>
        <w:ilvl w:val="6"/>
      </w:numPr>
      <w:outlineLvl w:val="6"/>
    </w:pPr>
  </w:style>
  <w:style w:type="paragraph" w:customStyle="1" w:styleId="ad">
    <w:name w:val="附录四级条标题"/>
    <w:basedOn w:val="ac"/>
    <w:next w:val="affe"/>
    <w:qFormat/>
    <w:pPr>
      <w:numPr>
        <w:ilvl w:val="5"/>
      </w:numPr>
      <w:outlineLvl w:val="5"/>
    </w:pPr>
  </w:style>
  <w:style w:type="paragraph" w:customStyle="1" w:styleId="ac">
    <w:name w:val="附录三级条标题"/>
    <w:basedOn w:val="ab"/>
    <w:next w:val="affe"/>
    <w:autoRedefine/>
    <w:qFormat/>
    <w:pPr>
      <w:numPr>
        <w:ilvl w:val="4"/>
      </w:numPr>
      <w:outlineLvl w:val="4"/>
    </w:pPr>
  </w:style>
  <w:style w:type="paragraph" w:customStyle="1" w:styleId="ab">
    <w:name w:val="附录二级条标题"/>
    <w:basedOn w:val="aa"/>
    <w:next w:val="affe"/>
    <w:qFormat/>
    <w:pPr>
      <w:numPr>
        <w:ilvl w:val="3"/>
      </w:numPr>
      <w:outlineLvl w:val="3"/>
    </w:pPr>
  </w:style>
  <w:style w:type="paragraph" w:customStyle="1" w:styleId="aa">
    <w:name w:val="附录一级条标题"/>
    <w:basedOn w:val="a9"/>
    <w:next w:val="affe"/>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e"/>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e"/>
    <w:autoRedefine/>
    <w:qFormat/>
    <w:pPr>
      <w:numPr>
        <w:numId w:val="8"/>
      </w:numPr>
      <w:jc w:val="center"/>
    </w:pPr>
    <w:rPr>
      <w:rFonts w:ascii="黑体" w:eastAsia="黑体" w:hAnsi="Times New Roman" w:cs="Times New Roman"/>
      <w:sz w:val="21"/>
    </w:rPr>
  </w:style>
  <w:style w:type="paragraph" w:customStyle="1" w:styleId="a0">
    <w:name w:val="示例"/>
    <w:next w:val="affe"/>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3"/>
    <w:next w:val="af3"/>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3"/>
    <w:autoRedefine/>
    <w:qFormat/>
    <w:pPr>
      <w:numPr>
        <w:ilvl w:val="5"/>
        <w:numId w:val="5"/>
      </w:numPr>
    </w:pPr>
  </w:style>
  <w:style w:type="paragraph" w:customStyle="1" w:styleId="affffe">
    <w:name w:val="目次、标准名称标题"/>
    <w:basedOn w:val="af1"/>
    <w:next w:val="affe"/>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3"/>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4"/>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3"/>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3"/>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3"/>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3"/>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3"/>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3"/>
    <w:autoRedefine/>
    <w:qFormat/>
    <w:pPr>
      <w:widowControl/>
      <w:spacing w:before="100" w:beforeAutospacing="1" w:after="100" w:afterAutospacing="1"/>
      <w:jc w:val="left"/>
    </w:pPr>
    <w:rPr>
      <w:b/>
      <w:bCs/>
      <w:kern w:val="0"/>
      <w:sz w:val="20"/>
      <w:szCs w:val="20"/>
    </w:rPr>
  </w:style>
  <w:style w:type="paragraph" w:customStyle="1" w:styleId="font7">
    <w:name w:val="font7"/>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3"/>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3"/>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3"/>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3"/>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3"/>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3"/>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3"/>
    <w:autoRedefine/>
    <w:qFormat/>
    <w:pPr>
      <w:adjustRightInd w:val="0"/>
      <w:jc w:val="center"/>
    </w:pPr>
    <w:rPr>
      <w:rFonts w:eastAsia="黑体"/>
      <w:kern w:val="0"/>
      <w:sz w:val="52"/>
      <w:szCs w:val="20"/>
    </w:rPr>
  </w:style>
  <w:style w:type="paragraph" w:customStyle="1" w:styleId="24">
    <w:name w:val="样式2"/>
    <w:basedOn w:val="afff7"/>
    <w:autoRedefine/>
    <w:qFormat/>
    <w:pPr>
      <w:spacing w:line="240" w:lineRule="auto"/>
      <w:ind w:left="454" w:firstLineChars="0" w:firstLine="0"/>
    </w:pPr>
    <w:rPr>
      <w:color w:val="auto"/>
      <w:spacing w:val="0"/>
      <w:szCs w:val="20"/>
    </w:rPr>
  </w:style>
  <w:style w:type="paragraph" w:customStyle="1" w:styleId="12">
    <w:name w:val="列出段落1"/>
    <w:basedOn w:val="af3"/>
    <w:autoRedefine/>
    <w:uiPriority w:val="34"/>
    <w:qFormat/>
    <w:pPr>
      <w:ind w:firstLineChars="200" w:firstLine="420"/>
    </w:pPr>
    <w:rPr>
      <w:rFonts w:ascii="Calibri" w:hAnsi="Calibri"/>
      <w:szCs w:val="22"/>
    </w:rPr>
  </w:style>
  <w:style w:type="paragraph" w:customStyle="1" w:styleId="afffff5">
    <w:name w:val="图表脚注说明"/>
    <w:basedOn w:val="af3"/>
    <w:autoRedefine/>
    <w:qFormat/>
    <w:rPr>
      <w:rFonts w:ascii="宋体"/>
      <w:sz w:val="18"/>
      <w:szCs w:val="18"/>
    </w:rPr>
  </w:style>
  <w:style w:type="paragraph" w:customStyle="1" w:styleId="Char11">
    <w:name w:val="Char11"/>
    <w:basedOn w:val="af3"/>
    <w:autoRedefine/>
    <w:qFormat/>
    <w:pPr>
      <w:widowControl/>
      <w:spacing w:after="160" w:line="240" w:lineRule="exact"/>
      <w:jc w:val="left"/>
    </w:pPr>
  </w:style>
  <w:style w:type="paragraph" w:customStyle="1" w:styleId="ordinary-output">
    <w:name w:val="ordinary-output"/>
    <w:basedOn w:val="af3"/>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3"/>
    <w:autoRedefine/>
    <w:uiPriority w:val="34"/>
    <w:qFormat/>
    <w:pPr>
      <w:ind w:firstLineChars="200" w:firstLine="420"/>
    </w:pPr>
    <w:rPr>
      <w:sz w:val="24"/>
    </w:rPr>
  </w:style>
  <w:style w:type="paragraph" w:customStyle="1" w:styleId="Char1CharCharChar">
    <w:name w:val="Char1 Char Char Char"/>
    <w:basedOn w:val="af3"/>
    <w:autoRedefine/>
    <w:qFormat/>
    <w:rPr>
      <w:szCs w:val="20"/>
    </w:rPr>
  </w:style>
  <w:style w:type="paragraph" w:customStyle="1" w:styleId="Char10">
    <w:name w:val="Char1"/>
    <w:basedOn w:val="af3"/>
    <w:autoRedefine/>
    <w:qFormat/>
    <w:pPr>
      <w:widowControl/>
      <w:spacing w:after="160" w:line="240" w:lineRule="exact"/>
      <w:jc w:val="left"/>
    </w:pPr>
  </w:style>
  <w:style w:type="paragraph" w:customStyle="1" w:styleId="DecimalAligned">
    <w:name w:val="Decimal Aligned"/>
    <w:basedOn w:val="af3"/>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3"/>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3"/>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3"/>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3"/>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3"/>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3"/>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3"/>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3"/>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3"/>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3"/>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3"/>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3"/>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3"/>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3"/>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3"/>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3"/>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3"/>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3"/>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3"/>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3"/>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3"/>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3"/>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3"/>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3"/>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3"/>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3"/>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3"/>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3"/>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3"/>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3"/>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3"/>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3"/>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3"/>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3"/>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3"/>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3"/>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3"/>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3"/>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3"/>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3"/>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3"/>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3"/>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3"/>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3"/>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3"/>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3"/>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3"/>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3"/>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3"/>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3"/>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3"/>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3"/>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3"/>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3"/>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3"/>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3"/>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3"/>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3"/>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3"/>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3"/>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3"/>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3"/>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3"/>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3"/>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3"/>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3"/>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3"/>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3"/>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3"/>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3"/>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3"/>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3"/>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3"/>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3"/>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3"/>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3"/>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3"/>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e"/>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ff"/>
    <w:autoRedefine/>
    <w:qFormat/>
    <w:rPr>
      <w:rFonts w:ascii="黑体" w:eastAsia="黑体" w:hAnsi="黑体" w:cs="Times New Roman"/>
      <w:color w:val="000000" w:themeColor="text1"/>
      <w:spacing w:val="-6"/>
      <w:sz w:val="21"/>
      <w:szCs w:val="24"/>
    </w:rPr>
  </w:style>
  <w:style w:type="character" w:customStyle="1" w:styleId="Chard">
    <w:name w:val="章标题 Char"/>
    <w:link w:val="afff1"/>
    <w:autoRedefine/>
    <w:qFormat/>
    <w:rsid w:val="00FD3C65"/>
    <w:rPr>
      <w:rFonts w:asciiTheme="minorEastAsia" w:eastAsiaTheme="minorEastAsia" w:hAnsiTheme="minorEastAsia" w:cs="Times New Roman"/>
      <w:sz w:val="21"/>
    </w:rPr>
  </w:style>
  <w:style w:type="character" w:customStyle="1" w:styleId="Charc">
    <w:name w:val="一级条标题 Char"/>
    <w:link w:val="afff0"/>
    <w:autoRedefine/>
    <w:qFormat/>
    <w:rPr>
      <w:rFonts w:ascii="黑体" w:eastAsia="黑体" w:hAnsi="Times New Roman" w:cs="Times New Roman"/>
      <w:color w:val="FF0000"/>
      <w:spacing w:val="-4"/>
      <w:sz w:val="21"/>
      <w:szCs w:val="24"/>
    </w:rPr>
  </w:style>
  <w:style w:type="character" w:customStyle="1" w:styleId="Char2">
    <w:name w:val="纯文本 Char"/>
    <w:link w:val="afc"/>
    <w:autoRedefine/>
    <w:uiPriority w:val="99"/>
    <w:qFormat/>
    <w:rPr>
      <w:rFonts w:ascii="宋体" w:hAnsi="Courier New" w:cs="Courier New"/>
      <w:kern w:val="2"/>
      <w:sz w:val="21"/>
      <w:szCs w:val="21"/>
    </w:rPr>
  </w:style>
  <w:style w:type="character" w:customStyle="1" w:styleId="Charf">
    <w:name w:val="三级条标题 Char"/>
    <w:link w:val="afff7"/>
    <w:autoRedefine/>
    <w:qFormat/>
    <w:rPr>
      <w:rFonts w:ascii="黑体" w:eastAsia="黑体"/>
      <w:color w:val="FF0000"/>
      <w:spacing w:val="-4"/>
      <w:sz w:val="21"/>
      <w:szCs w:val="24"/>
    </w:rPr>
  </w:style>
  <w:style w:type="character" w:customStyle="1" w:styleId="Char4">
    <w:name w:val="批注框文本 Char"/>
    <w:link w:val="aff"/>
    <w:autoRedefine/>
    <w:qFormat/>
    <w:rPr>
      <w:kern w:val="2"/>
      <w:sz w:val="18"/>
      <w:szCs w:val="18"/>
    </w:rPr>
  </w:style>
  <w:style w:type="character" w:customStyle="1" w:styleId="Char0">
    <w:name w:val="正文文本 Char"/>
    <w:link w:val="afa"/>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0"/>
    <w:autoRedefine/>
    <w:uiPriority w:val="99"/>
    <w:qFormat/>
    <w:rPr>
      <w:kern w:val="2"/>
      <w:sz w:val="18"/>
      <w:szCs w:val="18"/>
    </w:rPr>
  </w:style>
  <w:style w:type="character" w:customStyle="1" w:styleId="Char1">
    <w:name w:val="正文文本缩进 Char"/>
    <w:link w:val="afb"/>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9"/>
    <w:autoRedefine/>
    <w:qFormat/>
    <w:rPr>
      <w:kern w:val="2"/>
      <w:sz w:val="21"/>
      <w:szCs w:val="24"/>
    </w:rPr>
  </w:style>
  <w:style w:type="character" w:customStyle="1" w:styleId="Char9">
    <w:name w:val="批注主题 Char"/>
    <w:link w:val="aff5"/>
    <w:autoRedefine/>
    <w:qFormat/>
    <w:rPr>
      <w:b/>
      <w:bCs/>
      <w:kern w:val="2"/>
      <w:sz w:val="21"/>
      <w:szCs w:val="24"/>
    </w:rPr>
  </w:style>
  <w:style w:type="character" w:customStyle="1" w:styleId="Char6">
    <w:name w:val="页眉 Char"/>
    <w:link w:val="aff1"/>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d"/>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3"/>
    <w:autoRedefine/>
    <w:uiPriority w:val="34"/>
    <w:qFormat/>
    <w:pPr>
      <w:ind w:firstLineChars="200" w:firstLine="420"/>
    </w:pPr>
  </w:style>
  <w:style w:type="paragraph" w:customStyle="1" w:styleId="TableParagraph">
    <w:name w:val="Table Paragraph"/>
    <w:basedOn w:val="af3"/>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4"/>
    <w:autoRedefine/>
    <w:qFormat/>
    <w:rPr>
      <w:rFonts w:ascii="宋体" w:eastAsia="宋体" w:hAnsi="宋体" w:hint="eastAsia"/>
      <w:color w:val="000000"/>
      <w:sz w:val="24"/>
      <w:szCs w:val="24"/>
    </w:rPr>
  </w:style>
  <w:style w:type="character" w:customStyle="1" w:styleId="1Char">
    <w:name w:val="标题 1 Char"/>
    <w:basedOn w:val="af4"/>
    <w:link w:val="1"/>
    <w:autoRedefine/>
    <w:qFormat/>
    <w:rPr>
      <w:rFonts w:ascii="Times New Roman" w:eastAsia="宋体" w:hAnsi="Times New Roman" w:cs="Times New Roman"/>
      <w:b/>
      <w:bCs/>
      <w:kern w:val="44"/>
      <w:sz w:val="44"/>
      <w:szCs w:val="44"/>
    </w:rPr>
  </w:style>
  <w:style w:type="character" w:customStyle="1" w:styleId="2Char">
    <w:name w:val="标题 2 Char"/>
    <w:basedOn w:val="af4"/>
    <w:link w:val="2"/>
    <w:autoRedefine/>
    <w:qFormat/>
    <w:rPr>
      <w:rFonts w:ascii="Arial" w:eastAsia="黑体" w:hAnsi="Arial" w:cs="Times New Roman"/>
      <w:b/>
      <w:bCs/>
      <w:kern w:val="2"/>
      <w:sz w:val="32"/>
      <w:szCs w:val="32"/>
    </w:rPr>
  </w:style>
  <w:style w:type="character" w:customStyle="1" w:styleId="3Char">
    <w:name w:val="标题 3 Char"/>
    <w:basedOn w:val="af4"/>
    <w:link w:val="3"/>
    <w:autoRedefine/>
    <w:qFormat/>
    <w:rPr>
      <w:rFonts w:ascii="Times New Roman" w:eastAsia="宋体" w:hAnsi="Times New Roman" w:cs="Times New Roman"/>
      <w:b/>
      <w:bCs/>
      <w:kern w:val="2"/>
      <w:sz w:val="32"/>
      <w:szCs w:val="32"/>
    </w:rPr>
  </w:style>
  <w:style w:type="character" w:customStyle="1" w:styleId="Char8">
    <w:name w:val="标题 Char"/>
    <w:link w:val="aff4"/>
    <w:autoRedefine/>
    <w:qFormat/>
    <w:rPr>
      <w:rFonts w:ascii="Arial" w:eastAsia="宋体" w:hAnsi="Arial" w:cs="Arial"/>
      <w:b/>
      <w:bCs/>
      <w:kern w:val="2"/>
      <w:sz w:val="32"/>
      <w:szCs w:val="32"/>
    </w:rPr>
  </w:style>
  <w:style w:type="character" w:customStyle="1" w:styleId="Char7">
    <w:name w:val="脚注文本 Char"/>
    <w:link w:val="aff2"/>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4"/>
    <w:autoRedefine/>
    <w:uiPriority w:val="99"/>
    <w:semiHidden/>
    <w:qFormat/>
    <w:rPr>
      <w:rFonts w:ascii="Calibri" w:eastAsia="宋体" w:hAnsi="Calibri" w:cs="Times New Roman"/>
      <w:sz w:val="18"/>
      <w:szCs w:val="18"/>
    </w:rPr>
  </w:style>
  <w:style w:type="character" w:customStyle="1" w:styleId="Char14">
    <w:name w:val="脚注文本 Char1"/>
    <w:basedOn w:val="af4"/>
    <w:autoRedefine/>
    <w:uiPriority w:val="99"/>
    <w:semiHidden/>
    <w:qFormat/>
    <w:rPr>
      <w:rFonts w:ascii="Calibri" w:eastAsia="宋体" w:hAnsi="Calibri" w:cs="Times New Roman"/>
      <w:sz w:val="18"/>
      <w:szCs w:val="18"/>
    </w:rPr>
  </w:style>
  <w:style w:type="character" w:customStyle="1" w:styleId="Char15">
    <w:name w:val="标题 Char1"/>
    <w:basedOn w:val="af4"/>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3"/>
    <w:autoRedefine/>
    <w:qFormat/>
  </w:style>
  <w:style w:type="paragraph" w:customStyle="1" w:styleId="WPSOffice1">
    <w:name w:val="WPSOffice手动目录 1"/>
    <w:autoRedefine/>
    <w:qFormat/>
    <w:rPr>
      <w:rFonts w:cs="Times New Roman"/>
    </w:rPr>
  </w:style>
  <w:style w:type="paragraph" w:customStyle="1" w:styleId="15">
    <w:name w:val="1"/>
    <w:basedOn w:val="af3"/>
    <w:next w:val="afb"/>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3"/>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5"/>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c">
    <w:name w:val="Placeholder Text"/>
    <w:basedOn w:val="af4"/>
    <w:autoRedefine/>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3"/>
    <w:autoRedefine/>
    <w:uiPriority w:val="1"/>
    <w:qFormat/>
    <w:pPr>
      <w:autoSpaceDE w:val="0"/>
      <w:autoSpaceDN w:val="0"/>
      <w:ind w:left="216"/>
      <w:jc w:val="left"/>
      <w:outlineLvl w:val="2"/>
    </w:pPr>
    <w:rPr>
      <w:rFonts w:eastAsia="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4F30A-E4CB-48D8-91BB-7ED3E2B9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30</TotalTime>
  <Pages>11</Pages>
  <Words>5161</Words>
  <Characters>877</Characters>
  <Application>Microsoft Office Word</Application>
  <DocSecurity>0</DocSecurity>
  <Lines>7</Lines>
  <Paragraphs>12</Paragraphs>
  <ScaleCrop>false</ScaleCrop>
  <Company>Microsoft</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LZC</cp:lastModifiedBy>
  <cp:revision>411</cp:revision>
  <cp:lastPrinted>2016-10-20T04:13:00Z</cp:lastPrinted>
  <dcterms:created xsi:type="dcterms:W3CDTF">2025-04-25T01:17:00Z</dcterms:created>
  <dcterms:modified xsi:type="dcterms:W3CDTF">2025-04-25T08:24:00Z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7CC6B53A8B674E13988B212B17AB9464_13</vt:lpwstr>
  </property>
</Properties>
</file>