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1F354" w14:textId="27F5248B" w:rsidR="0064470A" w:rsidRDefault="00BC3268" w:rsidP="003F034D">
      <w:pPr>
        <w:jc w:val="center"/>
        <w:rPr>
          <w:rFonts w:eastAsia="黑体"/>
          <w:b/>
          <w:bCs/>
          <w:color w:val="000000" w:themeColor="text1"/>
          <w:sz w:val="32"/>
          <w:szCs w:val="32"/>
        </w:rPr>
      </w:pPr>
      <w:bookmarkStart w:id="0" w:name="_GoBack"/>
      <w:bookmarkEnd w:id="0"/>
      <w:r>
        <w:rPr>
          <w:rFonts w:eastAsia="黑体"/>
          <w:b/>
          <w:bCs/>
          <w:color w:val="000000" w:themeColor="text1"/>
          <w:sz w:val="32"/>
          <w:szCs w:val="32"/>
        </w:rPr>
        <w:t>国家标准《</w:t>
      </w:r>
      <w:bookmarkStart w:id="1" w:name="_Hlk193958861"/>
      <w:r w:rsidR="003F034D" w:rsidRPr="003F034D">
        <w:rPr>
          <w:rFonts w:eastAsia="黑体" w:hint="eastAsia"/>
          <w:b/>
          <w:bCs/>
          <w:color w:val="000000" w:themeColor="text1"/>
          <w:sz w:val="32"/>
          <w:szCs w:val="32"/>
        </w:rPr>
        <w:t>稀土金属及其氧化物中非稀土杂质化学分析方法</w:t>
      </w:r>
      <w:r w:rsidR="003F034D">
        <w:rPr>
          <w:rFonts w:eastAsia="黑体" w:hint="eastAsia"/>
          <w:b/>
          <w:bCs/>
          <w:color w:val="000000" w:themeColor="text1"/>
          <w:sz w:val="32"/>
          <w:szCs w:val="32"/>
        </w:rPr>
        <w:t xml:space="preserve"> </w:t>
      </w:r>
      <w:r w:rsidR="003F034D" w:rsidRPr="003F034D">
        <w:rPr>
          <w:rFonts w:eastAsia="黑体" w:hint="eastAsia"/>
          <w:b/>
          <w:bCs/>
          <w:color w:val="000000" w:themeColor="text1"/>
          <w:sz w:val="32"/>
          <w:szCs w:val="32"/>
        </w:rPr>
        <w:t>第</w:t>
      </w:r>
      <w:r w:rsidR="003F034D" w:rsidRPr="003F034D">
        <w:rPr>
          <w:rFonts w:eastAsia="黑体" w:hint="eastAsia"/>
          <w:b/>
          <w:bCs/>
          <w:color w:val="000000" w:themeColor="text1"/>
          <w:sz w:val="32"/>
          <w:szCs w:val="32"/>
        </w:rPr>
        <w:t>21</w:t>
      </w:r>
      <w:r w:rsidR="003F034D" w:rsidRPr="003F034D">
        <w:rPr>
          <w:rFonts w:eastAsia="黑体" w:hint="eastAsia"/>
          <w:b/>
          <w:bCs/>
          <w:color w:val="000000" w:themeColor="text1"/>
          <w:sz w:val="32"/>
          <w:szCs w:val="32"/>
        </w:rPr>
        <w:t>部分：稀土氧化物中硫酸根含量的测定</w:t>
      </w:r>
      <w:r w:rsidR="003F034D">
        <w:rPr>
          <w:rFonts w:eastAsia="黑体" w:hint="eastAsia"/>
          <w:b/>
          <w:bCs/>
          <w:color w:val="000000" w:themeColor="text1"/>
          <w:sz w:val="32"/>
          <w:szCs w:val="32"/>
        </w:rPr>
        <w:t xml:space="preserve"> </w:t>
      </w:r>
      <w:r w:rsidR="003F034D" w:rsidRPr="003F034D">
        <w:rPr>
          <w:rFonts w:eastAsia="黑体" w:hint="eastAsia"/>
          <w:b/>
          <w:bCs/>
          <w:color w:val="000000" w:themeColor="text1"/>
          <w:sz w:val="32"/>
          <w:szCs w:val="32"/>
        </w:rPr>
        <w:t>硫酸钡比浊法</w:t>
      </w:r>
      <w:bookmarkEnd w:id="1"/>
      <w:r>
        <w:rPr>
          <w:rFonts w:eastAsia="黑体"/>
          <w:b/>
          <w:bCs/>
          <w:color w:val="000000" w:themeColor="text1"/>
          <w:sz w:val="32"/>
          <w:szCs w:val="32"/>
        </w:rPr>
        <w:t>》</w:t>
      </w:r>
      <w:r>
        <w:rPr>
          <w:rFonts w:eastAsia="黑体" w:hint="eastAsia"/>
          <w:b/>
          <w:bCs/>
          <w:color w:val="000000" w:themeColor="text1"/>
          <w:sz w:val="32"/>
          <w:szCs w:val="32"/>
        </w:rPr>
        <w:t>（英文版）翻译情况说明</w:t>
      </w:r>
    </w:p>
    <w:p w14:paraId="1960B1AA" w14:textId="77777777" w:rsidR="0064470A" w:rsidRDefault="00BC3268">
      <w:pPr>
        <w:jc w:val="center"/>
        <w:rPr>
          <w:color w:val="000000" w:themeColor="text1"/>
        </w:rPr>
      </w:pPr>
      <w:r>
        <w:rPr>
          <w:color w:val="000000" w:themeColor="text1"/>
        </w:rPr>
        <w:t>（</w:t>
      </w:r>
      <w:r>
        <w:rPr>
          <w:rFonts w:hint="eastAsia"/>
          <w:color w:val="000000" w:themeColor="text1"/>
        </w:rPr>
        <w:t>报批稿</w:t>
      </w:r>
      <w:r>
        <w:rPr>
          <w:color w:val="000000" w:themeColor="text1"/>
        </w:rPr>
        <w:t>）</w:t>
      </w:r>
    </w:p>
    <w:p w14:paraId="2D8C7990" w14:textId="77777777" w:rsidR="0064470A" w:rsidRDefault="00BC3268">
      <w:pPr>
        <w:numPr>
          <w:ilvl w:val="0"/>
          <w:numId w:val="2"/>
        </w:numPr>
        <w:tabs>
          <w:tab w:val="left" w:pos="312"/>
        </w:tabs>
        <w:spacing w:line="360" w:lineRule="auto"/>
        <w:jc w:val="left"/>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工作简况</w:t>
      </w:r>
    </w:p>
    <w:p w14:paraId="012042A3" w14:textId="77777777" w:rsidR="0064470A" w:rsidRDefault="00BC3268">
      <w:pPr>
        <w:pStyle w:val="a9"/>
        <w:numPr>
          <w:ilvl w:val="0"/>
          <w:numId w:val="3"/>
        </w:numPr>
        <w:spacing w:after="120" w:line="360" w:lineRule="auto"/>
        <w:ind w:left="357" w:hanging="357"/>
        <w:jc w:val="left"/>
        <w:rPr>
          <w:b/>
          <w:bCs/>
          <w:color w:val="000000" w:themeColor="text1"/>
          <w:sz w:val="24"/>
        </w:rPr>
      </w:pPr>
      <w:r>
        <w:rPr>
          <w:rFonts w:hint="eastAsia"/>
          <w:b/>
          <w:bCs/>
          <w:color w:val="000000" w:themeColor="text1"/>
          <w:sz w:val="24"/>
        </w:rPr>
        <w:t>立项目的意义</w:t>
      </w:r>
    </w:p>
    <w:p w14:paraId="43E246D5" w14:textId="7A795625" w:rsidR="00C650CD" w:rsidRDefault="00F950A7" w:rsidP="00F950A7">
      <w:pPr>
        <w:adjustRightInd w:val="0"/>
        <w:snapToGrid w:val="0"/>
        <w:spacing w:line="360" w:lineRule="auto"/>
        <w:ind w:firstLineChars="200" w:firstLine="420"/>
        <w:rPr>
          <w:color w:val="000000" w:themeColor="text1"/>
          <w:szCs w:val="21"/>
        </w:rPr>
      </w:pPr>
      <w:r w:rsidRPr="00F950A7">
        <w:rPr>
          <w:rFonts w:hint="eastAsia"/>
          <w:color w:val="000000" w:themeColor="text1"/>
          <w:szCs w:val="21"/>
        </w:rPr>
        <w:t>硫酸根作为稀土氧化物中影响材料性能的核心非稀土杂质，其精准测定直接关系到稀土原料的纯度控制、产品质量认证及下游高端应用领域的可靠性。目前，众多氧化物的生产和交易过程中，均有硫酸根的限制要求，但仍未建立相应的标准。业内试验室在检测过程中多参考</w:t>
      </w:r>
      <w:r w:rsidRPr="00F950A7">
        <w:rPr>
          <w:rFonts w:hint="eastAsia"/>
          <w:color w:val="000000" w:themeColor="text1"/>
          <w:szCs w:val="21"/>
        </w:rPr>
        <w:t>GB/T 16484.12-2009</w:t>
      </w:r>
      <w:r w:rsidRPr="00F950A7">
        <w:rPr>
          <w:rFonts w:hint="eastAsia"/>
          <w:color w:val="000000" w:themeColor="text1"/>
          <w:szCs w:val="21"/>
        </w:rPr>
        <w:t>《氯化稀土、碳酸轻稀土化学分析方法</w:t>
      </w:r>
      <w:r w:rsidRPr="00F950A7">
        <w:rPr>
          <w:rFonts w:hint="eastAsia"/>
          <w:color w:val="000000" w:themeColor="text1"/>
          <w:szCs w:val="21"/>
        </w:rPr>
        <w:t xml:space="preserve">  </w:t>
      </w:r>
      <w:r w:rsidRPr="00F950A7">
        <w:rPr>
          <w:rFonts w:hint="eastAsia"/>
          <w:color w:val="000000" w:themeColor="text1"/>
          <w:szCs w:val="21"/>
        </w:rPr>
        <w:t>硫酸根含量的测定》，但该方法试验条件并不完全适用于稀土氧化物，因此有必要建立统一、快速、准确的稀土氧化物中硫酸根测定的国家标准。鉴于此，增加</w:t>
      </w:r>
      <w:r w:rsidR="00E008BF">
        <w:rPr>
          <w:rFonts w:hint="eastAsia"/>
          <w:color w:val="000000" w:themeColor="text1"/>
          <w:szCs w:val="21"/>
        </w:rPr>
        <w:t>了</w:t>
      </w:r>
      <w:r w:rsidRPr="00F950A7">
        <w:rPr>
          <w:rFonts w:hint="eastAsia"/>
          <w:color w:val="000000" w:themeColor="text1"/>
          <w:szCs w:val="21"/>
        </w:rPr>
        <w:t>GB/T 12690</w:t>
      </w:r>
      <w:r w:rsidRPr="00F950A7">
        <w:rPr>
          <w:rFonts w:hint="eastAsia"/>
          <w:color w:val="000000" w:themeColor="text1"/>
          <w:szCs w:val="21"/>
        </w:rPr>
        <w:t>的第</w:t>
      </w:r>
      <w:r w:rsidRPr="00F950A7">
        <w:rPr>
          <w:rFonts w:hint="eastAsia"/>
          <w:color w:val="000000" w:themeColor="text1"/>
          <w:szCs w:val="21"/>
        </w:rPr>
        <w:t>21</w:t>
      </w:r>
      <w:r w:rsidRPr="00F950A7">
        <w:rPr>
          <w:rFonts w:hint="eastAsia"/>
          <w:color w:val="000000" w:themeColor="text1"/>
          <w:szCs w:val="21"/>
        </w:rPr>
        <w:t>部分：稀土氧化物中硫酸根含量的测定</w:t>
      </w:r>
      <w:r w:rsidRPr="00F950A7">
        <w:rPr>
          <w:rFonts w:hint="eastAsia"/>
          <w:color w:val="000000" w:themeColor="text1"/>
          <w:szCs w:val="21"/>
        </w:rPr>
        <w:t xml:space="preserve">  </w:t>
      </w:r>
      <w:r w:rsidRPr="00F950A7">
        <w:rPr>
          <w:rFonts w:hint="eastAsia"/>
          <w:color w:val="000000" w:themeColor="text1"/>
          <w:szCs w:val="21"/>
        </w:rPr>
        <w:t>硫酸钡比浊法</w:t>
      </w:r>
      <w:r w:rsidR="00E008BF">
        <w:rPr>
          <w:rFonts w:hint="eastAsia"/>
          <w:color w:val="000000" w:themeColor="text1"/>
          <w:szCs w:val="21"/>
        </w:rPr>
        <w:t>（中文版）</w:t>
      </w:r>
      <w:r w:rsidRPr="00F950A7">
        <w:rPr>
          <w:rFonts w:hint="eastAsia"/>
          <w:color w:val="000000" w:themeColor="text1"/>
          <w:szCs w:val="21"/>
        </w:rPr>
        <w:t>。比浊法具有检出限低、操作简单、快速、准确等优势，在稀土行业中广泛运用、历史悠久，分析技术已非常成熟。</w:t>
      </w:r>
      <w:r>
        <w:rPr>
          <w:rFonts w:hint="eastAsia"/>
          <w:color w:val="000000" w:themeColor="text1"/>
          <w:szCs w:val="21"/>
        </w:rPr>
        <w:t>此方法</w:t>
      </w:r>
      <w:r w:rsidRPr="00F950A7">
        <w:rPr>
          <w:rFonts w:hint="eastAsia"/>
          <w:color w:val="000000" w:themeColor="text1"/>
          <w:szCs w:val="21"/>
        </w:rPr>
        <w:t>通过系统的试验和多家实验室的验证，具有操作简单、快速、准确的优势。有利于在各类检测机构推广应用，对于促进我国稀土产品的生产和贸易具有重要意义。</w:t>
      </w:r>
    </w:p>
    <w:p w14:paraId="251E7559" w14:textId="199B30BD" w:rsidR="00F950A7" w:rsidRPr="00F950A7" w:rsidRDefault="00C650CD" w:rsidP="00CE4EA6">
      <w:pPr>
        <w:adjustRightInd w:val="0"/>
        <w:snapToGrid w:val="0"/>
        <w:spacing w:line="360" w:lineRule="auto"/>
        <w:ind w:firstLineChars="200" w:firstLine="420"/>
        <w:rPr>
          <w:color w:val="000000" w:themeColor="text1"/>
          <w:szCs w:val="21"/>
        </w:rPr>
      </w:pPr>
      <w:r>
        <w:rPr>
          <w:rFonts w:hint="eastAsia"/>
          <w:color w:val="000000" w:themeColor="text1"/>
          <w:szCs w:val="21"/>
        </w:rPr>
        <w:t>同时</w:t>
      </w:r>
      <w:r w:rsidRPr="00F950A7">
        <w:rPr>
          <w:rFonts w:hint="eastAsia"/>
          <w:color w:val="000000" w:themeColor="text1"/>
          <w:szCs w:val="21"/>
        </w:rPr>
        <w:t>，随着“一带一路”倡议的深化推进，国家标准《稀土金属及其氧化物中非稀土杂质化学分析方法</w:t>
      </w:r>
      <w:r w:rsidRPr="00F950A7">
        <w:rPr>
          <w:rFonts w:hint="eastAsia"/>
          <w:color w:val="000000" w:themeColor="text1"/>
          <w:szCs w:val="21"/>
        </w:rPr>
        <w:t xml:space="preserve"> </w:t>
      </w:r>
      <w:r w:rsidRPr="00F950A7">
        <w:rPr>
          <w:rFonts w:hint="eastAsia"/>
          <w:color w:val="000000" w:themeColor="text1"/>
          <w:szCs w:val="21"/>
        </w:rPr>
        <w:t>第</w:t>
      </w:r>
      <w:r w:rsidRPr="00F950A7">
        <w:rPr>
          <w:rFonts w:hint="eastAsia"/>
          <w:color w:val="000000" w:themeColor="text1"/>
          <w:szCs w:val="21"/>
        </w:rPr>
        <w:t>21</w:t>
      </w:r>
      <w:r w:rsidRPr="00F950A7">
        <w:rPr>
          <w:rFonts w:hint="eastAsia"/>
          <w:color w:val="000000" w:themeColor="text1"/>
          <w:szCs w:val="21"/>
        </w:rPr>
        <w:t>部分：稀土氧化物中硫酸根含量的测定</w:t>
      </w:r>
      <w:r w:rsidRPr="00F950A7">
        <w:rPr>
          <w:rFonts w:hint="eastAsia"/>
          <w:color w:val="000000" w:themeColor="text1"/>
          <w:szCs w:val="21"/>
        </w:rPr>
        <w:t xml:space="preserve"> </w:t>
      </w:r>
      <w:r w:rsidRPr="00F950A7">
        <w:rPr>
          <w:rFonts w:hint="eastAsia"/>
          <w:color w:val="000000" w:themeColor="text1"/>
          <w:szCs w:val="21"/>
        </w:rPr>
        <w:t>硫酸钡比浊法》</w:t>
      </w:r>
      <w:r w:rsidR="004449B5">
        <w:rPr>
          <w:rFonts w:hint="eastAsia"/>
          <w:color w:val="000000" w:themeColor="text1"/>
          <w:szCs w:val="21"/>
        </w:rPr>
        <w:t>英</w:t>
      </w:r>
      <w:r w:rsidRPr="00F950A7">
        <w:rPr>
          <w:rFonts w:hint="eastAsia"/>
          <w:color w:val="000000" w:themeColor="text1"/>
          <w:szCs w:val="21"/>
        </w:rPr>
        <w:t>文版的制定与实施，</w:t>
      </w:r>
      <w:r>
        <w:rPr>
          <w:rFonts w:hint="eastAsia"/>
          <w:color w:val="000000" w:themeColor="text1"/>
          <w:szCs w:val="21"/>
        </w:rPr>
        <w:t>也</w:t>
      </w:r>
      <w:r w:rsidRPr="00F950A7">
        <w:rPr>
          <w:rFonts w:hint="eastAsia"/>
          <w:color w:val="000000" w:themeColor="text1"/>
          <w:szCs w:val="21"/>
        </w:rPr>
        <w:t>将在国际稀土贸易与技术合作中发挥关键支撑作用。</w:t>
      </w:r>
      <w:r>
        <w:rPr>
          <w:rFonts w:hint="eastAsia"/>
          <w:color w:val="000000" w:themeColor="text1"/>
          <w:szCs w:val="21"/>
        </w:rPr>
        <w:t>此</w:t>
      </w:r>
      <w:r w:rsidR="00CE4EA6">
        <w:rPr>
          <w:rFonts w:hint="eastAsia"/>
          <w:color w:val="000000" w:themeColor="text1"/>
          <w:szCs w:val="21"/>
        </w:rPr>
        <w:t>标准</w:t>
      </w:r>
      <w:r w:rsidR="004449B5">
        <w:rPr>
          <w:rFonts w:hint="eastAsia"/>
          <w:color w:val="000000" w:themeColor="text1"/>
          <w:szCs w:val="21"/>
        </w:rPr>
        <w:t>英</w:t>
      </w:r>
      <w:r w:rsidR="004449B5" w:rsidRPr="00F950A7">
        <w:rPr>
          <w:rFonts w:hint="eastAsia"/>
          <w:color w:val="000000" w:themeColor="text1"/>
          <w:szCs w:val="21"/>
        </w:rPr>
        <w:t>文版</w:t>
      </w:r>
      <w:r w:rsidR="00CE4EA6">
        <w:rPr>
          <w:rFonts w:hint="eastAsia"/>
          <w:color w:val="000000" w:themeColor="text1"/>
          <w:szCs w:val="21"/>
        </w:rPr>
        <w:t>不仅可以</w:t>
      </w:r>
      <w:r w:rsidR="00F950A7" w:rsidRPr="00F950A7">
        <w:rPr>
          <w:rFonts w:hint="eastAsia"/>
          <w:color w:val="000000" w:themeColor="text1"/>
          <w:szCs w:val="21"/>
        </w:rPr>
        <w:t>为全球稀土产业链提供统一、透明的检测依据，</w:t>
      </w:r>
      <w:r w:rsidR="00CE4EA6">
        <w:rPr>
          <w:rFonts w:hint="eastAsia"/>
          <w:color w:val="000000" w:themeColor="text1"/>
          <w:szCs w:val="21"/>
        </w:rPr>
        <w:t>也</w:t>
      </w:r>
      <w:r w:rsidR="00F950A7" w:rsidRPr="00F950A7">
        <w:rPr>
          <w:rFonts w:hint="eastAsia"/>
          <w:color w:val="000000" w:themeColor="text1"/>
          <w:szCs w:val="21"/>
        </w:rPr>
        <w:t>有助于国际贸易伙伴清晰理解中方检测数据的科学性和规范性，减少因方法差异引发的质量争议。通过推出该标准英文版，不仅能够推动中国分析方法与国际检测体系的深度对接，更向国际市场展现我国在稀土分析检测领域的技术成熟度与标准化能力，增强国际买家对中国稀土产品的信任度。</w:t>
      </w:r>
      <w:r w:rsidR="00E008BF">
        <w:rPr>
          <w:rFonts w:hint="eastAsia"/>
          <w:color w:val="000000" w:themeColor="text1"/>
          <w:szCs w:val="21"/>
        </w:rPr>
        <w:t>更重要的是</w:t>
      </w:r>
      <w:r w:rsidR="00F950A7" w:rsidRPr="00F950A7">
        <w:rPr>
          <w:rFonts w:hint="eastAsia"/>
          <w:color w:val="000000" w:themeColor="text1"/>
          <w:szCs w:val="21"/>
        </w:rPr>
        <w:t>，标准</w:t>
      </w:r>
      <w:r w:rsidR="004449B5">
        <w:rPr>
          <w:rFonts w:hint="eastAsia"/>
          <w:color w:val="000000" w:themeColor="text1"/>
          <w:szCs w:val="21"/>
        </w:rPr>
        <w:t>英</w:t>
      </w:r>
      <w:r w:rsidR="004449B5" w:rsidRPr="00F950A7">
        <w:rPr>
          <w:rFonts w:hint="eastAsia"/>
          <w:color w:val="000000" w:themeColor="text1"/>
          <w:szCs w:val="21"/>
        </w:rPr>
        <w:t>文版</w:t>
      </w:r>
      <w:r w:rsidR="00F950A7" w:rsidRPr="00F950A7">
        <w:rPr>
          <w:rFonts w:hint="eastAsia"/>
          <w:color w:val="000000" w:themeColor="text1"/>
          <w:szCs w:val="21"/>
        </w:rPr>
        <w:t>的实施将有效降低跨境技术沟通成本，助力“中国标准”与稀土产品、技术和服务协同“走出去”，进一步巩固我国在全球稀土贸易规则制定中的话语权，为构建公平、互信的国际化稀土市场环境提供坚实技术保障。</w:t>
      </w:r>
    </w:p>
    <w:p w14:paraId="27651FDC" w14:textId="77777777" w:rsidR="0064470A" w:rsidRDefault="00BC3268">
      <w:pPr>
        <w:pStyle w:val="a9"/>
        <w:numPr>
          <w:ilvl w:val="0"/>
          <w:numId w:val="3"/>
        </w:numPr>
        <w:spacing w:line="360" w:lineRule="auto"/>
        <w:jc w:val="left"/>
        <w:rPr>
          <w:b/>
          <w:bCs/>
          <w:color w:val="000000" w:themeColor="text1"/>
          <w:sz w:val="24"/>
        </w:rPr>
      </w:pPr>
      <w:r>
        <w:rPr>
          <w:rFonts w:hint="eastAsia"/>
          <w:b/>
          <w:bCs/>
          <w:color w:val="000000" w:themeColor="text1"/>
          <w:sz w:val="24"/>
        </w:rPr>
        <w:t>任务来源</w:t>
      </w:r>
    </w:p>
    <w:p w14:paraId="3333FDFF" w14:textId="7AC7F42F" w:rsidR="00FF35A5" w:rsidRDefault="00FF35A5">
      <w:pPr>
        <w:spacing w:line="360" w:lineRule="auto"/>
        <w:ind w:firstLine="482"/>
        <w:rPr>
          <w:color w:val="000000" w:themeColor="text1"/>
          <w:szCs w:val="21"/>
        </w:rPr>
      </w:pPr>
      <w:r w:rsidRPr="00FF35A5">
        <w:rPr>
          <w:rFonts w:hint="eastAsia"/>
          <w:color w:val="000000" w:themeColor="text1"/>
          <w:szCs w:val="21"/>
        </w:rPr>
        <w:t>2022</w:t>
      </w:r>
      <w:r w:rsidRPr="00FF35A5">
        <w:rPr>
          <w:rFonts w:hint="eastAsia"/>
          <w:color w:val="000000" w:themeColor="text1"/>
          <w:szCs w:val="21"/>
        </w:rPr>
        <w:t>年</w:t>
      </w:r>
      <w:r w:rsidRPr="00FF35A5">
        <w:rPr>
          <w:rFonts w:hint="eastAsia"/>
          <w:color w:val="000000" w:themeColor="text1"/>
          <w:szCs w:val="21"/>
        </w:rPr>
        <w:t>9</w:t>
      </w:r>
      <w:r w:rsidRPr="00FF35A5">
        <w:rPr>
          <w:rFonts w:hint="eastAsia"/>
          <w:color w:val="000000" w:themeColor="text1"/>
          <w:szCs w:val="21"/>
        </w:rPr>
        <w:t>月</w:t>
      </w:r>
      <w:r w:rsidRPr="00FF35A5">
        <w:rPr>
          <w:rFonts w:hint="eastAsia"/>
          <w:color w:val="000000" w:themeColor="text1"/>
          <w:szCs w:val="21"/>
        </w:rPr>
        <w:t>27</w:t>
      </w:r>
      <w:r w:rsidRPr="00FF35A5">
        <w:rPr>
          <w:rFonts w:hint="eastAsia"/>
          <w:color w:val="000000" w:themeColor="text1"/>
          <w:szCs w:val="21"/>
        </w:rPr>
        <w:t>日，全国稀土标准化技术委员会召开了</w:t>
      </w:r>
      <w:r w:rsidRPr="00FF35A5">
        <w:rPr>
          <w:rFonts w:hint="eastAsia"/>
          <w:color w:val="000000" w:themeColor="text1"/>
          <w:szCs w:val="21"/>
        </w:rPr>
        <w:t>2022</w:t>
      </w:r>
      <w:r w:rsidRPr="00FF35A5">
        <w:rPr>
          <w:rFonts w:hint="eastAsia"/>
          <w:color w:val="000000" w:themeColor="text1"/>
          <w:szCs w:val="21"/>
        </w:rPr>
        <w:t>年第七次稀土标准制修订工作会，落实工信部下达的国家标准《稀土金属及其氧化物中非稀土杂质化学方法</w:t>
      </w:r>
      <w:r w:rsidRPr="00FF35A5">
        <w:rPr>
          <w:rFonts w:hint="eastAsia"/>
          <w:color w:val="000000" w:themeColor="text1"/>
          <w:szCs w:val="21"/>
        </w:rPr>
        <w:t xml:space="preserve"> </w:t>
      </w:r>
      <w:r w:rsidRPr="00FF35A5">
        <w:rPr>
          <w:rFonts w:hint="eastAsia"/>
          <w:color w:val="000000" w:themeColor="text1"/>
          <w:szCs w:val="21"/>
        </w:rPr>
        <w:t>第</w:t>
      </w:r>
      <w:r w:rsidRPr="00FF35A5">
        <w:rPr>
          <w:rFonts w:hint="eastAsia"/>
          <w:color w:val="000000" w:themeColor="text1"/>
          <w:szCs w:val="21"/>
        </w:rPr>
        <w:t>21</w:t>
      </w:r>
      <w:r w:rsidRPr="00FF35A5">
        <w:rPr>
          <w:rFonts w:hint="eastAsia"/>
          <w:color w:val="000000" w:themeColor="text1"/>
          <w:szCs w:val="21"/>
        </w:rPr>
        <w:t>部分：稀土氧化物中硫酸根含量的测定》的制定计划，由</w:t>
      </w:r>
      <w:r>
        <w:rPr>
          <w:rFonts w:ascii="宋体" w:eastAsia="宋体" w:hAnsi="宋体" w:cs="宋体" w:hint="eastAsia"/>
          <w:color w:val="000000" w:themeColor="text1"/>
        </w:rPr>
        <w:t>福建省金龙稀土股份有限公司</w:t>
      </w:r>
      <w:r w:rsidRPr="00FF35A5">
        <w:rPr>
          <w:rFonts w:hint="eastAsia"/>
          <w:color w:val="000000" w:themeColor="text1"/>
          <w:szCs w:val="21"/>
        </w:rPr>
        <w:t>负责制定，计划号为</w:t>
      </w:r>
      <w:r w:rsidRPr="00FF35A5">
        <w:rPr>
          <w:rFonts w:hint="eastAsia"/>
          <w:color w:val="000000" w:themeColor="text1"/>
          <w:szCs w:val="21"/>
        </w:rPr>
        <w:t>20220754-T-469</w:t>
      </w:r>
      <w:r w:rsidRPr="00FF35A5">
        <w:rPr>
          <w:rFonts w:hint="eastAsia"/>
          <w:color w:val="000000" w:themeColor="text1"/>
          <w:szCs w:val="21"/>
        </w:rPr>
        <w:t>，项目周期为</w:t>
      </w:r>
      <w:r w:rsidRPr="00FF35A5">
        <w:rPr>
          <w:rFonts w:hint="eastAsia"/>
          <w:color w:val="000000" w:themeColor="text1"/>
          <w:szCs w:val="21"/>
        </w:rPr>
        <w:t>22</w:t>
      </w:r>
      <w:r w:rsidRPr="00FF35A5">
        <w:rPr>
          <w:rFonts w:hint="eastAsia"/>
          <w:color w:val="000000" w:themeColor="text1"/>
          <w:szCs w:val="21"/>
        </w:rPr>
        <w:t>个月，完成年限为</w:t>
      </w:r>
      <w:r w:rsidRPr="00FF35A5">
        <w:rPr>
          <w:rFonts w:hint="eastAsia"/>
          <w:color w:val="000000" w:themeColor="text1"/>
          <w:szCs w:val="21"/>
        </w:rPr>
        <w:t>2024</w:t>
      </w:r>
      <w:r w:rsidRPr="00FF35A5">
        <w:rPr>
          <w:rFonts w:hint="eastAsia"/>
          <w:color w:val="000000" w:themeColor="text1"/>
          <w:szCs w:val="21"/>
        </w:rPr>
        <w:t>年。</w:t>
      </w:r>
      <w:r w:rsidRPr="00FF35A5">
        <w:rPr>
          <w:rFonts w:hint="eastAsia"/>
          <w:color w:val="000000" w:themeColor="text1"/>
          <w:szCs w:val="21"/>
        </w:rPr>
        <w:t>2023</w:t>
      </w:r>
      <w:r w:rsidRPr="00FF35A5">
        <w:rPr>
          <w:rFonts w:hint="eastAsia"/>
          <w:color w:val="000000" w:themeColor="text1"/>
          <w:szCs w:val="21"/>
        </w:rPr>
        <w:t>年</w:t>
      </w:r>
      <w:r w:rsidRPr="00FF35A5">
        <w:rPr>
          <w:rFonts w:hint="eastAsia"/>
          <w:color w:val="000000" w:themeColor="text1"/>
          <w:szCs w:val="21"/>
        </w:rPr>
        <w:t>9</w:t>
      </w:r>
      <w:r w:rsidRPr="00FF35A5">
        <w:rPr>
          <w:rFonts w:hint="eastAsia"/>
          <w:color w:val="000000" w:themeColor="text1"/>
          <w:szCs w:val="21"/>
        </w:rPr>
        <w:t>月</w:t>
      </w:r>
      <w:r w:rsidRPr="00FF35A5">
        <w:rPr>
          <w:rFonts w:hint="eastAsia"/>
          <w:color w:val="000000" w:themeColor="text1"/>
          <w:szCs w:val="21"/>
        </w:rPr>
        <w:t>20</w:t>
      </w:r>
      <w:r w:rsidRPr="00FF35A5">
        <w:rPr>
          <w:rFonts w:hint="eastAsia"/>
          <w:color w:val="000000" w:themeColor="text1"/>
          <w:szCs w:val="21"/>
        </w:rPr>
        <w:lastRenderedPageBreak/>
        <w:t>日至</w:t>
      </w:r>
      <w:r w:rsidRPr="00FF35A5">
        <w:rPr>
          <w:rFonts w:hint="eastAsia"/>
          <w:color w:val="000000" w:themeColor="text1"/>
          <w:szCs w:val="21"/>
        </w:rPr>
        <w:t>9</w:t>
      </w:r>
      <w:r w:rsidRPr="00FF35A5">
        <w:rPr>
          <w:rFonts w:hint="eastAsia"/>
          <w:color w:val="000000" w:themeColor="text1"/>
          <w:szCs w:val="21"/>
        </w:rPr>
        <w:t>月</w:t>
      </w:r>
      <w:r w:rsidRPr="00FF35A5">
        <w:rPr>
          <w:rFonts w:hint="eastAsia"/>
          <w:color w:val="000000" w:themeColor="text1"/>
          <w:szCs w:val="21"/>
        </w:rPr>
        <w:t>22</w:t>
      </w:r>
      <w:r w:rsidRPr="00FF35A5">
        <w:rPr>
          <w:rFonts w:hint="eastAsia"/>
          <w:color w:val="000000" w:themeColor="text1"/>
          <w:szCs w:val="21"/>
        </w:rPr>
        <w:t>日，</w:t>
      </w:r>
      <w:r w:rsidRPr="00FF35A5">
        <w:rPr>
          <w:rFonts w:hint="eastAsia"/>
          <w:color w:val="000000" w:themeColor="text1"/>
          <w:szCs w:val="21"/>
        </w:rPr>
        <w:t xml:space="preserve"> 2023</w:t>
      </w:r>
      <w:r w:rsidRPr="00FF35A5">
        <w:rPr>
          <w:rFonts w:hint="eastAsia"/>
          <w:color w:val="000000" w:themeColor="text1"/>
          <w:szCs w:val="21"/>
        </w:rPr>
        <w:t>年全国稀土标准化技术委员会第六次稀土标准工作会议于成都召开，会上各专家对《稀土金属及其氧化物中非稀土杂质化学分析方法</w:t>
      </w:r>
      <w:r w:rsidRPr="00FF35A5">
        <w:rPr>
          <w:rFonts w:hint="eastAsia"/>
          <w:color w:val="000000" w:themeColor="text1"/>
          <w:szCs w:val="21"/>
        </w:rPr>
        <w:t xml:space="preserve"> </w:t>
      </w:r>
      <w:r w:rsidRPr="00FF35A5">
        <w:rPr>
          <w:rFonts w:hint="eastAsia"/>
          <w:color w:val="000000" w:themeColor="text1"/>
          <w:szCs w:val="21"/>
        </w:rPr>
        <w:t>第</w:t>
      </w:r>
      <w:r w:rsidRPr="00FF35A5">
        <w:rPr>
          <w:rFonts w:hint="eastAsia"/>
          <w:color w:val="000000" w:themeColor="text1"/>
          <w:szCs w:val="21"/>
        </w:rPr>
        <w:t>21</w:t>
      </w:r>
      <w:r w:rsidRPr="00FF35A5">
        <w:rPr>
          <w:rFonts w:hint="eastAsia"/>
          <w:color w:val="000000" w:themeColor="text1"/>
          <w:szCs w:val="21"/>
        </w:rPr>
        <w:t>部分：稀土氧化物中硫酸根含量的测定》的测定对象进行了认真、细致讨论，认为本标准不应包含离子型稀土矿，考虑到稀土氧化物中实际含量，故本标准保留比浊法即可，对象为稀土氧化物，名称中宜增加“硫酸钡比浊法”，故方法名称更改为：《稀土金属及其氧化物中非稀土杂质化学分析方法</w:t>
      </w:r>
      <w:r w:rsidRPr="00FF35A5">
        <w:rPr>
          <w:rFonts w:hint="eastAsia"/>
          <w:color w:val="000000" w:themeColor="text1"/>
          <w:szCs w:val="21"/>
        </w:rPr>
        <w:t xml:space="preserve"> </w:t>
      </w:r>
      <w:r w:rsidRPr="00FF35A5">
        <w:rPr>
          <w:rFonts w:hint="eastAsia"/>
          <w:color w:val="000000" w:themeColor="text1"/>
          <w:szCs w:val="21"/>
        </w:rPr>
        <w:t>第</w:t>
      </w:r>
      <w:r w:rsidRPr="00FF35A5">
        <w:rPr>
          <w:rFonts w:hint="eastAsia"/>
          <w:color w:val="000000" w:themeColor="text1"/>
          <w:szCs w:val="21"/>
        </w:rPr>
        <w:t>21</w:t>
      </w:r>
      <w:r w:rsidRPr="00FF35A5">
        <w:rPr>
          <w:rFonts w:hint="eastAsia"/>
          <w:color w:val="000000" w:themeColor="text1"/>
          <w:szCs w:val="21"/>
        </w:rPr>
        <w:t>部分：稀土氧化物中硫酸根含量的测定</w:t>
      </w:r>
      <w:r w:rsidRPr="00FF35A5">
        <w:rPr>
          <w:rFonts w:hint="eastAsia"/>
          <w:color w:val="000000" w:themeColor="text1"/>
          <w:szCs w:val="21"/>
        </w:rPr>
        <w:t xml:space="preserve"> </w:t>
      </w:r>
      <w:r w:rsidRPr="00FF35A5">
        <w:rPr>
          <w:rFonts w:hint="eastAsia"/>
          <w:color w:val="000000" w:themeColor="text1"/>
          <w:szCs w:val="21"/>
        </w:rPr>
        <w:t>硫酸钡比浊法》。</w:t>
      </w:r>
    </w:p>
    <w:p w14:paraId="7B90F760" w14:textId="411A5F24" w:rsidR="0064470A" w:rsidRPr="00F950A7" w:rsidRDefault="00FF35A5">
      <w:pPr>
        <w:spacing w:line="360" w:lineRule="auto"/>
        <w:ind w:firstLine="482"/>
        <w:rPr>
          <w:rFonts w:ascii="Calibri" w:hAnsi="Calibri" w:cs="Times New Roman"/>
          <w:color w:val="000000" w:themeColor="text1"/>
          <w:szCs w:val="21"/>
        </w:rPr>
      </w:pPr>
      <w:r w:rsidRPr="00F950A7">
        <w:rPr>
          <w:rFonts w:ascii="Calibri" w:hAnsi="Calibri" w:hint="eastAsia"/>
          <w:szCs w:val="21"/>
        </w:rPr>
        <w:t>2</w:t>
      </w:r>
      <w:r w:rsidRPr="00F950A7">
        <w:rPr>
          <w:rFonts w:ascii="Calibri" w:hAnsi="Calibri"/>
          <w:szCs w:val="21"/>
        </w:rPr>
        <w:t>023</w:t>
      </w:r>
      <w:r w:rsidRPr="00F950A7">
        <w:rPr>
          <w:rFonts w:ascii="Calibri" w:hAnsi="Calibri"/>
          <w:szCs w:val="21"/>
        </w:rPr>
        <w:t>年</w:t>
      </w:r>
      <w:r w:rsidRPr="00F950A7">
        <w:rPr>
          <w:rFonts w:ascii="Calibri" w:hAnsi="Calibri" w:hint="eastAsia"/>
          <w:szCs w:val="21"/>
        </w:rPr>
        <w:t>11</w:t>
      </w:r>
      <w:r w:rsidRPr="00F950A7">
        <w:rPr>
          <w:rFonts w:ascii="Calibri" w:hAnsi="Calibri"/>
          <w:szCs w:val="21"/>
        </w:rPr>
        <w:t>月</w:t>
      </w:r>
      <w:r w:rsidRPr="00F950A7">
        <w:rPr>
          <w:rFonts w:ascii="Calibri" w:hAnsi="Calibri" w:hint="eastAsia"/>
          <w:szCs w:val="21"/>
        </w:rPr>
        <w:t>8</w:t>
      </w:r>
      <w:r w:rsidRPr="00F950A7">
        <w:rPr>
          <w:rFonts w:ascii="Calibri" w:hAnsi="Calibri"/>
          <w:szCs w:val="21"/>
        </w:rPr>
        <w:t>日至</w:t>
      </w:r>
      <w:r w:rsidRPr="00F950A7">
        <w:rPr>
          <w:rFonts w:ascii="Calibri" w:hAnsi="Calibri" w:hint="eastAsia"/>
          <w:szCs w:val="21"/>
        </w:rPr>
        <w:t>11</w:t>
      </w:r>
      <w:r w:rsidRPr="00F950A7">
        <w:rPr>
          <w:rFonts w:ascii="Calibri" w:hAnsi="Calibri"/>
          <w:szCs w:val="21"/>
        </w:rPr>
        <w:t>月</w:t>
      </w:r>
      <w:r w:rsidRPr="00F950A7">
        <w:rPr>
          <w:rFonts w:ascii="Calibri" w:hAnsi="Calibri" w:hint="eastAsia"/>
          <w:szCs w:val="21"/>
        </w:rPr>
        <w:t>10</w:t>
      </w:r>
      <w:r w:rsidRPr="00F950A7">
        <w:rPr>
          <w:rFonts w:ascii="Calibri" w:hAnsi="Calibri"/>
          <w:szCs w:val="21"/>
        </w:rPr>
        <w:t>日，</w:t>
      </w:r>
      <w:r w:rsidRPr="00F950A7">
        <w:rPr>
          <w:rFonts w:ascii="Calibri" w:hAnsi="Calibri"/>
          <w:szCs w:val="21"/>
        </w:rPr>
        <w:t xml:space="preserve"> 2023</w:t>
      </w:r>
      <w:r w:rsidRPr="00F950A7">
        <w:rPr>
          <w:rFonts w:ascii="Calibri" w:hAnsi="Calibri"/>
          <w:szCs w:val="21"/>
        </w:rPr>
        <w:t>年全国稀土标准化技术委员会第</w:t>
      </w:r>
      <w:r w:rsidRPr="00F950A7">
        <w:rPr>
          <w:rFonts w:ascii="Calibri" w:hAnsi="Calibri" w:hint="eastAsia"/>
          <w:szCs w:val="21"/>
        </w:rPr>
        <w:t>七</w:t>
      </w:r>
      <w:r w:rsidRPr="00F950A7">
        <w:rPr>
          <w:rFonts w:ascii="Calibri" w:hAnsi="Calibri"/>
          <w:szCs w:val="21"/>
        </w:rPr>
        <w:t>次稀土标准工作会议</w:t>
      </w:r>
      <w:r w:rsidRPr="00F950A7">
        <w:rPr>
          <w:rFonts w:ascii="Calibri" w:hAnsi="Calibri" w:hint="eastAsia"/>
          <w:szCs w:val="21"/>
        </w:rPr>
        <w:t>于赣州</w:t>
      </w:r>
      <w:r w:rsidRPr="00F950A7">
        <w:rPr>
          <w:rFonts w:ascii="Calibri" w:hAnsi="Calibri"/>
          <w:szCs w:val="21"/>
        </w:rPr>
        <w:t>召开</w:t>
      </w:r>
      <w:r w:rsidRPr="00F950A7">
        <w:rPr>
          <w:rFonts w:ascii="Calibri" w:hAnsi="Calibri" w:hint="eastAsia"/>
          <w:szCs w:val="21"/>
        </w:rPr>
        <w:t>，</w:t>
      </w:r>
      <w:r w:rsidRPr="00F950A7">
        <w:rPr>
          <w:rFonts w:ascii="Calibri" w:hAnsi="Calibri"/>
          <w:szCs w:val="21"/>
        </w:rPr>
        <w:t>会上各专家</w:t>
      </w:r>
      <w:r w:rsidRPr="00F950A7">
        <w:rPr>
          <w:rFonts w:ascii="Calibri" w:hAnsi="Calibri" w:hint="eastAsia"/>
          <w:szCs w:val="21"/>
        </w:rPr>
        <w:t>对《稀土金属及其氧化物中非稀土杂质化学分析方法</w:t>
      </w:r>
      <w:r w:rsidRPr="00F950A7">
        <w:rPr>
          <w:rFonts w:ascii="Calibri" w:hAnsi="Calibri" w:hint="eastAsia"/>
          <w:szCs w:val="21"/>
        </w:rPr>
        <w:t xml:space="preserve"> </w:t>
      </w:r>
      <w:r w:rsidRPr="00F950A7">
        <w:rPr>
          <w:rFonts w:ascii="Calibri" w:hAnsi="Calibri" w:hint="eastAsia"/>
          <w:szCs w:val="21"/>
        </w:rPr>
        <w:t>第</w:t>
      </w:r>
      <w:r w:rsidRPr="00F950A7">
        <w:rPr>
          <w:rFonts w:ascii="Calibri" w:hAnsi="Calibri" w:hint="eastAsia"/>
          <w:szCs w:val="21"/>
        </w:rPr>
        <w:t>21</w:t>
      </w:r>
      <w:r w:rsidRPr="00F950A7">
        <w:rPr>
          <w:rFonts w:ascii="Calibri" w:hAnsi="Calibri" w:hint="eastAsia"/>
          <w:szCs w:val="21"/>
        </w:rPr>
        <w:t>部分：硫酸根含量的测定</w:t>
      </w:r>
      <w:r w:rsidRPr="00F950A7">
        <w:rPr>
          <w:rFonts w:ascii="Calibri" w:hAnsi="Calibri" w:hint="eastAsia"/>
          <w:szCs w:val="21"/>
        </w:rPr>
        <w:t xml:space="preserve"> </w:t>
      </w:r>
      <w:r w:rsidRPr="00F950A7">
        <w:rPr>
          <w:rFonts w:ascii="Calibri" w:hAnsi="Calibri" w:hint="eastAsia"/>
          <w:szCs w:val="21"/>
        </w:rPr>
        <w:t>硫酸钡比浊法》</w:t>
      </w:r>
      <w:r w:rsidRPr="00F950A7">
        <w:rPr>
          <w:rFonts w:ascii="Calibri" w:hAnsi="Calibri"/>
          <w:szCs w:val="21"/>
        </w:rPr>
        <w:t>进行了认真、细致的讨论，提出了具体的修改意见，形成</w:t>
      </w:r>
      <w:r w:rsidRPr="00F950A7">
        <w:rPr>
          <w:rFonts w:ascii="Calibri" w:hAnsi="Calibri" w:hint="eastAsia"/>
          <w:szCs w:val="21"/>
        </w:rPr>
        <w:t>审定</w:t>
      </w:r>
      <w:r w:rsidRPr="00F950A7">
        <w:rPr>
          <w:rFonts w:ascii="Calibri" w:hAnsi="Calibri"/>
          <w:szCs w:val="21"/>
        </w:rPr>
        <w:t>会议纪要</w:t>
      </w:r>
      <w:r w:rsidRPr="00F950A7">
        <w:rPr>
          <w:rFonts w:ascii="Calibri" w:hAnsi="Calibri" w:hint="eastAsia"/>
          <w:szCs w:val="21"/>
        </w:rPr>
        <w:t>，并在会议上经过专家审议通过。</w:t>
      </w:r>
      <w:r w:rsidRPr="00F950A7">
        <w:rPr>
          <w:rFonts w:ascii="Calibri" w:hAnsi="Calibri" w:cs="Times New Roman"/>
          <w:color w:val="000000" w:themeColor="text1"/>
          <w:szCs w:val="21"/>
        </w:rPr>
        <w:t>根据国标委</w:t>
      </w:r>
      <w:r w:rsidR="00CE4EA6">
        <w:rPr>
          <w:rFonts w:ascii="Calibri" w:hAnsi="Calibri" w:cs="Times New Roman" w:hint="eastAsia"/>
          <w:color w:val="000000" w:themeColor="text1"/>
          <w:szCs w:val="21"/>
        </w:rPr>
        <w:t>文件要求</w:t>
      </w:r>
      <w:r w:rsidRPr="00F950A7">
        <w:rPr>
          <w:rFonts w:ascii="Calibri" w:hAnsi="Calibri" w:cs="Times New Roman"/>
          <w:color w:val="000000" w:themeColor="text1"/>
          <w:szCs w:val="21"/>
        </w:rPr>
        <w:t>，《</w:t>
      </w:r>
      <w:r w:rsidR="00E63927" w:rsidRPr="00F950A7">
        <w:rPr>
          <w:rFonts w:ascii="Calibri" w:hAnsi="Calibri" w:cs="Times New Roman" w:hint="eastAsia"/>
          <w:color w:val="000000" w:themeColor="text1"/>
          <w:szCs w:val="21"/>
        </w:rPr>
        <w:t>稀土金属及其氧化物中非稀土杂质化学分析方法</w:t>
      </w:r>
      <w:r w:rsidR="00E63927" w:rsidRPr="00F950A7">
        <w:rPr>
          <w:rFonts w:ascii="Calibri" w:hAnsi="Calibri" w:cs="Times New Roman" w:hint="eastAsia"/>
          <w:color w:val="000000" w:themeColor="text1"/>
          <w:szCs w:val="21"/>
        </w:rPr>
        <w:t xml:space="preserve"> </w:t>
      </w:r>
      <w:r w:rsidR="00E63927" w:rsidRPr="00F950A7">
        <w:rPr>
          <w:rFonts w:ascii="Calibri" w:hAnsi="Calibri" w:cs="Times New Roman" w:hint="eastAsia"/>
          <w:color w:val="000000" w:themeColor="text1"/>
          <w:szCs w:val="21"/>
        </w:rPr>
        <w:t>第</w:t>
      </w:r>
      <w:r w:rsidR="00E63927" w:rsidRPr="00F950A7">
        <w:rPr>
          <w:rFonts w:ascii="Calibri" w:hAnsi="Calibri" w:cs="Times New Roman" w:hint="eastAsia"/>
          <w:color w:val="000000" w:themeColor="text1"/>
          <w:szCs w:val="21"/>
        </w:rPr>
        <w:t>21</w:t>
      </w:r>
      <w:r w:rsidR="00E63927" w:rsidRPr="00F950A7">
        <w:rPr>
          <w:rFonts w:ascii="Calibri" w:hAnsi="Calibri" w:cs="Times New Roman" w:hint="eastAsia"/>
          <w:color w:val="000000" w:themeColor="text1"/>
          <w:szCs w:val="21"/>
        </w:rPr>
        <w:t>部分：稀土氧化物中硫酸根含量的测定</w:t>
      </w:r>
      <w:r w:rsidR="00E63927" w:rsidRPr="00F950A7">
        <w:rPr>
          <w:rFonts w:ascii="Calibri" w:hAnsi="Calibri" w:cs="Times New Roman" w:hint="eastAsia"/>
          <w:color w:val="000000" w:themeColor="text1"/>
          <w:szCs w:val="21"/>
        </w:rPr>
        <w:t xml:space="preserve"> </w:t>
      </w:r>
      <w:r w:rsidR="00E63927" w:rsidRPr="00F950A7">
        <w:rPr>
          <w:rFonts w:ascii="Calibri" w:hAnsi="Calibri" w:cs="Times New Roman" w:hint="eastAsia"/>
          <w:color w:val="000000" w:themeColor="text1"/>
          <w:szCs w:val="21"/>
        </w:rPr>
        <w:t>硫酸钡比浊法</w:t>
      </w:r>
      <w:r w:rsidRPr="00F950A7">
        <w:rPr>
          <w:rFonts w:ascii="Calibri" w:hAnsi="Calibri" w:cs="Times New Roman"/>
          <w:color w:val="000000" w:themeColor="text1"/>
          <w:szCs w:val="21"/>
        </w:rPr>
        <w:t>》</w:t>
      </w:r>
      <w:r w:rsidR="00CE4EA6" w:rsidRPr="00F950A7">
        <w:rPr>
          <w:rFonts w:ascii="Calibri" w:hAnsi="Calibri" w:cs="Times New Roman"/>
          <w:color w:val="000000" w:themeColor="text1"/>
          <w:szCs w:val="21"/>
        </w:rPr>
        <w:t>国家标准</w:t>
      </w:r>
      <w:r w:rsidR="00CE4EA6">
        <w:rPr>
          <w:rFonts w:ascii="Calibri" w:hAnsi="Calibri" w:cs="Times New Roman" w:hint="eastAsia"/>
          <w:color w:val="000000" w:themeColor="text1"/>
          <w:szCs w:val="21"/>
        </w:rPr>
        <w:t>英文版翻译计划与</w:t>
      </w:r>
      <w:r w:rsidR="004449B5" w:rsidRPr="00F950A7">
        <w:rPr>
          <w:rFonts w:ascii="Calibri" w:hAnsi="Calibri" w:cs="Times New Roman"/>
          <w:color w:val="000000" w:themeColor="text1"/>
          <w:szCs w:val="21"/>
        </w:rPr>
        <w:t>《</w:t>
      </w:r>
      <w:r w:rsidR="00CE4EA6" w:rsidRPr="00F950A7">
        <w:rPr>
          <w:rFonts w:ascii="Calibri" w:hAnsi="Calibri" w:cs="Times New Roman" w:hint="eastAsia"/>
          <w:color w:val="000000" w:themeColor="text1"/>
          <w:szCs w:val="21"/>
        </w:rPr>
        <w:t>稀土金属及其氧化物中非稀土杂质化学分析方法</w:t>
      </w:r>
      <w:r w:rsidR="00CE4EA6" w:rsidRPr="00F950A7">
        <w:rPr>
          <w:rFonts w:ascii="Calibri" w:hAnsi="Calibri" w:cs="Times New Roman" w:hint="eastAsia"/>
          <w:color w:val="000000" w:themeColor="text1"/>
          <w:szCs w:val="21"/>
        </w:rPr>
        <w:t xml:space="preserve"> </w:t>
      </w:r>
      <w:r w:rsidR="00CE4EA6" w:rsidRPr="00F950A7">
        <w:rPr>
          <w:rFonts w:ascii="Calibri" w:hAnsi="Calibri" w:cs="Times New Roman" w:hint="eastAsia"/>
          <w:color w:val="000000" w:themeColor="text1"/>
          <w:szCs w:val="21"/>
        </w:rPr>
        <w:t>第</w:t>
      </w:r>
      <w:r w:rsidR="00CE4EA6" w:rsidRPr="00F950A7">
        <w:rPr>
          <w:rFonts w:ascii="Calibri" w:hAnsi="Calibri" w:cs="Times New Roman" w:hint="eastAsia"/>
          <w:color w:val="000000" w:themeColor="text1"/>
          <w:szCs w:val="21"/>
        </w:rPr>
        <w:t>21</w:t>
      </w:r>
      <w:r w:rsidR="00CE4EA6" w:rsidRPr="00F950A7">
        <w:rPr>
          <w:rFonts w:ascii="Calibri" w:hAnsi="Calibri" w:cs="Times New Roman" w:hint="eastAsia"/>
          <w:color w:val="000000" w:themeColor="text1"/>
          <w:szCs w:val="21"/>
        </w:rPr>
        <w:t>部分：稀土氧化物中硫酸根含量的测定</w:t>
      </w:r>
      <w:r w:rsidR="00CE4EA6" w:rsidRPr="00F950A7">
        <w:rPr>
          <w:rFonts w:ascii="Calibri" w:hAnsi="Calibri" w:cs="Times New Roman" w:hint="eastAsia"/>
          <w:color w:val="000000" w:themeColor="text1"/>
          <w:szCs w:val="21"/>
        </w:rPr>
        <w:t xml:space="preserve"> </w:t>
      </w:r>
      <w:r w:rsidR="00CE4EA6" w:rsidRPr="00F950A7">
        <w:rPr>
          <w:rFonts w:ascii="Calibri" w:hAnsi="Calibri" w:cs="Times New Roman" w:hint="eastAsia"/>
          <w:color w:val="000000" w:themeColor="text1"/>
          <w:szCs w:val="21"/>
        </w:rPr>
        <w:t>硫酸钡比浊法</w:t>
      </w:r>
      <w:r w:rsidR="00CE4EA6" w:rsidRPr="00F950A7">
        <w:rPr>
          <w:rFonts w:ascii="Calibri" w:hAnsi="Calibri" w:cs="Times New Roman"/>
          <w:color w:val="000000" w:themeColor="text1"/>
          <w:szCs w:val="21"/>
        </w:rPr>
        <w:t>》</w:t>
      </w:r>
      <w:r w:rsidRPr="00F950A7">
        <w:rPr>
          <w:rFonts w:ascii="Calibri" w:hAnsi="Calibri" w:cs="Times New Roman"/>
          <w:color w:val="000000" w:themeColor="text1"/>
          <w:szCs w:val="21"/>
        </w:rPr>
        <w:t>国家标准中文版同步发行。</w:t>
      </w:r>
      <w:r w:rsidR="00E63927" w:rsidRPr="00F950A7">
        <w:rPr>
          <w:rFonts w:ascii="Calibri" w:eastAsia="宋体" w:hAnsi="Calibri" w:cs="宋体" w:hint="eastAsia"/>
          <w:color w:val="000000" w:themeColor="text1"/>
        </w:rPr>
        <w:t>福建省金龙稀土股份有限公司</w:t>
      </w:r>
      <w:r w:rsidRPr="00F950A7">
        <w:rPr>
          <w:rFonts w:ascii="Calibri" w:hAnsi="Calibri" w:cs="Times New Roman"/>
          <w:color w:val="000000" w:themeColor="text1"/>
          <w:szCs w:val="21"/>
        </w:rPr>
        <w:t>承担主笔翻译该国家标准（</w:t>
      </w:r>
      <w:r w:rsidR="004449B5">
        <w:rPr>
          <w:rFonts w:ascii="Calibri" w:hAnsi="Calibri" w:cs="Times New Roman" w:hint="eastAsia"/>
          <w:color w:val="000000" w:themeColor="text1"/>
          <w:szCs w:val="21"/>
        </w:rPr>
        <w:t>英</w:t>
      </w:r>
      <w:r w:rsidRPr="00F950A7">
        <w:rPr>
          <w:rFonts w:ascii="Calibri" w:hAnsi="Calibri" w:cs="Times New Roman"/>
          <w:color w:val="000000" w:themeColor="text1"/>
          <w:szCs w:val="21"/>
        </w:rPr>
        <w:t>文版）工作，负责校对翻译的单位见表</w:t>
      </w:r>
      <w:r w:rsidRPr="00F950A7">
        <w:rPr>
          <w:rFonts w:ascii="Calibri" w:hAnsi="Calibri" w:cs="Times New Roman"/>
          <w:color w:val="000000" w:themeColor="text1"/>
          <w:szCs w:val="21"/>
        </w:rPr>
        <w:t>1</w:t>
      </w:r>
      <w:r w:rsidRPr="00F950A7">
        <w:rPr>
          <w:rFonts w:ascii="Calibri" w:hAnsi="Calibri" w:cs="Times New Roman"/>
          <w:color w:val="000000" w:themeColor="text1"/>
          <w:szCs w:val="21"/>
        </w:rPr>
        <w:t>。</w:t>
      </w:r>
    </w:p>
    <w:p w14:paraId="036F1BAF" w14:textId="0D90499B" w:rsidR="0064470A" w:rsidRDefault="00BC3268">
      <w:pPr>
        <w:spacing w:before="120"/>
        <w:jc w:val="center"/>
        <w:rPr>
          <w:color w:val="000000" w:themeColor="text1"/>
          <w:szCs w:val="21"/>
        </w:rPr>
      </w:pPr>
      <w:r>
        <w:rPr>
          <w:color w:val="000000" w:themeColor="text1"/>
          <w:szCs w:val="21"/>
        </w:rPr>
        <w:t>表</w:t>
      </w:r>
      <w:r>
        <w:rPr>
          <w:color w:val="000000" w:themeColor="text1"/>
          <w:szCs w:val="21"/>
        </w:rPr>
        <w:t>1</w:t>
      </w:r>
      <w:r>
        <w:rPr>
          <w:rFonts w:hint="eastAsia"/>
          <w:color w:val="000000" w:themeColor="text1"/>
          <w:szCs w:val="21"/>
        </w:rPr>
        <w:t xml:space="preserve"> </w:t>
      </w:r>
      <w:r>
        <w:rPr>
          <w:color w:val="000000" w:themeColor="text1"/>
          <w:szCs w:val="21"/>
        </w:rPr>
        <w:t xml:space="preserve"> </w:t>
      </w:r>
      <w:r>
        <w:rPr>
          <w:color w:val="000000" w:themeColor="text1"/>
          <w:szCs w:val="21"/>
        </w:rPr>
        <w:t>国家标准</w:t>
      </w:r>
      <w:r>
        <w:rPr>
          <w:rFonts w:hint="eastAsia"/>
          <w:color w:val="000000" w:themeColor="text1"/>
          <w:szCs w:val="21"/>
        </w:rPr>
        <w:t>《</w:t>
      </w:r>
      <w:r w:rsidR="00CE4EA6" w:rsidRPr="00F950A7">
        <w:rPr>
          <w:rFonts w:ascii="Calibri" w:hAnsi="Calibri" w:cs="Times New Roman" w:hint="eastAsia"/>
          <w:color w:val="000000" w:themeColor="text1"/>
          <w:szCs w:val="21"/>
        </w:rPr>
        <w:t>稀土金属及其氧化物中非稀土杂质化学分析方法</w:t>
      </w:r>
      <w:r w:rsidR="00CE4EA6" w:rsidRPr="00F950A7">
        <w:rPr>
          <w:rFonts w:ascii="Calibri" w:hAnsi="Calibri" w:cs="Times New Roman" w:hint="eastAsia"/>
          <w:color w:val="000000" w:themeColor="text1"/>
          <w:szCs w:val="21"/>
        </w:rPr>
        <w:t xml:space="preserve"> </w:t>
      </w:r>
      <w:r w:rsidR="00CE4EA6" w:rsidRPr="00F950A7">
        <w:rPr>
          <w:rFonts w:ascii="Calibri" w:hAnsi="Calibri" w:cs="Times New Roman" w:hint="eastAsia"/>
          <w:color w:val="000000" w:themeColor="text1"/>
          <w:szCs w:val="21"/>
        </w:rPr>
        <w:t>第</w:t>
      </w:r>
      <w:r w:rsidR="00CE4EA6" w:rsidRPr="00F950A7">
        <w:rPr>
          <w:rFonts w:ascii="Calibri" w:hAnsi="Calibri" w:cs="Times New Roman" w:hint="eastAsia"/>
          <w:color w:val="000000" w:themeColor="text1"/>
          <w:szCs w:val="21"/>
        </w:rPr>
        <w:t>21</w:t>
      </w:r>
      <w:r w:rsidR="00CE4EA6" w:rsidRPr="00F950A7">
        <w:rPr>
          <w:rFonts w:ascii="Calibri" w:hAnsi="Calibri" w:cs="Times New Roman" w:hint="eastAsia"/>
          <w:color w:val="000000" w:themeColor="text1"/>
          <w:szCs w:val="21"/>
        </w:rPr>
        <w:t>部分：稀土氧化物中硫酸根含量的测定</w:t>
      </w:r>
      <w:r w:rsidR="00CE4EA6" w:rsidRPr="00F950A7">
        <w:rPr>
          <w:rFonts w:ascii="Calibri" w:hAnsi="Calibri" w:cs="Times New Roman" w:hint="eastAsia"/>
          <w:color w:val="000000" w:themeColor="text1"/>
          <w:szCs w:val="21"/>
        </w:rPr>
        <w:t xml:space="preserve"> </w:t>
      </w:r>
      <w:r w:rsidR="00CE4EA6" w:rsidRPr="00F950A7">
        <w:rPr>
          <w:rFonts w:ascii="Calibri" w:hAnsi="Calibri" w:cs="Times New Roman" w:hint="eastAsia"/>
          <w:color w:val="000000" w:themeColor="text1"/>
          <w:szCs w:val="21"/>
        </w:rPr>
        <w:t>硫酸钡比浊法</w:t>
      </w:r>
      <w:r>
        <w:rPr>
          <w:rFonts w:hint="eastAsia"/>
          <w:color w:val="000000" w:themeColor="text1"/>
          <w:szCs w:val="21"/>
        </w:rPr>
        <w:t>》（</w:t>
      </w:r>
      <w:r w:rsidR="004449B5">
        <w:rPr>
          <w:rFonts w:hint="eastAsia"/>
          <w:color w:val="000000" w:themeColor="text1"/>
          <w:szCs w:val="21"/>
        </w:rPr>
        <w:t>英</w:t>
      </w:r>
      <w:r w:rsidR="004449B5" w:rsidRPr="00F950A7">
        <w:rPr>
          <w:rFonts w:hint="eastAsia"/>
          <w:color w:val="000000" w:themeColor="text1"/>
          <w:szCs w:val="21"/>
        </w:rPr>
        <w:t>文版</w:t>
      </w:r>
      <w:r>
        <w:rPr>
          <w:rFonts w:hint="eastAsia"/>
          <w:color w:val="000000" w:themeColor="text1"/>
          <w:szCs w:val="21"/>
        </w:rPr>
        <w:t>）翻译</w:t>
      </w:r>
      <w:r>
        <w:rPr>
          <w:color w:val="000000" w:themeColor="text1"/>
          <w:szCs w:val="21"/>
        </w:rPr>
        <w:t>任务落实情况</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20"/>
        <w:gridCol w:w="1276"/>
        <w:gridCol w:w="1275"/>
        <w:gridCol w:w="1843"/>
        <w:gridCol w:w="2734"/>
      </w:tblGrid>
      <w:tr w:rsidR="0064470A" w14:paraId="4377D388" w14:textId="77777777">
        <w:trPr>
          <w:trHeight w:val="589"/>
          <w:jc w:val="center"/>
        </w:trPr>
        <w:tc>
          <w:tcPr>
            <w:tcW w:w="1120" w:type="dxa"/>
            <w:tcBorders>
              <w:top w:val="single" w:sz="12" w:space="0" w:color="auto"/>
              <w:left w:val="single" w:sz="2" w:space="0" w:color="auto"/>
              <w:bottom w:val="single" w:sz="12" w:space="0" w:color="auto"/>
              <w:right w:val="single" w:sz="4" w:space="0" w:color="auto"/>
            </w:tcBorders>
            <w:vAlign w:val="center"/>
          </w:tcPr>
          <w:p w14:paraId="5885BB26" w14:textId="77777777" w:rsidR="0064470A" w:rsidRDefault="00BC3268">
            <w:pPr>
              <w:autoSpaceDE w:val="0"/>
              <w:autoSpaceDN w:val="0"/>
              <w:adjustRightInd w:val="0"/>
              <w:spacing w:line="240" w:lineRule="atLeast"/>
              <w:jc w:val="center"/>
              <w:rPr>
                <w:b/>
                <w:color w:val="000000" w:themeColor="text1"/>
                <w:sz w:val="18"/>
                <w:szCs w:val="18"/>
              </w:rPr>
            </w:pPr>
            <w:r>
              <w:rPr>
                <w:rFonts w:hint="eastAsia"/>
                <w:b/>
                <w:color w:val="000000" w:themeColor="text1"/>
                <w:sz w:val="18"/>
                <w:szCs w:val="18"/>
              </w:rPr>
              <w:t>外文版</w:t>
            </w:r>
          </w:p>
          <w:p w14:paraId="1D6991F3" w14:textId="77777777" w:rsidR="0064470A" w:rsidRDefault="00BC3268">
            <w:pPr>
              <w:autoSpaceDE w:val="0"/>
              <w:autoSpaceDN w:val="0"/>
              <w:adjustRightInd w:val="0"/>
              <w:spacing w:line="240" w:lineRule="atLeast"/>
              <w:jc w:val="center"/>
              <w:rPr>
                <w:b/>
                <w:color w:val="000000" w:themeColor="text1"/>
                <w:sz w:val="18"/>
                <w:szCs w:val="18"/>
              </w:rPr>
            </w:pPr>
            <w:r>
              <w:rPr>
                <w:b/>
                <w:color w:val="000000" w:themeColor="text1"/>
                <w:sz w:val="18"/>
                <w:szCs w:val="18"/>
              </w:rPr>
              <w:t>计划编号</w:t>
            </w:r>
          </w:p>
        </w:tc>
        <w:tc>
          <w:tcPr>
            <w:tcW w:w="1276" w:type="dxa"/>
            <w:tcBorders>
              <w:top w:val="single" w:sz="12" w:space="0" w:color="auto"/>
              <w:bottom w:val="single" w:sz="12" w:space="0" w:color="auto"/>
            </w:tcBorders>
            <w:vAlign w:val="center"/>
          </w:tcPr>
          <w:p w14:paraId="7610D564" w14:textId="77777777" w:rsidR="0064470A" w:rsidRDefault="00BC3268">
            <w:pPr>
              <w:autoSpaceDE w:val="0"/>
              <w:autoSpaceDN w:val="0"/>
              <w:adjustRightInd w:val="0"/>
              <w:spacing w:line="240" w:lineRule="atLeast"/>
              <w:jc w:val="center"/>
              <w:rPr>
                <w:b/>
                <w:color w:val="000000" w:themeColor="text1"/>
                <w:sz w:val="18"/>
                <w:szCs w:val="18"/>
              </w:rPr>
            </w:pPr>
            <w:r>
              <w:rPr>
                <w:rFonts w:hint="eastAsia"/>
                <w:b/>
                <w:color w:val="000000" w:themeColor="text1"/>
                <w:sz w:val="18"/>
                <w:szCs w:val="18"/>
              </w:rPr>
              <w:t>标准</w:t>
            </w:r>
            <w:r>
              <w:rPr>
                <w:b/>
                <w:color w:val="000000" w:themeColor="text1"/>
                <w:sz w:val="18"/>
                <w:szCs w:val="18"/>
              </w:rPr>
              <w:t>名称</w:t>
            </w:r>
          </w:p>
        </w:tc>
        <w:tc>
          <w:tcPr>
            <w:tcW w:w="1275" w:type="dxa"/>
            <w:tcBorders>
              <w:top w:val="single" w:sz="12" w:space="0" w:color="auto"/>
              <w:bottom w:val="single" w:sz="12" w:space="0" w:color="auto"/>
            </w:tcBorders>
            <w:vAlign w:val="center"/>
          </w:tcPr>
          <w:p w14:paraId="7ED74D6B" w14:textId="77777777" w:rsidR="0064470A" w:rsidRDefault="00BC3268">
            <w:pPr>
              <w:autoSpaceDE w:val="0"/>
              <w:autoSpaceDN w:val="0"/>
              <w:adjustRightInd w:val="0"/>
              <w:spacing w:line="240" w:lineRule="atLeast"/>
              <w:jc w:val="center"/>
              <w:rPr>
                <w:b/>
                <w:color w:val="000000" w:themeColor="text1"/>
                <w:sz w:val="18"/>
                <w:szCs w:val="18"/>
              </w:rPr>
            </w:pPr>
            <w:r>
              <w:rPr>
                <w:rFonts w:hint="eastAsia"/>
                <w:b/>
                <w:color w:val="000000" w:themeColor="text1"/>
                <w:sz w:val="18"/>
                <w:szCs w:val="18"/>
              </w:rPr>
              <w:t>标准号</w:t>
            </w:r>
          </w:p>
        </w:tc>
        <w:tc>
          <w:tcPr>
            <w:tcW w:w="1843" w:type="dxa"/>
            <w:tcBorders>
              <w:top w:val="single" w:sz="12" w:space="0" w:color="auto"/>
              <w:bottom w:val="single" w:sz="12" w:space="0" w:color="auto"/>
            </w:tcBorders>
            <w:vAlign w:val="center"/>
          </w:tcPr>
          <w:p w14:paraId="24C1F7E3" w14:textId="77777777" w:rsidR="0064470A" w:rsidRDefault="00BC3268">
            <w:pPr>
              <w:autoSpaceDE w:val="0"/>
              <w:autoSpaceDN w:val="0"/>
              <w:adjustRightInd w:val="0"/>
              <w:spacing w:line="240" w:lineRule="atLeast"/>
              <w:jc w:val="center"/>
              <w:rPr>
                <w:b/>
                <w:color w:val="000000" w:themeColor="text1"/>
                <w:sz w:val="18"/>
                <w:szCs w:val="18"/>
              </w:rPr>
            </w:pPr>
            <w:r>
              <w:rPr>
                <w:rFonts w:hint="eastAsia"/>
                <w:b/>
                <w:color w:val="000000" w:themeColor="text1"/>
                <w:sz w:val="18"/>
                <w:szCs w:val="18"/>
              </w:rPr>
              <w:t>项目承担单位及主笔翻译人</w:t>
            </w:r>
          </w:p>
        </w:tc>
        <w:tc>
          <w:tcPr>
            <w:tcW w:w="2734" w:type="dxa"/>
            <w:tcBorders>
              <w:top w:val="single" w:sz="12" w:space="0" w:color="auto"/>
              <w:bottom w:val="single" w:sz="12" w:space="0" w:color="auto"/>
              <w:right w:val="single" w:sz="2" w:space="0" w:color="auto"/>
            </w:tcBorders>
            <w:vAlign w:val="center"/>
          </w:tcPr>
          <w:p w14:paraId="404F763D" w14:textId="77777777" w:rsidR="0064470A" w:rsidRDefault="00BC3268">
            <w:pPr>
              <w:autoSpaceDE w:val="0"/>
              <w:autoSpaceDN w:val="0"/>
              <w:adjustRightInd w:val="0"/>
              <w:spacing w:line="240" w:lineRule="atLeast"/>
              <w:jc w:val="center"/>
              <w:rPr>
                <w:b/>
                <w:color w:val="000000" w:themeColor="text1"/>
                <w:sz w:val="18"/>
                <w:szCs w:val="18"/>
              </w:rPr>
            </w:pPr>
            <w:r>
              <w:rPr>
                <w:rFonts w:hint="eastAsia"/>
                <w:b/>
                <w:color w:val="000000" w:themeColor="text1"/>
                <w:sz w:val="18"/>
                <w:szCs w:val="18"/>
              </w:rPr>
              <w:t>参与翻译校对单位和人员</w:t>
            </w:r>
          </w:p>
        </w:tc>
      </w:tr>
      <w:tr w:rsidR="0064470A" w14:paraId="3C800970" w14:textId="77777777">
        <w:trPr>
          <w:trHeight w:val="2076"/>
          <w:jc w:val="center"/>
        </w:trPr>
        <w:tc>
          <w:tcPr>
            <w:tcW w:w="1120" w:type="dxa"/>
            <w:tcBorders>
              <w:top w:val="single" w:sz="12" w:space="0" w:color="auto"/>
              <w:left w:val="single" w:sz="6" w:space="0" w:color="auto"/>
              <w:right w:val="single" w:sz="4" w:space="0" w:color="auto"/>
            </w:tcBorders>
            <w:vAlign w:val="center"/>
          </w:tcPr>
          <w:p w14:paraId="66FAEC49" w14:textId="77FAAC9B" w:rsidR="0064470A" w:rsidRDefault="00BC3268" w:rsidP="001817EB">
            <w:pPr>
              <w:spacing w:line="0" w:lineRule="atLeas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sz w:val="18"/>
                <w:szCs w:val="18"/>
              </w:rPr>
              <w:t>W202223</w:t>
            </w:r>
            <w:r w:rsidR="001817EB">
              <w:rPr>
                <w:rFonts w:ascii="Times New Roman" w:hAnsi="Times New Roman" w:cs="Times New Roman"/>
                <w:color w:val="000000" w:themeColor="text1"/>
                <w:sz w:val="18"/>
                <w:szCs w:val="18"/>
              </w:rPr>
              <w:t>56</w:t>
            </w:r>
          </w:p>
        </w:tc>
        <w:tc>
          <w:tcPr>
            <w:tcW w:w="1276" w:type="dxa"/>
            <w:tcBorders>
              <w:top w:val="single" w:sz="12" w:space="0" w:color="auto"/>
            </w:tcBorders>
            <w:vAlign w:val="center"/>
          </w:tcPr>
          <w:p w14:paraId="43478B3B" w14:textId="32EC1FB3" w:rsidR="0064470A" w:rsidRDefault="00CE4EA6">
            <w:pPr>
              <w:spacing w:line="0" w:lineRule="atLeast"/>
              <w:jc w:val="center"/>
              <w:rPr>
                <w:rFonts w:ascii="Times New Roman" w:hAnsi="Times New Roman" w:cs="Times New Roman"/>
                <w:color w:val="000000" w:themeColor="text1"/>
                <w:sz w:val="18"/>
                <w:szCs w:val="18"/>
              </w:rPr>
            </w:pPr>
            <w:r w:rsidRPr="00CE4EA6">
              <w:rPr>
                <w:rFonts w:ascii="Times New Roman" w:hAnsi="Times New Roman" w:cs="Times New Roman" w:hint="eastAsia"/>
                <w:color w:val="000000" w:themeColor="text1"/>
                <w:sz w:val="18"/>
                <w:szCs w:val="18"/>
              </w:rPr>
              <w:t>稀土金属及其氧化物中非稀土杂质化学分析方法</w:t>
            </w:r>
            <w:r w:rsidRPr="00CE4EA6">
              <w:rPr>
                <w:rFonts w:ascii="Times New Roman" w:hAnsi="Times New Roman" w:cs="Times New Roman" w:hint="eastAsia"/>
                <w:color w:val="000000" w:themeColor="text1"/>
                <w:sz w:val="18"/>
                <w:szCs w:val="18"/>
              </w:rPr>
              <w:t xml:space="preserve"> </w:t>
            </w:r>
            <w:r w:rsidRPr="00CE4EA6">
              <w:rPr>
                <w:rFonts w:ascii="Times New Roman" w:hAnsi="Times New Roman" w:cs="Times New Roman" w:hint="eastAsia"/>
                <w:color w:val="000000" w:themeColor="text1"/>
                <w:sz w:val="18"/>
                <w:szCs w:val="18"/>
              </w:rPr>
              <w:t>第</w:t>
            </w:r>
            <w:r w:rsidRPr="00CE4EA6">
              <w:rPr>
                <w:rFonts w:ascii="Times New Roman" w:hAnsi="Times New Roman" w:cs="Times New Roman" w:hint="eastAsia"/>
                <w:color w:val="000000" w:themeColor="text1"/>
                <w:sz w:val="18"/>
                <w:szCs w:val="18"/>
              </w:rPr>
              <w:t>21</w:t>
            </w:r>
            <w:r w:rsidRPr="00CE4EA6">
              <w:rPr>
                <w:rFonts w:ascii="Times New Roman" w:hAnsi="Times New Roman" w:cs="Times New Roman" w:hint="eastAsia"/>
                <w:color w:val="000000" w:themeColor="text1"/>
                <w:sz w:val="18"/>
                <w:szCs w:val="18"/>
              </w:rPr>
              <w:t>部分：稀土氧化物中硫酸根含量的测定</w:t>
            </w:r>
            <w:r w:rsidRPr="00CE4EA6">
              <w:rPr>
                <w:rFonts w:ascii="Times New Roman" w:hAnsi="Times New Roman" w:cs="Times New Roman" w:hint="eastAsia"/>
                <w:color w:val="000000" w:themeColor="text1"/>
                <w:sz w:val="18"/>
                <w:szCs w:val="18"/>
              </w:rPr>
              <w:t xml:space="preserve"> </w:t>
            </w:r>
            <w:r w:rsidRPr="00CE4EA6">
              <w:rPr>
                <w:rFonts w:ascii="Times New Roman" w:hAnsi="Times New Roman" w:cs="Times New Roman" w:hint="eastAsia"/>
                <w:color w:val="000000" w:themeColor="text1"/>
                <w:sz w:val="18"/>
                <w:szCs w:val="18"/>
              </w:rPr>
              <w:t>硫酸钡比浊法</w:t>
            </w:r>
          </w:p>
        </w:tc>
        <w:tc>
          <w:tcPr>
            <w:tcW w:w="1275" w:type="dxa"/>
            <w:tcBorders>
              <w:top w:val="single" w:sz="12" w:space="0" w:color="auto"/>
            </w:tcBorders>
            <w:vAlign w:val="center"/>
          </w:tcPr>
          <w:p w14:paraId="2AB520B0" w14:textId="0C9409C6" w:rsidR="0064470A" w:rsidRDefault="00BC3268">
            <w:pPr>
              <w:spacing w:line="0" w:lineRule="atLeas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GB/T 1</w:t>
            </w:r>
            <w:r w:rsidR="00CE4EA6">
              <w:rPr>
                <w:rFonts w:ascii="Times New Roman" w:hAnsi="Times New Roman" w:cs="Times New Roman" w:hint="eastAsia"/>
                <w:color w:val="000000" w:themeColor="text1"/>
                <w:sz w:val="18"/>
                <w:szCs w:val="18"/>
              </w:rPr>
              <w:t>2690.2</w:t>
            </w:r>
            <w:r>
              <w:rPr>
                <w:rFonts w:ascii="Times New Roman" w:hAnsi="Times New Roman" w:cs="Times New Roman"/>
                <w:color w:val="000000" w:themeColor="text1"/>
                <w:sz w:val="18"/>
                <w:szCs w:val="18"/>
              </w:rPr>
              <w:t>1-202</w:t>
            </w:r>
            <w:r w:rsidR="00CE4EA6">
              <w:rPr>
                <w:rFonts w:ascii="Times New Roman" w:hAnsi="Times New Roman" w:cs="Times New Roman" w:hint="eastAsia"/>
                <w:color w:val="000000" w:themeColor="text1"/>
                <w:sz w:val="18"/>
                <w:szCs w:val="18"/>
              </w:rPr>
              <w:t>4</w:t>
            </w:r>
          </w:p>
        </w:tc>
        <w:tc>
          <w:tcPr>
            <w:tcW w:w="1843" w:type="dxa"/>
            <w:tcBorders>
              <w:top w:val="single" w:sz="12" w:space="0" w:color="auto"/>
              <w:bottom w:val="single" w:sz="12" w:space="0" w:color="auto"/>
            </w:tcBorders>
            <w:vAlign w:val="center"/>
          </w:tcPr>
          <w:p w14:paraId="01B3DA01" w14:textId="333BB0F6" w:rsidR="0064470A" w:rsidRDefault="00CE4EA6">
            <w:pPr>
              <w:widowControl/>
              <w:spacing w:beforeLines="20" w:before="62" w:afterLines="20" w:after="62"/>
              <w:jc w:val="center"/>
              <w:rPr>
                <w:rFonts w:ascii="Times New Roman" w:hAnsi="Times New Roman" w:cs="Times New Roman"/>
                <w:color w:val="000000" w:themeColor="text1"/>
                <w:sz w:val="18"/>
                <w:szCs w:val="18"/>
              </w:rPr>
            </w:pPr>
            <w:r w:rsidRPr="00CE4EA6">
              <w:rPr>
                <w:rFonts w:ascii="Times New Roman" w:hAnsi="Times New Roman" w:cs="Times New Roman" w:hint="eastAsia"/>
                <w:color w:val="000000" w:themeColor="text1"/>
                <w:sz w:val="18"/>
                <w:szCs w:val="18"/>
              </w:rPr>
              <w:t>福建省金龙稀土股份有限公司</w:t>
            </w:r>
            <w:r>
              <w:rPr>
                <w:rFonts w:ascii="Times New Roman" w:hAnsi="Times New Roman" w:cs="Times New Roman"/>
                <w:color w:val="000000" w:themeColor="text1"/>
                <w:sz w:val="18"/>
                <w:szCs w:val="18"/>
              </w:rPr>
              <w:t>（</w:t>
            </w:r>
            <w:r>
              <w:rPr>
                <w:rFonts w:ascii="Times New Roman" w:hAnsi="Times New Roman" w:cs="Times New Roman" w:hint="eastAsia"/>
                <w:color w:val="000000" w:themeColor="text1"/>
                <w:sz w:val="18"/>
                <w:szCs w:val="18"/>
              </w:rPr>
              <w:t>王金凤、罗凡</w:t>
            </w:r>
            <w:r>
              <w:rPr>
                <w:rFonts w:ascii="Times New Roman" w:hAnsi="Times New Roman" w:cs="Times New Roman"/>
                <w:color w:val="000000" w:themeColor="text1"/>
                <w:sz w:val="18"/>
                <w:szCs w:val="18"/>
              </w:rPr>
              <w:t>）</w:t>
            </w:r>
          </w:p>
        </w:tc>
        <w:tc>
          <w:tcPr>
            <w:tcW w:w="2734" w:type="dxa"/>
            <w:tcBorders>
              <w:top w:val="single" w:sz="12" w:space="0" w:color="auto"/>
              <w:bottom w:val="single" w:sz="12" w:space="0" w:color="auto"/>
              <w:right w:val="single" w:sz="6" w:space="0" w:color="auto"/>
            </w:tcBorders>
            <w:vAlign w:val="center"/>
          </w:tcPr>
          <w:p w14:paraId="0FD1F79A" w14:textId="77777777" w:rsidR="008A0AA6" w:rsidRDefault="008A0AA6">
            <w:pPr>
              <w:widowControl/>
              <w:spacing w:beforeLines="20" w:before="62" w:afterLines="20" w:after="62"/>
              <w:jc w:val="center"/>
            </w:pPr>
            <w:r>
              <w:t>国标（北京）检验认证股份有限公司</w:t>
            </w:r>
            <w:r>
              <w:rPr>
                <w:rFonts w:hint="eastAsia"/>
              </w:rPr>
              <w:t>（刘丽媛）</w:t>
            </w:r>
          </w:p>
          <w:p w14:paraId="48F7A280" w14:textId="652321BB" w:rsidR="008A0AA6" w:rsidRDefault="008A0AA6">
            <w:pPr>
              <w:widowControl/>
              <w:spacing w:beforeLines="20" w:before="62" w:afterLines="20" w:after="62"/>
              <w:jc w:val="center"/>
            </w:pPr>
            <w:r>
              <w:t>包头稀土研究院</w:t>
            </w:r>
            <w:r>
              <w:rPr>
                <w:rFonts w:hint="eastAsia"/>
              </w:rPr>
              <w:t>（</w:t>
            </w:r>
            <w:r w:rsidRPr="008A0AA6">
              <w:rPr>
                <w:rFonts w:hint="eastAsia"/>
              </w:rPr>
              <w:t>高俊丽</w:t>
            </w:r>
            <w:r>
              <w:rPr>
                <w:rFonts w:hint="eastAsia"/>
              </w:rPr>
              <w:t>）</w:t>
            </w:r>
          </w:p>
          <w:p w14:paraId="3DBDFC2C" w14:textId="681AB971" w:rsidR="0064470A" w:rsidRDefault="0064470A">
            <w:pPr>
              <w:widowControl/>
              <w:spacing w:beforeLines="20" w:before="62" w:afterLines="20" w:after="62"/>
              <w:jc w:val="center"/>
              <w:rPr>
                <w:rFonts w:ascii="Times New Roman" w:hAnsi="Times New Roman" w:cs="Times New Roman"/>
                <w:color w:val="000000" w:themeColor="text1"/>
                <w:sz w:val="18"/>
                <w:szCs w:val="18"/>
              </w:rPr>
            </w:pPr>
          </w:p>
        </w:tc>
      </w:tr>
    </w:tbl>
    <w:p w14:paraId="16F6E548" w14:textId="77777777" w:rsidR="0064470A" w:rsidRDefault="0064470A">
      <w:pPr>
        <w:ind w:firstLine="480"/>
        <w:rPr>
          <w:color w:val="000000" w:themeColor="text1"/>
        </w:rPr>
      </w:pPr>
    </w:p>
    <w:p w14:paraId="18C6BB99" w14:textId="77777777" w:rsidR="0064470A" w:rsidRDefault="00BC3268">
      <w:pPr>
        <w:pStyle w:val="a9"/>
        <w:numPr>
          <w:ilvl w:val="0"/>
          <w:numId w:val="3"/>
        </w:numPr>
        <w:spacing w:line="360" w:lineRule="auto"/>
        <w:jc w:val="left"/>
        <w:rPr>
          <w:b/>
          <w:bCs/>
          <w:color w:val="000000" w:themeColor="text1"/>
          <w:sz w:val="24"/>
        </w:rPr>
      </w:pPr>
      <w:r>
        <w:rPr>
          <w:rFonts w:hint="eastAsia"/>
          <w:b/>
          <w:bCs/>
          <w:color w:val="000000" w:themeColor="text1"/>
          <w:sz w:val="24"/>
        </w:rPr>
        <w:t>参与翻译的单位简况</w:t>
      </w:r>
    </w:p>
    <w:p w14:paraId="1B179827" w14:textId="77777777" w:rsidR="0064470A" w:rsidRDefault="00BC3268">
      <w:pPr>
        <w:spacing w:line="360" w:lineRule="auto"/>
        <w:jc w:val="left"/>
        <w:rPr>
          <w:b/>
          <w:bCs/>
          <w:color w:val="000000" w:themeColor="text1"/>
          <w:sz w:val="24"/>
        </w:rPr>
      </w:pPr>
      <w:r>
        <w:rPr>
          <w:rFonts w:hint="eastAsia"/>
          <w:b/>
          <w:bCs/>
          <w:color w:val="000000" w:themeColor="text1"/>
          <w:sz w:val="24"/>
        </w:rPr>
        <w:t>3</w:t>
      </w:r>
      <w:r>
        <w:rPr>
          <w:b/>
          <w:bCs/>
          <w:color w:val="000000" w:themeColor="text1"/>
          <w:sz w:val="24"/>
        </w:rPr>
        <w:t>.1</w:t>
      </w:r>
      <w:r>
        <w:rPr>
          <w:rFonts w:hint="eastAsia"/>
          <w:b/>
          <w:bCs/>
          <w:color w:val="000000" w:themeColor="text1"/>
          <w:sz w:val="24"/>
        </w:rPr>
        <w:t>翻译组成员单位</w:t>
      </w:r>
    </w:p>
    <w:p w14:paraId="7334D327" w14:textId="58EE0405" w:rsidR="0064470A" w:rsidRDefault="00BC3268">
      <w:pPr>
        <w:pStyle w:val="aa"/>
        <w:spacing w:line="360" w:lineRule="auto"/>
        <w:ind w:firstLine="420"/>
        <w:contextualSpacing/>
        <w:rPr>
          <w:color w:val="000000" w:themeColor="text1"/>
          <w:szCs w:val="21"/>
        </w:rPr>
      </w:pPr>
      <w:r>
        <w:rPr>
          <w:rFonts w:hAnsi="宋体" w:hint="eastAsia"/>
          <w:color w:val="000000" w:themeColor="text1"/>
          <w:szCs w:val="21"/>
        </w:rPr>
        <w:t>本标准翻译组成员单位由</w:t>
      </w:r>
      <w:r w:rsidR="00CE4EA6" w:rsidRPr="00F950A7">
        <w:rPr>
          <w:rFonts w:ascii="Calibri" w:hAnsi="Calibri" w:cs="宋体" w:hint="eastAsia"/>
          <w:color w:val="000000" w:themeColor="text1"/>
        </w:rPr>
        <w:t>金龙稀土股份有限公司</w:t>
      </w:r>
      <w:r>
        <w:rPr>
          <w:rFonts w:hint="eastAsia"/>
          <w:color w:val="000000" w:themeColor="text1"/>
          <w:szCs w:val="21"/>
        </w:rPr>
        <w:t>、</w:t>
      </w:r>
      <w:r w:rsidR="008A0AA6" w:rsidRPr="008A0AA6">
        <w:rPr>
          <w:rFonts w:hint="eastAsia"/>
          <w:color w:val="000000" w:themeColor="text1"/>
          <w:szCs w:val="21"/>
        </w:rPr>
        <w:t>国标（北京）检验认证股份有限公司</w:t>
      </w:r>
      <w:r w:rsidR="008A0AA6">
        <w:rPr>
          <w:rFonts w:hint="eastAsia"/>
          <w:color w:val="000000" w:themeColor="text1"/>
          <w:szCs w:val="21"/>
        </w:rPr>
        <w:t>、包头稀土研究院三家单位组成</w:t>
      </w:r>
      <w:r>
        <w:rPr>
          <w:rFonts w:hint="eastAsia"/>
          <w:color w:val="000000" w:themeColor="text1"/>
          <w:szCs w:val="21"/>
        </w:rPr>
        <w:t>。</w:t>
      </w:r>
    </w:p>
    <w:p w14:paraId="4C9567D8" w14:textId="77777777" w:rsidR="0064470A" w:rsidRDefault="00BC3268">
      <w:pPr>
        <w:spacing w:line="360" w:lineRule="auto"/>
        <w:jc w:val="left"/>
        <w:rPr>
          <w:b/>
          <w:bCs/>
          <w:color w:val="000000" w:themeColor="text1"/>
          <w:sz w:val="24"/>
        </w:rPr>
      </w:pPr>
      <w:r>
        <w:rPr>
          <w:rFonts w:hint="eastAsia"/>
          <w:b/>
          <w:bCs/>
          <w:color w:val="000000" w:themeColor="text1"/>
          <w:sz w:val="24"/>
        </w:rPr>
        <w:t>3</w:t>
      </w:r>
      <w:r>
        <w:rPr>
          <w:b/>
          <w:bCs/>
          <w:color w:val="000000" w:themeColor="text1"/>
          <w:sz w:val="24"/>
        </w:rPr>
        <w:t>.2</w:t>
      </w:r>
      <w:r>
        <w:rPr>
          <w:b/>
          <w:bCs/>
          <w:color w:val="000000" w:themeColor="text1"/>
          <w:sz w:val="24"/>
        </w:rPr>
        <w:t>主</w:t>
      </w:r>
      <w:r>
        <w:rPr>
          <w:rFonts w:hint="eastAsia"/>
          <w:b/>
          <w:bCs/>
          <w:color w:val="000000" w:themeColor="text1"/>
          <w:sz w:val="24"/>
        </w:rPr>
        <w:t>负责翻译单位简介</w:t>
      </w:r>
    </w:p>
    <w:p w14:paraId="1ABD99DF" w14:textId="235418EC" w:rsidR="0064470A" w:rsidRDefault="00BC3268">
      <w:pPr>
        <w:spacing w:line="360" w:lineRule="auto"/>
        <w:ind w:firstLineChars="200" w:firstLine="420"/>
        <w:rPr>
          <w:rFonts w:ascii="宋体" w:eastAsia="宋体" w:hAnsi="宋体" w:cs="宋体"/>
          <w:color w:val="000000" w:themeColor="text1"/>
        </w:rPr>
      </w:pPr>
      <w:r>
        <w:rPr>
          <w:rFonts w:ascii="宋体" w:eastAsia="宋体" w:hAnsi="宋体" w:cs="宋体" w:hint="eastAsia"/>
          <w:color w:val="000000" w:themeColor="text1"/>
        </w:rPr>
        <w:t>本标准英文版的主负责翻译单位是</w:t>
      </w:r>
      <w:r w:rsidR="003F034D">
        <w:rPr>
          <w:rFonts w:ascii="宋体" w:eastAsia="宋体" w:hAnsi="宋体" w:cs="宋体" w:hint="eastAsia"/>
          <w:color w:val="000000" w:themeColor="text1"/>
        </w:rPr>
        <w:t>福建省金龙稀土股份有限公司</w:t>
      </w:r>
      <w:r>
        <w:rPr>
          <w:rFonts w:ascii="宋体" w:eastAsia="宋体" w:hAnsi="宋体" w:cs="宋体" w:hint="eastAsia"/>
          <w:color w:val="000000" w:themeColor="text1"/>
        </w:rPr>
        <w:t>。</w:t>
      </w:r>
    </w:p>
    <w:p w14:paraId="03DCE869" w14:textId="069F3BFC" w:rsidR="003F034D" w:rsidRPr="003F034D" w:rsidRDefault="003F034D" w:rsidP="003F034D">
      <w:pPr>
        <w:spacing w:line="360" w:lineRule="auto"/>
        <w:ind w:firstLineChars="200" w:firstLine="420"/>
        <w:rPr>
          <w:rFonts w:ascii="宋体" w:eastAsia="宋体" w:hAnsi="宋体" w:cs="宋体"/>
          <w:color w:val="000000" w:themeColor="text1"/>
          <w:kern w:val="0"/>
          <w:szCs w:val="20"/>
        </w:rPr>
      </w:pPr>
      <w:r>
        <w:rPr>
          <w:rFonts w:ascii="宋体" w:eastAsia="宋体" w:hAnsi="宋体" w:cs="宋体" w:hint="eastAsia"/>
          <w:color w:val="000000" w:themeColor="text1"/>
        </w:rPr>
        <w:lastRenderedPageBreak/>
        <w:t>福建省金龙稀土股份有限公司</w:t>
      </w:r>
      <w:r>
        <w:rPr>
          <w:rFonts w:ascii="宋体" w:eastAsia="宋体" w:hAnsi="宋体" w:cs="宋体" w:hint="eastAsia"/>
          <w:color w:val="000000" w:themeColor="text1"/>
          <w:kern w:val="0"/>
          <w:szCs w:val="20"/>
        </w:rPr>
        <w:t>是本项目负责起草单位，现隶属于</w:t>
      </w:r>
      <w:r w:rsidRPr="003F034D">
        <w:rPr>
          <w:rFonts w:ascii="宋体" w:eastAsia="宋体" w:hAnsi="宋体" w:cs="宋体" w:hint="eastAsia"/>
          <w:color w:val="000000" w:themeColor="text1"/>
          <w:kern w:val="0"/>
          <w:szCs w:val="20"/>
        </w:rPr>
        <w:t>厦门钨业的控股子公司，主要从事稀土冶炼分离、稀土金属及合金、稀土磁性材料及其他稀土功能材料的研发与生产。公司占地800亩，厂房建筑面积20万平方米，总投资40亿元，目前已建成5000吨稀土分离、3000吨稀土金属、2000吨高纯稀土氧化物、1300吨三基色荧光粉、12000吨钕铁硼磁性材料、5000吨钕铁硼表面处理生产线，拥有从稀土矿开采—稀土分离—稀土金属—精深加工（荧光粉、磁性材料）等较为完整的产业链。经多年不懈努力，金龙稀土得到了社会各界的肯定与重视，获评创建世界一流示范企业、国家级技术创新示范企业、高新技术企业、国家级绿色工厂、博士后工作站、福建省企业技术中心、福建省工程技术研究中心、福建省重点实验室、福建省知识产权优势企业、福建省科技型企业、福建省创新型企业、福建省战略性新兴产业骨干企业、福建省服务型制造示范企业、福建战略性新兴产业100强等荣誉。</w:t>
      </w:r>
    </w:p>
    <w:p w14:paraId="76C4AFAA" w14:textId="3EBBDEF9" w:rsidR="0064470A" w:rsidRDefault="003F034D" w:rsidP="003F034D">
      <w:pPr>
        <w:spacing w:line="360" w:lineRule="auto"/>
        <w:ind w:firstLineChars="200" w:firstLine="420"/>
        <w:rPr>
          <w:rFonts w:ascii="宋体" w:eastAsia="宋体" w:hAnsi="宋体" w:cs="宋体"/>
          <w:color w:val="000000" w:themeColor="text1"/>
          <w:kern w:val="0"/>
          <w:szCs w:val="20"/>
        </w:rPr>
      </w:pPr>
      <w:r w:rsidRPr="003F034D">
        <w:rPr>
          <w:rFonts w:ascii="宋体" w:eastAsia="宋体" w:hAnsi="宋体" w:cs="宋体" w:hint="eastAsia"/>
          <w:color w:val="000000" w:themeColor="text1"/>
          <w:kern w:val="0"/>
          <w:szCs w:val="20"/>
        </w:rPr>
        <w:t>金龙稀土检测中心主要从事稀土冶炼分离和稀土深加工材料的检测服务，涉及领域包括成分分析、物理性能分析、机械性能分析、磁性能分析、环境可靠性分析领域。现检测中心有</w:t>
      </w:r>
      <w:r w:rsidR="008A0AA6">
        <w:rPr>
          <w:rFonts w:ascii="宋体" w:eastAsia="宋体" w:hAnsi="宋体" w:cs="宋体"/>
          <w:color w:val="000000" w:themeColor="text1"/>
          <w:kern w:val="0"/>
          <w:szCs w:val="20"/>
        </w:rPr>
        <w:t>100</w:t>
      </w:r>
      <w:r w:rsidRPr="003F034D">
        <w:rPr>
          <w:rFonts w:ascii="宋体" w:eastAsia="宋体" w:hAnsi="宋体" w:cs="宋体" w:hint="eastAsia"/>
          <w:color w:val="000000" w:themeColor="text1"/>
          <w:kern w:val="0"/>
          <w:szCs w:val="20"/>
        </w:rPr>
        <w:t>余人，工程师以上职称8人，拥有国内外先进的精密分析仪器共100多台/套，总价值超过3</w:t>
      </w:r>
      <w:r w:rsidR="008A0AA6">
        <w:rPr>
          <w:rFonts w:ascii="宋体" w:eastAsia="宋体" w:hAnsi="宋体" w:cs="宋体"/>
          <w:color w:val="000000" w:themeColor="text1"/>
          <w:kern w:val="0"/>
          <w:szCs w:val="20"/>
        </w:rPr>
        <w:t>5</w:t>
      </w:r>
      <w:r w:rsidRPr="003F034D">
        <w:rPr>
          <w:rFonts w:ascii="宋体" w:eastAsia="宋体" w:hAnsi="宋体" w:cs="宋体" w:hint="eastAsia"/>
          <w:color w:val="000000" w:themeColor="text1"/>
          <w:kern w:val="0"/>
          <w:szCs w:val="20"/>
        </w:rPr>
        <w:t>00万元，并于2015年通过了中国合格评定国家认可委员会（CNAS）认可，按照 ISO/IEC 17025 国际实验室管理体系要求开展检测活动。作为长期从事稀土材料开发与应用单位，金龙稀土近三年先后主导和参与了《铥镱镥富集物》、《铥镱镥富集物化学分析方法》《烧结钕铁硼绿色工厂评价要求》等39项稀土国家/行业标准的制/修订工作，拥有多名经验丰富的标准制修订专家。</w:t>
      </w:r>
      <w:r w:rsidR="00FF35A5" w:rsidRPr="003F034D">
        <w:rPr>
          <w:rFonts w:ascii="宋体" w:eastAsia="宋体" w:hAnsi="宋体" w:cs="宋体" w:hint="eastAsia"/>
          <w:color w:val="000000" w:themeColor="text1"/>
          <w:kern w:val="0"/>
          <w:szCs w:val="20"/>
        </w:rPr>
        <w:t>金龙稀土检测中心</w:t>
      </w:r>
      <w:r>
        <w:rPr>
          <w:rFonts w:ascii="宋体" w:eastAsia="宋体" w:hAnsi="宋体" w:cs="宋体" w:hint="eastAsia"/>
          <w:color w:val="000000" w:themeColor="text1"/>
          <w:kern w:val="0"/>
          <w:szCs w:val="20"/>
        </w:rPr>
        <w:t>在标准修订过程中，负责提出标准修订的试验方案、试验报告，负责统一样品的制备与发放，汇总精密度数据，并进行数据处理，随后与其他标准参加单位共同形成标准征求意见稿，进行广泛的意见征集，并负责在标准预审会、审定会上进行项目介绍与答辩，最终形成报批稿，协助稀土标准化技术委员会秘书处完成标准的报批工作。</w:t>
      </w:r>
    </w:p>
    <w:p w14:paraId="3204AAAC" w14:textId="77777777" w:rsidR="0064470A" w:rsidRDefault="00BC3268">
      <w:pPr>
        <w:spacing w:beforeLines="50" w:before="156" w:line="360" w:lineRule="auto"/>
        <w:rPr>
          <w:rFonts w:ascii="黑体" w:eastAsia="黑体" w:hAnsi="黑体" w:cs="黑体"/>
          <w:bCs/>
          <w:color w:val="000000" w:themeColor="text1"/>
          <w:sz w:val="24"/>
          <w:szCs w:val="24"/>
        </w:rPr>
      </w:pPr>
      <w:r>
        <w:rPr>
          <w:rFonts w:ascii="黑体" w:eastAsia="黑体" w:hAnsi="黑体" w:cs="黑体" w:hint="eastAsia"/>
          <w:bCs/>
          <w:color w:val="000000" w:themeColor="text1"/>
          <w:sz w:val="24"/>
          <w:szCs w:val="24"/>
        </w:rPr>
        <w:t>4主要工作过程</w:t>
      </w:r>
    </w:p>
    <w:p w14:paraId="78144AA5" w14:textId="77777777" w:rsidR="0064470A" w:rsidRDefault="00BC3268">
      <w:pPr>
        <w:spacing w:line="360" w:lineRule="auto"/>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4.1翻译阶段</w:t>
      </w:r>
    </w:p>
    <w:p w14:paraId="3D8084B1" w14:textId="0991ECCB" w:rsidR="0064470A" w:rsidRDefault="00BC3268">
      <w:pPr>
        <w:spacing w:line="360" w:lineRule="auto"/>
        <w:rPr>
          <w:rFonts w:ascii="宋体" w:cs="Times New Roman"/>
          <w:color w:val="000000" w:themeColor="text1"/>
          <w:szCs w:val="21"/>
        </w:rPr>
      </w:pPr>
      <w:r>
        <w:rPr>
          <w:rFonts w:ascii="黑体" w:eastAsia="黑体" w:cs="Times New Roman"/>
          <w:color w:val="000000" w:themeColor="text1"/>
          <w:szCs w:val="21"/>
        </w:rPr>
        <w:t>4.1.1</w:t>
      </w:r>
      <w:r>
        <w:rPr>
          <w:rFonts w:ascii="宋体" w:eastAsia="宋体" w:cs="Times New Roman" w:hint="eastAsia"/>
          <w:color w:val="000000" w:themeColor="text1"/>
          <w:szCs w:val="21"/>
        </w:rPr>
        <w:t>根据2022年7月19日，国家标准化管理委员会《关于下达2022年第二批推荐性国家标准计划及相关标准外文版计划的通知〉》（国标委发[2022]22号）的要求，国家标准《</w:t>
      </w:r>
      <w:r w:rsidR="004449B5" w:rsidRPr="00F950A7">
        <w:rPr>
          <w:rFonts w:ascii="Calibri" w:hAnsi="Calibri" w:cs="Times New Roman" w:hint="eastAsia"/>
          <w:color w:val="000000" w:themeColor="text1"/>
          <w:szCs w:val="21"/>
        </w:rPr>
        <w:t>稀土金属及其氧化物中非稀土杂质化学分析方法</w:t>
      </w:r>
      <w:r w:rsidR="004449B5" w:rsidRPr="00F950A7">
        <w:rPr>
          <w:rFonts w:ascii="Calibri" w:hAnsi="Calibri" w:cs="Times New Roman" w:hint="eastAsia"/>
          <w:color w:val="000000" w:themeColor="text1"/>
          <w:szCs w:val="21"/>
        </w:rPr>
        <w:t xml:space="preserve"> </w:t>
      </w:r>
      <w:r w:rsidR="004449B5" w:rsidRPr="00F950A7">
        <w:rPr>
          <w:rFonts w:ascii="Calibri" w:hAnsi="Calibri" w:cs="Times New Roman" w:hint="eastAsia"/>
          <w:color w:val="000000" w:themeColor="text1"/>
          <w:szCs w:val="21"/>
        </w:rPr>
        <w:t>第</w:t>
      </w:r>
      <w:r w:rsidR="004449B5" w:rsidRPr="00F950A7">
        <w:rPr>
          <w:rFonts w:ascii="Calibri" w:hAnsi="Calibri" w:cs="Times New Roman" w:hint="eastAsia"/>
          <w:color w:val="000000" w:themeColor="text1"/>
          <w:szCs w:val="21"/>
        </w:rPr>
        <w:t>21</w:t>
      </w:r>
      <w:r w:rsidR="004449B5" w:rsidRPr="00F950A7">
        <w:rPr>
          <w:rFonts w:ascii="Calibri" w:hAnsi="Calibri" w:cs="Times New Roman" w:hint="eastAsia"/>
          <w:color w:val="000000" w:themeColor="text1"/>
          <w:szCs w:val="21"/>
        </w:rPr>
        <w:t>部分：稀土氧化物中硫酸根含量的测定</w:t>
      </w:r>
      <w:r w:rsidR="004449B5" w:rsidRPr="00F950A7">
        <w:rPr>
          <w:rFonts w:ascii="Calibri" w:hAnsi="Calibri" w:cs="Times New Roman" w:hint="eastAsia"/>
          <w:color w:val="000000" w:themeColor="text1"/>
          <w:szCs w:val="21"/>
        </w:rPr>
        <w:t xml:space="preserve"> </w:t>
      </w:r>
      <w:r w:rsidR="004449B5" w:rsidRPr="00F950A7">
        <w:rPr>
          <w:rFonts w:ascii="Calibri" w:hAnsi="Calibri" w:cs="Times New Roman" w:hint="eastAsia"/>
          <w:color w:val="000000" w:themeColor="text1"/>
          <w:szCs w:val="21"/>
        </w:rPr>
        <w:t>硫酸钡比浊法</w:t>
      </w:r>
      <w:r>
        <w:rPr>
          <w:rFonts w:ascii="宋体" w:eastAsia="宋体" w:cs="Times New Roman" w:hint="eastAsia"/>
          <w:color w:val="000000" w:themeColor="text1"/>
          <w:szCs w:val="21"/>
        </w:rPr>
        <w:t>》</w:t>
      </w:r>
      <w:r w:rsidR="004449B5">
        <w:rPr>
          <w:rFonts w:ascii="宋体" w:eastAsia="宋体" w:cs="Times New Roman" w:hint="eastAsia"/>
          <w:color w:val="000000" w:themeColor="text1"/>
          <w:szCs w:val="21"/>
        </w:rPr>
        <w:t>英</w:t>
      </w:r>
      <w:r>
        <w:rPr>
          <w:rFonts w:ascii="宋体" w:eastAsia="宋体" w:cs="Times New Roman" w:hint="eastAsia"/>
          <w:color w:val="000000" w:themeColor="text1"/>
          <w:szCs w:val="21"/>
        </w:rPr>
        <w:t>文翻译承担单位为</w:t>
      </w:r>
      <w:r w:rsidR="004449B5">
        <w:rPr>
          <w:rFonts w:ascii="宋体" w:eastAsia="宋体" w:hAnsi="宋体" w:cs="宋体" w:hint="eastAsia"/>
          <w:color w:val="000000" w:themeColor="text1"/>
        </w:rPr>
        <w:t>福建省金龙稀土股份有限公司</w:t>
      </w:r>
      <w:r>
        <w:rPr>
          <w:rFonts w:ascii="宋体" w:eastAsia="宋体" w:cs="Times New Roman" w:hint="eastAsia"/>
          <w:color w:val="000000" w:themeColor="text1"/>
          <w:szCs w:val="21"/>
        </w:rPr>
        <w:t>，本项目</w:t>
      </w:r>
      <w:r w:rsidR="004449B5">
        <w:rPr>
          <w:rFonts w:ascii="宋体" w:eastAsia="宋体" w:cs="Times New Roman" w:hint="eastAsia"/>
          <w:color w:val="000000" w:themeColor="text1"/>
          <w:szCs w:val="21"/>
        </w:rPr>
        <w:t>英文</w:t>
      </w:r>
      <w:r>
        <w:rPr>
          <w:rFonts w:ascii="宋体" w:eastAsia="宋体" w:cs="Times New Roman" w:hint="eastAsia"/>
          <w:color w:val="000000" w:themeColor="text1"/>
          <w:szCs w:val="21"/>
        </w:rPr>
        <w:t>版计划编号：W202223</w:t>
      </w:r>
      <w:r w:rsidR="00C462DF">
        <w:rPr>
          <w:rFonts w:ascii="宋体" w:eastAsia="宋体" w:cs="Times New Roman"/>
          <w:color w:val="000000" w:themeColor="text1"/>
          <w:szCs w:val="21"/>
        </w:rPr>
        <w:t>56</w:t>
      </w:r>
      <w:r>
        <w:rPr>
          <w:rFonts w:ascii="宋体" w:eastAsia="宋体" w:cs="Times New Roman"/>
          <w:color w:val="000000" w:themeColor="text1"/>
          <w:szCs w:val="21"/>
        </w:rPr>
        <w:t>。</w:t>
      </w:r>
      <w:r w:rsidR="009D2B54">
        <w:rPr>
          <w:rFonts w:ascii="宋体" w:eastAsia="宋体" w:cs="Times New Roman" w:hint="eastAsia"/>
          <w:color w:val="000000" w:themeColor="text1"/>
          <w:szCs w:val="21"/>
        </w:rPr>
        <w:t>初步制定了工作计划和进度安排</w:t>
      </w:r>
      <w:r>
        <w:rPr>
          <w:rFonts w:ascii="宋体" w:eastAsia="宋体" w:cs="Times New Roman" w:hint="eastAsia"/>
          <w:color w:val="000000" w:themeColor="text1"/>
          <w:szCs w:val="21"/>
        </w:rPr>
        <w:t>。收集、整理了相关参考文献资料，组</w:t>
      </w:r>
      <w:r>
        <w:rPr>
          <w:rFonts w:ascii="宋体" w:eastAsia="宋体" w:cs="Times New Roman" w:hint="eastAsia"/>
          <w:color w:val="000000" w:themeColor="text1"/>
          <w:szCs w:val="21"/>
        </w:rPr>
        <w:lastRenderedPageBreak/>
        <w:t>织参与翻译人员认真研读</w:t>
      </w:r>
      <w:r>
        <w:rPr>
          <w:rFonts w:ascii="宋体" w:eastAsia="宋体" w:cs="宋体" w:hint="eastAsia"/>
          <w:color w:val="000000" w:themeColor="text1"/>
          <w:szCs w:val="21"/>
        </w:rPr>
        <w:t>GB/T 20000.10-2016《标准化工作指南 第10部分 国家标准的英文译本翻译通则》、GB/T 20000.11-2016《标准化工作指南 第11部分 国家标准的英文译本通用表述》等翻译规范性指导文件</w:t>
      </w:r>
      <w:r>
        <w:rPr>
          <w:rFonts w:ascii="宋体" w:eastAsia="宋体" w:cs="Times New Roman" w:hint="eastAsia"/>
          <w:color w:val="000000" w:themeColor="text1"/>
          <w:szCs w:val="21"/>
        </w:rPr>
        <w:t>，形成了国家标准《</w:t>
      </w:r>
      <w:r w:rsidR="004449B5" w:rsidRPr="00F950A7">
        <w:rPr>
          <w:rFonts w:ascii="Calibri" w:hAnsi="Calibri" w:cs="Times New Roman" w:hint="eastAsia"/>
          <w:color w:val="000000" w:themeColor="text1"/>
          <w:szCs w:val="21"/>
        </w:rPr>
        <w:t>稀土金属及其氧化物中非稀土杂质化学分析方法</w:t>
      </w:r>
      <w:r w:rsidR="004449B5" w:rsidRPr="00F950A7">
        <w:rPr>
          <w:rFonts w:ascii="Calibri" w:hAnsi="Calibri" w:cs="Times New Roman" w:hint="eastAsia"/>
          <w:color w:val="000000" w:themeColor="text1"/>
          <w:szCs w:val="21"/>
        </w:rPr>
        <w:t xml:space="preserve"> </w:t>
      </w:r>
      <w:r w:rsidR="004449B5" w:rsidRPr="00F950A7">
        <w:rPr>
          <w:rFonts w:ascii="Calibri" w:hAnsi="Calibri" w:cs="Times New Roman" w:hint="eastAsia"/>
          <w:color w:val="000000" w:themeColor="text1"/>
          <w:szCs w:val="21"/>
        </w:rPr>
        <w:t>第</w:t>
      </w:r>
      <w:r w:rsidR="004449B5" w:rsidRPr="00F950A7">
        <w:rPr>
          <w:rFonts w:ascii="Calibri" w:hAnsi="Calibri" w:cs="Times New Roman" w:hint="eastAsia"/>
          <w:color w:val="000000" w:themeColor="text1"/>
          <w:szCs w:val="21"/>
        </w:rPr>
        <w:t>21</w:t>
      </w:r>
      <w:r w:rsidR="004449B5" w:rsidRPr="00F950A7">
        <w:rPr>
          <w:rFonts w:ascii="Calibri" w:hAnsi="Calibri" w:cs="Times New Roman" w:hint="eastAsia"/>
          <w:color w:val="000000" w:themeColor="text1"/>
          <w:szCs w:val="21"/>
        </w:rPr>
        <w:t>部分：稀土氧化物中硫酸根含量的测定</w:t>
      </w:r>
      <w:r w:rsidR="004449B5" w:rsidRPr="00F950A7">
        <w:rPr>
          <w:rFonts w:ascii="Calibri" w:hAnsi="Calibri" w:cs="Times New Roman" w:hint="eastAsia"/>
          <w:color w:val="000000" w:themeColor="text1"/>
          <w:szCs w:val="21"/>
        </w:rPr>
        <w:t xml:space="preserve"> </w:t>
      </w:r>
      <w:r w:rsidR="004449B5" w:rsidRPr="00F950A7">
        <w:rPr>
          <w:rFonts w:ascii="Calibri" w:hAnsi="Calibri" w:cs="Times New Roman" w:hint="eastAsia"/>
          <w:color w:val="000000" w:themeColor="text1"/>
          <w:szCs w:val="21"/>
        </w:rPr>
        <w:t>硫酸钡比浊法</w:t>
      </w:r>
      <w:r>
        <w:rPr>
          <w:rFonts w:ascii="宋体" w:eastAsia="宋体" w:cs="Times New Roman" w:hint="eastAsia"/>
          <w:color w:val="000000" w:themeColor="text1"/>
          <w:szCs w:val="21"/>
        </w:rPr>
        <w:t>》</w:t>
      </w:r>
      <w:r w:rsidR="004449B5">
        <w:rPr>
          <w:rFonts w:ascii="宋体" w:eastAsia="宋体" w:cs="Times New Roman" w:hint="eastAsia"/>
          <w:color w:val="000000" w:themeColor="text1"/>
          <w:szCs w:val="21"/>
        </w:rPr>
        <w:t>英</w:t>
      </w:r>
      <w:r>
        <w:rPr>
          <w:rFonts w:ascii="宋体" w:eastAsia="宋体" w:cs="Times New Roman" w:hint="eastAsia"/>
          <w:color w:val="000000" w:themeColor="text1"/>
          <w:szCs w:val="21"/>
        </w:rPr>
        <w:t>文版翻译的整体思路。</w:t>
      </w:r>
      <w:r w:rsidR="009D2B54">
        <w:rPr>
          <w:rFonts w:ascii="Helvetica" w:hAnsi="Helvetica" w:cs="Helvetica"/>
          <w:color w:val="333333"/>
          <w:szCs w:val="21"/>
          <w:shd w:val="clear" w:color="auto" w:fill="FFFFFF"/>
        </w:rPr>
        <w:t>2024</w:t>
      </w:r>
      <w:r w:rsidR="009D2B54">
        <w:rPr>
          <w:rFonts w:ascii="Helvetica" w:hAnsi="Helvetica" w:cs="Helvetica" w:hint="eastAsia"/>
          <w:color w:val="333333"/>
          <w:szCs w:val="21"/>
          <w:shd w:val="clear" w:color="auto" w:fill="FFFFFF"/>
        </w:rPr>
        <w:t>年</w:t>
      </w:r>
      <w:r w:rsidR="009D2B54">
        <w:rPr>
          <w:rFonts w:ascii="Helvetica" w:hAnsi="Helvetica" w:cs="Helvetica"/>
          <w:color w:val="333333"/>
          <w:szCs w:val="21"/>
          <w:shd w:val="clear" w:color="auto" w:fill="FFFFFF"/>
        </w:rPr>
        <w:t>10</w:t>
      </w:r>
      <w:r w:rsidR="009D2B54">
        <w:rPr>
          <w:rFonts w:ascii="Helvetica" w:hAnsi="Helvetica" w:cs="Helvetica" w:hint="eastAsia"/>
          <w:color w:val="333333"/>
          <w:szCs w:val="21"/>
          <w:shd w:val="clear" w:color="auto" w:fill="FFFFFF"/>
        </w:rPr>
        <w:t>月</w:t>
      </w:r>
      <w:r w:rsidR="009D2B54">
        <w:rPr>
          <w:rFonts w:ascii="Helvetica" w:hAnsi="Helvetica" w:cs="Helvetica"/>
          <w:color w:val="333333"/>
          <w:szCs w:val="21"/>
          <w:shd w:val="clear" w:color="auto" w:fill="FFFFFF"/>
        </w:rPr>
        <w:t>26</w:t>
      </w:r>
      <w:r w:rsidR="009D2B54">
        <w:rPr>
          <w:rFonts w:ascii="Helvetica" w:hAnsi="Helvetica" w:cs="Helvetica" w:hint="eastAsia"/>
          <w:color w:val="333333"/>
          <w:szCs w:val="21"/>
          <w:shd w:val="clear" w:color="auto" w:fill="FFFFFF"/>
        </w:rPr>
        <w:t>日，</w:t>
      </w:r>
      <w:r w:rsidR="009D2B54">
        <w:rPr>
          <w:rFonts w:ascii="Times New Roman" w:eastAsia="宋体" w:hAnsi="Times New Roman" w:cs="Times New Roman" w:hint="eastAsia"/>
          <w:szCs w:val="21"/>
        </w:rPr>
        <w:t>《</w:t>
      </w:r>
      <w:r w:rsidR="009D2B54">
        <w:rPr>
          <w:rFonts w:hint="eastAsia"/>
          <w:color w:val="000000" w:themeColor="text1"/>
          <w:szCs w:val="21"/>
        </w:rPr>
        <w:t>稀土金属及其氧化物中非稀土杂质化学分析方法</w:t>
      </w:r>
      <w:r w:rsidR="009D2B54">
        <w:rPr>
          <w:color w:val="000000" w:themeColor="text1"/>
          <w:szCs w:val="21"/>
        </w:rPr>
        <w:t xml:space="preserve"> </w:t>
      </w:r>
      <w:r w:rsidR="009D2B54">
        <w:rPr>
          <w:rFonts w:hint="eastAsia"/>
          <w:color w:val="000000" w:themeColor="text1"/>
          <w:szCs w:val="21"/>
        </w:rPr>
        <w:t>第</w:t>
      </w:r>
      <w:r w:rsidR="009D2B54">
        <w:rPr>
          <w:color w:val="000000" w:themeColor="text1"/>
          <w:szCs w:val="21"/>
        </w:rPr>
        <w:t>21</w:t>
      </w:r>
      <w:r w:rsidR="009D2B54">
        <w:rPr>
          <w:rFonts w:hint="eastAsia"/>
          <w:color w:val="000000" w:themeColor="text1"/>
          <w:szCs w:val="21"/>
        </w:rPr>
        <w:t>部分：稀土氧化物中硫酸根含量的测定</w:t>
      </w:r>
      <w:r w:rsidR="009D2B54">
        <w:rPr>
          <w:color w:val="000000" w:themeColor="text1"/>
          <w:szCs w:val="21"/>
        </w:rPr>
        <w:t xml:space="preserve"> </w:t>
      </w:r>
      <w:r w:rsidR="009D2B54">
        <w:rPr>
          <w:rFonts w:hint="eastAsia"/>
          <w:color w:val="000000" w:themeColor="text1"/>
          <w:szCs w:val="21"/>
        </w:rPr>
        <w:t>硫酸钡比浊法</w:t>
      </w:r>
      <w:r w:rsidR="009D2B54">
        <w:rPr>
          <w:rFonts w:ascii="Times New Roman" w:eastAsia="宋体" w:hAnsi="Times New Roman" w:cs="Times New Roman" w:hint="eastAsia"/>
          <w:szCs w:val="21"/>
        </w:rPr>
        <w:t>》国家标准中文版发布。</w:t>
      </w:r>
    </w:p>
    <w:p w14:paraId="066F51BF" w14:textId="39A0EDA3" w:rsidR="0064470A" w:rsidRDefault="00BC3268">
      <w:pPr>
        <w:spacing w:line="360" w:lineRule="auto"/>
        <w:rPr>
          <w:rFonts w:ascii="宋体" w:cs="Times New Roman"/>
          <w:color w:val="000000" w:themeColor="text1"/>
          <w:szCs w:val="21"/>
        </w:rPr>
      </w:pPr>
      <w:r>
        <w:rPr>
          <w:rFonts w:ascii="黑体" w:eastAsia="黑体" w:cs="Times New Roman" w:hint="eastAsia"/>
          <w:color w:val="000000" w:themeColor="text1"/>
          <w:szCs w:val="21"/>
        </w:rPr>
        <w:t>4</w:t>
      </w:r>
      <w:r>
        <w:rPr>
          <w:rFonts w:ascii="黑体" w:eastAsia="黑体" w:cs="Times New Roman"/>
          <w:color w:val="000000" w:themeColor="text1"/>
          <w:szCs w:val="21"/>
        </w:rPr>
        <w:t>.1.2</w:t>
      </w:r>
      <w:r>
        <w:rPr>
          <w:rFonts w:ascii="宋体" w:eastAsia="宋体" w:cs="Times New Roman" w:hint="eastAsia"/>
          <w:color w:val="000000" w:themeColor="text1"/>
          <w:szCs w:val="21"/>
        </w:rPr>
        <w:t>《</w:t>
      </w:r>
      <w:r w:rsidR="00E008BF" w:rsidRPr="00F950A7">
        <w:rPr>
          <w:rFonts w:hint="eastAsia"/>
          <w:color w:val="000000" w:themeColor="text1"/>
          <w:szCs w:val="21"/>
        </w:rPr>
        <w:t>稀土金属及其氧化物中非稀土杂质化学分析方法</w:t>
      </w:r>
      <w:r w:rsidR="00E008BF" w:rsidRPr="00F950A7">
        <w:rPr>
          <w:rFonts w:hint="eastAsia"/>
          <w:color w:val="000000" w:themeColor="text1"/>
          <w:szCs w:val="21"/>
        </w:rPr>
        <w:t xml:space="preserve"> </w:t>
      </w:r>
      <w:r w:rsidR="00E008BF" w:rsidRPr="00F950A7">
        <w:rPr>
          <w:rFonts w:hint="eastAsia"/>
          <w:color w:val="000000" w:themeColor="text1"/>
          <w:szCs w:val="21"/>
        </w:rPr>
        <w:t>第</w:t>
      </w:r>
      <w:r w:rsidR="00E008BF" w:rsidRPr="00F950A7">
        <w:rPr>
          <w:rFonts w:hint="eastAsia"/>
          <w:color w:val="000000" w:themeColor="text1"/>
          <w:szCs w:val="21"/>
        </w:rPr>
        <w:t>21</w:t>
      </w:r>
      <w:r w:rsidR="00E008BF" w:rsidRPr="00F950A7">
        <w:rPr>
          <w:rFonts w:hint="eastAsia"/>
          <w:color w:val="000000" w:themeColor="text1"/>
          <w:szCs w:val="21"/>
        </w:rPr>
        <w:t>部分：稀土氧化物中硫酸根含量的测定</w:t>
      </w:r>
      <w:r w:rsidR="00E008BF" w:rsidRPr="00F950A7">
        <w:rPr>
          <w:rFonts w:hint="eastAsia"/>
          <w:color w:val="000000" w:themeColor="text1"/>
          <w:szCs w:val="21"/>
        </w:rPr>
        <w:t xml:space="preserve"> </w:t>
      </w:r>
      <w:r w:rsidR="00E008BF" w:rsidRPr="00F950A7">
        <w:rPr>
          <w:rFonts w:hint="eastAsia"/>
          <w:color w:val="000000" w:themeColor="text1"/>
          <w:szCs w:val="21"/>
        </w:rPr>
        <w:t>硫酸钡比浊法</w:t>
      </w:r>
      <w:r>
        <w:rPr>
          <w:rFonts w:ascii="宋体" w:eastAsia="宋体" w:cs="Times New Roman" w:hint="eastAsia"/>
          <w:color w:val="000000" w:themeColor="text1"/>
          <w:szCs w:val="21"/>
        </w:rPr>
        <w:t>》国家标准翻译任务正式下达后，</w:t>
      </w:r>
      <w:r w:rsidR="00E008BF">
        <w:rPr>
          <w:rFonts w:ascii="宋体" w:eastAsia="宋体" w:hAnsi="宋体" w:cs="宋体" w:hint="eastAsia"/>
          <w:color w:val="000000" w:themeColor="text1"/>
        </w:rPr>
        <w:t>福建省金龙稀土股份有限公司</w:t>
      </w:r>
      <w:r>
        <w:rPr>
          <w:rFonts w:ascii="宋体" w:eastAsia="宋体" w:cs="Times New Roman" w:hint="eastAsia"/>
          <w:color w:val="000000" w:themeColor="text1"/>
          <w:szCs w:val="21"/>
        </w:rPr>
        <w:t>召集人员成立了翻译小组，并进行了任务分工。安排专人搜集相关文献、翻译指导资料，了解该方法在行业中的影响程度，与校对人员建立联系等。</w:t>
      </w:r>
    </w:p>
    <w:p w14:paraId="779FBEE3" w14:textId="2F58E918" w:rsidR="0064470A" w:rsidRPr="00AB3964" w:rsidRDefault="00BC3268">
      <w:pPr>
        <w:spacing w:line="360" w:lineRule="auto"/>
        <w:rPr>
          <w:rFonts w:ascii="宋体" w:eastAsia="宋体" w:hAnsi="宋体" w:cs="宋体"/>
          <w:color w:val="000000" w:themeColor="text1"/>
        </w:rPr>
      </w:pPr>
      <w:r>
        <w:rPr>
          <w:rFonts w:ascii="黑体" w:eastAsia="黑体" w:cs="Times New Roman" w:hint="eastAsia"/>
          <w:color w:val="000000" w:themeColor="text1"/>
          <w:szCs w:val="21"/>
        </w:rPr>
        <w:t>4</w:t>
      </w:r>
      <w:r>
        <w:rPr>
          <w:rFonts w:ascii="黑体" w:eastAsia="黑体" w:cs="Times New Roman"/>
          <w:color w:val="000000" w:themeColor="text1"/>
          <w:szCs w:val="21"/>
        </w:rPr>
        <w:t>.1.3</w:t>
      </w:r>
      <w:r>
        <w:rPr>
          <w:rFonts w:ascii="宋体" w:eastAsia="宋体" w:cs="Times New Roman" w:hint="eastAsia"/>
          <w:color w:val="000000" w:themeColor="text1"/>
          <w:szCs w:val="21"/>
        </w:rPr>
        <w:t>根据搜集到的资料，</w:t>
      </w:r>
      <w:r w:rsidR="00E008BF">
        <w:rPr>
          <w:rFonts w:ascii="宋体" w:eastAsia="宋体" w:hAnsi="宋体" w:cs="宋体" w:hint="eastAsia"/>
          <w:color w:val="000000" w:themeColor="text1"/>
        </w:rPr>
        <w:t>福建省金龙稀土股份有限公司</w:t>
      </w:r>
      <w:r>
        <w:rPr>
          <w:rFonts w:ascii="宋体" w:eastAsia="宋体" w:cs="Times New Roman" w:hint="eastAsia"/>
          <w:color w:val="000000" w:themeColor="text1"/>
          <w:szCs w:val="21"/>
        </w:rPr>
        <w:t>按照GB/T20000.10-2016和GB/T20000.11-2016给出的编写格式和表述进行全文翻译，形成中英文对照版和按通则进行格式编辑的翻译</w:t>
      </w:r>
      <w:r w:rsidRPr="00AB3964">
        <w:rPr>
          <w:rFonts w:ascii="宋体" w:eastAsia="宋体" w:hAnsi="宋体" w:cs="宋体" w:hint="eastAsia"/>
          <w:color w:val="000000" w:themeColor="text1"/>
        </w:rPr>
        <w:t>版，202</w:t>
      </w:r>
      <w:r w:rsidR="008A0AA6" w:rsidRPr="00AB3964">
        <w:rPr>
          <w:rFonts w:ascii="宋体" w:eastAsia="宋体" w:hAnsi="宋体" w:cs="宋体"/>
          <w:color w:val="000000" w:themeColor="text1"/>
        </w:rPr>
        <w:t>5</w:t>
      </w:r>
      <w:r w:rsidRPr="00AB3964">
        <w:rPr>
          <w:rFonts w:ascii="宋体" w:eastAsia="宋体" w:hAnsi="宋体" w:cs="宋体" w:hint="eastAsia"/>
          <w:color w:val="000000" w:themeColor="text1"/>
        </w:rPr>
        <w:t>年</w:t>
      </w:r>
      <w:r w:rsidR="008A0AA6" w:rsidRPr="00AB3964">
        <w:rPr>
          <w:rFonts w:ascii="宋体" w:eastAsia="宋体" w:hAnsi="宋体" w:cs="宋体"/>
          <w:color w:val="000000" w:themeColor="text1"/>
        </w:rPr>
        <w:t>3</w:t>
      </w:r>
      <w:r w:rsidRPr="00AB3964">
        <w:rPr>
          <w:rFonts w:ascii="宋体" w:eastAsia="宋体" w:hAnsi="宋体" w:cs="宋体" w:hint="eastAsia"/>
          <w:color w:val="000000" w:themeColor="text1"/>
        </w:rPr>
        <w:t>月发送</w:t>
      </w:r>
      <w:r w:rsidR="008A0AA6" w:rsidRPr="00AB3964">
        <w:rPr>
          <w:rFonts w:ascii="宋体" w:eastAsia="宋体" w:hAnsi="宋体" w:cs="宋体"/>
          <w:color w:val="000000" w:themeColor="text1"/>
        </w:rPr>
        <w:t>国标（北京）检验认证股份有限公司</w:t>
      </w:r>
      <w:r w:rsidRPr="00AB3964">
        <w:rPr>
          <w:rFonts w:ascii="宋体" w:eastAsia="宋体" w:hAnsi="宋体" w:cs="宋体" w:hint="eastAsia"/>
          <w:color w:val="000000" w:themeColor="text1"/>
        </w:rPr>
        <w:t>进行第一次校对。</w:t>
      </w:r>
    </w:p>
    <w:p w14:paraId="466AF4A3" w14:textId="4935E15A" w:rsidR="0064470A" w:rsidRDefault="00BC3268">
      <w:pPr>
        <w:spacing w:line="360" w:lineRule="auto"/>
        <w:rPr>
          <w:color w:val="000000" w:themeColor="text1"/>
          <w:szCs w:val="21"/>
        </w:rPr>
      </w:pPr>
      <w:r w:rsidRPr="00AB3964">
        <w:rPr>
          <w:rFonts w:ascii="宋体" w:eastAsia="宋体" w:hAnsi="宋体" w:cs="宋体" w:hint="eastAsia"/>
          <w:color w:val="000000" w:themeColor="text1"/>
        </w:rPr>
        <w:t>4</w:t>
      </w:r>
      <w:r w:rsidRPr="00AB3964">
        <w:rPr>
          <w:rFonts w:ascii="宋体" w:eastAsia="宋体" w:hAnsi="宋体" w:cs="宋体"/>
          <w:color w:val="000000" w:themeColor="text1"/>
        </w:rPr>
        <w:t>.1.4</w:t>
      </w:r>
      <w:r w:rsidRPr="00AB3964">
        <w:rPr>
          <w:rFonts w:ascii="宋体" w:eastAsia="宋体" w:hAnsi="宋体" w:cs="宋体" w:hint="eastAsia"/>
          <w:color w:val="000000" w:themeColor="text1"/>
        </w:rPr>
        <w:t>根据第一校对单位返回的校对意见，进行修改，形成一校稿后发送给</w:t>
      </w:r>
      <w:r w:rsidR="008A0AA6" w:rsidRPr="00AB3964">
        <w:rPr>
          <w:rFonts w:ascii="宋体" w:eastAsia="宋体" w:hAnsi="宋体" w:cs="宋体" w:hint="eastAsia"/>
          <w:color w:val="000000" w:themeColor="text1"/>
        </w:rPr>
        <w:t>包头稀土院</w:t>
      </w:r>
      <w:r w:rsidRPr="00AB3964">
        <w:rPr>
          <w:rFonts w:ascii="宋体" w:eastAsia="宋体" w:hAnsi="宋体" w:cs="宋体" w:hint="eastAsia"/>
          <w:color w:val="000000" w:themeColor="text1"/>
        </w:rPr>
        <w:t>第二校对单位进行校对，收到第二校对单位返回的意见</w:t>
      </w:r>
      <w:r w:rsidR="008A0AA6" w:rsidRPr="00AB3964">
        <w:rPr>
          <w:rFonts w:ascii="宋体" w:eastAsia="宋体" w:hAnsi="宋体" w:cs="宋体" w:hint="eastAsia"/>
          <w:color w:val="000000" w:themeColor="text1"/>
        </w:rPr>
        <w:t>后</w:t>
      </w:r>
      <w:r w:rsidRPr="00AB3964">
        <w:rPr>
          <w:rFonts w:ascii="宋体" w:eastAsia="宋体" w:hAnsi="宋体" w:cs="宋体" w:hint="eastAsia"/>
          <w:color w:val="000000" w:themeColor="text1"/>
        </w:rPr>
        <w:t>，最终形成标准翻译稿的征求意见稿</w:t>
      </w:r>
      <w:r>
        <w:rPr>
          <w:rFonts w:ascii="宋体" w:eastAsia="宋体" w:cs="Times New Roman" w:hint="eastAsia"/>
          <w:color w:val="000000" w:themeColor="text1"/>
          <w:szCs w:val="21"/>
        </w:rPr>
        <w:t>第二稿</w:t>
      </w:r>
      <w:r>
        <w:rPr>
          <w:rFonts w:hint="eastAsia"/>
          <w:color w:val="000000" w:themeColor="text1"/>
          <w:szCs w:val="21"/>
        </w:rPr>
        <w:t>。</w:t>
      </w:r>
    </w:p>
    <w:p w14:paraId="1037F9E5" w14:textId="5F1AC0D6" w:rsidR="0064470A" w:rsidRDefault="00BC3268">
      <w:pPr>
        <w:spacing w:line="360" w:lineRule="auto"/>
        <w:rPr>
          <w:rFonts w:ascii="宋体" w:cs="Times New Roman"/>
          <w:color w:val="000000" w:themeColor="text1"/>
          <w:szCs w:val="21"/>
        </w:rPr>
      </w:pPr>
      <w:r>
        <w:rPr>
          <w:rFonts w:ascii="黑体" w:eastAsia="黑体" w:cs="Times New Roman" w:hint="eastAsia"/>
          <w:color w:val="000000" w:themeColor="text1"/>
          <w:szCs w:val="21"/>
        </w:rPr>
        <w:t>4</w:t>
      </w:r>
      <w:r>
        <w:rPr>
          <w:rFonts w:ascii="黑体" w:eastAsia="黑体" w:cs="Times New Roman"/>
          <w:color w:val="000000" w:themeColor="text1"/>
          <w:szCs w:val="21"/>
        </w:rPr>
        <w:t xml:space="preserve">.1.5 </w:t>
      </w:r>
      <w:r>
        <w:rPr>
          <w:rFonts w:ascii="宋体" w:eastAsia="宋体" w:cs="Times New Roman" w:hint="eastAsia"/>
          <w:color w:val="000000" w:themeColor="text1"/>
          <w:szCs w:val="21"/>
        </w:rPr>
        <w:t>202</w:t>
      </w:r>
      <w:r w:rsidR="00E008BF">
        <w:rPr>
          <w:rFonts w:ascii="宋体" w:eastAsia="宋体" w:cs="Times New Roman" w:hint="eastAsia"/>
          <w:color w:val="000000" w:themeColor="text1"/>
          <w:szCs w:val="21"/>
        </w:rPr>
        <w:t>5</w:t>
      </w:r>
      <w:r>
        <w:rPr>
          <w:rFonts w:ascii="宋体" w:eastAsia="宋体" w:cs="Times New Roman" w:hint="eastAsia"/>
          <w:color w:val="000000" w:themeColor="text1"/>
          <w:szCs w:val="21"/>
        </w:rPr>
        <w:t>年</w:t>
      </w:r>
      <w:r w:rsidR="00E008BF">
        <w:rPr>
          <w:rFonts w:ascii="宋体" w:eastAsia="宋体" w:cs="Times New Roman" w:hint="eastAsia"/>
          <w:color w:val="000000" w:themeColor="text1"/>
          <w:szCs w:val="21"/>
        </w:rPr>
        <w:t>3</w:t>
      </w:r>
      <w:r>
        <w:rPr>
          <w:rFonts w:ascii="宋体" w:eastAsia="宋体" w:cs="Times New Roman" w:hint="eastAsia"/>
          <w:color w:val="000000" w:themeColor="text1"/>
          <w:szCs w:val="21"/>
        </w:rPr>
        <w:t>月，</w:t>
      </w:r>
      <w:r w:rsidR="00E008BF">
        <w:rPr>
          <w:rFonts w:ascii="宋体" w:eastAsia="宋体" w:hAnsi="宋体" w:cs="宋体" w:hint="eastAsia"/>
          <w:color w:val="000000" w:themeColor="text1"/>
        </w:rPr>
        <w:t>福建省金龙稀土股份有限公司</w:t>
      </w:r>
      <w:r>
        <w:rPr>
          <w:rFonts w:ascii="宋体" w:eastAsia="宋体" w:cs="Times New Roman" w:hint="eastAsia"/>
          <w:color w:val="000000" w:themeColor="text1"/>
          <w:szCs w:val="21"/>
        </w:rPr>
        <w:t>对校对单位的意见，进行了汇总，修改建议的处理方式为“采纳”，“不采纳”，对于不采纳的意见均给予了原因说明。由承担单位</w:t>
      </w:r>
      <w:r w:rsidR="00E008BF">
        <w:rPr>
          <w:rFonts w:ascii="宋体" w:eastAsia="宋体" w:hAnsi="宋体" w:cs="宋体" w:hint="eastAsia"/>
          <w:color w:val="000000" w:themeColor="text1"/>
        </w:rPr>
        <w:t>福建省金龙稀土股份有限公司</w:t>
      </w:r>
      <w:r>
        <w:rPr>
          <w:rFonts w:ascii="宋体" w:eastAsia="宋体" w:cs="Times New Roman" w:hint="eastAsia"/>
          <w:color w:val="000000" w:themeColor="text1"/>
          <w:szCs w:val="21"/>
        </w:rPr>
        <w:t>完成所有校对意见修改，形成了国家标准《</w:t>
      </w:r>
      <w:r w:rsidR="00E008BF" w:rsidRPr="00F950A7">
        <w:rPr>
          <w:rFonts w:hint="eastAsia"/>
          <w:color w:val="000000" w:themeColor="text1"/>
          <w:szCs w:val="21"/>
        </w:rPr>
        <w:t>稀土金属及其氧化物中非稀土杂质化学分析方法</w:t>
      </w:r>
      <w:r w:rsidR="00E008BF" w:rsidRPr="00F950A7">
        <w:rPr>
          <w:rFonts w:hint="eastAsia"/>
          <w:color w:val="000000" w:themeColor="text1"/>
          <w:szCs w:val="21"/>
        </w:rPr>
        <w:t xml:space="preserve"> </w:t>
      </w:r>
      <w:r w:rsidR="00E008BF" w:rsidRPr="00F950A7">
        <w:rPr>
          <w:rFonts w:hint="eastAsia"/>
          <w:color w:val="000000" w:themeColor="text1"/>
          <w:szCs w:val="21"/>
        </w:rPr>
        <w:t>第</w:t>
      </w:r>
      <w:r w:rsidR="00E008BF" w:rsidRPr="00F950A7">
        <w:rPr>
          <w:rFonts w:hint="eastAsia"/>
          <w:color w:val="000000" w:themeColor="text1"/>
          <w:szCs w:val="21"/>
        </w:rPr>
        <w:t>21</w:t>
      </w:r>
      <w:r w:rsidR="00E008BF" w:rsidRPr="00F950A7">
        <w:rPr>
          <w:rFonts w:hint="eastAsia"/>
          <w:color w:val="000000" w:themeColor="text1"/>
          <w:szCs w:val="21"/>
        </w:rPr>
        <w:t>部分：稀土氧化物中硫酸根含量的测定</w:t>
      </w:r>
      <w:r w:rsidR="00E008BF" w:rsidRPr="00F950A7">
        <w:rPr>
          <w:rFonts w:hint="eastAsia"/>
          <w:color w:val="000000" w:themeColor="text1"/>
          <w:szCs w:val="21"/>
        </w:rPr>
        <w:t xml:space="preserve"> </w:t>
      </w:r>
      <w:r w:rsidR="00E008BF" w:rsidRPr="00F950A7">
        <w:rPr>
          <w:rFonts w:hint="eastAsia"/>
          <w:color w:val="000000" w:themeColor="text1"/>
          <w:szCs w:val="21"/>
        </w:rPr>
        <w:t>硫酸钡比浊法</w:t>
      </w:r>
      <w:r>
        <w:rPr>
          <w:rFonts w:ascii="宋体" w:eastAsia="宋体" w:cs="Times New Roman" w:hint="eastAsia"/>
          <w:color w:val="000000" w:themeColor="text1"/>
          <w:szCs w:val="21"/>
        </w:rPr>
        <w:t>》（英文版）送审稿及撰写了翻译情况说明，并发送至全国稀土标准化技术委员会秘书处。</w:t>
      </w:r>
    </w:p>
    <w:p w14:paraId="4E7A7027" w14:textId="77777777" w:rsidR="0064470A" w:rsidRDefault="00BC3268">
      <w:pPr>
        <w:spacing w:line="360" w:lineRule="auto"/>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4</w:t>
      </w:r>
      <w:r>
        <w:rPr>
          <w:rFonts w:ascii="宋体" w:eastAsia="宋体" w:hAnsi="宋体" w:cs="Times New Roman"/>
          <w:b/>
          <w:color w:val="000000" w:themeColor="text1"/>
          <w:szCs w:val="21"/>
        </w:rPr>
        <w:t>.2</w:t>
      </w:r>
      <w:r>
        <w:rPr>
          <w:rFonts w:ascii="宋体" w:eastAsia="宋体" w:hAnsi="宋体" w:cs="Times New Roman" w:hint="eastAsia"/>
          <w:b/>
          <w:color w:val="000000" w:themeColor="text1"/>
          <w:szCs w:val="21"/>
        </w:rPr>
        <w:t xml:space="preserve"> </w:t>
      </w:r>
      <w:r>
        <w:rPr>
          <w:rFonts w:ascii="宋体" w:eastAsia="宋体" w:hAnsi="宋体" w:cs="Times New Roman"/>
          <w:b/>
          <w:color w:val="000000" w:themeColor="text1"/>
          <w:szCs w:val="21"/>
        </w:rPr>
        <w:t>审定会阶段</w:t>
      </w:r>
    </w:p>
    <w:p w14:paraId="4A2D5738" w14:textId="0E4EFB8A" w:rsidR="0064470A" w:rsidRDefault="00BC3268">
      <w:pPr>
        <w:spacing w:line="360" w:lineRule="auto"/>
        <w:ind w:firstLine="42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202</w:t>
      </w:r>
      <w:r w:rsidR="008A0AA6">
        <w:rPr>
          <w:rFonts w:ascii="宋体" w:eastAsia="宋体" w:hAnsi="宋体" w:cs="Times New Roman"/>
          <w:color w:val="000000" w:themeColor="text1"/>
          <w:szCs w:val="21"/>
        </w:rPr>
        <w:t>5</w:t>
      </w:r>
      <w:r>
        <w:rPr>
          <w:rFonts w:ascii="宋体" w:eastAsia="宋体" w:hAnsi="宋体" w:cs="Times New Roman" w:hint="eastAsia"/>
          <w:color w:val="000000" w:themeColor="text1"/>
          <w:szCs w:val="21"/>
        </w:rPr>
        <w:t>年</w:t>
      </w:r>
      <w:r w:rsidR="008A0AA6">
        <w:rPr>
          <w:rFonts w:ascii="宋体" w:eastAsia="宋体" w:hAnsi="宋体" w:cs="Times New Roman"/>
          <w:color w:val="000000" w:themeColor="text1"/>
          <w:szCs w:val="21"/>
        </w:rPr>
        <w:t>4</w:t>
      </w:r>
      <w:r>
        <w:rPr>
          <w:rFonts w:ascii="宋体" w:eastAsia="宋体" w:hAnsi="宋体" w:cs="Times New Roman" w:hint="eastAsia"/>
          <w:color w:val="000000" w:themeColor="text1"/>
          <w:szCs w:val="21"/>
        </w:rPr>
        <w:t>月</w:t>
      </w:r>
      <w:r w:rsidR="008A0AA6">
        <w:rPr>
          <w:rFonts w:ascii="宋体" w:eastAsia="宋体" w:hAnsi="宋体" w:cs="Times New Roman"/>
          <w:color w:val="000000" w:themeColor="text1"/>
          <w:szCs w:val="21"/>
        </w:rPr>
        <w:t>23</w:t>
      </w:r>
      <w:r>
        <w:rPr>
          <w:rFonts w:ascii="宋体" w:eastAsia="宋体" w:hAnsi="宋体" w:cs="Times New Roman" w:hint="eastAsia"/>
          <w:color w:val="000000" w:themeColor="text1"/>
          <w:szCs w:val="21"/>
        </w:rPr>
        <w:t>日-</w:t>
      </w:r>
      <w:r w:rsidR="008A0AA6">
        <w:rPr>
          <w:rFonts w:ascii="宋体" w:eastAsia="宋体" w:hAnsi="宋体" w:cs="Times New Roman"/>
          <w:color w:val="000000" w:themeColor="text1"/>
          <w:szCs w:val="21"/>
        </w:rPr>
        <w:t>4</w:t>
      </w:r>
      <w:r>
        <w:rPr>
          <w:rFonts w:ascii="宋体" w:eastAsia="宋体" w:hAnsi="宋体" w:cs="Times New Roman" w:hint="eastAsia"/>
          <w:color w:val="000000" w:themeColor="text1"/>
          <w:szCs w:val="21"/>
        </w:rPr>
        <w:t>月</w:t>
      </w:r>
      <w:r w:rsidR="008A0AA6">
        <w:rPr>
          <w:rFonts w:ascii="宋体" w:eastAsia="宋体" w:hAnsi="宋体" w:cs="Times New Roman"/>
          <w:color w:val="000000" w:themeColor="text1"/>
          <w:szCs w:val="21"/>
        </w:rPr>
        <w:t>25</w:t>
      </w:r>
      <w:r>
        <w:rPr>
          <w:rFonts w:ascii="宋体" w:eastAsia="宋体" w:hAnsi="宋体" w:cs="Times New Roman" w:hint="eastAsia"/>
          <w:color w:val="000000" w:themeColor="text1"/>
          <w:szCs w:val="21"/>
        </w:rPr>
        <w:t>日，在</w:t>
      </w:r>
      <w:r w:rsidR="008A0AA6">
        <w:rPr>
          <w:rFonts w:ascii="宋体" w:eastAsia="宋体" w:hAnsi="宋体" w:cs="Times New Roman" w:hint="eastAsia"/>
          <w:color w:val="000000" w:themeColor="text1"/>
          <w:szCs w:val="21"/>
        </w:rPr>
        <w:t>济宁</w:t>
      </w:r>
      <w:r>
        <w:rPr>
          <w:rFonts w:ascii="宋体" w:eastAsia="宋体" w:hAnsi="宋体" w:cs="Times New Roman" w:hint="eastAsia"/>
          <w:color w:val="000000" w:themeColor="text1"/>
          <w:szCs w:val="21"/>
        </w:rPr>
        <w:t>召开此项目审定会，会议对</w:t>
      </w:r>
      <w:r w:rsidR="00964254">
        <w:rPr>
          <w:rFonts w:ascii="宋体" w:eastAsia="宋体" w:hAnsi="宋体" w:cs="宋体" w:hint="eastAsia"/>
          <w:color w:val="000000" w:themeColor="text1"/>
        </w:rPr>
        <w:t>福建省金龙稀土股份有限公司</w:t>
      </w:r>
      <w:r>
        <w:rPr>
          <w:rFonts w:ascii="宋体" w:eastAsia="宋体" w:hAnsi="宋体" w:cs="Times New Roman" w:hint="eastAsia"/>
          <w:color w:val="000000" w:themeColor="text1"/>
          <w:szCs w:val="21"/>
        </w:rPr>
        <w:t>主笔翻译的国家标准</w:t>
      </w:r>
      <w:r>
        <w:rPr>
          <w:rFonts w:ascii="宋体" w:eastAsia="宋体" w:hAnsi="宋体" w:cs="宋体"/>
          <w:color w:val="000000" w:themeColor="text1"/>
          <w:szCs w:val="21"/>
        </w:rPr>
        <w:t>《</w:t>
      </w:r>
      <w:r w:rsidR="00FD3571" w:rsidRPr="00F950A7">
        <w:rPr>
          <w:rFonts w:hint="eastAsia"/>
          <w:color w:val="000000" w:themeColor="text1"/>
          <w:szCs w:val="21"/>
        </w:rPr>
        <w:t>稀土金属及其氧化物中非稀土杂质化学分析方法</w:t>
      </w:r>
      <w:r w:rsidR="00FD3571" w:rsidRPr="00F950A7">
        <w:rPr>
          <w:rFonts w:hint="eastAsia"/>
          <w:color w:val="000000" w:themeColor="text1"/>
          <w:szCs w:val="21"/>
        </w:rPr>
        <w:t xml:space="preserve"> </w:t>
      </w:r>
      <w:r w:rsidR="00FD3571" w:rsidRPr="00F950A7">
        <w:rPr>
          <w:rFonts w:hint="eastAsia"/>
          <w:color w:val="000000" w:themeColor="text1"/>
          <w:szCs w:val="21"/>
        </w:rPr>
        <w:t>第</w:t>
      </w:r>
      <w:r w:rsidR="00FD3571" w:rsidRPr="00F950A7">
        <w:rPr>
          <w:rFonts w:hint="eastAsia"/>
          <w:color w:val="000000" w:themeColor="text1"/>
          <w:szCs w:val="21"/>
        </w:rPr>
        <w:t>21</w:t>
      </w:r>
      <w:r w:rsidR="00FD3571" w:rsidRPr="00F950A7">
        <w:rPr>
          <w:rFonts w:hint="eastAsia"/>
          <w:color w:val="000000" w:themeColor="text1"/>
          <w:szCs w:val="21"/>
        </w:rPr>
        <w:t>部分：稀土氧化物中硫酸根含量的测定</w:t>
      </w:r>
      <w:r w:rsidR="00FD3571" w:rsidRPr="00F950A7">
        <w:rPr>
          <w:rFonts w:hint="eastAsia"/>
          <w:color w:val="000000" w:themeColor="text1"/>
          <w:szCs w:val="21"/>
        </w:rPr>
        <w:t xml:space="preserve"> </w:t>
      </w:r>
      <w:r w:rsidR="00FD3571" w:rsidRPr="00F950A7">
        <w:rPr>
          <w:rFonts w:hint="eastAsia"/>
          <w:color w:val="000000" w:themeColor="text1"/>
          <w:szCs w:val="21"/>
        </w:rPr>
        <w:t>硫酸钡比浊法</w:t>
      </w:r>
      <w:r>
        <w:rPr>
          <w:rFonts w:ascii="宋体" w:eastAsia="宋体" w:hAnsi="宋体" w:cs="宋体" w:hint="eastAsia"/>
          <w:color w:val="000000" w:themeColor="text1"/>
          <w:szCs w:val="21"/>
        </w:rPr>
        <w:t>》</w:t>
      </w:r>
      <w:r>
        <w:rPr>
          <w:rFonts w:ascii="宋体" w:eastAsia="宋体" w:hAnsi="宋体" w:cs="Times New Roman" w:hint="eastAsia"/>
          <w:color w:val="000000" w:themeColor="text1"/>
          <w:szCs w:val="21"/>
        </w:rPr>
        <w:t>（英文版）进行了认真的审定，提出了修改建议与意见。</w:t>
      </w:r>
    </w:p>
    <w:p w14:paraId="4877CB05" w14:textId="77777777" w:rsidR="0064470A" w:rsidRDefault="00BC3268">
      <w:pPr>
        <w:spacing w:line="360" w:lineRule="auto"/>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4</w:t>
      </w:r>
      <w:r>
        <w:rPr>
          <w:rFonts w:ascii="宋体" w:eastAsia="宋体" w:hAnsi="宋体" w:cs="Times New Roman"/>
          <w:b/>
          <w:color w:val="000000" w:themeColor="text1"/>
          <w:szCs w:val="21"/>
        </w:rPr>
        <w:t>.</w:t>
      </w:r>
      <w:r>
        <w:rPr>
          <w:rFonts w:ascii="宋体" w:eastAsia="宋体" w:hAnsi="宋体" w:cs="Times New Roman" w:hint="eastAsia"/>
          <w:b/>
          <w:color w:val="000000" w:themeColor="text1"/>
          <w:szCs w:val="21"/>
        </w:rPr>
        <w:t xml:space="preserve">3 </w:t>
      </w:r>
      <w:r>
        <w:rPr>
          <w:rFonts w:ascii="宋体" w:eastAsia="宋体" w:hAnsi="宋体" w:cs="Times New Roman"/>
          <w:b/>
          <w:color w:val="000000" w:themeColor="text1"/>
          <w:szCs w:val="21"/>
        </w:rPr>
        <w:t>报批阶段</w:t>
      </w:r>
    </w:p>
    <w:p w14:paraId="36B46A31" w14:textId="52BDACB8" w:rsidR="0064470A" w:rsidRDefault="00BC3268">
      <w:pPr>
        <w:spacing w:line="360" w:lineRule="auto"/>
        <w:rPr>
          <w:rFonts w:ascii="Times New Roman" w:eastAsia="宋体" w:hAnsi="Times New Roman" w:cs="Times New Roman"/>
          <w:b/>
          <w:szCs w:val="21"/>
        </w:rPr>
      </w:pPr>
      <w:r>
        <w:rPr>
          <w:rFonts w:ascii="Times New Roman" w:hAnsi="Times New Roman" w:cs="Times New Roman"/>
          <w:b/>
          <w:szCs w:val="21"/>
        </w:rPr>
        <w:t xml:space="preserve">  </w:t>
      </w:r>
      <w:r>
        <w:rPr>
          <w:rFonts w:ascii="Times New Roman" w:eastAsia="宋体" w:hAnsi="Times New Roman" w:cs="Times New Roman"/>
          <w:szCs w:val="21"/>
        </w:rPr>
        <w:t xml:space="preserve"> 202</w:t>
      </w:r>
      <w:r w:rsidR="008A0AA6">
        <w:rPr>
          <w:rFonts w:ascii="Times New Roman" w:eastAsia="宋体" w:hAnsi="Times New Roman" w:cs="Times New Roman"/>
          <w:szCs w:val="21"/>
        </w:rPr>
        <w:t>5</w:t>
      </w:r>
      <w:r>
        <w:rPr>
          <w:rFonts w:ascii="Times New Roman" w:eastAsia="宋体" w:hAnsi="Times New Roman" w:cs="Times New Roman"/>
          <w:szCs w:val="21"/>
        </w:rPr>
        <w:t>年</w:t>
      </w:r>
      <w:r w:rsidR="008A0AA6">
        <w:rPr>
          <w:rFonts w:ascii="Times New Roman" w:eastAsia="宋体" w:hAnsi="Times New Roman" w:cs="Times New Roman"/>
          <w:szCs w:val="21"/>
        </w:rPr>
        <w:t>5</w:t>
      </w:r>
      <w:r>
        <w:rPr>
          <w:rFonts w:ascii="Times New Roman" w:eastAsia="宋体" w:hAnsi="Times New Roman" w:cs="Times New Roman"/>
          <w:szCs w:val="21"/>
        </w:rPr>
        <w:t>月</w:t>
      </w:r>
      <w:r w:rsidR="008A0AA6">
        <w:rPr>
          <w:rFonts w:ascii="Times New Roman" w:eastAsia="宋体" w:hAnsi="Times New Roman" w:cs="Times New Roman"/>
          <w:szCs w:val="21"/>
        </w:rPr>
        <w:t>9</w:t>
      </w:r>
      <w:r>
        <w:rPr>
          <w:rFonts w:ascii="Times New Roman" w:eastAsia="宋体" w:hAnsi="Times New Roman" w:cs="Times New Roman"/>
          <w:szCs w:val="21"/>
        </w:rPr>
        <w:t>日，起草组</w:t>
      </w:r>
      <w:r w:rsidR="009D2B54">
        <w:rPr>
          <w:rFonts w:ascii="Times New Roman" w:eastAsia="宋体" w:hAnsi="Times New Roman" w:cs="Times New Roman" w:hint="eastAsia"/>
          <w:szCs w:val="21"/>
        </w:rPr>
        <w:t>根据审定会意见</w:t>
      </w:r>
      <w:r w:rsidR="009D2B54">
        <w:rPr>
          <w:rFonts w:ascii="Times New Roman" w:eastAsia="宋体" w:hAnsi="Times New Roman" w:cs="Times New Roman"/>
          <w:szCs w:val="21"/>
        </w:rPr>
        <w:t>再次完善，修改了部分</w:t>
      </w:r>
      <w:r>
        <w:rPr>
          <w:rFonts w:ascii="Times New Roman" w:eastAsia="宋体" w:hAnsi="Times New Roman" w:cs="Times New Roman"/>
          <w:szCs w:val="21"/>
        </w:rPr>
        <w:t>问题后，</w:t>
      </w:r>
      <w:r w:rsidR="00964254">
        <w:rPr>
          <w:rFonts w:ascii="Times New Roman" w:eastAsia="宋体" w:hAnsi="Times New Roman" w:cs="Times New Roman" w:hint="eastAsia"/>
          <w:szCs w:val="21"/>
        </w:rPr>
        <w:t>将</w:t>
      </w:r>
      <w:r>
        <w:rPr>
          <w:rFonts w:ascii="Times New Roman" w:eastAsia="宋体" w:hAnsi="Times New Roman" w:cs="Times New Roman"/>
          <w:szCs w:val="21"/>
        </w:rPr>
        <w:t>报批稿提交至秘书处完成报批。</w:t>
      </w:r>
    </w:p>
    <w:p w14:paraId="425A9871" w14:textId="77777777" w:rsidR="0064470A" w:rsidRDefault="0064470A">
      <w:pPr>
        <w:spacing w:line="360" w:lineRule="auto"/>
        <w:ind w:firstLine="420"/>
        <w:rPr>
          <w:rFonts w:ascii="宋体" w:eastAsia="宋体" w:hAnsi="宋体" w:cs="Times New Roman"/>
          <w:color w:val="000000" w:themeColor="text1"/>
          <w:szCs w:val="21"/>
        </w:rPr>
      </w:pPr>
    </w:p>
    <w:p w14:paraId="2896FB32" w14:textId="77777777" w:rsidR="0064470A" w:rsidRDefault="00BC3268">
      <w:pPr>
        <w:pStyle w:val="1"/>
        <w:spacing w:beforeLines="50" w:before="156" w:beforeAutospacing="0" w:after="0" w:afterAutospacing="0" w:line="360" w:lineRule="auto"/>
        <w:rPr>
          <w:rFonts w:ascii="黑体" w:eastAsia="黑体" w:hAnsi="黑体" w:cs="黑体"/>
          <w:b w:val="0"/>
          <w:bCs w:val="0"/>
          <w:color w:val="000000" w:themeColor="text1"/>
          <w:sz w:val="24"/>
          <w:szCs w:val="24"/>
        </w:rPr>
      </w:pPr>
      <w:r>
        <w:rPr>
          <w:rFonts w:ascii="黑体" w:eastAsia="黑体" w:hAnsi="黑体" w:cs="黑体" w:hint="eastAsia"/>
          <w:b w:val="0"/>
          <w:bCs w:val="0"/>
          <w:color w:val="000000" w:themeColor="text1"/>
          <w:sz w:val="24"/>
          <w:szCs w:val="24"/>
        </w:rPr>
        <w:lastRenderedPageBreak/>
        <w:t>二、翻译原则和参与翻译单位校对意见</w:t>
      </w:r>
    </w:p>
    <w:p w14:paraId="432F8654" w14:textId="77777777" w:rsidR="0064470A" w:rsidRDefault="00BC3268">
      <w:pPr>
        <w:pStyle w:val="a9"/>
        <w:spacing w:line="360" w:lineRule="auto"/>
        <w:ind w:firstLine="0"/>
        <w:rPr>
          <w:rFonts w:ascii="黑体" w:eastAsia="黑体" w:hAnsi="黑体" w:cs="黑体"/>
          <w:color w:val="000000" w:themeColor="text1"/>
          <w:sz w:val="24"/>
          <w:szCs w:val="24"/>
        </w:rPr>
      </w:pPr>
      <w:r>
        <w:rPr>
          <w:rFonts w:ascii="黑体" w:eastAsia="黑体" w:hAnsi="黑体" w:cs="黑体" w:hint="eastAsia"/>
          <w:color w:val="000000" w:themeColor="text1"/>
          <w:sz w:val="24"/>
          <w:szCs w:val="24"/>
        </w:rPr>
        <w:t>1.外文版翻译原则</w:t>
      </w:r>
    </w:p>
    <w:p w14:paraId="11412434" w14:textId="5A491BCB" w:rsidR="0064470A" w:rsidRDefault="00BC3268">
      <w:pPr>
        <w:pStyle w:val="a9"/>
        <w:spacing w:line="360" w:lineRule="auto"/>
        <w:ind w:firstLine="0"/>
        <w:rPr>
          <w:rFonts w:ascii="宋体" w:eastAsia="宋体" w:hAnsi="宋体" w:cs="宋体"/>
          <w:color w:val="000000" w:themeColor="text1"/>
          <w:szCs w:val="21"/>
        </w:rPr>
      </w:pPr>
      <w:r>
        <w:rPr>
          <w:rFonts w:ascii="黑体" w:eastAsia="黑体" w:hAnsi="黑体" w:cs="宋体"/>
          <w:color w:val="000000" w:themeColor="text1"/>
          <w:szCs w:val="21"/>
        </w:rPr>
        <w:t>1.1</w:t>
      </w:r>
      <w:r>
        <w:rPr>
          <w:rFonts w:ascii="宋体" w:eastAsia="宋体" w:hAnsi="宋体" w:cs="宋体" w:hint="eastAsia"/>
          <w:color w:val="000000" w:themeColor="text1"/>
          <w:szCs w:val="21"/>
        </w:rPr>
        <w:t>根据中文版国家标准G</w:t>
      </w:r>
      <w:r>
        <w:rPr>
          <w:rFonts w:ascii="宋体" w:eastAsia="宋体" w:hAnsi="宋体" w:cs="宋体"/>
          <w:color w:val="000000" w:themeColor="text1"/>
          <w:szCs w:val="21"/>
        </w:rPr>
        <w:t>B/T 16</w:t>
      </w:r>
      <w:r w:rsidR="00FD3571">
        <w:rPr>
          <w:rFonts w:ascii="宋体" w:eastAsia="宋体" w:hAnsi="宋体" w:cs="宋体" w:hint="eastAsia"/>
          <w:color w:val="000000" w:themeColor="text1"/>
          <w:szCs w:val="21"/>
        </w:rPr>
        <w:t>290</w:t>
      </w:r>
      <w:r>
        <w:rPr>
          <w:rFonts w:ascii="宋体" w:eastAsia="宋体" w:hAnsi="宋体" w:cs="宋体"/>
          <w:color w:val="000000" w:themeColor="text1"/>
          <w:szCs w:val="21"/>
        </w:rPr>
        <w:t>.</w:t>
      </w:r>
      <w:r w:rsidR="00FD3571">
        <w:rPr>
          <w:rFonts w:ascii="宋体" w:eastAsia="宋体" w:hAnsi="宋体" w:cs="宋体" w:hint="eastAsia"/>
          <w:color w:val="000000" w:themeColor="text1"/>
          <w:szCs w:val="21"/>
        </w:rPr>
        <w:t>2</w:t>
      </w:r>
      <w:r>
        <w:rPr>
          <w:rFonts w:ascii="宋体" w:eastAsia="宋体" w:hAnsi="宋体" w:cs="宋体"/>
          <w:color w:val="000000" w:themeColor="text1"/>
          <w:szCs w:val="21"/>
        </w:rPr>
        <w:t>1-202</w:t>
      </w:r>
      <w:r w:rsidR="00FD3571">
        <w:rPr>
          <w:rFonts w:ascii="宋体" w:eastAsia="宋体" w:hAnsi="宋体" w:cs="宋体" w:hint="eastAsia"/>
          <w:color w:val="000000" w:themeColor="text1"/>
          <w:szCs w:val="21"/>
        </w:rPr>
        <w:t>4</w:t>
      </w:r>
      <w:r>
        <w:rPr>
          <w:rFonts w:ascii="宋体" w:eastAsia="宋体" w:hAnsi="宋体" w:cs="宋体"/>
          <w:color w:val="000000" w:themeColor="text1"/>
          <w:szCs w:val="21"/>
        </w:rPr>
        <w:t>《</w:t>
      </w:r>
      <w:r w:rsidR="00FD3571" w:rsidRPr="00F950A7">
        <w:rPr>
          <w:rFonts w:hint="eastAsia"/>
          <w:color w:val="000000" w:themeColor="text1"/>
          <w:szCs w:val="21"/>
        </w:rPr>
        <w:t>稀土金属及其氧化物中非稀土杂质化学分析方法</w:t>
      </w:r>
      <w:r w:rsidR="00FD3571" w:rsidRPr="00F950A7">
        <w:rPr>
          <w:rFonts w:hint="eastAsia"/>
          <w:color w:val="000000" w:themeColor="text1"/>
          <w:szCs w:val="21"/>
        </w:rPr>
        <w:t xml:space="preserve"> </w:t>
      </w:r>
      <w:r w:rsidR="00FD3571" w:rsidRPr="00F950A7">
        <w:rPr>
          <w:rFonts w:hint="eastAsia"/>
          <w:color w:val="000000" w:themeColor="text1"/>
          <w:szCs w:val="21"/>
        </w:rPr>
        <w:t>第</w:t>
      </w:r>
      <w:r w:rsidR="00FD3571" w:rsidRPr="00F950A7">
        <w:rPr>
          <w:rFonts w:hint="eastAsia"/>
          <w:color w:val="000000" w:themeColor="text1"/>
          <w:szCs w:val="21"/>
        </w:rPr>
        <w:t>21</w:t>
      </w:r>
      <w:r w:rsidR="00FD3571" w:rsidRPr="00F950A7">
        <w:rPr>
          <w:rFonts w:hint="eastAsia"/>
          <w:color w:val="000000" w:themeColor="text1"/>
          <w:szCs w:val="21"/>
        </w:rPr>
        <w:t>部分：稀土氧化物中硫酸根含量的测定</w:t>
      </w:r>
      <w:r w:rsidR="00FD3571" w:rsidRPr="00F950A7">
        <w:rPr>
          <w:rFonts w:hint="eastAsia"/>
          <w:color w:val="000000" w:themeColor="text1"/>
          <w:szCs w:val="21"/>
        </w:rPr>
        <w:t xml:space="preserve"> </w:t>
      </w:r>
      <w:r w:rsidR="00FD3571" w:rsidRPr="00F950A7">
        <w:rPr>
          <w:rFonts w:hint="eastAsia"/>
          <w:color w:val="000000" w:themeColor="text1"/>
          <w:szCs w:val="21"/>
        </w:rPr>
        <w:t>硫酸钡比浊法</w:t>
      </w:r>
      <w:r>
        <w:rPr>
          <w:rFonts w:ascii="宋体" w:eastAsia="宋体" w:hAnsi="宋体" w:cs="宋体" w:hint="eastAsia"/>
          <w:color w:val="000000" w:themeColor="text1"/>
          <w:szCs w:val="21"/>
        </w:rPr>
        <w:t>》全文翻译。</w:t>
      </w:r>
    </w:p>
    <w:p w14:paraId="0B1690A6" w14:textId="77777777" w:rsidR="0064470A" w:rsidRDefault="00BC3268">
      <w:pPr>
        <w:pStyle w:val="a9"/>
        <w:spacing w:line="360" w:lineRule="auto"/>
        <w:ind w:firstLine="0"/>
        <w:jc w:val="left"/>
        <w:rPr>
          <w:rFonts w:ascii="宋体" w:eastAsia="宋体" w:hAnsi="宋体" w:cs="宋体"/>
          <w:color w:val="000000" w:themeColor="text1"/>
          <w:szCs w:val="21"/>
        </w:rPr>
      </w:pPr>
      <w:r>
        <w:rPr>
          <w:rFonts w:ascii="黑体" w:eastAsia="黑体" w:hAnsi="黑体" w:cs="宋体"/>
          <w:color w:val="000000" w:themeColor="text1"/>
          <w:szCs w:val="21"/>
        </w:rPr>
        <w:t>1.2</w:t>
      </w:r>
      <w:r>
        <w:rPr>
          <w:rFonts w:ascii="宋体" w:eastAsia="宋体" w:hAnsi="宋体" w:cs="宋体" w:hint="eastAsia"/>
          <w:color w:val="000000" w:themeColor="text1"/>
          <w:szCs w:val="21"/>
        </w:rPr>
        <w:t>根据GB/T 20000.10-2016《标准化工作指南 第10部分 国家标准的英文译本翻译通则》、GB/T 20000.11-2016《标准化工作指南 第11部分 国家标准的英文译本通用表述》的要求进行</w:t>
      </w:r>
      <w:r>
        <w:rPr>
          <w:rFonts w:ascii="宋体" w:eastAsia="宋体" w:hAnsi="宋体" w:cs="宋体"/>
          <w:color w:val="000000" w:themeColor="text1"/>
          <w:szCs w:val="21"/>
        </w:rPr>
        <w:t>翻译和</w:t>
      </w:r>
      <w:r>
        <w:rPr>
          <w:rFonts w:ascii="宋体" w:eastAsia="宋体" w:hAnsi="宋体" w:cs="宋体" w:hint="eastAsia"/>
          <w:color w:val="000000" w:themeColor="text1"/>
          <w:szCs w:val="21"/>
        </w:rPr>
        <w:t>校对。</w:t>
      </w:r>
    </w:p>
    <w:p w14:paraId="7BB7D4CB" w14:textId="77777777" w:rsidR="0064470A" w:rsidRDefault="00BC3268">
      <w:pPr>
        <w:pStyle w:val="a9"/>
        <w:spacing w:line="360" w:lineRule="auto"/>
        <w:ind w:firstLine="0"/>
        <w:rPr>
          <w:rFonts w:ascii="黑体" w:eastAsia="黑体" w:hAnsi="黑体" w:cs="黑体"/>
          <w:color w:val="000000" w:themeColor="text1"/>
          <w:sz w:val="24"/>
          <w:szCs w:val="24"/>
        </w:rPr>
      </w:pPr>
      <w:r>
        <w:rPr>
          <w:rFonts w:ascii="黑体" w:eastAsia="黑体" w:hAnsi="黑体" w:cs="黑体"/>
          <w:color w:val="000000" w:themeColor="text1"/>
          <w:sz w:val="24"/>
          <w:szCs w:val="24"/>
        </w:rPr>
        <w:t>2</w:t>
      </w:r>
      <w:r>
        <w:rPr>
          <w:rFonts w:ascii="黑体" w:eastAsia="黑体" w:hAnsi="黑体" w:cs="黑体" w:hint="eastAsia"/>
          <w:color w:val="000000" w:themeColor="text1"/>
          <w:sz w:val="24"/>
          <w:szCs w:val="24"/>
        </w:rPr>
        <w:t>.参与翻译单位校对意见汇总</w:t>
      </w:r>
    </w:p>
    <w:p w14:paraId="566B5B31" w14:textId="77777777" w:rsidR="0064470A" w:rsidRDefault="00BC3268">
      <w:pPr>
        <w:pStyle w:val="a9"/>
        <w:spacing w:line="360" w:lineRule="auto"/>
        <w:jc w:val="left"/>
        <w:rPr>
          <w:rFonts w:ascii="宋体" w:eastAsia="宋体" w:hAnsi="宋体" w:cs="宋体"/>
          <w:color w:val="000000" w:themeColor="text1"/>
          <w:szCs w:val="21"/>
        </w:rPr>
      </w:pPr>
      <w:r>
        <w:rPr>
          <w:rFonts w:ascii="宋体" w:eastAsia="宋体" w:hAnsi="宋体" w:cs="宋体" w:hint="eastAsia"/>
          <w:color w:val="000000" w:themeColor="text1"/>
          <w:szCs w:val="21"/>
        </w:rPr>
        <w:t>各校对单位对文本方法提出了修改意见，主负责单位对所有意见进行了意见汇总，意见处理情况见表2：校对单位意见汇总。</w:t>
      </w:r>
    </w:p>
    <w:p w14:paraId="6F9652EB" w14:textId="77777777" w:rsidR="0064470A" w:rsidRDefault="00BC3268">
      <w:pPr>
        <w:pStyle w:val="a9"/>
        <w:spacing w:line="360" w:lineRule="auto"/>
        <w:ind w:firstLine="0"/>
        <w:rPr>
          <w:rFonts w:ascii="黑体" w:eastAsia="黑体" w:hAnsi="黑体" w:cs="黑体"/>
          <w:color w:val="000000" w:themeColor="text1"/>
          <w:sz w:val="24"/>
          <w:szCs w:val="24"/>
        </w:rPr>
      </w:pPr>
      <w:r>
        <w:rPr>
          <w:rFonts w:ascii="黑体" w:eastAsia="黑体" w:hAnsi="黑体" w:cs="黑体"/>
          <w:color w:val="000000" w:themeColor="text1"/>
          <w:sz w:val="24"/>
          <w:szCs w:val="24"/>
        </w:rPr>
        <w:t>3</w:t>
      </w:r>
      <w:r>
        <w:rPr>
          <w:rFonts w:ascii="黑体" w:eastAsia="黑体" w:hAnsi="黑体" w:cs="黑体" w:hint="eastAsia"/>
          <w:color w:val="000000" w:themeColor="text1"/>
          <w:sz w:val="24"/>
          <w:szCs w:val="24"/>
        </w:rPr>
        <w:t>.审定会专家意见建议汇总</w:t>
      </w:r>
    </w:p>
    <w:p w14:paraId="74F805B1" w14:textId="42F11409" w:rsidR="0064470A" w:rsidRDefault="00BC3268">
      <w:pPr>
        <w:pStyle w:val="a9"/>
        <w:spacing w:line="360" w:lineRule="auto"/>
        <w:jc w:val="left"/>
        <w:rPr>
          <w:rFonts w:ascii="宋体" w:eastAsia="宋体" w:hAnsi="宋体" w:cs="宋体"/>
          <w:color w:val="000000" w:themeColor="text1"/>
          <w:szCs w:val="21"/>
        </w:rPr>
        <w:sectPr w:rsidR="0064470A">
          <w:pgSz w:w="11906" w:h="16838"/>
          <w:pgMar w:top="1440" w:right="1800" w:bottom="1440" w:left="1800" w:header="851" w:footer="992" w:gutter="0"/>
          <w:cols w:space="425"/>
          <w:docGrid w:type="lines" w:linePitch="312"/>
        </w:sectPr>
      </w:pPr>
      <w:r>
        <w:rPr>
          <w:rFonts w:ascii="宋体" w:eastAsia="宋体" w:hAnsi="宋体" w:cs="宋体" w:hint="eastAsia"/>
          <w:color w:val="000000" w:themeColor="text1"/>
          <w:szCs w:val="21"/>
        </w:rPr>
        <w:t>审定会与会专家对国家标准《</w:t>
      </w:r>
      <w:r w:rsidR="00964254" w:rsidRPr="00F950A7">
        <w:rPr>
          <w:rFonts w:hint="eastAsia"/>
          <w:color w:val="000000" w:themeColor="text1"/>
          <w:szCs w:val="21"/>
        </w:rPr>
        <w:t>稀土金属及其氧化物中非稀土杂质化学分析方法</w:t>
      </w:r>
      <w:r w:rsidR="00964254" w:rsidRPr="00F950A7">
        <w:rPr>
          <w:rFonts w:hint="eastAsia"/>
          <w:color w:val="000000" w:themeColor="text1"/>
          <w:szCs w:val="21"/>
        </w:rPr>
        <w:t xml:space="preserve"> </w:t>
      </w:r>
      <w:r w:rsidR="00964254" w:rsidRPr="00F950A7">
        <w:rPr>
          <w:rFonts w:hint="eastAsia"/>
          <w:color w:val="000000" w:themeColor="text1"/>
          <w:szCs w:val="21"/>
        </w:rPr>
        <w:t>第</w:t>
      </w:r>
      <w:r w:rsidR="00964254" w:rsidRPr="00F950A7">
        <w:rPr>
          <w:rFonts w:hint="eastAsia"/>
          <w:color w:val="000000" w:themeColor="text1"/>
          <w:szCs w:val="21"/>
        </w:rPr>
        <w:t>21</w:t>
      </w:r>
      <w:r w:rsidR="00964254" w:rsidRPr="00F950A7">
        <w:rPr>
          <w:rFonts w:hint="eastAsia"/>
          <w:color w:val="000000" w:themeColor="text1"/>
          <w:szCs w:val="21"/>
        </w:rPr>
        <w:t>部分：稀土氧化物中硫酸根含量的测定</w:t>
      </w:r>
      <w:r w:rsidR="00964254" w:rsidRPr="00F950A7">
        <w:rPr>
          <w:rFonts w:hint="eastAsia"/>
          <w:color w:val="000000" w:themeColor="text1"/>
          <w:szCs w:val="21"/>
        </w:rPr>
        <w:t xml:space="preserve"> </w:t>
      </w:r>
      <w:r w:rsidR="00964254" w:rsidRPr="00F950A7">
        <w:rPr>
          <w:rFonts w:hint="eastAsia"/>
          <w:color w:val="000000" w:themeColor="text1"/>
          <w:szCs w:val="21"/>
        </w:rPr>
        <w:t>硫酸钡比浊法</w:t>
      </w:r>
      <w:r>
        <w:rPr>
          <w:rFonts w:ascii="宋体" w:eastAsia="宋体" w:hAnsi="宋体" w:cs="宋体" w:hint="eastAsia"/>
          <w:color w:val="000000" w:themeColor="text1"/>
          <w:szCs w:val="21"/>
        </w:rPr>
        <w:t>》（英文版）送审稿进行了认真的审定，提出了具体的修改建议与意见，详见会议纪要。</w:t>
      </w:r>
    </w:p>
    <w:p w14:paraId="69FF4F1C" w14:textId="77777777" w:rsidR="0064470A" w:rsidRDefault="00BC3268">
      <w:pPr>
        <w:spacing w:afterLines="50" w:after="156" w:line="300" w:lineRule="atLeast"/>
        <w:ind w:firstLine="480"/>
        <w:jc w:val="center"/>
        <w:rPr>
          <w:rFonts w:asciiTheme="minorEastAsia" w:hAnsiTheme="minorEastAsia"/>
          <w:color w:val="000000" w:themeColor="text1"/>
          <w:szCs w:val="18"/>
        </w:rPr>
      </w:pPr>
      <w:r>
        <w:rPr>
          <w:rFonts w:asciiTheme="minorEastAsia" w:hAnsiTheme="minorEastAsia"/>
          <w:color w:val="000000" w:themeColor="text1"/>
          <w:szCs w:val="18"/>
        </w:rPr>
        <w:lastRenderedPageBreak/>
        <w:t>表</w:t>
      </w:r>
      <w:r>
        <w:rPr>
          <w:rFonts w:asciiTheme="minorEastAsia" w:hAnsiTheme="minorEastAsia" w:hint="eastAsia"/>
          <w:color w:val="000000" w:themeColor="text1"/>
          <w:szCs w:val="18"/>
        </w:rPr>
        <w:t>2</w:t>
      </w:r>
      <w:r>
        <w:rPr>
          <w:rFonts w:asciiTheme="minorEastAsia" w:hAnsiTheme="minorEastAsia"/>
          <w:color w:val="000000" w:themeColor="text1"/>
          <w:szCs w:val="18"/>
        </w:rPr>
        <w:t>：</w:t>
      </w:r>
      <w:r>
        <w:rPr>
          <w:rFonts w:asciiTheme="minorEastAsia" w:hAnsiTheme="minorEastAsia" w:hint="eastAsia"/>
          <w:color w:val="000000" w:themeColor="text1"/>
          <w:szCs w:val="18"/>
        </w:rPr>
        <w:t>校对单位意见汇总</w:t>
      </w:r>
    </w:p>
    <w:tbl>
      <w:tblPr>
        <w:tblW w:w="14155"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908"/>
        <w:gridCol w:w="1494"/>
        <w:gridCol w:w="2410"/>
        <w:gridCol w:w="2977"/>
        <w:gridCol w:w="4194"/>
        <w:gridCol w:w="2172"/>
      </w:tblGrid>
      <w:tr w:rsidR="0064470A" w14:paraId="62E1537E" w14:textId="77777777" w:rsidTr="00E008BF">
        <w:trPr>
          <w:trHeight w:val="697"/>
          <w:tblHeader/>
          <w:jc w:val="center"/>
        </w:trPr>
        <w:tc>
          <w:tcPr>
            <w:tcW w:w="908" w:type="dxa"/>
            <w:tcBorders>
              <w:top w:val="single" w:sz="6" w:space="0" w:color="auto"/>
              <w:bottom w:val="single" w:sz="6" w:space="0" w:color="auto"/>
            </w:tcBorders>
            <w:vAlign w:val="center"/>
          </w:tcPr>
          <w:p w14:paraId="028AD019" w14:textId="77777777" w:rsidR="0064470A" w:rsidRDefault="00BC3268">
            <w:pPr>
              <w:keepLines/>
              <w:spacing w:before="100" w:after="60" w:line="190" w:lineRule="exact"/>
              <w:jc w:val="center"/>
              <w:rPr>
                <w:rFonts w:ascii="Times New Roman" w:eastAsia="微软雅黑 Light" w:hAnsi="Times New Roman"/>
                <w:b/>
                <w:color w:val="000000" w:themeColor="text1"/>
                <w:sz w:val="16"/>
              </w:rPr>
            </w:pPr>
            <w:r>
              <w:rPr>
                <w:rFonts w:ascii="Times New Roman" w:eastAsia="微软雅黑 Light" w:hAnsi="Times New Roman"/>
                <w:b/>
                <w:color w:val="000000" w:themeColor="text1"/>
                <w:sz w:val="16"/>
              </w:rPr>
              <w:t>校对人</w:t>
            </w:r>
          </w:p>
          <w:p w14:paraId="225E0A47" w14:textId="77777777" w:rsidR="0064470A" w:rsidRDefault="00BC3268">
            <w:pPr>
              <w:keepLines/>
              <w:spacing w:before="100" w:after="60" w:line="190" w:lineRule="exact"/>
              <w:jc w:val="center"/>
              <w:rPr>
                <w:rFonts w:ascii="Times New Roman" w:eastAsia="微软雅黑 Light" w:hAnsi="Times New Roman"/>
                <w:b/>
                <w:color w:val="000000" w:themeColor="text1"/>
                <w:sz w:val="16"/>
              </w:rPr>
            </w:pPr>
            <w:r>
              <w:rPr>
                <w:rFonts w:ascii="Times New Roman" w:eastAsia="微软雅黑 Light" w:hAnsi="Times New Roman"/>
                <w:b/>
                <w:color w:val="000000" w:themeColor="text1"/>
                <w:sz w:val="16"/>
              </w:rPr>
              <w:t>姓名</w:t>
            </w:r>
          </w:p>
        </w:tc>
        <w:tc>
          <w:tcPr>
            <w:tcW w:w="1494" w:type="dxa"/>
            <w:tcBorders>
              <w:top w:val="single" w:sz="6" w:space="0" w:color="auto"/>
              <w:bottom w:val="single" w:sz="6" w:space="0" w:color="auto"/>
            </w:tcBorders>
            <w:vAlign w:val="center"/>
          </w:tcPr>
          <w:p w14:paraId="0CBD0C4E" w14:textId="77777777" w:rsidR="0064470A" w:rsidRDefault="00BC3268">
            <w:pPr>
              <w:keepLines/>
              <w:spacing w:before="100" w:after="60" w:line="190" w:lineRule="exact"/>
              <w:jc w:val="center"/>
              <w:rPr>
                <w:rFonts w:ascii="Times New Roman" w:eastAsia="微软雅黑 Light" w:hAnsi="Times New Roman"/>
                <w:b/>
                <w:color w:val="000000" w:themeColor="text1"/>
                <w:sz w:val="16"/>
              </w:rPr>
            </w:pPr>
            <w:r>
              <w:rPr>
                <w:rFonts w:ascii="Times New Roman" w:eastAsia="微软雅黑 Light" w:hAnsi="Times New Roman"/>
                <w:b/>
                <w:color w:val="000000" w:themeColor="text1"/>
                <w:sz w:val="16"/>
              </w:rPr>
              <w:t>章节</w:t>
            </w:r>
          </w:p>
        </w:tc>
        <w:tc>
          <w:tcPr>
            <w:tcW w:w="2410" w:type="dxa"/>
            <w:tcBorders>
              <w:top w:val="single" w:sz="6" w:space="0" w:color="auto"/>
              <w:bottom w:val="single" w:sz="6" w:space="0" w:color="auto"/>
            </w:tcBorders>
            <w:vAlign w:val="center"/>
          </w:tcPr>
          <w:p w14:paraId="4B8DD3E4" w14:textId="77777777" w:rsidR="0064470A" w:rsidRDefault="00BC3268">
            <w:pPr>
              <w:keepLines/>
              <w:spacing w:before="100" w:after="60" w:line="190" w:lineRule="exact"/>
              <w:jc w:val="center"/>
              <w:rPr>
                <w:rFonts w:ascii="Times New Roman" w:eastAsia="微软雅黑 Light" w:hAnsi="Times New Roman"/>
                <w:b/>
                <w:color w:val="000000" w:themeColor="text1"/>
                <w:sz w:val="16"/>
                <w:szCs w:val="16"/>
              </w:rPr>
            </w:pPr>
            <w:r>
              <w:rPr>
                <w:rFonts w:ascii="Times New Roman" w:eastAsia="微软雅黑 Light" w:hAnsi="Times New Roman" w:hint="eastAsia"/>
                <w:b/>
                <w:color w:val="000000" w:themeColor="text1"/>
                <w:sz w:val="16"/>
                <w:szCs w:val="16"/>
              </w:rPr>
              <w:t>文字</w:t>
            </w:r>
            <w:r>
              <w:rPr>
                <w:rFonts w:ascii="Times New Roman" w:eastAsia="微软雅黑 Light" w:hAnsi="Times New Roman" w:hint="eastAsia"/>
                <w:b/>
                <w:color w:val="000000" w:themeColor="text1"/>
                <w:sz w:val="16"/>
                <w:szCs w:val="16"/>
              </w:rPr>
              <w:t>/</w:t>
            </w:r>
            <w:r>
              <w:rPr>
                <w:rFonts w:ascii="Times New Roman" w:eastAsia="微软雅黑 Light" w:hAnsi="Times New Roman" w:hint="eastAsia"/>
                <w:b/>
                <w:color w:val="000000" w:themeColor="text1"/>
                <w:sz w:val="16"/>
                <w:szCs w:val="16"/>
              </w:rPr>
              <w:t>图</w:t>
            </w:r>
            <w:r>
              <w:rPr>
                <w:rFonts w:ascii="Times New Roman" w:eastAsia="微软雅黑 Light" w:hAnsi="Times New Roman" w:hint="eastAsia"/>
                <w:b/>
                <w:color w:val="000000" w:themeColor="text1"/>
                <w:sz w:val="16"/>
                <w:szCs w:val="16"/>
              </w:rPr>
              <w:t>/</w:t>
            </w:r>
            <w:r>
              <w:rPr>
                <w:rFonts w:ascii="Times New Roman" w:eastAsia="微软雅黑 Light" w:hAnsi="Times New Roman" w:hint="eastAsia"/>
                <w:b/>
                <w:color w:val="000000" w:themeColor="text1"/>
                <w:sz w:val="16"/>
                <w:szCs w:val="16"/>
              </w:rPr>
              <w:t>表</w:t>
            </w:r>
          </w:p>
        </w:tc>
        <w:tc>
          <w:tcPr>
            <w:tcW w:w="2977" w:type="dxa"/>
            <w:tcBorders>
              <w:top w:val="single" w:sz="6" w:space="0" w:color="auto"/>
              <w:bottom w:val="single" w:sz="6" w:space="0" w:color="auto"/>
            </w:tcBorders>
            <w:vAlign w:val="center"/>
          </w:tcPr>
          <w:p w14:paraId="1B06BD94" w14:textId="77777777" w:rsidR="0064470A" w:rsidRDefault="00BC3268">
            <w:pPr>
              <w:keepLines/>
              <w:spacing w:before="100" w:after="60" w:line="190" w:lineRule="exact"/>
              <w:jc w:val="center"/>
              <w:rPr>
                <w:rFonts w:ascii="Times New Roman" w:eastAsia="微软雅黑 Light" w:hAnsi="Times New Roman"/>
                <w:b/>
                <w:color w:val="000000" w:themeColor="text1"/>
                <w:sz w:val="16"/>
              </w:rPr>
            </w:pPr>
            <w:r>
              <w:rPr>
                <w:rFonts w:ascii="Times New Roman" w:eastAsia="微软雅黑 Light" w:hAnsi="Times New Roman"/>
                <w:b/>
                <w:color w:val="000000" w:themeColor="text1"/>
                <w:sz w:val="16"/>
              </w:rPr>
              <w:t>意见内容</w:t>
            </w:r>
          </w:p>
        </w:tc>
        <w:tc>
          <w:tcPr>
            <w:tcW w:w="4194" w:type="dxa"/>
            <w:tcBorders>
              <w:top w:val="single" w:sz="6" w:space="0" w:color="auto"/>
              <w:bottom w:val="single" w:sz="6" w:space="0" w:color="auto"/>
            </w:tcBorders>
            <w:vAlign w:val="center"/>
          </w:tcPr>
          <w:p w14:paraId="6CA391E2" w14:textId="77777777" w:rsidR="0064470A" w:rsidRDefault="00BC3268">
            <w:pPr>
              <w:keepLines/>
              <w:spacing w:before="100" w:after="60" w:line="190" w:lineRule="exact"/>
              <w:jc w:val="center"/>
              <w:rPr>
                <w:rFonts w:ascii="Times New Roman" w:eastAsia="微软雅黑 Light" w:hAnsi="Times New Roman"/>
                <w:b/>
                <w:color w:val="000000" w:themeColor="text1"/>
                <w:sz w:val="16"/>
              </w:rPr>
            </w:pPr>
            <w:r>
              <w:rPr>
                <w:rFonts w:ascii="Times New Roman" w:eastAsia="微软雅黑 Light" w:hAnsi="Times New Roman"/>
                <w:b/>
                <w:color w:val="000000" w:themeColor="text1"/>
                <w:sz w:val="16"/>
              </w:rPr>
              <w:t>建议修改为</w:t>
            </w:r>
          </w:p>
        </w:tc>
        <w:tc>
          <w:tcPr>
            <w:tcW w:w="2172" w:type="dxa"/>
            <w:tcBorders>
              <w:top w:val="single" w:sz="6" w:space="0" w:color="auto"/>
              <w:bottom w:val="single" w:sz="6" w:space="0" w:color="auto"/>
            </w:tcBorders>
          </w:tcPr>
          <w:p w14:paraId="5A207101" w14:textId="77777777" w:rsidR="0064470A" w:rsidRDefault="00BC3268">
            <w:pPr>
              <w:keepLines/>
              <w:spacing w:before="100" w:after="60" w:line="190" w:lineRule="exact"/>
              <w:jc w:val="center"/>
              <w:rPr>
                <w:rFonts w:ascii="Times New Roman" w:eastAsia="微软雅黑 Light" w:hAnsi="Times New Roman"/>
                <w:b/>
                <w:color w:val="000000" w:themeColor="text1"/>
                <w:sz w:val="16"/>
              </w:rPr>
            </w:pPr>
            <w:r>
              <w:rPr>
                <w:rFonts w:ascii="Times New Roman" w:eastAsia="微软雅黑 Light" w:hAnsi="Times New Roman"/>
                <w:b/>
                <w:color w:val="000000" w:themeColor="text1"/>
                <w:sz w:val="16"/>
              </w:rPr>
              <w:t>翻译人意见</w:t>
            </w:r>
          </w:p>
          <w:p w14:paraId="299C0E67" w14:textId="77777777" w:rsidR="0064470A" w:rsidRDefault="00BC3268">
            <w:pPr>
              <w:keepLines/>
              <w:spacing w:before="100" w:after="60" w:line="190" w:lineRule="exact"/>
              <w:jc w:val="center"/>
              <w:rPr>
                <w:rFonts w:ascii="Times New Roman" w:eastAsia="微软雅黑 Light" w:hAnsi="Times New Roman"/>
                <w:b/>
                <w:color w:val="000000" w:themeColor="text1"/>
                <w:sz w:val="16"/>
              </w:rPr>
            </w:pPr>
            <w:r>
              <w:rPr>
                <w:rFonts w:ascii="Times New Roman" w:eastAsia="微软雅黑 Light" w:hAnsi="Times New Roman" w:hint="eastAsia"/>
                <w:b/>
                <w:color w:val="000000" w:themeColor="text1"/>
                <w:sz w:val="16"/>
              </w:rPr>
              <w:t>（是否采纳及理由）</w:t>
            </w:r>
          </w:p>
        </w:tc>
      </w:tr>
      <w:tr w:rsidR="00964254" w14:paraId="09C222AD" w14:textId="77777777" w:rsidTr="00E008BF">
        <w:trPr>
          <w:jc w:val="center"/>
        </w:trPr>
        <w:tc>
          <w:tcPr>
            <w:tcW w:w="908" w:type="dxa"/>
            <w:tcBorders>
              <w:top w:val="single" w:sz="6" w:space="0" w:color="auto"/>
              <w:bottom w:val="single" w:sz="6" w:space="0" w:color="auto"/>
            </w:tcBorders>
            <w:vAlign w:val="center"/>
          </w:tcPr>
          <w:p w14:paraId="794CECF3" w14:textId="1662293D" w:rsidR="00964254" w:rsidRPr="00964254" w:rsidRDefault="00964254" w:rsidP="00964254">
            <w:pPr>
              <w:pStyle w:val="ISOClause"/>
              <w:spacing w:before="60" w:after="60" w:line="240" w:lineRule="auto"/>
              <w:jc w:val="center"/>
              <w:rPr>
                <w:rFonts w:ascii="Calibri" w:hAnsi="Calibri" w:cs="Calibri"/>
                <w:color w:val="000000" w:themeColor="text1"/>
                <w:szCs w:val="18"/>
                <w:lang w:eastAsia="zh-CN"/>
              </w:rPr>
            </w:pPr>
            <w:r w:rsidRPr="00964254">
              <w:rPr>
                <w:rFonts w:ascii="Calibri" w:hAnsi="Calibri" w:cs="Calibri"/>
                <w:color w:val="000000"/>
                <w:szCs w:val="18"/>
              </w:rPr>
              <w:t>刘丽媛</w:t>
            </w:r>
          </w:p>
        </w:tc>
        <w:tc>
          <w:tcPr>
            <w:tcW w:w="1494" w:type="dxa"/>
            <w:tcBorders>
              <w:top w:val="single" w:sz="6" w:space="0" w:color="auto"/>
              <w:bottom w:val="single" w:sz="6" w:space="0" w:color="auto"/>
            </w:tcBorders>
            <w:vAlign w:val="center"/>
          </w:tcPr>
          <w:p w14:paraId="172B20DD" w14:textId="54AE4FDB" w:rsidR="00964254" w:rsidRPr="00964254" w:rsidRDefault="00964254" w:rsidP="00964254">
            <w:pPr>
              <w:pStyle w:val="ISOParagraph"/>
              <w:spacing w:before="60" w:after="60" w:line="240" w:lineRule="auto"/>
              <w:jc w:val="center"/>
              <w:rPr>
                <w:rFonts w:ascii="Calibri" w:hAnsi="Calibri" w:cs="Calibri"/>
                <w:color w:val="000000" w:themeColor="text1"/>
                <w:szCs w:val="18"/>
                <w:lang w:val="en-US" w:eastAsia="zh-CN"/>
              </w:rPr>
            </w:pPr>
            <w:r w:rsidRPr="00964254">
              <w:rPr>
                <w:rFonts w:ascii="Calibri" w:hAnsi="Calibri" w:cs="Calibri"/>
                <w:color w:val="000000"/>
                <w:szCs w:val="18"/>
              </w:rPr>
              <w:t>正文的页眉</w:t>
            </w:r>
          </w:p>
        </w:tc>
        <w:tc>
          <w:tcPr>
            <w:tcW w:w="2410" w:type="dxa"/>
            <w:tcBorders>
              <w:top w:val="single" w:sz="6" w:space="0" w:color="auto"/>
              <w:bottom w:val="single" w:sz="6" w:space="0" w:color="auto"/>
            </w:tcBorders>
          </w:tcPr>
          <w:p w14:paraId="6C98780D" w14:textId="635ABD29" w:rsidR="00964254" w:rsidRPr="00964254" w:rsidRDefault="00964254" w:rsidP="00964254">
            <w:pPr>
              <w:pStyle w:val="ISOParagraph"/>
              <w:spacing w:before="60" w:after="60"/>
              <w:jc w:val="both"/>
              <w:rPr>
                <w:rFonts w:ascii="Calibri" w:hAnsi="Calibri" w:cs="Calibri"/>
                <w:color w:val="000000" w:themeColor="text1"/>
                <w:szCs w:val="18"/>
                <w:lang w:val="en-US" w:eastAsia="zh-CN"/>
              </w:rPr>
            </w:pPr>
            <w:r w:rsidRPr="00964254">
              <w:rPr>
                <w:rFonts w:ascii="Calibri" w:hAnsi="Calibri" w:cs="Calibri"/>
                <w:color w:val="000000"/>
                <w:szCs w:val="18"/>
                <w:lang w:eastAsia="zh-CN"/>
              </w:rPr>
              <w:t>正文的页眉标准号</w:t>
            </w:r>
            <w:r w:rsidRPr="00964254">
              <w:rPr>
                <w:rFonts w:ascii="Calibri" w:hAnsi="Calibri" w:cs="Calibri"/>
                <w:color w:val="000000"/>
                <w:szCs w:val="18"/>
                <w:lang w:eastAsia="zh-CN"/>
              </w:rPr>
              <w:t>:GB/T 16477.1-2024</w:t>
            </w:r>
          </w:p>
        </w:tc>
        <w:tc>
          <w:tcPr>
            <w:tcW w:w="2977" w:type="dxa"/>
            <w:tcBorders>
              <w:top w:val="single" w:sz="6" w:space="0" w:color="auto"/>
              <w:bottom w:val="single" w:sz="6" w:space="0" w:color="auto"/>
            </w:tcBorders>
          </w:tcPr>
          <w:p w14:paraId="30428CA6" w14:textId="481CEB5A" w:rsidR="00964254" w:rsidRPr="00964254" w:rsidRDefault="00964254" w:rsidP="00964254">
            <w:pPr>
              <w:pStyle w:val="ISOComments"/>
              <w:spacing w:before="156" w:after="156"/>
              <w:rPr>
                <w:rFonts w:ascii="Calibri" w:hAnsi="Calibri" w:cs="Calibri"/>
                <w:color w:val="000000" w:themeColor="text1"/>
                <w:szCs w:val="18"/>
                <w:lang w:val="en-US" w:eastAsia="zh-CN"/>
              </w:rPr>
            </w:pPr>
            <w:r w:rsidRPr="00964254">
              <w:rPr>
                <w:rFonts w:ascii="Calibri" w:hAnsi="Calibri" w:cs="Calibri"/>
                <w:color w:val="000000"/>
                <w:szCs w:val="18"/>
                <w:lang w:eastAsia="zh-CN"/>
              </w:rPr>
              <w:t>更正正文的页眉标准号</w:t>
            </w:r>
            <w:r w:rsidRPr="00964254">
              <w:rPr>
                <w:rFonts w:ascii="Calibri" w:hAnsi="Calibri" w:cs="Calibri"/>
                <w:color w:val="000000"/>
                <w:szCs w:val="18"/>
                <w:lang w:eastAsia="zh-CN"/>
              </w:rPr>
              <w:t>:GB/T 16477.1-2024</w:t>
            </w:r>
          </w:p>
        </w:tc>
        <w:tc>
          <w:tcPr>
            <w:tcW w:w="4194" w:type="dxa"/>
            <w:tcBorders>
              <w:top w:val="single" w:sz="6" w:space="0" w:color="auto"/>
              <w:bottom w:val="single" w:sz="6" w:space="0" w:color="auto"/>
            </w:tcBorders>
          </w:tcPr>
          <w:p w14:paraId="041A94F3" w14:textId="2BE620B5" w:rsidR="00964254" w:rsidRPr="00964254" w:rsidRDefault="00964254" w:rsidP="00964254">
            <w:pPr>
              <w:pStyle w:val="ISOComments"/>
              <w:spacing w:before="156" w:after="156"/>
              <w:rPr>
                <w:rFonts w:ascii="Calibri" w:hAnsi="Calibri" w:cs="Calibri"/>
                <w:color w:val="000000" w:themeColor="text1"/>
                <w:szCs w:val="18"/>
                <w:lang w:val="en-US" w:eastAsia="zh-CN"/>
              </w:rPr>
            </w:pPr>
            <w:r w:rsidRPr="00964254">
              <w:rPr>
                <w:rFonts w:ascii="Calibri" w:hAnsi="Calibri" w:cs="Calibri"/>
                <w:color w:val="000000"/>
                <w:szCs w:val="18"/>
              </w:rPr>
              <w:t>GB/T 12690.21-2024</w:t>
            </w:r>
          </w:p>
        </w:tc>
        <w:tc>
          <w:tcPr>
            <w:tcW w:w="2172" w:type="dxa"/>
            <w:tcBorders>
              <w:top w:val="single" w:sz="6" w:space="0" w:color="auto"/>
              <w:bottom w:val="single" w:sz="6" w:space="0" w:color="auto"/>
            </w:tcBorders>
          </w:tcPr>
          <w:p w14:paraId="0AD0DD30" w14:textId="22B227A1" w:rsidR="00964254" w:rsidRPr="00964254" w:rsidRDefault="00964254" w:rsidP="00964254">
            <w:pPr>
              <w:pStyle w:val="ISOSecretObservations"/>
              <w:spacing w:before="60" w:after="60" w:line="240" w:lineRule="auto"/>
              <w:rPr>
                <w:rFonts w:ascii="Calibri" w:hAnsi="Calibri" w:cs="Calibri"/>
                <w:color w:val="000000" w:themeColor="text1"/>
                <w:szCs w:val="18"/>
                <w:lang w:val="en-US" w:eastAsia="zh-CN"/>
              </w:rPr>
            </w:pPr>
            <w:r w:rsidRPr="00964254">
              <w:rPr>
                <w:rFonts w:ascii="Calibri" w:hAnsi="Calibri" w:cs="Calibri"/>
                <w:color w:val="000000"/>
                <w:szCs w:val="18"/>
              </w:rPr>
              <w:t>采纳</w:t>
            </w:r>
          </w:p>
        </w:tc>
      </w:tr>
      <w:tr w:rsidR="00964254" w14:paraId="0D7D8C61" w14:textId="77777777" w:rsidTr="00E008BF">
        <w:trPr>
          <w:jc w:val="center"/>
        </w:trPr>
        <w:tc>
          <w:tcPr>
            <w:tcW w:w="908" w:type="dxa"/>
            <w:tcBorders>
              <w:top w:val="single" w:sz="6" w:space="0" w:color="auto"/>
              <w:bottom w:val="single" w:sz="6" w:space="0" w:color="auto"/>
            </w:tcBorders>
            <w:vAlign w:val="center"/>
          </w:tcPr>
          <w:p w14:paraId="77B90F13" w14:textId="4EA9A338" w:rsidR="00964254" w:rsidRPr="00964254" w:rsidRDefault="00964254" w:rsidP="00964254">
            <w:pPr>
              <w:pStyle w:val="ISOClause"/>
              <w:spacing w:before="60" w:after="60" w:line="240" w:lineRule="auto"/>
              <w:jc w:val="center"/>
              <w:rPr>
                <w:rFonts w:ascii="Calibri" w:hAnsi="Calibri" w:cs="Calibri"/>
                <w:color w:val="000000" w:themeColor="text1"/>
                <w:szCs w:val="18"/>
                <w:lang w:eastAsia="zh-CN"/>
              </w:rPr>
            </w:pPr>
            <w:r w:rsidRPr="00964254">
              <w:rPr>
                <w:rFonts w:ascii="Calibri" w:hAnsi="Calibri" w:cs="Calibri"/>
                <w:color w:val="000000"/>
                <w:szCs w:val="18"/>
              </w:rPr>
              <w:t>刘丽媛</w:t>
            </w:r>
          </w:p>
        </w:tc>
        <w:tc>
          <w:tcPr>
            <w:tcW w:w="1494" w:type="dxa"/>
            <w:tcBorders>
              <w:top w:val="single" w:sz="6" w:space="0" w:color="auto"/>
              <w:bottom w:val="single" w:sz="6" w:space="0" w:color="auto"/>
            </w:tcBorders>
            <w:vAlign w:val="center"/>
          </w:tcPr>
          <w:p w14:paraId="11845001" w14:textId="35F4C458" w:rsidR="00964254" w:rsidRPr="00964254" w:rsidRDefault="00964254" w:rsidP="00964254">
            <w:pPr>
              <w:pStyle w:val="ISOParagraph"/>
              <w:spacing w:before="60" w:after="60" w:line="240" w:lineRule="auto"/>
              <w:jc w:val="center"/>
              <w:rPr>
                <w:rFonts w:ascii="Calibri" w:hAnsi="Calibri" w:cs="Calibri"/>
                <w:color w:val="000000" w:themeColor="text1"/>
                <w:szCs w:val="18"/>
                <w:lang w:val="en-US" w:eastAsia="zh-CN"/>
              </w:rPr>
            </w:pPr>
            <w:r w:rsidRPr="00964254">
              <w:rPr>
                <w:rFonts w:ascii="Calibri" w:hAnsi="Calibri" w:cs="Calibri"/>
                <w:color w:val="000000"/>
                <w:szCs w:val="18"/>
              </w:rPr>
              <w:t>1</w:t>
            </w:r>
          </w:p>
        </w:tc>
        <w:tc>
          <w:tcPr>
            <w:tcW w:w="2410" w:type="dxa"/>
            <w:tcBorders>
              <w:top w:val="single" w:sz="6" w:space="0" w:color="auto"/>
              <w:bottom w:val="single" w:sz="6" w:space="0" w:color="auto"/>
            </w:tcBorders>
          </w:tcPr>
          <w:p w14:paraId="1BFDF2D5" w14:textId="1BC8432E" w:rsidR="00964254" w:rsidRPr="00964254" w:rsidRDefault="00964254" w:rsidP="00964254">
            <w:pPr>
              <w:pStyle w:val="ISOParagraph"/>
              <w:spacing w:before="60" w:after="60"/>
              <w:jc w:val="both"/>
              <w:rPr>
                <w:rFonts w:ascii="Calibri" w:hAnsi="Calibri" w:cs="Calibri"/>
                <w:iCs/>
                <w:color w:val="000000" w:themeColor="text1"/>
                <w:szCs w:val="18"/>
                <w:lang w:val="en-US" w:eastAsia="zh-CN"/>
              </w:rPr>
            </w:pPr>
            <w:r w:rsidRPr="00964254">
              <w:rPr>
                <w:rFonts w:ascii="Calibri" w:hAnsi="Calibri" w:cs="Calibri"/>
                <w:color w:val="000000"/>
                <w:szCs w:val="18"/>
              </w:rPr>
              <w:t>in rare earth oxides</w:t>
            </w:r>
          </w:p>
        </w:tc>
        <w:tc>
          <w:tcPr>
            <w:tcW w:w="2977" w:type="dxa"/>
            <w:tcBorders>
              <w:top w:val="single" w:sz="6" w:space="0" w:color="auto"/>
              <w:bottom w:val="single" w:sz="6" w:space="0" w:color="auto"/>
            </w:tcBorders>
          </w:tcPr>
          <w:p w14:paraId="78599F41" w14:textId="0244A14B" w:rsidR="00964254" w:rsidRPr="00964254" w:rsidRDefault="00964254" w:rsidP="00964254">
            <w:pPr>
              <w:pStyle w:val="ISOComments"/>
              <w:spacing w:before="156" w:after="156"/>
              <w:rPr>
                <w:rFonts w:ascii="Calibri" w:hAnsi="Calibri" w:cs="Calibri"/>
                <w:color w:val="000000" w:themeColor="text1"/>
                <w:szCs w:val="18"/>
                <w:lang w:val="en-US" w:eastAsia="zh-CN"/>
              </w:rPr>
            </w:pPr>
            <w:r w:rsidRPr="00964254">
              <w:rPr>
                <w:rFonts w:ascii="Calibri" w:hAnsi="Calibri" w:cs="Calibri"/>
                <w:color w:val="000000"/>
                <w:szCs w:val="18"/>
              </w:rPr>
              <w:t>没有包含稀土金属</w:t>
            </w:r>
          </w:p>
        </w:tc>
        <w:tc>
          <w:tcPr>
            <w:tcW w:w="4194" w:type="dxa"/>
            <w:tcBorders>
              <w:top w:val="single" w:sz="6" w:space="0" w:color="auto"/>
              <w:bottom w:val="single" w:sz="6" w:space="0" w:color="auto"/>
            </w:tcBorders>
          </w:tcPr>
          <w:p w14:paraId="213F8490" w14:textId="1079B80F" w:rsidR="00964254" w:rsidRPr="00964254" w:rsidRDefault="00964254" w:rsidP="00964254">
            <w:pPr>
              <w:pStyle w:val="ISOComments"/>
              <w:spacing w:before="156" w:after="156"/>
              <w:rPr>
                <w:rFonts w:ascii="Calibri" w:hAnsi="Calibri" w:cs="Calibri"/>
                <w:color w:val="000000" w:themeColor="text1"/>
                <w:szCs w:val="18"/>
                <w:lang w:val="en-US" w:eastAsia="zh-CN"/>
              </w:rPr>
            </w:pPr>
            <w:r w:rsidRPr="00964254">
              <w:rPr>
                <w:rFonts w:ascii="Calibri" w:hAnsi="Calibri" w:cs="Calibri"/>
                <w:color w:val="000000"/>
                <w:szCs w:val="18"/>
              </w:rPr>
              <w:t>in rare earth metals and their oxides</w:t>
            </w:r>
          </w:p>
        </w:tc>
        <w:tc>
          <w:tcPr>
            <w:tcW w:w="2172" w:type="dxa"/>
            <w:tcBorders>
              <w:top w:val="single" w:sz="6" w:space="0" w:color="auto"/>
              <w:bottom w:val="single" w:sz="6" w:space="0" w:color="auto"/>
            </w:tcBorders>
          </w:tcPr>
          <w:p w14:paraId="1CCD5D35" w14:textId="3DF080E1" w:rsidR="00964254" w:rsidRPr="00964254" w:rsidRDefault="00964254" w:rsidP="00964254">
            <w:pPr>
              <w:pStyle w:val="ISOSecretObservations"/>
              <w:spacing w:before="60" w:after="60" w:line="240" w:lineRule="auto"/>
              <w:rPr>
                <w:rFonts w:ascii="Calibri" w:hAnsi="Calibri" w:cs="Calibri"/>
                <w:color w:val="000000" w:themeColor="text1"/>
                <w:szCs w:val="18"/>
                <w:lang w:val="fr-FR" w:eastAsia="zh-CN"/>
              </w:rPr>
            </w:pPr>
            <w:r w:rsidRPr="00964254">
              <w:rPr>
                <w:rFonts w:ascii="Calibri" w:hAnsi="Calibri" w:cs="Calibri"/>
                <w:color w:val="000000"/>
                <w:szCs w:val="18"/>
                <w:lang w:eastAsia="zh-CN"/>
              </w:rPr>
              <w:t>不采纳，中文标题为稀土氧化物，未包含稀土金属</w:t>
            </w:r>
          </w:p>
        </w:tc>
      </w:tr>
      <w:tr w:rsidR="00964254" w14:paraId="66A2284B" w14:textId="77777777" w:rsidTr="00E008BF">
        <w:trPr>
          <w:jc w:val="center"/>
        </w:trPr>
        <w:tc>
          <w:tcPr>
            <w:tcW w:w="908" w:type="dxa"/>
            <w:tcBorders>
              <w:top w:val="single" w:sz="6" w:space="0" w:color="auto"/>
              <w:bottom w:val="single" w:sz="6" w:space="0" w:color="auto"/>
            </w:tcBorders>
            <w:vAlign w:val="center"/>
          </w:tcPr>
          <w:p w14:paraId="247F1BB7" w14:textId="14C2CE1F" w:rsidR="00964254" w:rsidRPr="00964254" w:rsidRDefault="00964254" w:rsidP="00964254">
            <w:pPr>
              <w:pStyle w:val="ISOClause"/>
              <w:spacing w:before="60" w:after="60" w:line="240" w:lineRule="auto"/>
              <w:jc w:val="center"/>
              <w:rPr>
                <w:rFonts w:ascii="Calibri" w:hAnsi="Calibri" w:cs="Calibri"/>
                <w:color w:val="000000" w:themeColor="text1"/>
                <w:szCs w:val="18"/>
                <w:lang w:eastAsia="zh-CN"/>
              </w:rPr>
            </w:pPr>
            <w:r w:rsidRPr="00964254">
              <w:rPr>
                <w:rFonts w:ascii="Calibri" w:hAnsi="Calibri" w:cs="Calibri"/>
                <w:color w:val="000000"/>
                <w:szCs w:val="18"/>
              </w:rPr>
              <w:t>刘丽媛</w:t>
            </w:r>
          </w:p>
        </w:tc>
        <w:tc>
          <w:tcPr>
            <w:tcW w:w="1494" w:type="dxa"/>
            <w:tcBorders>
              <w:top w:val="single" w:sz="6" w:space="0" w:color="auto"/>
              <w:bottom w:val="single" w:sz="6" w:space="0" w:color="auto"/>
            </w:tcBorders>
            <w:vAlign w:val="center"/>
          </w:tcPr>
          <w:p w14:paraId="3B56F0FB" w14:textId="56C620DB" w:rsidR="00964254" w:rsidRPr="00964254" w:rsidRDefault="00964254" w:rsidP="00964254">
            <w:pPr>
              <w:pStyle w:val="ISOParagraph"/>
              <w:spacing w:before="60" w:after="60" w:line="240" w:lineRule="auto"/>
              <w:jc w:val="center"/>
              <w:rPr>
                <w:rFonts w:ascii="Calibri" w:hAnsi="Calibri" w:cs="Calibri"/>
                <w:color w:val="000000" w:themeColor="text1"/>
                <w:szCs w:val="18"/>
                <w:lang w:val="en-US" w:eastAsia="zh-CN"/>
              </w:rPr>
            </w:pPr>
            <w:r w:rsidRPr="00964254">
              <w:rPr>
                <w:rFonts w:ascii="Calibri" w:hAnsi="Calibri" w:cs="Calibri"/>
                <w:color w:val="000000"/>
                <w:szCs w:val="18"/>
              </w:rPr>
              <w:t>5.11</w:t>
            </w:r>
            <w:r w:rsidRPr="00964254">
              <w:rPr>
                <w:rFonts w:ascii="Calibri" w:hAnsi="Calibri" w:cs="Calibri"/>
                <w:color w:val="000000"/>
                <w:szCs w:val="18"/>
              </w:rPr>
              <w:t>、</w:t>
            </w:r>
            <w:r w:rsidRPr="00964254">
              <w:rPr>
                <w:rFonts w:ascii="Calibri" w:hAnsi="Calibri" w:cs="Calibri"/>
                <w:color w:val="000000"/>
                <w:szCs w:val="18"/>
              </w:rPr>
              <w:t>5.12</w:t>
            </w:r>
          </w:p>
        </w:tc>
        <w:tc>
          <w:tcPr>
            <w:tcW w:w="2410" w:type="dxa"/>
            <w:tcBorders>
              <w:top w:val="single" w:sz="6" w:space="0" w:color="auto"/>
              <w:bottom w:val="single" w:sz="6" w:space="0" w:color="auto"/>
            </w:tcBorders>
          </w:tcPr>
          <w:p w14:paraId="11679B30" w14:textId="0844853E" w:rsidR="00964254" w:rsidRPr="00964254" w:rsidRDefault="00964254" w:rsidP="00964254">
            <w:pPr>
              <w:pStyle w:val="ISOParagraph"/>
              <w:spacing w:before="60" w:after="60"/>
              <w:jc w:val="both"/>
              <w:rPr>
                <w:rFonts w:ascii="Calibri" w:hAnsi="Calibri" w:cs="Calibri"/>
                <w:color w:val="000000" w:themeColor="text1"/>
                <w:szCs w:val="18"/>
                <w:lang w:val="en-US" w:eastAsia="zh-CN"/>
              </w:rPr>
            </w:pPr>
            <w:r w:rsidRPr="00964254">
              <w:rPr>
                <w:rFonts w:ascii="Calibri" w:hAnsi="Calibri" w:cs="Calibri"/>
                <w:color w:val="000000"/>
                <w:szCs w:val="18"/>
              </w:rPr>
              <w:t>Sulfate standard stock solution</w:t>
            </w:r>
          </w:p>
        </w:tc>
        <w:tc>
          <w:tcPr>
            <w:tcW w:w="2977" w:type="dxa"/>
            <w:tcBorders>
              <w:top w:val="single" w:sz="6" w:space="0" w:color="auto"/>
              <w:bottom w:val="single" w:sz="6" w:space="0" w:color="auto"/>
            </w:tcBorders>
          </w:tcPr>
          <w:p w14:paraId="4EB93749" w14:textId="0223828D" w:rsidR="00964254" w:rsidRPr="00964254" w:rsidRDefault="00964254" w:rsidP="00964254">
            <w:pPr>
              <w:pStyle w:val="ISOComments"/>
              <w:spacing w:before="156" w:after="156"/>
              <w:rPr>
                <w:rFonts w:ascii="Calibri" w:hAnsi="Calibri" w:cs="Calibri"/>
                <w:color w:val="000000" w:themeColor="text1"/>
                <w:szCs w:val="18"/>
                <w:lang w:val="en-US" w:eastAsia="zh-CN"/>
              </w:rPr>
            </w:pPr>
            <w:r w:rsidRPr="00964254">
              <w:rPr>
                <w:rFonts w:ascii="Calibri" w:hAnsi="Calibri" w:cs="Calibri"/>
                <w:color w:val="000000"/>
                <w:szCs w:val="18"/>
                <w:lang w:eastAsia="zh-CN"/>
              </w:rPr>
              <w:t>建议写全硫酸根，</w:t>
            </w:r>
            <w:r w:rsidRPr="00E008BF">
              <w:rPr>
                <w:rFonts w:ascii="Calibri" w:hAnsi="Calibri" w:cs="Calibri"/>
                <w:color w:val="000000"/>
                <w:szCs w:val="18"/>
                <w:lang w:eastAsia="zh-CN"/>
              </w:rPr>
              <w:t>涉及全文硫酸根的表达，与标准名称相符</w:t>
            </w:r>
          </w:p>
        </w:tc>
        <w:tc>
          <w:tcPr>
            <w:tcW w:w="4194" w:type="dxa"/>
            <w:tcBorders>
              <w:top w:val="single" w:sz="6" w:space="0" w:color="auto"/>
              <w:bottom w:val="single" w:sz="6" w:space="0" w:color="auto"/>
            </w:tcBorders>
          </w:tcPr>
          <w:p w14:paraId="328AC3DC" w14:textId="5DA267C3" w:rsidR="00964254" w:rsidRPr="00964254" w:rsidRDefault="00964254" w:rsidP="00964254">
            <w:pPr>
              <w:pStyle w:val="ISOComments"/>
              <w:spacing w:before="156" w:after="156"/>
              <w:rPr>
                <w:rFonts w:ascii="Calibri" w:hAnsi="Calibri" w:cs="Calibri"/>
                <w:color w:val="000000" w:themeColor="text1"/>
                <w:szCs w:val="18"/>
                <w:lang w:val="en-US" w:eastAsia="zh-CN"/>
              </w:rPr>
            </w:pPr>
            <w:r w:rsidRPr="00964254">
              <w:rPr>
                <w:rFonts w:ascii="Calibri" w:hAnsi="Calibri" w:cs="Calibri"/>
                <w:color w:val="000000"/>
                <w:szCs w:val="18"/>
              </w:rPr>
              <w:t>Sulfate radical standard stock solution</w:t>
            </w:r>
          </w:p>
        </w:tc>
        <w:tc>
          <w:tcPr>
            <w:tcW w:w="2172" w:type="dxa"/>
            <w:tcBorders>
              <w:top w:val="single" w:sz="6" w:space="0" w:color="auto"/>
              <w:bottom w:val="single" w:sz="6" w:space="0" w:color="auto"/>
            </w:tcBorders>
          </w:tcPr>
          <w:p w14:paraId="1088AEAF" w14:textId="7E2D30E9" w:rsidR="00964254" w:rsidRPr="00964254" w:rsidRDefault="00964254" w:rsidP="00964254">
            <w:pPr>
              <w:pStyle w:val="ISOSecretObservations"/>
              <w:spacing w:before="60" w:after="60" w:line="240" w:lineRule="auto"/>
              <w:rPr>
                <w:rFonts w:ascii="Calibri" w:hAnsi="Calibri" w:cs="Calibri"/>
                <w:color w:val="000000" w:themeColor="text1"/>
                <w:szCs w:val="18"/>
                <w:lang w:val="fr-FR" w:eastAsia="zh-CN"/>
              </w:rPr>
            </w:pPr>
            <w:r w:rsidRPr="00964254">
              <w:rPr>
                <w:rFonts w:ascii="Calibri" w:hAnsi="Calibri" w:cs="Calibri"/>
                <w:color w:val="000000"/>
                <w:szCs w:val="18"/>
              </w:rPr>
              <w:t>部分采纳，改为去掉标题中的</w:t>
            </w:r>
            <w:r w:rsidRPr="00964254">
              <w:rPr>
                <w:rFonts w:ascii="Calibri" w:hAnsi="Calibri" w:cs="Calibri"/>
                <w:color w:val="000000"/>
                <w:szCs w:val="18"/>
              </w:rPr>
              <w:t>“radical”</w:t>
            </w:r>
          </w:p>
        </w:tc>
      </w:tr>
      <w:tr w:rsidR="00964254" w14:paraId="76783075" w14:textId="77777777" w:rsidTr="00E008BF">
        <w:trPr>
          <w:jc w:val="center"/>
        </w:trPr>
        <w:tc>
          <w:tcPr>
            <w:tcW w:w="908" w:type="dxa"/>
            <w:tcBorders>
              <w:top w:val="single" w:sz="6" w:space="0" w:color="auto"/>
              <w:bottom w:val="single" w:sz="6" w:space="0" w:color="auto"/>
            </w:tcBorders>
            <w:vAlign w:val="center"/>
          </w:tcPr>
          <w:p w14:paraId="75F0B257" w14:textId="55CECD7E" w:rsidR="00964254" w:rsidRPr="00964254" w:rsidRDefault="00964254" w:rsidP="00964254">
            <w:pPr>
              <w:pStyle w:val="ISOClause"/>
              <w:spacing w:before="60" w:after="60" w:line="240" w:lineRule="auto"/>
              <w:jc w:val="center"/>
              <w:rPr>
                <w:rFonts w:ascii="Calibri" w:hAnsi="Calibri" w:cs="Calibri"/>
                <w:color w:val="000000" w:themeColor="text1"/>
                <w:szCs w:val="18"/>
                <w:lang w:eastAsia="zh-CN"/>
              </w:rPr>
            </w:pPr>
            <w:r w:rsidRPr="00964254">
              <w:rPr>
                <w:rFonts w:ascii="Calibri" w:hAnsi="Calibri" w:cs="Calibri"/>
                <w:color w:val="000000"/>
                <w:szCs w:val="18"/>
              </w:rPr>
              <w:t>刘丽媛</w:t>
            </w:r>
          </w:p>
        </w:tc>
        <w:tc>
          <w:tcPr>
            <w:tcW w:w="1494" w:type="dxa"/>
            <w:tcBorders>
              <w:top w:val="single" w:sz="6" w:space="0" w:color="auto"/>
              <w:bottom w:val="single" w:sz="6" w:space="0" w:color="auto"/>
            </w:tcBorders>
            <w:vAlign w:val="center"/>
          </w:tcPr>
          <w:p w14:paraId="2DF69F6E" w14:textId="2C980C07" w:rsidR="00964254" w:rsidRPr="00964254" w:rsidRDefault="00964254" w:rsidP="00964254">
            <w:pPr>
              <w:pStyle w:val="ISOParagraph"/>
              <w:spacing w:before="60" w:after="60" w:line="240" w:lineRule="auto"/>
              <w:jc w:val="center"/>
              <w:rPr>
                <w:rFonts w:ascii="Calibri" w:hAnsi="Calibri" w:cs="Calibri"/>
                <w:color w:val="000000" w:themeColor="text1"/>
                <w:szCs w:val="18"/>
                <w:lang w:val="en-US" w:eastAsia="zh-CN"/>
              </w:rPr>
            </w:pPr>
            <w:r w:rsidRPr="00964254">
              <w:rPr>
                <w:rFonts w:ascii="Calibri" w:hAnsi="Calibri" w:cs="Calibri"/>
                <w:color w:val="000000"/>
                <w:szCs w:val="18"/>
              </w:rPr>
              <w:t>7</w:t>
            </w:r>
          </w:p>
        </w:tc>
        <w:tc>
          <w:tcPr>
            <w:tcW w:w="2410" w:type="dxa"/>
            <w:tcBorders>
              <w:top w:val="single" w:sz="6" w:space="0" w:color="auto"/>
              <w:bottom w:val="single" w:sz="6" w:space="0" w:color="auto"/>
            </w:tcBorders>
          </w:tcPr>
          <w:p w14:paraId="694F011F" w14:textId="328D34B2" w:rsidR="00964254" w:rsidRPr="00964254" w:rsidRDefault="00964254" w:rsidP="00964254">
            <w:pPr>
              <w:pStyle w:val="ISOParagraph"/>
              <w:spacing w:before="60" w:after="60"/>
              <w:rPr>
                <w:rFonts w:ascii="Calibri" w:hAnsi="Calibri" w:cs="Calibri"/>
                <w:color w:val="000000" w:themeColor="text1"/>
                <w:szCs w:val="18"/>
                <w:lang w:val="en-US" w:eastAsia="zh-CN"/>
              </w:rPr>
            </w:pPr>
            <w:r w:rsidRPr="00964254">
              <w:rPr>
                <w:rFonts w:ascii="Calibri" w:hAnsi="Calibri" w:cs="Calibri"/>
                <w:color w:val="000000"/>
                <w:szCs w:val="18"/>
              </w:rPr>
              <w:t>cool in a desiccator</w:t>
            </w:r>
          </w:p>
        </w:tc>
        <w:tc>
          <w:tcPr>
            <w:tcW w:w="2977" w:type="dxa"/>
            <w:tcBorders>
              <w:top w:val="single" w:sz="6" w:space="0" w:color="auto"/>
              <w:bottom w:val="single" w:sz="6" w:space="0" w:color="auto"/>
            </w:tcBorders>
          </w:tcPr>
          <w:p w14:paraId="16EAEB04" w14:textId="6E2B5E5D" w:rsidR="00964254" w:rsidRPr="00964254" w:rsidRDefault="00964254" w:rsidP="00964254">
            <w:pPr>
              <w:pStyle w:val="ISOComments"/>
              <w:spacing w:before="156" w:after="156"/>
              <w:rPr>
                <w:rFonts w:ascii="Calibri" w:hAnsi="Calibri" w:cs="Calibri"/>
                <w:color w:val="000000" w:themeColor="text1"/>
                <w:szCs w:val="18"/>
                <w:lang w:val="en-US" w:eastAsia="zh-CN"/>
              </w:rPr>
            </w:pPr>
          </w:p>
        </w:tc>
        <w:tc>
          <w:tcPr>
            <w:tcW w:w="4194" w:type="dxa"/>
            <w:tcBorders>
              <w:top w:val="single" w:sz="6" w:space="0" w:color="auto"/>
              <w:bottom w:val="single" w:sz="6" w:space="0" w:color="auto"/>
            </w:tcBorders>
          </w:tcPr>
          <w:p w14:paraId="4D46A961" w14:textId="163C66E0" w:rsidR="00964254" w:rsidRPr="00964254" w:rsidRDefault="00964254" w:rsidP="00964254">
            <w:pPr>
              <w:pStyle w:val="ISOComments"/>
              <w:spacing w:before="156" w:after="156"/>
              <w:rPr>
                <w:rFonts w:ascii="Calibri" w:hAnsi="Calibri" w:cs="Calibri"/>
                <w:color w:val="000000" w:themeColor="text1"/>
                <w:szCs w:val="18"/>
                <w:lang w:val="en-US" w:eastAsia="zh-CN"/>
              </w:rPr>
            </w:pPr>
            <w:r w:rsidRPr="00964254">
              <w:rPr>
                <w:rFonts w:ascii="Calibri" w:hAnsi="Calibri" w:cs="Calibri"/>
                <w:color w:val="000000"/>
                <w:szCs w:val="18"/>
              </w:rPr>
              <w:t>cool in a desiccator until room temperature</w:t>
            </w:r>
          </w:p>
        </w:tc>
        <w:tc>
          <w:tcPr>
            <w:tcW w:w="2172" w:type="dxa"/>
            <w:tcBorders>
              <w:top w:val="single" w:sz="6" w:space="0" w:color="auto"/>
              <w:bottom w:val="single" w:sz="6" w:space="0" w:color="auto"/>
            </w:tcBorders>
          </w:tcPr>
          <w:p w14:paraId="2ADCDF88" w14:textId="0077DF3E" w:rsidR="00964254" w:rsidRPr="00964254" w:rsidRDefault="00964254" w:rsidP="00964254">
            <w:pPr>
              <w:pStyle w:val="ISOSecretObservations"/>
              <w:spacing w:before="60" w:after="60" w:line="240" w:lineRule="auto"/>
              <w:rPr>
                <w:rFonts w:ascii="Calibri" w:hAnsi="Calibri" w:cs="Calibri"/>
                <w:color w:val="000000" w:themeColor="text1"/>
                <w:szCs w:val="18"/>
                <w:lang w:val="fr-FR" w:eastAsia="zh-CN"/>
              </w:rPr>
            </w:pPr>
            <w:r w:rsidRPr="00964254">
              <w:rPr>
                <w:rFonts w:ascii="Calibri" w:hAnsi="Calibri" w:cs="Calibri"/>
                <w:color w:val="000000"/>
                <w:szCs w:val="18"/>
              </w:rPr>
              <w:t>采纳</w:t>
            </w:r>
          </w:p>
        </w:tc>
      </w:tr>
      <w:tr w:rsidR="00964254" w14:paraId="6438A0AF" w14:textId="77777777" w:rsidTr="00E008BF">
        <w:trPr>
          <w:jc w:val="center"/>
        </w:trPr>
        <w:tc>
          <w:tcPr>
            <w:tcW w:w="908" w:type="dxa"/>
            <w:tcBorders>
              <w:top w:val="single" w:sz="6" w:space="0" w:color="auto"/>
              <w:bottom w:val="single" w:sz="6" w:space="0" w:color="auto"/>
            </w:tcBorders>
            <w:vAlign w:val="center"/>
          </w:tcPr>
          <w:p w14:paraId="7BE7E05A" w14:textId="727CA5D2" w:rsidR="00964254" w:rsidRPr="00964254" w:rsidRDefault="00964254" w:rsidP="00964254">
            <w:pPr>
              <w:pStyle w:val="ISOClause"/>
              <w:spacing w:before="60" w:after="60" w:line="240" w:lineRule="auto"/>
              <w:jc w:val="center"/>
              <w:rPr>
                <w:rFonts w:ascii="Calibri" w:hAnsi="Calibri" w:cs="Calibri"/>
                <w:color w:val="000000" w:themeColor="text1"/>
                <w:szCs w:val="18"/>
                <w:lang w:eastAsia="zh-CN"/>
              </w:rPr>
            </w:pPr>
            <w:r w:rsidRPr="00964254">
              <w:rPr>
                <w:rFonts w:ascii="Calibri" w:hAnsi="Calibri" w:cs="Calibri"/>
                <w:color w:val="000000"/>
                <w:szCs w:val="18"/>
              </w:rPr>
              <w:t>刘丽媛</w:t>
            </w:r>
          </w:p>
        </w:tc>
        <w:tc>
          <w:tcPr>
            <w:tcW w:w="1494" w:type="dxa"/>
            <w:tcBorders>
              <w:top w:val="single" w:sz="6" w:space="0" w:color="auto"/>
              <w:bottom w:val="single" w:sz="6" w:space="0" w:color="auto"/>
            </w:tcBorders>
            <w:vAlign w:val="center"/>
          </w:tcPr>
          <w:p w14:paraId="0996D39C" w14:textId="15FE687E" w:rsidR="00964254" w:rsidRPr="00964254" w:rsidRDefault="00964254" w:rsidP="00964254">
            <w:pPr>
              <w:pStyle w:val="ISOParagraph"/>
              <w:spacing w:before="60" w:after="60" w:line="240" w:lineRule="auto"/>
              <w:jc w:val="center"/>
              <w:rPr>
                <w:rFonts w:ascii="Calibri" w:hAnsi="Calibri" w:cs="Calibri"/>
                <w:color w:val="000000" w:themeColor="text1"/>
                <w:szCs w:val="18"/>
                <w:lang w:val="en-US" w:eastAsia="zh-CN"/>
              </w:rPr>
            </w:pPr>
            <w:r w:rsidRPr="00964254">
              <w:rPr>
                <w:rFonts w:ascii="Calibri" w:hAnsi="Calibri" w:cs="Calibri"/>
                <w:color w:val="000000"/>
                <w:szCs w:val="18"/>
              </w:rPr>
              <w:t>8.1</w:t>
            </w:r>
          </w:p>
        </w:tc>
        <w:tc>
          <w:tcPr>
            <w:tcW w:w="2410" w:type="dxa"/>
            <w:tcBorders>
              <w:top w:val="single" w:sz="6" w:space="0" w:color="auto"/>
              <w:bottom w:val="single" w:sz="6" w:space="0" w:color="auto"/>
            </w:tcBorders>
          </w:tcPr>
          <w:p w14:paraId="7A40C556" w14:textId="590965D2" w:rsidR="00964254" w:rsidRPr="00964254" w:rsidRDefault="00964254" w:rsidP="00964254">
            <w:pPr>
              <w:pStyle w:val="ISOParagraph"/>
              <w:spacing w:before="60" w:after="60" w:line="240" w:lineRule="auto"/>
              <w:rPr>
                <w:rFonts w:ascii="Calibri" w:hAnsi="Calibri" w:cs="Calibri"/>
                <w:color w:val="000000" w:themeColor="text1"/>
                <w:szCs w:val="18"/>
                <w:lang w:val="en-US" w:eastAsia="zh-CN"/>
              </w:rPr>
            </w:pPr>
            <w:r w:rsidRPr="00964254">
              <w:rPr>
                <w:rFonts w:ascii="Calibri" w:hAnsi="Calibri" w:cs="Calibri"/>
                <w:color w:val="000000"/>
                <w:szCs w:val="18"/>
              </w:rPr>
              <w:t>Weigh samples according to Table 1.</w:t>
            </w:r>
          </w:p>
        </w:tc>
        <w:tc>
          <w:tcPr>
            <w:tcW w:w="2977" w:type="dxa"/>
            <w:tcBorders>
              <w:top w:val="single" w:sz="6" w:space="0" w:color="auto"/>
              <w:bottom w:val="single" w:sz="6" w:space="0" w:color="auto"/>
            </w:tcBorders>
          </w:tcPr>
          <w:p w14:paraId="21DF60E4" w14:textId="589410D7" w:rsidR="00964254" w:rsidRPr="00964254" w:rsidRDefault="00964254" w:rsidP="00964254">
            <w:pPr>
              <w:pStyle w:val="ISOComments"/>
              <w:spacing w:before="156" w:after="156"/>
              <w:rPr>
                <w:rFonts w:ascii="Calibri" w:hAnsi="Calibri" w:cs="Calibri"/>
                <w:color w:val="000000" w:themeColor="text1"/>
                <w:szCs w:val="18"/>
                <w:lang w:val="en-US" w:eastAsia="zh-CN"/>
              </w:rPr>
            </w:pPr>
          </w:p>
        </w:tc>
        <w:tc>
          <w:tcPr>
            <w:tcW w:w="4194" w:type="dxa"/>
            <w:tcBorders>
              <w:top w:val="single" w:sz="6" w:space="0" w:color="auto"/>
              <w:bottom w:val="single" w:sz="6" w:space="0" w:color="auto"/>
            </w:tcBorders>
          </w:tcPr>
          <w:p w14:paraId="1194CCFE" w14:textId="774F10C6" w:rsidR="00964254" w:rsidRPr="00964254" w:rsidRDefault="00964254" w:rsidP="00964254">
            <w:pPr>
              <w:pStyle w:val="ISOComments"/>
              <w:spacing w:before="156" w:after="156"/>
              <w:rPr>
                <w:rFonts w:ascii="Calibri" w:hAnsi="Calibri" w:cs="Calibri"/>
                <w:color w:val="000000" w:themeColor="text1"/>
                <w:szCs w:val="18"/>
                <w:lang w:eastAsia="zh-CN"/>
              </w:rPr>
            </w:pPr>
            <w:r w:rsidRPr="00964254">
              <w:rPr>
                <w:rFonts w:ascii="Calibri" w:hAnsi="Calibri" w:cs="Calibri"/>
                <w:color w:val="000000"/>
                <w:szCs w:val="18"/>
              </w:rPr>
              <w:t>Weigh samples according to Table 1. Accurate to 0.0001g.</w:t>
            </w:r>
          </w:p>
        </w:tc>
        <w:tc>
          <w:tcPr>
            <w:tcW w:w="2172" w:type="dxa"/>
            <w:tcBorders>
              <w:top w:val="single" w:sz="6" w:space="0" w:color="auto"/>
              <w:bottom w:val="single" w:sz="6" w:space="0" w:color="auto"/>
            </w:tcBorders>
          </w:tcPr>
          <w:p w14:paraId="1488EEAA" w14:textId="4807183D" w:rsidR="00964254" w:rsidRPr="00964254" w:rsidRDefault="00964254" w:rsidP="00964254">
            <w:pPr>
              <w:pStyle w:val="ISOSecretObservations"/>
              <w:spacing w:before="60" w:after="60" w:line="240" w:lineRule="auto"/>
              <w:rPr>
                <w:rFonts w:ascii="Calibri" w:hAnsi="Calibri" w:cs="Calibri"/>
                <w:color w:val="000000" w:themeColor="text1"/>
                <w:szCs w:val="18"/>
                <w:lang w:val="fr-FR" w:eastAsia="zh-CN"/>
              </w:rPr>
            </w:pPr>
            <w:r w:rsidRPr="00964254">
              <w:rPr>
                <w:rFonts w:ascii="Calibri" w:hAnsi="Calibri" w:cs="Calibri"/>
                <w:color w:val="000000"/>
                <w:szCs w:val="18"/>
              </w:rPr>
              <w:t>采纳</w:t>
            </w:r>
          </w:p>
        </w:tc>
      </w:tr>
      <w:tr w:rsidR="00964254" w14:paraId="320DD77B" w14:textId="77777777" w:rsidTr="00E008BF">
        <w:trPr>
          <w:jc w:val="center"/>
        </w:trPr>
        <w:tc>
          <w:tcPr>
            <w:tcW w:w="908" w:type="dxa"/>
            <w:tcBorders>
              <w:top w:val="single" w:sz="6" w:space="0" w:color="auto"/>
              <w:bottom w:val="single" w:sz="6" w:space="0" w:color="auto"/>
            </w:tcBorders>
            <w:vAlign w:val="center"/>
          </w:tcPr>
          <w:p w14:paraId="6B794ADD" w14:textId="7167FB44" w:rsidR="00964254" w:rsidRPr="00964254" w:rsidRDefault="00964254" w:rsidP="00964254">
            <w:pPr>
              <w:pStyle w:val="ISOClause"/>
              <w:spacing w:before="60" w:after="60" w:line="240" w:lineRule="auto"/>
              <w:jc w:val="center"/>
              <w:rPr>
                <w:rFonts w:ascii="Calibri" w:hAnsi="Calibri" w:cs="Calibri"/>
                <w:color w:val="000000" w:themeColor="text1"/>
                <w:szCs w:val="18"/>
                <w:lang w:eastAsia="zh-CN"/>
              </w:rPr>
            </w:pPr>
            <w:r w:rsidRPr="00964254">
              <w:rPr>
                <w:rFonts w:ascii="Calibri" w:hAnsi="Calibri" w:cs="Calibri"/>
                <w:color w:val="000000"/>
                <w:szCs w:val="18"/>
              </w:rPr>
              <w:t>高俊丽</w:t>
            </w:r>
          </w:p>
        </w:tc>
        <w:tc>
          <w:tcPr>
            <w:tcW w:w="1494" w:type="dxa"/>
            <w:tcBorders>
              <w:top w:val="single" w:sz="6" w:space="0" w:color="auto"/>
              <w:bottom w:val="single" w:sz="6" w:space="0" w:color="auto"/>
            </w:tcBorders>
            <w:vAlign w:val="center"/>
          </w:tcPr>
          <w:p w14:paraId="2739F2B4" w14:textId="77787B68" w:rsidR="00964254" w:rsidRPr="00964254" w:rsidRDefault="00964254" w:rsidP="00964254">
            <w:pPr>
              <w:pStyle w:val="ISOParagraph"/>
              <w:spacing w:before="60" w:after="60" w:line="240" w:lineRule="auto"/>
              <w:jc w:val="center"/>
              <w:rPr>
                <w:rFonts w:ascii="Calibri" w:hAnsi="Calibri" w:cs="Calibri"/>
                <w:b/>
                <w:color w:val="000000" w:themeColor="text1"/>
                <w:szCs w:val="18"/>
                <w:lang w:val="en-US" w:eastAsia="zh-CN"/>
              </w:rPr>
            </w:pPr>
            <w:r w:rsidRPr="00964254">
              <w:rPr>
                <w:rFonts w:ascii="Calibri" w:hAnsi="Calibri" w:cs="Calibri"/>
                <w:color w:val="000000"/>
                <w:szCs w:val="18"/>
              </w:rPr>
              <w:t>第五页页眉</w:t>
            </w:r>
          </w:p>
        </w:tc>
        <w:tc>
          <w:tcPr>
            <w:tcW w:w="2410" w:type="dxa"/>
            <w:tcBorders>
              <w:top w:val="single" w:sz="6" w:space="0" w:color="auto"/>
              <w:bottom w:val="single" w:sz="6" w:space="0" w:color="auto"/>
            </w:tcBorders>
            <w:vAlign w:val="center"/>
          </w:tcPr>
          <w:p w14:paraId="7520A4F3" w14:textId="3845676E" w:rsidR="00964254" w:rsidRPr="00964254" w:rsidRDefault="00964254" w:rsidP="00964254">
            <w:pPr>
              <w:pStyle w:val="ISOParagraph"/>
              <w:spacing w:before="60" w:after="60" w:line="240" w:lineRule="auto"/>
              <w:rPr>
                <w:rFonts w:ascii="Calibri" w:hAnsi="Calibri" w:cs="Calibri"/>
                <w:color w:val="000000" w:themeColor="text1"/>
                <w:szCs w:val="18"/>
                <w:lang w:val="en-US" w:eastAsia="zh-CN"/>
              </w:rPr>
            </w:pPr>
            <w:r w:rsidRPr="00964254">
              <w:rPr>
                <w:rFonts w:ascii="Calibri" w:hAnsi="Calibri" w:cs="Calibri"/>
                <w:color w:val="000000"/>
                <w:szCs w:val="18"/>
              </w:rPr>
              <w:t>文字</w:t>
            </w:r>
          </w:p>
        </w:tc>
        <w:tc>
          <w:tcPr>
            <w:tcW w:w="2977" w:type="dxa"/>
            <w:tcBorders>
              <w:top w:val="single" w:sz="6" w:space="0" w:color="auto"/>
              <w:bottom w:val="single" w:sz="6" w:space="0" w:color="auto"/>
            </w:tcBorders>
            <w:vAlign w:val="center"/>
          </w:tcPr>
          <w:p w14:paraId="0064FC03" w14:textId="127BFB59" w:rsidR="00964254" w:rsidRPr="00964254" w:rsidRDefault="00964254" w:rsidP="00964254">
            <w:pPr>
              <w:pStyle w:val="ISOComments"/>
              <w:spacing w:before="156" w:after="156"/>
              <w:rPr>
                <w:rFonts w:ascii="Calibri" w:hAnsi="Calibri" w:cs="Calibri"/>
                <w:color w:val="000000" w:themeColor="text1"/>
                <w:szCs w:val="18"/>
                <w:lang w:val="en-US" w:eastAsia="zh-CN"/>
              </w:rPr>
            </w:pPr>
            <w:r w:rsidRPr="00964254">
              <w:rPr>
                <w:rFonts w:ascii="Calibri" w:hAnsi="Calibri" w:cs="Calibri"/>
                <w:szCs w:val="18"/>
              </w:rPr>
              <w:t>GB/T 16477.1—2024</w:t>
            </w:r>
          </w:p>
        </w:tc>
        <w:tc>
          <w:tcPr>
            <w:tcW w:w="4194" w:type="dxa"/>
            <w:tcBorders>
              <w:top w:val="single" w:sz="6" w:space="0" w:color="auto"/>
              <w:bottom w:val="single" w:sz="6" w:space="0" w:color="auto"/>
            </w:tcBorders>
            <w:vAlign w:val="center"/>
          </w:tcPr>
          <w:p w14:paraId="3D24AAC6" w14:textId="23337CA3" w:rsidR="00964254" w:rsidRPr="00964254" w:rsidRDefault="00964254" w:rsidP="00964254">
            <w:pPr>
              <w:pStyle w:val="ISOComments"/>
              <w:spacing w:before="156" w:after="156"/>
              <w:rPr>
                <w:rFonts w:ascii="Calibri" w:hAnsi="Calibri" w:cs="Calibri"/>
                <w:color w:val="000000" w:themeColor="text1"/>
                <w:szCs w:val="18"/>
                <w:lang w:val="en-US" w:eastAsia="zh-CN"/>
              </w:rPr>
            </w:pPr>
            <w:r w:rsidRPr="00964254">
              <w:rPr>
                <w:rFonts w:ascii="Calibri" w:hAnsi="Calibri" w:cs="Calibri"/>
                <w:szCs w:val="18"/>
              </w:rPr>
              <w:t>GB/T 12690.21—2024</w:t>
            </w:r>
          </w:p>
        </w:tc>
        <w:tc>
          <w:tcPr>
            <w:tcW w:w="2172" w:type="dxa"/>
            <w:tcBorders>
              <w:top w:val="single" w:sz="6" w:space="0" w:color="auto"/>
              <w:bottom w:val="single" w:sz="6" w:space="0" w:color="auto"/>
            </w:tcBorders>
          </w:tcPr>
          <w:p w14:paraId="42B843CD" w14:textId="29333C3C" w:rsidR="00964254" w:rsidRPr="00964254" w:rsidRDefault="00964254" w:rsidP="00964254">
            <w:pPr>
              <w:pStyle w:val="ISOSecretObservations"/>
              <w:spacing w:before="60" w:after="60" w:line="240" w:lineRule="auto"/>
              <w:rPr>
                <w:rFonts w:ascii="Calibri" w:hAnsi="Calibri" w:cs="Calibri"/>
                <w:color w:val="000000" w:themeColor="text1"/>
                <w:szCs w:val="18"/>
                <w:lang w:val="en-US" w:eastAsia="zh-CN"/>
              </w:rPr>
            </w:pPr>
            <w:r w:rsidRPr="00964254">
              <w:rPr>
                <w:rFonts w:ascii="Calibri" w:hAnsi="Calibri" w:cs="Calibri"/>
                <w:color w:val="000000"/>
                <w:szCs w:val="18"/>
              </w:rPr>
              <w:t>采纳</w:t>
            </w:r>
          </w:p>
        </w:tc>
      </w:tr>
      <w:tr w:rsidR="00964254" w14:paraId="6F813D45" w14:textId="77777777" w:rsidTr="00E008BF">
        <w:trPr>
          <w:jc w:val="center"/>
        </w:trPr>
        <w:tc>
          <w:tcPr>
            <w:tcW w:w="908" w:type="dxa"/>
            <w:tcBorders>
              <w:top w:val="single" w:sz="6" w:space="0" w:color="auto"/>
              <w:bottom w:val="single" w:sz="6" w:space="0" w:color="auto"/>
            </w:tcBorders>
          </w:tcPr>
          <w:p w14:paraId="58105283" w14:textId="1EBB6A74" w:rsidR="00964254" w:rsidRPr="00964254" w:rsidRDefault="00964254" w:rsidP="00964254">
            <w:pPr>
              <w:pStyle w:val="ISOClause"/>
              <w:spacing w:before="60" w:after="60" w:line="240" w:lineRule="auto"/>
              <w:jc w:val="center"/>
              <w:rPr>
                <w:rFonts w:ascii="Calibri" w:hAnsi="Calibri" w:cs="Calibri"/>
                <w:color w:val="000000" w:themeColor="text1"/>
                <w:szCs w:val="18"/>
                <w:lang w:eastAsia="zh-CN"/>
              </w:rPr>
            </w:pPr>
            <w:r w:rsidRPr="00964254">
              <w:rPr>
                <w:rFonts w:ascii="Calibri" w:hAnsi="Calibri" w:cs="Calibri"/>
                <w:color w:val="000000"/>
                <w:szCs w:val="18"/>
              </w:rPr>
              <w:t>高俊丽</w:t>
            </w:r>
          </w:p>
        </w:tc>
        <w:tc>
          <w:tcPr>
            <w:tcW w:w="1494" w:type="dxa"/>
            <w:tcBorders>
              <w:top w:val="single" w:sz="6" w:space="0" w:color="auto"/>
              <w:bottom w:val="single" w:sz="6" w:space="0" w:color="auto"/>
            </w:tcBorders>
            <w:vAlign w:val="center"/>
          </w:tcPr>
          <w:p w14:paraId="053A5AB6" w14:textId="00FCF58C" w:rsidR="00964254" w:rsidRPr="00964254" w:rsidRDefault="00964254" w:rsidP="00964254">
            <w:pPr>
              <w:pStyle w:val="ISOParagraph"/>
              <w:spacing w:before="60" w:after="60" w:line="240" w:lineRule="auto"/>
              <w:jc w:val="center"/>
              <w:rPr>
                <w:rFonts w:ascii="Calibri" w:hAnsi="Calibri" w:cs="Calibri"/>
                <w:color w:val="000000" w:themeColor="text1"/>
                <w:szCs w:val="18"/>
                <w:lang w:val="en-US" w:eastAsia="zh-CN"/>
              </w:rPr>
            </w:pPr>
            <w:r w:rsidRPr="00964254">
              <w:rPr>
                <w:rFonts w:ascii="Calibri" w:hAnsi="Calibri" w:cs="Calibri"/>
                <w:color w:val="000000"/>
                <w:szCs w:val="18"/>
              </w:rPr>
              <w:t>Forword Part 2</w:t>
            </w:r>
          </w:p>
        </w:tc>
        <w:tc>
          <w:tcPr>
            <w:tcW w:w="2410" w:type="dxa"/>
            <w:tcBorders>
              <w:top w:val="single" w:sz="6" w:space="0" w:color="auto"/>
              <w:bottom w:val="single" w:sz="6" w:space="0" w:color="auto"/>
            </w:tcBorders>
            <w:vAlign w:val="center"/>
          </w:tcPr>
          <w:p w14:paraId="2AB6B9E8" w14:textId="49F798C9" w:rsidR="00964254" w:rsidRPr="00964254" w:rsidRDefault="00964254" w:rsidP="00964254">
            <w:pPr>
              <w:pStyle w:val="ISOParagraph"/>
              <w:spacing w:before="60" w:after="60" w:line="240" w:lineRule="auto"/>
              <w:rPr>
                <w:rFonts w:ascii="Calibri" w:hAnsi="Calibri" w:cs="Calibri"/>
                <w:color w:val="000000" w:themeColor="text1"/>
                <w:szCs w:val="18"/>
                <w:lang w:val="en-US" w:eastAsia="zh-CN"/>
              </w:rPr>
            </w:pPr>
            <w:r w:rsidRPr="00964254">
              <w:rPr>
                <w:rFonts w:ascii="Calibri" w:hAnsi="Calibri" w:cs="Calibri"/>
                <w:color w:val="000000"/>
                <w:szCs w:val="18"/>
              </w:rPr>
              <w:t>文字</w:t>
            </w:r>
          </w:p>
        </w:tc>
        <w:tc>
          <w:tcPr>
            <w:tcW w:w="2977" w:type="dxa"/>
            <w:tcBorders>
              <w:top w:val="single" w:sz="6" w:space="0" w:color="auto"/>
              <w:bottom w:val="single" w:sz="6" w:space="0" w:color="auto"/>
            </w:tcBorders>
          </w:tcPr>
          <w:p w14:paraId="3F06BF31" w14:textId="1F9B8E30" w:rsidR="00964254" w:rsidRPr="00964254" w:rsidRDefault="00964254" w:rsidP="00964254">
            <w:pPr>
              <w:pStyle w:val="ISOComments"/>
              <w:spacing w:before="156" w:after="156"/>
              <w:rPr>
                <w:rFonts w:ascii="Calibri" w:hAnsi="Calibri" w:cs="Calibri"/>
                <w:color w:val="000000" w:themeColor="text1"/>
                <w:szCs w:val="18"/>
                <w:lang w:val="en-US" w:eastAsia="zh-CN"/>
              </w:rPr>
            </w:pPr>
            <w:r w:rsidRPr="00964254">
              <w:rPr>
                <w:rFonts w:ascii="Calibri" w:hAnsi="Calibri" w:cs="Calibri"/>
                <w:color w:val="000000"/>
                <w:szCs w:val="18"/>
              </w:rPr>
              <w:t>ignition loss of rare earth</w:t>
            </w:r>
          </w:p>
        </w:tc>
        <w:tc>
          <w:tcPr>
            <w:tcW w:w="4194" w:type="dxa"/>
            <w:tcBorders>
              <w:top w:val="single" w:sz="6" w:space="0" w:color="auto"/>
              <w:bottom w:val="single" w:sz="6" w:space="0" w:color="auto"/>
            </w:tcBorders>
          </w:tcPr>
          <w:p w14:paraId="00E18057" w14:textId="000956E2" w:rsidR="00964254" w:rsidRPr="00964254" w:rsidRDefault="00964254" w:rsidP="00964254">
            <w:pPr>
              <w:pStyle w:val="ISOComments"/>
              <w:spacing w:before="156" w:after="156"/>
              <w:rPr>
                <w:rFonts w:ascii="Calibri" w:hAnsi="Calibri" w:cs="Calibri"/>
                <w:color w:val="000000" w:themeColor="text1"/>
                <w:szCs w:val="18"/>
                <w:lang w:val="en-US" w:eastAsia="zh-CN"/>
              </w:rPr>
            </w:pPr>
            <w:r w:rsidRPr="00964254">
              <w:rPr>
                <w:rFonts w:ascii="Calibri" w:hAnsi="Calibri" w:cs="Calibri"/>
                <w:color w:val="000000"/>
                <w:szCs w:val="18"/>
              </w:rPr>
              <w:t>ignition loss content of rare earth</w:t>
            </w:r>
          </w:p>
        </w:tc>
        <w:tc>
          <w:tcPr>
            <w:tcW w:w="2172" w:type="dxa"/>
            <w:tcBorders>
              <w:top w:val="single" w:sz="6" w:space="0" w:color="auto"/>
              <w:bottom w:val="single" w:sz="6" w:space="0" w:color="auto"/>
            </w:tcBorders>
          </w:tcPr>
          <w:p w14:paraId="66052C4C" w14:textId="79551EB9" w:rsidR="00964254" w:rsidRPr="00964254" w:rsidRDefault="00964254" w:rsidP="00964254">
            <w:pPr>
              <w:pStyle w:val="ISOSecretObservations"/>
              <w:spacing w:before="60" w:after="60" w:line="240" w:lineRule="auto"/>
              <w:rPr>
                <w:rFonts w:ascii="Calibri" w:hAnsi="Calibri" w:cs="Calibri"/>
                <w:color w:val="000000" w:themeColor="text1"/>
                <w:szCs w:val="18"/>
                <w:lang w:val="en-US" w:eastAsia="zh-CN"/>
              </w:rPr>
            </w:pPr>
            <w:r w:rsidRPr="00964254">
              <w:rPr>
                <w:rFonts w:ascii="Calibri" w:hAnsi="Calibri" w:cs="Calibri"/>
                <w:color w:val="000000"/>
                <w:szCs w:val="18"/>
              </w:rPr>
              <w:t>采纳</w:t>
            </w:r>
          </w:p>
        </w:tc>
      </w:tr>
      <w:tr w:rsidR="00964254" w14:paraId="1917315D" w14:textId="77777777" w:rsidTr="00E008BF">
        <w:trPr>
          <w:jc w:val="center"/>
        </w:trPr>
        <w:tc>
          <w:tcPr>
            <w:tcW w:w="908" w:type="dxa"/>
            <w:tcBorders>
              <w:top w:val="single" w:sz="6" w:space="0" w:color="auto"/>
              <w:bottom w:val="single" w:sz="6" w:space="0" w:color="auto"/>
            </w:tcBorders>
            <w:vAlign w:val="center"/>
          </w:tcPr>
          <w:p w14:paraId="4C186751" w14:textId="7EC0FB2C" w:rsidR="00964254" w:rsidRPr="00964254" w:rsidRDefault="00964254" w:rsidP="00964254">
            <w:pPr>
              <w:pStyle w:val="ISOClause"/>
              <w:spacing w:before="60" w:after="60" w:line="240" w:lineRule="auto"/>
              <w:jc w:val="center"/>
              <w:rPr>
                <w:rFonts w:ascii="Calibri" w:hAnsi="Calibri" w:cs="Calibri"/>
                <w:color w:val="000000" w:themeColor="text1"/>
                <w:szCs w:val="18"/>
                <w:lang w:eastAsia="zh-CN"/>
              </w:rPr>
            </w:pPr>
            <w:r w:rsidRPr="00964254">
              <w:rPr>
                <w:rFonts w:ascii="Calibri" w:hAnsi="Calibri" w:cs="Calibri"/>
                <w:color w:val="000000"/>
                <w:szCs w:val="18"/>
              </w:rPr>
              <w:t>高俊丽</w:t>
            </w:r>
          </w:p>
        </w:tc>
        <w:tc>
          <w:tcPr>
            <w:tcW w:w="1494" w:type="dxa"/>
            <w:tcBorders>
              <w:top w:val="single" w:sz="6" w:space="0" w:color="auto"/>
              <w:bottom w:val="single" w:sz="6" w:space="0" w:color="auto"/>
            </w:tcBorders>
            <w:vAlign w:val="center"/>
          </w:tcPr>
          <w:p w14:paraId="5F4073F4" w14:textId="1D3D321F" w:rsidR="00964254" w:rsidRPr="00964254" w:rsidRDefault="00964254" w:rsidP="00964254">
            <w:pPr>
              <w:pStyle w:val="ISOParagraph"/>
              <w:spacing w:before="60" w:after="60" w:line="240" w:lineRule="auto"/>
              <w:jc w:val="center"/>
              <w:rPr>
                <w:rFonts w:ascii="Calibri" w:hAnsi="Calibri" w:cs="Calibri"/>
                <w:color w:val="000000" w:themeColor="text1"/>
                <w:szCs w:val="18"/>
                <w:lang w:val="en-US" w:eastAsia="zh-CN"/>
              </w:rPr>
            </w:pPr>
            <w:r w:rsidRPr="00964254">
              <w:rPr>
                <w:rFonts w:ascii="Calibri" w:hAnsi="Calibri" w:cs="Calibri"/>
                <w:color w:val="000000"/>
                <w:szCs w:val="18"/>
              </w:rPr>
              <w:t>Introduction</w:t>
            </w:r>
          </w:p>
        </w:tc>
        <w:tc>
          <w:tcPr>
            <w:tcW w:w="2410" w:type="dxa"/>
            <w:tcBorders>
              <w:top w:val="single" w:sz="6" w:space="0" w:color="auto"/>
              <w:bottom w:val="single" w:sz="6" w:space="0" w:color="auto"/>
            </w:tcBorders>
            <w:vAlign w:val="center"/>
          </w:tcPr>
          <w:p w14:paraId="46AD3633" w14:textId="7650E940" w:rsidR="00964254" w:rsidRPr="00964254" w:rsidRDefault="00964254" w:rsidP="00964254">
            <w:pPr>
              <w:pStyle w:val="ISOParagraph"/>
              <w:spacing w:before="60" w:after="60" w:line="240" w:lineRule="auto"/>
              <w:rPr>
                <w:rFonts w:ascii="Calibri" w:hAnsi="Calibri" w:cs="Calibri"/>
                <w:color w:val="000000" w:themeColor="text1"/>
                <w:szCs w:val="18"/>
                <w:lang w:val="en"/>
              </w:rPr>
            </w:pPr>
            <w:r w:rsidRPr="00964254">
              <w:rPr>
                <w:rFonts w:ascii="Calibri" w:hAnsi="Calibri" w:cs="Calibri"/>
                <w:color w:val="000000"/>
                <w:szCs w:val="18"/>
              </w:rPr>
              <w:t>文字</w:t>
            </w:r>
          </w:p>
        </w:tc>
        <w:tc>
          <w:tcPr>
            <w:tcW w:w="2977" w:type="dxa"/>
            <w:tcBorders>
              <w:top w:val="single" w:sz="6" w:space="0" w:color="auto"/>
              <w:bottom w:val="single" w:sz="6" w:space="0" w:color="auto"/>
            </w:tcBorders>
            <w:vAlign w:val="center"/>
          </w:tcPr>
          <w:p w14:paraId="7E052534" w14:textId="42498258" w:rsidR="00964254" w:rsidRPr="00964254" w:rsidRDefault="00964254" w:rsidP="00964254">
            <w:pPr>
              <w:pStyle w:val="ISOComments"/>
              <w:spacing w:before="156" w:after="156"/>
              <w:rPr>
                <w:rFonts w:ascii="Calibri" w:hAnsi="Calibri" w:cs="Calibri"/>
                <w:color w:val="000000" w:themeColor="text1"/>
                <w:szCs w:val="18"/>
                <w:lang w:val="en-US" w:eastAsia="zh-CN"/>
              </w:rPr>
            </w:pPr>
            <w:r w:rsidRPr="00964254">
              <w:rPr>
                <w:rFonts w:ascii="Calibri" w:hAnsi="Calibri" w:cs="Calibri"/>
                <w:color w:val="000000"/>
                <w:kern w:val="2"/>
                <w:szCs w:val="18"/>
                <w:lang w:eastAsia="zh-CN"/>
              </w:rPr>
              <w:t>GB/T 8762.3-1988</w:t>
            </w:r>
            <w:r w:rsidRPr="00964254">
              <w:rPr>
                <w:rFonts w:ascii="Calibri" w:hAnsi="Calibri" w:cs="Calibri"/>
                <w:color w:val="000000"/>
                <w:kern w:val="2"/>
                <w:szCs w:val="18"/>
                <w:lang w:eastAsia="zh-CN"/>
              </w:rPr>
              <w:t>、</w:t>
            </w:r>
            <w:r w:rsidRPr="00964254">
              <w:rPr>
                <w:rFonts w:ascii="Calibri" w:hAnsi="Calibri" w:cs="Calibri"/>
                <w:color w:val="000000"/>
                <w:kern w:val="2"/>
                <w:szCs w:val="18"/>
                <w:lang w:eastAsia="zh-CN"/>
              </w:rPr>
              <w:t>GB/T 8762.4-1988</w:t>
            </w:r>
            <w:r w:rsidRPr="00964254">
              <w:rPr>
                <w:rFonts w:ascii="Calibri" w:hAnsi="Calibri" w:cs="Calibri"/>
                <w:color w:val="000000"/>
                <w:kern w:val="2"/>
                <w:szCs w:val="18"/>
                <w:lang w:eastAsia="zh-CN"/>
              </w:rPr>
              <w:t>等国标英文名称</w:t>
            </w:r>
          </w:p>
        </w:tc>
        <w:tc>
          <w:tcPr>
            <w:tcW w:w="4194" w:type="dxa"/>
            <w:tcBorders>
              <w:top w:val="single" w:sz="6" w:space="0" w:color="auto"/>
              <w:bottom w:val="single" w:sz="6" w:space="0" w:color="auto"/>
            </w:tcBorders>
            <w:vAlign w:val="center"/>
          </w:tcPr>
          <w:p w14:paraId="1DC263BB" w14:textId="77777777" w:rsidR="00964254" w:rsidRPr="00964254" w:rsidRDefault="00964254" w:rsidP="00964254">
            <w:pPr>
              <w:pStyle w:val="ISOComments"/>
              <w:spacing w:before="120" w:after="120"/>
              <w:rPr>
                <w:rFonts w:ascii="Calibri" w:hAnsi="Calibri" w:cs="Calibri"/>
                <w:color w:val="000000"/>
                <w:szCs w:val="18"/>
              </w:rPr>
            </w:pPr>
            <w:r w:rsidRPr="00964254">
              <w:rPr>
                <w:rFonts w:ascii="Calibri" w:hAnsi="Calibri" w:cs="Calibri"/>
                <w:color w:val="000000"/>
                <w:szCs w:val="18"/>
              </w:rPr>
              <w:t>Yttrium oxide of phosphor grade-Determination of acid soluble silicon dioxide- Molybdenum blue photometric method</w:t>
            </w:r>
          </w:p>
          <w:p w14:paraId="26714490" w14:textId="4578B5E1" w:rsidR="00964254" w:rsidRPr="00964254" w:rsidRDefault="00964254" w:rsidP="00964254">
            <w:pPr>
              <w:pStyle w:val="ISOComments"/>
              <w:spacing w:before="156" w:after="156"/>
              <w:rPr>
                <w:rFonts w:ascii="Calibri" w:hAnsi="Calibri" w:cs="Calibri"/>
                <w:color w:val="000000" w:themeColor="text1"/>
                <w:szCs w:val="18"/>
                <w:lang w:val="en-US" w:eastAsia="zh-CN"/>
              </w:rPr>
            </w:pPr>
            <w:r w:rsidRPr="00964254">
              <w:rPr>
                <w:rFonts w:ascii="Calibri" w:hAnsi="Calibri" w:cs="Calibri"/>
                <w:color w:val="000000"/>
                <w:szCs w:val="18"/>
              </w:rPr>
              <w:t>Yttrium oxide of phosphor grade—Determination of iron oxide,lead oxide,nickel oxide and copperoxide contents- Emission spectrographic method</w:t>
            </w:r>
          </w:p>
        </w:tc>
        <w:tc>
          <w:tcPr>
            <w:tcW w:w="2172" w:type="dxa"/>
            <w:tcBorders>
              <w:top w:val="single" w:sz="6" w:space="0" w:color="auto"/>
              <w:bottom w:val="single" w:sz="6" w:space="0" w:color="auto"/>
            </w:tcBorders>
          </w:tcPr>
          <w:p w14:paraId="626007C6" w14:textId="193FC656" w:rsidR="00964254" w:rsidRPr="00964254" w:rsidRDefault="00964254" w:rsidP="00964254">
            <w:pPr>
              <w:pStyle w:val="ISOSecretObservations"/>
              <w:spacing w:before="60" w:after="60" w:line="240" w:lineRule="auto"/>
              <w:rPr>
                <w:rFonts w:ascii="Calibri" w:hAnsi="Calibri" w:cs="Calibri"/>
                <w:color w:val="000000" w:themeColor="text1"/>
                <w:szCs w:val="18"/>
                <w:lang w:val="en-US" w:eastAsia="zh-CN"/>
              </w:rPr>
            </w:pPr>
            <w:r w:rsidRPr="00964254">
              <w:rPr>
                <w:rFonts w:ascii="Calibri" w:hAnsi="Calibri" w:cs="Calibri"/>
                <w:color w:val="000000"/>
                <w:szCs w:val="18"/>
              </w:rPr>
              <w:t>采纳</w:t>
            </w:r>
          </w:p>
        </w:tc>
      </w:tr>
      <w:tr w:rsidR="00964254" w14:paraId="0596A67E" w14:textId="77777777" w:rsidTr="00E008BF">
        <w:trPr>
          <w:jc w:val="center"/>
        </w:trPr>
        <w:tc>
          <w:tcPr>
            <w:tcW w:w="908" w:type="dxa"/>
            <w:tcBorders>
              <w:top w:val="single" w:sz="6" w:space="0" w:color="auto"/>
              <w:bottom w:val="single" w:sz="6" w:space="0" w:color="auto"/>
            </w:tcBorders>
          </w:tcPr>
          <w:p w14:paraId="14069351" w14:textId="77777777" w:rsidR="00964254" w:rsidRDefault="00964254" w:rsidP="00964254">
            <w:pPr>
              <w:pStyle w:val="ISOClause"/>
              <w:spacing w:before="60" w:after="60" w:line="240" w:lineRule="auto"/>
              <w:jc w:val="center"/>
              <w:rPr>
                <w:rFonts w:ascii="Calibri" w:hAnsi="Calibri" w:cs="Calibri"/>
                <w:color w:val="000000" w:themeColor="text1"/>
                <w:szCs w:val="18"/>
                <w:lang w:eastAsia="zh-CN"/>
              </w:rPr>
            </w:pPr>
          </w:p>
          <w:p w14:paraId="67B18A29" w14:textId="77777777" w:rsidR="00E008BF" w:rsidRDefault="00E008BF" w:rsidP="00964254">
            <w:pPr>
              <w:pStyle w:val="ISOClause"/>
              <w:spacing w:before="60" w:after="60" w:line="240" w:lineRule="auto"/>
              <w:jc w:val="center"/>
              <w:rPr>
                <w:rFonts w:ascii="Calibri" w:hAnsi="Calibri" w:cs="Calibri"/>
                <w:color w:val="000000" w:themeColor="text1"/>
                <w:szCs w:val="18"/>
                <w:lang w:eastAsia="zh-CN"/>
              </w:rPr>
            </w:pPr>
          </w:p>
          <w:p w14:paraId="29CD8EFC" w14:textId="210E30FF" w:rsidR="00E008BF" w:rsidRPr="00964254" w:rsidRDefault="00E008BF" w:rsidP="00964254">
            <w:pPr>
              <w:pStyle w:val="ISOClause"/>
              <w:spacing w:before="60" w:after="60" w:line="240" w:lineRule="auto"/>
              <w:jc w:val="center"/>
              <w:rPr>
                <w:rFonts w:ascii="Calibri" w:hAnsi="Calibri" w:cs="Calibri"/>
                <w:color w:val="000000" w:themeColor="text1"/>
                <w:szCs w:val="18"/>
                <w:lang w:eastAsia="zh-CN"/>
              </w:rPr>
            </w:pPr>
            <w:r w:rsidRPr="00964254">
              <w:rPr>
                <w:rFonts w:ascii="Calibri" w:hAnsi="Calibri" w:cs="Calibri"/>
                <w:color w:val="000000"/>
                <w:szCs w:val="18"/>
              </w:rPr>
              <w:t>高俊丽</w:t>
            </w:r>
          </w:p>
        </w:tc>
        <w:tc>
          <w:tcPr>
            <w:tcW w:w="1494" w:type="dxa"/>
            <w:tcBorders>
              <w:top w:val="single" w:sz="6" w:space="0" w:color="auto"/>
              <w:bottom w:val="single" w:sz="6" w:space="0" w:color="auto"/>
            </w:tcBorders>
            <w:vAlign w:val="center"/>
          </w:tcPr>
          <w:p w14:paraId="4DF316FD" w14:textId="6F695DC6" w:rsidR="00964254" w:rsidRPr="00964254" w:rsidRDefault="00964254" w:rsidP="00964254">
            <w:pPr>
              <w:pStyle w:val="ISOParagraph"/>
              <w:spacing w:before="60" w:after="60" w:line="240" w:lineRule="auto"/>
              <w:jc w:val="center"/>
              <w:rPr>
                <w:rFonts w:ascii="Calibri" w:hAnsi="Calibri" w:cs="Calibri"/>
                <w:color w:val="000000" w:themeColor="text1"/>
                <w:szCs w:val="18"/>
                <w:lang w:val="en-US" w:eastAsia="zh-CN"/>
              </w:rPr>
            </w:pPr>
            <w:r w:rsidRPr="00964254">
              <w:rPr>
                <w:rFonts w:ascii="Calibri" w:hAnsi="Calibri" w:cs="Calibri"/>
                <w:color w:val="000000"/>
                <w:szCs w:val="18"/>
              </w:rPr>
              <w:t>3 Terms and Definitions</w:t>
            </w:r>
          </w:p>
        </w:tc>
        <w:tc>
          <w:tcPr>
            <w:tcW w:w="2410" w:type="dxa"/>
            <w:tcBorders>
              <w:top w:val="single" w:sz="6" w:space="0" w:color="auto"/>
              <w:bottom w:val="single" w:sz="6" w:space="0" w:color="auto"/>
            </w:tcBorders>
            <w:vAlign w:val="center"/>
          </w:tcPr>
          <w:p w14:paraId="01C5BFA8" w14:textId="71C8D5C6" w:rsidR="00964254" w:rsidRPr="00964254" w:rsidRDefault="00964254" w:rsidP="00964254">
            <w:pPr>
              <w:pStyle w:val="ISOParagraph"/>
              <w:spacing w:before="60" w:after="60" w:line="240" w:lineRule="auto"/>
              <w:rPr>
                <w:rFonts w:ascii="Calibri" w:hAnsi="Calibri" w:cs="Calibri"/>
                <w:color w:val="000000" w:themeColor="text1"/>
                <w:szCs w:val="18"/>
                <w:lang w:val="en-US" w:eastAsia="zh-CN"/>
              </w:rPr>
            </w:pPr>
            <w:r w:rsidRPr="00964254">
              <w:rPr>
                <w:rFonts w:ascii="Calibri" w:hAnsi="Calibri" w:cs="Calibri"/>
                <w:color w:val="000000"/>
                <w:szCs w:val="18"/>
              </w:rPr>
              <w:t>文字</w:t>
            </w:r>
          </w:p>
        </w:tc>
        <w:tc>
          <w:tcPr>
            <w:tcW w:w="2977" w:type="dxa"/>
            <w:tcBorders>
              <w:top w:val="single" w:sz="6" w:space="0" w:color="auto"/>
              <w:bottom w:val="single" w:sz="6" w:space="0" w:color="auto"/>
            </w:tcBorders>
            <w:vAlign w:val="center"/>
          </w:tcPr>
          <w:p w14:paraId="1A56380C" w14:textId="40BDFE85" w:rsidR="00964254" w:rsidRPr="00964254" w:rsidRDefault="00964254" w:rsidP="00964254">
            <w:pPr>
              <w:pStyle w:val="ISOComments"/>
              <w:spacing w:before="156" w:after="156"/>
              <w:rPr>
                <w:rFonts w:ascii="Calibri" w:hAnsi="Calibri" w:cs="Calibri"/>
                <w:color w:val="000000" w:themeColor="text1"/>
                <w:szCs w:val="18"/>
                <w:lang w:val="en-US" w:eastAsia="zh-CN"/>
              </w:rPr>
            </w:pPr>
            <w:r w:rsidRPr="00964254">
              <w:rPr>
                <w:rFonts w:ascii="Calibri" w:hAnsi="Calibri" w:cs="Calibri"/>
                <w:color w:val="000000"/>
                <w:szCs w:val="18"/>
              </w:rPr>
              <w:t>No terms or definitions</w:t>
            </w:r>
          </w:p>
        </w:tc>
        <w:tc>
          <w:tcPr>
            <w:tcW w:w="4194" w:type="dxa"/>
            <w:tcBorders>
              <w:top w:val="single" w:sz="6" w:space="0" w:color="auto"/>
              <w:bottom w:val="single" w:sz="6" w:space="0" w:color="auto"/>
            </w:tcBorders>
            <w:vAlign w:val="center"/>
          </w:tcPr>
          <w:p w14:paraId="78B0D7AF" w14:textId="717A4DE3" w:rsidR="00964254" w:rsidRPr="00964254" w:rsidRDefault="00964254" w:rsidP="00964254">
            <w:pPr>
              <w:pStyle w:val="ISOComments"/>
              <w:spacing w:before="156" w:after="156"/>
              <w:rPr>
                <w:rFonts w:ascii="Calibri" w:hAnsi="Calibri" w:cs="Calibri"/>
                <w:color w:val="000000" w:themeColor="text1"/>
                <w:szCs w:val="18"/>
                <w:lang w:val="en-US" w:eastAsia="zh-CN"/>
              </w:rPr>
            </w:pPr>
            <w:r w:rsidRPr="00964254">
              <w:rPr>
                <w:rFonts w:ascii="Calibri" w:hAnsi="Calibri" w:cs="Calibri"/>
                <w:color w:val="000000"/>
                <w:szCs w:val="18"/>
              </w:rPr>
              <w:t xml:space="preserve">No terms </w:t>
            </w:r>
            <w:r w:rsidRPr="00964254">
              <w:rPr>
                <w:rFonts w:ascii="Calibri" w:hAnsi="Calibri" w:cs="Calibri"/>
                <w:szCs w:val="18"/>
              </w:rPr>
              <w:t>and</w:t>
            </w:r>
            <w:r w:rsidRPr="00964254">
              <w:rPr>
                <w:rFonts w:ascii="Calibri" w:hAnsi="Calibri" w:cs="Calibri"/>
                <w:color w:val="000000"/>
                <w:szCs w:val="18"/>
              </w:rPr>
              <w:t xml:space="preserve"> definitions</w:t>
            </w:r>
          </w:p>
        </w:tc>
        <w:tc>
          <w:tcPr>
            <w:tcW w:w="2172" w:type="dxa"/>
            <w:tcBorders>
              <w:top w:val="single" w:sz="6" w:space="0" w:color="auto"/>
              <w:bottom w:val="single" w:sz="6" w:space="0" w:color="auto"/>
            </w:tcBorders>
          </w:tcPr>
          <w:p w14:paraId="334F55AD" w14:textId="4B81A893" w:rsidR="00964254" w:rsidRPr="00964254" w:rsidRDefault="00964254" w:rsidP="00964254">
            <w:pPr>
              <w:pStyle w:val="ISOSecretObservations"/>
              <w:spacing w:before="60" w:after="60" w:line="240" w:lineRule="auto"/>
              <w:rPr>
                <w:rFonts w:ascii="Calibri" w:hAnsi="Calibri" w:cs="Calibri"/>
                <w:color w:val="000000" w:themeColor="text1"/>
                <w:szCs w:val="18"/>
                <w:lang w:val="en-US" w:eastAsia="zh-CN"/>
              </w:rPr>
            </w:pPr>
            <w:r w:rsidRPr="00964254">
              <w:rPr>
                <w:rFonts w:ascii="Calibri" w:hAnsi="Calibri" w:cs="Calibri"/>
                <w:color w:val="000000"/>
                <w:szCs w:val="18"/>
                <w:lang w:eastAsia="zh-CN"/>
              </w:rPr>
              <w:t>不采纳，英文否定句中的</w:t>
            </w:r>
            <w:r w:rsidRPr="00964254">
              <w:rPr>
                <w:rFonts w:ascii="Calibri" w:hAnsi="Calibri" w:cs="Calibri"/>
                <w:color w:val="000000"/>
                <w:szCs w:val="18"/>
                <w:lang w:eastAsia="zh-CN"/>
              </w:rPr>
              <w:t>“or”</w:t>
            </w:r>
            <w:r w:rsidRPr="00964254">
              <w:rPr>
                <w:rFonts w:ascii="Calibri" w:hAnsi="Calibri" w:cs="Calibri"/>
                <w:color w:val="000000"/>
                <w:szCs w:val="18"/>
                <w:lang w:eastAsia="zh-CN"/>
              </w:rPr>
              <w:t>代表和，符合原中文语境，改成</w:t>
            </w:r>
            <w:r w:rsidRPr="00964254">
              <w:rPr>
                <w:rFonts w:ascii="Calibri" w:hAnsi="Calibri" w:cs="Calibri"/>
                <w:color w:val="000000"/>
                <w:szCs w:val="18"/>
                <w:lang w:eastAsia="zh-CN"/>
              </w:rPr>
              <w:t>“and”</w:t>
            </w:r>
            <w:r w:rsidRPr="00964254">
              <w:rPr>
                <w:rFonts w:ascii="Calibri" w:hAnsi="Calibri" w:cs="Calibri"/>
                <w:color w:val="000000"/>
                <w:szCs w:val="18"/>
                <w:lang w:eastAsia="zh-CN"/>
              </w:rPr>
              <w:t>可能会造成</w:t>
            </w:r>
            <w:r w:rsidRPr="00964254">
              <w:rPr>
                <w:rFonts w:ascii="Calibri" w:hAnsi="Calibri" w:cs="Calibri"/>
                <w:color w:val="000000"/>
                <w:szCs w:val="18"/>
                <w:lang w:eastAsia="zh-CN"/>
              </w:rPr>
              <w:t>“</w:t>
            </w:r>
            <w:r w:rsidRPr="00964254">
              <w:rPr>
                <w:rFonts w:ascii="Calibri" w:hAnsi="Calibri" w:cs="Calibri"/>
                <w:color w:val="000000"/>
                <w:szCs w:val="18"/>
                <w:lang w:eastAsia="zh-CN"/>
              </w:rPr>
              <w:t>术语和定义没同时存在，但可存其一</w:t>
            </w:r>
            <w:r w:rsidRPr="00964254">
              <w:rPr>
                <w:rFonts w:ascii="Calibri" w:hAnsi="Calibri" w:cs="Calibri"/>
                <w:color w:val="000000"/>
                <w:szCs w:val="18"/>
                <w:lang w:eastAsia="zh-CN"/>
              </w:rPr>
              <w:t>”</w:t>
            </w:r>
            <w:r w:rsidRPr="00964254">
              <w:rPr>
                <w:rFonts w:ascii="Calibri" w:hAnsi="Calibri" w:cs="Calibri"/>
                <w:color w:val="000000"/>
                <w:szCs w:val="18"/>
                <w:lang w:eastAsia="zh-CN"/>
              </w:rPr>
              <w:t>的歧义。</w:t>
            </w:r>
          </w:p>
        </w:tc>
      </w:tr>
    </w:tbl>
    <w:p w14:paraId="2033C1FF" w14:textId="77777777" w:rsidR="0064470A" w:rsidRDefault="0064470A">
      <w:pPr>
        <w:spacing w:afterLines="50" w:after="156" w:line="300" w:lineRule="atLeast"/>
        <w:ind w:firstLine="480"/>
        <w:jc w:val="center"/>
        <w:rPr>
          <w:rFonts w:ascii="宋体" w:eastAsia="宋体" w:hAnsi="宋体" w:cs="Times New Roman"/>
          <w:color w:val="000000" w:themeColor="text1"/>
          <w:szCs w:val="21"/>
        </w:rPr>
      </w:pPr>
    </w:p>
    <w:p w14:paraId="7CA62049" w14:textId="77777777" w:rsidR="0064470A" w:rsidRDefault="0064470A">
      <w:pPr>
        <w:widowControl/>
        <w:jc w:val="left"/>
        <w:rPr>
          <w:b/>
          <w:bCs/>
          <w:color w:val="000000" w:themeColor="text1"/>
          <w:sz w:val="24"/>
        </w:rPr>
      </w:pPr>
    </w:p>
    <w:sectPr w:rsidR="0064470A">
      <w:pgSz w:w="16838" w:h="11906" w:orient="landscape"/>
      <w:pgMar w:top="1800" w:right="1440" w:bottom="1800" w:left="144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A6D65C3" w16cex:dateUtc="2025-03-30T11:05:00Z"/>
  <w16cex:commentExtensible w16cex:durableId="776EA74D" w16cex:dateUtc="2025-03-30T11:00:00Z"/>
  <w16cex:commentExtensible w16cex:durableId="61EB2586" w16cex:dateUtc="2025-03-27T06:48:00Z"/>
  <w16cex:commentExtensible w16cex:durableId="40A81FB5" w16cex:dateUtc="2025-03-27T06:48:00Z"/>
  <w16cex:commentExtensible w16cex:durableId="52A7FBD2" w16cex:dateUtc="2025-03-30T11:08:00Z"/>
  <w16cex:commentExtensible w16cex:durableId="05ED2A14" w16cex:dateUtc="2025-03-30T11:08:00Z"/>
  <w16cex:commentExtensible w16cex:durableId="1E14B170" w16cex:dateUtc="2025-03-30T11:09:00Z"/>
  <w16cex:commentExtensible w16cex:durableId="4FBC2286" w16cex:dateUtc="2025-03-30T11:10:00Z"/>
  <w16cex:commentExtensible w16cex:durableId="17A48884" w16cex:dateUtc="2025-03-30T11:11:00Z"/>
  <w16cex:commentExtensible w16cex:durableId="24E5F1C3" w16cex:dateUtc="2025-03-30T10:46:00Z"/>
  <w16cex:commentExtensible w16cex:durableId="673A2AF1" w16cex:dateUtc="2025-03-30T10: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12439A5" w16cid:durableId="6A6D65C3"/>
  <w16cid:commentId w16cid:paraId="19869E3D" w16cid:durableId="776EA74D"/>
  <w16cid:commentId w16cid:paraId="3DCC2FFB" w16cid:durableId="61EB2586"/>
  <w16cid:commentId w16cid:paraId="04CE9D6D" w16cid:durableId="40A81FB5"/>
  <w16cid:commentId w16cid:paraId="36CAC594" w16cid:durableId="52A7FBD2"/>
  <w16cid:commentId w16cid:paraId="59B4E56B" w16cid:durableId="05ED2A14"/>
  <w16cid:commentId w16cid:paraId="40166A74" w16cid:durableId="1E14B170"/>
  <w16cid:commentId w16cid:paraId="2DFA8D95" w16cid:durableId="4FBC2286"/>
  <w16cid:commentId w16cid:paraId="5C496247" w16cid:durableId="17A48884"/>
  <w16cid:commentId w16cid:paraId="6174810B" w16cid:durableId="24E5F1C3"/>
  <w16cid:commentId w16cid:paraId="35A6930B" w16cid:durableId="673A2AF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B24B1" w14:textId="77777777" w:rsidR="00D05E51" w:rsidRDefault="00D05E51" w:rsidP="003F034D">
      <w:r>
        <w:separator/>
      </w:r>
    </w:p>
  </w:endnote>
  <w:endnote w:type="continuationSeparator" w:id="0">
    <w:p w14:paraId="61CFB808" w14:textId="77777777" w:rsidR="00D05E51" w:rsidRDefault="00D05E51" w:rsidP="003F0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微软雅黑 Light">
    <w:panose1 w:val="020B0502040204020203"/>
    <w:charset w:val="86"/>
    <w:family w:val="swiss"/>
    <w:pitch w:val="variable"/>
    <w:sig w:usb0="80000287" w:usb1="2ACF001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C51610" w14:textId="77777777" w:rsidR="00D05E51" w:rsidRDefault="00D05E51" w:rsidP="003F034D">
      <w:r>
        <w:separator/>
      </w:r>
    </w:p>
  </w:footnote>
  <w:footnote w:type="continuationSeparator" w:id="0">
    <w:p w14:paraId="32DBE858" w14:textId="77777777" w:rsidR="00D05E51" w:rsidRDefault="00D05E51" w:rsidP="003F034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2645C97"/>
    <w:multiLevelType w:val="singleLevel"/>
    <w:tmpl w:val="E2645C97"/>
    <w:lvl w:ilvl="0">
      <w:start w:val="1"/>
      <w:numFmt w:val="chineseCounting"/>
      <w:suff w:val="nothing"/>
      <w:lvlText w:val="%1、"/>
      <w:lvlJc w:val="left"/>
      <w:rPr>
        <w:rFonts w:hint="eastAsia"/>
      </w:rPr>
    </w:lvl>
  </w:abstractNum>
  <w:abstractNum w:abstractNumId="1" w15:restartNumberingAfterBreak="0">
    <w:nsid w:val="00000025"/>
    <w:multiLevelType w:val="multilevel"/>
    <w:tmpl w:val="00000025"/>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
      <w:suff w:val="nothing"/>
      <w:lvlText w:val="%1%2　"/>
      <w:lvlJc w:val="left"/>
      <w:pPr>
        <w:ind w:left="0" w:firstLine="0"/>
      </w:pPr>
      <w:rPr>
        <w:rFonts w:ascii="黑体" w:eastAsia="黑体" w:hAnsi="Times New Roman" w:hint="eastAsia"/>
        <w:b w:val="0"/>
        <w:i w:val="0"/>
        <w:sz w:val="21"/>
      </w:rPr>
    </w:lvl>
    <w:lvl w:ilvl="2">
      <w:start w:val="1"/>
      <w:numFmt w:val="decimal"/>
      <w:pStyle w:val="a0"/>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115D576F"/>
    <w:multiLevelType w:val="multilevel"/>
    <w:tmpl w:val="115D576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ZmNDRlNTY0MzJjMjI4YmRiZWJjY2Y5Zjk4NDQ4Y2UifQ=="/>
  </w:docVars>
  <w:rsids>
    <w:rsidRoot w:val="00743280"/>
    <w:rsid w:val="00053988"/>
    <w:rsid w:val="00053D09"/>
    <w:rsid w:val="000E2BD5"/>
    <w:rsid w:val="000E4FCA"/>
    <w:rsid w:val="000E7FFC"/>
    <w:rsid w:val="000F3700"/>
    <w:rsid w:val="000F5B55"/>
    <w:rsid w:val="00142C65"/>
    <w:rsid w:val="001817EB"/>
    <w:rsid w:val="00186A79"/>
    <w:rsid w:val="001B7847"/>
    <w:rsid w:val="001E304D"/>
    <w:rsid w:val="0029142D"/>
    <w:rsid w:val="002C389D"/>
    <w:rsid w:val="00301C84"/>
    <w:rsid w:val="0037334A"/>
    <w:rsid w:val="00377408"/>
    <w:rsid w:val="00391403"/>
    <w:rsid w:val="003E39CC"/>
    <w:rsid w:val="003E76D5"/>
    <w:rsid w:val="003F034D"/>
    <w:rsid w:val="003F3257"/>
    <w:rsid w:val="0041719A"/>
    <w:rsid w:val="004449B5"/>
    <w:rsid w:val="0044627F"/>
    <w:rsid w:val="00472A9B"/>
    <w:rsid w:val="00473280"/>
    <w:rsid w:val="004831A1"/>
    <w:rsid w:val="004A7413"/>
    <w:rsid w:val="004B72F1"/>
    <w:rsid w:val="004C5AF4"/>
    <w:rsid w:val="004E265D"/>
    <w:rsid w:val="00542B0F"/>
    <w:rsid w:val="00563E32"/>
    <w:rsid w:val="0057029B"/>
    <w:rsid w:val="005F7291"/>
    <w:rsid w:val="00601237"/>
    <w:rsid w:val="0064470A"/>
    <w:rsid w:val="006A61D4"/>
    <w:rsid w:val="006B6631"/>
    <w:rsid w:val="00716660"/>
    <w:rsid w:val="007358B8"/>
    <w:rsid w:val="00743280"/>
    <w:rsid w:val="007678E6"/>
    <w:rsid w:val="0077444F"/>
    <w:rsid w:val="0085393E"/>
    <w:rsid w:val="0086410B"/>
    <w:rsid w:val="00881C1C"/>
    <w:rsid w:val="008915FD"/>
    <w:rsid w:val="008A0AA6"/>
    <w:rsid w:val="008A5042"/>
    <w:rsid w:val="008C2C57"/>
    <w:rsid w:val="008C7933"/>
    <w:rsid w:val="008E0861"/>
    <w:rsid w:val="00930ADD"/>
    <w:rsid w:val="00951DC9"/>
    <w:rsid w:val="00964254"/>
    <w:rsid w:val="00965C44"/>
    <w:rsid w:val="009945AC"/>
    <w:rsid w:val="009B077B"/>
    <w:rsid w:val="009D2B54"/>
    <w:rsid w:val="009F27C7"/>
    <w:rsid w:val="00A0693F"/>
    <w:rsid w:val="00A07188"/>
    <w:rsid w:val="00A17695"/>
    <w:rsid w:val="00A2301C"/>
    <w:rsid w:val="00A51DF1"/>
    <w:rsid w:val="00A535EB"/>
    <w:rsid w:val="00A54401"/>
    <w:rsid w:val="00A91343"/>
    <w:rsid w:val="00A92A8C"/>
    <w:rsid w:val="00AA12B9"/>
    <w:rsid w:val="00AA596C"/>
    <w:rsid w:val="00AB3964"/>
    <w:rsid w:val="00AC26DB"/>
    <w:rsid w:val="00AE7D6C"/>
    <w:rsid w:val="00AF5185"/>
    <w:rsid w:val="00B333AB"/>
    <w:rsid w:val="00B33AEA"/>
    <w:rsid w:val="00B41099"/>
    <w:rsid w:val="00B41C94"/>
    <w:rsid w:val="00BA0DB8"/>
    <w:rsid w:val="00BA6595"/>
    <w:rsid w:val="00BB31A8"/>
    <w:rsid w:val="00BC3268"/>
    <w:rsid w:val="00BC72E9"/>
    <w:rsid w:val="00BD06E0"/>
    <w:rsid w:val="00BF1A77"/>
    <w:rsid w:val="00C462DF"/>
    <w:rsid w:val="00C530BF"/>
    <w:rsid w:val="00C64AFD"/>
    <w:rsid w:val="00C650CD"/>
    <w:rsid w:val="00C71AB1"/>
    <w:rsid w:val="00C856F1"/>
    <w:rsid w:val="00CC2ED7"/>
    <w:rsid w:val="00CE06CD"/>
    <w:rsid w:val="00CE2BBA"/>
    <w:rsid w:val="00CE4EA6"/>
    <w:rsid w:val="00D05E51"/>
    <w:rsid w:val="00D73B11"/>
    <w:rsid w:val="00DB0BAD"/>
    <w:rsid w:val="00DB4A60"/>
    <w:rsid w:val="00DD5E40"/>
    <w:rsid w:val="00E008BF"/>
    <w:rsid w:val="00E047AB"/>
    <w:rsid w:val="00E44135"/>
    <w:rsid w:val="00E4492C"/>
    <w:rsid w:val="00E63927"/>
    <w:rsid w:val="00EC4056"/>
    <w:rsid w:val="00F1627E"/>
    <w:rsid w:val="00F43990"/>
    <w:rsid w:val="00F71FA8"/>
    <w:rsid w:val="00F83539"/>
    <w:rsid w:val="00F950A7"/>
    <w:rsid w:val="00FB1593"/>
    <w:rsid w:val="00FD3571"/>
    <w:rsid w:val="00FE59EC"/>
    <w:rsid w:val="00FF35A5"/>
    <w:rsid w:val="39024545"/>
    <w:rsid w:val="5E292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844823"/>
  <w15:docId w15:val="{3D9DC89F-C7B3-4716-A751-05D97D02E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szCs w:val="22"/>
    </w:rPr>
  </w:style>
  <w:style w:type="paragraph" w:styleId="1">
    <w:name w:val="heading 1"/>
    <w:basedOn w:val="a1"/>
    <w:next w:val="a1"/>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unhideWhenUsed/>
    <w:qFormat/>
    <w:pPr>
      <w:tabs>
        <w:tab w:val="center" w:pos="4153"/>
        <w:tab w:val="right" w:pos="8306"/>
      </w:tabs>
      <w:snapToGrid w:val="0"/>
      <w:jc w:val="left"/>
    </w:pPr>
    <w:rPr>
      <w:sz w:val="18"/>
      <w:szCs w:val="18"/>
    </w:rPr>
  </w:style>
  <w:style w:type="paragraph" w:styleId="a7">
    <w:name w:val="header"/>
    <w:basedOn w:val="a1"/>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2"/>
    <w:link w:val="a7"/>
    <w:uiPriority w:val="99"/>
    <w:qFormat/>
    <w:rPr>
      <w:sz w:val="18"/>
      <w:szCs w:val="18"/>
    </w:rPr>
  </w:style>
  <w:style w:type="character" w:customStyle="1" w:styleId="a6">
    <w:name w:val="页脚 字符"/>
    <w:basedOn w:val="a2"/>
    <w:link w:val="a5"/>
    <w:uiPriority w:val="99"/>
    <w:qFormat/>
    <w:rPr>
      <w:sz w:val="18"/>
      <w:szCs w:val="18"/>
    </w:rPr>
  </w:style>
  <w:style w:type="paragraph" w:styleId="a9">
    <w:name w:val="List Paragraph"/>
    <w:basedOn w:val="a1"/>
    <w:uiPriority w:val="34"/>
    <w:qFormat/>
    <w:pPr>
      <w:ind w:firstLine="420"/>
    </w:pPr>
  </w:style>
  <w:style w:type="character" w:customStyle="1" w:styleId="10">
    <w:name w:val="标题 1 字符"/>
    <w:basedOn w:val="a2"/>
    <w:link w:val="1"/>
    <w:uiPriority w:val="9"/>
    <w:qFormat/>
    <w:rPr>
      <w:rFonts w:ascii="宋体" w:eastAsia="宋体" w:hAnsi="宋体" w:cs="宋体"/>
      <w:b/>
      <w:bCs/>
      <w:kern w:val="36"/>
      <w:sz w:val="48"/>
      <w:szCs w:val="48"/>
    </w:rPr>
  </w:style>
  <w:style w:type="paragraph" w:customStyle="1" w:styleId="aa">
    <w:name w:val="段"/>
    <w:link w:val="Char"/>
    <w:qFormat/>
    <w:pPr>
      <w:autoSpaceDE w:val="0"/>
      <w:autoSpaceDN w:val="0"/>
      <w:ind w:firstLineChars="200" w:firstLine="200"/>
      <w:jc w:val="both"/>
    </w:pPr>
    <w:rPr>
      <w:rFonts w:ascii="宋体" w:eastAsia="宋体" w:hAnsi="Times New Roman" w:cs="Times New Roman"/>
      <w:sz w:val="21"/>
    </w:rPr>
  </w:style>
  <w:style w:type="paragraph" w:customStyle="1" w:styleId="a">
    <w:name w:val="章标题"/>
    <w:next w:val="aa"/>
    <w:qFormat/>
    <w:pPr>
      <w:numPr>
        <w:ilvl w:val="1"/>
        <w:numId w:val="1"/>
      </w:numPr>
      <w:spacing w:beforeLines="50" w:before="156" w:afterLines="50" w:after="156"/>
      <w:jc w:val="both"/>
      <w:outlineLvl w:val="1"/>
    </w:pPr>
    <w:rPr>
      <w:rFonts w:ascii="黑体" w:eastAsia="黑体"/>
      <w:sz w:val="21"/>
    </w:rPr>
  </w:style>
  <w:style w:type="paragraph" w:customStyle="1" w:styleId="a0">
    <w:name w:val="一级条标题"/>
    <w:basedOn w:val="a"/>
    <w:next w:val="aa"/>
    <w:qFormat/>
    <w:pPr>
      <w:numPr>
        <w:ilvl w:val="2"/>
      </w:numPr>
      <w:spacing w:beforeLines="0" w:before="0" w:afterLines="0" w:after="0"/>
      <w:outlineLvl w:val="2"/>
    </w:pPr>
  </w:style>
  <w:style w:type="character" w:customStyle="1" w:styleId="longtext">
    <w:name w:val="long_text"/>
    <w:qFormat/>
  </w:style>
  <w:style w:type="paragraph" w:customStyle="1" w:styleId="ISOSecretObservations">
    <w:name w:val="ISO_Secret_Observations"/>
    <w:basedOn w:val="a1"/>
    <w:qFormat/>
    <w:pPr>
      <w:widowControl/>
      <w:spacing w:before="210" w:line="210" w:lineRule="exact"/>
      <w:jc w:val="left"/>
    </w:pPr>
    <w:rPr>
      <w:rFonts w:ascii="Arial" w:eastAsia="宋体" w:hAnsi="Arial" w:cs="Times New Roman"/>
      <w:kern w:val="0"/>
      <w:sz w:val="18"/>
      <w:szCs w:val="20"/>
      <w:lang w:val="en-GB" w:eastAsia="en-US"/>
    </w:rPr>
  </w:style>
  <w:style w:type="paragraph" w:customStyle="1" w:styleId="ISOChange">
    <w:name w:val="ISO_Change"/>
    <w:basedOn w:val="a1"/>
    <w:qFormat/>
    <w:pPr>
      <w:widowControl/>
      <w:spacing w:before="210" w:line="210" w:lineRule="exact"/>
      <w:jc w:val="left"/>
    </w:pPr>
    <w:rPr>
      <w:rFonts w:ascii="Arial" w:eastAsia="宋体" w:hAnsi="Arial" w:cs="Times New Roman"/>
      <w:kern w:val="0"/>
      <w:sz w:val="18"/>
      <w:szCs w:val="20"/>
      <w:lang w:val="en-GB" w:eastAsia="en-US"/>
    </w:rPr>
  </w:style>
  <w:style w:type="paragraph" w:customStyle="1" w:styleId="ISOClause">
    <w:name w:val="ISO_Clause"/>
    <w:basedOn w:val="a1"/>
    <w:qFormat/>
    <w:pPr>
      <w:widowControl/>
      <w:spacing w:before="210" w:line="210" w:lineRule="exact"/>
      <w:jc w:val="left"/>
    </w:pPr>
    <w:rPr>
      <w:rFonts w:ascii="Arial" w:eastAsia="宋体" w:hAnsi="Arial" w:cs="Times New Roman"/>
      <w:kern w:val="0"/>
      <w:sz w:val="18"/>
      <w:szCs w:val="20"/>
      <w:lang w:val="en-GB" w:eastAsia="en-US"/>
    </w:rPr>
  </w:style>
  <w:style w:type="paragraph" w:customStyle="1" w:styleId="ISOParagraph">
    <w:name w:val="ISO_Paragraph"/>
    <w:basedOn w:val="a1"/>
    <w:qFormat/>
    <w:pPr>
      <w:widowControl/>
      <w:spacing w:before="210" w:line="210" w:lineRule="exact"/>
      <w:jc w:val="left"/>
    </w:pPr>
    <w:rPr>
      <w:rFonts w:ascii="Arial" w:eastAsia="宋体" w:hAnsi="Arial" w:cs="Times New Roman"/>
      <w:kern w:val="0"/>
      <w:sz w:val="18"/>
      <w:szCs w:val="20"/>
      <w:lang w:val="en-GB" w:eastAsia="en-US"/>
    </w:rPr>
  </w:style>
  <w:style w:type="paragraph" w:customStyle="1" w:styleId="ISOCommType">
    <w:name w:val="ISO_Comm_Type"/>
    <w:basedOn w:val="a1"/>
    <w:qFormat/>
    <w:pPr>
      <w:widowControl/>
      <w:spacing w:before="210" w:line="210" w:lineRule="exact"/>
      <w:jc w:val="left"/>
    </w:pPr>
    <w:rPr>
      <w:rFonts w:ascii="Arial" w:eastAsia="宋体" w:hAnsi="Arial" w:cs="Times New Roman"/>
      <w:kern w:val="0"/>
      <w:sz w:val="18"/>
      <w:szCs w:val="20"/>
      <w:lang w:val="en-GB" w:eastAsia="en-US"/>
    </w:rPr>
  </w:style>
  <w:style w:type="paragraph" w:customStyle="1" w:styleId="ISOComments">
    <w:name w:val="ISO_Comments"/>
    <w:basedOn w:val="a1"/>
    <w:qFormat/>
    <w:pPr>
      <w:widowControl/>
      <w:spacing w:before="210" w:line="210" w:lineRule="exact"/>
      <w:jc w:val="left"/>
    </w:pPr>
    <w:rPr>
      <w:rFonts w:ascii="Arial" w:eastAsia="宋体" w:hAnsi="Arial" w:cs="Times New Roman"/>
      <w:kern w:val="0"/>
      <w:sz w:val="18"/>
      <w:szCs w:val="20"/>
      <w:lang w:val="en-GB" w:eastAsia="en-US"/>
    </w:rPr>
  </w:style>
  <w:style w:type="character" w:customStyle="1" w:styleId="apple-converted-space">
    <w:name w:val="apple-converted-space"/>
    <w:basedOn w:val="a2"/>
    <w:qFormat/>
  </w:style>
  <w:style w:type="paragraph" w:customStyle="1" w:styleId="ab">
    <w:name w:val="前言、引言标题"/>
    <w:next w:val="a1"/>
    <w:qFormat/>
    <w:pPr>
      <w:shd w:val="clear" w:color="FFFFFF" w:fill="FFFFFF"/>
      <w:spacing w:before="640" w:after="560"/>
      <w:jc w:val="center"/>
      <w:outlineLvl w:val="0"/>
    </w:pPr>
    <w:rPr>
      <w:rFonts w:ascii="黑体" w:eastAsia="黑体" w:hAnsi="Times New Roman" w:cs="Times New Roman"/>
      <w:sz w:val="32"/>
    </w:rPr>
  </w:style>
  <w:style w:type="character" w:customStyle="1" w:styleId="Char">
    <w:name w:val="段 Char"/>
    <w:link w:val="aa"/>
    <w:qFormat/>
    <w:rPr>
      <w:rFonts w:ascii="宋体" w:eastAsia="宋体" w:hAnsi="Times New Roman" w:cs="Times New Roman"/>
      <w:kern w:val="0"/>
      <w:szCs w:val="20"/>
    </w:rPr>
  </w:style>
  <w:style w:type="character" w:styleId="ac">
    <w:name w:val="annotation reference"/>
    <w:basedOn w:val="a2"/>
    <w:uiPriority w:val="99"/>
    <w:semiHidden/>
    <w:unhideWhenUsed/>
    <w:rsid w:val="00CE4EA6"/>
    <w:rPr>
      <w:sz w:val="21"/>
      <w:szCs w:val="21"/>
    </w:rPr>
  </w:style>
  <w:style w:type="paragraph" w:styleId="ad">
    <w:name w:val="annotation text"/>
    <w:basedOn w:val="a1"/>
    <w:link w:val="ae"/>
    <w:uiPriority w:val="99"/>
    <w:unhideWhenUsed/>
    <w:rsid w:val="00CE4EA6"/>
    <w:pPr>
      <w:jc w:val="left"/>
    </w:pPr>
  </w:style>
  <w:style w:type="character" w:customStyle="1" w:styleId="ae">
    <w:name w:val="批注文字 字符"/>
    <w:basedOn w:val="a2"/>
    <w:link w:val="ad"/>
    <w:uiPriority w:val="99"/>
    <w:rsid w:val="00CE4EA6"/>
    <w:rPr>
      <w:kern w:val="2"/>
      <w:sz w:val="21"/>
      <w:szCs w:val="22"/>
    </w:rPr>
  </w:style>
  <w:style w:type="paragraph" w:styleId="af">
    <w:name w:val="annotation subject"/>
    <w:basedOn w:val="ad"/>
    <w:next w:val="ad"/>
    <w:link w:val="af0"/>
    <w:uiPriority w:val="99"/>
    <w:semiHidden/>
    <w:unhideWhenUsed/>
    <w:rsid w:val="00CE4EA6"/>
    <w:rPr>
      <w:b/>
      <w:bCs/>
    </w:rPr>
  </w:style>
  <w:style w:type="character" w:customStyle="1" w:styleId="af0">
    <w:name w:val="批注主题 字符"/>
    <w:basedOn w:val="ae"/>
    <w:link w:val="af"/>
    <w:uiPriority w:val="99"/>
    <w:semiHidden/>
    <w:rsid w:val="00CE4EA6"/>
    <w:rPr>
      <w:b/>
      <w:bCs/>
      <w:kern w:val="2"/>
      <w:sz w:val="21"/>
      <w:szCs w:val="22"/>
    </w:rPr>
  </w:style>
  <w:style w:type="paragraph" w:styleId="af1">
    <w:name w:val="Balloon Text"/>
    <w:basedOn w:val="a1"/>
    <w:link w:val="af2"/>
    <w:uiPriority w:val="99"/>
    <w:semiHidden/>
    <w:unhideWhenUsed/>
    <w:rsid w:val="008A0AA6"/>
    <w:rPr>
      <w:sz w:val="18"/>
      <w:szCs w:val="18"/>
    </w:rPr>
  </w:style>
  <w:style w:type="character" w:customStyle="1" w:styleId="af2">
    <w:name w:val="批注框文本 字符"/>
    <w:basedOn w:val="a2"/>
    <w:link w:val="af1"/>
    <w:uiPriority w:val="99"/>
    <w:semiHidden/>
    <w:rsid w:val="008A0AA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255375">
      <w:bodyDiv w:val="1"/>
      <w:marLeft w:val="0"/>
      <w:marRight w:val="0"/>
      <w:marTop w:val="0"/>
      <w:marBottom w:val="0"/>
      <w:divBdr>
        <w:top w:val="none" w:sz="0" w:space="0" w:color="auto"/>
        <w:left w:val="none" w:sz="0" w:space="0" w:color="auto"/>
        <w:bottom w:val="none" w:sz="0" w:space="0" w:color="auto"/>
        <w:right w:val="none" w:sz="0" w:space="0" w:color="auto"/>
      </w:divBdr>
    </w:div>
    <w:div w:id="2058776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853</Words>
  <Characters>4864</Characters>
  <Application>Microsoft Office Word</Application>
  <DocSecurity>0</DocSecurity>
  <Lines>40</Lines>
  <Paragraphs>11</Paragraphs>
  <ScaleCrop>false</ScaleCrop>
  <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GNIS-804</dc:creator>
  <cp:keywords/>
  <dc:description/>
  <cp:lastModifiedBy>王金凤</cp:lastModifiedBy>
  <cp:revision>2</cp:revision>
  <cp:lastPrinted>2020-10-18T07:43:00Z</cp:lastPrinted>
  <dcterms:created xsi:type="dcterms:W3CDTF">2025-04-03T02:00:00Z</dcterms:created>
  <dcterms:modified xsi:type="dcterms:W3CDTF">2025-04-03T02:00:00Z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2CBD787799D84C4D9DC8A1A190963A31_12</vt:lpwstr>
  </property>
</Properties>
</file>