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4745">
      <w:pPr>
        <w:pStyle w:val="75"/>
        <w:rPr>
          <w:rFonts w:ascii="黑体"/>
        </w:rPr>
      </w:pPr>
      <w:bookmarkStart w:id="0" w:name="SectionMark0"/>
      <w:r>
        <w:rPr>
          <w:color w:val="000000"/>
        </w:rPr>
        <mc:AlternateContent>
          <mc:Choice Requires="wps">
            <w:drawing>
              <wp:anchor distT="0" distB="0" distL="114300" distR="114300" simplePos="0" relativeHeight="251666432" behindDoc="0" locked="1" layoutInCell="1" allowOverlap="1">
                <wp:simplePos x="0" y="0"/>
                <wp:positionH relativeFrom="leftMargin">
                  <wp:posOffset>899795</wp:posOffset>
                </wp:positionH>
                <wp:positionV relativeFrom="topMargin">
                  <wp:posOffset>360045</wp:posOffset>
                </wp:positionV>
                <wp:extent cx="2540000" cy="657860"/>
                <wp:effectExtent l="0" t="0" r="12700" b="8890"/>
                <wp:wrapNone/>
                <wp:docPr id="7"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a:effectLst/>
                      </wps:spPr>
                      <wps:txbx>
                        <w:txbxContent>
                          <w:p w14:paraId="40B87638">
                            <w:pPr>
                              <w:pStyle w:val="101"/>
                              <w:rPr>
                                <w:rFonts w:ascii="黑体"/>
                                <w:szCs w:val="21"/>
                              </w:rPr>
                            </w:pPr>
                            <w:r>
                              <w:rPr>
                                <w:rFonts w:hint="eastAsia" w:ascii="黑体"/>
                                <w:szCs w:val="21"/>
                              </w:rPr>
                              <w:t>ICS 77.120.30</w:t>
                            </w:r>
                          </w:p>
                          <w:p w14:paraId="013B9197">
                            <w:pPr>
                              <w:pStyle w:val="101"/>
                              <w:rPr>
                                <w:rFonts w:ascii="黑体"/>
                                <w:szCs w:val="21"/>
                              </w:rPr>
                            </w:pPr>
                            <w:r>
                              <w:rPr>
                                <w:rFonts w:hint="eastAsia" w:ascii="黑体"/>
                                <w:szCs w:val="21"/>
                              </w:rPr>
                              <w:t>CCS H</w:t>
                            </w:r>
                            <w:r>
                              <w:rPr>
                                <w:rFonts w:hint="eastAsia" w:ascii="黑体"/>
                                <w:szCs w:val="21"/>
                                <w:lang w:val="en-US" w:eastAsia="zh-CN"/>
                              </w:rPr>
                              <w:t xml:space="preserve"> </w:t>
                            </w:r>
                            <w:r>
                              <w:rPr>
                                <w:rFonts w:hint="eastAsia" w:ascii="黑体"/>
                                <w:szCs w:val="21"/>
                              </w:rPr>
                              <w:t>13</w:t>
                            </w:r>
                          </w:p>
                          <w:p w14:paraId="2EA594D1">
                            <w:pPr>
                              <w:ind w:left="210" w:leftChars="100"/>
                            </w:pPr>
                          </w:p>
                        </w:txbxContent>
                      </wps:txbx>
                      <wps:bodyPr wrap="square" lIns="0" tIns="0" rIns="0" bIns="0" upright="1"/>
                    </wps:wsp>
                  </a:graphicData>
                </a:graphic>
              </wp:anchor>
            </w:drawing>
          </mc:Choice>
          <mc:Fallback>
            <w:pict>
              <v:shape id="fmFrame1" o:spid="_x0000_s1026" o:spt="202" type="#_x0000_t202" style="position:absolute;left:0pt;margin-left:70.85pt;margin-top:28.35pt;height:51.8pt;width:200pt;mso-position-horizontal-relative:page;mso-position-vertical-relative:page;z-index:251666432;mso-width-relative:page;mso-height-relative:page;" fillcolor="#FFFFFF" filled="t" stroked="f" coordsize="21600,21600" o:gfxdata="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&#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U36/XAAAACgEAAA8AAAAAAAAAAQAgAAAAIgAAAGRy&#10;cy9kb3ducmV2LnhtbFBLAQIUABQAAAAIAIdO4kCcQz/FzQEAALQDAAAOAAAAAAAAAAEAIAAAACYB&#10;AABkcnMvZTJvRG9jLnhtbFBLBQYAAAAABgAGAFkBAABlBQAAAAA=&#10;">
                <v:fill on="t" focussize="0,0"/>
                <v:stroke on="f"/>
                <v:imagedata o:title=""/>
                <o:lock v:ext="edit" aspectratio="f"/>
                <v:textbox inset="0mm,0mm,0mm,0mm">
                  <w:txbxContent>
                    <w:p w14:paraId="40B87638">
                      <w:pPr>
                        <w:pStyle w:val="101"/>
                        <w:rPr>
                          <w:rFonts w:ascii="黑体"/>
                          <w:szCs w:val="21"/>
                        </w:rPr>
                      </w:pPr>
                      <w:r>
                        <w:rPr>
                          <w:rFonts w:hint="eastAsia" w:ascii="黑体"/>
                          <w:szCs w:val="21"/>
                        </w:rPr>
                        <w:t>ICS 77.120.30</w:t>
                      </w:r>
                    </w:p>
                    <w:p w14:paraId="013B9197">
                      <w:pPr>
                        <w:pStyle w:val="101"/>
                        <w:rPr>
                          <w:rFonts w:ascii="黑体"/>
                          <w:szCs w:val="21"/>
                        </w:rPr>
                      </w:pPr>
                      <w:r>
                        <w:rPr>
                          <w:rFonts w:hint="eastAsia" w:ascii="黑体"/>
                          <w:szCs w:val="21"/>
                        </w:rPr>
                        <w:t>CCS H</w:t>
                      </w:r>
                      <w:r>
                        <w:rPr>
                          <w:rFonts w:hint="eastAsia" w:ascii="黑体"/>
                          <w:szCs w:val="21"/>
                          <w:lang w:val="en-US" w:eastAsia="zh-CN"/>
                        </w:rPr>
                        <w:t xml:space="preserve"> </w:t>
                      </w:r>
                      <w:r>
                        <w:rPr>
                          <w:rFonts w:hint="eastAsia" w:ascii="黑体"/>
                          <w:szCs w:val="21"/>
                        </w:rPr>
                        <w:t>13</w:t>
                      </w:r>
                    </w:p>
                    <w:p w14:paraId="2EA594D1">
                      <w:pPr>
                        <w:ind w:left="210" w:leftChars="100"/>
                      </w:pPr>
                    </w:p>
                  </w:txbxContent>
                </v:textbox>
                <w10:anchorlock/>
              </v:shape>
            </w:pict>
          </mc:Fallback>
        </mc:AlternateContent>
      </w:r>
      <w:r>
        <w:rPr>
          <w:rFonts w:ascii="黑体"/>
        </w:rPr>
        <mc:AlternateContent>
          <mc:Choice Requires="wps">
            <w:drawing>
              <wp:anchor distT="0" distB="0" distL="114300" distR="114300" simplePos="0" relativeHeight="251663360" behindDoc="0" locked="1" layoutInCell="1" allowOverlap="1">
                <wp:simplePos x="0" y="0"/>
                <wp:positionH relativeFrom="margin">
                  <wp:posOffset>-238125</wp:posOffset>
                </wp:positionH>
                <wp:positionV relativeFrom="margin">
                  <wp:posOffset>7089775</wp:posOffset>
                </wp:positionV>
                <wp:extent cx="1756410" cy="312420"/>
                <wp:effectExtent l="0" t="0" r="15240" b="11430"/>
                <wp:wrapNone/>
                <wp:docPr id="24" name="fmFrame5"/>
                <wp:cNvGraphicFramePr/>
                <a:graphic xmlns:a="http://schemas.openxmlformats.org/drawingml/2006/main">
                  <a:graphicData uri="http://schemas.microsoft.com/office/word/2010/wordprocessingShape">
                    <wps:wsp>
                      <wps:cNvSpPr txBox="1">
                        <a:spLocks noChangeArrowheads="1"/>
                      </wps:cNvSpPr>
                      <wps:spPr bwMode="auto">
                        <a:xfrm>
                          <a:off x="737235" y="8936990"/>
                          <a:ext cx="1756410" cy="312420"/>
                        </a:xfrm>
                        <a:prstGeom prst="rect">
                          <a:avLst/>
                        </a:prstGeom>
                        <a:solidFill>
                          <a:srgbClr val="FFFFFF"/>
                        </a:solidFill>
                        <a:ln>
                          <a:noFill/>
                        </a:ln>
                        <a:effectLst/>
                      </wps:spPr>
                      <wps:txbx>
                        <w:txbxContent>
                          <w:p w14:paraId="045D5A92">
                            <w:pPr>
                              <w:pStyle w:val="66"/>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8.75pt;margin-top:558.25pt;height:24.6pt;width:138.3pt;mso-position-horizontal-relative:margin;mso-position-vertical-relative:margin;z-index:251663360;mso-width-relative:page;mso-height-relative:page;" fillcolor="#FFFFFF" filled="t" stroked="f" coordsize="21600,21600" o:gfxdata="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wPaX2wAAAA0BAAAPAAAAAAAAAAEAIAAAACIAAABkcnMvZG93bnJldi54bWxQSwECFAAUAAAACACH&#10;TuJAHlm6JiECAABFBAAADgAAAAAAAAABACAAAAAqAQAAZHJzL2Uyb0RvYy54bWxQSwUGAAAAAAYA&#10;BgBZAQAAvQUAAAAA&#10;">
                <v:fill on="t" focussize="0,0"/>
                <v:stroke on="f"/>
                <v:imagedata o:title=""/>
                <o:lock v:ext="edit" aspectratio="f"/>
                <v:textbox inset="0mm,0mm,0mm,0mm">
                  <w:txbxContent>
                    <w:p w14:paraId="045D5A92">
                      <w:pPr>
                        <w:pStyle w:val="66"/>
                        <w:rPr>
                          <w:rFonts w:hint="eastAsia" w:ascii="黑体" w:hAnsi="黑体" w:cs="黑体"/>
                        </w:rPr>
                      </w:pPr>
                      <w:r>
                        <w:rPr>
                          <w:rFonts w:hint="eastAsia" w:ascii="黑体" w:hAnsi="黑体" w:cs="黑体"/>
                        </w:rPr>
                        <w:t>202×-××-×</w:t>
                      </w:r>
                      <w:r>
                        <w:rPr>
                          <w:rFonts w:hint="eastAsia"/>
                        </w:rPr>
                        <w:t>×</w:t>
                      </w:r>
                      <w:r>
                        <w:rPr>
                          <w:rFonts w:hint="eastAsia" w:ascii="黑体" w:hAnsi="黑体" w:cs="黑体"/>
                        </w:rPr>
                        <w:t>发布</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-979170</wp:posOffset>
                </wp:positionH>
                <wp:positionV relativeFrom="topMargin">
                  <wp:posOffset>4140200</wp:posOffset>
                </wp:positionV>
                <wp:extent cx="6997065" cy="3542030"/>
                <wp:effectExtent l="0" t="0" r="13335" b="1270"/>
                <wp:wrapNone/>
                <wp:docPr id="4" name="fmFrame4"/>
                <wp:cNvGraphicFramePr/>
                <a:graphic xmlns:a="http://schemas.openxmlformats.org/drawingml/2006/main">
                  <a:graphicData uri="http://schemas.microsoft.com/office/word/2010/wordprocessingShape">
                    <wps:wsp>
                      <wps:cNvSpPr txBox="1"/>
                      <wps:spPr>
                        <a:xfrm>
                          <a:off x="0" y="0"/>
                          <a:ext cx="6997065" cy="3542030"/>
                        </a:xfrm>
                        <a:prstGeom prst="rect">
                          <a:avLst/>
                        </a:prstGeom>
                        <a:solidFill>
                          <a:srgbClr val="FFFFFF"/>
                        </a:solidFill>
                        <a:ln>
                          <a:noFill/>
                        </a:ln>
                      </wps:spPr>
                      <wps:txbx>
                        <w:txbxContent>
                          <w:p w14:paraId="130B2535">
                            <w:pPr>
                              <w:spacing w:after="156" w:afterLines="50" w:line="240" w:lineRule="atLeast"/>
                              <w:ind w:right="-649" w:rightChars="-309" w:firstLine="3640" w:firstLineChars="700"/>
                              <w:rPr>
                                <w:rFonts w:ascii="黑体" w:eastAsia="黑体"/>
                                <w:bCs/>
                                <w:color w:val="000000"/>
                                <w:sz w:val="52"/>
                                <w:szCs w:val="52"/>
                              </w:rPr>
                            </w:pPr>
                            <w:r>
                              <w:rPr>
                                <w:rFonts w:hint="eastAsia" w:ascii="黑体" w:eastAsia="黑体"/>
                                <w:bCs/>
                                <w:color w:val="000000"/>
                                <w:sz w:val="52"/>
                                <w:szCs w:val="52"/>
                              </w:rPr>
                              <w:t>铜精矿化学分析方法</w:t>
                            </w:r>
                          </w:p>
                          <w:p w14:paraId="769B0E00">
                            <w:pPr>
                              <w:spacing w:before="156" w:beforeLines="50" w:after="156" w:afterLines="50" w:line="480" w:lineRule="auto"/>
                              <w:ind w:right="-649" w:rightChars="-309"/>
                              <w:jc w:val="center"/>
                              <w:rPr>
                                <w:rFonts w:ascii="黑体" w:eastAsia="黑体"/>
                                <w:bCs/>
                                <w:color w:val="000000"/>
                                <w:sz w:val="52"/>
                                <w:szCs w:val="52"/>
                              </w:rPr>
                            </w:pPr>
                            <w:r>
                              <w:rPr>
                                <w:rFonts w:hint="eastAsia" w:ascii="黑体" w:eastAsia="黑体"/>
                                <w:bCs/>
                                <w:color w:val="000000"/>
                                <w:sz w:val="52"/>
                                <w:szCs w:val="52"/>
                              </w:rPr>
                              <w:t>第9部分：砷、锑和铋含量的测定</w:t>
                            </w:r>
                          </w:p>
                          <w:p w14:paraId="534CB50D">
                            <w:pPr>
                              <w:ind w:left="479" w:leftChars="228" w:firstLine="313" w:firstLineChars="112"/>
                              <w:jc w:val="center"/>
                              <w:rPr>
                                <w:rFonts w:hint="eastAsia" w:ascii="黑体" w:hAnsi="黑体" w:eastAsia="黑体" w:cs="黑体"/>
                                <w:kern w:val="0"/>
                                <w:sz w:val="28"/>
                                <w:szCs w:val="28"/>
                              </w:rPr>
                            </w:pPr>
                            <w:r>
                              <w:rPr>
                                <w:rFonts w:hint="eastAsia" w:ascii="黑体" w:hAnsi="黑体" w:eastAsia="黑体" w:cs="黑体"/>
                                <w:kern w:val="0"/>
                                <w:sz w:val="28"/>
                                <w:szCs w:val="28"/>
                              </w:rPr>
                              <w:t>Methods for chemical analysis of copper concentrates—</w:t>
                            </w:r>
                          </w:p>
                          <w:p w14:paraId="2BA31361">
                            <w:pPr>
                              <w:ind w:left="479" w:leftChars="228" w:firstLine="313" w:firstLineChars="112"/>
                              <w:jc w:val="center"/>
                              <w:rPr>
                                <w:rFonts w:hint="eastAsia" w:ascii="黑体" w:hAnsi="黑体" w:eastAsia="黑体" w:cs="黑体"/>
                                <w:kern w:val="0"/>
                                <w:sz w:val="28"/>
                                <w:szCs w:val="28"/>
                              </w:rPr>
                            </w:pPr>
                            <w:r>
                              <w:rPr>
                                <w:rFonts w:hint="eastAsia" w:ascii="黑体" w:hAnsi="黑体" w:eastAsia="黑体" w:cs="黑体"/>
                                <w:kern w:val="0"/>
                                <w:sz w:val="28"/>
                                <w:szCs w:val="28"/>
                              </w:rPr>
                              <w:t>Part 9：Determination of arsenic</w:t>
                            </w:r>
                            <w:r>
                              <w:rPr>
                                <w:rFonts w:hint="eastAsia" w:ascii="黑体" w:hAnsi="黑体" w:eastAsia="黑体" w:cs="黑体"/>
                                <w:kern w:val="0"/>
                                <w:sz w:val="28"/>
                                <w:szCs w:val="28"/>
                                <w:lang w:val="en-US" w:eastAsia="zh-CN"/>
                              </w:rPr>
                              <w:t>,</w:t>
                            </w:r>
                            <w:r>
                              <w:rPr>
                                <w:rFonts w:hint="eastAsia" w:ascii="黑体" w:hAnsi="黑体" w:eastAsia="黑体" w:cs="黑体"/>
                                <w:kern w:val="0"/>
                                <w:sz w:val="28"/>
                                <w:szCs w:val="28"/>
                              </w:rPr>
                              <w:t>antimony</w:t>
                            </w:r>
                            <w:r>
                              <w:rPr>
                                <w:rFonts w:hint="eastAsia" w:ascii="黑体" w:hAnsi="黑体" w:eastAsia="黑体" w:cs="黑体"/>
                                <w:kern w:val="0"/>
                                <w:sz w:val="28"/>
                                <w:szCs w:val="28"/>
                                <w:lang w:val="en-US" w:eastAsia="zh-CN"/>
                              </w:rPr>
                              <w:t xml:space="preserve"> and </w:t>
                            </w:r>
                            <w:r>
                              <w:rPr>
                                <w:rFonts w:hint="eastAsia" w:ascii="黑体" w:hAnsi="黑体" w:eastAsia="黑体" w:cs="黑体"/>
                                <w:kern w:val="0"/>
                                <w:sz w:val="28"/>
                                <w:szCs w:val="28"/>
                              </w:rPr>
                              <w:t xml:space="preserve">bismuth contents </w:t>
                            </w:r>
                          </w:p>
                          <w:p w14:paraId="6E67589D">
                            <w:pPr>
                              <w:ind w:left="479" w:leftChars="228" w:firstLine="313" w:firstLineChars="112"/>
                              <w:jc w:val="center"/>
                              <w:rPr>
                                <w:rFonts w:hint="eastAsia" w:ascii="黑体" w:hAnsi="黑体" w:eastAsia="黑体" w:cs="黑体"/>
                                <w:b/>
                                <w:sz w:val="28"/>
                                <w:szCs w:val="28"/>
                              </w:rPr>
                            </w:pPr>
                            <w:r>
                              <w:rPr>
                                <w:rFonts w:hint="eastAsia" w:ascii="黑体" w:hAnsi="黑体" w:eastAsia="黑体" w:cs="黑体"/>
                                <w:bCs/>
                                <w:sz w:val="28"/>
                                <w:szCs w:val="28"/>
                              </w:rPr>
                              <w:t>（送审稿）</w:t>
                            </w:r>
                          </w:p>
                          <w:p w14:paraId="5647DE6D"/>
                        </w:txbxContent>
                      </wps:txbx>
                      <wps:bodyPr wrap="square" lIns="0" tIns="0" rIns="0" bIns="0" upright="1"/>
                    </wps:wsp>
                  </a:graphicData>
                </a:graphic>
              </wp:anchor>
            </w:drawing>
          </mc:Choice>
          <mc:Fallback>
            <w:pict>
              <v:shape id="fmFrame4" o:spid="_x0000_s1026" o:spt="202" type="#_x0000_t202" style="position:absolute;left:0pt;margin-left:12.9pt;margin-top:326pt;height:278.9pt;width:550.95pt;mso-position-horizontal-relative:page;mso-position-vertical-relative:page;z-index:251662336;mso-width-relative:page;mso-height-relative:page;" fillcolor="#FFFFFF" filled="t" stroked="f" coordsize="21600,21600" o:gfxdata="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nIoMDbAAAADQEAAA8AAAAAAAAAAQAgAAAAIgAA&#10;AGRycy9kb3ducmV2LnhtbFBLAQIUABQAAAAIAIdO4kB7Wo//zAEAAKcDAAAOAAAAAAAAAAEAIAAA&#10;ACoBAABkcnMvZTJvRG9jLnhtbFBLBQYAAAAABgAGAFkBAABoBQAAAAA=&#10;">
                <v:fill on="t" focussize="0,0"/>
                <v:stroke on="f"/>
                <v:imagedata o:title=""/>
                <o:lock v:ext="edit" aspectratio="f"/>
                <v:textbox inset="0mm,0mm,0mm,0mm">
                  <w:txbxContent>
                    <w:p w14:paraId="130B2535">
                      <w:pPr>
                        <w:spacing w:after="156" w:afterLines="50" w:line="240" w:lineRule="atLeast"/>
                        <w:ind w:right="-649" w:rightChars="-309" w:firstLine="3640" w:firstLineChars="700"/>
                        <w:rPr>
                          <w:rFonts w:ascii="黑体" w:eastAsia="黑体"/>
                          <w:bCs/>
                          <w:color w:val="000000"/>
                          <w:sz w:val="52"/>
                          <w:szCs w:val="52"/>
                        </w:rPr>
                      </w:pPr>
                      <w:r>
                        <w:rPr>
                          <w:rFonts w:hint="eastAsia" w:ascii="黑体" w:eastAsia="黑体"/>
                          <w:bCs/>
                          <w:color w:val="000000"/>
                          <w:sz w:val="52"/>
                          <w:szCs w:val="52"/>
                        </w:rPr>
                        <w:t>铜精矿化学分析方法</w:t>
                      </w:r>
                    </w:p>
                    <w:p w14:paraId="769B0E00">
                      <w:pPr>
                        <w:spacing w:before="156" w:beforeLines="50" w:after="156" w:afterLines="50" w:line="480" w:lineRule="auto"/>
                        <w:ind w:right="-649" w:rightChars="-309"/>
                        <w:jc w:val="center"/>
                        <w:rPr>
                          <w:rFonts w:ascii="黑体" w:eastAsia="黑体"/>
                          <w:bCs/>
                          <w:color w:val="000000"/>
                          <w:sz w:val="52"/>
                          <w:szCs w:val="52"/>
                        </w:rPr>
                      </w:pPr>
                      <w:r>
                        <w:rPr>
                          <w:rFonts w:hint="eastAsia" w:ascii="黑体" w:eastAsia="黑体"/>
                          <w:bCs/>
                          <w:color w:val="000000"/>
                          <w:sz w:val="52"/>
                          <w:szCs w:val="52"/>
                        </w:rPr>
                        <w:t>第9部分：砷、锑和铋含量的测定</w:t>
                      </w:r>
                    </w:p>
                    <w:p w14:paraId="534CB50D">
                      <w:pPr>
                        <w:ind w:left="479" w:leftChars="228" w:firstLine="313" w:firstLineChars="112"/>
                        <w:jc w:val="center"/>
                        <w:rPr>
                          <w:rFonts w:hint="eastAsia" w:ascii="黑体" w:hAnsi="黑体" w:eastAsia="黑体" w:cs="黑体"/>
                          <w:kern w:val="0"/>
                          <w:sz w:val="28"/>
                          <w:szCs w:val="28"/>
                        </w:rPr>
                      </w:pPr>
                      <w:r>
                        <w:rPr>
                          <w:rFonts w:hint="eastAsia" w:ascii="黑体" w:hAnsi="黑体" w:eastAsia="黑体" w:cs="黑体"/>
                          <w:kern w:val="0"/>
                          <w:sz w:val="28"/>
                          <w:szCs w:val="28"/>
                        </w:rPr>
                        <w:t>Methods for chemical analysis of copper concentrates—</w:t>
                      </w:r>
                    </w:p>
                    <w:p w14:paraId="2BA31361">
                      <w:pPr>
                        <w:ind w:left="479" w:leftChars="228" w:firstLine="313" w:firstLineChars="112"/>
                        <w:jc w:val="center"/>
                        <w:rPr>
                          <w:rFonts w:hint="eastAsia" w:ascii="黑体" w:hAnsi="黑体" w:eastAsia="黑体" w:cs="黑体"/>
                          <w:kern w:val="0"/>
                          <w:sz w:val="28"/>
                          <w:szCs w:val="28"/>
                        </w:rPr>
                      </w:pPr>
                      <w:r>
                        <w:rPr>
                          <w:rFonts w:hint="eastAsia" w:ascii="黑体" w:hAnsi="黑体" w:eastAsia="黑体" w:cs="黑体"/>
                          <w:kern w:val="0"/>
                          <w:sz w:val="28"/>
                          <w:szCs w:val="28"/>
                        </w:rPr>
                        <w:t>Part 9：Determination of arsenic</w:t>
                      </w:r>
                      <w:r>
                        <w:rPr>
                          <w:rFonts w:hint="eastAsia" w:ascii="黑体" w:hAnsi="黑体" w:eastAsia="黑体" w:cs="黑体"/>
                          <w:kern w:val="0"/>
                          <w:sz w:val="28"/>
                          <w:szCs w:val="28"/>
                          <w:lang w:val="en-US" w:eastAsia="zh-CN"/>
                        </w:rPr>
                        <w:t>,</w:t>
                      </w:r>
                      <w:r>
                        <w:rPr>
                          <w:rFonts w:hint="eastAsia" w:ascii="黑体" w:hAnsi="黑体" w:eastAsia="黑体" w:cs="黑体"/>
                          <w:kern w:val="0"/>
                          <w:sz w:val="28"/>
                          <w:szCs w:val="28"/>
                        </w:rPr>
                        <w:t>antimony</w:t>
                      </w:r>
                      <w:r>
                        <w:rPr>
                          <w:rFonts w:hint="eastAsia" w:ascii="黑体" w:hAnsi="黑体" w:eastAsia="黑体" w:cs="黑体"/>
                          <w:kern w:val="0"/>
                          <w:sz w:val="28"/>
                          <w:szCs w:val="28"/>
                          <w:lang w:val="en-US" w:eastAsia="zh-CN"/>
                        </w:rPr>
                        <w:t xml:space="preserve"> and </w:t>
                      </w:r>
                      <w:r>
                        <w:rPr>
                          <w:rFonts w:hint="eastAsia" w:ascii="黑体" w:hAnsi="黑体" w:eastAsia="黑体" w:cs="黑体"/>
                          <w:kern w:val="0"/>
                          <w:sz w:val="28"/>
                          <w:szCs w:val="28"/>
                        </w:rPr>
                        <w:t xml:space="preserve">bismuth contents </w:t>
                      </w:r>
                    </w:p>
                    <w:p w14:paraId="6E67589D">
                      <w:pPr>
                        <w:ind w:left="479" w:leftChars="228" w:firstLine="313" w:firstLineChars="112"/>
                        <w:jc w:val="center"/>
                        <w:rPr>
                          <w:rFonts w:hint="eastAsia" w:ascii="黑体" w:hAnsi="黑体" w:eastAsia="黑体" w:cs="黑体"/>
                          <w:b/>
                          <w:sz w:val="28"/>
                          <w:szCs w:val="28"/>
                        </w:rPr>
                      </w:pPr>
                      <w:r>
                        <w:rPr>
                          <w:rFonts w:hint="eastAsia" w:ascii="黑体" w:hAnsi="黑体" w:eastAsia="黑体" w:cs="黑体"/>
                          <w:bCs/>
                          <w:sz w:val="28"/>
                          <w:szCs w:val="28"/>
                        </w:rPr>
                        <w:t>（送审稿）</w:t>
                      </w:r>
                    </w:p>
                    <w:p w14:paraId="5647DE6D"/>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9525</wp:posOffset>
                </wp:positionH>
                <wp:positionV relativeFrom="margin">
                  <wp:posOffset>1125220</wp:posOffset>
                </wp:positionV>
                <wp:extent cx="5867400" cy="630555"/>
                <wp:effectExtent l="0" t="0" r="0" b="17145"/>
                <wp:wrapNone/>
                <wp:docPr id="3" name="fmFrame3"/>
                <wp:cNvGraphicFramePr/>
                <a:graphic xmlns:a="http://schemas.openxmlformats.org/drawingml/2006/main">
                  <a:graphicData uri="http://schemas.microsoft.com/office/word/2010/wordprocessingShape">
                    <wps:wsp>
                      <wps:cNvSpPr txBox="1"/>
                      <wps:spPr>
                        <a:xfrm>
                          <a:off x="0" y="0"/>
                          <a:ext cx="5867400" cy="630555"/>
                        </a:xfrm>
                        <a:prstGeom prst="rect">
                          <a:avLst/>
                        </a:prstGeom>
                        <a:solidFill>
                          <a:srgbClr val="FFFFFF"/>
                        </a:solidFill>
                        <a:ln>
                          <a:noFill/>
                        </a:ln>
                      </wps:spPr>
                      <wps:txbx>
                        <w:txbxContent>
                          <w:p w14:paraId="094E1B52">
                            <w:pPr>
                              <w:pStyle w:val="68"/>
                              <w:spacing w:before="0" w:line="240" w:lineRule="auto"/>
                              <w:ind w:right="278"/>
                              <w:rPr>
                                <w:rFonts w:hint="eastAsia" w:ascii="黑体" w:hAnsi="黑体" w:eastAsia="黑体" w:cs="黑体"/>
                                <w:bCs/>
                                <w:szCs w:val="28"/>
                                <w:lang w:val="de-DE"/>
                              </w:rPr>
                            </w:pPr>
                            <w:r>
                              <w:rPr>
                                <w:rFonts w:hint="eastAsia"/>
                                <w:b/>
                                <w:szCs w:val="28"/>
                              </w:rPr>
                              <w:t xml:space="preserve">                                  </w:t>
                            </w:r>
                            <w:r>
                              <w:rPr>
                                <w:rFonts w:hint="eastAsia" w:ascii="黑体" w:hAnsi="黑体" w:eastAsia="黑体" w:cs="黑体"/>
                                <w:bCs/>
                                <w:szCs w:val="28"/>
                                <w:lang w:val="de-DE"/>
                              </w:rPr>
                              <w:t>GB/T 3884.</w:t>
                            </w:r>
                            <w:r>
                              <w:rPr>
                                <w:rFonts w:hint="eastAsia" w:ascii="黑体" w:hAnsi="黑体" w:eastAsia="黑体" w:cs="黑体"/>
                                <w:bCs/>
                                <w:szCs w:val="28"/>
                              </w:rPr>
                              <w:t>9</w:t>
                            </w:r>
                            <w:r>
                              <w:rPr>
                                <w:rFonts w:hint="eastAsia" w:ascii="黑体" w:hAnsi="黑体" w:eastAsia="黑体" w:cs="黑体"/>
                                <w:bCs/>
                                <w:szCs w:val="28"/>
                                <w:lang w:val="de-DE"/>
                              </w:rPr>
                              <w:t>-202X</w:t>
                            </w:r>
                          </w:p>
                          <w:p w14:paraId="3F6438D5">
                            <w:pPr>
                              <w:pStyle w:val="68"/>
                              <w:spacing w:before="0" w:line="240" w:lineRule="auto"/>
                              <w:ind w:right="278"/>
                              <w:rPr>
                                <w:sz w:val="21"/>
                                <w:szCs w:val="21"/>
                                <w:lang w:val="de-DE"/>
                              </w:rPr>
                            </w:pPr>
                            <w:r>
                              <w:rPr>
                                <w:rFonts w:hint="eastAsia" w:eastAsia="黑体"/>
                                <w:sz w:val="21"/>
                                <w:szCs w:val="21"/>
                              </w:rPr>
                              <w:t xml:space="preserve">                                              </w:t>
                            </w:r>
                            <w:r>
                              <w:rPr>
                                <w:rFonts w:hint="eastAsia" w:ascii="黑体" w:hAnsi="黑体" w:eastAsia="黑体" w:cs="黑体"/>
                                <w:sz w:val="21"/>
                                <w:szCs w:val="21"/>
                              </w:rPr>
                              <w:t xml:space="preserve"> </w:t>
                            </w:r>
                            <w:r>
                              <w:rPr>
                                <w:rFonts w:hint="eastAsia" w:ascii="黑体" w:hAnsi="黑体" w:eastAsia="黑体" w:cs="黑体"/>
                                <w:sz w:val="21"/>
                                <w:szCs w:val="21"/>
                                <w:lang w:val="de-DE"/>
                              </w:rPr>
                              <w:t>代替GB/T 3884.</w:t>
                            </w:r>
                            <w:r>
                              <w:rPr>
                                <w:rFonts w:hint="eastAsia" w:ascii="黑体" w:hAnsi="黑体" w:eastAsia="黑体" w:cs="黑体"/>
                                <w:sz w:val="21"/>
                                <w:szCs w:val="21"/>
                              </w:rPr>
                              <w:t>9</w:t>
                            </w:r>
                            <w:r>
                              <w:rPr>
                                <w:rFonts w:hint="eastAsia" w:ascii="黑体" w:hAnsi="黑体" w:eastAsia="黑体" w:cs="黑体"/>
                                <w:sz w:val="21"/>
                                <w:szCs w:val="21"/>
                                <w:lang w:val="de-DE"/>
                              </w:rPr>
                              <w:t>-2012、GB/T 3884.</w:t>
                            </w:r>
                            <w:r>
                              <w:rPr>
                                <w:rFonts w:hint="eastAsia" w:ascii="黑体" w:hAnsi="黑体" w:eastAsia="黑体" w:cs="黑体"/>
                                <w:sz w:val="21"/>
                                <w:szCs w:val="21"/>
                              </w:rPr>
                              <w:t>10</w:t>
                            </w:r>
                            <w:r>
                              <w:rPr>
                                <w:rFonts w:hint="eastAsia" w:ascii="黑体" w:hAnsi="黑体" w:eastAsia="黑体" w:cs="黑体"/>
                                <w:sz w:val="21"/>
                                <w:szCs w:val="21"/>
                                <w:lang w:val="de-DE"/>
                              </w:rPr>
                              <w:t>-2012</w:t>
                            </w:r>
                          </w:p>
                          <w:p w14:paraId="6F4D0BBA">
                            <w:pPr>
                              <w:pStyle w:val="68"/>
                              <w:ind w:right="280"/>
                              <w:rPr>
                                <w:rFonts w:hint="eastAsia" w:ascii="黑体" w:hAnsi="宋体" w:eastAsia="黑体"/>
                                <w:szCs w:val="28"/>
                                <w:lang w:val="de-DE"/>
                              </w:rPr>
                            </w:pPr>
                          </w:p>
                          <w:p w14:paraId="38294643">
                            <w:pPr>
                              <w:pStyle w:val="69"/>
                              <w:rPr>
                                <w:lang w:val="de-DE"/>
                              </w:rPr>
                            </w:pPr>
                          </w:p>
                        </w:txbxContent>
                      </wps:txbx>
                      <wps:bodyPr wrap="square" lIns="0" tIns="0" rIns="0" bIns="0" upright="1"/>
                    </wps:wsp>
                  </a:graphicData>
                </a:graphic>
              </wp:anchor>
            </w:drawing>
          </mc:Choice>
          <mc:Fallback>
            <w:pict>
              <v:shape id="fmFrame3" o:spid="_x0000_s1026" o:spt="202" type="#_x0000_t202" style="position:absolute;left:0pt;margin-left:0.75pt;margin-top:88.6pt;height:49.65pt;width:462pt;mso-position-horizontal-relative:margin;mso-position-vertical-relative:margin;z-index:251661312;mso-width-relative:page;mso-height-relative:page;" fillcolor="#FFFFFF" filled="t" stroked="f" coordsize="21600,21600" o:gfxdata="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FXu82AAAAAkBAAAPAAAAAAAAAAEAIAAAACIAAABkcnMvZG93&#10;bnJldi54bWxQSwECFAAUAAAACACHTuJArZ66G8cBAACmAwAADgAAAAAAAAABACAAAAAnAQAAZHJz&#10;L2Uyb0RvYy54bWxQSwUGAAAAAAYABgBZAQAAYAUAAAAA&#10;">
                <v:fill on="t" focussize="0,0"/>
                <v:stroke on="f"/>
                <v:imagedata o:title=""/>
                <o:lock v:ext="edit" aspectratio="f"/>
                <v:textbox inset="0mm,0mm,0mm,0mm">
                  <w:txbxContent>
                    <w:p w14:paraId="094E1B52">
                      <w:pPr>
                        <w:pStyle w:val="68"/>
                        <w:spacing w:before="0" w:line="240" w:lineRule="auto"/>
                        <w:ind w:right="278"/>
                        <w:rPr>
                          <w:rFonts w:hint="eastAsia" w:ascii="黑体" w:hAnsi="黑体" w:eastAsia="黑体" w:cs="黑体"/>
                          <w:bCs/>
                          <w:szCs w:val="28"/>
                          <w:lang w:val="de-DE"/>
                        </w:rPr>
                      </w:pPr>
                      <w:r>
                        <w:rPr>
                          <w:rFonts w:hint="eastAsia"/>
                          <w:b/>
                          <w:szCs w:val="28"/>
                        </w:rPr>
                        <w:t xml:space="preserve">                                  </w:t>
                      </w:r>
                      <w:r>
                        <w:rPr>
                          <w:rFonts w:hint="eastAsia" w:ascii="黑体" w:hAnsi="黑体" w:eastAsia="黑体" w:cs="黑体"/>
                          <w:bCs/>
                          <w:szCs w:val="28"/>
                          <w:lang w:val="de-DE"/>
                        </w:rPr>
                        <w:t>GB/T 3884.</w:t>
                      </w:r>
                      <w:r>
                        <w:rPr>
                          <w:rFonts w:hint="eastAsia" w:ascii="黑体" w:hAnsi="黑体" w:eastAsia="黑体" w:cs="黑体"/>
                          <w:bCs/>
                          <w:szCs w:val="28"/>
                        </w:rPr>
                        <w:t>9</w:t>
                      </w:r>
                      <w:r>
                        <w:rPr>
                          <w:rFonts w:hint="eastAsia" w:ascii="黑体" w:hAnsi="黑体" w:eastAsia="黑体" w:cs="黑体"/>
                          <w:bCs/>
                          <w:szCs w:val="28"/>
                          <w:lang w:val="de-DE"/>
                        </w:rPr>
                        <w:t>-202X</w:t>
                      </w:r>
                    </w:p>
                    <w:p w14:paraId="3F6438D5">
                      <w:pPr>
                        <w:pStyle w:val="68"/>
                        <w:spacing w:before="0" w:line="240" w:lineRule="auto"/>
                        <w:ind w:right="278"/>
                        <w:rPr>
                          <w:sz w:val="21"/>
                          <w:szCs w:val="21"/>
                          <w:lang w:val="de-DE"/>
                        </w:rPr>
                      </w:pPr>
                      <w:r>
                        <w:rPr>
                          <w:rFonts w:hint="eastAsia" w:eastAsia="黑体"/>
                          <w:sz w:val="21"/>
                          <w:szCs w:val="21"/>
                        </w:rPr>
                        <w:t xml:space="preserve">                                              </w:t>
                      </w:r>
                      <w:r>
                        <w:rPr>
                          <w:rFonts w:hint="eastAsia" w:ascii="黑体" w:hAnsi="黑体" w:eastAsia="黑体" w:cs="黑体"/>
                          <w:sz w:val="21"/>
                          <w:szCs w:val="21"/>
                        </w:rPr>
                        <w:t xml:space="preserve"> </w:t>
                      </w:r>
                      <w:r>
                        <w:rPr>
                          <w:rFonts w:hint="eastAsia" w:ascii="黑体" w:hAnsi="黑体" w:eastAsia="黑体" w:cs="黑体"/>
                          <w:sz w:val="21"/>
                          <w:szCs w:val="21"/>
                          <w:lang w:val="de-DE"/>
                        </w:rPr>
                        <w:t>代替GB/T 3884.</w:t>
                      </w:r>
                      <w:r>
                        <w:rPr>
                          <w:rFonts w:hint="eastAsia" w:ascii="黑体" w:hAnsi="黑体" w:eastAsia="黑体" w:cs="黑体"/>
                          <w:sz w:val="21"/>
                          <w:szCs w:val="21"/>
                        </w:rPr>
                        <w:t>9</w:t>
                      </w:r>
                      <w:r>
                        <w:rPr>
                          <w:rFonts w:hint="eastAsia" w:ascii="黑体" w:hAnsi="黑体" w:eastAsia="黑体" w:cs="黑体"/>
                          <w:sz w:val="21"/>
                          <w:szCs w:val="21"/>
                          <w:lang w:val="de-DE"/>
                        </w:rPr>
                        <w:t>-2012、GB/T 3884.</w:t>
                      </w:r>
                      <w:r>
                        <w:rPr>
                          <w:rFonts w:hint="eastAsia" w:ascii="黑体" w:hAnsi="黑体" w:eastAsia="黑体" w:cs="黑体"/>
                          <w:sz w:val="21"/>
                          <w:szCs w:val="21"/>
                        </w:rPr>
                        <w:t>10</w:t>
                      </w:r>
                      <w:r>
                        <w:rPr>
                          <w:rFonts w:hint="eastAsia" w:ascii="黑体" w:hAnsi="黑体" w:eastAsia="黑体" w:cs="黑体"/>
                          <w:sz w:val="21"/>
                          <w:szCs w:val="21"/>
                          <w:lang w:val="de-DE"/>
                        </w:rPr>
                        <w:t>-2012</w:t>
                      </w:r>
                    </w:p>
                    <w:p w14:paraId="6F4D0BBA">
                      <w:pPr>
                        <w:pStyle w:val="68"/>
                        <w:ind w:right="280"/>
                        <w:rPr>
                          <w:rFonts w:hint="eastAsia" w:ascii="黑体" w:hAnsi="宋体" w:eastAsia="黑体"/>
                          <w:szCs w:val="28"/>
                          <w:lang w:val="de-DE"/>
                        </w:rPr>
                      </w:pPr>
                    </w:p>
                    <w:p w14:paraId="38294643">
                      <w:pPr>
                        <w:pStyle w:val="69"/>
                        <w:rPr>
                          <w:lang w:val="de-DE"/>
                        </w:rPr>
                      </w:pPr>
                    </w:p>
                  </w:txbxContent>
                </v:textbox>
                <w10:anchorlock/>
              </v:shape>
            </w:pict>
          </mc:Fallback>
        </mc:AlternateContent>
      </w:r>
      <w:r>
        <w:rPr>
          <w:color w:val="000000"/>
        </w:rPr>
        <w:drawing>
          <wp:anchor distT="0" distB="0" distL="114300" distR="114300" simplePos="0" relativeHeight="251660288" behindDoc="0" locked="1" layoutInCell="1" allowOverlap="1">
            <wp:simplePos x="0" y="0"/>
            <wp:positionH relativeFrom="margin">
              <wp:posOffset>4359275</wp:posOffset>
            </wp:positionH>
            <wp:positionV relativeFrom="bottomMargin">
              <wp:posOffset>-9504045</wp:posOffset>
            </wp:positionV>
            <wp:extent cx="1403350" cy="720090"/>
            <wp:effectExtent l="0" t="0" r="6350" b="3810"/>
            <wp:wrapNone/>
            <wp:docPr id="2" name="HBPicture" descr="GB"/>
            <wp:cNvGraphicFramePr/>
            <a:graphic xmlns:a="http://schemas.openxmlformats.org/drawingml/2006/main">
              <a:graphicData uri="http://schemas.openxmlformats.org/drawingml/2006/picture">
                <pic:pic xmlns:pic="http://schemas.openxmlformats.org/drawingml/2006/picture">
                  <pic:nvPicPr>
                    <pic:cNvPr id="2" name="HBPicture" descr="GB"/>
                    <pic:cNvPicPr/>
                  </pic:nvPicPr>
                  <pic:blipFill>
                    <a:blip r:embed="rId11"/>
                    <a:stretch>
                      <a:fillRect/>
                    </a:stretch>
                  </pic:blipFill>
                  <pic:spPr>
                    <a:xfrm>
                      <a:off x="0" y="0"/>
                      <a:ext cx="1403350"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59264" behindDoc="0" locked="1" layoutInCell="1" allowOverlap="1">
                <wp:simplePos x="0" y="0"/>
                <wp:positionH relativeFrom="leftMargin">
                  <wp:posOffset>899795</wp:posOffset>
                </wp:positionH>
                <wp:positionV relativeFrom="bottomMargin">
                  <wp:posOffset>-8171815</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029195D6">
                            <w:pPr>
                              <w:pStyle w:val="52"/>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70.85pt;margin-top:126.45pt;height:30.8pt;width:481.9pt;mso-position-horizontal-relative:page;mso-position-vertical-relative:page;z-index:251659264;mso-width-relative:page;mso-height-relative:page;" fillcolor="#FFFFFF" filled="t" stroked="f" coordsize="21600,21600" o:gfxdata="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0EvONwAAAAQAQAADwAAAAAAAAABACAAAAAiAAAAZHJz&#10;L2Rvd25yZXYueG1sUEsBAhQAFAAAAAgAh07iQEP1V4HHAQAApgMAAA4AAAAAAAAAAQAgAAAAKwEA&#10;AGRycy9lMm9Eb2MueG1sUEsFBgAAAAAGAAYAWQEAAGQFAAAAAA==&#10;">
                <v:fill on="t" focussize="0,0"/>
                <v:stroke on="f"/>
                <v:imagedata o:title=""/>
                <o:lock v:ext="edit" aspectratio="f"/>
                <v:textbox inset="0mm,0mm,0mm,0mm">
                  <w:txbxContent>
                    <w:p w14:paraId="029195D6">
                      <w:pPr>
                        <w:pStyle w:val="52"/>
                      </w:pPr>
                      <w:r>
                        <w:rPr>
                          <w:rFonts w:hint="eastAsia"/>
                        </w:rPr>
                        <w:t>中华人民共和国国家标准</w:t>
                      </w:r>
                    </w:p>
                  </w:txbxContent>
                </v:textbox>
                <w10:anchorlock/>
              </v:shape>
            </w:pict>
          </mc:Fallback>
        </mc:AlternateContent>
      </w:r>
      <w:r>
        <w:rPr>
          <w:rFonts w:ascii="黑体"/>
        </w:rPr>
        <mc:AlternateContent>
          <mc:Choice Requires="wps">
            <w:drawing>
              <wp:anchor distT="0" distB="0" distL="114300" distR="114300" simplePos="0" relativeHeight="251664384" behindDoc="0" locked="1" layoutInCell="1" allowOverlap="1">
                <wp:simplePos x="0" y="0"/>
                <wp:positionH relativeFrom="margin">
                  <wp:posOffset>4250690</wp:posOffset>
                </wp:positionH>
                <wp:positionV relativeFrom="margin">
                  <wp:posOffset>7092315</wp:posOffset>
                </wp:positionV>
                <wp:extent cx="1717040" cy="341630"/>
                <wp:effectExtent l="0" t="0" r="16510" b="1270"/>
                <wp:wrapNone/>
                <wp:docPr id="1958628555" name="fmFrame6"/>
                <wp:cNvGraphicFramePr/>
                <a:graphic xmlns:a="http://schemas.openxmlformats.org/drawingml/2006/main">
                  <a:graphicData uri="http://schemas.microsoft.com/office/word/2010/wordprocessingShape">
                    <wps:wsp>
                      <wps:cNvSpPr txBox="1">
                        <a:spLocks noChangeArrowheads="1"/>
                      </wps:cNvSpPr>
                      <wps:spPr bwMode="auto">
                        <a:xfrm>
                          <a:off x="4977130" y="8888095"/>
                          <a:ext cx="1717040" cy="341630"/>
                        </a:xfrm>
                        <a:prstGeom prst="rect">
                          <a:avLst/>
                        </a:prstGeom>
                        <a:solidFill>
                          <a:srgbClr val="FFFFFF"/>
                        </a:solidFill>
                        <a:ln>
                          <a:noFill/>
                        </a:ln>
                        <a:effectLst/>
                      </wps:spPr>
                      <wps:txbx>
                        <w:txbxContent>
                          <w:p w14:paraId="02790B5B">
                            <w:pPr>
                              <w:pStyle w:val="95"/>
                              <w:jc w:val="both"/>
                            </w:pPr>
                            <w:r>
                              <w:rPr>
                                <w:rFonts w:hint="eastAsia" w:ascii="黑体" w:hAnsi="黑体" w:cs="黑体"/>
                              </w:rPr>
                              <w:t xml:space="preserve">202×-××-××实施 </w:t>
                            </w:r>
                          </w:p>
                        </w:txbxContent>
                      </wps:txbx>
                      <wps:bodyPr rot="0" vert="horz" wrap="square" lIns="0" tIns="0" rIns="0" bIns="0" anchor="ctr" anchorCtr="0" upright="1">
                        <a:noAutofit/>
                      </wps:bodyPr>
                    </wps:wsp>
                  </a:graphicData>
                </a:graphic>
              </wp:anchor>
            </w:drawing>
          </mc:Choice>
          <mc:Fallback>
            <w:pict>
              <v:shape id="fmFrame6" o:spid="_x0000_s1026" o:spt="202" type="#_x0000_t202" style="position:absolute;left:0pt;margin-left:334.7pt;margin-top:558.45pt;height:26.9pt;width:135.2pt;mso-position-horizontal-relative:margin;mso-position-vertical-relative:margin;z-index:251664384;v-text-anchor:middle;mso-width-relative:page;mso-height-relative:page;" fillcolor="#FFFFFF" filled="t" stroked="f" coordsize="21600,21600" o:gfxdata="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tzZtDZAAAADQEAAA8AAAAAAAAAAQAgAAAAIgAAAGRycy9kb3ducmV2LnhtbFBLAQIUABQA&#10;AAAIAIdO4kDnMYRIKAIAAFAEAAAOAAAAAAAAAAEAIAAAACgBAABkcnMvZTJvRG9jLnhtbFBLBQYA&#10;AAAABgAGAFkBAADCBQAAAAA=&#10;">
                <v:fill on="t" focussize="0,0"/>
                <v:stroke on="f"/>
                <v:imagedata o:title=""/>
                <o:lock v:ext="edit" aspectratio="f"/>
                <v:textbox inset="0mm,0mm,0mm,0mm">
                  <w:txbxContent>
                    <w:p w14:paraId="02790B5B">
                      <w:pPr>
                        <w:pStyle w:val="95"/>
                        <w:jc w:val="both"/>
                      </w:pPr>
                      <w:r>
                        <w:rPr>
                          <w:rFonts w:hint="eastAsia" w:ascii="黑体" w:hAnsi="黑体" w:cs="黑体"/>
                        </w:rPr>
                        <w:t xml:space="preserve">202×-××-××实施 </w:t>
                      </w:r>
                    </w:p>
                  </w:txbxContent>
                </v:textbox>
                <w10:anchorlock/>
              </v:shape>
            </w:pict>
          </mc:Fallback>
        </mc:AlternateContent>
      </w:r>
      <w:bookmarkEnd w:id="0"/>
    </w:p>
    <w:p w14:paraId="4BE96AAD"/>
    <w:p w14:paraId="33C2F7AA"/>
    <w:p w14:paraId="620ED7CB"/>
    <w:p w14:paraId="2832AAB3"/>
    <w:p w14:paraId="22C509F5"/>
    <w:p w14:paraId="0A6DFA67"/>
    <w:p w14:paraId="65FA1EF3"/>
    <w:p w14:paraId="081FCC83"/>
    <w:p w14:paraId="6F800E37"/>
    <w:p w14:paraId="17800EEB">
      <w:r>
        <mc:AlternateContent>
          <mc:Choice Requires="wps">
            <w:drawing>
              <wp:anchor distT="0" distB="0" distL="114300" distR="114300" simplePos="0" relativeHeight="251665408" behindDoc="0" locked="0" layoutInCell="1" allowOverlap="1">
                <wp:simplePos x="0" y="0"/>
                <wp:positionH relativeFrom="leftMargin">
                  <wp:posOffset>899795</wp:posOffset>
                </wp:positionH>
                <wp:positionV relativeFrom="topMargin">
                  <wp:posOffset>2706370</wp:posOffset>
                </wp:positionV>
                <wp:extent cx="6190615" cy="2540"/>
                <wp:effectExtent l="0" t="0" r="0" b="0"/>
                <wp:wrapNone/>
                <wp:docPr id="5" name="直线 204"/>
                <wp:cNvGraphicFramePr/>
                <a:graphic xmlns:a="http://schemas.openxmlformats.org/drawingml/2006/main">
                  <a:graphicData uri="http://schemas.microsoft.com/office/word/2010/wordprocessingShape">
                    <wps:wsp>
                      <wps:cNvCnPr/>
                      <wps:spPr>
                        <a:xfrm flipV="1">
                          <a:off x="0" y="0"/>
                          <a:ext cx="619061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4" o:spid="_x0000_s1026" o:spt="20" style="position:absolute;left:0pt;flip:y;margin-left:70.85pt;margin-top:213.1pt;height:0.2pt;width:487.45pt;mso-position-horizontal-relative:page;mso-position-vertical-relative:page;z-index:251665408;mso-width-relative:page;mso-height-relative:page;" filled="f" stroked="t" coordsize="21600,21600" o:gfxdata="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8&#10;QsLXAAAADAEAAA8AAAAAAAAAAQAgAAAAIgAAAGRycy9kb3ducmV2LnhtbFBLAQIUABQAAAAIAIdO&#10;4kAlRfRL6wEAAN4DAAAOAAAAAAAAAAEAIAAAACYBAABkcnMvZTJvRG9jLnhtbFBLBQYAAAAABgAG&#10;AFkBAACDBQAAAAA=&#10;">
                <v:fill on="f" focussize="0,0"/>
                <v:stroke color="#000000" joinstyle="round"/>
                <v:imagedata o:title=""/>
                <o:lock v:ext="edit" aspectratio="f"/>
              </v:line>
            </w:pict>
          </mc:Fallback>
        </mc:AlternateContent>
      </w:r>
    </w:p>
    <w:p w14:paraId="45F7FA60"/>
    <w:p w14:paraId="429C6E21"/>
    <w:p w14:paraId="4D54DB14"/>
    <w:p w14:paraId="62E90C9E"/>
    <w:p w14:paraId="6B557D15"/>
    <w:p w14:paraId="1370B686"/>
    <w:p w14:paraId="5A44E0A8"/>
    <w:p w14:paraId="68319114"/>
    <w:p w14:paraId="191DEA3F"/>
    <w:p w14:paraId="07C16CC7"/>
    <w:p w14:paraId="3435B8C7"/>
    <w:p w14:paraId="55091301"/>
    <w:p w14:paraId="18D5D879"/>
    <w:p w14:paraId="750F1079"/>
    <w:p w14:paraId="61D68EF1"/>
    <w:p w14:paraId="35A5B324"/>
    <w:p w14:paraId="0DD937DC"/>
    <w:p w14:paraId="793E7191"/>
    <w:p w14:paraId="3849F807"/>
    <w:p w14:paraId="27FF5953"/>
    <w:p w14:paraId="689236A0"/>
    <w:p w14:paraId="35182EB8"/>
    <w:p w14:paraId="4529BA6C"/>
    <w:p w14:paraId="44011EA2"/>
    <w:p w14:paraId="7A439790"/>
    <w:p w14:paraId="055738F0"/>
    <w:p w14:paraId="182A521C"/>
    <w:p w14:paraId="2009D129">
      <w:r>
        <mc:AlternateContent>
          <mc:Choice Requires="wps">
            <w:drawing>
              <wp:anchor distT="0" distB="0" distL="114300" distR="114300" simplePos="0" relativeHeight="251669504" behindDoc="0" locked="0" layoutInCell="1" allowOverlap="1">
                <wp:simplePos x="0" y="0"/>
                <wp:positionH relativeFrom="leftMargin">
                  <wp:posOffset>899795</wp:posOffset>
                </wp:positionH>
                <wp:positionV relativeFrom="bottomMargin">
                  <wp:posOffset>-1440180</wp:posOffset>
                </wp:positionV>
                <wp:extent cx="6190615" cy="2540"/>
                <wp:effectExtent l="0" t="0" r="0" b="0"/>
                <wp:wrapNone/>
                <wp:docPr id="36" name="直线 204"/>
                <wp:cNvGraphicFramePr/>
                <a:graphic xmlns:a="http://schemas.openxmlformats.org/drawingml/2006/main">
                  <a:graphicData uri="http://schemas.microsoft.com/office/word/2010/wordprocessingShape">
                    <wps:wsp>
                      <wps:cNvCnPr/>
                      <wps:spPr>
                        <a:xfrm flipV="1">
                          <a:off x="0" y="0"/>
                          <a:ext cx="619061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4" o:spid="_x0000_s1026" o:spt="20" style="position:absolute;left:0pt;flip:y;margin-left:70.85pt;margin-top:656.5pt;height:0.2pt;width:487.45pt;mso-position-horizontal-relative:page;mso-position-vertical-relative:page;z-index:251669504;mso-width-relative:page;mso-height-relative:page;" filled="f" stroked="t" coordsize="21600,21600" o:gfxdata="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4QQ2QAAAA4BAAAPAAAAAAAAAAEAIAAAACIAAABkcnMvZG93bnJldi54bWxQSwECFAAUAAAA&#10;CACHTuJAryAuvu0BAADfAwAADgAAAAAAAAABACAAAAAoAQAAZHJzL2Uyb0RvYy54bWxQSwUGAAAA&#10;AAYABgBZAQAAhwUAAAAA&#10;">
                <v:fill on="f" focussize="0,0"/>
                <v:stroke color="#000000" joinstyle="round"/>
                <v:imagedata o:title=""/>
                <o:lock v:ext="edit" aspectratio="f"/>
              </v:line>
            </w:pict>
          </mc:Fallback>
        </mc:AlternateContent>
      </w:r>
    </w:p>
    <w:p w14:paraId="2B5071CC">
      <w:pPr>
        <w:tabs>
          <w:tab w:val="left" w:pos="2803"/>
        </w:tabs>
        <w:jc w:val="left"/>
        <w:sectPr>
          <w:headerReference r:id="rId3" w:type="default"/>
          <w:headerReference r:id="rId4" w:type="even"/>
          <w:pgSz w:w="11906" w:h="16838"/>
          <w:pgMar w:top="1440" w:right="1800" w:bottom="1440" w:left="1800" w:header="851" w:footer="992"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4122420</wp:posOffset>
                </wp:positionH>
                <wp:positionV relativeFrom="paragraph">
                  <wp:posOffset>425450</wp:posOffset>
                </wp:positionV>
                <wp:extent cx="753110" cy="433705"/>
                <wp:effectExtent l="0" t="0" r="8890" b="4445"/>
                <wp:wrapNone/>
                <wp:docPr id="8" name="文本框 2"/>
                <wp:cNvGraphicFramePr/>
                <a:graphic xmlns:a="http://schemas.openxmlformats.org/drawingml/2006/main">
                  <a:graphicData uri="http://schemas.microsoft.com/office/word/2010/wordprocessingShape">
                    <wps:wsp>
                      <wps:cNvSpPr txBox="1"/>
                      <wps:spPr>
                        <a:xfrm>
                          <a:off x="4926965" y="9600565"/>
                          <a:ext cx="753110" cy="433705"/>
                        </a:xfrm>
                        <a:prstGeom prst="rect">
                          <a:avLst/>
                        </a:prstGeom>
                        <a:solidFill>
                          <a:srgbClr val="FFFFFF"/>
                        </a:solidFill>
                        <a:ln w="6350">
                          <a:noFill/>
                        </a:ln>
                        <a:effectLst/>
                      </wps:spPr>
                      <wps:txbx>
                        <w:txbxContent>
                          <w:p w14:paraId="687A4E9C">
                            <w:pPr>
                              <w:rPr>
                                <w:rFonts w:hint="eastAsia" w:ascii="黑体" w:hAnsi="黑体" w:eastAsia="黑体"/>
                                <w:sz w:val="28"/>
                                <w:szCs w:val="28"/>
                              </w:rPr>
                            </w:pPr>
                            <w:r>
                              <w:rPr>
                                <w:rFonts w:ascii="黑体" w:hAnsi="黑体" w:eastAsia="黑体" w:cs="微软雅黑"/>
                                <w:spacing w:val="-4"/>
                                <w:sz w:val="28"/>
                                <w:szCs w:val="28"/>
                              </w:rPr>
                              <w:t>发</w:t>
                            </w:r>
                            <w:r>
                              <w:rPr>
                                <w:rFonts w:hint="eastAsia" w:ascii="黑体" w:hAnsi="黑体" w:eastAsia="黑体" w:cs="微软雅黑"/>
                                <w:spacing w:val="-4"/>
                                <w:sz w:val="28"/>
                                <w:szCs w:val="28"/>
                              </w:rPr>
                              <w:t xml:space="preserve"> </w:t>
                            </w:r>
                            <w:r>
                              <w:rPr>
                                <w:rFonts w:ascii="黑体" w:hAnsi="黑体" w:eastAsia="黑体" w:cs="微软雅黑"/>
                                <w:spacing w:val="-4"/>
                                <w:sz w:val="28"/>
                                <w:szCs w:val="28"/>
                              </w:rPr>
                              <w:t>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324.6pt;margin-top:33.5pt;height:34.15pt;width:59.3pt;z-index:251667456;mso-width-relative:page;mso-height-relative:page;" fillcolor="#FFFFFF" filled="t" stroked="f" coordsize="21600,21600" o:gfxdata="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ojp1tUAAAAKAQAADwAAAAAAAAABACAAAAAiAAAAZHJzL2Rvd25yZXYueG1sUEsBAhQAFAAAAAgA&#10;h07iQGAbgAxhAgAAqAQAAA4AAAAAAAAAAQAgAAAAJAEAAGRycy9lMm9Eb2MueG1sUEsFBgAAAAAG&#10;AAYAWQEAAPcFAAAAAA==&#10;">
                <v:fill on="t" focussize="0,0"/>
                <v:stroke on="f" weight="0.5pt"/>
                <v:imagedata o:title=""/>
                <o:lock v:ext="edit" aspectratio="f"/>
                <v:textbox>
                  <w:txbxContent>
                    <w:p w14:paraId="687A4E9C">
                      <w:pPr>
                        <w:rPr>
                          <w:rFonts w:hint="eastAsia" w:ascii="黑体" w:hAnsi="黑体" w:eastAsia="黑体"/>
                          <w:sz w:val="28"/>
                          <w:szCs w:val="28"/>
                        </w:rPr>
                      </w:pPr>
                      <w:r>
                        <w:rPr>
                          <w:rFonts w:ascii="黑体" w:hAnsi="黑体" w:eastAsia="黑体" w:cs="微软雅黑"/>
                          <w:spacing w:val="-4"/>
                          <w:sz w:val="28"/>
                          <w:szCs w:val="28"/>
                        </w:rPr>
                        <w:t>发</w:t>
                      </w:r>
                      <w:r>
                        <w:rPr>
                          <w:rFonts w:hint="eastAsia" w:ascii="黑体" w:hAnsi="黑体" w:eastAsia="黑体" w:cs="微软雅黑"/>
                          <w:spacing w:val="-4"/>
                          <w:sz w:val="28"/>
                          <w:szCs w:val="28"/>
                        </w:rPr>
                        <w:t xml:space="preserve"> </w:t>
                      </w:r>
                      <w:r>
                        <w:rPr>
                          <w:rFonts w:ascii="黑体" w:hAnsi="黑体" w:eastAsia="黑体" w:cs="微软雅黑"/>
                          <w:spacing w:val="-4"/>
                          <w:sz w:val="28"/>
                          <w:szCs w:val="28"/>
                        </w:rPr>
                        <w:t>布</w:t>
                      </w:r>
                    </w:p>
                  </w:txbxContent>
                </v:textbox>
              </v:shape>
            </w:pict>
          </mc:Fallback>
        </mc:AlternateContent>
      </w:r>
      <w:r>
        <w:rPr>
          <w:rFonts w:hint="eastAsia"/>
        </w:rPr>
        <w:tab/>
      </w:r>
      <w:r>
        <w:rPr>
          <w:rFonts w:ascii="黑体"/>
        </w:rPr>
        <mc:AlternateContent>
          <mc:Choice Requires="wps">
            <w:drawing>
              <wp:anchor distT="0" distB="0" distL="114300" distR="114300" simplePos="0" relativeHeight="251668480" behindDoc="0" locked="1" layoutInCell="1" allowOverlap="1">
                <wp:simplePos x="0" y="0"/>
                <wp:positionH relativeFrom="margin">
                  <wp:posOffset>-417830</wp:posOffset>
                </wp:positionH>
                <wp:positionV relativeFrom="bottomMargin">
                  <wp:posOffset>-720090</wp:posOffset>
                </wp:positionV>
                <wp:extent cx="4447540" cy="550545"/>
                <wp:effectExtent l="0" t="0" r="10160" b="190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813435" y="9401175"/>
                          <a:ext cx="6120130" cy="550545"/>
                        </a:xfrm>
                        <a:prstGeom prst="rect">
                          <a:avLst/>
                        </a:prstGeom>
                        <a:solidFill>
                          <a:srgbClr val="FFFFFF"/>
                        </a:solidFill>
                        <a:ln>
                          <a:noFill/>
                        </a:ln>
                        <a:effectLst/>
                      </wps:spPr>
                      <wps:txbx>
                        <w:txbxContent>
                          <w:p w14:paraId="77408DCB">
                            <w:pPr>
                              <w:spacing w:before="66" w:line="347" w:lineRule="exact"/>
                              <w:ind w:left="2467" w:right="206"/>
                              <w:rPr>
                                <w:rFonts w:hint="eastAsia" w:ascii="微软雅黑" w:hAnsi="微软雅黑" w:eastAsia="微软雅黑" w:cs="微软雅黑"/>
                                <w:position w:val="-1"/>
                                <w:sz w:val="33"/>
                                <w:szCs w:val="33"/>
                              </w:rPr>
                            </w:pPr>
                            <w:r>
                              <w:rPr>
                                <w:rFonts w:ascii="微软雅黑" w:hAnsi="微软雅黑" w:eastAsia="微软雅黑" w:cs="微软雅黑"/>
                                <w:spacing w:val="43"/>
                                <w:position w:val="-1"/>
                                <w:sz w:val="33"/>
                                <w:szCs w:val="33"/>
                              </w:rPr>
                              <w:t>国家市场监督管理总局</w:t>
                            </w:r>
                          </w:p>
                          <w:p w14:paraId="202DC19E">
                            <w:pPr>
                              <w:spacing w:before="66" w:line="347" w:lineRule="exact"/>
                              <w:ind w:left="2467" w:right="206"/>
                              <w:rPr>
                                <w:rFonts w:hint="eastAsia" w:ascii="微软雅黑" w:hAnsi="微软雅黑" w:eastAsia="微软雅黑" w:cs="微软雅黑"/>
                                <w:spacing w:val="43"/>
                                <w:position w:val="-2"/>
                                <w:sz w:val="33"/>
                                <w:szCs w:val="33"/>
                              </w:rPr>
                            </w:pPr>
                            <w:r>
                              <w:rPr>
                                <w:rFonts w:ascii="微软雅黑" w:hAnsi="微软雅黑" w:eastAsia="微软雅黑" w:cs="微软雅黑"/>
                                <w:spacing w:val="43"/>
                                <w:position w:val="-2"/>
                                <w:sz w:val="33"/>
                                <w:szCs w:val="33"/>
                              </w:rPr>
                              <w:t>国家标准化管理委员会</w:t>
                            </w:r>
                          </w:p>
                          <w:p w14:paraId="29BD5DAD">
                            <w:pPr>
                              <w:spacing w:before="66" w:line="347" w:lineRule="exact"/>
                              <w:ind w:left="2467" w:right="206"/>
                              <w:rPr>
                                <w:rFonts w:hint="eastAsia" w:ascii="微软雅黑" w:hAnsi="微软雅黑" w:eastAsia="微软雅黑" w:cs="微软雅黑"/>
                                <w:spacing w:val="43"/>
                                <w:position w:val="-2"/>
                                <w:sz w:val="33"/>
                                <w:szCs w:val="33"/>
                              </w:rPr>
                            </w:pPr>
                          </w:p>
                          <w:p w14:paraId="55219EA8">
                            <w:pPr>
                              <w:spacing w:before="66" w:line="347" w:lineRule="exact"/>
                              <w:ind w:left="2467" w:right="206"/>
                              <w:rPr>
                                <w:rFonts w:hint="eastAsia" w:ascii="微软雅黑" w:hAnsi="微软雅黑" w:eastAsia="微软雅黑" w:cs="微软雅黑"/>
                                <w:spacing w:val="43"/>
                                <w:position w:val="-2"/>
                                <w:sz w:val="33"/>
                                <w:szCs w:val="33"/>
                              </w:rPr>
                            </w:pPr>
                          </w:p>
                          <w:p w14:paraId="53705BA0">
                            <w:pPr>
                              <w:pStyle w:val="20"/>
                              <w:spacing w:line="14" w:lineRule="auto"/>
                              <w:ind w:firstLine="40"/>
                              <w:rPr>
                                <w:sz w:val="2"/>
                              </w:rPr>
                            </w:pPr>
                            <w:r>
                              <w:rPr>
                                <w:sz w:val="2"/>
                                <w:szCs w:val="2"/>
                              </w:rPr>
                              <w:br w:type="column"/>
                            </w:r>
                          </w:p>
                          <w:p w14:paraId="61527C77">
                            <w:pPr>
                              <w:spacing w:before="287" w:line="175" w:lineRule="auto"/>
                              <w:rPr>
                                <w:rFonts w:hint="eastAsia" w:ascii="微软雅黑" w:hAnsi="微软雅黑" w:eastAsia="微软雅黑" w:cs="微软雅黑"/>
                                <w:sz w:val="26"/>
                                <w:szCs w:val="26"/>
                              </w:rPr>
                            </w:pPr>
                            <w:r>
                              <w:rPr>
                                <w:rFonts w:ascii="微软雅黑" w:hAnsi="微软雅黑" w:eastAsia="微软雅黑" w:cs="微软雅黑"/>
                                <w:spacing w:val="-4"/>
                                <w:sz w:val="26"/>
                                <w:szCs w:val="26"/>
                              </w:rPr>
                              <w:t>发布</w:t>
                            </w:r>
                          </w:p>
                          <w:p w14:paraId="0676D629"/>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57.1pt;margin-top:713.2pt;height:43.35pt;width:350.2pt;mso-position-horizontal-relative:page;mso-position-vertical-relative:page;z-index:251668480;mso-width-relative:page;mso-height-relative:page;" fillcolor="#FFFFFF" filled="t" stroked="f" coordsize="21600,21600" o:gfxdata="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YLtstsAAAAMAQAADwAAAAAAAAABACAAAAAiAAAAZHJzL2Rvd25yZXYueG1sUEsBAhQAFAAAAAgA&#10;h07iQPMuCr4iAgAARQQAAA4AAAAAAAAAAQAgAAAAKgEAAGRycy9lMm9Eb2MueG1sUEsFBgAAAAAG&#10;AAYAWQEAAL4FAAAAAA==&#10;">
                <v:fill on="t" focussize="0,0"/>
                <v:stroke on="f"/>
                <v:imagedata o:title=""/>
                <o:lock v:ext="edit" aspectratio="f"/>
                <v:textbox inset="0mm,0mm,0mm,0mm">
                  <w:txbxContent>
                    <w:p w14:paraId="77408DCB">
                      <w:pPr>
                        <w:spacing w:before="66" w:line="347" w:lineRule="exact"/>
                        <w:ind w:left="2467" w:right="206"/>
                        <w:rPr>
                          <w:rFonts w:hint="eastAsia" w:ascii="微软雅黑" w:hAnsi="微软雅黑" w:eastAsia="微软雅黑" w:cs="微软雅黑"/>
                          <w:position w:val="-1"/>
                          <w:sz w:val="33"/>
                          <w:szCs w:val="33"/>
                        </w:rPr>
                      </w:pPr>
                      <w:r>
                        <w:rPr>
                          <w:rFonts w:ascii="微软雅黑" w:hAnsi="微软雅黑" w:eastAsia="微软雅黑" w:cs="微软雅黑"/>
                          <w:spacing w:val="43"/>
                          <w:position w:val="-1"/>
                          <w:sz w:val="33"/>
                          <w:szCs w:val="33"/>
                        </w:rPr>
                        <w:t>国家市场监督管理总局</w:t>
                      </w:r>
                    </w:p>
                    <w:p w14:paraId="202DC19E">
                      <w:pPr>
                        <w:spacing w:before="66" w:line="347" w:lineRule="exact"/>
                        <w:ind w:left="2467" w:right="206"/>
                        <w:rPr>
                          <w:rFonts w:hint="eastAsia" w:ascii="微软雅黑" w:hAnsi="微软雅黑" w:eastAsia="微软雅黑" w:cs="微软雅黑"/>
                          <w:spacing w:val="43"/>
                          <w:position w:val="-2"/>
                          <w:sz w:val="33"/>
                          <w:szCs w:val="33"/>
                        </w:rPr>
                      </w:pPr>
                      <w:r>
                        <w:rPr>
                          <w:rFonts w:ascii="微软雅黑" w:hAnsi="微软雅黑" w:eastAsia="微软雅黑" w:cs="微软雅黑"/>
                          <w:spacing w:val="43"/>
                          <w:position w:val="-2"/>
                          <w:sz w:val="33"/>
                          <w:szCs w:val="33"/>
                        </w:rPr>
                        <w:t>国家标准化管理委员会</w:t>
                      </w:r>
                    </w:p>
                    <w:p w14:paraId="29BD5DAD">
                      <w:pPr>
                        <w:spacing w:before="66" w:line="347" w:lineRule="exact"/>
                        <w:ind w:left="2467" w:right="206"/>
                        <w:rPr>
                          <w:rFonts w:hint="eastAsia" w:ascii="微软雅黑" w:hAnsi="微软雅黑" w:eastAsia="微软雅黑" w:cs="微软雅黑"/>
                          <w:spacing w:val="43"/>
                          <w:position w:val="-2"/>
                          <w:sz w:val="33"/>
                          <w:szCs w:val="33"/>
                        </w:rPr>
                      </w:pPr>
                    </w:p>
                    <w:p w14:paraId="55219EA8">
                      <w:pPr>
                        <w:spacing w:before="66" w:line="347" w:lineRule="exact"/>
                        <w:ind w:left="2467" w:right="206"/>
                        <w:rPr>
                          <w:rFonts w:hint="eastAsia" w:ascii="微软雅黑" w:hAnsi="微软雅黑" w:eastAsia="微软雅黑" w:cs="微软雅黑"/>
                          <w:spacing w:val="43"/>
                          <w:position w:val="-2"/>
                          <w:sz w:val="33"/>
                          <w:szCs w:val="33"/>
                        </w:rPr>
                      </w:pPr>
                    </w:p>
                    <w:p w14:paraId="53705BA0">
                      <w:pPr>
                        <w:pStyle w:val="20"/>
                        <w:spacing w:line="14" w:lineRule="auto"/>
                        <w:ind w:firstLine="40"/>
                        <w:rPr>
                          <w:sz w:val="2"/>
                        </w:rPr>
                      </w:pPr>
                      <w:r>
                        <w:rPr>
                          <w:sz w:val="2"/>
                          <w:szCs w:val="2"/>
                        </w:rPr>
                        <w:br w:type="column"/>
                      </w:r>
                    </w:p>
                    <w:p w14:paraId="61527C77">
                      <w:pPr>
                        <w:spacing w:before="287" w:line="175" w:lineRule="auto"/>
                        <w:rPr>
                          <w:rFonts w:hint="eastAsia" w:ascii="微软雅黑" w:hAnsi="微软雅黑" w:eastAsia="微软雅黑" w:cs="微软雅黑"/>
                          <w:sz w:val="26"/>
                          <w:szCs w:val="26"/>
                        </w:rPr>
                      </w:pPr>
                      <w:r>
                        <w:rPr>
                          <w:rFonts w:ascii="微软雅黑" w:hAnsi="微软雅黑" w:eastAsia="微软雅黑" w:cs="微软雅黑"/>
                          <w:spacing w:val="-4"/>
                          <w:sz w:val="26"/>
                          <w:szCs w:val="26"/>
                        </w:rPr>
                        <w:t>发布</w:t>
                      </w:r>
                    </w:p>
                    <w:p w14:paraId="0676D629"/>
                  </w:txbxContent>
                </v:textbox>
                <w10:anchorlock/>
              </v:shape>
            </w:pict>
          </mc:Fallback>
        </mc:AlternateContent>
      </w:r>
    </w:p>
    <w:p w14:paraId="1AF48A26">
      <w:pPr>
        <w:pStyle w:val="58"/>
        <w:numPr>
          <w:ilvl w:val="0"/>
          <w:numId w:val="13"/>
        </w:numPr>
        <w:spacing w:line="340" w:lineRule="exact"/>
        <w:rPr>
          <w:rFonts w:hint="eastAsia" w:hAnsi="黑体"/>
        </w:rPr>
      </w:pPr>
      <w:r>
        <w:rPr>
          <w:rFonts w:hint="eastAsia" w:hAnsi="黑体"/>
        </w:rPr>
        <w:t>前言</w:t>
      </w:r>
    </w:p>
    <w:p w14:paraId="63C57D77">
      <w:pPr>
        <w:ind w:firstLine="420" w:firstLineChars="200"/>
        <w:rPr>
          <w:rFonts w:hint="default" w:ascii="Times New Roman" w:hAnsi="Times New Roman" w:cs="Times New Roman"/>
        </w:rPr>
      </w:pPr>
      <w:r>
        <w:rPr>
          <w:rFonts w:hint="default" w:ascii="Times New Roman" w:hAnsi="Times New Roman" w:cs="Times New Roman"/>
          <w:szCs w:val="21"/>
        </w:rPr>
        <w:t>本文件按照GB/T 1.1-2020《标准化工作导则第1部分：标准化文件的结构和起草规则》的规定起草。</w:t>
      </w:r>
    </w:p>
    <w:p w14:paraId="6A19322D">
      <w:pPr>
        <w:ind w:firstLine="420" w:firstLineChars="200"/>
        <w:rPr>
          <w:rFonts w:hint="default" w:ascii="Times New Roman" w:hAnsi="Times New Roman" w:cs="Times New Roman"/>
        </w:rPr>
      </w:pPr>
      <w:r>
        <w:rPr>
          <w:rFonts w:hint="default" w:ascii="Times New Roman" w:hAnsi="Times New Roman" w:cs="Times New Roman"/>
        </w:rPr>
        <w:t>本文件是GB/T 3884的第9部分。GB/T 3384《铜精矿化学分析方法》已经发布了以下部分：</w:t>
      </w:r>
    </w:p>
    <w:p w14:paraId="1122810F">
      <w:pPr>
        <w:pStyle w:val="60"/>
        <w:tabs>
          <w:tab w:val="left" w:pos="1890"/>
          <w:tab w:val="left" w:pos="2100"/>
        </w:tabs>
        <w:ind w:firstLine="420"/>
        <w:rPr>
          <w:rFonts w:hint="default" w:ascii="Times New Roman"/>
        </w:rPr>
      </w:pPr>
      <w:r>
        <w:rPr>
          <w:rFonts w:hint="default" w:ascii="Times New Roman"/>
        </w:rPr>
        <w:t>——第1部分：铜含量的测定  碘量法和电解法；</w:t>
      </w:r>
    </w:p>
    <w:p w14:paraId="4EFBDB6C">
      <w:pPr>
        <w:pStyle w:val="60"/>
        <w:tabs>
          <w:tab w:val="left" w:pos="1890"/>
          <w:tab w:val="left" w:pos="2100"/>
        </w:tabs>
        <w:ind w:firstLine="420"/>
        <w:rPr>
          <w:rFonts w:hint="default" w:ascii="Times New Roman"/>
        </w:rPr>
      </w:pPr>
      <w:r>
        <w:rPr>
          <w:rFonts w:hint="default" w:ascii="Times New Roman"/>
        </w:rPr>
        <w:t>——第2部分：金和银含量的测定  火焰原子吸收光谱法和火试金法；</w:t>
      </w:r>
    </w:p>
    <w:p w14:paraId="4B17ACB2">
      <w:pPr>
        <w:pStyle w:val="60"/>
        <w:tabs>
          <w:tab w:val="left" w:pos="1890"/>
          <w:tab w:val="left" w:pos="2100"/>
        </w:tabs>
        <w:ind w:firstLine="420"/>
        <w:rPr>
          <w:rFonts w:hint="default" w:ascii="Times New Roman"/>
        </w:rPr>
      </w:pPr>
      <w:r>
        <w:rPr>
          <w:rFonts w:hint="default" w:ascii="Times New Roman"/>
        </w:rPr>
        <w:t>——第3部分：硫含量的测定  重量法和燃烧-滴定法；</w:t>
      </w:r>
    </w:p>
    <w:p w14:paraId="4E704B71">
      <w:pPr>
        <w:pStyle w:val="60"/>
        <w:tabs>
          <w:tab w:val="left" w:pos="1890"/>
          <w:tab w:val="left" w:pos="2100"/>
        </w:tabs>
        <w:ind w:firstLine="420"/>
        <w:rPr>
          <w:rFonts w:hint="default" w:ascii="Times New Roman"/>
        </w:rPr>
      </w:pPr>
      <w:r>
        <w:rPr>
          <w:rFonts w:hint="default" w:ascii="Times New Roman"/>
        </w:rPr>
        <w:t>——第4部分：铅、锌、镉、镍和氧化镁含量的测定  火焰原子吸收光谱法；</w:t>
      </w:r>
    </w:p>
    <w:p w14:paraId="1106E688">
      <w:pPr>
        <w:pStyle w:val="60"/>
        <w:tabs>
          <w:tab w:val="left" w:pos="1890"/>
          <w:tab w:val="left" w:pos="2100"/>
        </w:tabs>
        <w:ind w:firstLine="420"/>
        <w:rPr>
          <w:rFonts w:hint="default" w:ascii="Times New Roman"/>
        </w:rPr>
      </w:pPr>
      <w:r>
        <w:rPr>
          <w:rFonts w:hint="default" w:ascii="Times New Roman"/>
        </w:rPr>
        <w:t>——第5部分：氟量的测定  离子选择电极法；</w:t>
      </w:r>
    </w:p>
    <w:p w14:paraId="7AB0E356">
      <w:pPr>
        <w:pStyle w:val="60"/>
        <w:tabs>
          <w:tab w:val="left" w:pos="1890"/>
          <w:tab w:val="left" w:pos="2100"/>
        </w:tabs>
        <w:ind w:firstLine="420"/>
        <w:rPr>
          <w:rFonts w:hint="default" w:ascii="Times New Roman"/>
        </w:rPr>
      </w:pPr>
      <w:r>
        <w:rPr>
          <w:rFonts w:hint="default" w:ascii="Times New Roman"/>
        </w:rPr>
        <w:t>——第7部分：铅和锌含量的测定 Na</w:t>
      </w:r>
      <w:r>
        <w:rPr>
          <w:rFonts w:hint="default" w:ascii="Times New Roman"/>
          <w:vertAlign w:val="subscript"/>
        </w:rPr>
        <w:t>2</w:t>
      </w:r>
      <w:r>
        <w:rPr>
          <w:rFonts w:hint="default" w:ascii="Times New Roman"/>
        </w:rPr>
        <w:t>EDTA滴定法；</w:t>
      </w:r>
    </w:p>
    <w:p w14:paraId="037EC107">
      <w:pPr>
        <w:pStyle w:val="60"/>
        <w:tabs>
          <w:tab w:val="left" w:pos="1890"/>
          <w:tab w:val="left" w:pos="2100"/>
        </w:tabs>
        <w:ind w:left="840" w:leftChars="200" w:hanging="420" w:hangingChars="200"/>
        <w:rPr>
          <w:rFonts w:hint="default" w:ascii="Times New Roman"/>
        </w:rPr>
      </w:pPr>
      <w:r>
        <w:rPr>
          <w:rFonts w:hint="default" w:ascii="Times New Roman"/>
        </w:rPr>
        <w:t>——第9部分：砷、锑和铋含量的测定；</w:t>
      </w:r>
    </w:p>
    <w:p w14:paraId="20F794A6">
      <w:pPr>
        <w:pStyle w:val="60"/>
        <w:tabs>
          <w:tab w:val="left" w:pos="1890"/>
          <w:tab w:val="left" w:pos="2100"/>
        </w:tabs>
        <w:ind w:firstLine="420"/>
        <w:rPr>
          <w:rFonts w:hint="default" w:ascii="Times New Roman"/>
        </w:rPr>
      </w:pPr>
      <w:r>
        <w:rPr>
          <w:rFonts w:hint="default" w:ascii="Times New Roman"/>
        </w:rPr>
        <w:t>——第11部分：汞量的测定  冷原子吸收光谱法和固体进样直接法；</w:t>
      </w:r>
    </w:p>
    <w:p w14:paraId="7F94EB39">
      <w:pPr>
        <w:pStyle w:val="60"/>
        <w:tabs>
          <w:tab w:val="left" w:pos="1890"/>
          <w:tab w:val="left" w:pos="2100"/>
        </w:tabs>
        <w:ind w:firstLine="420"/>
        <w:rPr>
          <w:rFonts w:hint="default" w:ascii="Times New Roman"/>
        </w:rPr>
      </w:pPr>
      <w:r>
        <w:rPr>
          <w:rFonts w:hint="default" w:ascii="Times New Roman"/>
        </w:rPr>
        <w:t>——第12部分：氟和氯含量的测定 离子色谱法和电位滴定法；</w:t>
      </w:r>
    </w:p>
    <w:p w14:paraId="1790B271">
      <w:pPr>
        <w:pStyle w:val="60"/>
        <w:tabs>
          <w:tab w:val="left" w:pos="1890"/>
          <w:tab w:val="left" w:pos="2100"/>
        </w:tabs>
        <w:ind w:firstLine="420"/>
        <w:rPr>
          <w:rFonts w:hint="default" w:ascii="Times New Roman"/>
        </w:rPr>
      </w:pPr>
      <w:r>
        <w:rPr>
          <w:rFonts w:hint="default" w:ascii="Times New Roman"/>
        </w:rPr>
        <w:t>——第15部分：总铁和四氧化三铁含量的测定；</w:t>
      </w:r>
    </w:p>
    <w:p w14:paraId="3FBF73D3">
      <w:pPr>
        <w:pStyle w:val="60"/>
        <w:tabs>
          <w:tab w:val="left" w:pos="1890"/>
          <w:tab w:val="left" w:pos="2100"/>
        </w:tabs>
        <w:ind w:firstLine="420"/>
        <w:rPr>
          <w:rFonts w:hint="default" w:ascii="Times New Roman"/>
        </w:rPr>
      </w:pPr>
      <w:r>
        <w:rPr>
          <w:rFonts w:hint="default" w:ascii="Times New Roman"/>
        </w:rPr>
        <w:t>——第16部分：二氧化硅含量的测定 氟硅酸钾滴定法和重量法；</w:t>
      </w:r>
    </w:p>
    <w:p w14:paraId="3B845E93">
      <w:pPr>
        <w:pStyle w:val="60"/>
        <w:tabs>
          <w:tab w:val="left" w:pos="1890"/>
          <w:tab w:val="left" w:pos="2100"/>
        </w:tabs>
        <w:ind w:firstLine="420"/>
        <w:rPr>
          <w:rFonts w:hint="default" w:ascii="Times New Roman"/>
        </w:rPr>
      </w:pPr>
      <w:r>
        <w:rPr>
          <w:rFonts w:hint="default" w:ascii="Times New Roman"/>
        </w:rPr>
        <w:t>——第17部分：三氧化二铝量的测定铬天青S胶束增溶光度法和沉淀分离-氟盐置换</w:t>
      </w:r>
    </w:p>
    <w:p w14:paraId="6180FE41">
      <w:pPr>
        <w:pStyle w:val="60"/>
        <w:tabs>
          <w:tab w:val="left" w:pos="1890"/>
          <w:tab w:val="left" w:pos="2100"/>
        </w:tabs>
        <w:ind w:firstLine="840" w:firstLineChars="400"/>
        <w:rPr>
          <w:rFonts w:hint="default" w:ascii="Times New Roman"/>
        </w:rPr>
      </w:pPr>
      <w:r>
        <w:rPr>
          <w:rFonts w:hint="default" w:ascii="Times New Roman"/>
        </w:rPr>
        <w:t>Na</w:t>
      </w:r>
      <w:r>
        <w:rPr>
          <w:rFonts w:hint="default" w:ascii="Times New Roman"/>
          <w:vertAlign w:val="subscript"/>
        </w:rPr>
        <w:t>2</w:t>
      </w:r>
      <w:r>
        <w:rPr>
          <w:rFonts w:hint="default" w:ascii="Times New Roman"/>
        </w:rPr>
        <w:t>EDTA滴定法；</w:t>
      </w:r>
    </w:p>
    <w:p w14:paraId="51FA9C83">
      <w:pPr>
        <w:pStyle w:val="60"/>
        <w:tabs>
          <w:tab w:val="left" w:pos="1890"/>
          <w:tab w:val="left" w:pos="2100"/>
        </w:tabs>
        <w:ind w:left="735" w:leftChars="200" w:hanging="315" w:hangingChars="150"/>
        <w:rPr>
          <w:rFonts w:hint="default" w:ascii="Times New Roman"/>
        </w:rPr>
      </w:pPr>
      <w:r>
        <w:rPr>
          <w:rFonts w:hint="default" w:ascii="Times New Roman"/>
        </w:rPr>
        <w:t>——第18部分：砷、锑、铋、铅、锌、镍、镉、钴、铬、氧化铝、氧化镁、氧化钙量的测定电感耦合等离子体原子发射光谱法；</w:t>
      </w:r>
    </w:p>
    <w:p w14:paraId="59003A66">
      <w:pPr>
        <w:pStyle w:val="60"/>
        <w:tabs>
          <w:tab w:val="left" w:pos="1890"/>
          <w:tab w:val="left" w:pos="2100"/>
        </w:tabs>
        <w:ind w:firstLine="420"/>
        <w:rPr>
          <w:rFonts w:hint="default" w:ascii="Times New Roman"/>
        </w:rPr>
      </w:pPr>
      <w:r>
        <w:rPr>
          <w:rFonts w:hint="default" w:ascii="Times New Roman"/>
        </w:rPr>
        <w:t>——第19部分：铊量的测定 电感耦合等离子体质谱法；</w:t>
      </w:r>
    </w:p>
    <w:p w14:paraId="6AAD829E">
      <w:pPr>
        <w:pStyle w:val="60"/>
        <w:tabs>
          <w:tab w:val="left" w:pos="1890"/>
          <w:tab w:val="left" w:pos="2100"/>
        </w:tabs>
        <w:ind w:left="819" w:leftChars="190" w:hanging="420" w:hangingChars="200"/>
        <w:rPr>
          <w:rFonts w:hint="default" w:ascii="Times New Roman"/>
        </w:rPr>
      </w:pPr>
      <w:r>
        <w:rPr>
          <w:rFonts w:hint="default" w:ascii="Times New Roman" w:eastAsia="黑体"/>
        </w:rPr>
        <w:t>——</w:t>
      </w:r>
      <w:r>
        <w:rPr>
          <w:rFonts w:hint="default" w:ascii="Times New Roman"/>
        </w:rPr>
        <w:t>第20部分：汞量的测定 固体进样直接法；</w:t>
      </w:r>
    </w:p>
    <w:p w14:paraId="2480FC4D">
      <w:pPr>
        <w:pStyle w:val="60"/>
        <w:tabs>
          <w:tab w:val="left" w:pos="1890"/>
          <w:tab w:val="left" w:pos="2100"/>
        </w:tabs>
        <w:ind w:left="819" w:leftChars="190" w:hanging="420" w:hangingChars="200"/>
        <w:rPr>
          <w:rFonts w:hint="default" w:ascii="Times New Roman"/>
        </w:rPr>
      </w:pPr>
      <w:r>
        <w:rPr>
          <w:rFonts w:hint="default" w:ascii="Times New Roman"/>
        </w:rPr>
        <w:t>——第21部分：铜、硫、铅、锌、铁、铝、钙、镁、锰量的测定 波长色散X射线荧光光谱法。</w:t>
      </w:r>
    </w:p>
    <w:p w14:paraId="6928ABC0">
      <w:pPr>
        <w:spacing w:before="145" w:line="269" w:lineRule="auto"/>
        <w:ind w:firstLine="420" w:firstLineChars="200"/>
        <w:rPr>
          <w:rFonts w:hint="default" w:ascii="Times New Roman" w:hAnsi="Times New Roman" w:cs="Times New Roman"/>
          <w:kern w:val="0"/>
        </w:rPr>
      </w:pPr>
      <w:r>
        <w:rPr>
          <w:rFonts w:hint="default" w:ascii="Times New Roman" w:hAnsi="Times New Roman" w:cs="Times New Roman"/>
          <w:kern w:val="0"/>
        </w:rPr>
        <w:t>本文件代替GB/T 3884.9-2012《铜精矿化学分析方法 第9部分：砷和铋量的测定 氢化物发生-原子荧光光谱法、溴酸钾滴定法和二乙基二硫代氨基甲酸银分光光度法》和GB/T 3884.10-2012《铜精矿化学分析方法 第10部分：锑量的测定 氢化物发生-原子荧光光谱法》，与GB/T 3884.9-2012及GB/T 3884.10-2012比，除结构调整和编辑性改动外，主要技术变化如下：</w:t>
      </w:r>
    </w:p>
    <w:p w14:paraId="636F3EEA">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更改了范围</w:t>
      </w:r>
      <w:r>
        <w:rPr>
          <w:rFonts w:hint="eastAsia" w:cs="Times New Roman"/>
          <w:kern w:val="0"/>
          <w:lang w:eastAsia="zh-CN"/>
        </w:rPr>
        <w:t>，</w:t>
      </w:r>
      <w:r>
        <w:rPr>
          <w:rFonts w:hint="default" w:ascii="Times New Roman" w:hAnsi="Times New Roman" w:cs="Times New Roman"/>
        </w:rPr>
        <w:t>由“铜精矿”</w:t>
      </w:r>
      <w:r>
        <w:rPr>
          <w:rFonts w:hint="eastAsia" w:ascii="Times New Roman" w:hAnsi="Times New Roman" w:cs="Times New Roman"/>
          <w:lang w:val="en-US" w:eastAsia="zh-CN"/>
        </w:rPr>
        <w:t>更改</w:t>
      </w:r>
      <w:r>
        <w:rPr>
          <w:rFonts w:hint="default" w:ascii="Times New Roman" w:hAnsi="Times New Roman" w:cs="Times New Roman"/>
        </w:rPr>
        <w:t>为“铜精矿及铜渣精矿”</w:t>
      </w:r>
      <w:r>
        <w:rPr>
          <w:rFonts w:hint="default" w:ascii="Times New Roman" w:hAnsi="Times New Roman" w:cs="Times New Roman"/>
          <w:kern w:val="0"/>
        </w:rPr>
        <w:t>（见第1章，GB/T 3884.9-2012</w:t>
      </w:r>
      <w:r>
        <w:rPr>
          <w:rFonts w:hint="default"/>
        </w:rPr>
        <w:t>的第1章和</w:t>
      </w:r>
      <w:r>
        <w:rPr>
          <w:rFonts w:hint="default" w:ascii="Times New Roman" w:hAnsi="Times New Roman" w:cs="Times New Roman"/>
          <w:kern w:val="0"/>
        </w:rPr>
        <w:t>GB/T 3884.10-2012的第1章）。</w:t>
      </w:r>
    </w:p>
    <w:p w14:paraId="07FAFBD4">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更改了分析使用试剂(见4.2、5.2和6.2，GB/T 3884.9-2012的2.2、3.2、4.2和GB/T 3884.10-2012的第3章)；</w:t>
      </w:r>
    </w:p>
    <w:p w14:paraId="01284789">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更改了试料的溶解方式（见4.5.4.1，GB/T 3884.9-2012的2.5.4.1和GB/T 3884.10-2012的6.3.1）；</w:t>
      </w:r>
    </w:p>
    <w:p w14:paraId="5D5F8319">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更改了沉淀的保温时间（见4.5.4.2，GB/T 3884.9-2012的2.5.4.2）；</w:t>
      </w:r>
    </w:p>
    <w:p w14:paraId="16D03792">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扩展了砷、锑、铋测定含量段及分取体积（见4.5.4.5，GB/T 3884.9-2012的2.5.4.3</w:t>
      </w:r>
      <w:r>
        <w:rPr>
          <w:rFonts w:hint="default"/>
        </w:rPr>
        <w:t>和</w:t>
      </w:r>
      <w:r>
        <w:rPr>
          <w:rFonts w:hint="default" w:ascii="Times New Roman" w:hAnsi="Times New Roman" w:cs="Times New Roman"/>
          <w:kern w:val="0"/>
        </w:rPr>
        <w:t>GB/T 3884.10-2012的6.3.5）；</w:t>
      </w:r>
    </w:p>
    <w:p w14:paraId="1C14B463">
      <w:pPr>
        <w:numPr>
          <w:ilvl w:val="0"/>
          <w:numId w:val="14"/>
        </w:numPr>
        <w:ind w:left="840" w:hanging="420"/>
        <w:rPr>
          <w:rFonts w:hint="default" w:ascii="Times New Roman" w:hAnsi="Times New Roman" w:cs="Times New Roman"/>
          <w:kern w:val="0"/>
        </w:rPr>
        <w:sectPr>
          <w:footerReference r:id="rId5" w:type="default"/>
          <w:pgSz w:w="11906" w:h="16838"/>
          <w:pgMar w:top="1440" w:right="1800" w:bottom="1440" w:left="1800" w:header="851" w:footer="992" w:gutter="0"/>
          <w:pgNumType w:fmt="upperRoman" w:start="1"/>
          <w:cols w:space="720" w:num="1"/>
          <w:docGrid w:type="lines" w:linePitch="312" w:charSpace="0"/>
        </w:sectPr>
      </w:pPr>
      <w:r>
        <w:rPr>
          <w:rFonts w:hint="default" w:ascii="Times New Roman" w:hAnsi="Times New Roman" w:cs="Times New Roman"/>
          <w:kern w:val="0"/>
        </w:rPr>
        <w:t>调整了工作曲线的线性范围（见4.5.5.1，GB/T 3884.9-2012的2.5.5.1</w:t>
      </w:r>
      <w:r>
        <w:rPr>
          <w:rFonts w:hint="default"/>
        </w:rPr>
        <w:t>和</w:t>
      </w:r>
    </w:p>
    <w:p w14:paraId="3717B597">
      <w:pPr>
        <w:ind w:left="420" w:firstLine="420" w:firstLineChars="200"/>
        <w:rPr>
          <w:rFonts w:hint="default" w:ascii="Times New Roman" w:hAnsi="Times New Roman" w:cs="Times New Roman"/>
          <w:kern w:val="0"/>
        </w:rPr>
      </w:pPr>
      <w:r>
        <w:rPr>
          <w:rFonts w:hint="default" w:ascii="Times New Roman" w:hAnsi="Times New Roman" w:cs="Times New Roman"/>
          <w:kern w:val="0"/>
        </w:rPr>
        <w:t>GB/T 3884.10-2012的6.4）；</w:t>
      </w:r>
    </w:p>
    <w:p w14:paraId="47A2FF37">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更改了试料的称取量（见5.5.1，GB/T 3884.9-2012的3.5.1）；</w:t>
      </w:r>
    </w:p>
    <w:p w14:paraId="1F1E39F7">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更改了蒸馏的残留体积（见5.5.4.3，GB/T 3884.9-2012的3.5.4.3）；</w:t>
      </w:r>
    </w:p>
    <w:p w14:paraId="38ADCDD3">
      <w:pPr>
        <w:numPr>
          <w:ilvl w:val="0"/>
          <w:numId w:val="14"/>
        </w:numPr>
        <w:ind w:left="840" w:hanging="420"/>
        <w:rPr>
          <w:rFonts w:hint="default" w:ascii="Times New Roman" w:hAnsi="Times New Roman" w:cs="Times New Roman"/>
          <w:kern w:val="0"/>
        </w:rPr>
      </w:pPr>
      <w:r>
        <w:rPr>
          <w:rFonts w:hint="default" w:ascii="Times New Roman" w:hAnsi="Times New Roman" w:cs="Times New Roman"/>
          <w:kern w:val="0"/>
        </w:rPr>
        <w:t>更改了硫酸加入量（见6.5.4.1.1，GB/T 3884.9-2012的</w:t>
      </w:r>
      <w:r>
        <w:rPr>
          <w:rFonts w:hint="default" w:ascii="Times New Roman" w:hAnsi="Times New Roman" w:cs="Times New Roman"/>
        </w:rPr>
        <w:t>4.5.4.1.1）</w:t>
      </w:r>
      <w:r>
        <w:rPr>
          <w:rFonts w:hint="default"/>
        </w:rPr>
        <w:t>；</w:t>
      </w:r>
    </w:p>
    <w:p w14:paraId="7034935F">
      <w:pPr>
        <w:numPr>
          <w:ilvl w:val="0"/>
          <w:numId w:val="14"/>
        </w:numPr>
        <w:ind w:left="840" w:hanging="420"/>
        <w:rPr>
          <w:rFonts w:hint="default" w:ascii="Times New Roman" w:hAnsi="Times New Roman" w:cs="Times New Roman"/>
          <w:kern w:val="0"/>
        </w:rPr>
      </w:pPr>
      <w:r>
        <w:rPr>
          <w:rFonts w:hint="default" w:ascii="Times New Roman" w:hAnsi="Times New Roman" w:cs="Times New Roman"/>
        </w:rPr>
        <w:t>更改试液分取量（见6.5.4.2.1，</w:t>
      </w:r>
      <w:r>
        <w:rPr>
          <w:rFonts w:hint="default" w:ascii="Times New Roman" w:hAnsi="Times New Roman" w:cs="Times New Roman"/>
          <w:kern w:val="0"/>
        </w:rPr>
        <w:t>GB/T 3884.9-2012</w:t>
      </w:r>
      <w:r>
        <w:rPr>
          <w:rFonts w:hint="default" w:ascii="Times New Roman" w:hAnsi="Times New Roman" w:cs="Times New Roman"/>
        </w:rPr>
        <w:t>的4.5.4.2.1）；</w:t>
      </w:r>
    </w:p>
    <w:p w14:paraId="1E7405DD">
      <w:pPr>
        <w:numPr>
          <w:ilvl w:val="0"/>
          <w:numId w:val="14"/>
        </w:numPr>
        <w:ind w:left="840" w:hanging="420"/>
        <w:rPr>
          <w:rFonts w:hint="default" w:ascii="Times New Roman" w:hAnsi="Times New Roman" w:cs="Times New Roman"/>
          <w:kern w:val="0"/>
        </w:rPr>
      </w:pPr>
      <w:r>
        <w:rPr>
          <w:rFonts w:hint="default" w:ascii="Times New Roman" w:hAnsi="Times New Roman" w:cs="Times New Roman"/>
        </w:rPr>
        <w:t>更改了各方法的精密度（见4.7、5.7和6.7，</w:t>
      </w:r>
      <w:r>
        <w:rPr>
          <w:rFonts w:hint="default" w:ascii="Times New Roman" w:hAnsi="Times New Roman" w:cs="Times New Roman"/>
          <w:kern w:val="0"/>
        </w:rPr>
        <w:t>GB/T 3884.9-2012</w:t>
      </w:r>
      <w:r>
        <w:rPr>
          <w:rFonts w:hint="default" w:ascii="Times New Roman" w:hAnsi="Times New Roman" w:cs="Times New Roman"/>
        </w:rPr>
        <w:t>的3.7、4.7、5.7</w:t>
      </w:r>
      <w:r>
        <w:rPr>
          <w:rFonts w:hint="default"/>
        </w:rPr>
        <w:t>和</w:t>
      </w:r>
      <w:r>
        <w:rPr>
          <w:rFonts w:hint="default" w:ascii="Times New Roman" w:hAnsi="Times New Roman" w:cs="Times New Roman"/>
          <w:kern w:val="0"/>
        </w:rPr>
        <w:t>GB/T 3884.10-2012的第8章</w:t>
      </w:r>
      <w:r>
        <w:rPr>
          <w:rFonts w:hint="default" w:ascii="Times New Roman" w:hAnsi="Times New Roman" w:cs="Times New Roman"/>
        </w:rPr>
        <w:t>）。</w:t>
      </w:r>
    </w:p>
    <w:p w14:paraId="75BE7604">
      <w:pPr>
        <w:ind w:firstLine="420" w:firstLineChars="20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7502C302">
      <w:pPr>
        <w:ind w:firstLine="420" w:firstLineChars="200"/>
        <w:rPr>
          <w:rFonts w:hint="default" w:ascii="Times New Roman" w:hAnsi="Times New Roman" w:cs="Times New Roman"/>
        </w:rPr>
      </w:pPr>
      <w:r>
        <w:rPr>
          <w:rFonts w:hint="default" w:ascii="Times New Roman" w:hAnsi="Times New Roman" w:cs="Times New Roman"/>
        </w:rPr>
        <w:t>本文件由全国有色金属标准化技术委员会（SAC/TC 243）提出并归口。</w:t>
      </w:r>
    </w:p>
    <w:p w14:paraId="6E9D6A51">
      <w:pPr>
        <w:ind w:firstLine="420" w:firstLineChars="200"/>
        <w:rPr>
          <w:rFonts w:hint="default"/>
          <w:szCs w:val="21"/>
        </w:rPr>
      </w:pPr>
      <w:r>
        <w:rPr>
          <w:rFonts w:hint="default" w:ascii="Times New Roman" w:hAnsi="Times New Roman" w:cs="Times New Roman"/>
        </w:rPr>
        <w:t>本文件起草单位：</w:t>
      </w:r>
      <w:r>
        <w:rPr>
          <w:rFonts w:hint="default"/>
          <w:szCs w:val="21"/>
        </w:rPr>
        <w:t>江西铜业股份有限公司、铜陵有色金属集团控股有限公司、紫金矿业集团股份有限公司、山西北方铜业有限公司、深圳市中金岭南有色金属股份有限公司、山东中金岭南铜业有限责任公司、昆明冶金研究院有限公司、金川集团股份有限公司、山东恒邦冶炼股份有限公司、中国检验认证集团广西有限公司、云南华联锌铟股份有限公司、中国有色桂林矿产地质研究院有限公司、江西铜业铅锌金属有限公司、葫芦岛锌业股份有限公司。</w:t>
      </w:r>
    </w:p>
    <w:p w14:paraId="651030C8">
      <w:pPr>
        <w:ind w:firstLine="420" w:firstLineChars="200"/>
        <w:rPr>
          <w:rFonts w:hint="default" w:ascii="Times New Roman" w:hAnsi="Times New Roman" w:cs="Times New Roman"/>
        </w:rPr>
      </w:pPr>
      <w:r>
        <w:rPr>
          <w:rFonts w:hint="default" w:ascii="Times New Roman" w:hAnsi="Times New Roman" w:cs="Times New Roman"/>
        </w:rPr>
        <w:t>本文件主要起草人：</w:t>
      </w:r>
    </w:p>
    <w:p w14:paraId="10428F41">
      <w:pPr>
        <w:ind w:firstLine="420"/>
        <w:rPr>
          <w:rFonts w:hint="default" w:ascii="Times New Roman" w:hAnsi="Times New Roman" w:cs="Times New Roman"/>
        </w:rPr>
      </w:pPr>
      <w:r>
        <w:rPr>
          <w:rFonts w:hint="default" w:ascii="Times New Roman" w:hAnsi="Times New Roman" w:cs="Times New Roman"/>
        </w:rPr>
        <w:t>本文件及其所代替文件的历次发布情况为：</w:t>
      </w:r>
    </w:p>
    <w:p w14:paraId="221A7969">
      <w:pPr>
        <w:ind w:firstLine="420"/>
        <w:rPr>
          <w:rFonts w:hint="default" w:ascii="Times New Roman" w:hAnsi="Times New Roman" w:cs="Times New Roman"/>
        </w:rPr>
      </w:pPr>
      <w:r>
        <w:rPr>
          <w:rFonts w:hint="default" w:ascii="Times New Roman" w:hAnsi="Times New Roman" w:cs="Times New Roman"/>
        </w:rPr>
        <w:t>——1983年首次发布为GB/T 3884.9-1983和GB/T 3884.10-1983；</w:t>
      </w:r>
    </w:p>
    <w:p w14:paraId="629805DF">
      <w:pPr>
        <w:ind w:firstLine="420"/>
        <w:rPr>
          <w:rFonts w:hint="default" w:ascii="Times New Roman" w:hAnsi="Times New Roman" w:cs="Times New Roman"/>
        </w:rPr>
      </w:pPr>
      <w:r>
        <w:rPr>
          <w:rFonts w:hint="default" w:ascii="Times New Roman" w:hAnsi="Times New Roman" w:cs="Times New Roman"/>
        </w:rPr>
        <w:t>——2000年第一次修订为GB/T 3884.9-2000；</w:t>
      </w:r>
    </w:p>
    <w:p w14:paraId="3319CA7F">
      <w:pPr>
        <w:ind w:firstLine="420"/>
        <w:rPr>
          <w:rFonts w:hint="default" w:ascii="Times New Roman" w:hAnsi="Times New Roman" w:cs="Times New Roman"/>
        </w:rPr>
      </w:pPr>
      <w:r>
        <w:rPr>
          <w:rFonts w:hint="default" w:ascii="Times New Roman" w:hAnsi="Times New Roman" w:cs="Times New Roman"/>
        </w:rPr>
        <w:t>——2012年第二次修订为GB/T 3884.9-2012；</w:t>
      </w:r>
    </w:p>
    <w:p w14:paraId="26D350BD">
      <w:pPr>
        <w:ind w:firstLine="420"/>
        <w:rPr>
          <w:rFonts w:hint="default" w:ascii="Times New Roman" w:hAnsi="Times New Roman" w:eastAsia="黑体" w:cs="Times New Roman"/>
          <w:kern w:val="0"/>
          <w:sz w:val="32"/>
          <w:szCs w:val="32"/>
        </w:rPr>
        <w:sectPr>
          <w:footerReference r:id="rId6" w:type="default"/>
          <w:footerReference r:id="rId7" w:type="even"/>
          <w:pgSz w:w="11906" w:h="16838"/>
          <w:pgMar w:top="1440" w:right="1800" w:bottom="1440" w:left="1800" w:header="851" w:footer="992" w:gutter="0"/>
          <w:pgNumType w:fmt="upperRoman"/>
          <w:cols w:space="720" w:num="1"/>
          <w:docGrid w:type="lines" w:linePitch="312" w:charSpace="0"/>
        </w:sectPr>
      </w:pPr>
      <w:r>
        <w:rPr>
          <w:rFonts w:hint="default" w:ascii="Times New Roman" w:hAnsi="Times New Roman" w:cs="Times New Roman"/>
        </w:rPr>
        <w:t>——本次为第三次修订</w:t>
      </w:r>
      <w:r>
        <w:rPr>
          <w:rFonts w:hint="eastAsia" w:cs="Times New Roman"/>
          <w:lang w:eastAsia="zh-CN"/>
        </w:rPr>
        <w:t>，</w:t>
      </w:r>
      <w:r>
        <w:rPr>
          <w:rFonts w:hint="default" w:ascii="Times New Roman" w:hAnsi="Times New Roman" w:cs="Times New Roman"/>
        </w:rPr>
        <w:t>并入了GB/T 3884.10-2012《铜精矿化学分析方法 第10部分：锑量测定 氢化物发生法</w:t>
      </w:r>
      <w:r>
        <w:rPr>
          <w:rFonts w:hint="eastAsia" w:cs="Times New Roman"/>
          <w:lang w:eastAsia="zh-CN"/>
        </w:rPr>
        <w:t>-</w:t>
      </w:r>
      <w:r>
        <w:rPr>
          <w:rFonts w:hint="default" w:ascii="Times New Roman" w:hAnsi="Times New Roman" w:cs="Times New Roman"/>
        </w:rPr>
        <w:t>原子荧光光谱法》的内容（2000年首次发布为GB/T 3884.10-2000</w:t>
      </w:r>
      <w:r>
        <w:rPr>
          <w:rFonts w:hint="eastAsia" w:cs="Times New Roman"/>
          <w:lang w:eastAsia="zh-CN"/>
        </w:rPr>
        <w:t>，</w:t>
      </w:r>
      <w:r>
        <w:rPr>
          <w:rFonts w:hint="default" w:ascii="Times New Roman" w:hAnsi="Times New Roman" w:cs="Times New Roman"/>
        </w:rPr>
        <w:t>2012年第一次修订为GB/T 3884.10-2012）。</w:t>
      </w:r>
    </w:p>
    <w:p w14:paraId="42BD2B37">
      <w:pPr>
        <w:pStyle w:val="58"/>
        <w:numPr>
          <w:ilvl w:val="0"/>
          <w:numId w:val="0"/>
        </w:numPr>
        <w:rPr>
          <w:rFonts w:hint="eastAsia" w:hAnsi="黑体" w:cs="黑体"/>
        </w:rPr>
      </w:pPr>
      <w:r>
        <w:rPr>
          <w:rFonts w:hint="eastAsia" w:hAnsi="黑体" w:cs="黑体"/>
          <w:color w:val="000000"/>
        </w:rPr>
        <w:t>引  言</w:t>
      </w:r>
    </w:p>
    <w:p w14:paraId="223760AF">
      <w:pPr>
        <w:pStyle w:val="32"/>
        <w:spacing w:beforeAutospacing="0" w:afterAutospacing="0"/>
        <w:ind w:firstLine="420" w:firstLineChars="200"/>
        <w:rPr>
          <w:rFonts w:hint="eastAsia" w:ascii="宋体" w:hAnsi="宋体" w:cs="宋体"/>
          <w:sz w:val="21"/>
          <w:szCs w:val="21"/>
          <w:lang w:bidi="en-US"/>
        </w:rPr>
      </w:pPr>
      <w:r>
        <w:rPr>
          <w:rFonts w:hint="eastAsia" w:ascii="宋体" w:hAnsi="宋体" w:cs="宋体"/>
          <w:sz w:val="21"/>
          <w:szCs w:val="21"/>
        </w:rPr>
        <w:t>铜精矿和渣精矿是铜的冶炼原料，铜是成为国计民生和国防工程乃至高新技术领域中不可缺少的基础材料和战略物资。目前中国已发展称为全球最大的铜消费国、铜加工制造业基地、铜基础产品输出国，实现了中国铜工业的持续快速发展，并在世界铜行业内充当了重要角色。随着铜量需求不断地增加，铜精矿产量也在不断增加，铜产业的发展前景十分开阔。为落实“国家标准化发展纲要”，深化标准化改革创新，优化存量标准结构，以着力提升标准质量效益，并统筹标准的制定与实施，在广泛开展企业需求调研的基础上，对GB/T 3884《铜精矿化学分析方法》（共21部分）进行了整合修订</w:t>
      </w:r>
      <w:r>
        <w:rPr>
          <w:rFonts w:hint="eastAsia" w:ascii="宋体" w:hAnsi="宋体" w:cs="宋体"/>
          <w:sz w:val="21"/>
          <w:szCs w:val="21"/>
          <w:lang w:bidi="en-US"/>
        </w:rPr>
        <w:t>。</w:t>
      </w:r>
    </w:p>
    <w:p w14:paraId="6C7CB766">
      <w:pPr>
        <w:pStyle w:val="60"/>
        <w:tabs>
          <w:tab w:val="left" w:pos="1890"/>
          <w:tab w:val="left" w:pos="2100"/>
        </w:tabs>
        <w:ind w:firstLine="420"/>
        <w:rPr>
          <w:rFonts w:ascii="Times New Roman"/>
        </w:rPr>
      </w:pPr>
      <w:r>
        <w:rPr>
          <w:rFonts w:hint="eastAsia" w:ascii="Times New Roman"/>
          <w:color w:val="000000"/>
        </w:rPr>
        <w:t>整合后的</w:t>
      </w:r>
      <w:r>
        <w:rPr>
          <w:rFonts w:hint="eastAsia" w:ascii="Times New Roman"/>
        </w:rPr>
        <w:t>GB/T 3884《铜精矿化学分析方法》拟由*个部分构成：</w:t>
      </w:r>
    </w:p>
    <w:p w14:paraId="110B4BA3">
      <w:pPr>
        <w:pStyle w:val="60"/>
        <w:tabs>
          <w:tab w:val="left" w:pos="1890"/>
          <w:tab w:val="left" w:pos="2100"/>
        </w:tabs>
        <w:ind w:firstLine="420"/>
        <w:rPr>
          <w:rFonts w:hint="eastAsia" w:hAnsi="宋体"/>
        </w:rPr>
      </w:pPr>
      <w:r>
        <w:rPr>
          <w:rFonts w:hint="eastAsia" w:hAnsi="宋体"/>
        </w:rPr>
        <w:t>——第1部分：铜含量的测定  碘量法和电解法；</w:t>
      </w:r>
    </w:p>
    <w:p w14:paraId="1E01E673">
      <w:pPr>
        <w:pStyle w:val="60"/>
        <w:tabs>
          <w:tab w:val="left" w:pos="1890"/>
          <w:tab w:val="left" w:pos="2100"/>
        </w:tabs>
        <w:ind w:firstLine="420"/>
        <w:rPr>
          <w:rFonts w:hint="eastAsia" w:hAnsi="宋体"/>
        </w:rPr>
      </w:pPr>
      <w:r>
        <w:rPr>
          <w:rFonts w:hint="eastAsia" w:hAnsi="宋体"/>
        </w:rPr>
        <w:t>——第2部分：金和银含量的测定  火焰原子吸收光谱法和火试金法；</w:t>
      </w:r>
    </w:p>
    <w:p w14:paraId="6AE963ED">
      <w:pPr>
        <w:pStyle w:val="60"/>
        <w:tabs>
          <w:tab w:val="left" w:pos="1890"/>
          <w:tab w:val="left" w:pos="2100"/>
        </w:tabs>
        <w:ind w:firstLine="420"/>
        <w:rPr>
          <w:rFonts w:hint="eastAsia" w:hAnsi="宋体"/>
        </w:rPr>
      </w:pPr>
      <w:r>
        <w:rPr>
          <w:rFonts w:hint="eastAsia" w:hAnsi="宋体"/>
        </w:rPr>
        <w:t>——第3部分：硫含量的测定  重量法和燃烧滴定法；</w:t>
      </w:r>
    </w:p>
    <w:p w14:paraId="2F56E1D6">
      <w:pPr>
        <w:pStyle w:val="60"/>
        <w:tabs>
          <w:tab w:val="left" w:pos="1890"/>
          <w:tab w:val="left" w:pos="2100"/>
        </w:tabs>
        <w:ind w:firstLine="420"/>
        <w:rPr>
          <w:rFonts w:hint="eastAsia" w:hAnsi="宋体"/>
        </w:rPr>
      </w:pPr>
      <w:r>
        <w:rPr>
          <w:rFonts w:hint="eastAsia" w:hAnsi="宋体"/>
        </w:rPr>
        <w:t>——第4部分：铅、锌、镉、镍和氧化镁含量的测定  火焰原子吸收光谱法；</w:t>
      </w:r>
    </w:p>
    <w:p w14:paraId="34780A3A">
      <w:pPr>
        <w:pStyle w:val="60"/>
        <w:tabs>
          <w:tab w:val="left" w:pos="1890"/>
          <w:tab w:val="left" w:pos="2100"/>
        </w:tabs>
        <w:ind w:firstLine="420"/>
        <w:rPr>
          <w:rFonts w:hint="eastAsia" w:hAnsi="宋体"/>
        </w:rPr>
      </w:pPr>
      <w:r>
        <w:rPr>
          <w:rFonts w:hint="eastAsia" w:hAnsi="宋体"/>
        </w:rPr>
        <w:t>——第5部分：氟量的测定  离子选择电极法；</w:t>
      </w:r>
    </w:p>
    <w:p w14:paraId="3BF84DD6">
      <w:pPr>
        <w:pStyle w:val="60"/>
        <w:tabs>
          <w:tab w:val="left" w:pos="1890"/>
          <w:tab w:val="left" w:pos="2100"/>
        </w:tabs>
        <w:ind w:firstLine="420"/>
        <w:rPr>
          <w:rFonts w:hint="eastAsia" w:hAnsi="宋体"/>
        </w:rPr>
      </w:pPr>
      <w:r>
        <w:rPr>
          <w:rFonts w:hint="eastAsia" w:hAnsi="宋体"/>
        </w:rPr>
        <w:t>——第7部分：铅和锌含量的测定 Na</w:t>
      </w:r>
      <w:r>
        <w:rPr>
          <w:rFonts w:hint="eastAsia" w:hAnsi="宋体"/>
          <w:vertAlign w:val="subscript"/>
        </w:rPr>
        <w:t>2</w:t>
      </w:r>
      <w:r>
        <w:rPr>
          <w:rFonts w:hint="eastAsia" w:hAnsi="宋体"/>
        </w:rPr>
        <w:t>EDTA滴定法；</w:t>
      </w:r>
    </w:p>
    <w:p w14:paraId="79F1DA3E">
      <w:pPr>
        <w:pStyle w:val="60"/>
        <w:tabs>
          <w:tab w:val="left" w:pos="1890"/>
          <w:tab w:val="left" w:pos="2100"/>
        </w:tabs>
        <w:ind w:left="840" w:leftChars="200" w:hanging="420" w:hangingChars="200"/>
        <w:rPr>
          <w:rFonts w:hint="eastAsia" w:hAnsi="宋体"/>
        </w:rPr>
      </w:pPr>
      <w:r>
        <w:rPr>
          <w:rFonts w:hint="eastAsia" w:hAnsi="宋体"/>
        </w:rPr>
        <w:t>——第9部分：砷、锑和铋含量的测定；</w:t>
      </w:r>
    </w:p>
    <w:p w14:paraId="38D81831">
      <w:pPr>
        <w:pStyle w:val="60"/>
        <w:tabs>
          <w:tab w:val="left" w:pos="1890"/>
          <w:tab w:val="left" w:pos="2100"/>
        </w:tabs>
        <w:ind w:firstLine="420"/>
        <w:rPr>
          <w:rFonts w:hint="eastAsia" w:hAnsi="宋体"/>
        </w:rPr>
      </w:pPr>
      <w:r>
        <w:rPr>
          <w:rFonts w:hint="eastAsia" w:hAnsi="宋体"/>
        </w:rPr>
        <w:t>——第11部分：汞含量的测定 冷原子吸收光谱法和固体进样直接法；</w:t>
      </w:r>
    </w:p>
    <w:p w14:paraId="723EAB2E">
      <w:pPr>
        <w:pStyle w:val="60"/>
        <w:tabs>
          <w:tab w:val="left" w:pos="1890"/>
          <w:tab w:val="left" w:pos="2100"/>
        </w:tabs>
        <w:ind w:firstLine="420"/>
        <w:rPr>
          <w:rFonts w:hint="eastAsia" w:hAnsi="宋体"/>
        </w:rPr>
      </w:pPr>
      <w:r>
        <w:rPr>
          <w:rFonts w:hint="eastAsia" w:hAnsi="宋体"/>
        </w:rPr>
        <w:t>——第12部分：氟和氯含量的测定 离子色谱法和电位滴定法；</w:t>
      </w:r>
    </w:p>
    <w:p w14:paraId="124BC2EA">
      <w:pPr>
        <w:pStyle w:val="60"/>
        <w:tabs>
          <w:tab w:val="left" w:pos="1890"/>
          <w:tab w:val="left" w:pos="2100"/>
        </w:tabs>
        <w:ind w:firstLine="420"/>
        <w:rPr>
          <w:rFonts w:hint="eastAsia" w:hAnsi="宋体"/>
        </w:rPr>
      </w:pPr>
      <w:r>
        <w:rPr>
          <w:rFonts w:hint="eastAsia" w:hAnsi="宋体"/>
        </w:rPr>
        <w:t>——第15部分：总铁和四氧化三铁含量的测定；</w:t>
      </w:r>
    </w:p>
    <w:p w14:paraId="1CA4507E">
      <w:pPr>
        <w:pStyle w:val="60"/>
        <w:tabs>
          <w:tab w:val="left" w:pos="1890"/>
          <w:tab w:val="left" w:pos="2100"/>
        </w:tabs>
        <w:ind w:firstLine="420"/>
        <w:rPr>
          <w:rFonts w:hint="eastAsia" w:hAnsi="宋体"/>
        </w:rPr>
      </w:pPr>
      <w:r>
        <w:rPr>
          <w:rFonts w:hint="eastAsia" w:hAnsi="宋体"/>
        </w:rPr>
        <w:t>——第16部分：二氧化硅含量的测定 氟硅酸钾滴定法和重量法；</w:t>
      </w:r>
    </w:p>
    <w:p w14:paraId="7BA87E0E">
      <w:pPr>
        <w:pStyle w:val="60"/>
        <w:tabs>
          <w:tab w:val="left" w:pos="1890"/>
          <w:tab w:val="left" w:pos="2100"/>
        </w:tabs>
        <w:ind w:firstLine="420"/>
        <w:rPr>
          <w:rFonts w:hint="eastAsia" w:hAnsi="宋体"/>
        </w:rPr>
      </w:pPr>
      <w:r>
        <w:rPr>
          <w:rFonts w:hint="eastAsia" w:hAnsi="宋体"/>
        </w:rPr>
        <w:t>——第17部分：三氧化二铝量的测定铬天青S胶束增溶光度法和沉淀分离氟盐置换</w:t>
      </w:r>
    </w:p>
    <w:p w14:paraId="1E1B5AD7">
      <w:pPr>
        <w:pStyle w:val="60"/>
        <w:tabs>
          <w:tab w:val="left" w:pos="1890"/>
          <w:tab w:val="left" w:pos="2100"/>
        </w:tabs>
        <w:ind w:firstLine="840" w:firstLineChars="400"/>
        <w:rPr>
          <w:rFonts w:hint="eastAsia" w:hAnsi="宋体"/>
        </w:rPr>
      </w:pPr>
      <w:r>
        <w:rPr>
          <w:rFonts w:hint="eastAsia" w:hAnsi="宋体"/>
        </w:rPr>
        <w:t>Na</w:t>
      </w:r>
      <w:r>
        <w:rPr>
          <w:rFonts w:hint="eastAsia" w:hAnsi="宋体"/>
          <w:vertAlign w:val="subscript"/>
        </w:rPr>
        <w:t>2</w:t>
      </w:r>
      <w:r>
        <w:rPr>
          <w:rFonts w:hint="eastAsia" w:hAnsi="宋体"/>
        </w:rPr>
        <w:t>EDTA滴定法；</w:t>
      </w:r>
    </w:p>
    <w:p w14:paraId="7DD670A7">
      <w:pPr>
        <w:pStyle w:val="60"/>
        <w:tabs>
          <w:tab w:val="left" w:pos="1890"/>
          <w:tab w:val="left" w:pos="2100"/>
        </w:tabs>
        <w:ind w:left="735" w:leftChars="200" w:hanging="315" w:hangingChars="150"/>
        <w:rPr>
          <w:rFonts w:hint="eastAsia" w:hAnsi="宋体"/>
        </w:rPr>
      </w:pPr>
      <w:r>
        <w:rPr>
          <w:rFonts w:hint="eastAsia" w:hAnsi="宋体"/>
        </w:rPr>
        <w:t>——第18部分：砷、锑、铋、铅、锌、镍、镉、钴、铬、氧化铝、氧化镁、氧化钙量的测定电感耦合等离子体原子发射光谱法；</w:t>
      </w:r>
    </w:p>
    <w:p w14:paraId="1A0B6F95">
      <w:pPr>
        <w:pStyle w:val="60"/>
        <w:tabs>
          <w:tab w:val="left" w:pos="1890"/>
          <w:tab w:val="left" w:pos="2100"/>
        </w:tabs>
        <w:ind w:firstLine="420"/>
        <w:rPr>
          <w:rFonts w:hint="eastAsia" w:hAnsi="宋体"/>
        </w:rPr>
      </w:pPr>
      <w:r>
        <w:rPr>
          <w:rFonts w:hint="eastAsia" w:hAnsi="宋体"/>
        </w:rPr>
        <w:t>——第19部分：铊量的测定 电感耦合等离子体质谱法；</w:t>
      </w:r>
    </w:p>
    <w:p w14:paraId="05AB93CC">
      <w:pPr>
        <w:pStyle w:val="60"/>
        <w:tabs>
          <w:tab w:val="left" w:pos="1890"/>
          <w:tab w:val="left" w:pos="2100"/>
        </w:tabs>
        <w:ind w:firstLine="420"/>
        <w:rPr>
          <w:rFonts w:hint="eastAsia" w:hAnsi="宋体"/>
        </w:rPr>
      </w:pPr>
      <w:r>
        <w:rPr>
          <w:rFonts w:hint="eastAsia" w:hAnsi="宋体"/>
        </w:rPr>
        <w:t>——第21部分：铜、硫、铅、锌、铁、铝、钙、镁、锰量的测定 波长色散X射线荧光光谱法。</w:t>
      </w:r>
    </w:p>
    <w:p w14:paraId="60B9C289">
      <w:pPr>
        <w:pStyle w:val="60"/>
        <w:tabs>
          <w:tab w:val="left" w:pos="1890"/>
          <w:tab w:val="left" w:pos="2100"/>
        </w:tabs>
        <w:spacing w:line="340" w:lineRule="exact"/>
        <w:ind w:firstLine="420"/>
        <w:rPr>
          <w:rFonts w:hint="eastAsia"/>
          <w:lang w:eastAsia="zh-CN" w:bidi="ar"/>
        </w:rPr>
      </w:pPr>
      <w:r>
        <w:rPr>
          <w:rFonts w:hint="eastAsia" w:hAnsi="宋体" w:cs="宋体"/>
        </w:rPr>
        <w:t>本文件描述了采用氢化物发生-原子荧光光谱法、溴酸钾滴定法和二乙基二硫代氨基甲酸银分光光度法测定铜精矿和铜渣精矿中砷、锑和铋含量的方法。本</w:t>
      </w:r>
      <w:r>
        <w:rPr>
          <w:rFonts w:hint="eastAsia" w:hAnsi="宋体" w:cs="宋体"/>
          <w:lang w:val="en-US" w:eastAsia="zh-CN"/>
        </w:rPr>
        <w:t>文件</w:t>
      </w:r>
      <w:r>
        <w:rPr>
          <w:rFonts w:hint="eastAsia" w:hAnsi="宋体" w:cs="宋体"/>
        </w:rPr>
        <w:t>在GB/T 3884.9-2012《铜精矿化学分析方法 第9部分</w:t>
      </w:r>
      <w:r>
        <w:rPr>
          <w:rFonts w:hint="eastAsia" w:hAnsi="宋体" w:cs="宋体"/>
          <w:lang w:eastAsia="zh-CN"/>
        </w:rPr>
        <w:t>：</w:t>
      </w:r>
      <w:r>
        <w:rPr>
          <w:rFonts w:hint="eastAsia" w:hAnsi="宋体" w:cs="宋体"/>
        </w:rPr>
        <w:t>砷和铋量的测定 氢化物发生-原子荧光光谱法、溴酸钾滴定法和二乙基二硫代氨基甲酸银分光光度法》的基础上进行修订，并入了GB/T 3884.10-2012《铜精矿化学分析方法 第10部分</w:t>
      </w:r>
      <w:r>
        <w:rPr>
          <w:rFonts w:hint="eastAsia" w:hAnsi="宋体" w:cs="宋体"/>
          <w:lang w:eastAsia="zh-CN"/>
        </w:rPr>
        <w:t>：</w:t>
      </w:r>
      <w:r>
        <w:rPr>
          <w:rFonts w:hint="eastAsia" w:hAnsi="宋体" w:cs="宋体"/>
        </w:rPr>
        <w:t>锑量的测定 氢化物发生-原子荧光光谱法》的内容，参考了</w:t>
      </w:r>
      <w:r>
        <w:rPr>
          <w:rFonts w:hint="eastAsia"/>
          <w:lang w:bidi="ar"/>
        </w:rPr>
        <w:t xml:space="preserve"> YS/T 1046《铜渣精矿化学分析方法》的样品处理方式</w:t>
      </w:r>
      <w:r>
        <w:rPr>
          <w:rFonts w:hint="eastAsia"/>
          <w:lang w:eastAsia="zh-CN" w:bidi="ar"/>
        </w:rPr>
        <w:t>。</w:t>
      </w:r>
    </w:p>
    <w:p w14:paraId="763A0C7B">
      <w:pPr>
        <w:pStyle w:val="60"/>
        <w:tabs>
          <w:tab w:val="left" w:pos="1890"/>
          <w:tab w:val="left" w:pos="2100"/>
        </w:tabs>
        <w:spacing w:line="340" w:lineRule="exact"/>
        <w:ind w:firstLine="420"/>
        <w:rPr>
          <w:rFonts w:ascii="Times New Roman"/>
        </w:rPr>
      </w:pPr>
      <w:r>
        <w:rPr>
          <w:rFonts w:hint="eastAsia" w:ascii="Times New Roman"/>
        </w:rPr>
        <w:t>本次修订，扩大了标准适用范围</w:t>
      </w:r>
      <w:r>
        <w:rPr>
          <w:rFonts w:hint="eastAsia" w:ascii="Times New Roman"/>
          <w:lang w:val="en-US" w:eastAsia="zh-CN"/>
        </w:rPr>
        <w:t>至铜渣精矿</w:t>
      </w:r>
      <w:r>
        <w:rPr>
          <w:rFonts w:hint="eastAsia" w:ascii="Times New Roman"/>
        </w:rPr>
        <w:t>，统一了溶样方法，</w:t>
      </w:r>
      <w:r>
        <w:rPr>
          <w:rFonts w:hint="eastAsia" w:ascii="Times New Roman"/>
          <w:lang w:val="en-US" w:eastAsia="zh-CN"/>
        </w:rPr>
        <w:t>修订</w:t>
      </w:r>
      <w:r>
        <w:rPr>
          <w:rFonts w:hint="eastAsia" w:ascii="Times New Roman"/>
        </w:rPr>
        <w:t>了重复性和再现性的数值，对贸易结算和指导生产具有重要意义</w:t>
      </w:r>
      <w:r>
        <w:rPr>
          <w:rFonts w:hint="eastAsia"/>
          <w:lang w:bidi="ar"/>
        </w:rPr>
        <w:t>。</w:t>
      </w:r>
    </w:p>
    <w:p w14:paraId="6AE4FBCB">
      <w:pPr>
        <w:rPr>
          <w:rFonts w:hint="eastAsia" w:hAnsi="黑体"/>
        </w:rPr>
      </w:pPr>
    </w:p>
    <w:p w14:paraId="4ADDD2BF">
      <w:pPr>
        <w:rPr>
          <w:rFonts w:hint="eastAsia" w:hAnsi="黑体"/>
        </w:rPr>
      </w:pPr>
      <w:r>
        <w:rPr>
          <w:rFonts w:hint="eastAsia" w:hAnsi="黑体"/>
        </w:rPr>
        <w:br w:type="page"/>
      </w:r>
    </w:p>
    <w:p w14:paraId="31DBDD45">
      <w:pPr>
        <w:jc w:val="center"/>
        <w:rPr>
          <w:rFonts w:hint="eastAsia" w:ascii="黑体" w:hAnsi="黑体" w:eastAsia="黑体" w:cs="黑体"/>
          <w:kern w:val="0"/>
          <w:sz w:val="32"/>
          <w:szCs w:val="32"/>
        </w:rPr>
      </w:pPr>
      <w:r>
        <w:rPr>
          <w:rFonts w:hint="eastAsia" w:ascii="黑体" w:hAnsi="黑体" w:eastAsia="黑体" w:cs="黑体"/>
          <w:kern w:val="0"/>
          <w:sz w:val="32"/>
          <w:szCs w:val="32"/>
        </w:rPr>
        <w:t>铜精矿化学分析方法</w:t>
      </w:r>
    </w:p>
    <w:p w14:paraId="23297F64">
      <w:pPr>
        <w:spacing w:before="156" w:beforeLines="50" w:after="156" w:afterLines="50" w:line="480" w:lineRule="auto"/>
        <w:ind w:right="-649" w:rightChars="-309"/>
        <w:jc w:val="center"/>
        <w:rPr>
          <w:rFonts w:hint="eastAsia" w:ascii="黑体" w:hAnsi="黑体" w:eastAsia="黑体" w:cs="黑体"/>
          <w:kern w:val="0"/>
          <w:sz w:val="32"/>
          <w:szCs w:val="32"/>
        </w:rPr>
      </w:pPr>
      <w:bookmarkStart w:id="1" w:name="_GoBack"/>
      <w:r>
        <w:rPr>
          <w:rFonts w:hint="eastAsia" w:ascii="黑体" w:hAnsi="黑体" w:eastAsia="黑体" w:cs="黑体"/>
          <w:kern w:val="0"/>
          <w:sz w:val="32"/>
          <w:szCs w:val="32"/>
        </w:rPr>
        <w:t>第9部分：砷、锑和铋含量的测定</w:t>
      </w:r>
      <w:bookmarkEnd w:id="1"/>
    </w:p>
    <w:p w14:paraId="63FDB5B0">
      <w:pPr>
        <w:snapToGrid w:val="0"/>
        <w:ind w:firstLine="422" w:firstLineChars="200"/>
        <w:jc w:val="left"/>
        <w:rPr>
          <w:b/>
          <w:szCs w:val="21"/>
        </w:rPr>
      </w:pPr>
    </w:p>
    <w:p w14:paraId="239A5C15">
      <w:pPr>
        <w:spacing w:before="156" w:beforeLines="50" w:after="156" w:afterLines="50"/>
        <w:rPr>
          <w:rFonts w:hint="eastAsia" w:ascii="黑体" w:hAnsi="黑体" w:eastAsia="黑体" w:cs="黑体"/>
          <w:bCs/>
          <w:szCs w:val="21"/>
        </w:rPr>
      </w:pPr>
      <w:r>
        <w:rPr>
          <w:rFonts w:hint="eastAsia" w:ascii="黑体" w:hAnsi="黑体" w:eastAsia="黑体"/>
          <w:szCs w:val="21"/>
        </w:rPr>
        <w:t>1</w:t>
      </w:r>
      <w:r>
        <w:rPr>
          <w:rFonts w:hint="eastAsia" w:ascii="黑体" w:hAnsi="黑体" w:eastAsia="黑体" w:cs="黑体"/>
          <w:bCs/>
          <w:szCs w:val="21"/>
        </w:rPr>
        <w:t xml:space="preserve">  范围</w:t>
      </w:r>
    </w:p>
    <w:p w14:paraId="6DD29157">
      <w:pPr>
        <w:pStyle w:val="60"/>
        <w:ind w:firstLine="420"/>
        <w:rPr>
          <w:rFonts w:ascii="Times New Roman"/>
        </w:rPr>
      </w:pPr>
      <w:r>
        <w:rPr>
          <w:rFonts w:hint="eastAsia" w:ascii="Times New Roman"/>
        </w:rPr>
        <w:t>本文件描述了氢化物发生—原子荧光光谱法（方法1）、溴酸钾滴定法（方法2）和二乙基二硫代氨基甲酸银分光光度法（方法3）测定铜精矿中砷、锑、铋含量的方法。</w:t>
      </w:r>
    </w:p>
    <w:p w14:paraId="1C34C667">
      <w:pPr>
        <w:pStyle w:val="60"/>
        <w:ind w:firstLine="420"/>
        <w:rPr>
          <w:rFonts w:ascii="Times New Roman"/>
        </w:rPr>
      </w:pPr>
      <w:r>
        <w:rPr>
          <w:rFonts w:hint="eastAsia" w:ascii="Times New Roman"/>
        </w:rPr>
        <w:t>本文件适用于铜精矿和铜渣精矿中砷、锑和铋含量的测定。方法1测定范围为砷0.01</w:t>
      </w:r>
      <w:r>
        <w:rPr>
          <w:rFonts w:hint="eastAsia" w:ascii="Times New Roman"/>
          <w:lang w:eastAsia="zh-CN"/>
        </w:rPr>
        <w:t>0 %</w:t>
      </w:r>
      <w:r>
        <w:rPr>
          <w:rFonts w:hint="eastAsia" w:ascii="Times New Roman"/>
        </w:rPr>
        <w:t>～1.0</w:t>
      </w:r>
      <w:r>
        <w:rPr>
          <w:rFonts w:hint="eastAsia" w:ascii="Times New Roman"/>
          <w:lang w:eastAsia="zh-CN"/>
        </w:rPr>
        <w:t>0 %</w:t>
      </w:r>
      <w:r>
        <w:rPr>
          <w:rFonts w:hint="eastAsia"/>
          <w:szCs w:val="21"/>
        </w:rPr>
        <w:t>，锑</w:t>
      </w:r>
      <w:r>
        <w:rPr>
          <w:rFonts w:hint="eastAsia" w:ascii="Times New Roman"/>
        </w:rPr>
        <w:t>0.01</w:t>
      </w:r>
      <w:r>
        <w:rPr>
          <w:rFonts w:hint="eastAsia" w:ascii="Times New Roman"/>
          <w:lang w:eastAsia="zh-CN"/>
        </w:rPr>
        <w:t>0 %</w:t>
      </w:r>
      <w:r>
        <w:rPr>
          <w:rFonts w:ascii="Times New Roman"/>
          <w:color w:val="000000"/>
          <w:szCs w:val="21"/>
        </w:rPr>
        <w:t>～</w:t>
      </w:r>
      <w:r>
        <w:rPr>
          <w:rFonts w:hint="eastAsia" w:ascii="Times New Roman"/>
        </w:rPr>
        <w:t>1.0</w:t>
      </w:r>
      <w:r>
        <w:rPr>
          <w:rFonts w:hint="eastAsia" w:ascii="Times New Roman"/>
          <w:lang w:eastAsia="zh-CN"/>
        </w:rPr>
        <w:t>0 %</w:t>
      </w:r>
      <w:r>
        <w:rPr>
          <w:rFonts w:hint="eastAsia"/>
          <w:szCs w:val="21"/>
        </w:rPr>
        <w:t>，铋</w:t>
      </w:r>
      <w:r>
        <w:rPr>
          <w:rFonts w:hint="eastAsia" w:ascii="Times New Roman"/>
        </w:rPr>
        <w:t>0.01</w:t>
      </w:r>
      <w:r>
        <w:rPr>
          <w:rFonts w:hint="eastAsia" w:ascii="Times New Roman"/>
          <w:lang w:eastAsia="zh-CN"/>
        </w:rPr>
        <w:t>0 %</w:t>
      </w:r>
      <w:r>
        <w:rPr>
          <w:rFonts w:hint="eastAsia" w:ascii="Times New Roman"/>
        </w:rPr>
        <w:t>～1.0</w:t>
      </w:r>
      <w:r>
        <w:rPr>
          <w:rFonts w:hint="eastAsia" w:ascii="Times New Roman"/>
          <w:lang w:eastAsia="zh-CN"/>
        </w:rPr>
        <w:t>0 %</w:t>
      </w:r>
      <w:r>
        <w:rPr>
          <w:rFonts w:hint="eastAsia" w:ascii="Times New Roman"/>
        </w:rPr>
        <w:t>；方法2测定范围为砷0.1</w:t>
      </w:r>
      <w:r>
        <w:rPr>
          <w:rFonts w:hint="eastAsia" w:ascii="Times New Roman"/>
          <w:lang w:eastAsia="zh-CN"/>
        </w:rPr>
        <w:t>0 %</w:t>
      </w:r>
      <w:r>
        <w:rPr>
          <w:rFonts w:hint="eastAsia" w:ascii="Times New Roman"/>
        </w:rPr>
        <w:t>～4.5</w:t>
      </w:r>
      <w:r>
        <w:rPr>
          <w:rFonts w:hint="eastAsia" w:ascii="Times New Roman"/>
          <w:lang w:eastAsia="zh-CN"/>
        </w:rPr>
        <w:t>0 %</w:t>
      </w:r>
      <w:r>
        <w:rPr>
          <w:rFonts w:hint="eastAsia"/>
          <w:szCs w:val="21"/>
        </w:rPr>
        <w:t>；</w:t>
      </w:r>
      <w:r>
        <w:rPr>
          <w:rFonts w:hint="eastAsia" w:ascii="Times New Roman"/>
        </w:rPr>
        <w:t>方法3测定范围为砷0.01</w:t>
      </w:r>
      <w:r>
        <w:rPr>
          <w:rFonts w:hint="eastAsia" w:ascii="Times New Roman"/>
          <w:lang w:eastAsia="zh-CN"/>
        </w:rPr>
        <w:t>0 %</w:t>
      </w:r>
      <w:r>
        <w:rPr>
          <w:rFonts w:hint="eastAsia" w:ascii="Times New Roman"/>
        </w:rPr>
        <w:t>～0.40</w:t>
      </w:r>
      <w:r>
        <w:rPr>
          <w:rFonts w:hint="eastAsia" w:ascii="Times New Roman"/>
          <w:lang w:eastAsia="zh-CN"/>
        </w:rPr>
        <w:t>0 %</w:t>
      </w:r>
      <w:r>
        <w:rPr>
          <w:rFonts w:hint="eastAsia" w:ascii="Times New Roman"/>
        </w:rPr>
        <w:t>。</w:t>
      </w:r>
    </w:p>
    <w:p w14:paraId="3C919725">
      <w:pPr>
        <w:spacing w:before="156" w:beforeLines="50" w:after="156" w:afterLines="50"/>
        <w:rPr>
          <w:rFonts w:hint="eastAsia" w:ascii="黑体" w:hAnsi="黑体" w:eastAsia="黑体" w:cs="黑体"/>
          <w:bCs/>
          <w:szCs w:val="21"/>
        </w:rPr>
      </w:pPr>
      <w:r>
        <w:rPr>
          <w:rFonts w:hint="eastAsia" w:ascii="黑体" w:hAnsi="黑体" w:eastAsia="黑体" w:cs="黑体"/>
          <w:bCs/>
          <w:szCs w:val="21"/>
        </w:rPr>
        <w:t>2  规范性引用文件</w:t>
      </w:r>
    </w:p>
    <w:p w14:paraId="200EE6D6">
      <w:pPr>
        <w:ind w:firstLine="420" w:firstLineChars="200"/>
        <w:rPr>
          <w:rFonts w:hint="eastAsia" w:ascii="宋体" w:hAnsi="宋体"/>
          <w:bCs/>
          <w:szCs w:val="21"/>
        </w:rPr>
      </w:pPr>
      <w:r>
        <w:rPr>
          <w:rFonts w:hint="eastAsia" w:ascii="宋体" w:hAnsi="宋体" w:cs="宋体"/>
        </w:rPr>
        <w:t>本文件</w:t>
      </w:r>
      <w:r>
        <w:rPr>
          <w:rFonts w:ascii="宋体" w:hAnsi="宋体" w:cs="宋体"/>
        </w:rPr>
        <w:t>没有规范性引用文件。</w:t>
      </w:r>
    </w:p>
    <w:p w14:paraId="0C1C8A4B">
      <w:pPr>
        <w:spacing w:before="156" w:beforeLines="50" w:after="156" w:afterLines="50"/>
        <w:rPr>
          <w:rFonts w:hint="eastAsia" w:ascii="黑体" w:hAnsi="黑体" w:eastAsia="黑体" w:cs="黑体"/>
          <w:bCs/>
          <w:szCs w:val="21"/>
        </w:rPr>
      </w:pPr>
      <w:r>
        <w:rPr>
          <w:rFonts w:hint="eastAsia" w:ascii="黑体" w:hAnsi="黑体" w:eastAsia="黑体" w:cs="黑体"/>
          <w:bCs/>
          <w:szCs w:val="21"/>
        </w:rPr>
        <w:t>3  术语和定义</w:t>
      </w:r>
    </w:p>
    <w:p w14:paraId="0CDA8903">
      <w:pPr>
        <w:spacing w:after="312" w:afterLines="100"/>
        <w:ind w:firstLine="420" w:firstLineChars="200"/>
        <w:rPr>
          <w:rFonts w:hint="eastAsia" w:ascii="宋体" w:hAnsi="宋体"/>
          <w:bCs/>
          <w:szCs w:val="21"/>
        </w:rPr>
      </w:pPr>
      <w:r>
        <w:rPr>
          <w:rFonts w:hint="eastAsia" w:ascii="宋体" w:hAnsi="宋体"/>
          <w:bCs/>
          <w:szCs w:val="21"/>
        </w:rPr>
        <w:t>本文件没有需要界定的术语和定义。</w:t>
      </w:r>
    </w:p>
    <w:p w14:paraId="54F42F65">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  方法1 氢化物发生-原子荧光光谱法</w:t>
      </w:r>
    </w:p>
    <w:p w14:paraId="15BF27BA">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4.1  原理</w:t>
      </w:r>
    </w:p>
    <w:p w14:paraId="63DF588F">
      <w:pPr>
        <w:ind w:firstLine="420"/>
        <w:rPr>
          <w:b/>
          <w:bCs/>
        </w:rPr>
      </w:pPr>
      <w:r>
        <w:rPr>
          <w:rFonts w:hint="eastAsia"/>
          <w:szCs w:val="21"/>
        </w:rPr>
        <w:t>试料经氯酸钾—硝酸溶液、氟化氢铵、硫酸分解。利用试料中含有的铁和加入的一定量的镧，在氨性介质中，共沉淀砷、锑和铋与铜分离。沉淀以热盐酸溶解，分取部分溶液，加入抗坏血酸预还原，以硫脲掩蔽残存的铜。在氢化物发生器中，砷、锑和铋被硼氢化钾还原为氢化物，用氩气导入石英炉原子化器中，以空心阴极灯作光源，于原子荧光光谱仪上测定其荧光强度。</w:t>
      </w:r>
    </w:p>
    <w:p w14:paraId="32B0F912">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4.2  试剂</w:t>
      </w:r>
    </w:p>
    <w:p w14:paraId="3399FC2C">
      <w:pPr>
        <w:ind w:firstLine="420"/>
        <w:rPr>
          <w:rFonts w:hint="eastAsia" w:ascii="宋体" w:hAnsi="宋体" w:cs="宋体"/>
          <w:szCs w:val="21"/>
        </w:rPr>
      </w:pPr>
      <w:r>
        <w:rPr>
          <w:rFonts w:hint="eastAsia" w:ascii="宋体" w:hAnsi="宋体" w:cs="宋体"/>
          <w:szCs w:val="21"/>
        </w:rPr>
        <w:t>除非另有说明，在分析中仅使用确认为分析纯的试剂。</w:t>
      </w:r>
    </w:p>
    <w:p w14:paraId="698FB398">
      <w:pPr>
        <w:rPr>
          <w:szCs w:val="21"/>
        </w:rPr>
      </w:pPr>
      <w:r>
        <w:rPr>
          <w:rFonts w:ascii="黑体" w:hAnsi="黑体" w:eastAsia="黑体" w:cs="黑体"/>
          <w:szCs w:val="21"/>
        </w:rPr>
        <w:t>4.2.1</w:t>
      </w:r>
      <w:r>
        <w:rPr>
          <w:rFonts w:hint="eastAsia" w:ascii="黑体" w:hAnsi="黑体" w:eastAsia="黑体" w:cs="黑体"/>
          <w:szCs w:val="21"/>
        </w:rPr>
        <w:t xml:space="preserve">  </w:t>
      </w:r>
      <w:r>
        <w:rPr>
          <w:szCs w:val="21"/>
        </w:rPr>
        <w:t>水，GB/T 6682，</w:t>
      </w:r>
      <w:r>
        <w:rPr>
          <w:rFonts w:hint="eastAsia"/>
          <w:szCs w:val="21"/>
        </w:rPr>
        <w:t>二</w:t>
      </w:r>
      <w:r>
        <w:rPr>
          <w:szCs w:val="21"/>
        </w:rPr>
        <w:t>级。</w:t>
      </w:r>
    </w:p>
    <w:p w14:paraId="43CDA2BD">
      <w:pPr>
        <w:rPr>
          <w:szCs w:val="21"/>
        </w:rPr>
      </w:pPr>
      <w:r>
        <w:rPr>
          <w:rFonts w:hint="eastAsia" w:ascii="黑体" w:hAnsi="黑体" w:eastAsia="黑体"/>
          <w:szCs w:val="21"/>
        </w:rPr>
        <w:t>4.2.2</w:t>
      </w:r>
      <w:r>
        <w:rPr>
          <w:rFonts w:hint="eastAsia"/>
          <w:szCs w:val="21"/>
        </w:rPr>
        <w:t xml:space="preserve">  盐酸（</w:t>
      </w:r>
      <w:r>
        <w:rPr>
          <w:i/>
          <w:iCs/>
          <w:szCs w:val="21"/>
        </w:rPr>
        <w:t>ρ</w:t>
      </w:r>
      <w:r>
        <w:rPr>
          <w:rFonts w:hint="eastAsia"/>
          <w:szCs w:val="21"/>
        </w:rPr>
        <w:t>= 1.19 g/mL），优级纯。</w:t>
      </w:r>
    </w:p>
    <w:p w14:paraId="25AC3786">
      <w:pPr>
        <w:rPr>
          <w:szCs w:val="21"/>
        </w:rPr>
      </w:pPr>
      <w:r>
        <w:rPr>
          <w:rFonts w:hint="eastAsia" w:ascii="黑体" w:hAnsi="黑体" w:eastAsia="黑体"/>
          <w:szCs w:val="21"/>
        </w:rPr>
        <w:t>4.2.3</w:t>
      </w:r>
      <w:r>
        <w:rPr>
          <w:rFonts w:hint="eastAsia"/>
          <w:szCs w:val="21"/>
        </w:rPr>
        <w:t xml:space="preserve">  氨水（</w:t>
      </w:r>
      <w:r>
        <w:rPr>
          <w:i/>
          <w:iCs/>
          <w:szCs w:val="21"/>
        </w:rPr>
        <w:t>ρ</w:t>
      </w:r>
      <w:r>
        <w:rPr>
          <w:rFonts w:hint="eastAsia"/>
          <w:szCs w:val="21"/>
        </w:rPr>
        <w:t>= 0.90 g/mL），优级纯。</w:t>
      </w:r>
    </w:p>
    <w:p w14:paraId="2EDF156D">
      <w:pPr>
        <w:rPr>
          <w:szCs w:val="21"/>
        </w:rPr>
      </w:pPr>
      <w:r>
        <w:rPr>
          <w:rFonts w:hint="eastAsia" w:ascii="黑体" w:hAnsi="黑体" w:eastAsia="黑体"/>
          <w:szCs w:val="21"/>
        </w:rPr>
        <w:t>4.2.4</w:t>
      </w:r>
      <w:r>
        <w:rPr>
          <w:rFonts w:hint="eastAsia"/>
          <w:szCs w:val="21"/>
        </w:rPr>
        <w:t xml:space="preserve">  氯酸钾</w:t>
      </w:r>
      <w:r>
        <w:rPr>
          <w:rFonts w:hint="eastAsia"/>
          <w:szCs w:val="21"/>
          <w:lang w:val="en-US" w:eastAsia="zh-CN"/>
        </w:rPr>
        <w:t>-</w:t>
      </w:r>
      <w:r>
        <w:rPr>
          <w:rFonts w:hint="eastAsia"/>
          <w:szCs w:val="21"/>
        </w:rPr>
        <w:t>硝酸溶液（80 g/L）：称取40 g氯酸钾用硝酸</w:t>
      </w:r>
      <w:r>
        <w:rPr>
          <w:szCs w:val="21"/>
        </w:rPr>
        <w:t>（</w:t>
      </w:r>
      <w:r>
        <w:rPr>
          <w:i/>
          <w:iCs/>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lang w:eastAsia="zh-CN"/>
        </w:rPr>
        <w:t>，</w:t>
      </w:r>
      <w:r>
        <w:rPr>
          <w:rFonts w:hint="eastAsia"/>
          <w:szCs w:val="21"/>
        </w:rPr>
        <w:t>优级纯</w:t>
      </w:r>
      <w:r>
        <w:rPr>
          <w:szCs w:val="21"/>
        </w:rPr>
        <w:t>）</w:t>
      </w:r>
      <w:r>
        <w:rPr>
          <w:rFonts w:hint="eastAsia"/>
          <w:szCs w:val="21"/>
        </w:rPr>
        <w:t>溶解，用</w:t>
      </w:r>
      <w:r>
        <w:rPr>
          <w:szCs w:val="21"/>
        </w:rPr>
        <w:t>硝酸（</w:t>
      </w:r>
      <w:r>
        <w:rPr>
          <w:i/>
          <w:iCs/>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lang w:eastAsia="zh-CN"/>
        </w:rPr>
        <w:t>，</w:t>
      </w:r>
      <w:r>
        <w:rPr>
          <w:rFonts w:hint="eastAsia"/>
          <w:szCs w:val="21"/>
        </w:rPr>
        <w:t>优级纯</w:t>
      </w:r>
      <w:r>
        <w:rPr>
          <w:szCs w:val="21"/>
        </w:rPr>
        <w:t>）</w:t>
      </w:r>
      <w:r>
        <w:rPr>
          <w:rFonts w:hint="eastAsia"/>
          <w:szCs w:val="21"/>
        </w:rPr>
        <w:t>稀释至500 mL，混匀。</w:t>
      </w:r>
    </w:p>
    <w:p w14:paraId="1084B3AB">
      <w:pPr>
        <w:rPr>
          <w:szCs w:val="21"/>
        </w:rPr>
      </w:pPr>
      <w:r>
        <w:rPr>
          <w:rFonts w:hint="eastAsia" w:ascii="黑体" w:hAnsi="黑体" w:eastAsia="黑体"/>
          <w:szCs w:val="21"/>
        </w:rPr>
        <w:t xml:space="preserve">4.2.5 </w:t>
      </w:r>
      <w:r>
        <w:rPr>
          <w:rFonts w:hint="eastAsia"/>
          <w:szCs w:val="21"/>
        </w:rPr>
        <w:t xml:space="preserve"> 氟化氢铵溶液（300 g/L）。</w:t>
      </w:r>
    </w:p>
    <w:p w14:paraId="4BEEFE2C">
      <w:pPr>
        <w:rPr>
          <w:szCs w:val="21"/>
        </w:rPr>
      </w:pPr>
      <w:r>
        <w:rPr>
          <w:rFonts w:hint="eastAsia" w:ascii="黑体" w:hAnsi="黑体" w:eastAsia="黑体"/>
          <w:szCs w:val="21"/>
        </w:rPr>
        <w:t xml:space="preserve">4.2.6 </w:t>
      </w:r>
      <w:r>
        <w:rPr>
          <w:rFonts w:hint="eastAsia"/>
          <w:szCs w:val="21"/>
        </w:rPr>
        <w:t xml:space="preserve"> 盐酸（1+24）。</w:t>
      </w:r>
    </w:p>
    <w:p w14:paraId="4B67BFEE">
      <w:pPr>
        <w:rPr>
          <w:szCs w:val="21"/>
        </w:rPr>
      </w:pPr>
      <w:r>
        <w:rPr>
          <w:rFonts w:hint="eastAsia" w:ascii="黑体" w:hAnsi="黑体" w:eastAsia="黑体"/>
          <w:szCs w:val="21"/>
        </w:rPr>
        <w:t>4.2.7</w:t>
      </w:r>
      <w:r>
        <w:rPr>
          <w:rFonts w:hint="eastAsia"/>
          <w:szCs w:val="21"/>
        </w:rPr>
        <w:t xml:space="preserve">  硫酸（1+1）。</w:t>
      </w:r>
    </w:p>
    <w:p w14:paraId="3BC5C326">
      <w:pPr>
        <w:rPr>
          <w:szCs w:val="21"/>
        </w:rPr>
      </w:pPr>
      <w:r>
        <w:rPr>
          <w:rFonts w:hint="eastAsia" w:ascii="黑体" w:hAnsi="黑体" w:eastAsia="黑体"/>
          <w:szCs w:val="21"/>
        </w:rPr>
        <w:t xml:space="preserve">4.2.8 </w:t>
      </w:r>
      <w:r>
        <w:rPr>
          <w:rFonts w:hint="eastAsia"/>
          <w:szCs w:val="21"/>
        </w:rPr>
        <w:t xml:space="preserve"> 氢氧化铵溶液（5+95）。</w:t>
      </w:r>
    </w:p>
    <w:p w14:paraId="7652C2AE">
      <w:pPr>
        <w:rPr>
          <w:szCs w:val="21"/>
        </w:rPr>
      </w:pPr>
      <w:r>
        <w:rPr>
          <w:rFonts w:hint="eastAsia" w:ascii="黑体" w:hAnsi="黑体" w:eastAsia="黑体"/>
          <w:szCs w:val="21"/>
        </w:rPr>
        <w:t>4.2.9</w:t>
      </w:r>
      <w:r>
        <w:rPr>
          <w:rFonts w:hint="eastAsia"/>
          <w:szCs w:val="21"/>
        </w:rPr>
        <w:t xml:space="preserve">  硫脲-抗坏血酸混合溶液：分别称取10 g硫脲和5 g抗坏血酸，用水（4.2.1）溶解后，稀释至100 mL，混匀。</w:t>
      </w:r>
    </w:p>
    <w:p w14:paraId="125E0307">
      <w:pPr>
        <w:rPr>
          <w:szCs w:val="21"/>
        </w:rPr>
      </w:pPr>
      <w:r>
        <w:rPr>
          <w:rFonts w:hint="eastAsia" w:ascii="黑体" w:hAnsi="黑体" w:eastAsia="黑体"/>
          <w:szCs w:val="21"/>
        </w:rPr>
        <w:t>4.2.10</w:t>
      </w:r>
      <w:r>
        <w:rPr>
          <w:rFonts w:hint="eastAsia"/>
          <w:szCs w:val="21"/>
        </w:rPr>
        <w:t xml:space="preserve">  硝酸镧溶液（50 g/L）：称取5 g硝酸镧用水（4.2.1）溶解，稀释至100 mL，混匀。</w:t>
      </w:r>
    </w:p>
    <w:p w14:paraId="52B8D66F">
      <w:pPr>
        <w:ind w:left="105" w:hanging="105" w:hangingChars="50"/>
        <w:rPr>
          <w:szCs w:val="21"/>
        </w:rPr>
      </w:pPr>
      <w:r>
        <w:rPr>
          <w:rFonts w:hint="eastAsia" w:ascii="黑体" w:hAnsi="黑体" w:eastAsia="黑体"/>
          <w:szCs w:val="21"/>
        </w:rPr>
        <w:t xml:space="preserve">4.2.11 </w:t>
      </w:r>
      <w:r>
        <w:rPr>
          <w:rFonts w:hint="eastAsia"/>
          <w:szCs w:val="21"/>
        </w:rPr>
        <w:t xml:space="preserve"> 硝酸铁溶液：称取73.40 g硝酸铁</w:t>
      </w:r>
      <w:r>
        <w:rPr>
          <w:rFonts w:hint="eastAsia"/>
          <w:color w:val="auto"/>
          <w:szCs w:val="21"/>
          <w:lang w:val="en-US" w:eastAsia="zh-CN"/>
        </w:rPr>
        <w:t>[</w:t>
      </w:r>
      <w:r>
        <w:rPr>
          <w:rFonts w:hint="eastAsia"/>
          <w:color w:val="auto"/>
          <w:szCs w:val="21"/>
        </w:rPr>
        <w:t>Fe(NO</w:t>
      </w:r>
      <w:r>
        <w:rPr>
          <w:rFonts w:hint="eastAsia"/>
          <w:color w:val="auto"/>
          <w:szCs w:val="21"/>
          <w:vertAlign w:val="subscript"/>
        </w:rPr>
        <w:t>3</w:t>
      </w:r>
      <w:r>
        <w:rPr>
          <w:rFonts w:hint="eastAsia"/>
          <w:color w:val="auto"/>
          <w:szCs w:val="21"/>
        </w:rPr>
        <w:t>)</w:t>
      </w:r>
      <w:r>
        <w:rPr>
          <w:rFonts w:hint="eastAsia"/>
          <w:color w:val="auto"/>
          <w:szCs w:val="21"/>
          <w:vertAlign w:val="subscript"/>
        </w:rPr>
        <w:t>3</w:t>
      </w:r>
      <w:r>
        <w:rPr>
          <w:rFonts w:hint="eastAsia"/>
          <w:color w:val="auto"/>
          <w:szCs w:val="21"/>
        </w:rPr>
        <w:t>·9H</w:t>
      </w:r>
      <w:r>
        <w:rPr>
          <w:rFonts w:hint="eastAsia"/>
          <w:color w:val="auto"/>
          <w:szCs w:val="21"/>
          <w:vertAlign w:val="subscript"/>
        </w:rPr>
        <w:t>2</w:t>
      </w:r>
      <w:r>
        <w:rPr>
          <w:rFonts w:hint="eastAsia"/>
          <w:color w:val="auto"/>
          <w:szCs w:val="21"/>
        </w:rPr>
        <w:t>O</w:t>
      </w:r>
      <w:r>
        <w:rPr>
          <w:rFonts w:hint="eastAsia"/>
          <w:color w:val="auto"/>
          <w:szCs w:val="21"/>
          <w:lang w:val="en-US" w:eastAsia="zh-CN"/>
        </w:rPr>
        <w:t>]</w:t>
      </w:r>
      <w:r>
        <w:rPr>
          <w:rFonts w:hint="eastAsia"/>
          <w:szCs w:val="21"/>
        </w:rPr>
        <w:t>于250 mL烧杯中，加入10 mL硝酸（</w:t>
      </w:r>
      <w:r>
        <w:rPr>
          <w:i/>
          <w:iCs/>
          <w:szCs w:val="21"/>
        </w:rPr>
        <w:t>ρ</w:t>
      </w:r>
      <w:r>
        <w:rPr>
          <w:rFonts w:hint="eastAsia"/>
          <w:szCs w:val="21"/>
        </w:rPr>
        <w:t>= 1.42 g/mL，优级纯），加适量水（4.2.1）溶解，移入1000 mL容量瓶中，用水（4.2.1）稀释刻度混匀。此溶液1 mL含10 mg铁。</w:t>
      </w:r>
    </w:p>
    <w:p w14:paraId="160CDFE4">
      <w:pPr>
        <w:rPr>
          <w:szCs w:val="21"/>
        </w:rPr>
      </w:pPr>
      <w:r>
        <w:rPr>
          <w:rFonts w:hint="eastAsia" w:ascii="黑体" w:hAnsi="黑体" w:eastAsia="黑体"/>
          <w:szCs w:val="21"/>
        </w:rPr>
        <w:t xml:space="preserve">4.2.12 </w:t>
      </w:r>
      <w:r>
        <w:rPr>
          <w:rFonts w:hint="eastAsia"/>
          <w:szCs w:val="21"/>
        </w:rPr>
        <w:t xml:space="preserve"> 硼氢化钾溶液（15 g/L）：称取15 g硼氢化钾溶于1000 mL氢氧化钠溶液（2 g/L）中，现配先用。</w:t>
      </w:r>
    </w:p>
    <w:p w14:paraId="6D9D1873">
      <w:pPr>
        <w:rPr>
          <w:szCs w:val="21"/>
        </w:rPr>
      </w:pPr>
      <w:r>
        <w:rPr>
          <w:rFonts w:hint="eastAsia" w:ascii="黑体" w:hAnsi="黑体" w:eastAsia="黑体"/>
          <w:szCs w:val="21"/>
        </w:rPr>
        <w:t>4.2.13</w:t>
      </w:r>
      <w:r>
        <w:rPr>
          <w:rFonts w:hint="eastAsia"/>
          <w:szCs w:val="21"/>
        </w:rPr>
        <w:t xml:space="preserve">  砷标准贮存溶液：称取0.1320 g基准三氧化二砷（预先经100 ℃ ～ 105 ℃ 烘1 h，置于干燥器中冷却至室温）于100 mL聚四氟乙烯烧杯中，加入5 mL氢氧化钠溶液（200  g/L），低温加热使其溶解，冷却，加入50 mL水（4.2.1），加入2滴酚酞乙醇溶液（1 g/L），用硫酸（4.2.7）中和至红色刚消失，再过量2 mL，移入1000 mL容量瓶中，用水（4.2.1）稀释至刻度，混匀，此溶液1 mL含100 µg砷。</w:t>
      </w:r>
    </w:p>
    <w:p w14:paraId="2EF3E4F7">
      <w:pPr>
        <w:rPr>
          <w:szCs w:val="21"/>
        </w:rPr>
      </w:pPr>
      <w:r>
        <w:rPr>
          <w:rFonts w:hint="eastAsia" w:ascii="黑体" w:hAnsi="黑体" w:eastAsia="黑体"/>
          <w:szCs w:val="21"/>
        </w:rPr>
        <w:t>4.2.14</w:t>
      </w:r>
      <w:r>
        <w:rPr>
          <w:rFonts w:hint="eastAsia"/>
          <w:szCs w:val="21"/>
        </w:rPr>
        <w:t xml:space="preserve">  锑标准贮存溶液：称取 0.1000 g金属锑（</w:t>
      </w:r>
      <w:r>
        <w:rPr>
          <w:rFonts w:hint="eastAsia"/>
          <w:szCs w:val="21"/>
        </w:rPr>
        <w:drawing>
          <wp:inline distT="0" distB="0" distL="114300" distR="114300">
            <wp:extent cx="142875" cy="1333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eastAsia"/>
          <w:szCs w:val="21"/>
          <w:vertAlign w:val="subscript"/>
        </w:rPr>
        <w:t>Sb</w:t>
      </w:r>
      <w:r>
        <w:rPr>
          <w:rFonts w:hint="eastAsia"/>
          <w:szCs w:val="21"/>
        </w:rPr>
        <w:t xml:space="preserve"> ≥99.9</w:t>
      </w:r>
      <w:r>
        <w:rPr>
          <w:rFonts w:hint="default" w:ascii="Times New Roman" w:hAnsi="Times New Roman" w:cs="Times New Roman"/>
          <w:szCs w:val="21"/>
        </w:rPr>
        <w:t>9</w:t>
      </w:r>
      <w:r>
        <w:rPr>
          <w:rFonts w:hint="eastAsia" w:cs="Times New Roman"/>
          <w:szCs w:val="21"/>
          <w:lang w:val="en-US" w:eastAsia="zh-CN"/>
        </w:rPr>
        <w:t xml:space="preserve"> %</w:t>
      </w:r>
      <w:r>
        <w:rPr>
          <w:rFonts w:hint="eastAsia"/>
          <w:szCs w:val="21"/>
        </w:rPr>
        <w:t>）于 200 mL烧杯中，加入25 mL硝酸（</w:t>
      </w:r>
      <w:r>
        <w:rPr>
          <w:i/>
          <w:iCs/>
          <w:szCs w:val="21"/>
        </w:rPr>
        <w:t>ρ</w:t>
      </w:r>
      <w:r>
        <w:rPr>
          <w:rFonts w:hint="eastAsia"/>
          <w:szCs w:val="21"/>
        </w:rPr>
        <w:t>= 1.42 g/mL，优级纯），3 g酒石酸，低温加热使其溶解，冷却，转入 1000 mL容量瓶中，用水（4.2.1）稀释至刻度，混匀，此溶液1 mL含100 µg锑。</w:t>
      </w:r>
    </w:p>
    <w:p w14:paraId="23B73E56">
      <w:pPr>
        <w:rPr>
          <w:szCs w:val="21"/>
        </w:rPr>
      </w:pPr>
      <w:r>
        <w:rPr>
          <w:rFonts w:hint="eastAsia" w:ascii="黑体" w:hAnsi="黑体" w:eastAsia="黑体"/>
          <w:szCs w:val="21"/>
        </w:rPr>
        <w:t xml:space="preserve">4.2.15 </w:t>
      </w:r>
      <w:r>
        <w:rPr>
          <w:rFonts w:hint="eastAsia"/>
          <w:szCs w:val="21"/>
        </w:rPr>
        <w:t xml:space="preserve"> 铋标准贮存溶液：称取0.1000 g金属铋（</w:t>
      </w:r>
      <w:r>
        <w:rPr>
          <w:rFonts w:hint="eastAsia"/>
          <w:szCs w:val="21"/>
        </w:rPr>
        <w:drawing>
          <wp:inline distT="0" distB="0" distL="114300" distR="114300">
            <wp:extent cx="142875" cy="13335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eastAsia"/>
          <w:szCs w:val="21"/>
          <w:vertAlign w:val="subscript"/>
        </w:rPr>
        <w:t>Bi</w:t>
      </w:r>
      <w:r>
        <w:rPr>
          <w:rFonts w:hint="eastAsia"/>
          <w:szCs w:val="21"/>
        </w:rPr>
        <w:t>≥99.99</w:t>
      </w:r>
      <w:r>
        <w:rPr>
          <w:rFonts w:hint="eastAsia" w:cs="Times New Roman"/>
          <w:szCs w:val="21"/>
          <w:lang w:val="en-US" w:eastAsia="zh-CN"/>
        </w:rPr>
        <w:t xml:space="preserve"> %</w:t>
      </w:r>
      <w:r>
        <w:rPr>
          <w:rFonts w:hint="eastAsia"/>
          <w:szCs w:val="21"/>
        </w:rPr>
        <w:t>）于250 mL烧杯中，加入50 mL硝酸（</w:t>
      </w:r>
      <w:r>
        <w:rPr>
          <w:i/>
          <w:iCs/>
          <w:szCs w:val="21"/>
        </w:rPr>
        <w:t>ρ</w:t>
      </w:r>
      <w:r>
        <w:rPr>
          <w:rFonts w:hint="eastAsia"/>
          <w:szCs w:val="21"/>
        </w:rPr>
        <w:t>= 1.42 g/mL，优级纯），盖上表面皿，低温加热使其溶解，煮沸除去氮的氧化物，冷却。用硝酸（1+1）移入1000 mL容量瓶中，用水（4.2.1）稀释至刻度，混匀，此溶液1 mL含100 µg铋。</w:t>
      </w:r>
    </w:p>
    <w:p w14:paraId="115B0787">
      <w:pPr>
        <w:rPr>
          <w:szCs w:val="21"/>
        </w:rPr>
      </w:pPr>
      <w:r>
        <w:rPr>
          <w:rFonts w:hint="eastAsia" w:ascii="黑体" w:hAnsi="黑体" w:eastAsia="黑体"/>
          <w:szCs w:val="21"/>
        </w:rPr>
        <w:t>4.2.16</w:t>
      </w:r>
      <w:r>
        <w:rPr>
          <w:rFonts w:hint="eastAsia"/>
          <w:szCs w:val="21"/>
        </w:rPr>
        <w:t xml:space="preserve">  混合标准溶液：分别移取5.00 mL砷标准贮存溶液（4.2.13）、锑标准贮存溶液（4.2.14）和铋标准贮存溶液（4.2.15）于500 mL容量瓶中，用水（4.2.1）稀释至刻度，混匀，此溶液砷、锑和铋浓度均为1 µg/mL。</w:t>
      </w:r>
    </w:p>
    <w:p w14:paraId="6F8C85F0">
      <w:pPr>
        <w:rPr>
          <w:rFonts w:hint="eastAsia" w:ascii="黑体" w:hAnsi="黑体"/>
          <w:szCs w:val="21"/>
        </w:rPr>
      </w:pPr>
      <w:r>
        <w:rPr>
          <w:rFonts w:hint="eastAsia" w:ascii="黑体" w:hAnsi="黑体" w:eastAsia="黑体"/>
          <w:szCs w:val="21"/>
        </w:rPr>
        <w:t>4.2.17</w:t>
      </w:r>
      <w:r>
        <w:rPr>
          <w:rFonts w:hint="eastAsia"/>
          <w:szCs w:val="21"/>
        </w:rPr>
        <w:t xml:space="preserve">  氩气（</w:t>
      </w:r>
      <w:r>
        <w:rPr>
          <w:rFonts w:hint="eastAsia"/>
          <w:szCs w:val="21"/>
          <w:lang w:val="en-US" w:eastAsia="zh-CN"/>
        </w:rPr>
        <w:t>纯度</w:t>
      </w:r>
      <w:r>
        <w:rPr>
          <w:rFonts w:hint="eastAsia"/>
          <w:szCs w:val="21"/>
        </w:rPr>
        <w:t>≥99.99</w:t>
      </w:r>
      <w:r>
        <w:rPr>
          <w:rFonts w:hint="eastAsia"/>
          <w:szCs w:val="21"/>
          <w:lang w:val="en-US" w:eastAsia="zh-CN"/>
        </w:rPr>
        <w:t xml:space="preserve"> </w:t>
      </w:r>
      <w:r>
        <w:rPr>
          <w:rFonts w:hint="eastAsia"/>
          <w:szCs w:val="21"/>
        </w:rPr>
        <w:t>%）。</w:t>
      </w:r>
    </w:p>
    <w:p w14:paraId="1C566446">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4.3  仪器</w:t>
      </w:r>
    </w:p>
    <w:p w14:paraId="3E3FCAA7">
      <w:pPr>
        <w:ind w:firstLine="420"/>
        <w:rPr>
          <w:rFonts w:hint="eastAsia" w:ascii="宋体" w:hAnsi="宋体" w:cs="宋体"/>
          <w:szCs w:val="21"/>
        </w:rPr>
      </w:pPr>
      <w:r>
        <w:rPr>
          <w:rFonts w:hint="eastAsia" w:ascii="宋体" w:hAnsi="宋体" w:cs="宋体"/>
          <w:szCs w:val="21"/>
        </w:rPr>
        <w:t>原子荧光光谱仪：附屏蔽式石英炉原子化器，砷、锑、铋特制空心阴极灯或高强度空心阴极灯。</w:t>
      </w:r>
    </w:p>
    <w:p w14:paraId="2703B326">
      <w:pPr>
        <w:ind w:firstLine="420"/>
        <w:rPr>
          <w:rFonts w:hint="eastAsia" w:ascii="宋体" w:hAnsi="宋体" w:cs="宋体"/>
          <w:szCs w:val="21"/>
        </w:rPr>
      </w:pPr>
      <w:r>
        <w:rPr>
          <w:rFonts w:hint="eastAsia" w:ascii="宋体" w:hAnsi="宋体" w:cs="宋体"/>
          <w:szCs w:val="21"/>
        </w:rPr>
        <w:t>在仪器最佳工作条件下，凡能达到下列指标者均可使用：</w:t>
      </w:r>
    </w:p>
    <w:p w14:paraId="1FEFFF60">
      <w:pPr>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检出限：不大于</w:t>
      </w:r>
      <w:r>
        <w:rPr>
          <w:rFonts w:hint="eastAsia"/>
          <w:szCs w:val="21"/>
        </w:rPr>
        <w:t>9×10-</w:t>
      </w:r>
      <w:r>
        <w:rPr>
          <w:rFonts w:hint="eastAsia"/>
          <w:szCs w:val="21"/>
          <w:vertAlign w:val="superscript"/>
        </w:rPr>
        <w:t xml:space="preserve">10 </w:t>
      </w:r>
      <w:r>
        <w:rPr>
          <w:rFonts w:hint="eastAsia"/>
          <w:szCs w:val="21"/>
        </w:rPr>
        <w:t>g/mL</w:t>
      </w:r>
      <w:r>
        <w:rPr>
          <w:rFonts w:hint="eastAsia" w:ascii="宋体" w:hAnsi="宋体" w:cs="宋体"/>
          <w:szCs w:val="21"/>
        </w:rPr>
        <w:t>。</w:t>
      </w:r>
    </w:p>
    <w:p w14:paraId="01CEDD90">
      <w:pPr>
        <w:ind w:left="819" w:leftChars="190" w:hanging="420" w:hanging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精密度：用</w:t>
      </w:r>
      <w:r>
        <w:rPr>
          <w:rFonts w:hint="eastAsia"/>
          <w:szCs w:val="21"/>
        </w:rPr>
        <w:t>0.1 µg/mL</w:t>
      </w:r>
      <w:r>
        <w:rPr>
          <w:rFonts w:hint="eastAsia" w:ascii="宋体" w:hAnsi="宋体" w:cs="宋体"/>
          <w:szCs w:val="21"/>
        </w:rPr>
        <w:t>的砷、锑、铋标准溶</w:t>
      </w:r>
      <w:r>
        <w:rPr>
          <w:rFonts w:hint="default" w:ascii="Times New Roman" w:hAnsi="Times New Roman" w:cs="Times New Roman"/>
          <w:szCs w:val="21"/>
        </w:rPr>
        <w:t>液测量荧光强度11次，其</w:t>
      </w:r>
      <w:r>
        <w:rPr>
          <w:rFonts w:hint="eastAsia" w:ascii="宋体" w:hAnsi="宋体" w:cs="宋体"/>
          <w:szCs w:val="21"/>
        </w:rPr>
        <w:t>标准偏差不超过平均荧光强度的</w:t>
      </w:r>
      <w:r>
        <w:rPr>
          <w:rFonts w:hint="eastAsia"/>
          <w:szCs w:val="21"/>
        </w:rPr>
        <w:t>5.0 %</w:t>
      </w:r>
      <w:r>
        <w:rPr>
          <w:rFonts w:hint="eastAsia" w:ascii="宋体" w:hAnsi="宋体" w:cs="宋体"/>
          <w:szCs w:val="21"/>
        </w:rPr>
        <w:t>。</w:t>
      </w:r>
    </w:p>
    <w:p w14:paraId="420C2424">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4.4  样品</w:t>
      </w:r>
    </w:p>
    <w:p w14:paraId="3CFFC062">
      <w:pPr>
        <w:rPr>
          <w:szCs w:val="21"/>
        </w:rPr>
      </w:pPr>
      <w:r>
        <w:rPr>
          <w:rFonts w:hint="eastAsia" w:ascii="黑体" w:hAnsi="黑体" w:eastAsia="黑体"/>
          <w:szCs w:val="21"/>
        </w:rPr>
        <w:t>4.4.1</w:t>
      </w:r>
      <w:r>
        <w:rPr>
          <w:rFonts w:hint="eastAsia"/>
          <w:szCs w:val="21"/>
        </w:rPr>
        <w:t xml:space="preserve">  样品粒度应不大于100 </w:t>
      </w:r>
      <w:r>
        <w:rPr>
          <w:szCs w:val="21"/>
        </w:rPr>
        <w:t>μ</w:t>
      </w:r>
      <w:r>
        <w:rPr>
          <w:rFonts w:hint="eastAsia"/>
          <w:szCs w:val="21"/>
        </w:rPr>
        <w:t>m。</w:t>
      </w:r>
    </w:p>
    <w:p w14:paraId="3DC1555F">
      <w:pPr>
        <w:rPr>
          <w:szCs w:val="21"/>
        </w:rPr>
      </w:pPr>
      <w:r>
        <w:rPr>
          <w:rFonts w:hint="eastAsia" w:ascii="黑体" w:hAnsi="黑体" w:eastAsia="黑体"/>
          <w:szCs w:val="21"/>
        </w:rPr>
        <w:t xml:space="preserve">4.4.2 </w:t>
      </w:r>
      <w:r>
        <w:rPr>
          <w:rFonts w:hint="eastAsia"/>
          <w:szCs w:val="21"/>
        </w:rPr>
        <w:t xml:space="preserve"> 样品应在100</w:t>
      </w:r>
      <w:r>
        <w:rPr>
          <w:rFonts w:hint="default" w:ascii="Times New Roman" w:hAnsi="Times New Roman" w:cs="Times New Roman"/>
          <w:szCs w:val="21"/>
        </w:rPr>
        <w:t xml:space="preserve"> ℃</w:t>
      </w:r>
      <w:r>
        <w:rPr>
          <w:rFonts w:hint="eastAsia"/>
          <w:szCs w:val="21"/>
        </w:rPr>
        <w:t>～105</w:t>
      </w:r>
      <w:r>
        <w:rPr>
          <w:rFonts w:hint="default" w:ascii="Times New Roman" w:hAnsi="Times New Roman" w:cs="Times New Roman"/>
          <w:szCs w:val="21"/>
        </w:rPr>
        <w:t xml:space="preserve"> ℃</w:t>
      </w:r>
      <w:r>
        <w:rPr>
          <w:rFonts w:hint="eastAsia"/>
          <w:szCs w:val="21"/>
        </w:rPr>
        <w:t>烘1 h后置于干燥器中冷却至室温。</w:t>
      </w:r>
    </w:p>
    <w:p w14:paraId="7D42FD58">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4.5  试验步骤</w:t>
      </w:r>
    </w:p>
    <w:p w14:paraId="18407522">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4.5.1  试料</w:t>
      </w:r>
    </w:p>
    <w:p w14:paraId="5A2653F5">
      <w:pPr>
        <w:ind w:firstLine="420" w:firstLineChars="200"/>
        <w:rPr>
          <w:szCs w:val="21"/>
        </w:rPr>
      </w:pPr>
      <w:r>
        <w:rPr>
          <w:rFonts w:hint="eastAsia"/>
          <w:szCs w:val="21"/>
        </w:rPr>
        <w:t>称取</w:t>
      </w:r>
      <w:r>
        <w:rPr>
          <w:rFonts w:hint="eastAsia" w:ascii="Times New Roman" w:hAnsi="Times New Roman" w:cs="Times New Roman"/>
          <w:bCs/>
          <w:szCs w:val="21"/>
        </w:rPr>
        <w:t>0.2</w:t>
      </w:r>
      <w:r>
        <w:rPr>
          <w:rFonts w:hint="eastAsia"/>
          <w:szCs w:val="21"/>
        </w:rPr>
        <w:t xml:space="preserve"> g样品（4.4）。精确至0.0001 g。</w:t>
      </w:r>
    </w:p>
    <w:p w14:paraId="7E7207F5">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4.5.2  平行试验</w:t>
      </w:r>
    </w:p>
    <w:p w14:paraId="14B4025A">
      <w:pPr>
        <w:adjustRightInd w:val="0"/>
        <w:snapToGrid w:val="0"/>
        <w:spacing w:before="50" w:after="50"/>
        <w:ind w:firstLine="444" w:firstLineChars="200"/>
      </w:pPr>
      <w:r>
        <w:rPr>
          <w:rFonts w:hint="eastAsia"/>
          <w:spacing w:val="6"/>
        </w:rPr>
        <w:t>平行做两份试验，取其平均值。</w:t>
      </w:r>
    </w:p>
    <w:p w14:paraId="0CFDC6B3">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4.5.3  空白试验</w:t>
      </w:r>
    </w:p>
    <w:p w14:paraId="0D991680">
      <w:pPr>
        <w:ind w:firstLine="420" w:firstLineChars="200"/>
        <w:rPr>
          <w:szCs w:val="21"/>
        </w:rPr>
      </w:pPr>
      <w:r>
        <w:rPr>
          <w:rFonts w:hint="eastAsia"/>
          <w:szCs w:val="21"/>
        </w:rPr>
        <w:t>随同试料做空白试验。</w:t>
      </w:r>
    </w:p>
    <w:p w14:paraId="1FC9CB96">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4.5.4  测定</w:t>
      </w:r>
    </w:p>
    <w:p w14:paraId="49EF5FF6">
      <w:pPr>
        <w:widowControl/>
        <w:adjustRightInd w:val="0"/>
        <w:snapToGrid w:val="0"/>
        <w:rPr>
          <w:szCs w:val="21"/>
        </w:rPr>
      </w:pPr>
      <w:r>
        <w:rPr>
          <w:rFonts w:hint="eastAsia" w:ascii="黑体" w:hAnsi="黑体" w:eastAsia="黑体" w:cs="黑体"/>
          <w:szCs w:val="21"/>
        </w:rPr>
        <w:t>4.5.4.1</w:t>
      </w:r>
      <w:r>
        <w:rPr>
          <w:rFonts w:hint="eastAsia"/>
          <w:szCs w:val="21"/>
        </w:rPr>
        <w:t xml:space="preserve">  将试料</w:t>
      </w:r>
      <w:r>
        <w:rPr>
          <w:szCs w:val="21"/>
        </w:rPr>
        <w:t>（4.5.1）</w:t>
      </w:r>
      <w:r>
        <w:rPr>
          <w:rFonts w:hint="eastAsia"/>
          <w:szCs w:val="21"/>
        </w:rPr>
        <w:t xml:space="preserve">置于300 mL聚四氟乙烯烧杯中，用少量水（4.2.1）润湿，加入约2 </w:t>
      </w:r>
      <w:r>
        <w:rPr>
          <w:szCs w:val="21"/>
        </w:rPr>
        <w:t>mL</w:t>
      </w:r>
      <w:r>
        <w:rPr>
          <w:rFonts w:hint="eastAsia"/>
          <w:szCs w:val="21"/>
        </w:rPr>
        <w:t>氟化氢铵溶液（4.2.5）（硅含量高的试料加入3 mL），加入10 mL氯酸钾</w:t>
      </w:r>
      <w:r>
        <w:rPr>
          <w:rFonts w:hint="eastAsia"/>
          <w:szCs w:val="21"/>
          <w:lang w:val="en-US" w:eastAsia="zh-CN"/>
        </w:rPr>
        <w:t>-</w:t>
      </w:r>
      <w:r>
        <w:rPr>
          <w:rFonts w:hint="eastAsia"/>
          <w:szCs w:val="21"/>
        </w:rPr>
        <w:t>硝酸溶液（4.2.4），盖上表面皿，待剧烈反应停止后，置于电热板上加热溶解至3 mL～5 mL，取下，稍冷，加入5 mL硫酸（4.2.7），混匀。加热至冒浓白烟，取下，冷却，用水吹洗表面皿及杯壁至约50 mL，再加热煮沸</w:t>
      </w:r>
      <w:r>
        <w:rPr>
          <w:rFonts w:hint="eastAsia"/>
          <w:szCs w:val="21"/>
          <w:lang w:eastAsia="zh-CN"/>
        </w:rPr>
        <w:t>，</w:t>
      </w:r>
      <w:r>
        <w:rPr>
          <w:rFonts w:hint="eastAsia"/>
          <w:szCs w:val="21"/>
          <w:lang w:val="en-US" w:eastAsia="zh-CN"/>
        </w:rPr>
        <w:t>取下稍冷</w:t>
      </w:r>
      <w:r>
        <w:rPr>
          <w:rFonts w:hint="eastAsia"/>
          <w:szCs w:val="21"/>
        </w:rPr>
        <w:t>。</w:t>
      </w:r>
    </w:p>
    <w:p w14:paraId="1C061472">
      <w:pPr>
        <w:rPr>
          <w:szCs w:val="21"/>
        </w:rPr>
      </w:pPr>
      <w:r>
        <w:rPr>
          <w:rFonts w:hint="eastAsia" w:ascii="黑体" w:hAnsi="黑体" w:eastAsia="黑体"/>
          <w:szCs w:val="21"/>
        </w:rPr>
        <w:t>4.5.4.2</w:t>
      </w:r>
      <w:r>
        <w:rPr>
          <w:rFonts w:hint="eastAsia"/>
          <w:szCs w:val="21"/>
        </w:rPr>
        <w:t xml:space="preserve">  加入5 mL硝酸镧溶液（4.2.10），用水（4.2.1）稀释至约150 mL，置于电热板上加热至近沸，取下，边搅拌边加氨水（4.2.3）至生成的氢氧化铜沉淀溶解完全，再过量20 mL，缓慢加热至沸腾，移至低温处（约60</w:t>
      </w:r>
      <w:r>
        <w:rPr>
          <w:rFonts w:hint="default" w:ascii="Times New Roman" w:hAnsi="Times New Roman" w:cs="Times New Roman"/>
          <w:szCs w:val="21"/>
        </w:rPr>
        <w:t xml:space="preserve"> ℃</w:t>
      </w:r>
      <w:r>
        <w:rPr>
          <w:rFonts w:hint="eastAsia"/>
          <w:szCs w:val="21"/>
        </w:rPr>
        <w:t>），保温30 min。</w:t>
      </w:r>
    </w:p>
    <w:p w14:paraId="777F0C0B">
      <w:pPr>
        <w:rPr>
          <w:szCs w:val="21"/>
        </w:rPr>
      </w:pPr>
      <w:r>
        <w:rPr>
          <w:rFonts w:hint="eastAsia" w:ascii="黑体" w:hAnsi="黑体" w:eastAsia="黑体"/>
          <w:szCs w:val="21"/>
        </w:rPr>
        <w:t xml:space="preserve">4.5.4.3 </w:t>
      </w:r>
      <w:r>
        <w:rPr>
          <w:rFonts w:hint="eastAsia"/>
          <w:szCs w:val="21"/>
        </w:rPr>
        <w:t xml:space="preserve"> 用快速定量滤纸趁热过滤，用热氢氧化铵溶液（4.2.8）洗涤烧杯及沉淀4次～5次，再用热水洗涤烧杯及沉淀3次～4次，弃去滤液。</w:t>
      </w:r>
    </w:p>
    <w:p w14:paraId="05AA5C51">
      <w:pPr>
        <w:jc w:val="left"/>
        <w:rPr>
          <w:szCs w:val="21"/>
        </w:rPr>
      </w:pPr>
      <w:r>
        <w:rPr>
          <w:rFonts w:hint="eastAsia" w:ascii="黑体" w:hAnsi="黑体" w:eastAsia="黑体"/>
          <w:szCs w:val="21"/>
        </w:rPr>
        <w:t xml:space="preserve">4.5.4.4 </w:t>
      </w:r>
      <w:r>
        <w:rPr>
          <w:rFonts w:hint="eastAsia"/>
          <w:szCs w:val="21"/>
        </w:rPr>
        <w:t xml:space="preserve"> 将滤纸连同沉淀从漏斗上取下，用少量水（4.2.1）将沉淀冲洗至原烧杯中，按表1加入相应体积的盐酸（4.2.2），用盐酸（4.2.6）将滤纸洗至无三价铁的黄色，置于电炉上加热至可溶性盐类溶解，取下冷却后用盐酸（4.2.6）转移至按表1</w:t>
      </w:r>
      <w:r>
        <w:rPr>
          <w:rFonts w:hint="eastAsia"/>
          <w:szCs w:val="21"/>
          <w:lang w:val="en-US" w:eastAsia="zh-CN"/>
        </w:rPr>
        <w:t>中</w:t>
      </w:r>
      <w:r>
        <w:rPr>
          <w:rFonts w:hint="eastAsia"/>
          <w:szCs w:val="21"/>
        </w:rPr>
        <w:t>相应</w:t>
      </w:r>
      <w:r>
        <w:rPr>
          <w:rFonts w:hint="eastAsia"/>
          <w:szCs w:val="21"/>
          <w:lang w:val="en-US" w:eastAsia="zh-CN"/>
        </w:rPr>
        <w:t>体积</w:t>
      </w:r>
      <w:r>
        <w:rPr>
          <w:rFonts w:hint="eastAsia"/>
          <w:szCs w:val="21"/>
        </w:rPr>
        <w:t>的容量瓶中，用水（4.2.1）稀释至刻度，混匀。</w:t>
      </w:r>
    </w:p>
    <w:p w14:paraId="437108BD">
      <w:pPr>
        <w:jc w:val="left"/>
        <w:rPr>
          <w:rFonts w:hint="eastAsia" w:ascii="黑体" w:hAnsi="黑体" w:eastAsia="黑体" w:cs="黑体"/>
          <w:szCs w:val="21"/>
        </w:rPr>
      </w:pPr>
      <w:r>
        <w:rPr>
          <w:rFonts w:hint="eastAsia" w:ascii="黑体" w:hAnsi="黑体" w:eastAsia="黑体"/>
          <w:szCs w:val="21"/>
        </w:rPr>
        <w:t xml:space="preserve">4.5.4.5 </w:t>
      </w:r>
      <w:r>
        <w:rPr>
          <w:rFonts w:hint="eastAsia"/>
          <w:szCs w:val="21"/>
        </w:rPr>
        <w:t xml:space="preserve"> 按表1分取待测溶液（4.5.4.4）、</w:t>
      </w:r>
      <w:r>
        <w:rPr>
          <w:rFonts w:hint="eastAsia"/>
          <w:szCs w:val="21"/>
          <w:lang w:val="en-US" w:eastAsia="zh-CN"/>
        </w:rPr>
        <w:t>补加</w:t>
      </w:r>
      <w:r>
        <w:rPr>
          <w:rFonts w:hint="eastAsia"/>
          <w:szCs w:val="21"/>
        </w:rPr>
        <w:t>盐酸（4.2.2）、硫脲-抗坏血酸</w:t>
      </w:r>
      <w:r>
        <w:rPr>
          <w:rFonts w:hint="eastAsia"/>
          <w:szCs w:val="21"/>
          <w:lang w:val="en-US" w:eastAsia="zh-CN"/>
        </w:rPr>
        <w:t>混合</w:t>
      </w:r>
      <w:r>
        <w:rPr>
          <w:rFonts w:hint="eastAsia"/>
          <w:szCs w:val="21"/>
        </w:rPr>
        <w:t>溶液（4.2.9）于已加入30 mL水（4.2.1）的相应容量瓶中，用水稀释至刻度，混匀。</w:t>
      </w:r>
    </w:p>
    <w:p w14:paraId="72A4CBE4">
      <w:pPr>
        <w:spacing w:before="156" w:beforeLines="50" w:after="156" w:afterLines="50"/>
        <w:ind w:firstLine="420"/>
        <w:jc w:val="center"/>
        <w:rPr>
          <w:rFonts w:hint="eastAsia" w:ascii="黑体" w:hAnsi="黑体" w:eastAsia="黑体" w:cs="黑体"/>
          <w:szCs w:val="21"/>
        </w:rPr>
      </w:pPr>
      <w:r>
        <w:rPr>
          <w:rFonts w:hint="eastAsia" w:ascii="黑体" w:hAnsi="黑体" w:eastAsia="黑体" w:cs="黑体"/>
          <w:szCs w:val="21"/>
        </w:rPr>
        <w:t>表1  试液分取体积及酸加入体积</w:t>
      </w:r>
    </w:p>
    <w:tbl>
      <w:tblPr>
        <w:tblStyle w:val="34"/>
        <w:tblW w:w="8381" w:type="dxa"/>
        <w:jc w:val="center"/>
        <w:tblLayout w:type="fixed"/>
        <w:tblCellMar>
          <w:top w:w="0" w:type="dxa"/>
          <w:left w:w="108" w:type="dxa"/>
          <w:bottom w:w="0" w:type="dxa"/>
          <w:right w:w="108" w:type="dxa"/>
        </w:tblCellMar>
      </w:tblPr>
      <w:tblGrid>
        <w:gridCol w:w="1566"/>
        <w:gridCol w:w="1185"/>
        <w:gridCol w:w="1134"/>
        <w:gridCol w:w="1134"/>
        <w:gridCol w:w="1134"/>
        <w:gridCol w:w="1134"/>
        <w:gridCol w:w="1094"/>
        <w:tblGridChange w:id="0">
          <w:tblGrid>
            <w:gridCol w:w="1566"/>
            <w:gridCol w:w="1185"/>
            <w:gridCol w:w="1134"/>
            <w:gridCol w:w="1134"/>
            <w:gridCol w:w="1134"/>
            <w:gridCol w:w="1134"/>
            <w:gridCol w:w="1094"/>
          </w:tblGrid>
        </w:tblGridChange>
      </w:tblGrid>
      <w:tr w14:paraId="2B6F1398">
        <w:tblPrEx>
          <w:tblCellMar>
            <w:top w:w="0" w:type="dxa"/>
            <w:left w:w="108" w:type="dxa"/>
            <w:bottom w:w="0" w:type="dxa"/>
            <w:right w:w="108" w:type="dxa"/>
          </w:tblCellMar>
        </w:tblPrEx>
        <w:trPr>
          <w:cantSplit/>
          <w:trHeight w:val="1957" w:hRule="exact"/>
          <w:jc w:val="center"/>
        </w:trPr>
        <w:tc>
          <w:tcPr>
            <w:tcW w:w="1566" w:type="dxa"/>
            <w:tcBorders>
              <w:top w:val="single" w:color="000000" w:sz="4" w:space="0"/>
              <w:left w:val="single" w:color="000000" w:sz="4" w:space="0"/>
              <w:bottom w:val="single" w:color="000000" w:sz="4" w:space="0"/>
              <w:right w:val="single" w:color="000000" w:sz="4" w:space="0"/>
            </w:tcBorders>
            <w:noWrap/>
            <w:vAlign w:val="center"/>
          </w:tcPr>
          <w:p w14:paraId="47CE4D17">
            <w:pPr>
              <w:jc w:val="center"/>
              <w:rPr>
                <w:sz w:val="18"/>
                <w:szCs w:val="18"/>
              </w:rPr>
            </w:pPr>
            <w:r>
              <w:rPr>
                <w:rFonts w:hint="eastAsia"/>
                <w:sz w:val="18"/>
                <w:szCs w:val="18"/>
              </w:rPr>
              <w:t>砷、锑、铋质量</w:t>
            </w:r>
          </w:p>
          <w:p w14:paraId="72C0B431">
            <w:pPr>
              <w:jc w:val="center"/>
              <w:rPr>
                <w:sz w:val="18"/>
                <w:szCs w:val="18"/>
              </w:rPr>
            </w:pPr>
            <w:r>
              <w:rPr>
                <w:rFonts w:hint="eastAsia"/>
                <w:sz w:val="18"/>
                <w:szCs w:val="18"/>
              </w:rPr>
              <w:t>分数</w:t>
            </w:r>
          </w:p>
          <w:p w14:paraId="512CEB03">
            <w:pPr>
              <w:jc w:val="center"/>
              <w:rPr>
                <w:sz w:val="18"/>
                <w:szCs w:val="18"/>
              </w:rPr>
            </w:pPr>
            <w:r>
              <w:rPr>
                <w:rFonts w:hint="eastAsia"/>
                <w:sz w:val="18"/>
                <w:szCs w:val="18"/>
              </w:rPr>
              <w:t>%</w:t>
            </w:r>
          </w:p>
        </w:tc>
        <w:tc>
          <w:tcPr>
            <w:tcW w:w="1185" w:type="dxa"/>
            <w:tcBorders>
              <w:top w:val="single" w:color="000000" w:sz="4" w:space="0"/>
              <w:left w:val="single" w:color="000000" w:sz="4" w:space="0"/>
              <w:bottom w:val="single" w:color="000000" w:sz="4" w:space="0"/>
              <w:right w:val="single" w:color="auto" w:sz="4" w:space="0"/>
            </w:tcBorders>
            <w:noWrap/>
            <w:vAlign w:val="center"/>
          </w:tcPr>
          <w:p w14:paraId="369898F0">
            <w:pPr>
              <w:jc w:val="center"/>
              <w:rPr>
                <w:sz w:val="18"/>
                <w:szCs w:val="18"/>
              </w:rPr>
            </w:pPr>
            <w:r>
              <w:rPr>
                <w:rFonts w:hint="eastAsia"/>
                <w:sz w:val="18"/>
                <w:szCs w:val="18"/>
                <w:lang w:val="en-US" w:eastAsia="zh-CN"/>
              </w:rPr>
              <w:t>定容</w:t>
            </w:r>
            <w:r>
              <w:rPr>
                <w:rFonts w:hint="eastAsia"/>
                <w:sz w:val="18"/>
                <w:szCs w:val="18"/>
              </w:rPr>
              <w:t>体积mL</w:t>
            </w:r>
          </w:p>
          <w:p w14:paraId="4D593417">
            <w:pPr>
              <w:ind w:firstLine="360" w:firstLineChars="200"/>
              <w:jc w:val="center"/>
              <w:rPr>
                <w:sz w:val="18"/>
                <w:szCs w:val="18"/>
              </w:rPr>
            </w:pPr>
          </w:p>
        </w:tc>
        <w:tc>
          <w:tcPr>
            <w:tcW w:w="1134" w:type="dxa"/>
            <w:tcBorders>
              <w:top w:val="single" w:color="000000" w:sz="4" w:space="0"/>
              <w:left w:val="single" w:color="auto" w:sz="4" w:space="0"/>
              <w:bottom w:val="single" w:color="000000" w:sz="4" w:space="0"/>
              <w:right w:val="single" w:color="auto" w:sz="4" w:space="0"/>
            </w:tcBorders>
            <w:noWrap/>
            <w:vAlign w:val="center"/>
          </w:tcPr>
          <w:p w14:paraId="43F7F83D">
            <w:pPr>
              <w:jc w:val="center"/>
              <w:rPr>
                <w:sz w:val="18"/>
                <w:szCs w:val="18"/>
              </w:rPr>
            </w:pPr>
            <w:r>
              <w:rPr>
                <w:rFonts w:hint="eastAsia"/>
                <w:sz w:val="18"/>
                <w:szCs w:val="18"/>
              </w:rPr>
              <w:t>盐酸（4.2.2）</w:t>
            </w:r>
            <w:r>
              <w:rPr>
                <w:rFonts w:hint="eastAsia"/>
                <w:sz w:val="18"/>
                <w:szCs w:val="18"/>
                <w:lang w:val="en-US" w:eastAsia="zh-CN"/>
              </w:rPr>
              <w:t>加入</w:t>
            </w:r>
            <w:r>
              <w:rPr>
                <w:rFonts w:hint="eastAsia"/>
                <w:sz w:val="18"/>
                <w:szCs w:val="18"/>
              </w:rPr>
              <w:t>体积</w:t>
            </w:r>
          </w:p>
          <w:p w14:paraId="2093F687">
            <w:pPr>
              <w:jc w:val="center"/>
              <w:rPr>
                <w:sz w:val="18"/>
                <w:szCs w:val="18"/>
              </w:rPr>
            </w:pPr>
            <w:r>
              <w:rPr>
                <w:rFonts w:hint="eastAsia"/>
                <w:sz w:val="18"/>
                <w:szCs w:val="18"/>
              </w:rPr>
              <w:t>mL</w:t>
            </w:r>
          </w:p>
        </w:tc>
        <w:tc>
          <w:tcPr>
            <w:tcW w:w="1134" w:type="dxa"/>
            <w:tcBorders>
              <w:top w:val="single" w:color="000000" w:sz="4" w:space="0"/>
              <w:left w:val="single" w:color="auto" w:sz="4" w:space="0"/>
              <w:bottom w:val="single" w:color="000000" w:sz="4" w:space="0"/>
              <w:right w:val="single" w:color="000000" w:sz="4" w:space="0"/>
            </w:tcBorders>
            <w:noWrap/>
            <w:vAlign w:val="center"/>
          </w:tcPr>
          <w:p w14:paraId="6835A641">
            <w:pPr>
              <w:jc w:val="center"/>
              <w:rPr>
                <w:sz w:val="18"/>
                <w:szCs w:val="18"/>
              </w:rPr>
            </w:pPr>
            <w:r>
              <w:rPr>
                <w:rFonts w:hint="eastAsia"/>
                <w:sz w:val="18"/>
                <w:szCs w:val="18"/>
              </w:rPr>
              <w:t xml:space="preserve">分取试液体积 </w:t>
            </w:r>
          </w:p>
          <w:p w14:paraId="0BB5B20E">
            <w:pPr>
              <w:jc w:val="center"/>
              <w:rPr>
                <w:sz w:val="18"/>
                <w:szCs w:val="18"/>
              </w:rPr>
            </w:pPr>
            <w:r>
              <w:rPr>
                <w:rFonts w:hint="eastAsia"/>
                <w:sz w:val="18"/>
                <w:szCs w:val="18"/>
              </w:rPr>
              <w:t>mL</w:t>
            </w:r>
          </w:p>
        </w:tc>
        <w:tc>
          <w:tcPr>
            <w:tcW w:w="1134" w:type="dxa"/>
            <w:tcBorders>
              <w:top w:val="single" w:color="000000" w:sz="4" w:space="0"/>
              <w:left w:val="nil"/>
              <w:bottom w:val="single" w:color="000000" w:sz="4" w:space="0"/>
              <w:right w:val="single" w:color="auto" w:sz="4" w:space="0"/>
            </w:tcBorders>
            <w:noWrap/>
            <w:vAlign w:val="center"/>
          </w:tcPr>
          <w:p w14:paraId="4CAF400E">
            <w:pPr>
              <w:jc w:val="center"/>
              <w:rPr>
                <w:sz w:val="18"/>
                <w:szCs w:val="18"/>
              </w:rPr>
            </w:pPr>
            <w:r>
              <w:rPr>
                <w:rFonts w:hint="eastAsia"/>
                <w:sz w:val="18"/>
                <w:szCs w:val="18"/>
              </w:rPr>
              <w:t>测定试液体积mL</w:t>
            </w:r>
          </w:p>
        </w:tc>
        <w:tc>
          <w:tcPr>
            <w:tcW w:w="1134" w:type="dxa"/>
            <w:tcBorders>
              <w:top w:val="single" w:color="000000" w:sz="4" w:space="0"/>
              <w:left w:val="single" w:color="auto" w:sz="4" w:space="0"/>
              <w:bottom w:val="single" w:color="000000" w:sz="4" w:space="0"/>
              <w:right w:val="single" w:color="auto" w:sz="4" w:space="0"/>
            </w:tcBorders>
            <w:noWrap/>
            <w:vAlign w:val="center"/>
          </w:tcPr>
          <w:p w14:paraId="2D6B48FE">
            <w:pPr>
              <w:jc w:val="center"/>
              <w:rPr>
                <w:sz w:val="18"/>
                <w:szCs w:val="18"/>
              </w:rPr>
            </w:pPr>
            <w:r>
              <w:rPr>
                <w:rFonts w:hint="eastAsia"/>
                <w:sz w:val="18"/>
                <w:szCs w:val="18"/>
                <w:lang w:val="en-US" w:eastAsia="zh-CN"/>
              </w:rPr>
              <w:t>补加</w:t>
            </w:r>
            <w:r>
              <w:rPr>
                <w:rFonts w:hint="eastAsia"/>
                <w:sz w:val="18"/>
                <w:szCs w:val="18"/>
              </w:rPr>
              <w:t>盐酸（4.2.2）体积</w:t>
            </w:r>
          </w:p>
          <w:p w14:paraId="6EC20C75">
            <w:pPr>
              <w:jc w:val="center"/>
              <w:rPr>
                <w:sz w:val="18"/>
                <w:szCs w:val="18"/>
              </w:rPr>
            </w:pPr>
            <w:r>
              <w:rPr>
                <w:rFonts w:hint="eastAsia"/>
                <w:sz w:val="18"/>
                <w:szCs w:val="18"/>
              </w:rPr>
              <w:t>mL</w:t>
            </w:r>
          </w:p>
        </w:tc>
        <w:tc>
          <w:tcPr>
            <w:tcW w:w="1094" w:type="dxa"/>
            <w:tcBorders>
              <w:top w:val="single" w:color="000000" w:sz="4" w:space="0"/>
              <w:left w:val="single" w:color="auto" w:sz="4" w:space="0"/>
              <w:bottom w:val="single" w:color="000000" w:sz="4" w:space="0"/>
              <w:right w:val="single" w:color="000000" w:sz="4" w:space="0"/>
            </w:tcBorders>
            <w:noWrap/>
            <w:vAlign w:val="center"/>
          </w:tcPr>
          <w:p w14:paraId="4CF5C062">
            <w:pPr>
              <w:jc w:val="center"/>
              <w:rPr>
                <w:sz w:val="18"/>
                <w:szCs w:val="18"/>
              </w:rPr>
            </w:pPr>
            <w:r>
              <w:rPr>
                <w:rFonts w:hint="eastAsia"/>
                <w:sz w:val="18"/>
                <w:szCs w:val="18"/>
              </w:rPr>
              <w:t>硫脲-抗坏血酸混合溶液（4.2.9）加入体积</w:t>
            </w:r>
          </w:p>
          <w:p w14:paraId="19468757">
            <w:pPr>
              <w:jc w:val="center"/>
              <w:rPr>
                <w:sz w:val="18"/>
                <w:szCs w:val="18"/>
              </w:rPr>
            </w:pPr>
            <w:r>
              <w:rPr>
                <w:rFonts w:hint="eastAsia"/>
                <w:sz w:val="18"/>
                <w:szCs w:val="18"/>
              </w:rPr>
              <w:t>mL</w:t>
            </w:r>
          </w:p>
        </w:tc>
      </w:tr>
      <w:tr w14:paraId="5DD000B9">
        <w:tblPrEx>
          <w:tblCellMar>
            <w:top w:w="0" w:type="dxa"/>
            <w:left w:w="108" w:type="dxa"/>
            <w:bottom w:w="0" w:type="dxa"/>
            <w:right w:w="108" w:type="dxa"/>
          </w:tblCellMar>
        </w:tblPrEx>
        <w:trPr>
          <w:cantSplit/>
          <w:trHeight w:val="444" w:hRule="exact"/>
          <w:jc w:val="center"/>
        </w:trPr>
        <w:tc>
          <w:tcPr>
            <w:tcW w:w="1566" w:type="dxa"/>
            <w:tcBorders>
              <w:top w:val="single" w:color="000000" w:sz="4" w:space="0"/>
              <w:left w:val="single" w:color="000000" w:sz="4" w:space="0"/>
              <w:bottom w:val="single" w:color="000000" w:sz="4" w:space="0"/>
              <w:right w:val="single" w:color="000000" w:sz="4" w:space="0"/>
            </w:tcBorders>
            <w:noWrap/>
            <w:vAlign w:val="center"/>
          </w:tcPr>
          <w:p w14:paraId="0FF8B036">
            <w:pPr>
              <w:spacing w:line="360" w:lineRule="auto"/>
              <w:jc w:val="center"/>
              <w:rPr>
                <w:sz w:val="18"/>
                <w:szCs w:val="18"/>
              </w:rPr>
            </w:pPr>
            <w:r>
              <w:rPr>
                <w:rFonts w:hint="eastAsia"/>
                <w:sz w:val="18"/>
                <w:szCs w:val="18"/>
              </w:rPr>
              <w:t>0.010</w:t>
            </w:r>
            <w:r>
              <w:rPr>
                <w:color w:val="000000"/>
                <w:sz w:val="18"/>
                <w:szCs w:val="18"/>
              </w:rPr>
              <w:t>～</w:t>
            </w:r>
            <w:r>
              <w:rPr>
                <w:rFonts w:hint="eastAsia"/>
                <w:sz w:val="18"/>
                <w:szCs w:val="18"/>
              </w:rPr>
              <w:t>0.050</w:t>
            </w:r>
          </w:p>
        </w:tc>
        <w:tc>
          <w:tcPr>
            <w:tcW w:w="1185" w:type="dxa"/>
            <w:tcBorders>
              <w:top w:val="single" w:color="000000" w:sz="4" w:space="0"/>
              <w:left w:val="single" w:color="000000" w:sz="4" w:space="0"/>
              <w:bottom w:val="single" w:color="000000" w:sz="4" w:space="0"/>
              <w:right w:val="single" w:color="auto" w:sz="4" w:space="0"/>
            </w:tcBorders>
            <w:noWrap/>
            <w:vAlign w:val="center"/>
          </w:tcPr>
          <w:p w14:paraId="2B0C5428">
            <w:pPr>
              <w:spacing w:line="360" w:lineRule="auto"/>
              <w:jc w:val="center"/>
              <w:rPr>
                <w:sz w:val="18"/>
                <w:szCs w:val="18"/>
              </w:rPr>
            </w:pPr>
            <w:r>
              <w:rPr>
                <w:rFonts w:hint="eastAsia"/>
                <w:sz w:val="18"/>
                <w:szCs w:val="18"/>
              </w:rPr>
              <w:t>100</w:t>
            </w:r>
          </w:p>
        </w:tc>
        <w:tc>
          <w:tcPr>
            <w:tcW w:w="1134" w:type="dxa"/>
            <w:tcBorders>
              <w:top w:val="single" w:color="000000" w:sz="4" w:space="0"/>
              <w:left w:val="single" w:color="auto" w:sz="4" w:space="0"/>
              <w:bottom w:val="single" w:color="000000" w:sz="4" w:space="0"/>
              <w:right w:val="single" w:color="auto" w:sz="4" w:space="0"/>
            </w:tcBorders>
            <w:noWrap/>
            <w:vAlign w:val="center"/>
          </w:tcPr>
          <w:p w14:paraId="751C59E8">
            <w:pPr>
              <w:spacing w:line="360" w:lineRule="auto"/>
              <w:jc w:val="center"/>
              <w:rPr>
                <w:sz w:val="18"/>
                <w:szCs w:val="18"/>
              </w:rPr>
            </w:pPr>
            <w:r>
              <w:rPr>
                <w:rFonts w:hint="eastAsia"/>
                <w:sz w:val="18"/>
                <w:szCs w:val="18"/>
              </w:rPr>
              <w:t>20</w:t>
            </w:r>
          </w:p>
        </w:tc>
        <w:tc>
          <w:tcPr>
            <w:tcW w:w="1134" w:type="dxa"/>
            <w:tcBorders>
              <w:top w:val="single" w:color="000000" w:sz="4" w:space="0"/>
              <w:left w:val="single" w:color="auto" w:sz="4" w:space="0"/>
              <w:bottom w:val="single" w:color="000000" w:sz="4" w:space="0"/>
              <w:right w:val="single" w:color="000000" w:sz="4" w:space="0"/>
            </w:tcBorders>
            <w:noWrap/>
            <w:vAlign w:val="center"/>
          </w:tcPr>
          <w:p w14:paraId="10944E0A">
            <w:pPr>
              <w:spacing w:line="360" w:lineRule="auto"/>
              <w:jc w:val="center"/>
              <w:rPr>
                <w:sz w:val="18"/>
                <w:szCs w:val="18"/>
              </w:rPr>
            </w:pPr>
            <w:r>
              <w:rPr>
                <w:rFonts w:hint="eastAsia"/>
                <w:sz w:val="18"/>
                <w:szCs w:val="18"/>
              </w:rPr>
              <w:t>10.00</w:t>
            </w:r>
          </w:p>
        </w:tc>
        <w:tc>
          <w:tcPr>
            <w:tcW w:w="1134" w:type="dxa"/>
            <w:tcBorders>
              <w:top w:val="single" w:color="000000" w:sz="4" w:space="0"/>
              <w:left w:val="nil"/>
              <w:bottom w:val="single" w:color="000000" w:sz="4" w:space="0"/>
              <w:right w:val="single" w:color="auto" w:sz="4" w:space="0"/>
            </w:tcBorders>
            <w:noWrap/>
            <w:vAlign w:val="center"/>
          </w:tcPr>
          <w:p w14:paraId="6562F1BB">
            <w:pPr>
              <w:spacing w:line="360" w:lineRule="auto"/>
              <w:jc w:val="center"/>
              <w:rPr>
                <w:sz w:val="18"/>
                <w:szCs w:val="18"/>
              </w:rPr>
            </w:pPr>
            <w:r>
              <w:rPr>
                <w:rFonts w:hint="eastAsia"/>
                <w:sz w:val="18"/>
                <w:szCs w:val="18"/>
              </w:rPr>
              <w:t>100</w:t>
            </w:r>
          </w:p>
        </w:tc>
        <w:tc>
          <w:tcPr>
            <w:tcW w:w="1134" w:type="dxa"/>
            <w:tcBorders>
              <w:top w:val="single" w:color="000000" w:sz="4" w:space="0"/>
              <w:left w:val="single" w:color="auto" w:sz="4" w:space="0"/>
              <w:bottom w:val="single" w:color="000000" w:sz="4" w:space="0"/>
              <w:right w:val="single" w:color="auto" w:sz="4" w:space="0"/>
            </w:tcBorders>
            <w:noWrap/>
            <w:vAlign w:val="center"/>
          </w:tcPr>
          <w:p w14:paraId="3671C90C">
            <w:pPr>
              <w:spacing w:line="360" w:lineRule="auto"/>
              <w:jc w:val="center"/>
              <w:rPr>
                <w:sz w:val="18"/>
                <w:szCs w:val="18"/>
              </w:rPr>
            </w:pPr>
            <w:r>
              <w:rPr>
                <w:rFonts w:hint="eastAsia"/>
                <w:sz w:val="18"/>
                <w:szCs w:val="18"/>
              </w:rPr>
              <w:t>10</w:t>
            </w:r>
          </w:p>
        </w:tc>
        <w:tc>
          <w:tcPr>
            <w:tcW w:w="1094" w:type="dxa"/>
            <w:tcBorders>
              <w:top w:val="single" w:color="000000" w:sz="4" w:space="0"/>
              <w:left w:val="single" w:color="auto" w:sz="4" w:space="0"/>
              <w:bottom w:val="single" w:color="000000" w:sz="4" w:space="0"/>
              <w:right w:val="single" w:color="000000" w:sz="4" w:space="0"/>
            </w:tcBorders>
            <w:noWrap/>
            <w:vAlign w:val="center"/>
          </w:tcPr>
          <w:p w14:paraId="01309FB2">
            <w:pPr>
              <w:spacing w:line="360" w:lineRule="auto"/>
              <w:jc w:val="center"/>
              <w:rPr>
                <w:sz w:val="18"/>
                <w:szCs w:val="18"/>
              </w:rPr>
            </w:pPr>
            <w:r>
              <w:rPr>
                <w:rFonts w:hint="eastAsia"/>
                <w:sz w:val="18"/>
                <w:szCs w:val="18"/>
              </w:rPr>
              <w:t>10</w:t>
            </w:r>
          </w:p>
        </w:tc>
      </w:tr>
      <w:tr w14:paraId="46597E6E">
        <w:tblPrEx>
          <w:tblCellMar>
            <w:top w:w="0" w:type="dxa"/>
            <w:left w:w="108" w:type="dxa"/>
            <w:bottom w:w="0" w:type="dxa"/>
            <w:right w:w="108" w:type="dxa"/>
          </w:tblCellMar>
        </w:tblPrEx>
        <w:trPr>
          <w:cantSplit/>
          <w:trHeight w:val="449" w:hRule="exact"/>
          <w:jc w:val="center"/>
        </w:trPr>
        <w:tc>
          <w:tcPr>
            <w:tcW w:w="1566" w:type="dxa"/>
            <w:tcBorders>
              <w:top w:val="single" w:color="000000" w:sz="4" w:space="0"/>
              <w:left w:val="single" w:color="000000" w:sz="4" w:space="0"/>
              <w:bottom w:val="single" w:color="auto" w:sz="4" w:space="0"/>
              <w:right w:val="single" w:color="000000" w:sz="4" w:space="0"/>
            </w:tcBorders>
            <w:noWrap/>
            <w:vAlign w:val="center"/>
          </w:tcPr>
          <w:p w14:paraId="071259DC">
            <w:pPr>
              <w:spacing w:line="360" w:lineRule="auto"/>
              <w:jc w:val="center"/>
              <w:rPr>
                <w:sz w:val="18"/>
                <w:szCs w:val="18"/>
              </w:rPr>
            </w:pPr>
            <w:r>
              <w:rPr>
                <w:rFonts w:hint="eastAsia"/>
                <w:sz w:val="18"/>
                <w:szCs w:val="18"/>
              </w:rPr>
              <w:t xml:space="preserve"> ＞0.050</w:t>
            </w:r>
            <w:r>
              <w:rPr>
                <w:color w:val="000000"/>
                <w:sz w:val="18"/>
                <w:szCs w:val="18"/>
              </w:rPr>
              <w:t>～</w:t>
            </w:r>
            <w:r>
              <w:rPr>
                <w:rFonts w:hint="eastAsia"/>
                <w:sz w:val="18"/>
                <w:szCs w:val="18"/>
              </w:rPr>
              <w:t>0.10</w:t>
            </w:r>
          </w:p>
        </w:tc>
        <w:tc>
          <w:tcPr>
            <w:tcW w:w="1185" w:type="dxa"/>
            <w:tcBorders>
              <w:top w:val="single" w:color="000000" w:sz="4" w:space="0"/>
              <w:left w:val="single" w:color="000000" w:sz="4" w:space="0"/>
              <w:bottom w:val="single" w:color="auto" w:sz="4" w:space="0"/>
              <w:right w:val="single" w:color="auto" w:sz="4" w:space="0"/>
            </w:tcBorders>
            <w:noWrap/>
            <w:vAlign w:val="center"/>
          </w:tcPr>
          <w:p w14:paraId="66EDC667">
            <w:pPr>
              <w:spacing w:line="360" w:lineRule="auto"/>
              <w:jc w:val="center"/>
              <w:rPr>
                <w:sz w:val="18"/>
                <w:szCs w:val="18"/>
              </w:rPr>
            </w:pPr>
            <w:r>
              <w:rPr>
                <w:rFonts w:hint="eastAsia"/>
                <w:sz w:val="18"/>
                <w:szCs w:val="18"/>
              </w:rPr>
              <w:t>100</w:t>
            </w:r>
          </w:p>
        </w:tc>
        <w:tc>
          <w:tcPr>
            <w:tcW w:w="1134" w:type="dxa"/>
            <w:tcBorders>
              <w:top w:val="single" w:color="000000" w:sz="4" w:space="0"/>
              <w:left w:val="single" w:color="auto" w:sz="4" w:space="0"/>
              <w:bottom w:val="single" w:color="auto" w:sz="4" w:space="0"/>
              <w:right w:val="single" w:color="auto" w:sz="4" w:space="0"/>
            </w:tcBorders>
            <w:noWrap/>
            <w:vAlign w:val="center"/>
          </w:tcPr>
          <w:p w14:paraId="2894BEB0">
            <w:pPr>
              <w:spacing w:line="360" w:lineRule="auto"/>
              <w:jc w:val="center"/>
              <w:rPr>
                <w:sz w:val="18"/>
                <w:szCs w:val="18"/>
              </w:rPr>
            </w:pPr>
            <w:r>
              <w:rPr>
                <w:rFonts w:hint="eastAsia"/>
                <w:sz w:val="18"/>
                <w:szCs w:val="18"/>
              </w:rPr>
              <w:t>20</w:t>
            </w:r>
          </w:p>
        </w:tc>
        <w:tc>
          <w:tcPr>
            <w:tcW w:w="1134" w:type="dxa"/>
            <w:tcBorders>
              <w:top w:val="single" w:color="000000" w:sz="4" w:space="0"/>
              <w:left w:val="single" w:color="auto" w:sz="4" w:space="0"/>
              <w:bottom w:val="single" w:color="auto" w:sz="4" w:space="0"/>
              <w:right w:val="single" w:color="000000" w:sz="4" w:space="0"/>
            </w:tcBorders>
            <w:noWrap/>
            <w:vAlign w:val="center"/>
          </w:tcPr>
          <w:p w14:paraId="1A9B658F">
            <w:pPr>
              <w:spacing w:line="360" w:lineRule="auto"/>
              <w:jc w:val="center"/>
              <w:rPr>
                <w:sz w:val="18"/>
                <w:szCs w:val="18"/>
              </w:rPr>
            </w:pPr>
            <w:r>
              <w:rPr>
                <w:rFonts w:hint="eastAsia"/>
                <w:sz w:val="18"/>
                <w:szCs w:val="18"/>
              </w:rPr>
              <w:t>5.00</w:t>
            </w:r>
          </w:p>
        </w:tc>
        <w:tc>
          <w:tcPr>
            <w:tcW w:w="1134" w:type="dxa"/>
            <w:tcBorders>
              <w:top w:val="single" w:color="000000" w:sz="4" w:space="0"/>
              <w:left w:val="nil"/>
              <w:bottom w:val="single" w:color="auto" w:sz="4" w:space="0"/>
              <w:right w:val="single" w:color="auto" w:sz="4" w:space="0"/>
            </w:tcBorders>
            <w:noWrap/>
            <w:vAlign w:val="center"/>
          </w:tcPr>
          <w:p w14:paraId="73568C53">
            <w:pPr>
              <w:spacing w:line="360" w:lineRule="auto"/>
              <w:jc w:val="center"/>
              <w:rPr>
                <w:sz w:val="18"/>
                <w:szCs w:val="18"/>
              </w:rPr>
            </w:pPr>
            <w:r>
              <w:rPr>
                <w:rFonts w:hint="eastAsia"/>
                <w:sz w:val="18"/>
                <w:szCs w:val="18"/>
              </w:rPr>
              <w:t>200</w:t>
            </w:r>
          </w:p>
        </w:tc>
        <w:tc>
          <w:tcPr>
            <w:tcW w:w="1134" w:type="dxa"/>
            <w:tcBorders>
              <w:top w:val="single" w:color="000000" w:sz="4" w:space="0"/>
              <w:left w:val="single" w:color="auto" w:sz="4" w:space="0"/>
              <w:bottom w:val="single" w:color="auto" w:sz="4" w:space="0"/>
              <w:right w:val="single" w:color="auto" w:sz="4" w:space="0"/>
            </w:tcBorders>
            <w:noWrap/>
            <w:vAlign w:val="center"/>
          </w:tcPr>
          <w:p w14:paraId="11A4CC78">
            <w:pPr>
              <w:spacing w:line="360" w:lineRule="auto"/>
              <w:jc w:val="center"/>
              <w:rPr>
                <w:sz w:val="18"/>
                <w:szCs w:val="18"/>
              </w:rPr>
            </w:pPr>
            <w:r>
              <w:rPr>
                <w:rFonts w:hint="eastAsia"/>
                <w:sz w:val="18"/>
                <w:szCs w:val="18"/>
              </w:rPr>
              <w:t>20</w:t>
            </w:r>
          </w:p>
        </w:tc>
        <w:tc>
          <w:tcPr>
            <w:tcW w:w="1094" w:type="dxa"/>
            <w:tcBorders>
              <w:top w:val="single" w:color="000000" w:sz="4" w:space="0"/>
              <w:left w:val="single" w:color="auto" w:sz="4" w:space="0"/>
              <w:bottom w:val="single" w:color="auto" w:sz="4" w:space="0"/>
              <w:right w:val="single" w:color="000000" w:sz="4" w:space="0"/>
            </w:tcBorders>
            <w:noWrap/>
            <w:vAlign w:val="center"/>
          </w:tcPr>
          <w:p w14:paraId="02727B2B">
            <w:pPr>
              <w:spacing w:line="360" w:lineRule="auto"/>
              <w:jc w:val="center"/>
              <w:rPr>
                <w:sz w:val="18"/>
                <w:szCs w:val="18"/>
              </w:rPr>
            </w:pPr>
            <w:r>
              <w:rPr>
                <w:rFonts w:hint="eastAsia"/>
                <w:sz w:val="18"/>
                <w:szCs w:val="18"/>
              </w:rPr>
              <w:t>20</w:t>
            </w:r>
          </w:p>
        </w:tc>
      </w:tr>
      <w:tr w14:paraId="0AC88565">
        <w:tblPrEx>
          <w:tblCellMar>
            <w:top w:w="0" w:type="dxa"/>
            <w:left w:w="108" w:type="dxa"/>
            <w:bottom w:w="0" w:type="dxa"/>
            <w:right w:w="108" w:type="dxa"/>
          </w:tblCellMar>
        </w:tblPrEx>
        <w:trPr>
          <w:cantSplit/>
          <w:trHeight w:val="427" w:hRule="exact"/>
          <w:jc w:val="center"/>
        </w:trPr>
        <w:tc>
          <w:tcPr>
            <w:tcW w:w="1566" w:type="dxa"/>
            <w:tcBorders>
              <w:top w:val="single" w:color="auto" w:sz="4" w:space="0"/>
              <w:left w:val="single" w:color="000000" w:sz="4" w:space="0"/>
              <w:bottom w:val="single" w:color="auto" w:sz="4" w:space="0"/>
              <w:right w:val="single" w:color="000000" w:sz="4" w:space="0"/>
            </w:tcBorders>
            <w:noWrap/>
            <w:vAlign w:val="center"/>
          </w:tcPr>
          <w:p w14:paraId="6FBE5BF9">
            <w:pPr>
              <w:spacing w:line="360" w:lineRule="auto"/>
              <w:jc w:val="center"/>
              <w:rPr>
                <w:sz w:val="18"/>
                <w:szCs w:val="18"/>
              </w:rPr>
            </w:pPr>
            <w:r>
              <w:rPr>
                <w:rFonts w:hint="eastAsia"/>
                <w:sz w:val="18"/>
                <w:szCs w:val="18"/>
              </w:rPr>
              <w:t>＞0.10</w:t>
            </w:r>
            <w:r>
              <w:rPr>
                <w:color w:val="000000"/>
                <w:sz w:val="18"/>
                <w:szCs w:val="18"/>
              </w:rPr>
              <w:t>～</w:t>
            </w:r>
            <w:r>
              <w:rPr>
                <w:rFonts w:hint="eastAsia"/>
                <w:sz w:val="18"/>
                <w:szCs w:val="18"/>
              </w:rPr>
              <w:t>0.40</w:t>
            </w:r>
          </w:p>
        </w:tc>
        <w:tc>
          <w:tcPr>
            <w:tcW w:w="1185" w:type="dxa"/>
            <w:tcBorders>
              <w:top w:val="single" w:color="auto" w:sz="4" w:space="0"/>
              <w:left w:val="single" w:color="000000" w:sz="4" w:space="0"/>
              <w:bottom w:val="single" w:color="auto" w:sz="4" w:space="0"/>
              <w:right w:val="single" w:color="auto" w:sz="4" w:space="0"/>
            </w:tcBorders>
            <w:noWrap/>
            <w:vAlign w:val="center"/>
          </w:tcPr>
          <w:p w14:paraId="26DF1335">
            <w:pPr>
              <w:spacing w:line="360" w:lineRule="auto"/>
              <w:jc w:val="center"/>
              <w:rPr>
                <w:sz w:val="18"/>
                <w:szCs w:val="18"/>
              </w:rPr>
            </w:pPr>
            <w:r>
              <w:rPr>
                <w:rFonts w:hint="eastAsia"/>
                <w:sz w:val="18"/>
                <w:szCs w:val="18"/>
              </w:rPr>
              <w:t>200</w:t>
            </w:r>
          </w:p>
        </w:tc>
        <w:tc>
          <w:tcPr>
            <w:tcW w:w="1134" w:type="dxa"/>
            <w:tcBorders>
              <w:top w:val="single" w:color="auto" w:sz="4" w:space="0"/>
              <w:left w:val="single" w:color="auto" w:sz="4" w:space="0"/>
              <w:bottom w:val="single" w:color="auto" w:sz="4" w:space="0"/>
              <w:right w:val="single" w:color="auto" w:sz="4" w:space="0"/>
            </w:tcBorders>
            <w:noWrap/>
            <w:vAlign w:val="center"/>
          </w:tcPr>
          <w:p w14:paraId="78C57219">
            <w:pPr>
              <w:spacing w:line="360" w:lineRule="auto"/>
              <w:jc w:val="center"/>
              <w:rPr>
                <w:sz w:val="18"/>
                <w:szCs w:val="18"/>
              </w:rPr>
            </w:pPr>
            <w:r>
              <w:rPr>
                <w:rFonts w:hint="eastAsia"/>
                <w:sz w:val="18"/>
                <w:szCs w:val="18"/>
              </w:rPr>
              <w:t>40</w:t>
            </w:r>
          </w:p>
        </w:tc>
        <w:tc>
          <w:tcPr>
            <w:tcW w:w="1134" w:type="dxa"/>
            <w:tcBorders>
              <w:top w:val="single" w:color="auto" w:sz="4" w:space="0"/>
              <w:left w:val="single" w:color="auto" w:sz="4" w:space="0"/>
              <w:bottom w:val="single" w:color="auto" w:sz="4" w:space="0"/>
              <w:right w:val="single" w:color="000000" w:sz="4" w:space="0"/>
            </w:tcBorders>
            <w:noWrap/>
            <w:vAlign w:val="center"/>
          </w:tcPr>
          <w:p w14:paraId="6C75A371">
            <w:pPr>
              <w:spacing w:line="360" w:lineRule="auto"/>
              <w:jc w:val="center"/>
              <w:rPr>
                <w:sz w:val="18"/>
                <w:szCs w:val="18"/>
              </w:rPr>
            </w:pPr>
            <w:r>
              <w:rPr>
                <w:rFonts w:hint="eastAsia"/>
                <w:sz w:val="18"/>
                <w:szCs w:val="18"/>
              </w:rPr>
              <w:t>5.00</w:t>
            </w:r>
          </w:p>
        </w:tc>
        <w:tc>
          <w:tcPr>
            <w:tcW w:w="1134" w:type="dxa"/>
            <w:tcBorders>
              <w:top w:val="single" w:color="auto" w:sz="4" w:space="0"/>
              <w:left w:val="nil"/>
              <w:bottom w:val="single" w:color="auto" w:sz="4" w:space="0"/>
              <w:right w:val="single" w:color="auto" w:sz="4" w:space="0"/>
            </w:tcBorders>
            <w:noWrap/>
            <w:vAlign w:val="center"/>
          </w:tcPr>
          <w:p w14:paraId="77281586">
            <w:pPr>
              <w:spacing w:line="360" w:lineRule="auto"/>
              <w:jc w:val="center"/>
              <w:rPr>
                <w:sz w:val="18"/>
                <w:szCs w:val="18"/>
              </w:rPr>
            </w:pPr>
            <w:r>
              <w:rPr>
                <w:rFonts w:hint="eastAsia"/>
                <w:sz w:val="18"/>
                <w:szCs w:val="18"/>
              </w:rPr>
              <w:t>200</w:t>
            </w:r>
          </w:p>
        </w:tc>
        <w:tc>
          <w:tcPr>
            <w:tcW w:w="1134" w:type="dxa"/>
            <w:tcBorders>
              <w:top w:val="single" w:color="auto" w:sz="4" w:space="0"/>
              <w:left w:val="single" w:color="auto" w:sz="4" w:space="0"/>
              <w:bottom w:val="single" w:color="auto" w:sz="4" w:space="0"/>
              <w:right w:val="single" w:color="auto" w:sz="4" w:space="0"/>
            </w:tcBorders>
            <w:noWrap/>
            <w:vAlign w:val="center"/>
          </w:tcPr>
          <w:p w14:paraId="59D7B0D2">
            <w:pPr>
              <w:spacing w:line="360" w:lineRule="auto"/>
              <w:jc w:val="center"/>
              <w:rPr>
                <w:sz w:val="18"/>
                <w:szCs w:val="18"/>
              </w:rPr>
            </w:pPr>
            <w:r>
              <w:rPr>
                <w:rFonts w:hint="eastAsia"/>
                <w:sz w:val="18"/>
                <w:szCs w:val="18"/>
              </w:rPr>
              <w:t>20</w:t>
            </w:r>
          </w:p>
        </w:tc>
        <w:tc>
          <w:tcPr>
            <w:tcW w:w="1094" w:type="dxa"/>
            <w:tcBorders>
              <w:top w:val="single" w:color="auto" w:sz="4" w:space="0"/>
              <w:left w:val="single" w:color="auto" w:sz="4" w:space="0"/>
              <w:bottom w:val="single" w:color="auto" w:sz="4" w:space="0"/>
              <w:right w:val="single" w:color="000000" w:sz="4" w:space="0"/>
            </w:tcBorders>
            <w:noWrap/>
            <w:vAlign w:val="center"/>
          </w:tcPr>
          <w:p w14:paraId="761DD36E">
            <w:pPr>
              <w:spacing w:line="360" w:lineRule="auto"/>
              <w:jc w:val="center"/>
              <w:rPr>
                <w:sz w:val="18"/>
                <w:szCs w:val="18"/>
              </w:rPr>
            </w:pPr>
            <w:r>
              <w:rPr>
                <w:rFonts w:hint="eastAsia"/>
                <w:sz w:val="18"/>
                <w:szCs w:val="18"/>
              </w:rPr>
              <w:t>20</w:t>
            </w:r>
          </w:p>
        </w:tc>
      </w:tr>
      <w:tr w14:paraId="46185031">
        <w:tblPrEx>
          <w:tblCellMar>
            <w:top w:w="0" w:type="dxa"/>
            <w:left w:w="108" w:type="dxa"/>
            <w:bottom w:w="0" w:type="dxa"/>
            <w:right w:w="108" w:type="dxa"/>
          </w:tblCellMar>
        </w:tblPrEx>
        <w:trPr>
          <w:cantSplit/>
          <w:trHeight w:val="421" w:hRule="exact"/>
          <w:jc w:val="center"/>
        </w:trPr>
        <w:tc>
          <w:tcPr>
            <w:tcW w:w="1566" w:type="dxa"/>
            <w:tcBorders>
              <w:top w:val="single" w:color="auto" w:sz="4" w:space="0"/>
              <w:left w:val="single" w:color="000000" w:sz="4" w:space="0"/>
              <w:bottom w:val="single" w:color="000000" w:sz="4" w:space="0"/>
              <w:right w:val="single" w:color="000000" w:sz="4" w:space="0"/>
            </w:tcBorders>
            <w:noWrap/>
            <w:vAlign w:val="center"/>
          </w:tcPr>
          <w:p w14:paraId="37425BAC">
            <w:pPr>
              <w:spacing w:line="360" w:lineRule="auto"/>
              <w:jc w:val="center"/>
              <w:rPr>
                <w:sz w:val="18"/>
                <w:szCs w:val="18"/>
              </w:rPr>
            </w:pPr>
            <w:r>
              <w:rPr>
                <w:rFonts w:hint="eastAsia"/>
                <w:sz w:val="18"/>
                <w:szCs w:val="18"/>
              </w:rPr>
              <w:t>＞0.40</w:t>
            </w:r>
            <w:r>
              <w:rPr>
                <w:color w:val="000000"/>
                <w:sz w:val="18"/>
                <w:szCs w:val="18"/>
              </w:rPr>
              <w:t>～</w:t>
            </w:r>
            <w:r>
              <w:rPr>
                <w:rFonts w:hint="eastAsia"/>
                <w:sz w:val="18"/>
                <w:szCs w:val="18"/>
              </w:rPr>
              <w:t>1.00</w:t>
            </w:r>
          </w:p>
        </w:tc>
        <w:tc>
          <w:tcPr>
            <w:tcW w:w="1185" w:type="dxa"/>
            <w:tcBorders>
              <w:top w:val="single" w:color="auto" w:sz="4" w:space="0"/>
              <w:left w:val="single" w:color="000000" w:sz="4" w:space="0"/>
              <w:bottom w:val="single" w:color="000000" w:sz="4" w:space="0"/>
              <w:right w:val="single" w:color="auto" w:sz="4" w:space="0"/>
            </w:tcBorders>
            <w:noWrap/>
            <w:vAlign w:val="center"/>
          </w:tcPr>
          <w:p w14:paraId="392D3C66">
            <w:pPr>
              <w:spacing w:line="360" w:lineRule="auto"/>
              <w:jc w:val="center"/>
              <w:rPr>
                <w:sz w:val="18"/>
                <w:szCs w:val="18"/>
              </w:rPr>
            </w:pPr>
            <w:r>
              <w:rPr>
                <w:rFonts w:hint="eastAsia"/>
                <w:sz w:val="18"/>
                <w:szCs w:val="18"/>
              </w:rPr>
              <w:t>200</w:t>
            </w:r>
          </w:p>
        </w:tc>
        <w:tc>
          <w:tcPr>
            <w:tcW w:w="1134" w:type="dxa"/>
            <w:tcBorders>
              <w:top w:val="single" w:color="auto" w:sz="4" w:space="0"/>
              <w:left w:val="single" w:color="auto" w:sz="4" w:space="0"/>
              <w:bottom w:val="single" w:color="000000" w:sz="4" w:space="0"/>
              <w:right w:val="single" w:color="auto" w:sz="4" w:space="0"/>
            </w:tcBorders>
            <w:noWrap/>
            <w:vAlign w:val="center"/>
          </w:tcPr>
          <w:p w14:paraId="68215D96">
            <w:pPr>
              <w:spacing w:line="360" w:lineRule="auto"/>
              <w:jc w:val="center"/>
              <w:rPr>
                <w:sz w:val="18"/>
                <w:szCs w:val="18"/>
              </w:rPr>
            </w:pPr>
            <w:r>
              <w:rPr>
                <w:rFonts w:hint="eastAsia"/>
                <w:sz w:val="18"/>
                <w:szCs w:val="18"/>
              </w:rPr>
              <w:t>40</w:t>
            </w:r>
          </w:p>
        </w:tc>
        <w:tc>
          <w:tcPr>
            <w:tcW w:w="1134" w:type="dxa"/>
            <w:tcBorders>
              <w:top w:val="single" w:color="auto" w:sz="4" w:space="0"/>
              <w:left w:val="single" w:color="auto" w:sz="4" w:space="0"/>
              <w:bottom w:val="single" w:color="000000" w:sz="4" w:space="0"/>
              <w:right w:val="single" w:color="000000" w:sz="4" w:space="0"/>
            </w:tcBorders>
            <w:noWrap/>
            <w:vAlign w:val="center"/>
          </w:tcPr>
          <w:p w14:paraId="26542165">
            <w:pPr>
              <w:spacing w:line="360" w:lineRule="auto"/>
              <w:jc w:val="center"/>
              <w:rPr>
                <w:sz w:val="18"/>
                <w:szCs w:val="18"/>
              </w:rPr>
            </w:pPr>
            <w:r>
              <w:rPr>
                <w:rFonts w:hint="eastAsia"/>
                <w:sz w:val="18"/>
                <w:szCs w:val="18"/>
              </w:rPr>
              <w:t>2.00</w:t>
            </w:r>
          </w:p>
        </w:tc>
        <w:tc>
          <w:tcPr>
            <w:tcW w:w="1134" w:type="dxa"/>
            <w:tcBorders>
              <w:top w:val="single" w:color="auto" w:sz="4" w:space="0"/>
              <w:left w:val="nil"/>
              <w:bottom w:val="single" w:color="000000" w:sz="4" w:space="0"/>
              <w:right w:val="single" w:color="auto" w:sz="4" w:space="0"/>
            </w:tcBorders>
            <w:noWrap/>
            <w:vAlign w:val="center"/>
          </w:tcPr>
          <w:p w14:paraId="60FFFD3B">
            <w:pPr>
              <w:spacing w:line="360" w:lineRule="auto"/>
              <w:jc w:val="center"/>
              <w:rPr>
                <w:sz w:val="18"/>
                <w:szCs w:val="18"/>
              </w:rPr>
            </w:pPr>
            <w:r>
              <w:rPr>
                <w:rFonts w:hint="eastAsia"/>
                <w:sz w:val="18"/>
                <w:szCs w:val="18"/>
              </w:rPr>
              <w:t>250</w:t>
            </w:r>
          </w:p>
        </w:tc>
        <w:tc>
          <w:tcPr>
            <w:tcW w:w="1134" w:type="dxa"/>
            <w:tcBorders>
              <w:top w:val="single" w:color="auto" w:sz="4" w:space="0"/>
              <w:left w:val="single" w:color="auto" w:sz="4" w:space="0"/>
              <w:bottom w:val="single" w:color="000000" w:sz="4" w:space="0"/>
              <w:right w:val="single" w:color="auto" w:sz="4" w:space="0"/>
            </w:tcBorders>
            <w:noWrap/>
            <w:vAlign w:val="center"/>
          </w:tcPr>
          <w:p w14:paraId="77B451F8">
            <w:pPr>
              <w:spacing w:line="360" w:lineRule="auto"/>
              <w:jc w:val="center"/>
              <w:rPr>
                <w:sz w:val="18"/>
                <w:szCs w:val="18"/>
              </w:rPr>
            </w:pPr>
            <w:r>
              <w:rPr>
                <w:rFonts w:hint="eastAsia"/>
                <w:sz w:val="18"/>
                <w:szCs w:val="18"/>
              </w:rPr>
              <w:t>25</w:t>
            </w:r>
          </w:p>
        </w:tc>
        <w:tc>
          <w:tcPr>
            <w:tcW w:w="1094" w:type="dxa"/>
            <w:tcBorders>
              <w:top w:val="single" w:color="auto" w:sz="4" w:space="0"/>
              <w:left w:val="single" w:color="auto" w:sz="4" w:space="0"/>
              <w:bottom w:val="single" w:color="000000" w:sz="4" w:space="0"/>
              <w:right w:val="single" w:color="000000" w:sz="4" w:space="0"/>
            </w:tcBorders>
            <w:noWrap/>
            <w:vAlign w:val="center"/>
          </w:tcPr>
          <w:p w14:paraId="21A627A5">
            <w:pPr>
              <w:spacing w:line="360" w:lineRule="auto"/>
              <w:jc w:val="center"/>
              <w:rPr>
                <w:sz w:val="18"/>
                <w:szCs w:val="18"/>
              </w:rPr>
            </w:pPr>
            <w:r>
              <w:rPr>
                <w:rFonts w:hint="eastAsia"/>
                <w:sz w:val="18"/>
                <w:szCs w:val="18"/>
              </w:rPr>
              <w:t>25</w:t>
            </w:r>
          </w:p>
        </w:tc>
      </w:tr>
    </w:tbl>
    <w:p w14:paraId="6C1D1F8A">
      <w:pPr>
        <w:spacing w:before="312" w:beforeLines="100"/>
        <w:rPr>
          <w:szCs w:val="21"/>
        </w:rPr>
      </w:pPr>
      <w:r>
        <w:rPr>
          <w:rFonts w:hint="eastAsia" w:ascii="黑体" w:hAnsi="黑体" w:eastAsia="黑体"/>
          <w:szCs w:val="21"/>
        </w:rPr>
        <w:t>4.5.4.6</w:t>
      </w:r>
      <w:r>
        <w:rPr>
          <w:rFonts w:hint="eastAsia"/>
          <w:szCs w:val="21"/>
        </w:rPr>
        <w:t xml:space="preserve"> 移取2 mL待测溶液（4.5.4.5）于氢化物发生器中，按仪器操作程序，以</w:t>
      </w:r>
      <w:r>
        <w:rPr>
          <w:rFonts w:hint="eastAsia"/>
          <w:szCs w:val="21"/>
          <w:lang w:val="en-US" w:eastAsia="zh-CN"/>
        </w:rPr>
        <w:t>推荐泵速</w:t>
      </w:r>
      <w:r>
        <w:rPr>
          <w:rFonts w:hint="eastAsia"/>
          <w:szCs w:val="21"/>
        </w:rPr>
        <w:t>加入硼氢化钾溶液（4.2.12）</w:t>
      </w:r>
      <w:r>
        <w:rPr>
          <w:rFonts w:hint="eastAsia"/>
          <w:szCs w:val="21"/>
          <w:lang w:eastAsia="zh-CN"/>
        </w:rPr>
        <w:t>，</w:t>
      </w:r>
      <w:r>
        <w:rPr>
          <w:rFonts w:hint="eastAsia"/>
          <w:szCs w:val="21"/>
        </w:rPr>
        <w:t>于原子荧光光谱仪上测定其荧光强度。减去随同试料的空白溶液的荧光强度，从工作曲线上查得相应的砷、锑、铋</w:t>
      </w:r>
      <w:r>
        <w:rPr>
          <w:rFonts w:hint="eastAsia"/>
          <w:szCs w:val="21"/>
          <w:lang w:val="en-US" w:eastAsia="zh-CN"/>
        </w:rPr>
        <w:t>的质量</w:t>
      </w:r>
      <w:r>
        <w:rPr>
          <w:rFonts w:hint="eastAsia"/>
          <w:szCs w:val="21"/>
        </w:rPr>
        <w:t>浓度。</w:t>
      </w:r>
    </w:p>
    <w:p w14:paraId="12FCEE23">
      <w:pPr>
        <w:spacing w:line="360" w:lineRule="auto"/>
        <w:rPr>
          <w:rFonts w:hint="eastAsia" w:ascii="黑体" w:hAnsi="黑体" w:eastAsia="黑体" w:cs="黑体"/>
          <w:szCs w:val="21"/>
        </w:rPr>
      </w:pPr>
      <w:r>
        <w:rPr>
          <w:rFonts w:hint="eastAsia" w:ascii="黑体" w:hAnsi="黑体" w:eastAsia="黑体"/>
          <w:szCs w:val="21"/>
        </w:rPr>
        <w:t>4.5.5</w:t>
      </w:r>
      <w:r>
        <w:rPr>
          <w:rFonts w:hint="eastAsia" w:ascii="黑体" w:hAnsi="黑体" w:eastAsia="黑体" w:cs="黑体"/>
          <w:szCs w:val="21"/>
        </w:rPr>
        <w:t xml:space="preserve">  工作曲线的绘制</w:t>
      </w:r>
    </w:p>
    <w:p w14:paraId="52BF5AB7">
      <w:pPr>
        <w:rPr>
          <w:szCs w:val="21"/>
        </w:rPr>
      </w:pPr>
      <w:r>
        <w:rPr>
          <w:rFonts w:hint="eastAsia" w:ascii="黑体" w:hAnsi="黑体" w:eastAsia="黑体" w:cs="黑体"/>
          <w:szCs w:val="21"/>
        </w:rPr>
        <w:t xml:space="preserve">4.5.5.1  </w:t>
      </w:r>
      <w:r>
        <w:rPr>
          <w:rFonts w:hint="eastAsia"/>
          <w:szCs w:val="21"/>
        </w:rPr>
        <w:t>移取0 mL、1.00 mL、2.00 mL、3.00 mL、4.00 mL、5.00 mL混合标准溶液（4.2.16），置于一组50 mL容量瓶中，加入5 mL盐酸（4.2.2），0.25 mL硝酸铁溶液（4.2.11），2.5 mL硝酸镧溶液（4.2.10），5 mL硫脲-抗坏血酸</w:t>
      </w:r>
      <w:r>
        <w:rPr>
          <w:rFonts w:hint="eastAsia"/>
          <w:szCs w:val="21"/>
          <w:lang w:val="en-US" w:eastAsia="zh-CN"/>
        </w:rPr>
        <w:t>混合</w:t>
      </w:r>
      <w:r>
        <w:rPr>
          <w:rFonts w:hint="eastAsia"/>
          <w:szCs w:val="21"/>
        </w:rPr>
        <w:t>溶液（</w:t>
      </w:r>
      <w:r>
        <w:rPr>
          <w:rFonts w:hint="eastAsia" w:ascii="Times New Roman" w:hAnsi="Times New Roman" w:cs="Times New Roman"/>
          <w:bCs/>
          <w:szCs w:val="21"/>
        </w:rPr>
        <w:t>4.2.9</w:t>
      </w:r>
      <w:r>
        <w:rPr>
          <w:rFonts w:hint="eastAsia"/>
          <w:szCs w:val="21"/>
        </w:rPr>
        <w:t>），用水（4.2.1）稀释至刻度，混匀。</w:t>
      </w:r>
    </w:p>
    <w:p w14:paraId="154F488B">
      <w:pPr>
        <w:rPr>
          <w:szCs w:val="21"/>
        </w:rPr>
      </w:pPr>
      <w:r>
        <w:rPr>
          <w:rFonts w:hint="eastAsia" w:ascii="黑体" w:hAnsi="黑体" w:eastAsia="黑体" w:cs="黑体"/>
          <w:szCs w:val="21"/>
        </w:rPr>
        <w:t xml:space="preserve">4.5.5.2  </w:t>
      </w:r>
      <w:r>
        <w:rPr>
          <w:rFonts w:hint="eastAsia"/>
          <w:szCs w:val="21"/>
        </w:rPr>
        <w:t>在与测量试料相同的条件下，按仪器操作程序测量其荧光强度，减去“零”浓度标准溶液的荧光强度，分别以砷、锑、铋的质量浓度为横坐标，荧光强度为纵坐标绘制工作曲线。</w:t>
      </w:r>
    </w:p>
    <w:p w14:paraId="5FE16BDA">
      <w:pPr>
        <w:spacing w:before="156" w:beforeLines="50" w:after="156" w:afterLines="50"/>
        <w:rPr>
          <w:rFonts w:hint="eastAsia" w:ascii="黑体" w:hAnsi="黑体" w:eastAsia="黑体" w:cs="黑体"/>
          <w:bCs/>
          <w:szCs w:val="21"/>
        </w:rPr>
      </w:pPr>
      <w:r>
        <w:rPr>
          <w:rFonts w:hint="eastAsia" w:ascii="黑体" w:hAnsi="黑体" w:eastAsia="黑体" w:cs="黑体"/>
          <w:bCs/>
          <w:szCs w:val="21"/>
        </w:rPr>
        <w:t>4.6  试验数据处理</w:t>
      </w:r>
    </w:p>
    <w:p w14:paraId="2DA33C2B">
      <w:pPr>
        <w:ind w:right="-82" w:rightChars="-39" w:firstLine="420"/>
        <w:rPr>
          <w:szCs w:val="21"/>
        </w:rPr>
      </w:pPr>
      <w:r>
        <w:rPr>
          <w:rFonts w:hint="eastAsia"/>
        </w:rPr>
        <w:t>砷、锑、铋的含量以质量分数</w:t>
      </w:r>
      <w:r>
        <w:rPr>
          <w:rFonts w:hint="eastAsia"/>
          <w:szCs w:val="21"/>
        </w:rPr>
        <w:drawing>
          <wp:inline distT="0" distB="0" distL="114300" distR="114300">
            <wp:extent cx="142875" cy="133350"/>
            <wp:effectExtent l="0" t="0" r="9525"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eastAsia"/>
          <w:vertAlign w:val="subscript"/>
        </w:rPr>
        <w:t>x</w:t>
      </w:r>
      <w:r>
        <w:t>计，按</w:t>
      </w:r>
      <w:r>
        <w:rPr>
          <w:rFonts w:hint="eastAsia"/>
        </w:rPr>
        <w:t>公</w:t>
      </w:r>
      <w:r>
        <w:t>式（</w:t>
      </w:r>
      <w:r>
        <w:rPr>
          <w:rFonts w:hint="eastAsia"/>
        </w:rPr>
        <w:t>1</w:t>
      </w:r>
      <w:r>
        <w:t>）计算：</w:t>
      </w:r>
    </w:p>
    <w:p w14:paraId="0C2BDD01">
      <w:pPr>
        <w:jc w:val="right"/>
        <w:rPr>
          <w:rFonts w:hint="eastAsia" w:ascii="宋体" w:hAnsi="宋体" w:cs="宋体"/>
        </w:rPr>
      </w:pPr>
      <w:r>
        <w:rPr>
          <w:rFonts w:hint="eastAsia" w:ascii="宋体" w:hAnsi="宋体" w:cs="宋体"/>
        </w:rPr>
        <w:t xml:space="preserve">                  </w:t>
      </w:r>
      <w:r>
        <w:rPr>
          <w:rFonts w:hint="eastAsia" w:ascii="宋体" w:hAnsi="宋体" w:cs="宋体"/>
          <w:position w:val="-26"/>
        </w:rPr>
        <w:object>
          <v:shape id="_x0000_i1025" o:spt="75" type="#_x0000_t75" style="height:25.85pt;width:246.5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02A23F73">
      <w:pPr>
        <w:ind w:firstLine="420" w:firstLineChars="200"/>
        <w:rPr>
          <w:rFonts w:hint="eastAsia" w:ascii="宋体" w:hAnsi="宋体" w:cs="宋体"/>
        </w:rPr>
      </w:pPr>
      <w:r>
        <w:rPr>
          <w:rFonts w:hint="eastAsia" w:ascii="宋体" w:hAnsi="宋体" w:cs="宋体"/>
        </w:rPr>
        <w:t>式中：</w:t>
      </w:r>
    </w:p>
    <w:p w14:paraId="4F694598">
      <w:pPr>
        <w:ind w:firstLine="420" w:firstLineChars="200"/>
        <w:rPr>
          <w:rFonts w:hint="eastAsia" w:ascii="宋体" w:hAnsi="宋体" w:cs="宋体"/>
        </w:rPr>
      </w:pPr>
      <w:r>
        <w:rPr>
          <w:rFonts w:hint="eastAsia"/>
          <w:i/>
          <w:iCs/>
          <w:szCs w:val="21"/>
        </w:rPr>
        <w:t>ρ</w:t>
      </w:r>
      <w:r>
        <w:rPr>
          <w:rFonts w:hint="eastAsia" w:asciiTheme="minorEastAsia" w:hAnsiTheme="minorEastAsia" w:eastAsiaTheme="minorEastAsia" w:cstheme="minorEastAsia"/>
          <w:szCs w:val="21"/>
          <w:vertAlign w:val="subscript"/>
        </w:rPr>
        <w:t>1</w:t>
      </w:r>
      <w:r>
        <w:rPr>
          <w:szCs w:val="21"/>
        </w:rPr>
        <w:t>——</w:t>
      </w:r>
      <w:r>
        <w:rPr>
          <w:rFonts w:hint="eastAsia" w:ascii="宋体" w:hAnsi="宋体" w:cs="宋体"/>
        </w:rPr>
        <w:t>从工作曲线上查得的砷或锑或铋的质量浓度，单位为微克每毫升（</w:t>
      </w:r>
      <w:r>
        <w:rPr>
          <w:rFonts w:hint="eastAsia"/>
          <w:szCs w:val="21"/>
        </w:rPr>
        <w:t>µg/mL</w:t>
      </w:r>
      <w:r>
        <w:rPr>
          <w:rFonts w:hint="eastAsia" w:ascii="宋体" w:hAnsi="宋体" w:cs="宋体"/>
        </w:rPr>
        <w:t>）；</w:t>
      </w:r>
    </w:p>
    <w:p w14:paraId="3F381683">
      <w:pPr>
        <w:ind w:firstLine="420" w:firstLineChars="200"/>
        <w:rPr>
          <w:rFonts w:hint="eastAsia" w:ascii="宋体" w:hAnsi="宋体" w:cs="宋体"/>
        </w:rPr>
      </w:pPr>
      <w:r>
        <w:rPr>
          <w:rFonts w:hint="eastAsia" w:ascii="宋体" w:hAnsi="宋体" w:cs="宋体"/>
          <w:i/>
        </w:rPr>
        <w:t>V</w:t>
      </w:r>
      <w:r>
        <w:rPr>
          <w:rFonts w:hint="eastAsia" w:ascii="宋体" w:hAnsi="宋体" w:cs="宋体"/>
          <w:iCs/>
          <w:vertAlign w:val="subscript"/>
        </w:rPr>
        <w:t>1</w:t>
      </w:r>
      <w:r>
        <w:rPr>
          <w:szCs w:val="21"/>
        </w:rPr>
        <w:t>——</w:t>
      </w:r>
      <w:r>
        <w:rPr>
          <w:rFonts w:hint="eastAsia" w:ascii="宋体" w:hAnsi="宋体" w:cs="宋体"/>
        </w:rPr>
        <w:t>试液</w:t>
      </w:r>
      <w:r>
        <w:rPr>
          <w:rFonts w:hint="eastAsia" w:ascii="宋体" w:hAnsi="宋体" w:cs="宋体"/>
          <w:lang w:val="en-US" w:eastAsia="zh-CN"/>
        </w:rPr>
        <w:t>定容</w:t>
      </w:r>
      <w:r>
        <w:rPr>
          <w:rFonts w:hint="eastAsia" w:ascii="宋体" w:hAnsi="宋体" w:cs="宋体"/>
        </w:rPr>
        <w:t>体积，单位为毫升（</w:t>
      </w:r>
      <w:r>
        <w:rPr>
          <w:rFonts w:hint="eastAsia"/>
          <w:szCs w:val="21"/>
        </w:rPr>
        <w:t>mL</w:t>
      </w:r>
      <w:r>
        <w:rPr>
          <w:rFonts w:hint="eastAsia" w:ascii="宋体" w:hAnsi="宋体" w:cs="宋体"/>
        </w:rPr>
        <w:t>）；</w:t>
      </w:r>
    </w:p>
    <w:p w14:paraId="2F169B50">
      <w:pPr>
        <w:ind w:firstLine="420" w:firstLineChars="200"/>
        <w:rPr>
          <w:rFonts w:hint="eastAsia" w:ascii="宋体" w:hAnsi="宋体" w:cs="宋体"/>
        </w:rPr>
      </w:pPr>
      <w:r>
        <w:rPr>
          <w:rFonts w:hint="eastAsia" w:ascii="宋体" w:hAnsi="宋体" w:cs="宋体"/>
          <w:i/>
        </w:rPr>
        <w:t>V</w:t>
      </w:r>
      <w:r>
        <w:rPr>
          <w:rFonts w:hint="eastAsia" w:ascii="宋体" w:hAnsi="宋体" w:cs="宋体"/>
          <w:iCs/>
          <w:vertAlign w:val="subscript"/>
        </w:rPr>
        <w:t>2</w:t>
      </w:r>
      <w:r>
        <w:rPr>
          <w:szCs w:val="21"/>
        </w:rPr>
        <w:t>——</w:t>
      </w:r>
      <w:r>
        <w:rPr>
          <w:rFonts w:hint="eastAsia" w:ascii="宋体" w:hAnsi="宋体" w:cs="宋体"/>
        </w:rPr>
        <w:t>分取试液体积，单位为毫升（</w:t>
      </w:r>
      <w:r>
        <w:rPr>
          <w:rFonts w:hint="eastAsia"/>
          <w:szCs w:val="21"/>
        </w:rPr>
        <w:t>mL</w:t>
      </w:r>
      <w:r>
        <w:rPr>
          <w:rFonts w:hint="eastAsia" w:ascii="宋体" w:hAnsi="宋体" w:cs="宋体"/>
        </w:rPr>
        <w:t>）；</w:t>
      </w:r>
    </w:p>
    <w:p w14:paraId="52114247">
      <w:pPr>
        <w:ind w:firstLine="420" w:firstLineChars="200"/>
        <w:rPr>
          <w:rFonts w:hint="eastAsia" w:ascii="宋体" w:hAnsi="宋体" w:cs="宋体"/>
        </w:rPr>
      </w:pPr>
      <w:r>
        <w:rPr>
          <w:rFonts w:hint="eastAsia" w:ascii="宋体" w:hAnsi="宋体" w:cs="宋体"/>
          <w:i/>
        </w:rPr>
        <w:t>V</w:t>
      </w:r>
      <w:r>
        <w:rPr>
          <w:rFonts w:hint="eastAsia" w:ascii="宋体" w:hAnsi="宋体" w:cs="宋体"/>
          <w:iCs/>
          <w:vertAlign w:val="subscript"/>
        </w:rPr>
        <w:t>3</w:t>
      </w:r>
      <w:r>
        <w:rPr>
          <w:szCs w:val="21"/>
        </w:rPr>
        <w:t>——</w:t>
      </w:r>
      <w:r>
        <w:rPr>
          <w:rFonts w:hint="eastAsia" w:ascii="宋体" w:hAnsi="宋体" w:cs="宋体"/>
          <w:lang w:val="en-US" w:eastAsia="zh-CN"/>
        </w:rPr>
        <w:t>测定</w:t>
      </w:r>
      <w:r>
        <w:rPr>
          <w:rFonts w:hint="eastAsia" w:ascii="宋体" w:hAnsi="宋体" w:cs="宋体"/>
        </w:rPr>
        <w:t>试液体积，单位为毫升（</w:t>
      </w:r>
      <w:r>
        <w:rPr>
          <w:rFonts w:hint="eastAsia"/>
          <w:szCs w:val="21"/>
        </w:rPr>
        <w:t>mL</w:t>
      </w:r>
      <w:r>
        <w:rPr>
          <w:rFonts w:hint="eastAsia" w:ascii="宋体" w:hAnsi="宋体" w:cs="宋体"/>
        </w:rPr>
        <w:t>）；</w:t>
      </w:r>
    </w:p>
    <w:p w14:paraId="3274388C">
      <w:pPr>
        <w:ind w:firstLine="420" w:firstLineChars="200"/>
        <w:rPr>
          <w:rFonts w:hint="eastAsia" w:ascii="宋体" w:hAnsi="宋体" w:cs="宋体"/>
        </w:rPr>
      </w:pPr>
      <w:r>
        <w:rPr>
          <w:rFonts w:hint="eastAsia" w:ascii="宋体" w:hAnsi="宋体" w:cs="宋体"/>
          <w:i/>
        </w:rPr>
        <w:t>m</w:t>
      </w:r>
      <w:r>
        <w:rPr>
          <w:rFonts w:hint="eastAsia" w:ascii="宋体" w:hAnsi="宋体" w:cs="宋体"/>
          <w:iCs/>
          <w:vertAlign w:val="subscript"/>
        </w:rPr>
        <w:t>1</w:t>
      </w:r>
      <w:r>
        <w:rPr>
          <w:szCs w:val="21"/>
        </w:rPr>
        <w:t>——</w:t>
      </w:r>
      <w:r>
        <w:rPr>
          <w:rFonts w:hint="eastAsia" w:ascii="宋体" w:hAnsi="宋体" w:cs="宋体"/>
        </w:rPr>
        <w:t>试料的质量，单位为克（</w:t>
      </w:r>
      <w:r>
        <w:rPr>
          <w:rFonts w:hint="eastAsia"/>
          <w:szCs w:val="21"/>
        </w:rPr>
        <w:t>g</w:t>
      </w:r>
      <w:r>
        <w:rPr>
          <w:rFonts w:hint="eastAsia" w:ascii="宋体" w:hAnsi="宋体" w:cs="宋体"/>
        </w:rPr>
        <w:t>）。</w:t>
      </w:r>
    </w:p>
    <w:p w14:paraId="4B078C03">
      <w:pPr>
        <w:ind w:firstLine="420"/>
      </w:pPr>
      <w:r>
        <w:t>计算结果表示至小数点后</w:t>
      </w:r>
      <w:r>
        <w:rPr>
          <w:rFonts w:hint="eastAsia"/>
        </w:rPr>
        <w:t>二</w:t>
      </w:r>
      <w:r>
        <w:t>位。</w:t>
      </w:r>
      <w:r>
        <w:rPr>
          <w:rFonts w:hint="eastAsia"/>
        </w:rPr>
        <w:t>若质量分数</w:t>
      </w:r>
      <w:r>
        <w:t>小于0.10</w:t>
      </w:r>
      <w:r>
        <w:rPr>
          <w:rFonts w:hint="eastAsia"/>
        </w:rPr>
        <w:t xml:space="preserve"> </w:t>
      </w:r>
      <w:r>
        <w:t>%</w:t>
      </w:r>
      <w:r>
        <w:rPr>
          <w:rFonts w:hint="eastAsia"/>
        </w:rPr>
        <w:t>时，</w:t>
      </w:r>
      <w:r>
        <w:t>表示到小数点后</w:t>
      </w:r>
      <w:r>
        <w:rPr>
          <w:rFonts w:hint="eastAsia"/>
        </w:rPr>
        <w:t>三</w:t>
      </w:r>
      <w:r>
        <w:t>位。</w:t>
      </w:r>
    </w:p>
    <w:p w14:paraId="6631D213">
      <w:pPr>
        <w:spacing w:before="156" w:beforeLines="50" w:after="156" w:afterLines="50"/>
        <w:rPr>
          <w:rFonts w:hint="eastAsia" w:ascii="黑体" w:hAnsi="黑体" w:eastAsia="黑体" w:cs="黑体"/>
          <w:color w:val="000000"/>
          <w:szCs w:val="21"/>
        </w:rPr>
      </w:pPr>
      <w:r>
        <w:rPr>
          <w:rFonts w:hint="eastAsia" w:ascii="黑体" w:hAnsi="黑体" w:eastAsia="黑体" w:cs="黑体"/>
          <w:bCs/>
          <w:szCs w:val="21"/>
        </w:rPr>
        <w:t xml:space="preserve">4.7  </w:t>
      </w:r>
      <w:r>
        <w:rPr>
          <w:rFonts w:hint="eastAsia" w:ascii="黑体" w:hAnsi="黑体" w:eastAsia="黑体" w:cs="黑体"/>
          <w:color w:val="000000"/>
          <w:szCs w:val="21"/>
        </w:rPr>
        <w:t>精密度</w:t>
      </w:r>
    </w:p>
    <w:p w14:paraId="1CB7CD92">
      <w:pPr>
        <w:spacing w:before="156" w:beforeLines="50" w:after="156" w:afterLines="50"/>
        <w:rPr>
          <w:rFonts w:hint="eastAsia" w:ascii="黑体" w:hAnsi="黑体" w:eastAsia="黑体" w:cs="黑体"/>
          <w:szCs w:val="21"/>
        </w:rPr>
      </w:pPr>
      <w:r>
        <w:rPr>
          <w:rFonts w:hint="eastAsia" w:ascii="黑体" w:hAnsi="黑体" w:eastAsia="黑体" w:cs="黑体"/>
          <w:szCs w:val="21"/>
        </w:rPr>
        <w:t>4.7.1  重复性</w:t>
      </w:r>
    </w:p>
    <w:p w14:paraId="780CBCCB">
      <w:pPr>
        <w:ind w:firstLine="420"/>
        <w:rPr>
          <w:bCs/>
          <w:szCs w:val="21"/>
        </w:rPr>
      </w:pPr>
      <w:r>
        <w:rPr>
          <w:bCs/>
          <w:szCs w:val="21"/>
        </w:rPr>
        <w:t>在重复性条件下获得的两次独立测试结果的测定值，在</w:t>
      </w:r>
      <w:r>
        <w:rPr>
          <w:rFonts w:hint="eastAsia"/>
          <w:bCs/>
          <w:szCs w:val="21"/>
          <w:lang w:val="en-US" w:eastAsia="zh-CN"/>
        </w:rPr>
        <w:t>表2</w:t>
      </w:r>
      <w:r>
        <w:rPr>
          <w:bCs/>
          <w:szCs w:val="21"/>
        </w:rPr>
        <w:t>给出的平均值范围内，这两个测试结果的绝对值不超过重复性限（</w:t>
      </w:r>
      <w:r>
        <w:rPr>
          <w:bCs/>
          <w:i/>
          <w:szCs w:val="21"/>
        </w:rPr>
        <w:t>r</w:t>
      </w:r>
      <w:r>
        <w:rPr>
          <w:bCs/>
          <w:szCs w:val="21"/>
        </w:rPr>
        <w:t>），超过重复性限（</w:t>
      </w:r>
      <w:r>
        <w:rPr>
          <w:bCs/>
          <w:i/>
          <w:iCs/>
          <w:szCs w:val="21"/>
        </w:rPr>
        <w:t>r</w:t>
      </w:r>
      <w:r>
        <w:rPr>
          <w:bCs/>
          <w:szCs w:val="21"/>
        </w:rPr>
        <w:t>）的情况不超过5%，重复性限（</w:t>
      </w:r>
      <w:r>
        <w:rPr>
          <w:bCs/>
          <w:i/>
          <w:szCs w:val="21"/>
        </w:rPr>
        <w:t>r</w:t>
      </w:r>
      <w:r>
        <w:rPr>
          <w:bCs/>
          <w:szCs w:val="21"/>
        </w:rPr>
        <w:t>）按</w:t>
      </w:r>
      <w:r>
        <w:rPr>
          <w:rFonts w:hint="eastAsia"/>
          <w:bCs/>
          <w:szCs w:val="21"/>
        </w:rPr>
        <w:t>以下表2数据</w:t>
      </w:r>
      <w:r>
        <w:rPr>
          <w:bCs/>
          <w:szCs w:val="21"/>
        </w:rPr>
        <w:t>采用线性内插法或外延法求得。</w:t>
      </w:r>
      <w:r>
        <w:rPr>
          <w:rFonts w:hint="eastAsia"/>
          <w:bCs/>
          <w:szCs w:val="21"/>
        </w:rPr>
        <w:t>精密度试验原始数据参见附录A。</w:t>
      </w:r>
    </w:p>
    <w:p w14:paraId="7FD45B61">
      <w:pPr>
        <w:spacing w:before="156" w:beforeLines="50" w:after="156" w:afterLines="50"/>
        <w:ind w:firstLine="420"/>
        <w:jc w:val="center"/>
        <w:rPr>
          <w:rFonts w:hint="eastAsia" w:ascii="黑体" w:hAnsi="黑体" w:eastAsia="黑体" w:cs="黑体"/>
          <w:szCs w:val="21"/>
        </w:rPr>
      </w:pPr>
      <w:r>
        <w:rPr>
          <w:rFonts w:hint="eastAsia" w:ascii="黑体" w:hAnsi="黑体" w:eastAsia="黑体" w:cs="黑体"/>
          <w:szCs w:val="21"/>
        </w:rPr>
        <w:t xml:space="preserve">表2  </w:t>
      </w:r>
      <w:r>
        <w:rPr>
          <w:rFonts w:hint="eastAsia" w:ascii="黑体" w:hAnsi="黑体" w:eastAsia="黑体" w:cs="黑体"/>
          <w:szCs w:val="21"/>
          <w:lang w:val="en-US" w:eastAsia="zh-CN"/>
        </w:rPr>
        <w:t>方法1</w:t>
      </w:r>
      <w:r>
        <w:rPr>
          <w:rFonts w:hint="eastAsia" w:ascii="黑体" w:hAnsi="黑体" w:eastAsia="黑体" w:cs="黑体"/>
          <w:szCs w:val="21"/>
        </w:rPr>
        <w:t>重复性限</w:t>
      </w:r>
      <w:r>
        <w:rPr>
          <w:rFonts w:hint="eastAsia" w:ascii="黑体" w:hAnsi="黑体" w:eastAsia="黑体" w:cs="黑体"/>
          <w:color w:val="FF0000"/>
          <w:szCs w:val="21"/>
        </w:rPr>
        <w:t>（</w:t>
      </w:r>
      <w:r>
        <w:rPr>
          <w:rFonts w:hint="eastAsia" w:ascii="黑体" w:hAnsi="黑体" w:eastAsia="黑体" w:cs="黑体"/>
          <w:i/>
          <w:iCs/>
          <w:color w:val="FF0000"/>
          <w:szCs w:val="21"/>
        </w:rPr>
        <w:t>r</w:t>
      </w:r>
      <w:r>
        <w:rPr>
          <w:rFonts w:hint="eastAsia" w:ascii="黑体" w:hAnsi="黑体" w:eastAsia="黑体" w:cs="黑体"/>
          <w:color w:val="FF0000"/>
          <w:szCs w:val="21"/>
        </w:rPr>
        <w:t>）</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1065"/>
        <w:gridCol w:w="1065"/>
        <w:gridCol w:w="1065"/>
        <w:gridCol w:w="1065"/>
        <w:gridCol w:w="1065"/>
        <w:gridCol w:w="1065"/>
      </w:tblGrid>
      <w:tr w14:paraId="5078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noWrap/>
            <w:vAlign w:val="center"/>
          </w:tcPr>
          <w:p w14:paraId="43338CE8">
            <w:pPr>
              <w:jc w:val="center"/>
              <w:rPr>
                <w:bCs/>
                <w:sz w:val="18"/>
                <w:szCs w:val="18"/>
              </w:rPr>
            </w:pPr>
            <w:r>
              <w:rPr>
                <w:rFonts w:hint="eastAsia"/>
                <w:i/>
                <w:iCs/>
              </w:rPr>
              <w:t>ω</w:t>
            </w:r>
            <w:r>
              <w:rPr>
                <w:vertAlign w:val="subscript"/>
              </w:rPr>
              <w:t>As</w:t>
            </w:r>
            <w:r>
              <w:rPr>
                <w:sz w:val="18"/>
                <w:szCs w:val="18"/>
              </w:rPr>
              <w:t>/ %</w:t>
            </w:r>
          </w:p>
        </w:tc>
        <w:tc>
          <w:tcPr>
            <w:tcW w:w="1065" w:type="dxa"/>
            <w:noWrap/>
            <w:vAlign w:val="center"/>
          </w:tcPr>
          <w:p w14:paraId="3C68E389">
            <w:pPr>
              <w:widowControl/>
              <w:jc w:val="center"/>
              <w:rPr>
                <w:sz w:val="18"/>
                <w:szCs w:val="18"/>
              </w:rPr>
            </w:pPr>
            <w:r>
              <w:rPr>
                <w:rFonts w:hint="eastAsia"/>
                <w:kern w:val="0"/>
                <w:sz w:val="18"/>
                <w:szCs w:val="18"/>
              </w:rPr>
              <w:t xml:space="preserve">0.018 </w:t>
            </w:r>
          </w:p>
        </w:tc>
        <w:tc>
          <w:tcPr>
            <w:tcW w:w="1065" w:type="dxa"/>
            <w:noWrap/>
            <w:vAlign w:val="center"/>
          </w:tcPr>
          <w:p w14:paraId="3C0E2B96">
            <w:pPr>
              <w:widowControl/>
              <w:jc w:val="center"/>
              <w:rPr>
                <w:sz w:val="18"/>
                <w:szCs w:val="18"/>
              </w:rPr>
            </w:pPr>
            <w:r>
              <w:rPr>
                <w:rFonts w:hint="eastAsia"/>
                <w:kern w:val="0"/>
                <w:sz w:val="18"/>
                <w:szCs w:val="18"/>
              </w:rPr>
              <w:t xml:space="preserve">0.057 </w:t>
            </w:r>
          </w:p>
        </w:tc>
        <w:tc>
          <w:tcPr>
            <w:tcW w:w="1065" w:type="dxa"/>
            <w:noWrap/>
            <w:vAlign w:val="center"/>
          </w:tcPr>
          <w:p w14:paraId="16CA5E29">
            <w:pPr>
              <w:widowControl/>
              <w:jc w:val="center"/>
              <w:rPr>
                <w:sz w:val="18"/>
                <w:szCs w:val="18"/>
              </w:rPr>
            </w:pPr>
            <w:r>
              <w:rPr>
                <w:rFonts w:hint="eastAsia"/>
                <w:kern w:val="0"/>
                <w:sz w:val="18"/>
                <w:szCs w:val="18"/>
              </w:rPr>
              <w:t xml:space="preserve">0.12 </w:t>
            </w:r>
          </w:p>
        </w:tc>
        <w:tc>
          <w:tcPr>
            <w:tcW w:w="1065" w:type="dxa"/>
            <w:noWrap/>
            <w:vAlign w:val="center"/>
          </w:tcPr>
          <w:p w14:paraId="5011BFC3">
            <w:pPr>
              <w:widowControl/>
              <w:jc w:val="center"/>
              <w:rPr>
                <w:sz w:val="18"/>
                <w:szCs w:val="18"/>
              </w:rPr>
            </w:pPr>
            <w:r>
              <w:rPr>
                <w:rFonts w:hint="eastAsia"/>
                <w:kern w:val="0"/>
                <w:sz w:val="18"/>
                <w:szCs w:val="18"/>
              </w:rPr>
              <w:t xml:space="preserve">0.29 </w:t>
            </w:r>
          </w:p>
        </w:tc>
        <w:tc>
          <w:tcPr>
            <w:tcW w:w="1065" w:type="dxa"/>
            <w:noWrap/>
            <w:vAlign w:val="center"/>
          </w:tcPr>
          <w:p w14:paraId="4E2090B5">
            <w:pPr>
              <w:widowControl/>
              <w:jc w:val="center"/>
              <w:rPr>
                <w:sz w:val="18"/>
                <w:szCs w:val="18"/>
              </w:rPr>
            </w:pPr>
            <w:r>
              <w:rPr>
                <w:rFonts w:hint="eastAsia"/>
                <w:kern w:val="0"/>
                <w:sz w:val="18"/>
                <w:szCs w:val="18"/>
              </w:rPr>
              <w:t xml:space="preserve">0.61 </w:t>
            </w:r>
          </w:p>
        </w:tc>
        <w:tc>
          <w:tcPr>
            <w:tcW w:w="1065" w:type="dxa"/>
            <w:noWrap/>
            <w:vAlign w:val="center"/>
          </w:tcPr>
          <w:p w14:paraId="35AC14B8">
            <w:pPr>
              <w:widowControl/>
              <w:jc w:val="center"/>
              <w:rPr>
                <w:color w:val="FF0000"/>
                <w:sz w:val="18"/>
                <w:szCs w:val="18"/>
              </w:rPr>
            </w:pPr>
            <w:r>
              <w:rPr>
                <w:rFonts w:hint="eastAsia"/>
                <w:color w:val="FF0000"/>
                <w:kern w:val="0"/>
                <w:sz w:val="18"/>
                <w:szCs w:val="18"/>
              </w:rPr>
              <w:t xml:space="preserve">0.80 </w:t>
            </w:r>
          </w:p>
        </w:tc>
        <w:tc>
          <w:tcPr>
            <w:tcW w:w="1065" w:type="dxa"/>
            <w:noWrap/>
            <w:vAlign w:val="center"/>
          </w:tcPr>
          <w:p w14:paraId="46EA44C8">
            <w:pPr>
              <w:widowControl/>
              <w:jc w:val="center"/>
              <w:rPr>
                <w:sz w:val="18"/>
                <w:szCs w:val="18"/>
              </w:rPr>
            </w:pPr>
            <w:r>
              <w:rPr>
                <w:rFonts w:hint="eastAsia"/>
                <w:kern w:val="0"/>
                <w:sz w:val="18"/>
                <w:szCs w:val="18"/>
              </w:rPr>
              <w:t xml:space="preserve">1.00 </w:t>
            </w:r>
          </w:p>
        </w:tc>
      </w:tr>
      <w:tr w14:paraId="47A4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noWrap/>
            <w:vAlign w:val="center"/>
          </w:tcPr>
          <w:p w14:paraId="30BB9EAF">
            <w:pPr>
              <w:ind w:firstLine="360"/>
              <w:jc w:val="center"/>
              <w:rPr>
                <w:bCs/>
                <w:sz w:val="18"/>
                <w:szCs w:val="18"/>
              </w:rPr>
            </w:pPr>
            <w:r>
              <w:rPr>
                <w:bCs/>
                <w:i/>
                <w:sz w:val="18"/>
                <w:szCs w:val="18"/>
              </w:rPr>
              <w:t xml:space="preserve">r </w:t>
            </w:r>
            <w:r>
              <w:rPr>
                <w:bCs/>
                <w:sz w:val="18"/>
                <w:szCs w:val="18"/>
              </w:rPr>
              <w:t>/ %</w:t>
            </w:r>
          </w:p>
        </w:tc>
        <w:tc>
          <w:tcPr>
            <w:tcW w:w="1065" w:type="dxa"/>
            <w:noWrap/>
            <w:vAlign w:val="center"/>
          </w:tcPr>
          <w:p w14:paraId="6604F037">
            <w:pPr>
              <w:widowControl/>
              <w:jc w:val="center"/>
              <w:rPr>
                <w:sz w:val="18"/>
                <w:szCs w:val="18"/>
              </w:rPr>
            </w:pPr>
            <w:r>
              <w:rPr>
                <w:rFonts w:hint="eastAsia"/>
                <w:kern w:val="0"/>
                <w:sz w:val="18"/>
                <w:szCs w:val="18"/>
              </w:rPr>
              <w:t xml:space="preserve">0.003 </w:t>
            </w:r>
          </w:p>
        </w:tc>
        <w:tc>
          <w:tcPr>
            <w:tcW w:w="1065" w:type="dxa"/>
            <w:noWrap/>
            <w:vAlign w:val="center"/>
          </w:tcPr>
          <w:p w14:paraId="7AF231C1">
            <w:pPr>
              <w:widowControl/>
              <w:jc w:val="center"/>
              <w:rPr>
                <w:sz w:val="18"/>
                <w:szCs w:val="18"/>
              </w:rPr>
            </w:pPr>
            <w:r>
              <w:rPr>
                <w:rFonts w:hint="eastAsia"/>
                <w:kern w:val="0"/>
                <w:sz w:val="18"/>
                <w:szCs w:val="18"/>
              </w:rPr>
              <w:t xml:space="preserve">0.004 </w:t>
            </w:r>
          </w:p>
        </w:tc>
        <w:tc>
          <w:tcPr>
            <w:tcW w:w="1065" w:type="dxa"/>
            <w:noWrap/>
            <w:vAlign w:val="center"/>
          </w:tcPr>
          <w:p w14:paraId="2CFF4239">
            <w:pPr>
              <w:widowControl/>
              <w:jc w:val="center"/>
              <w:rPr>
                <w:sz w:val="18"/>
                <w:szCs w:val="18"/>
              </w:rPr>
            </w:pPr>
            <w:r>
              <w:rPr>
                <w:rFonts w:hint="eastAsia"/>
                <w:kern w:val="0"/>
                <w:sz w:val="18"/>
                <w:szCs w:val="18"/>
              </w:rPr>
              <w:t xml:space="preserve">0.02 </w:t>
            </w:r>
          </w:p>
        </w:tc>
        <w:tc>
          <w:tcPr>
            <w:tcW w:w="1065" w:type="dxa"/>
            <w:noWrap/>
            <w:vAlign w:val="center"/>
          </w:tcPr>
          <w:p w14:paraId="0DD61246">
            <w:pPr>
              <w:widowControl/>
              <w:jc w:val="center"/>
              <w:rPr>
                <w:sz w:val="18"/>
                <w:szCs w:val="18"/>
              </w:rPr>
            </w:pPr>
            <w:r>
              <w:rPr>
                <w:rFonts w:hint="eastAsia"/>
                <w:kern w:val="0"/>
                <w:sz w:val="18"/>
                <w:szCs w:val="18"/>
              </w:rPr>
              <w:t xml:space="preserve">0.03 </w:t>
            </w:r>
          </w:p>
        </w:tc>
        <w:tc>
          <w:tcPr>
            <w:tcW w:w="1065" w:type="dxa"/>
            <w:noWrap/>
            <w:vAlign w:val="center"/>
          </w:tcPr>
          <w:p w14:paraId="5DE0848D">
            <w:pPr>
              <w:widowControl/>
              <w:jc w:val="center"/>
              <w:rPr>
                <w:sz w:val="18"/>
                <w:szCs w:val="18"/>
              </w:rPr>
            </w:pPr>
            <w:r>
              <w:rPr>
                <w:rFonts w:hint="eastAsia"/>
                <w:kern w:val="0"/>
                <w:sz w:val="18"/>
                <w:szCs w:val="18"/>
              </w:rPr>
              <w:t xml:space="preserve">0.04 </w:t>
            </w:r>
          </w:p>
        </w:tc>
        <w:tc>
          <w:tcPr>
            <w:tcW w:w="1065" w:type="dxa"/>
            <w:noWrap/>
            <w:vAlign w:val="center"/>
          </w:tcPr>
          <w:p w14:paraId="56D4D70E">
            <w:pPr>
              <w:widowControl/>
              <w:jc w:val="center"/>
              <w:rPr>
                <w:color w:val="FF0000"/>
                <w:sz w:val="18"/>
                <w:szCs w:val="18"/>
              </w:rPr>
            </w:pPr>
            <w:r>
              <w:rPr>
                <w:rFonts w:hint="eastAsia"/>
                <w:color w:val="FF0000"/>
                <w:kern w:val="0"/>
                <w:sz w:val="18"/>
                <w:szCs w:val="18"/>
              </w:rPr>
              <w:t xml:space="preserve">0.04 </w:t>
            </w:r>
          </w:p>
        </w:tc>
        <w:tc>
          <w:tcPr>
            <w:tcW w:w="1065" w:type="dxa"/>
            <w:noWrap/>
            <w:vAlign w:val="center"/>
          </w:tcPr>
          <w:p w14:paraId="0BCB2FC8">
            <w:pPr>
              <w:widowControl/>
              <w:jc w:val="center"/>
              <w:rPr>
                <w:sz w:val="18"/>
                <w:szCs w:val="18"/>
              </w:rPr>
            </w:pPr>
            <w:r>
              <w:rPr>
                <w:rFonts w:hint="eastAsia"/>
                <w:kern w:val="0"/>
                <w:sz w:val="18"/>
                <w:szCs w:val="18"/>
              </w:rPr>
              <w:t xml:space="preserve">0.05 </w:t>
            </w:r>
          </w:p>
        </w:tc>
      </w:tr>
      <w:tr w14:paraId="0DC6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noWrap/>
            <w:vAlign w:val="center"/>
          </w:tcPr>
          <w:p w14:paraId="3D5CB038">
            <w:pPr>
              <w:jc w:val="center"/>
              <w:rPr>
                <w:bCs/>
                <w:sz w:val="18"/>
                <w:szCs w:val="18"/>
              </w:rPr>
            </w:pPr>
            <w:r>
              <w:rPr>
                <w:rFonts w:hint="eastAsia"/>
                <w:i/>
                <w:iCs/>
              </w:rPr>
              <w:t>ω</w:t>
            </w:r>
            <w:r>
              <w:rPr>
                <w:vertAlign w:val="subscript"/>
              </w:rPr>
              <w:t>Sb</w:t>
            </w:r>
            <w:r>
              <w:rPr>
                <w:sz w:val="18"/>
                <w:szCs w:val="18"/>
              </w:rPr>
              <w:t>/ %</w:t>
            </w:r>
          </w:p>
        </w:tc>
        <w:tc>
          <w:tcPr>
            <w:tcW w:w="1065" w:type="dxa"/>
            <w:noWrap/>
            <w:vAlign w:val="center"/>
          </w:tcPr>
          <w:p w14:paraId="1B894555">
            <w:pPr>
              <w:widowControl/>
              <w:jc w:val="center"/>
              <w:rPr>
                <w:sz w:val="18"/>
                <w:szCs w:val="18"/>
              </w:rPr>
            </w:pPr>
            <w:r>
              <w:rPr>
                <w:rFonts w:hint="eastAsia"/>
                <w:kern w:val="0"/>
                <w:sz w:val="18"/>
                <w:szCs w:val="18"/>
              </w:rPr>
              <w:t xml:space="preserve">0.010 </w:t>
            </w:r>
          </w:p>
        </w:tc>
        <w:tc>
          <w:tcPr>
            <w:tcW w:w="1065" w:type="dxa"/>
            <w:noWrap/>
            <w:vAlign w:val="center"/>
          </w:tcPr>
          <w:p w14:paraId="73C42BD1">
            <w:pPr>
              <w:widowControl/>
              <w:jc w:val="center"/>
              <w:rPr>
                <w:sz w:val="18"/>
                <w:szCs w:val="18"/>
              </w:rPr>
            </w:pPr>
            <w:r>
              <w:rPr>
                <w:rFonts w:hint="eastAsia"/>
                <w:kern w:val="0"/>
                <w:sz w:val="18"/>
                <w:szCs w:val="18"/>
              </w:rPr>
              <w:t xml:space="preserve">0.048 </w:t>
            </w:r>
          </w:p>
        </w:tc>
        <w:tc>
          <w:tcPr>
            <w:tcW w:w="1065" w:type="dxa"/>
            <w:noWrap/>
            <w:vAlign w:val="center"/>
          </w:tcPr>
          <w:p w14:paraId="695B9A93">
            <w:pPr>
              <w:widowControl/>
              <w:jc w:val="center"/>
              <w:rPr>
                <w:sz w:val="18"/>
                <w:szCs w:val="18"/>
              </w:rPr>
            </w:pPr>
            <w:r>
              <w:rPr>
                <w:rFonts w:hint="eastAsia"/>
                <w:kern w:val="0"/>
                <w:sz w:val="18"/>
                <w:szCs w:val="18"/>
              </w:rPr>
              <w:t xml:space="preserve">0.19 </w:t>
            </w:r>
          </w:p>
        </w:tc>
        <w:tc>
          <w:tcPr>
            <w:tcW w:w="1065" w:type="dxa"/>
            <w:noWrap/>
            <w:vAlign w:val="center"/>
          </w:tcPr>
          <w:p w14:paraId="7E0D81D4">
            <w:pPr>
              <w:widowControl/>
              <w:jc w:val="center"/>
              <w:rPr>
                <w:sz w:val="18"/>
                <w:szCs w:val="18"/>
              </w:rPr>
            </w:pPr>
            <w:r>
              <w:rPr>
                <w:rFonts w:hint="eastAsia"/>
                <w:kern w:val="0"/>
                <w:sz w:val="18"/>
                <w:szCs w:val="18"/>
              </w:rPr>
              <w:t xml:space="preserve">0.36 </w:t>
            </w:r>
          </w:p>
        </w:tc>
        <w:tc>
          <w:tcPr>
            <w:tcW w:w="1065" w:type="dxa"/>
            <w:noWrap/>
            <w:vAlign w:val="center"/>
          </w:tcPr>
          <w:p w14:paraId="1256C307">
            <w:pPr>
              <w:widowControl/>
              <w:jc w:val="center"/>
              <w:rPr>
                <w:sz w:val="18"/>
                <w:szCs w:val="18"/>
              </w:rPr>
            </w:pPr>
            <w:r>
              <w:rPr>
                <w:rFonts w:hint="eastAsia"/>
                <w:kern w:val="0"/>
                <w:sz w:val="18"/>
                <w:szCs w:val="18"/>
              </w:rPr>
              <w:t xml:space="preserve">0.55 </w:t>
            </w:r>
          </w:p>
        </w:tc>
        <w:tc>
          <w:tcPr>
            <w:tcW w:w="1065" w:type="dxa"/>
            <w:noWrap/>
            <w:vAlign w:val="center"/>
          </w:tcPr>
          <w:p w14:paraId="38B9BAF1">
            <w:pPr>
              <w:widowControl/>
              <w:jc w:val="center"/>
              <w:rPr>
                <w:color w:val="FF0000"/>
                <w:sz w:val="18"/>
                <w:szCs w:val="18"/>
              </w:rPr>
            </w:pPr>
            <w:r>
              <w:rPr>
                <w:rFonts w:hint="eastAsia"/>
                <w:color w:val="FF0000"/>
                <w:kern w:val="0"/>
                <w:sz w:val="18"/>
                <w:szCs w:val="18"/>
              </w:rPr>
              <w:t xml:space="preserve">0.72 </w:t>
            </w:r>
          </w:p>
        </w:tc>
        <w:tc>
          <w:tcPr>
            <w:tcW w:w="1065" w:type="dxa"/>
            <w:noWrap/>
            <w:vAlign w:val="center"/>
          </w:tcPr>
          <w:p w14:paraId="0F6FD921">
            <w:pPr>
              <w:widowControl/>
              <w:jc w:val="center"/>
              <w:rPr>
                <w:sz w:val="18"/>
                <w:szCs w:val="18"/>
              </w:rPr>
            </w:pPr>
            <w:r>
              <w:rPr>
                <w:rFonts w:hint="eastAsia"/>
                <w:kern w:val="0"/>
                <w:sz w:val="18"/>
                <w:szCs w:val="18"/>
              </w:rPr>
              <w:t xml:space="preserve">0.98 </w:t>
            </w:r>
          </w:p>
        </w:tc>
      </w:tr>
      <w:tr w14:paraId="742E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noWrap/>
            <w:vAlign w:val="center"/>
          </w:tcPr>
          <w:p w14:paraId="79D8B773">
            <w:pPr>
              <w:ind w:firstLine="360"/>
              <w:jc w:val="center"/>
              <w:rPr>
                <w:bCs/>
                <w:sz w:val="18"/>
                <w:szCs w:val="18"/>
              </w:rPr>
            </w:pPr>
            <w:r>
              <w:rPr>
                <w:bCs/>
                <w:i/>
                <w:sz w:val="18"/>
                <w:szCs w:val="18"/>
              </w:rPr>
              <w:t xml:space="preserve">r </w:t>
            </w:r>
            <w:r>
              <w:rPr>
                <w:bCs/>
                <w:sz w:val="18"/>
                <w:szCs w:val="18"/>
              </w:rPr>
              <w:t>/ %</w:t>
            </w:r>
          </w:p>
        </w:tc>
        <w:tc>
          <w:tcPr>
            <w:tcW w:w="1065" w:type="dxa"/>
            <w:noWrap/>
            <w:vAlign w:val="center"/>
          </w:tcPr>
          <w:p w14:paraId="56CC1724">
            <w:pPr>
              <w:widowControl/>
              <w:jc w:val="center"/>
              <w:rPr>
                <w:sz w:val="18"/>
                <w:szCs w:val="18"/>
              </w:rPr>
            </w:pPr>
            <w:r>
              <w:rPr>
                <w:rFonts w:hint="eastAsia"/>
                <w:kern w:val="0"/>
                <w:sz w:val="18"/>
                <w:szCs w:val="18"/>
              </w:rPr>
              <w:t xml:space="preserve">0.002 </w:t>
            </w:r>
          </w:p>
        </w:tc>
        <w:tc>
          <w:tcPr>
            <w:tcW w:w="1065" w:type="dxa"/>
            <w:noWrap/>
            <w:vAlign w:val="center"/>
          </w:tcPr>
          <w:p w14:paraId="6E094CA9">
            <w:pPr>
              <w:widowControl/>
              <w:jc w:val="center"/>
              <w:rPr>
                <w:sz w:val="18"/>
                <w:szCs w:val="18"/>
              </w:rPr>
            </w:pPr>
            <w:r>
              <w:rPr>
                <w:rFonts w:hint="eastAsia"/>
                <w:kern w:val="0"/>
                <w:sz w:val="18"/>
                <w:szCs w:val="18"/>
              </w:rPr>
              <w:t xml:space="preserve">0.004 </w:t>
            </w:r>
          </w:p>
        </w:tc>
        <w:tc>
          <w:tcPr>
            <w:tcW w:w="1065" w:type="dxa"/>
            <w:noWrap/>
            <w:vAlign w:val="center"/>
          </w:tcPr>
          <w:p w14:paraId="4ACD1BAB">
            <w:pPr>
              <w:widowControl/>
              <w:jc w:val="center"/>
              <w:rPr>
                <w:sz w:val="18"/>
                <w:szCs w:val="18"/>
              </w:rPr>
            </w:pPr>
            <w:r>
              <w:rPr>
                <w:rFonts w:hint="eastAsia"/>
                <w:kern w:val="0"/>
                <w:sz w:val="18"/>
                <w:szCs w:val="18"/>
              </w:rPr>
              <w:t xml:space="preserve">0.02 </w:t>
            </w:r>
          </w:p>
        </w:tc>
        <w:tc>
          <w:tcPr>
            <w:tcW w:w="1065" w:type="dxa"/>
            <w:noWrap/>
            <w:vAlign w:val="center"/>
          </w:tcPr>
          <w:p w14:paraId="0CCB01C3">
            <w:pPr>
              <w:widowControl/>
              <w:jc w:val="center"/>
              <w:rPr>
                <w:sz w:val="18"/>
                <w:szCs w:val="18"/>
              </w:rPr>
            </w:pPr>
            <w:r>
              <w:rPr>
                <w:rFonts w:hint="eastAsia"/>
                <w:kern w:val="0"/>
                <w:sz w:val="18"/>
                <w:szCs w:val="18"/>
              </w:rPr>
              <w:t xml:space="preserve">0.03 </w:t>
            </w:r>
          </w:p>
        </w:tc>
        <w:tc>
          <w:tcPr>
            <w:tcW w:w="1065" w:type="dxa"/>
            <w:noWrap/>
            <w:vAlign w:val="center"/>
          </w:tcPr>
          <w:p w14:paraId="3A893563">
            <w:pPr>
              <w:widowControl/>
              <w:jc w:val="center"/>
              <w:rPr>
                <w:sz w:val="18"/>
                <w:szCs w:val="18"/>
              </w:rPr>
            </w:pPr>
            <w:r>
              <w:rPr>
                <w:rFonts w:hint="eastAsia"/>
                <w:kern w:val="0"/>
                <w:sz w:val="18"/>
                <w:szCs w:val="18"/>
              </w:rPr>
              <w:t xml:space="preserve">0.04 </w:t>
            </w:r>
          </w:p>
        </w:tc>
        <w:tc>
          <w:tcPr>
            <w:tcW w:w="1065" w:type="dxa"/>
            <w:noWrap/>
            <w:vAlign w:val="center"/>
          </w:tcPr>
          <w:p w14:paraId="6B3F9C86">
            <w:pPr>
              <w:widowControl/>
              <w:jc w:val="center"/>
              <w:rPr>
                <w:color w:val="FF0000"/>
                <w:sz w:val="18"/>
                <w:szCs w:val="18"/>
              </w:rPr>
            </w:pPr>
            <w:r>
              <w:rPr>
                <w:rFonts w:hint="eastAsia"/>
                <w:color w:val="FF0000"/>
                <w:kern w:val="0"/>
                <w:sz w:val="18"/>
                <w:szCs w:val="18"/>
              </w:rPr>
              <w:t xml:space="preserve">0.03 </w:t>
            </w:r>
          </w:p>
        </w:tc>
        <w:tc>
          <w:tcPr>
            <w:tcW w:w="1065" w:type="dxa"/>
            <w:noWrap/>
            <w:vAlign w:val="center"/>
          </w:tcPr>
          <w:p w14:paraId="159B7F20">
            <w:pPr>
              <w:widowControl/>
              <w:jc w:val="center"/>
              <w:rPr>
                <w:sz w:val="18"/>
                <w:szCs w:val="18"/>
              </w:rPr>
            </w:pPr>
            <w:r>
              <w:rPr>
                <w:rFonts w:hint="eastAsia"/>
                <w:kern w:val="0"/>
                <w:sz w:val="18"/>
                <w:szCs w:val="18"/>
              </w:rPr>
              <w:t xml:space="preserve">0.05 </w:t>
            </w:r>
          </w:p>
        </w:tc>
      </w:tr>
      <w:tr w14:paraId="5374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25" w:type="pct"/>
            <w:noWrap/>
            <w:vAlign w:val="center"/>
          </w:tcPr>
          <w:p w14:paraId="6CFFB512">
            <w:pPr>
              <w:jc w:val="center"/>
              <w:rPr>
                <w:bCs/>
                <w:sz w:val="18"/>
                <w:szCs w:val="18"/>
              </w:rPr>
            </w:pPr>
            <w:r>
              <w:rPr>
                <w:rFonts w:hint="eastAsia"/>
                <w:i/>
                <w:iCs/>
              </w:rPr>
              <w:t>ω</w:t>
            </w:r>
            <w:r>
              <w:rPr>
                <w:vertAlign w:val="subscript"/>
              </w:rPr>
              <w:t>Bi</w:t>
            </w:r>
            <w:r>
              <w:rPr>
                <w:sz w:val="18"/>
                <w:szCs w:val="18"/>
              </w:rPr>
              <w:t>/ %</w:t>
            </w:r>
          </w:p>
        </w:tc>
        <w:tc>
          <w:tcPr>
            <w:tcW w:w="1065" w:type="dxa"/>
            <w:noWrap/>
            <w:vAlign w:val="center"/>
          </w:tcPr>
          <w:p w14:paraId="378FD396">
            <w:pPr>
              <w:widowControl/>
              <w:jc w:val="center"/>
              <w:rPr>
                <w:sz w:val="18"/>
                <w:szCs w:val="18"/>
              </w:rPr>
            </w:pPr>
            <w:r>
              <w:rPr>
                <w:rFonts w:hint="eastAsia"/>
                <w:kern w:val="0"/>
                <w:sz w:val="18"/>
                <w:szCs w:val="18"/>
              </w:rPr>
              <w:t xml:space="preserve">0.010 </w:t>
            </w:r>
          </w:p>
        </w:tc>
        <w:tc>
          <w:tcPr>
            <w:tcW w:w="1065" w:type="dxa"/>
            <w:noWrap/>
            <w:vAlign w:val="center"/>
          </w:tcPr>
          <w:p w14:paraId="746F8FF6">
            <w:pPr>
              <w:widowControl/>
              <w:jc w:val="center"/>
              <w:rPr>
                <w:sz w:val="18"/>
                <w:szCs w:val="18"/>
              </w:rPr>
            </w:pPr>
            <w:r>
              <w:rPr>
                <w:rFonts w:hint="eastAsia"/>
                <w:kern w:val="0"/>
                <w:sz w:val="18"/>
                <w:szCs w:val="18"/>
              </w:rPr>
              <w:t xml:space="preserve">0.029 </w:t>
            </w:r>
          </w:p>
        </w:tc>
        <w:tc>
          <w:tcPr>
            <w:tcW w:w="1065" w:type="dxa"/>
            <w:noWrap/>
            <w:vAlign w:val="center"/>
          </w:tcPr>
          <w:p w14:paraId="1C4C4080">
            <w:pPr>
              <w:widowControl/>
              <w:jc w:val="center"/>
              <w:rPr>
                <w:sz w:val="18"/>
                <w:szCs w:val="18"/>
              </w:rPr>
            </w:pPr>
            <w:r>
              <w:rPr>
                <w:rFonts w:hint="eastAsia"/>
                <w:kern w:val="0"/>
                <w:sz w:val="18"/>
                <w:szCs w:val="18"/>
              </w:rPr>
              <w:t xml:space="preserve">0.12 </w:t>
            </w:r>
          </w:p>
        </w:tc>
        <w:tc>
          <w:tcPr>
            <w:tcW w:w="1065" w:type="dxa"/>
            <w:noWrap/>
            <w:vAlign w:val="center"/>
          </w:tcPr>
          <w:p w14:paraId="67E7C608">
            <w:pPr>
              <w:widowControl/>
              <w:jc w:val="center"/>
              <w:rPr>
                <w:sz w:val="18"/>
                <w:szCs w:val="18"/>
              </w:rPr>
            </w:pPr>
            <w:r>
              <w:rPr>
                <w:rFonts w:hint="eastAsia"/>
                <w:kern w:val="0"/>
                <w:sz w:val="18"/>
                <w:szCs w:val="18"/>
              </w:rPr>
              <w:t xml:space="preserve">0.31 </w:t>
            </w:r>
          </w:p>
        </w:tc>
        <w:tc>
          <w:tcPr>
            <w:tcW w:w="1065" w:type="dxa"/>
            <w:noWrap/>
            <w:vAlign w:val="center"/>
          </w:tcPr>
          <w:p w14:paraId="661458E5">
            <w:pPr>
              <w:widowControl/>
              <w:jc w:val="center"/>
              <w:rPr>
                <w:sz w:val="18"/>
                <w:szCs w:val="18"/>
              </w:rPr>
            </w:pPr>
            <w:r>
              <w:rPr>
                <w:rFonts w:hint="eastAsia"/>
                <w:kern w:val="0"/>
                <w:sz w:val="18"/>
                <w:szCs w:val="18"/>
              </w:rPr>
              <w:t xml:space="preserve">0.50 </w:t>
            </w:r>
          </w:p>
        </w:tc>
        <w:tc>
          <w:tcPr>
            <w:tcW w:w="1065" w:type="dxa"/>
            <w:noWrap/>
            <w:vAlign w:val="center"/>
          </w:tcPr>
          <w:p w14:paraId="0D09F1E8">
            <w:pPr>
              <w:widowControl/>
              <w:jc w:val="center"/>
              <w:rPr>
                <w:sz w:val="18"/>
                <w:szCs w:val="18"/>
              </w:rPr>
            </w:pPr>
            <w:r>
              <w:rPr>
                <w:rFonts w:hint="eastAsia"/>
                <w:kern w:val="0"/>
                <w:sz w:val="18"/>
                <w:szCs w:val="18"/>
              </w:rPr>
              <w:t xml:space="preserve">0.80 </w:t>
            </w:r>
          </w:p>
        </w:tc>
        <w:tc>
          <w:tcPr>
            <w:tcW w:w="1065" w:type="dxa"/>
            <w:noWrap/>
            <w:vAlign w:val="center"/>
          </w:tcPr>
          <w:p w14:paraId="618D2745">
            <w:pPr>
              <w:widowControl/>
              <w:jc w:val="center"/>
              <w:rPr>
                <w:sz w:val="18"/>
                <w:szCs w:val="18"/>
              </w:rPr>
            </w:pPr>
            <w:r>
              <w:rPr>
                <w:rFonts w:hint="eastAsia"/>
                <w:kern w:val="0"/>
                <w:sz w:val="18"/>
                <w:szCs w:val="18"/>
              </w:rPr>
              <w:t xml:space="preserve">1.04 </w:t>
            </w:r>
          </w:p>
        </w:tc>
      </w:tr>
      <w:tr w14:paraId="39BE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pct"/>
            <w:noWrap/>
            <w:vAlign w:val="center"/>
          </w:tcPr>
          <w:p w14:paraId="106DD257">
            <w:pPr>
              <w:ind w:firstLine="360"/>
              <w:jc w:val="center"/>
              <w:rPr>
                <w:bCs/>
                <w:sz w:val="18"/>
                <w:szCs w:val="18"/>
              </w:rPr>
            </w:pPr>
            <w:r>
              <w:rPr>
                <w:bCs/>
                <w:i/>
                <w:sz w:val="18"/>
                <w:szCs w:val="18"/>
              </w:rPr>
              <w:t xml:space="preserve">r </w:t>
            </w:r>
            <w:r>
              <w:rPr>
                <w:bCs/>
                <w:sz w:val="18"/>
                <w:szCs w:val="18"/>
              </w:rPr>
              <w:t>/ %</w:t>
            </w:r>
          </w:p>
        </w:tc>
        <w:tc>
          <w:tcPr>
            <w:tcW w:w="1065" w:type="dxa"/>
            <w:noWrap/>
            <w:vAlign w:val="center"/>
          </w:tcPr>
          <w:p w14:paraId="0F2E0306">
            <w:pPr>
              <w:widowControl/>
              <w:jc w:val="center"/>
              <w:rPr>
                <w:sz w:val="18"/>
                <w:szCs w:val="18"/>
              </w:rPr>
            </w:pPr>
            <w:r>
              <w:rPr>
                <w:rFonts w:hint="eastAsia"/>
                <w:kern w:val="0"/>
                <w:sz w:val="18"/>
                <w:szCs w:val="18"/>
              </w:rPr>
              <w:t xml:space="preserve">0.002 </w:t>
            </w:r>
          </w:p>
        </w:tc>
        <w:tc>
          <w:tcPr>
            <w:tcW w:w="1065" w:type="dxa"/>
            <w:noWrap/>
            <w:vAlign w:val="center"/>
          </w:tcPr>
          <w:p w14:paraId="4D0E84A6">
            <w:pPr>
              <w:widowControl/>
              <w:jc w:val="center"/>
              <w:rPr>
                <w:sz w:val="18"/>
                <w:szCs w:val="18"/>
              </w:rPr>
            </w:pPr>
            <w:r>
              <w:rPr>
                <w:rFonts w:hint="eastAsia"/>
                <w:kern w:val="0"/>
                <w:sz w:val="18"/>
                <w:szCs w:val="18"/>
              </w:rPr>
              <w:t xml:space="preserve">0.003 </w:t>
            </w:r>
          </w:p>
        </w:tc>
        <w:tc>
          <w:tcPr>
            <w:tcW w:w="1065" w:type="dxa"/>
            <w:noWrap/>
            <w:vAlign w:val="center"/>
          </w:tcPr>
          <w:p w14:paraId="3EF7C79A">
            <w:pPr>
              <w:widowControl/>
              <w:jc w:val="center"/>
              <w:rPr>
                <w:sz w:val="18"/>
                <w:szCs w:val="18"/>
              </w:rPr>
            </w:pPr>
            <w:r>
              <w:rPr>
                <w:rFonts w:hint="eastAsia"/>
                <w:kern w:val="0"/>
                <w:sz w:val="18"/>
                <w:szCs w:val="18"/>
              </w:rPr>
              <w:t xml:space="preserve">0.02 </w:t>
            </w:r>
          </w:p>
        </w:tc>
        <w:tc>
          <w:tcPr>
            <w:tcW w:w="1065" w:type="dxa"/>
            <w:noWrap/>
            <w:vAlign w:val="center"/>
          </w:tcPr>
          <w:p w14:paraId="115CA2EC">
            <w:pPr>
              <w:widowControl/>
              <w:jc w:val="center"/>
              <w:rPr>
                <w:sz w:val="18"/>
                <w:szCs w:val="18"/>
              </w:rPr>
            </w:pPr>
            <w:r>
              <w:rPr>
                <w:rFonts w:hint="eastAsia"/>
                <w:kern w:val="0"/>
                <w:sz w:val="18"/>
                <w:szCs w:val="18"/>
              </w:rPr>
              <w:t xml:space="preserve">0.03 </w:t>
            </w:r>
          </w:p>
        </w:tc>
        <w:tc>
          <w:tcPr>
            <w:tcW w:w="1065" w:type="dxa"/>
            <w:noWrap/>
            <w:vAlign w:val="center"/>
          </w:tcPr>
          <w:p w14:paraId="212796B8">
            <w:pPr>
              <w:widowControl/>
              <w:jc w:val="center"/>
              <w:rPr>
                <w:sz w:val="18"/>
                <w:szCs w:val="18"/>
              </w:rPr>
            </w:pPr>
            <w:r>
              <w:rPr>
                <w:rFonts w:hint="eastAsia"/>
                <w:kern w:val="0"/>
                <w:sz w:val="18"/>
                <w:szCs w:val="18"/>
              </w:rPr>
              <w:t xml:space="preserve">0.03 </w:t>
            </w:r>
          </w:p>
        </w:tc>
        <w:tc>
          <w:tcPr>
            <w:tcW w:w="1065" w:type="dxa"/>
            <w:noWrap/>
            <w:vAlign w:val="center"/>
          </w:tcPr>
          <w:p w14:paraId="696F2B87">
            <w:pPr>
              <w:widowControl/>
              <w:jc w:val="center"/>
              <w:rPr>
                <w:sz w:val="18"/>
                <w:szCs w:val="18"/>
              </w:rPr>
            </w:pPr>
            <w:r>
              <w:rPr>
                <w:rFonts w:hint="eastAsia"/>
                <w:kern w:val="0"/>
                <w:sz w:val="18"/>
                <w:szCs w:val="18"/>
              </w:rPr>
              <w:t xml:space="preserve">0.04 </w:t>
            </w:r>
          </w:p>
        </w:tc>
        <w:tc>
          <w:tcPr>
            <w:tcW w:w="1065" w:type="dxa"/>
            <w:noWrap/>
            <w:vAlign w:val="center"/>
          </w:tcPr>
          <w:p w14:paraId="7C50CCCE">
            <w:pPr>
              <w:widowControl/>
              <w:jc w:val="center"/>
              <w:rPr>
                <w:sz w:val="18"/>
                <w:szCs w:val="18"/>
              </w:rPr>
            </w:pPr>
            <w:r>
              <w:rPr>
                <w:rFonts w:hint="eastAsia"/>
                <w:kern w:val="0"/>
                <w:sz w:val="18"/>
                <w:szCs w:val="18"/>
              </w:rPr>
              <w:t xml:space="preserve">0.06 </w:t>
            </w:r>
          </w:p>
        </w:tc>
      </w:tr>
    </w:tbl>
    <w:p w14:paraId="0FFB0A4E">
      <w:pPr>
        <w:spacing w:before="312" w:beforeLines="100" w:after="156" w:afterLines="50"/>
        <w:rPr>
          <w:rFonts w:hint="eastAsia" w:ascii="黑体" w:hAnsi="黑体" w:eastAsia="黑体" w:cs="黑体"/>
          <w:szCs w:val="21"/>
        </w:rPr>
      </w:pPr>
      <w:r>
        <w:rPr>
          <w:rFonts w:hint="eastAsia" w:ascii="黑体" w:hAnsi="黑体" w:eastAsia="黑体" w:cs="黑体"/>
          <w:szCs w:val="21"/>
        </w:rPr>
        <w:t>4.7.2  再现性</w:t>
      </w:r>
    </w:p>
    <w:p w14:paraId="48797CD3">
      <w:pPr>
        <w:ind w:firstLine="420"/>
        <w:rPr>
          <w:rFonts w:eastAsia="黑体"/>
          <w:szCs w:val="21"/>
        </w:rPr>
      </w:pPr>
      <w:r>
        <w:rPr>
          <w:bCs/>
          <w:szCs w:val="21"/>
        </w:rPr>
        <w:t>在再现性条件下获得的两次独立测试结果的测定值，在</w:t>
      </w:r>
      <w:r>
        <w:rPr>
          <w:rFonts w:hint="eastAsia"/>
          <w:bCs/>
          <w:szCs w:val="21"/>
          <w:lang w:val="en-US" w:eastAsia="zh-CN"/>
        </w:rPr>
        <w:t>表3</w:t>
      </w:r>
      <w:r>
        <w:rPr>
          <w:bCs/>
          <w:szCs w:val="21"/>
        </w:rPr>
        <w:t>给出的平均值范围内，这两个测试结果的绝对差不超过再现性限（</w:t>
      </w:r>
      <w:r>
        <w:rPr>
          <w:bCs/>
          <w:i/>
          <w:szCs w:val="21"/>
        </w:rPr>
        <w:t>R</w:t>
      </w:r>
      <w:r>
        <w:rPr>
          <w:bCs/>
          <w:szCs w:val="21"/>
        </w:rPr>
        <w:t>），超过再现性限（</w:t>
      </w:r>
      <w:r>
        <w:rPr>
          <w:bCs/>
          <w:i/>
          <w:szCs w:val="21"/>
        </w:rPr>
        <w:t>R</w:t>
      </w:r>
      <w:r>
        <w:rPr>
          <w:bCs/>
          <w:szCs w:val="21"/>
        </w:rPr>
        <w:t>）的情况不超过5</w:t>
      </w:r>
      <w:r>
        <w:rPr>
          <w:rFonts w:hint="eastAsia"/>
          <w:bCs/>
          <w:szCs w:val="21"/>
        </w:rPr>
        <w:t xml:space="preserve"> </w:t>
      </w:r>
      <w:r>
        <w:rPr>
          <w:bCs/>
          <w:szCs w:val="21"/>
        </w:rPr>
        <w:t>%，再现性限（</w:t>
      </w:r>
      <w:r>
        <w:rPr>
          <w:bCs/>
          <w:i/>
          <w:szCs w:val="21"/>
        </w:rPr>
        <w:t>R</w:t>
      </w:r>
      <w:r>
        <w:rPr>
          <w:bCs/>
          <w:szCs w:val="21"/>
        </w:rPr>
        <w:t>）按</w:t>
      </w:r>
      <w:r>
        <w:rPr>
          <w:rFonts w:hint="eastAsia"/>
          <w:bCs/>
          <w:szCs w:val="21"/>
        </w:rPr>
        <w:t>表3</w:t>
      </w:r>
      <w:r>
        <w:rPr>
          <w:bCs/>
          <w:szCs w:val="21"/>
        </w:rPr>
        <w:t>数据采用线性内插法或外延法求得。</w:t>
      </w:r>
      <w:r>
        <w:rPr>
          <w:rFonts w:hint="eastAsia"/>
          <w:bCs/>
          <w:szCs w:val="21"/>
        </w:rPr>
        <w:t>精密度试验原始数据参见附录A。</w:t>
      </w:r>
    </w:p>
    <w:p w14:paraId="520EC31B">
      <w:pPr>
        <w:spacing w:before="156" w:beforeLines="50" w:after="156" w:afterLines="50"/>
        <w:ind w:firstLine="420"/>
        <w:jc w:val="center"/>
        <w:rPr>
          <w:rFonts w:hint="eastAsia" w:ascii="黑体" w:hAnsi="黑体" w:eastAsia="黑体" w:cs="黑体"/>
          <w:szCs w:val="21"/>
        </w:rPr>
      </w:pPr>
      <w:r>
        <w:rPr>
          <w:rFonts w:hint="eastAsia" w:ascii="黑体" w:hAnsi="黑体" w:eastAsia="黑体" w:cs="黑体"/>
          <w:szCs w:val="21"/>
        </w:rPr>
        <w:t xml:space="preserve">表3  </w:t>
      </w:r>
      <w:r>
        <w:rPr>
          <w:rFonts w:hint="eastAsia" w:ascii="黑体" w:hAnsi="黑体" w:eastAsia="黑体" w:cs="黑体"/>
          <w:szCs w:val="21"/>
          <w:lang w:val="en-US" w:eastAsia="zh-CN"/>
        </w:rPr>
        <w:t>方法1</w:t>
      </w:r>
      <w:r>
        <w:rPr>
          <w:rFonts w:hint="eastAsia" w:ascii="黑体" w:hAnsi="黑体" w:eastAsia="黑体" w:cs="黑体"/>
          <w:szCs w:val="21"/>
        </w:rPr>
        <w:t>再现性限</w:t>
      </w:r>
      <w:r>
        <w:rPr>
          <w:rFonts w:hint="eastAsia" w:ascii="黑体" w:hAnsi="黑体" w:eastAsia="黑体" w:cs="黑体"/>
          <w:color w:val="FF0000"/>
          <w:szCs w:val="21"/>
        </w:rPr>
        <w:t>（</w:t>
      </w:r>
      <w:r>
        <w:rPr>
          <w:rFonts w:hint="eastAsia" w:ascii="黑体" w:hAnsi="黑体" w:eastAsia="黑体" w:cs="黑体"/>
          <w:i/>
          <w:iCs/>
          <w:color w:val="FF0000"/>
          <w:szCs w:val="21"/>
        </w:rPr>
        <w:t>R</w:t>
      </w:r>
      <w:r>
        <w:rPr>
          <w:rFonts w:hint="eastAsia" w:ascii="黑体" w:hAnsi="黑体" w:eastAsia="黑体" w:cs="黑体"/>
          <w:color w:val="FF0000"/>
          <w:szCs w:val="21"/>
        </w:rPr>
        <w:t>）</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5"/>
        <w:gridCol w:w="1065"/>
        <w:gridCol w:w="1065"/>
        <w:gridCol w:w="1065"/>
        <w:gridCol w:w="1065"/>
        <w:gridCol w:w="1065"/>
        <w:gridCol w:w="1065"/>
      </w:tblGrid>
      <w:tr w14:paraId="0394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5" w:type="pct"/>
            <w:noWrap/>
          </w:tcPr>
          <w:p w14:paraId="25506FD9">
            <w:pPr>
              <w:jc w:val="center"/>
              <w:rPr>
                <w:bCs/>
                <w:sz w:val="18"/>
                <w:szCs w:val="18"/>
              </w:rPr>
            </w:pPr>
            <w:r>
              <w:rPr>
                <w:rFonts w:hint="eastAsia"/>
                <w:i/>
                <w:iCs/>
              </w:rPr>
              <w:t>ω</w:t>
            </w:r>
            <w:r>
              <w:rPr>
                <w:vertAlign w:val="subscript"/>
              </w:rPr>
              <w:t>As</w:t>
            </w:r>
            <w:r>
              <w:rPr>
                <w:sz w:val="18"/>
                <w:szCs w:val="18"/>
              </w:rPr>
              <w:t>/%</w:t>
            </w:r>
          </w:p>
        </w:tc>
        <w:tc>
          <w:tcPr>
            <w:tcW w:w="1065" w:type="dxa"/>
            <w:noWrap/>
            <w:vAlign w:val="center"/>
          </w:tcPr>
          <w:p w14:paraId="6294E38F">
            <w:pPr>
              <w:widowControl/>
              <w:jc w:val="center"/>
              <w:rPr>
                <w:sz w:val="18"/>
                <w:szCs w:val="18"/>
              </w:rPr>
            </w:pPr>
            <w:r>
              <w:rPr>
                <w:rFonts w:hint="eastAsia"/>
                <w:kern w:val="0"/>
                <w:sz w:val="18"/>
                <w:szCs w:val="18"/>
              </w:rPr>
              <w:t xml:space="preserve">0.018 </w:t>
            </w:r>
          </w:p>
        </w:tc>
        <w:tc>
          <w:tcPr>
            <w:tcW w:w="1065" w:type="dxa"/>
            <w:noWrap/>
            <w:vAlign w:val="center"/>
          </w:tcPr>
          <w:p w14:paraId="3000F5EC">
            <w:pPr>
              <w:widowControl/>
              <w:jc w:val="center"/>
              <w:rPr>
                <w:sz w:val="18"/>
                <w:szCs w:val="18"/>
              </w:rPr>
            </w:pPr>
            <w:r>
              <w:rPr>
                <w:rFonts w:hint="eastAsia"/>
                <w:kern w:val="0"/>
                <w:sz w:val="18"/>
                <w:szCs w:val="18"/>
              </w:rPr>
              <w:t xml:space="preserve">0.057 </w:t>
            </w:r>
          </w:p>
        </w:tc>
        <w:tc>
          <w:tcPr>
            <w:tcW w:w="1065" w:type="dxa"/>
            <w:noWrap/>
            <w:vAlign w:val="center"/>
          </w:tcPr>
          <w:p w14:paraId="5237EAB6">
            <w:pPr>
              <w:widowControl/>
              <w:jc w:val="center"/>
              <w:rPr>
                <w:sz w:val="18"/>
                <w:szCs w:val="18"/>
              </w:rPr>
            </w:pPr>
            <w:r>
              <w:rPr>
                <w:rFonts w:hint="eastAsia"/>
                <w:kern w:val="0"/>
                <w:sz w:val="18"/>
                <w:szCs w:val="18"/>
              </w:rPr>
              <w:t xml:space="preserve">0.12 </w:t>
            </w:r>
          </w:p>
        </w:tc>
        <w:tc>
          <w:tcPr>
            <w:tcW w:w="1065" w:type="dxa"/>
            <w:noWrap/>
            <w:vAlign w:val="center"/>
          </w:tcPr>
          <w:p w14:paraId="571F9019">
            <w:pPr>
              <w:widowControl/>
              <w:jc w:val="center"/>
              <w:rPr>
                <w:sz w:val="18"/>
                <w:szCs w:val="18"/>
              </w:rPr>
            </w:pPr>
            <w:r>
              <w:rPr>
                <w:rFonts w:hint="eastAsia"/>
                <w:kern w:val="0"/>
                <w:sz w:val="18"/>
                <w:szCs w:val="18"/>
              </w:rPr>
              <w:t xml:space="preserve">0.29 </w:t>
            </w:r>
          </w:p>
        </w:tc>
        <w:tc>
          <w:tcPr>
            <w:tcW w:w="1065" w:type="dxa"/>
            <w:noWrap/>
            <w:vAlign w:val="center"/>
          </w:tcPr>
          <w:p w14:paraId="16B71B32">
            <w:pPr>
              <w:widowControl/>
              <w:jc w:val="center"/>
              <w:rPr>
                <w:sz w:val="18"/>
                <w:szCs w:val="18"/>
              </w:rPr>
            </w:pPr>
            <w:r>
              <w:rPr>
                <w:rFonts w:hint="eastAsia"/>
                <w:kern w:val="0"/>
                <w:sz w:val="18"/>
                <w:szCs w:val="18"/>
              </w:rPr>
              <w:t xml:space="preserve">0.61 </w:t>
            </w:r>
          </w:p>
        </w:tc>
        <w:tc>
          <w:tcPr>
            <w:tcW w:w="1065" w:type="dxa"/>
            <w:noWrap/>
            <w:vAlign w:val="center"/>
          </w:tcPr>
          <w:p w14:paraId="512DD81E">
            <w:pPr>
              <w:widowControl/>
              <w:jc w:val="center"/>
              <w:rPr>
                <w:kern w:val="0"/>
                <w:sz w:val="18"/>
                <w:szCs w:val="18"/>
              </w:rPr>
            </w:pPr>
            <w:r>
              <w:rPr>
                <w:rFonts w:hint="eastAsia"/>
                <w:kern w:val="0"/>
                <w:sz w:val="18"/>
                <w:szCs w:val="18"/>
              </w:rPr>
              <w:t xml:space="preserve">0.80 </w:t>
            </w:r>
          </w:p>
        </w:tc>
        <w:tc>
          <w:tcPr>
            <w:tcW w:w="1065" w:type="dxa"/>
            <w:noWrap/>
            <w:vAlign w:val="center"/>
          </w:tcPr>
          <w:p w14:paraId="0CA3634B">
            <w:pPr>
              <w:widowControl/>
              <w:jc w:val="center"/>
              <w:rPr>
                <w:kern w:val="0"/>
                <w:sz w:val="18"/>
                <w:szCs w:val="18"/>
              </w:rPr>
            </w:pPr>
            <w:r>
              <w:rPr>
                <w:rFonts w:hint="eastAsia"/>
                <w:kern w:val="0"/>
                <w:sz w:val="18"/>
                <w:szCs w:val="18"/>
              </w:rPr>
              <w:t xml:space="preserve">1.00 </w:t>
            </w:r>
          </w:p>
        </w:tc>
      </w:tr>
      <w:tr w14:paraId="3C4D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25" w:type="pct"/>
            <w:noWrap/>
          </w:tcPr>
          <w:p w14:paraId="13170B06">
            <w:pPr>
              <w:jc w:val="center"/>
              <w:rPr>
                <w:bCs/>
                <w:sz w:val="18"/>
                <w:szCs w:val="18"/>
              </w:rPr>
            </w:pPr>
            <w:r>
              <w:rPr>
                <w:bCs/>
                <w:i/>
                <w:sz w:val="18"/>
                <w:szCs w:val="18"/>
              </w:rPr>
              <w:t>R</w:t>
            </w:r>
            <w:r>
              <w:rPr>
                <w:bCs/>
                <w:sz w:val="18"/>
                <w:szCs w:val="18"/>
              </w:rPr>
              <w:t xml:space="preserve"> / %</w:t>
            </w:r>
          </w:p>
        </w:tc>
        <w:tc>
          <w:tcPr>
            <w:tcW w:w="1065" w:type="dxa"/>
            <w:noWrap/>
            <w:vAlign w:val="center"/>
          </w:tcPr>
          <w:p w14:paraId="3A829FA9">
            <w:pPr>
              <w:widowControl/>
              <w:jc w:val="center"/>
              <w:rPr>
                <w:sz w:val="18"/>
                <w:szCs w:val="18"/>
              </w:rPr>
            </w:pPr>
            <w:r>
              <w:rPr>
                <w:rFonts w:hint="eastAsia"/>
                <w:kern w:val="0"/>
                <w:sz w:val="18"/>
                <w:szCs w:val="18"/>
              </w:rPr>
              <w:t xml:space="preserve">0.009 </w:t>
            </w:r>
          </w:p>
        </w:tc>
        <w:tc>
          <w:tcPr>
            <w:tcW w:w="1065" w:type="dxa"/>
            <w:noWrap/>
            <w:vAlign w:val="center"/>
          </w:tcPr>
          <w:p w14:paraId="747A8FEE">
            <w:pPr>
              <w:widowControl/>
              <w:jc w:val="center"/>
              <w:rPr>
                <w:sz w:val="18"/>
                <w:szCs w:val="18"/>
              </w:rPr>
            </w:pPr>
            <w:r>
              <w:rPr>
                <w:rFonts w:hint="eastAsia"/>
                <w:kern w:val="0"/>
                <w:sz w:val="18"/>
                <w:szCs w:val="18"/>
              </w:rPr>
              <w:t xml:space="preserve">0.011 </w:t>
            </w:r>
          </w:p>
        </w:tc>
        <w:tc>
          <w:tcPr>
            <w:tcW w:w="1065" w:type="dxa"/>
            <w:noWrap/>
            <w:vAlign w:val="center"/>
          </w:tcPr>
          <w:p w14:paraId="428A4AEB">
            <w:pPr>
              <w:widowControl/>
              <w:jc w:val="center"/>
              <w:rPr>
                <w:sz w:val="18"/>
                <w:szCs w:val="18"/>
              </w:rPr>
            </w:pPr>
            <w:r>
              <w:rPr>
                <w:rFonts w:hint="eastAsia"/>
                <w:kern w:val="0"/>
                <w:sz w:val="18"/>
                <w:szCs w:val="18"/>
              </w:rPr>
              <w:t xml:space="preserve">0.03 </w:t>
            </w:r>
          </w:p>
        </w:tc>
        <w:tc>
          <w:tcPr>
            <w:tcW w:w="1065" w:type="dxa"/>
            <w:noWrap/>
            <w:vAlign w:val="center"/>
          </w:tcPr>
          <w:p w14:paraId="23490049">
            <w:pPr>
              <w:widowControl/>
              <w:jc w:val="center"/>
              <w:rPr>
                <w:sz w:val="18"/>
                <w:szCs w:val="18"/>
              </w:rPr>
            </w:pPr>
            <w:r>
              <w:rPr>
                <w:rFonts w:hint="eastAsia"/>
                <w:kern w:val="0"/>
                <w:sz w:val="18"/>
                <w:szCs w:val="18"/>
              </w:rPr>
              <w:t xml:space="preserve">0.05 </w:t>
            </w:r>
          </w:p>
        </w:tc>
        <w:tc>
          <w:tcPr>
            <w:tcW w:w="1065" w:type="dxa"/>
            <w:noWrap/>
            <w:vAlign w:val="center"/>
          </w:tcPr>
          <w:p w14:paraId="2A7A3485">
            <w:pPr>
              <w:widowControl/>
              <w:jc w:val="center"/>
              <w:rPr>
                <w:sz w:val="18"/>
                <w:szCs w:val="18"/>
              </w:rPr>
            </w:pPr>
            <w:r>
              <w:rPr>
                <w:rFonts w:hint="eastAsia"/>
                <w:kern w:val="0"/>
                <w:sz w:val="18"/>
                <w:szCs w:val="18"/>
              </w:rPr>
              <w:t xml:space="preserve">0.06 </w:t>
            </w:r>
          </w:p>
        </w:tc>
        <w:tc>
          <w:tcPr>
            <w:tcW w:w="1065" w:type="dxa"/>
            <w:noWrap/>
            <w:vAlign w:val="center"/>
          </w:tcPr>
          <w:p w14:paraId="5A1FD0DC">
            <w:pPr>
              <w:widowControl/>
              <w:jc w:val="center"/>
              <w:rPr>
                <w:kern w:val="0"/>
                <w:sz w:val="18"/>
                <w:szCs w:val="18"/>
              </w:rPr>
            </w:pPr>
            <w:r>
              <w:rPr>
                <w:rFonts w:hint="eastAsia"/>
                <w:kern w:val="0"/>
                <w:sz w:val="18"/>
                <w:szCs w:val="18"/>
              </w:rPr>
              <w:t xml:space="preserve">0.09 </w:t>
            </w:r>
          </w:p>
        </w:tc>
        <w:tc>
          <w:tcPr>
            <w:tcW w:w="1065" w:type="dxa"/>
            <w:noWrap/>
            <w:vAlign w:val="center"/>
          </w:tcPr>
          <w:p w14:paraId="4880452C">
            <w:pPr>
              <w:widowControl/>
              <w:jc w:val="center"/>
              <w:rPr>
                <w:kern w:val="0"/>
                <w:sz w:val="18"/>
                <w:szCs w:val="18"/>
              </w:rPr>
            </w:pPr>
            <w:r>
              <w:rPr>
                <w:rFonts w:hint="eastAsia"/>
                <w:kern w:val="0"/>
                <w:sz w:val="18"/>
                <w:szCs w:val="18"/>
              </w:rPr>
              <w:t xml:space="preserve">0.09 </w:t>
            </w:r>
          </w:p>
        </w:tc>
      </w:tr>
      <w:tr w14:paraId="12FC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pct"/>
            <w:noWrap/>
          </w:tcPr>
          <w:p w14:paraId="6F17803E">
            <w:pPr>
              <w:jc w:val="center"/>
              <w:rPr>
                <w:bCs/>
                <w:sz w:val="18"/>
                <w:szCs w:val="18"/>
              </w:rPr>
            </w:pPr>
            <w:r>
              <w:rPr>
                <w:rFonts w:hint="eastAsia"/>
                <w:i/>
                <w:iCs/>
              </w:rPr>
              <w:t>ω</w:t>
            </w:r>
            <w:r>
              <w:rPr>
                <w:vertAlign w:val="subscript"/>
              </w:rPr>
              <w:t>Sb</w:t>
            </w:r>
            <w:r>
              <w:rPr>
                <w:sz w:val="18"/>
                <w:szCs w:val="18"/>
              </w:rPr>
              <w:t>/%</w:t>
            </w:r>
          </w:p>
        </w:tc>
        <w:tc>
          <w:tcPr>
            <w:tcW w:w="1065" w:type="dxa"/>
            <w:noWrap/>
            <w:vAlign w:val="center"/>
          </w:tcPr>
          <w:p w14:paraId="1D8FF5FA">
            <w:pPr>
              <w:widowControl/>
              <w:jc w:val="center"/>
              <w:rPr>
                <w:sz w:val="18"/>
                <w:szCs w:val="18"/>
              </w:rPr>
            </w:pPr>
            <w:r>
              <w:rPr>
                <w:rFonts w:hint="eastAsia"/>
                <w:kern w:val="0"/>
                <w:sz w:val="18"/>
                <w:szCs w:val="18"/>
              </w:rPr>
              <w:t xml:space="preserve">0.010 </w:t>
            </w:r>
          </w:p>
        </w:tc>
        <w:tc>
          <w:tcPr>
            <w:tcW w:w="1065" w:type="dxa"/>
            <w:noWrap/>
            <w:vAlign w:val="center"/>
          </w:tcPr>
          <w:p w14:paraId="28C9EAA0">
            <w:pPr>
              <w:widowControl/>
              <w:jc w:val="center"/>
              <w:rPr>
                <w:sz w:val="18"/>
                <w:szCs w:val="18"/>
              </w:rPr>
            </w:pPr>
            <w:r>
              <w:rPr>
                <w:rFonts w:hint="eastAsia"/>
                <w:kern w:val="0"/>
                <w:sz w:val="18"/>
                <w:szCs w:val="18"/>
              </w:rPr>
              <w:t xml:space="preserve">0.048 </w:t>
            </w:r>
          </w:p>
        </w:tc>
        <w:tc>
          <w:tcPr>
            <w:tcW w:w="1065" w:type="dxa"/>
            <w:noWrap/>
            <w:vAlign w:val="center"/>
          </w:tcPr>
          <w:p w14:paraId="05B217F5">
            <w:pPr>
              <w:widowControl/>
              <w:jc w:val="center"/>
              <w:rPr>
                <w:sz w:val="18"/>
                <w:szCs w:val="18"/>
              </w:rPr>
            </w:pPr>
            <w:r>
              <w:rPr>
                <w:rFonts w:hint="eastAsia"/>
                <w:kern w:val="0"/>
                <w:sz w:val="18"/>
                <w:szCs w:val="18"/>
              </w:rPr>
              <w:t xml:space="preserve">0.19 </w:t>
            </w:r>
          </w:p>
        </w:tc>
        <w:tc>
          <w:tcPr>
            <w:tcW w:w="1065" w:type="dxa"/>
            <w:noWrap/>
            <w:vAlign w:val="center"/>
          </w:tcPr>
          <w:p w14:paraId="0EB7BE3D">
            <w:pPr>
              <w:widowControl/>
              <w:jc w:val="center"/>
              <w:rPr>
                <w:sz w:val="18"/>
                <w:szCs w:val="18"/>
              </w:rPr>
            </w:pPr>
            <w:r>
              <w:rPr>
                <w:rFonts w:hint="eastAsia"/>
                <w:kern w:val="0"/>
                <w:sz w:val="18"/>
                <w:szCs w:val="18"/>
              </w:rPr>
              <w:t xml:space="preserve">0.36 </w:t>
            </w:r>
          </w:p>
        </w:tc>
        <w:tc>
          <w:tcPr>
            <w:tcW w:w="1065" w:type="dxa"/>
            <w:noWrap/>
            <w:vAlign w:val="center"/>
          </w:tcPr>
          <w:p w14:paraId="7490FAC3">
            <w:pPr>
              <w:widowControl/>
              <w:jc w:val="center"/>
              <w:rPr>
                <w:sz w:val="18"/>
                <w:szCs w:val="18"/>
              </w:rPr>
            </w:pPr>
            <w:r>
              <w:rPr>
                <w:rFonts w:hint="eastAsia"/>
                <w:kern w:val="0"/>
                <w:sz w:val="18"/>
                <w:szCs w:val="18"/>
              </w:rPr>
              <w:t xml:space="preserve">0.55 </w:t>
            </w:r>
          </w:p>
        </w:tc>
        <w:tc>
          <w:tcPr>
            <w:tcW w:w="1065" w:type="dxa"/>
            <w:noWrap/>
            <w:vAlign w:val="center"/>
          </w:tcPr>
          <w:p w14:paraId="0A765047">
            <w:pPr>
              <w:widowControl/>
              <w:jc w:val="center"/>
              <w:rPr>
                <w:color w:val="FF0000"/>
                <w:kern w:val="0"/>
                <w:sz w:val="18"/>
                <w:szCs w:val="18"/>
              </w:rPr>
            </w:pPr>
            <w:r>
              <w:rPr>
                <w:rFonts w:hint="eastAsia"/>
                <w:color w:val="FF0000"/>
                <w:kern w:val="0"/>
                <w:sz w:val="18"/>
                <w:szCs w:val="18"/>
              </w:rPr>
              <w:t xml:space="preserve">0.72 </w:t>
            </w:r>
          </w:p>
        </w:tc>
        <w:tc>
          <w:tcPr>
            <w:tcW w:w="1065" w:type="dxa"/>
            <w:noWrap/>
            <w:vAlign w:val="center"/>
          </w:tcPr>
          <w:p w14:paraId="0E5F8D2D">
            <w:pPr>
              <w:widowControl/>
              <w:jc w:val="center"/>
              <w:rPr>
                <w:kern w:val="0"/>
                <w:sz w:val="18"/>
                <w:szCs w:val="18"/>
              </w:rPr>
            </w:pPr>
            <w:r>
              <w:rPr>
                <w:rFonts w:hint="eastAsia"/>
                <w:kern w:val="0"/>
                <w:sz w:val="18"/>
                <w:szCs w:val="18"/>
              </w:rPr>
              <w:t xml:space="preserve">0.98 </w:t>
            </w:r>
          </w:p>
        </w:tc>
      </w:tr>
      <w:tr w14:paraId="0E16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25" w:type="pct"/>
            <w:noWrap/>
          </w:tcPr>
          <w:p w14:paraId="05CFA47C">
            <w:pPr>
              <w:jc w:val="center"/>
              <w:rPr>
                <w:bCs/>
                <w:sz w:val="18"/>
                <w:szCs w:val="18"/>
              </w:rPr>
            </w:pPr>
            <w:r>
              <w:rPr>
                <w:bCs/>
                <w:i/>
                <w:sz w:val="18"/>
                <w:szCs w:val="18"/>
              </w:rPr>
              <w:t>R</w:t>
            </w:r>
            <w:r>
              <w:rPr>
                <w:bCs/>
                <w:sz w:val="18"/>
                <w:szCs w:val="18"/>
              </w:rPr>
              <w:t xml:space="preserve"> / %</w:t>
            </w:r>
          </w:p>
        </w:tc>
        <w:tc>
          <w:tcPr>
            <w:tcW w:w="1065" w:type="dxa"/>
            <w:noWrap/>
            <w:vAlign w:val="center"/>
          </w:tcPr>
          <w:p w14:paraId="0C8B3CD1">
            <w:pPr>
              <w:widowControl/>
              <w:jc w:val="center"/>
              <w:rPr>
                <w:sz w:val="18"/>
                <w:szCs w:val="18"/>
              </w:rPr>
            </w:pPr>
            <w:r>
              <w:rPr>
                <w:rFonts w:hint="eastAsia"/>
                <w:kern w:val="0"/>
                <w:sz w:val="18"/>
                <w:szCs w:val="18"/>
              </w:rPr>
              <w:t xml:space="preserve">0.005 </w:t>
            </w:r>
          </w:p>
        </w:tc>
        <w:tc>
          <w:tcPr>
            <w:tcW w:w="1065" w:type="dxa"/>
            <w:noWrap/>
            <w:vAlign w:val="center"/>
          </w:tcPr>
          <w:p w14:paraId="20FEFC44">
            <w:pPr>
              <w:widowControl/>
              <w:jc w:val="center"/>
              <w:rPr>
                <w:sz w:val="18"/>
                <w:szCs w:val="18"/>
              </w:rPr>
            </w:pPr>
            <w:r>
              <w:rPr>
                <w:rFonts w:hint="eastAsia"/>
                <w:kern w:val="0"/>
                <w:sz w:val="18"/>
                <w:szCs w:val="18"/>
              </w:rPr>
              <w:t xml:space="preserve">0.008 </w:t>
            </w:r>
          </w:p>
        </w:tc>
        <w:tc>
          <w:tcPr>
            <w:tcW w:w="1065" w:type="dxa"/>
            <w:noWrap/>
            <w:vAlign w:val="center"/>
          </w:tcPr>
          <w:p w14:paraId="4D4BB1D8">
            <w:pPr>
              <w:widowControl/>
              <w:jc w:val="center"/>
              <w:rPr>
                <w:sz w:val="18"/>
                <w:szCs w:val="18"/>
              </w:rPr>
            </w:pPr>
            <w:r>
              <w:rPr>
                <w:rFonts w:hint="eastAsia"/>
                <w:kern w:val="0"/>
                <w:sz w:val="18"/>
                <w:szCs w:val="18"/>
              </w:rPr>
              <w:t xml:space="preserve">0.08 </w:t>
            </w:r>
          </w:p>
        </w:tc>
        <w:tc>
          <w:tcPr>
            <w:tcW w:w="1065" w:type="dxa"/>
            <w:noWrap/>
            <w:vAlign w:val="center"/>
          </w:tcPr>
          <w:p w14:paraId="222FF025">
            <w:pPr>
              <w:widowControl/>
              <w:jc w:val="center"/>
              <w:rPr>
                <w:sz w:val="18"/>
                <w:szCs w:val="18"/>
              </w:rPr>
            </w:pPr>
            <w:r>
              <w:rPr>
                <w:rFonts w:hint="eastAsia"/>
                <w:kern w:val="0"/>
                <w:sz w:val="18"/>
                <w:szCs w:val="18"/>
              </w:rPr>
              <w:t xml:space="preserve">0.07 </w:t>
            </w:r>
          </w:p>
        </w:tc>
        <w:tc>
          <w:tcPr>
            <w:tcW w:w="1065" w:type="dxa"/>
            <w:noWrap/>
            <w:vAlign w:val="center"/>
          </w:tcPr>
          <w:p w14:paraId="6D91AF85">
            <w:pPr>
              <w:widowControl/>
              <w:jc w:val="center"/>
              <w:rPr>
                <w:sz w:val="18"/>
                <w:szCs w:val="18"/>
              </w:rPr>
            </w:pPr>
            <w:r>
              <w:rPr>
                <w:rFonts w:hint="eastAsia"/>
                <w:kern w:val="0"/>
                <w:sz w:val="18"/>
                <w:szCs w:val="18"/>
              </w:rPr>
              <w:t xml:space="preserve">0.08 </w:t>
            </w:r>
          </w:p>
        </w:tc>
        <w:tc>
          <w:tcPr>
            <w:tcW w:w="1065" w:type="dxa"/>
            <w:noWrap/>
            <w:vAlign w:val="center"/>
          </w:tcPr>
          <w:p w14:paraId="10A8B6E0">
            <w:pPr>
              <w:widowControl/>
              <w:jc w:val="center"/>
              <w:rPr>
                <w:color w:val="FF0000"/>
                <w:kern w:val="0"/>
                <w:sz w:val="18"/>
                <w:szCs w:val="18"/>
              </w:rPr>
            </w:pPr>
            <w:r>
              <w:rPr>
                <w:rFonts w:hint="eastAsia"/>
                <w:color w:val="FF0000"/>
                <w:kern w:val="0"/>
                <w:sz w:val="18"/>
                <w:szCs w:val="18"/>
              </w:rPr>
              <w:t xml:space="preserve">0.13 </w:t>
            </w:r>
          </w:p>
        </w:tc>
        <w:tc>
          <w:tcPr>
            <w:tcW w:w="1065" w:type="dxa"/>
            <w:noWrap/>
            <w:vAlign w:val="center"/>
          </w:tcPr>
          <w:p w14:paraId="7438D9A3">
            <w:pPr>
              <w:widowControl/>
              <w:jc w:val="center"/>
              <w:rPr>
                <w:kern w:val="0"/>
                <w:sz w:val="18"/>
                <w:szCs w:val="18"/>
              </w:rPr>
            </w:pPr>
            <w:r>
              <w:rPr>
                <w:rFonts w:hint="eastAsia"/>
                <w:kern w:val="0"/>
                <w:sz w:val="18"/>
                <w:szCs w:val="18"/>
              </w:rPr>
              <w:t xml:space="preserve">0.13 </w:t>
            </w:r>
          </w:p>
        </w:tc>
      </w:tr>
      <w:tr w14:paraId="52CD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25" w:type="pct"/>
            <w:noWrap/>
          </w:tcPr>
          <w:p w14:paraId="7CC5ADF9">
            <w:pPr>
              <w:jc w:val="center"/>
              <w:rPr>
                <w:bCs/>
                <w:sz w:val="18"/>
                <w:szCs w:val="18"/>
              </w:rPr>
            </w:pPr>
            <w:r>
              <w:rPr>
                <w:rFonts w:hint="eastAsia"/>
                <w:i/>
                <w:iCs/>
              </w:rPr>
              <w:t>ω</w:t>
            </w:r>
            <w:r>
              <w:rPr>
                <w:vertAlign w:val="subscript"/>
              </w:rPr>
              <w:t>Bi</w:t>
            </w:r>
            <w:r>
              <w:rPr>
                <w:sz w:val="18"/>
                <w:szCs w:val="18"/>
              </w:rPr>
              <w:t>/%</w:t>
            </w:r>
          </w:p>
        </w:tc>
        <w:tc>
          <w:tcPr>
            <w:tcW w:w="1065" w:type="dxa"/>
            <w:noWrap/>
            <w:vAlign w:val="center"/>
          </w:tcPr>
          <w:p w14:paraId="1DC0D125">
            <w:pPr>
              <w:widowControl/>
              <w:jc w:val="center"/>
              <w:rPr>
                <w:sz w:val="18"/>
                <w:szCs w:val="18"/>
              </w:rPr>
            </w:pPr>
            <w:r>
              <w:rPr>
                <w:rFonts w:hint="eastAsia"/>
                <w:kern w:val="0"/>
                <w:sz w:val="18"/>
                <w:szCs w:val="18"/>
              </w:rPr>
              <w:t xml:space="preserve">0.010 </w:t>
            </w:r>
          </w:p>
        </w:tc>
        <w:tc>
          <w:tcPr>
            <w:tcW w:w="1065" w:type="dxa"/>
            <w:noWrap/>
            <w:vAlign w:val="center"/>
          </w:tcPr>
          <w:p w14:paraId="50FCCAB8">
            <w:pPr>
              <w:widowControl/>
              <w:jc w:val="center"/>
              <w:rPr>
                <w:sz w:val="18"/>
                <w:szCs w:val="18"/>
              </w:rPr>
            </w:pPr>
            <w:r>
              <w:rPr>
                <w:rFonts w:hint="eastAsia"/>
                <w:kern w:val="0"/>
                <w:sz w:val="18"/>
                <w:szCs w:val="18"/>
              </w:rPr>
              <w:t xml:space="preserve">0.029 </w:t>
            </w:r>
          </w:p>
        </w:tc>
        <w:tc>
          <w:tcPr>
            <w:tcW w:w="1065" w:type="dxa"/>
            <w:noWrap/>
            <w:vAlign w:val="center"/>
          </w:tcPr>
          <w:p w14:paraId="35808E5F">
            <w:pPr>
              <w:widowControl/>
              <w:jc w:val="center"/>
              <w:rPr>
                <w:sz w:val="18"/>
                <w:szCs w:val="18"/>
              </w:rPr>
            </w:pPr>
            <w:r>
              <w:rPr>
                <w:rFonts w:hint="eastAsia"/>
                <w:kern w:val="0"/>
                <w:sz w:val="18"/>
                <w:szCs w:val="18"/>
              </w:rPr>
              <w:t xml:space="preserve">0.12 </w:t>
            </w:r>
          </w:p>
        </w:tc>
        <w:tc>
          <w:tcPr>
            <w:tcW w:w="1065" w:type="dxa"/>
            <w:noWrap/>
            <w:vAlign w:val="center"/>
          </w:tcPr>
          <w:p w14:paraId="2A682EB9">
            <w:pPr>
              <w:widowControl/>
              <w:jc w:val="center"/>
              <w:rPr>
                <w:sz w:val="18"/>
                <w:szCs w:val="18"/>
              </w:rPr>
            </w:pPr>
            <w:r>
              <w:rPr>
                <w:rFonts w:hint="eastAsia"/>
                <w:kern w:val="0"/>
                <w:sz w:val="18"/>
                <w:szCs w:val="18"/>
              </w:rPr>
              <w:t xml:space="preserve">0.31 </w:t>
            </w:r>
          </w:p>
        </w:tc>
        <w:tc>
          <w:tcPr>
            <w:tcW w:w="1065" w:type="dxa"/>
            <w:noWrap/>
            <w:vAlign w:val="center"/>
          </w:tcPr>
          <w:p w14:paraId="548A69B1">
            <w:pPr>
              <w:widowControl/>
              <w:jc w:val="center"/>
              <w:rPr>
                <w:color w:val="FF0000"/>
                <w:sz w:val="18"/>
                <w:szCs w:val="18"/>
              </w:rPr>
            </w:pPr>
            <w:r>
              <w:rPr>
                <w:rFonts w:hint="eastAsia"/>
                <w:color w:val="FF0000"/>
                <w:kern w:val="0"/>
                <w:sz w:val="18"/>
                <w:szCs w:val="18"/>
              </w:rPr>
              <w:t xml:space="preserve">0.50 </w:t>
            </w:r>
          </w:p>
        </w:tc>
        <w:tc>
          <w:tcPr>
            <w:tcW w:w="1065" w:type="dxa"/>
            <w:noWrap/>
            <w:vAlign w:val="center"/>
          </w:tcPr>
          <w:p w14:paraId="27F3FF9C">
            <w:pPr>
              <w:widowControl/>
              <w:jc w:val="center"/>
              <w:rPr>
                <w:color w:val="FF0000"/>
                <w:kern w:val="0"/>
                <w:sz w:val="18"/>
                <w:szCs w:val="18"/>
              </w:rPr>
            </w:pPr>
            <w:r>
              <w:rPr>
                <w:rFonts w:hint="eastAsia"/>
                <w:color w:val="FF0000"/>
                <w:kern w:val="0"/>
                <w:sz w:val="18"/>
                <w:szCs w:val="18"/>
              </w:rPr>
              <w:t xml:space="preserve">0.80 </w:t>
            </w:r>
          </w:p>
        </w:tc>
        <w:tc>
          <w:tcPr>
            <w:tcW w:w="1065" w:type="dxa"/>
            <w:noWrap/>
            <w:vAlign w:val="center"/>
          </w:tcPr>
          <w:p w14:paraId="6AB4C893">
            <w:pPr>
              <w:widowControl/>
              <w:jc w:val="center"/>
              <w:rPr>
                <w:color w:val="FF0000"/>
                <w:kern w:val="0"/>
                <w:sz w:val="18"/>
                <w:szCs w:val="18"/>
              </w:rPr>
            </w:pPr>
            <w:r>
              <w:rPr>
                <w:rFonts w:hint="eastAsia"/>
                <w:color w:val="FF0000"/>
                <w:kern w:val="0"/>
                <w:sz w:val="18"/>
                <w:szCs w:val="18"/>
              </w:rPr>
              <w:t xml:space="preserve">1.04 </w:t>
            </w:r>
          </w:p>
        </w:tc>
      </w:tr>
      <w:tr w14:paraId="1FA2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25" w:type="pct"/>
            <w:noWrap/>
          </w:tcPr>
          <w:p w14:paraId="6740E1F4">
            <w:pPr>
              <w:jc w:val="center"/>
              <w:rPr>
                <w:bCs/>
                <w:sz w:val="18"/>
                <w:szCs w:val="18"/>
              </w:rPr>
            </w:pPr>
            <w:r>
              <w:rPr>
                <w:bCs/>
                <w:i/>
                <w:sz w:val="18"/>
                <w:szCs w:val="18"/>
              </w:rPr>
              <w:t>R</w:t>
            </w:r>
            <w:r>
              <w:rPr>
                <w:bCs/>
                <w:sz w:val="18"/>
                <w:szCs w:val="18"/>
              </w:rPr>
              <w:t xml:space="preserve"> / %</w:t>
            </w:r>
          </w:p>
        </w:tc>
        <w:tc>
          <w:tcPr>
            <w:tcW w:w="1065" w:type="dxa"/>
            <w:noWrap/>
            <w:vAlign w:val="center"/>
          </w:tcPr>
          <w:p w14:paraId="20F1B4B3">
            <w:pPr>
              <w:widowControl/>
              <w:jc w:val="center"/>
              <w:rPr>
                <w:sz w:val="18"/>
                <w:szCs w:val="18"/>
              </w:rPr>
            </w:pPr>
            <w:r>
              <w:rPr>
                <w:rFonts w:hint="eastAsia"/>
                <w:kern w:val="0"/>
                <w:sz w:val="18"/>
                <w:szCs w:val="18"/>
              </w:rPr>
              <w:t xml:space="preserve">0.004 </w:t>
            </w:r>
          </w:p>
        </w:tc>
        <w:tc>
          <w:tcPr>
            <w:tcW w:w="1065" w:type="dxa"/>
            <w:noWrap/>
            <w:vAlign w:val="center"/>
          </w:tcPr>
          <w:p w14:paraId="2764768B">
            <w:pPr>
              <w:widowControl/>
              <w:jc w:val="center"/>
              <w:rPr>
                <w:sz w:val="18"/>
                <w:szCs w:val="18"/>
              </w:rPr>
            </w:pPr>
            <w:r>
              <w:rPr>
                <w:rFonts w:hint="eastAsia"/>
                <w:kern w:val="0"/>
                <w:sz w:val="18"/>
                <w:szCs w:val="18"/>
              </w:rPr>
              <w:t xml:space="preserve">0.010 </w:t>
            </w:r>
          </w:p>
        </w:tc>
        <w:tc>
          <w:tcPr>
            <w:tcW w:w="1065" w:type="dxa"/>
            <w:noWrap/>
            <w:vAlign w:val="center"/>
          </w:tcPr>
          <w:p w14:paraId="128BA77C">
            <w:pPr>
              <w:widowControl/>
              <w:jc w:val="center"/>
              <w:rPr>
                <w:sz w:val="18"/>
                <w:szCs w:val="18"/>
              </w:rPr>
            </w:pPr>
            <w:r>
              <w:rPr>
                <w:rFonts w:hint="eastAsia"/>
                <w:kern w:val="0"/>
                <w:sz w:val="18"/>
                <w:szCs w:val="18"/>
              </w:rPr>
              <w:t xml:space="preserve">0.04 </w:t>
            </w:r>
          </w:p>
        </w:tc>
        <w:tc>
          <w:tcPr>
            <w:tcW w:w="1065" w:type="dxa"/>
            <w:noWrap/>
            <w:vAlign w:val="center"/>
          </w:tcPr>
          <w:p w14:paraId="57BD24F4">
            <w:pPr>
              <w:widowControl/>
              <w:jc w:val="center"/>
              <w:rPr>
                <w:sz w:val="18"/>
                <w:szCs w:val="18"/>
              </w:rPr>
            </w:pPr>
            <w:r>
              <w:rPr>
                <w:rFonts w:hint="eastAsia"/>
                <w:kern w:val="0"/>
                <w:sz w:val="18"/>
                <w:szCs w:val="18"/>
              </w:rPr>
              <w:t xml:space="preserve">0.09 </w:t>
            </w:r>
          </w:p>
        </w:tc>
        <w:tc>
          <w:tcPr>
            <w:tcW w:w="1065" w:type="dxa"/>
            <w:noWrap/>
            <w:vAlign w:val="center"/>
          </w:tcPr>
          <w:p w14:paraId="5E1B5613">
            <w:pPr>
              <w:widowControl/>
              <w:jc w:val="center"/>
              <w:rPr>
                <w:color w:val="FF0000"/>
                <w:sz w:val="18"/>
                <w:szCs w:val="18"/>
              </w:rPr>
            </w:pPr>
            <w:r>
              <w:rPr>
                <w:rFonts w:hint="eastAsia"/>
                <w:color w:val="FF0000"/>
                <w:kern w:val="0"/>
                <w:sz w:val="18"/>
                <w:szCs w:val="18"/>
              </w:rPr>
              <w:t xml:space="preserve">0.12 </w:t>
            </w:r>
          </w:p>
        </w:tc>
        <w:tc>
          <w:tcPr>
            <w:tcW w:w="1065" w:type="dxa"/>
            <w:noWrap/>
            <w:vAlign w:val="center"/>
          </w:tcPr>
          <w:p w14:paraId="545BD31D">
            <w:pPr>
              <w:widowControl/>
              <w:jc w:val="center"/>
              <w:rPr>
                <w:color w:val="FF0000"/>
                <w:kern w:val="0"/>
                <w:sz w:val="18"/>
                <w:szCs w:val="18"/>
              </w:rPr>
            </w:pPr>
            <w:r>
              <w:rPr>
                <w:rFonts w:hint="eastAsia"/>
                <w:color w:val="FF0000"/>
                <w:kern w:val="0"/>
                <w:sz w:val="18"/>
                <w:szCs w:val="18"/>
              </w:rPr>
              <w:t xml:space="preserve">0.09 </w:t>
            </w:r>
          </w:p>
        </w:tc>
        <w:tc>
          <w:tcPr>
            <w:tcW w:w="1065" w:type="dxa"/>
            <w:noWrap/>
            <w:vAlign w:val="center"/>
          </w:tcPr>
          <w:p w14:paraId="5A3EEEAA">
            <w:pPr>
              <w:widowControl/>
              <w:jc w:val="center"/>
              <w:rPr>
                <w:color w:val="FF0000"/>
                <w:kern w:val="0"/>
                <w:sz w:val="18"/>
                <w:szCs w:val="18"/>
              </w:rPr>
            </w:pPr>
            <w:r>
              <w:rPr>
                <w:rFonts w:hint="eastAsia"/>
                <w:color w:val="FF0000"/>
                <w:kern w:val="0"/>
                <w:sz w:val="18"/>
                <w:szCs w:val="18"/>
              </w:rPr>
              <w:t xml:space="preserve">0.08 </w:t>
            </w:r>
          </w:p>
        </w:tc>
      </w:tr>
    </w:tbl>
    <w:p w14:paraId="04825909">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 方法2  溴酸钾滴定法</w:t>
      </w:r>
    </w:p>
    <w:p w14:paraId="457AEC0F">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5.1  原理</w:t>
      </w:r>
    </w:p>
    <w:p w14:paraId="74B0F2A0">
      <w:pPr>
        <w:ind w:firstLine="420" w:firstLineChars="200"/>
        <w:rPr>
          <w:rFonts w:hint="eastAsia" w:ascii="宋体" w:hAnsi="宋体"/>
          <w:bCs/>
          <w:szCs w:val="21"/>
        </w:rPr>
      </w:pPr>
      <w:r>
        <w:rPr>
          <w:rFonts w:hint="eastAsia"/>
          <w:szCs w:val="21"/>
        </w:rPr>
        <w:t>试料经氯酸钾</w:t>
      </w:r>
      <w:r>
        <w:rPr>
          <w:rFonts w:hint="eastAsia"/>
          <w:szCs w:val="21"/>
          <w:lang w:val="en-US" w:eastAsia="zh-CN"/>
        </w:rPr>
        <w:t>-</w:t>
      </w:r>
      <w:r>
        <w:rPr>
          <w:rFonts w:hint="eastAsia"/>
          <w:szCs w:val="21"/>
        </w:rPr>
        <w:t>硝酸溶液、氟化氢铵、硫酸分解。</w:t>
      </w:r>
      <w:r>
        <w:rPr>
          <w:rFonts w:hint="eastAsia" w:ascii="宋体" w:hAnsi="宋体" w:cs="宋体"/>
          <w:bCs/>
          <w:szCs w:val="21"/>
        </w:rPr>
        <w:t xml:space="preserve">在6 </w:t>
      </w:r>
      <w:r>
        <w:rPr>
          <w:rFonts w:hint="eastAsia"/>
          <w:szCs w:val="21"/>
        </w:rPr>
        <w:t>mol/L</w:t>
      </w:r>
      <w:r>
        <w:rPr>
          <w:rFonts w:hint="eastAsia" w:ascii="宋体" w:hAnsi="宋体" w:cs="宋体"/>
          <w:bCs/>
          <w:szCs w:val="21"/>
        </w:rPr>
        <w:t>盐酸介质中，以溴化钾为催化剂，用硫酸联胺将五价砷还原为三价砷，用蒸馏法将三氯化砷与其他元素分离。三氯化砷用水吸收后，以甲基橙作指示剂 ，用溴酸钾标准滴定溶液滴定到红色消失为终点。</w:t>
      </w:r>
    </w:p>
    <w:p w14:paraId="004423BA">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5.2  试剂</w:t>
      </w:r>
    </w:p>
    <w:p w14:paraId="5A7FCDE9">
      <w:pPr>
        <w:ind w:firstLine="420" w:firstLineChars="200"/>
        <w:rPr>
          <w:szCs w:val="21"/>
        </w:rPr>
      </w:pPr>
      <w:r>
        <w:rPr>
          <w:rFonts w:hint="eastAsia"/>
          <w:szCs w:val="21"/>
        </w:rPr>
        <w:t>除非另有说明，在分析中仅使用确认为分析纯的试剂。</w:t>
      </w:r>
    </w:p>
    <w:p w14:paraId="6BAAEF81">
      <w:pPr>
        <w:rPr>
          <w:szCs w:val="21"/>
        </w:rPr>
      </w:pPr>
      <w:r>
        <w:rPr>
          <w:rFonts w:hint="eastAsia" w:ascii="黑体" w:hAnsi="黑体" w:eastAsia="黑体"/>
          <w:szCs w:val="21"/>
        </w:rPr>
        <w:t>5.2.</w:t>
      </w:r>
      <w:r>
        <w:rPr>
          <w:rFonts w:ascii="黑体" w:hAnsi="黑体" w:eastAsia="黑体" w:cs="黑体"/>
          <w:szCs w:val="21"/>
        </w:rPr>
        <w:t>1</w:t>
      </w:r>
      <w:r>
        <w:rPr>
          <w:rFonts w:hint="eastAsia" w:ascii="黑体" w:hAnsi="黑体" w:eastAsia="黑体" w:cs="黑体"/>
          <w:szCs w:val="21"/>
        </w:rPr>
        <w:t xml:space="preserve">  </w:t>
      </w:r>
      <w:r>
        <w:rPr>
          <w:szCs w:val="21"/>
        </w:rPr>
        <w:t>水，GB/T 6682，三级。</w:t>
      </w:r>
    </w:p>
    <w:p w14:paraId="0495A92E">
      <w:pPr>
        <w:rPr>
          <w:szCs w:val="21"/>
        </w:rPr>
      </w:pPr>
      <w:r>
        <w:rPr>
          <w:rFonts w:ascii="黑体" w:hAnsi="黑体" w:eastAsia="黑体"/>
          <w:szCs w:val="21"/>
        </w:rPr>
        <w:t>5.</w:t>
      </w:r>
      <w:r>
        <w:rPr>
          <w:rFonts w:hint="eastAsia" w:ascii="黑体" w:hAnsi="黑体" w:eastAsia="黑体"/>
          <w:szCs w:val="21"/>
        </w:rPr>
        <w:t>2.2</w:t>
      </w:r>
      <w:r>
        <w:rPr>
          <w:rFonts w:hint="eastAsia"/>
          <w:szCs w:val="21"/>
        </w:rPr>
        <w:t xml:space="preserve">  溴化钾</w:t>
      </w:r>
      <w:r>
        <w:rPr>
          <w:szCs w:val="21"/>
        </w:rPr>
        <w:t>。</w:t>
      </w:r>
    </w:p>
    <w:p w14:paraId="4E7FC36C">
      <w:pPr>
        <w:rPr>
          <w:szCs w:val="21"/>
        </w:rPr>
      </w:pPr>
      <w:r>
        <w:rPr>
          <w:rFonts w:ascii="黑体" w:hAnsi="黑体" w:eastAsia="黑体"/>
          <w:szCs w:val="21"/>
        </w:rPr>
        <w:t>5.</w:t>
      </w:r>
      <w:r>
        <w:rPr>
          <w:rFonts w:hint="eastAsia" w:ascii="黑体" w:hAnsi="黑体" w:eastAsia="黑体"/>
          <w:szCs w:val="21"/>
        </w:rPr>
        <w:t xml:space="preserve">2.3 </w:t>
      </w:r>
      <w:r>
        <w:rPr>
          <w:rFonts w:hint="eastAsia"/>
          <w:szCs w:val="21"/>
        </w:rPr>
        <w:t xml:space="preserve"> 硫酸联胺</w:t>
      </w:r>
      <w:r>
        <w:rPr>
          <w:szCs w:val="21"/>
        </w:rPr>
        <w:t>。</w:t>
      </w:r>
    </w:p>
    <w:p w14:paraId="63803928">
      <w:pPr>
        <w:rPr>
          <w:szCs w:val="21"/>
        </w:rPr>
      </w:pPr>
      <w:r>
        <w:rPr>
          <w:rFonts w:ascii="黑体" w:hAnsi="黑体" w:eastAsia="黑体"/>
          <w:szCs w:val="21"/>
        </w:rPr>
        <w:t>5.</w:t>
      </w:r>
      <w:r>
        <w:rPr>
          <w:rFonts w:hint="eastAsia" w:ascii="黑体" w:hAnsi="黑体" w:eastAsia="黑体"/>
          <w:szCs w:val="21"/>
        </w:rPr>
        <w:t>2.4</w:t>
      </w:r>
      <w:r>
        <w:rPr>
          <w:rFonts w:ascii="黑体" w:hAnsi="黑体" w:eastAsia="黑体"/>
          <w:szCs w:val="21"/>
        </w:rPr>
        <w:t xml:space="preserve"> </w:t>
      </w:r>
      <w:r>
        <w:rPr>
          <w:rFonts w:hint="eastAsia"/>
          <w:szCs w:val="21"/>
        </w:rPr>
        <w:t xml:space="preserve"> 盐酸</w:t>
      </w:r>
      <w:r>
        <w:rPr>
          <w:szCs w:val="21"/>
        </w:rPr>
        <w:t>（</w:t>
      </w:r>
      <w:r>
        <w:rPr>
          <w:i/>
          <w:iCs/>
          <w:szCs w:val="21"/>
        </w:rPr>
        <w:t>ρ</w:t>
      </w:r>
      <w:r>
        <w:rPr>
          <w:rFonts w:hint="eastAsia"/>
          <w:szCs w:val="21"/>
        </w:rPr>
        <w:t xml:space="preserve">= </w:t>
      </w:r>
      <w:r>
        <w:rPr>
          <w:szCs w:val="21"/>
        </w:rPr>
        <w:t>1.</w:t>
      </w:r>
      <w:r>
        <w:rPr>
          <w:rFonts w:hint="eastAsia"/>
          <w:szCs w:val="21"/>
        </w:rPr>
        <w:t xml:space="preserve">19 </w:t>
      </w:r>
      <w:r>
        <w:rPr>
          <w:szCs w:val="21"/>
        </w:rPr>
        <w:t>g/mL）</w:t>
      </w:r>
      <w:r>
        <w:rPr>
          <w:rFonts w:hint="eastAsia"/>
          <w:szCs w:val="21"/>
        </w:rPr>
        <w:t>。</w:t>
      </w:r>
    </w:p>
    <w:p w14:paraId="1C06A272">
      <w:pPr>
        <w:rPr>
          <w:szCs w:val="21"/>
        </w:rPr>
      </w:pPr>
      <w:r>
        <w:rPr>
          <w:rFonts w:ascii="黑体" w:hAnsi="黑体" w:eastAsia="黑体"/>
          <w:szCs w:val="21"/>
        </w:rPr>
        <w:t>5.</w:t>
      </w:r>
      <w:r>
        <w:rPr>
          <w:rFonts w:hint="eastAsia" w:ascii="黑体" w:hAnsi="黑体" w:eastAsia="黑体"/>
          <w:szCs w:val="21"/>
        </w:rPr>
        <w:t>2.5</w:t>
      </w:r>
      <w:r>
        <w:rPr>
          <w:rFonts w:ascii="黑体" w:hAnsi="黑体" w:eastAsia="黑体"/>
          <w:szCs w:val="21"/>
        </w:rPr>
        <w:t xml:space="preserve"> </w:t>
      </w:r>
      <w:r>
        <w:rPr>
          <w:rFonts w:hint="eastAsia"/>
          <w:szCs w:val="21"/>
        </w:rPr>
        <w:t xml:space="preserve"> 硫酸</w:t>
      </w:r>
      <w:r>
        <w:rPr>
          <w:szCs w:val="21"/>
        </w:rPr>
        <w:t>（1+1）。</w:t>
      </w:r>
    </w:p>
    <w:p w14:paraId="2CC2FD7D">
      <w:pPr>
        <w:rPr>
          <w:szCs w:val="21"/>
        </w:rPr>
      </w:pPr>
      <w:r>
        <w:rPr>
          <w:rFonts w:ascii="黑体" w:hAnsi="黑体" w:eastAsia="黑体"/>
          <w:szCs w:val="21"/>
        </w:rPr>
        <w:t>5.2.</w:t>
      </w:r>
      <w:r>
        <w:rPr>
          <w:rFonts w:hint="eastAsia" w:ascii="黑体" w:hAnsi="黑体" w:eastAsia="黑体"/>
          <w:szCs w:val="21"/>
        </w:rPr>
        <w:t>6</w:t>
      </w:r>
      <w:r>
        <w:rPr>
          <w:rFonts w:ascii="黑体" w:hAnsi="黑体" w:eastAsia="黑体"/>
          <w:szCs w:val="21"/>
        </w:rPr>
        <w:t xml:space="preserve"> </w:t>
      </w:r>
      <w:r>
        <w:rPr>
          <w:rFonts w:hint="eastAsia"/>
          <w:szCs w:val="21"/>
        </w:rPr>
        <w:t xml:space="preserve"> 盐酸（1+1）。</w:t>
      </w:r>
    </w:p>
    <w:p w14:paraId="15A4CB2E">
      <w:pPr>
        <w:rPr>
          <w:szCs w:val="21"/>
        </w:rPr>
      </w:pPr>
      <w:r>
        <w:rPr>
          <w:rFonts w:hint="eastAsia" w:ascii="黑体" w:hAnsi="黑体" w:eastAsia="黑体"/>
          <w:szCs w:val="21"/>
        </w:rPr>
        <w:t>5.2.7</w:t>
      </w:r>
      <w:r>
        <w:rPr>
          <w:rFonts w:ascii="黑体" w:hAnsi="黑体" w:eastAsia="黑体"/>
          <w:szCs w:val="21"/>
        </w:rPr>
        <w:t xml:space="preserve"> </w:t>
      </w:r>
      <w:r>
        <w:rPr>
          <w:rFonts w:hint="eastAsia"/>
          <w:szCs w:val="21"/>
        </w:rPr>
        <w:t xml:space="preserve"> 氟化氢铵溶液（300 g/L）</w:t>
      </w:r>
      <w:r>
        <w:rPr>
          <w:szCs w:val="21"/>
        </w:rPr>
        <w:t>。</w:t>
      </w:r>
    </w:p>
    <w:p w14:paraId="05F51580">
      <w:pPr>
        <w:widowControl/>
        <w:adjustRightInd w:val="0"/>
        <w:snapToGrid w:val="0"/>
        <w:rPr>
          <w:szCs w:val="21"/>
        </w:rPr>
      </w:pPr>
      <w:r>
        <w:rPr>
          <w:rFonts w:hint="eastAsia" w:ascii="黑体" w:hAnsi="黑体" w:eastAsia="黑体"/>
          <w:szCs w:val="21"/>
        </w:rPr>
        <w:t xml:space="preserve">5.2.8 </w:t>
      </w:r>
      <w:r>
        <w:rPr>
          <w:rFonts w:hint="eastAsia"/>
          <w:szCs w:val="21"/>
        </w:rPr>
        <w:t xml:space="preserve"> 氯酸钾</w:t>
      </w:r>
      <w:r>
        <w:rPr>
          <w:rFonts w:hint="eastAsia"/>
          <w:szCs w:val="21"/>
          <w:lang w:val="en-US" w:eastAsia="zh-CN"/>
        </w:rPr>
        <w:t>-</w:t>
      </w:r>
      <w:r>
        <w:rPr>
          <w:rFonts w:hint="eastAsia"/>
          <w:szCs w:val="21"/>
        </w:rPr>
        <w:t>硝酸溶液（80 g/L）：称取40 g氯酸钾用300 mL硝酸（</w:t>
      </w:r>
      <w:r>
        <w:rPr>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rPr>
        <w:t>）溶解，再用硝酸（</w:t>
      </w:r>
      <w:r>
        <w:rPr>
          <w:i/>
          <w:iCs/>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rPr>
        <w:t>）稀释至500 mL，混匀。</w:t>
      </w:r>
    </w:p>
    <w:p w14:paraId="4D58BB77">
      <w:pPr>
        <w:rPr>
          <w:szCs w:val="21"/>
        </w:rPr>
      </w:pPr>
      <w:r>
        <w:rPr>
          <w:rFonts w:hint="eastAsia" w:ascii="黑体" w:hAnsi="黑体" w:eastAsia="黑体"/>
          <w:szCs w:val="21"/>
        </w:rPr>
        <w:t>5.2.9</w:t>
      </w:r>
      <w:r>
        <w:rPr>
          <w:rFonts w:hint="eastAsia"/>
          <w:szCs w:val="21"/>
        </w:rPr>
        <w:t xml:space="preserve">  砷标准溶液：称取</w:t>
      </w:r>
      <w:r>
        <w:rPr>
          <w:rFonts w:hint="eastAsia" w:ascii="Times New Roman" w:hAnsi="Times New Roman" w:cs="Times New Roman"/>
          <w:bCs/>
          <w:szCs w:val="21"/>
        </w:rPr>
        <w:t>0.2641</w:t>
      </w:r>
      <w:r>
        <w:rPr>
          <w:rFonts w:hint="eastAsia"/>
          <w:szCs w:val="21"/>
        </w:rPr>
        <w:t xml:space="preserve"> g基准三氧化二砷（预先经 100 ℃ ～ 105 ℃烘1 h，置于干燥器中冷却至室温），置于250 mL烧杯中，加入10 mL氢氧化钠溶液（2</w:t>
      </w:r>
      <w:r>
        <w:rPr>
          <w:szCs w:val="21"/>
        </w:rPr>
        <w:t>00</w:t>
      </w:r>
      <w:r>
        <w:rPr>
          <w:rFonts w:hint="eastAsia"/>
          <w:szCs w:val="21"/>
        </w:rPr>
        <w:t xml:space="preserve"> </w:t>
      </w:r>
      <w:r>
        <w:rPr>
          <w:szCs w:val="21"/>
        </w:rPr>
        <w:t>g/L</w:t>
      </w:r>
      <w:r>
        <w:rPr>
          <w:rFonts w:hint="eastAsia"/>
          <w:szCs w:val="21"/>
        </w:rPr>
        <w:t xml:space="preserve">），低温加热至完全溶解，加入50 mL水， 2滴酚酞乙醇溶液（1 g/L），用盐酸（5.2.4）中和至红色刚褪并过量2滴，移入1 000 mL容量瓶中，用水稀释至刻度，混匀，1 mL含此溶液0.2 </w:t>
      </w:r>
      <w:r>
        <w:rPr>
          <w:szCs w:val="21"/>
        </w:rPr>
        <w:t>m</w:t>
      </w:r>
      <w:r>
        <w:rPr>
          <w:rFonts w:hint="eastAsia"/>
          <w:szCs w:val="21"/>
        </w:rPr>
        <w:t>g砷。</w:t>
      </w:r>
    </w:p>
    <w:p w14:paraId="506A95C0">
      <w:pPr>
        <w:rPr>
          <w:szCs w:val="21"/>
        </w:rPr>
      </w:pPr>
      <w:r>
        <w:rPr>
          <w:rFonts w:hint="eastAsia" w:ascii="黑体" w:hAnsi="黑体" w:eastAsia="黑体"/>
          <w:szCs w:val="21"/>
        </w:rPr>
        <w:t xml:space="preserve">5.2.10 </w:t>
      </w:r>
      <w:r>
        <w:rPr>
          <w:rFonts w:hint="eastAsia"/>
          <w:szCs w:val="21"/>
        </w:rPr>
        <w:t xml:space="preserve"> 溴酸钾标准滴定溶液[</w:t>
      </w:r>
      <m:oMath>
        <m:sSub>
          <m:sSubPr>
            <m:ctrlPr>
              <w:rPr>
                <w:rFonts w:ascii="Cambria Math" w:hAnsi="Cambria Math"/>
                <w:i w:val="0"/>
                <w:iCs/>
                <w:kern w:val="0"/>
                <w:szCs w:val="22"/>
              </w:rPr>
            </m:ctrlPr>
          </m:sSubPr>
          <m:e>
            <m:r>
              <m:rPr/>
              <w:rPr>
                <w:rFonts w:hint="default" w:ascii="Cambria Math" w:hAnsi="Cambria Math"/>
                <w:kern w:val="0"/>
                <w:szCs w:val="22"/>
                <w:lang w:val="en-US" w:eastAsia="zh-CN"/>
              </w:rPr>
              <m:t>c</m:t>
            </m:r>
            <m:ctrlPr>
              <w:rPr>
                <w:rFonts w:ascii="Cambria Math" w:hAnsi="Cambria Math"/>
                <w:i w:val="0"/>
                <w:iCs/>
                <w:kern w:val="0"/>
                <w:szCs w:val="22"/>
              </w:rPr>
            </m:ctrlPr>
          </m:e>
          <m:sub>
            <m:r>
              <m:rPr>
                <m:sty m:val="p"/>
              </m:rPr>
              <w:rPr>
                <w:rFonts w:hint="default" w:ascii="Cambria Math" w:hAnsi="Cambria Math"/>
                <w:kern w:val="0"/>
                <w:szCs w:val="22"/>
                <w:lang w:val="en-US" w:eastAsia="zh-CN"/>
              </w:rPr>
              <m:t>1/6KBr</m:t>
            </m:r>
            <m:sSub>
              <m:sSubPr>
                <m:ctrlPr>
                  <w:rPr>
                    <w:rFonts w:hint="default" w:ascii="Cambria Math" w:hAnsi="Cambria Math"/>
                    <w:i w:val="0"/>
                    <w:iCs/>
                    <w:kern w:val="0"/>
                    <w:szCs w:val="22"/>
                    <w:lang w:val="en-US" w:eastAsia="zh-CN"/>
                  </w:rPr>
                </m:ctrlPr>
              </m:sSubPr>
              <m:e>
                <m:r>
                  <m:rPr>
                    <m:sty m:val="p"/>
                  </m:rPr>
                  <w:rPr>
                    <w:rFonts w:hint="default" w:ascii="Cambria Math" w:hAnsi="Cambria Math"/>
                    <w:kern w:val="0"/>
                    <w:szCs w:val="22"/>
                    <w:lang w:val="en-US" w:eastAsia="zh-CN"/>
                  </w:rPr>
                  <m:t>O</m:t>
                </m:r>
                <m:ctrlPr>
                  <w:rPr>
                    <w:rFonts w:hint="default" w:ascii="Cambria Math" w:hAnsi="Cambria Math"/>
                    <w:i w:val="0"/>
                    <w:iCs/>
                    <w:kern w:val="0"/>
                    <w:szCs w:val="22"/>
                    <w:lang w:val="en-US" w:eastAsia="zh-CN"/>
                  </w:rPr>
                </m:ctrlPr>
              </m:e>
              <m:sub>
                <m:r>
                  <m:rPr>
                    <m:sty m:val="p"/>
                  </m:rPr>
                  <w:rPr>
                    <w:rFonts w:hint="default" w:ascii="Cambria Math" w:hAnsi="Cambria Math"/>
                    <w:kern w:val="0"/>
                    <w:szCs w:val="22"/>
                    <w:lang w:val="en-US" w:eastAsia="zh-CN"/>
                  </w:rPr>
                  <m:t>3</m:t>
                </m:r>
                <m:ctrlPr>
                  <w:rPr>
                    <w:rFonts w:hint="default" w:ascii="Cambria Math" w:hAnsi="Cambria Math"/>
                    <w:i w:val="0"/>
                    <w:iCs/>
                    <w:kern w:val="0"/>
                    <w:szCs w:val="22"/>
                    <w:lang w:val="en-US" w:eastAsia="zh-CN"/>
                  </w:rPr>
                </m:ctrlPr>
              </m:sub>
            </m:sSub>
            <m:ctrlPr>
              <w:rPr>
                <w:rFonts w:ascii="Cambria Math" w:hAnsi="Cambria Math"/>
                <w:i w:val="0"/>
                <w:iCs/>
                <w:kern w:val="0"/>
                <w:szCs w:val="22"/>
              </w:rPr>
            </m:ctrlPr>
          </m:sub>
        </m:sSub>
      </m:oMath>
      <w:r>
        <w:rPr>
          <w:rFonts w:hint="eastAsia"/>
          <w:szCs w:val="21"/>
        </w:rPr>
        <w:t>≈0.005 mol/L]，按下列步骤进行配制和标定：</w:t>
      </w:r>
    </w:p>
    <w:p w14:paraId="0A1F4122">
      <w:pPr>
        <w:ind w:left="630" w:leftChars="200" w:hanging="210" w:hangingChars="100"/>
        <w:rPr>
          <w:szCs w:val="21"/>
        </w:rPr>
      </w:pPr>
      <w:r>
        <w:rPr>
          <w:rFonts w:hint="eastAsia"/>
          <w:szCs w:val="21"/>
        </w:rPr>
        <w:t>a）配制：称取0.74 g溴酸钾，3.7 g溴化钾（5.2.2）置于250 mL烧杯中，加入少量水，加热溶解，稍冷，移入试剂瓶中，用水稀释至5 L，混匀。</w:t>
      </w:r>
    </w:p>
    <w:p w14:paraId="74BA1278">
      <w:pPr>
        <w:ind w:left="630" w:leftChars="200" w:hanging="210" w:hangingChars="100"/>
        <w:rPr>
          <w:bCs/>
          <w:szCs w:val="21"/>
        </w:rPr>
      </w:pPr>
      <w:r>
        <w:rPr>
          <w:rFonts w:hint="eastAsia"/>
          <w:szCs w:val="21"/>
        </w:rPr>
        <w:t>b）标定：</w:t>
      </w:r>
      <w:r>
        <w:rPr>
          <w:rFonts w:hint="eastAsia"/>
          <w:bCs/>
          <w:szCs w:val="21"/>
        </w:rPr>
        <w:t>移取三份</w:t>
      </w:r>
      <w:r>
        <w:rPr>
          <w:bCs/>
          <w:szCs w:val="21"/>
        </w:rPr>
        <w:t>20.00</w:t>
      </w:r>
      <w:r>
        <w:rPr>
          <w:rFonts w:hint="eastAsia"/>
          <w:bCs/>
          <w:szCs w:val="21"/>
        </w:rPr>
        <w:t xml:space="preserve"> </w:t>
      </w:r>
      <w:r>
        <w:rPr>
          <w:bCs/>
          <w:szCs w:val="21"/>
        </w:rPr>
        <w:t>mL</w:t>
      </w:r>
      <w:r>
        <w:rPr>
          <w:rFonts w:hint="eastAsia"/>
          <w:bCs/>
          <w:szCs w:val="21"/>
        </w:rPr>
        <w:t>砷标准溶液（5.2.9），分别置于</w:t>
      </w:r>
      <w:r>
        <w:rPr>
          <w:bCs/>
          <w:szCs w:val="21"/>
        </w:rPr>
        <w:t>250</w:t>
      </w:r>
      <w:r>
        <w:rPr>
          <w:rFonts w:hint="eastAsia"/>
          <w:bCs/>
          <w:szCs w:val="21"/>
        </w:rPr>
        <w:t xml:space="preserve"> </w:t>
      </w:r>
      <w:r>
        <w:rPr>
          <w:bCs/>
          <w:szCs w:val="21"/>
        </w:rPr>
        <w:t>mL</w:t>
      </w:r>
      <w:r>
        <w:rPr>
          <w:rFonts w:hint="eastAsia"/>
          <w:bCs/>
          <w:szCs w:val="21"/>
        </w:rPr>
        <w:t>烧杯中，用水稀释至</w:t>
      </w:r>
      <w:r>
        <w:rPr>
          <w:bCs/>
          <w:szCs w:val="21"/>
        </w:rPr>
        <w:t>100</w:t>
      </w:r>
      <w:r>
        <w:rPr>
          <w:rFonts w:hint="eastAsia"/>
          <w:bCs/>
          <w:szCs w:val="21"/>
        </w:rPr>
        <w:t xml:space="preserve"> </w:t>
      </w:r>
      <w:r>
        <w:rPr>
          <w:bCs/>
          <w:szCs w:val="21"/>
        </w:rPr>
        <w:t>mL</w:t>
      </w:r>
      <w:r>
        <w:rPr>
          <w:rFonts w:hint="eastAsia"/>
          <w:bCs/>
          <w:szCs w:val="21"/>
        </w:rPr>
        <w:t>，加入</w:t>
      </w:r>
      <w:r>
        <w:rPr>
          <w:bCs/>
          <w:szCs w:val="21"/>
        </w:rPr>
        <w:t>15</w:t>
      </w:r>
      <w:r>
        <w:rPr>
          <w:rFonts w:hint="eastAsia"/>
          <w:bCs/>
          <w:szCs w:val="21"/>
        </w:rPr>
        <w:t xml:space="preserve"> </w:t>
      </w:r>
      <w:r>
        <w:rPr>
          <w:bCs/>
          <w:szCs w:val="21"/>
        </w:rPr>
        <w:t>mL</w:t>
      </w:r>
      <w:r>
        <w:rPr>
          <w:rFonts w:hint="eastAsia"/>
          <w:bCs/>
          <w:szCs w:val="21"/>
        </w:rPr>
        <w:t>盐酸（5.2.4），加热至</w:t>
      </w:r>
      <w:r>
        <w:rPr>
          <w:bCs/>
          <w:szCs w:val="21"/>
        </w:rPr>
        <w:t>60</w:t>
      </w:r>
      <w:r>
        <w:rPr>
          <w:rFonts w:hint="default" w:ascii="Times New Roman" w:hAnsi="Times New Roman" w:cs="Times New Roman"/>
          <w:szCs w:val="21"/>
        </w:rPr>
        <w:t xml:space="preserve"> ℃</w:t>
      </w:r>
      <w:r>
        <w:rPr>
          <w:rFonts w:hint="eastAsia"/>
          <w:bCs/>
          <w:szCs w:val="21"/>
        </w:rPr>
        <w:t>，加入</w:t>
      </w:r>
      <w:r>
        <w:rPr>
          <w:bCs/>
          <w:szCs w:val="21"/>
        </w:rPr>
        <w:t>2</w:t>
      </w:r>
      <w:r>
        <w:rPr>
          <w:rFonts w:hint="eastAsia"/>
          <w:bCs/>
          <w:szCs w:val="21"/>
        </w:rPr>
        <w:t>滴甲基橙指示剂（5.2.11），用溴酸钾标准滴定溶液滴定至溶液红色消失为终点。随同标定做空白实验。</w:t>
      </w:r>
    </w:p>
    <w:p w14:paraId="2DF54447">
      <w:pPr>
        <w:ind w:firstLine="420" w:firstLineChars="200"/>
      </w:pPr>
      <w:r>
        <w:t>按</w:t>
      </w:r>
      <w:r>
        <w:rPr>
          <w:rFonts w:hint="eastAsia"/>
        </w:rPr>
        <w:t>公</w:t>
      </w:r>
      <w:r>
        <w:t>式（</w:t>
      </w:r>
      <w:r>
        <w:rPr>
          <w:rFonts w:hint="eastAsia"/>
        </w:rPr>
        <w:t>2</w:t>
      </w:r>
      <w:r>
        <w:t>）计算</w:t>
      </w:r>
      <w:r>
        <w:rPr>
          <w:rFonts w:hint="eastAsia"/>
        </w:rPr>
        <w:t>溴酸钾</w:t>
      </w:r>
      <w:r>
        <w:t>标准</w:t>
      </w:r>
      <w:r>
        <w:rPr>
          <w:rFonts w:hint="eastAsia"/>
        </w:rPr>
        <w:t>滴定</w:t>
      </w:r>
      <w:r>
        <w:t>溶液</w:t>
      </w:r>
      <w:r>
        <w:rPr>
          <w:rFonts w:hint="eastAsia"/>
        </w:rPr>
        <w:t>实际浓度：</w:t>
      </w:r>
    </w:p>
    <w:p w14:paraId="65187ADA">
      <w:pPr>
        <w:ind w:firstLine="420" w:firstLineChars="200"/>
        <w:jc w:val="right"/>
      </w:pPr>
      <w:r>
        <w:rPr>
          <w:rFonts w:hint="eastAsia" w:ascii="宋体" w:hAnsi="宋体" w:cs="宋体"/>
          <w:position w:val="-30"/>
        </w:rPr>
        <w:object>
          <v:shape id="_x0000_i1026" o:spt="75" type="#_x0000_t75" style="height:28.35pt;width:25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14:paraId="5C70EA2B">
      <w:pPr>
        <w:ind w:firstLine="360" w:firstLineChars="200"/>
        <w:jc w:val="left"/>
        <w:rPr>
          <w:position w:val="-30"/>
          <w:szCs w:val="21"/>
        </w:rPr>
      </w:pPr>
      <w:r>
        <w:rPr>
          <w:rFonts w:hint="eastAsia"/>
          <w:position w:val="-30"/>
          <w:sz w:val="18"/>
          <w:szCs w:val="18"/>
        </w:rPr>
        <w:t xml:space="preserve"> </w:t>
      </w:r>
      <w:r>
        <w:rPr>
          <w:rFonts w:hint="eastAsia"/>
          <w:position w:val="-30"/>
          <w:szCs w:val="21"/>
        </w:rPr>
        <w:t>式中：</w:t>
      </w:r>
    </w:p>
    <w:p w14:paraId="0ED0D457">
      <w:pPr>
        <w:ind w:firstLine="420" w:firstLineChars="200"/>
        <w:rPr>
          <w:szCs w:val="21"/>
        </w:rPr>
      </w:pPr>
      <w:r>
        <w:rPr>
          <w:i/>
          <w:szCs w:val="21"/>
        </w:rPr>
        <w:t>c</w:t>
      </w:r>
      <w:r>
        <w:rPr>
          <w:rFonts w:hint="eastAsia"/>
          <w:iCs/>
          <w:szCs w:val="21"/>
          <w:vertAlign w:val="subscript"/>
        </w:rPr>
        <w:t>1</w:t>
      </w:r>
      <w:r>
        <w:rPr>
          <w:szCs w:val="21"/>
        </w:rPr>
        <w:t>——</w:t>
      </w:r>
      <w:r>
        <w:rPr>
          <w:rFonts w:hint="eastAsia"/>
          <w:szCs w:val="21"/>
        </w:rPr>
        <w:t>溴酸钾标准滴定溶液的实际浓度，单位为摩尔每升（</w:t>
      </w:r>
      <w:r>
        <w:rPr>
          <w:szCs w:val="21"/>
        </w:rPr>
        <w:t>mol/L</w:t>
      </w:r>
      <w:r>
        <w:rPr>
          <w:rFonts w:hint="eastAsia"/>
          <w:szCs w:val="21"/>
        </w:rPr>
        <w:t xml:space="preserve">）；                         </w:t>
      </w:r>
    </w:p>
    <w:p w14:paraId="4D767860">
      <w:pPr>
        <w:ind w:firstLine="420" w:firstLineChars="200"/>
        <w:rPr>
          <w:szCs w:val="21"/>
        </w:rPr>
      </w:pPr>
      <w:r>
        <w:rPr>
          <w:i/>
          <w:szCs w:val="21"/>
        </w:rPr>
        <w:t>ρ</w:t>
      </w:r>
      <w:r>
        <w:rPr>
          <w:rFonts w:hint="eastAsia"/>
          <w:iCs/>
          <w:szCs w:val="21"/>
          <w:vertAlign w:val="subscript"/>
        </w:rPr>
        <w:t>2</w:t>
      </w:r>
      <w:r>
        <w:rPr>
          <w:szCs w:val="21"/>
        </w:rPr>
        <w:t>——</w:t>
      </w:r>
      <w:r>
        <w:rPr>
          <w:rFonts w:hint="eastAsia"/>
          <w:szCs w:val="21"/>
        </w:rPr>
        <w:t>砷标准溶液的质量浓度，单位为克每毫升（</w:t>
      </w:r>
      <w:r>
        <w:rPr>
          <w:szCs w:val="21"/>
        </w:rPr>
        <w:t>g/mL</w:t>
      </w:r>
      <w:r>
        <w:rPr>
          <w:rFonts w:hint="eastAsia"/>
          <w:szCs w:val="21"/>
        </w:rPr>
        <w:t>）；</w:t>
      </w:r>
    </w:p>
    <w:p w14:paraId="76113B56">
      <w:pPr>
        <w:ind w:firstLine="420" w:firstLineChars="200"/>
        <w:rPr>
          <w:szCs w:val="21"/>
        </w:rPr>
      </w:pPr>
      <w:r>
        <w:rPr>
          <w:i/>
          <w:szCs w:val="21"/>
        </w:rPr>
        <w:t>V</w:t>
      </w:r>
      <w:r>
        <w:rPr>
          <w:rFonts w:hint="eastAsia"/>
          <w:iCs/>
          <w:szCs w:val="21"/>
          <w:vertAlign w:val="subscript"/>
        </w:rPr>
        <w:t>6</w:t>
      </w:r>
      <w:r>
        <w:rPr>
          <w:szCs w:val="21"/>
        </w:rPr>
        <w:t>——</w:t>
      </w:r>
      <w:r>
        <w:rPr>
          <w:rFonts w:hint="eastAsia"/>
          <w:szCs w:val="21"/>
        </w:rPr>
        <w:t>移取砷标准溶液的体积，单位为毫升（</w:t>
      </w:r>
      <w:r>
        <w:rPr>
          <w:szCs w:val="21"/>
        </w:rPr>
        <w:t>mL</w:t>
      </w:r>
      <w:r>
        <w:rPr>
          <w:rFonts w:hint="eastAsia"/>
          <w:szCs w:val="21"/>
        </w:rPr>
        <w:t>）；</w:t>
      </w:r>
    </w:p>
    <w:p w14:paraId="63D3A263">
      <w:pPr>
        <w:ind w:firstLine="420" w:firstLineChars="200"/>
        <w:rPr>
          <w:szCs w:val="21"/>
        </w:rPr>
      </w:pPr>
      <w:r>
        <w:rPr>
          <w:i/>
          <w:szCs w:val="21"/>
        </w:rPr>
        <w:t>V</w:t>
      </w:r>
      <w:r>
        <w:rPr>
          <w:rFonts w:hint="eastAsia"/>
          <w:iCs/>
          <w:szCs w:val="21"/>
          <w:vertAlign w:val="subscript"/>
        </w:rPr>
        <w:t>5</w:t>
      </w:r>
      <w:r>
        <w:rPr>
          <w:szCs w:val="21"/>
        </w:rPr>
        <w:t>——</w:t>
      </w:r>
      <w:r>
        <w:rPr>
          <w:rFonts w:hint="eastAsia"/>
          <w:szCs w:val="21"/>
        </w:rPr>
        <w:t>标定时滴定砷标准溶液的体积，单位为毫升（</w:t>
      </w:r>
      <w:r>
        <w:rPr>
          <w:szCs w:val="21"/>
        </w:rPr>
        <w:t>mL</w:t>
      </w:r>
      <w:r>
        <w:rPr>
          <w:rFonts w:hint="eastAsia"/>
          <w:szCs w:val="21"/>
        </w:rPr>
        <w:t>）；</w:t>
      </w:r>
    </w:p>
    <w:p w14:paraId="6027FA0B">
      <w:pPr>
        <w:ind w:firstLine="420" w:firstLineChars="200"/>
        <w:rPr>
          <w:szCs w:val="21"/>
        </w:rPr>
      </w:pPr>
      <w:r>
        <w:rPr>
          <w:i/>
          <w:szCs w:val="21"/>
        </w:rPr>
        <w:t>V</w:t>
      </w:r>
      <w:r>
        <w:rPr>
          <w:rFonts w:hint="eastAsia"/>
          <w:iCs/>
          <w:szCs w:val="21"/>
          <w:vertAlign w:val="subscript"/>
        </w:rPr>
        <w:t>4</w:t>
      </w:r>
      <w:r>
        <w:rPr>
          <w:szCs w:val="21"/>
        </w:rPr>
        <w:t>——</w:t>
      </w:r>
      <w:r>
        <w:rPr>
          <w:rFonts w:hint="eastAsia"/>
          <w:szCs w:val="21"/>
        </w:rPr>
        <w:t>标定时滴定空白试液消耗溴酸钾标准滴定溶液的体积，单位为毫升（</w:t>
      </w:r>
      <w:r>
        <w:rPr>
          <w:szCs w:val="21"/>
        </w:rPr>
        <w:t>mL</w:t>
      </w:r>
      <w:r>
        <w:rPr>
          <w:rFonts w:hint="eastAsia"/>
          <w:szCs w:val="21"/>
        </w:rPr>
        <w:t>）；</w:t>
      </w:r>
    </w:p>
    <w:p w14:paraId="53D43CB2">
      <w:pPr>
        <w:ind w:firstLine="420" w:firstLineChars="200"/>
        <w:rPr>
          <w:szCs w:val="21"/>
        </w:rPr>
      </w:pPr>
      <w:r>
        <w:rPr>
          <w:rFonts w:hint="eastAsia"/>
          <w:iCs/>
          <w:szCs w:val="21"/>
        </w:rPr>
        <w:t>37.46</w:t>
      </w:r>
      <w:r>
        <w:rPr>
          <w:szCs w:val="21"/>
        </w:rPr>
        <w:t>——1/2</w:t>
      </w:r>
      <w:r>
        <w:rPr>
          <w:rFonts w:hint="eastAsia"/>
          <w:szCs w:val="21"/>
        </w:rPr>
        <w:t>砷的摩尔质量，单位为克每摩尔（</w:t>
      </w:r>
      <w:r>
        <w:rPr>
          <w:szCs w:val="21"/>
        </w:rPr>
        <w:t>g/mol</w:t>
      </w:r>
      <w:r>
        <w:rPr>
          <w:rFonts w:hint="eastAsia"/>
          <w:szCs w:val="21"/>
        </w:rPr>
        <w:t>）。</w:t>
      </w:r>
    </w:p>
    <w:p w14:paraId="689FA63A">
      <w:pPr>
        <w:ind w:firstLine="420" w:firstLineChars="200"/>
        <w:rPr>
          <w:i/>
          <w:iCs/>
        </w:rPr>
      </w:pPr>
      <w:r>
        <w:rPr>
          <w:rFonts w:hint="eastAsia"/>
          <w:szCs w:val="21"/>
        </w:rPr>
        <w:t>平行标定四份，其极差值不大于</w:t>
      </w:r>
      <w:r>
        <w:rPr>
          <w:szCs w:val="21"/>
        </w:rPr>
        <w:t>1</w:t>
      </w:r>
      <w:r>
        <w:rPr>
          <w:rFonts w:hint="eastAsia"/>
          <w:szCs w:val="21"/>
        </w:rPr>
        <w:t>×</w:t>
      </w:r>
      <w:r>
        <w:rPr>
          <w:szCs w:val="21"/>
        </w:rPr>
        <w:t>10</w:t>
      </w:r>
      <w:r>
        <w:rPr>
          <w:szCs w:val="21"/>
          <w:vertAlign w:val="superscript"/>
        </w:rPr>
        <w:t>-5</w:t>
      </w:r>
      <w:r>
        <w:rPr>
          <w:rFonts w:hint="eastAsia"/>
          <w:szCs w:val="21"/>
        </w:rPr>
        <w:t xml:space="preserve"> </w:t>
      </w:r>
      <w:r>
        <w:rPr>
          <w:szCs w:val="21"/>
        </w:rPr>
        <w:t>mol/L</w:t>
      </w:r>
      <w:r>
        <w:rPr>
          <w:rFonts w:hint="eastAsia"/>
          <w:szCs w:val="21"/>
        </w:rPr>
        <w:t>时，取平均值，</w:t>
      </w:r>
      <w:r>
        <w:rPr>
          <w:rFonts w:hint="eastAsia" w:ascii="宋体" w:hAnsi="宋体"/>
          <w:bCs/>
          <w:iCs/>
          <w:szCs w:val="21"/>
        </w:rPr>
        <w:t>计算结果保留4位有效数字。</w:t>
      </w:r>
      <w:r>
        <w:rPr>
          <w:rFonts w:hint="eastAsia"/>
          <w:szCs w:val="21"/>
        </w:rPr>
        <w:t>否则，重新标定。</w:t>
      </w:r>
    </w:p>
    <w:p w14:paraId="62A21A05">
      <w:pPr>
        <w:rPr>
          <w:szCs w:val="21"/>
        </w:rPr>
      </w:pPr>
      <w:r>
        <w:rPr>
          <w:rFonts w:hint="eastAsia" w:ascii="黑体" w:hAnsi="黑体" w:eastAsia="黑体"/>
          <w:szCs w:val="21"/>
        </w:rPr>
        <w:t xml:space="preserve">5.2.11 </w:t>
      </w:r>
      <w:r>
        <w:rPr>
          <w:rFonts w:hint="eastAsia"/>
          <w:szCs w:val="21"/>
        </w:rPr>
        <w:t xml:space="preserve"> 甲基橙指示剂（1 g/L）。</w:t>
      </w:r>
    </w:p>
    <w:p w14:paraId="7665003B">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5.3  装置</w:t>
      </w:r>
    </w:p>
    <w:p w14:paraId="1F623013">
      <w:pPr>
        <w:spacing w:after="312" w:afterLines="100"/>
        <w:ind w:firstLine="420" w:firstLineChars="200"/>
        <w:rPr>
          <w:position w:val="-30"/>
          <w:szCs w:val="21"/>
        </w:rPr>
      </w:pPr>
      <w:r>
        <w:rPr>
          <w:rFonts w:hint="eastAsia"/>
        </w:rPr>
        <w:t>蒸馏装置如图1所示。</w:t>
      </w:r>
    </w:p>
    <w:p w14:paraId="06628A22">
      <w:pPr>
        <w:jc w:val="center"/>
        <w:rPr>
          <w:b/>
          <w:bCs/>
          <w:szCs w:val="21"/>
        </w:rPr>
      </w:pPr>
      <w:r>
        <w:rPr>
          <w:rFonts w:hint="eastAsia"/>
          <w:b/>
          <w:bCs/>
          <w:szCs w:val="21"/>
        </w:rPr>
        <w:drawing>
          <wp:inline distT="0" distB="0" distL="114300" distR="114300">
            <wp:extent cx="5006340" cy="3048000"/>
            <wp:effectExtent l="0" t="0" r="3810" b="0"/>
            <wp:docPr id="38" name="图片 38" descr="方法2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方法2截图"/>
                    <pic:cNvPicPr>
                      <a:picLocks noChangeAspect="1"/>
                    </pic:cNvPicPr>
                  </pic:nvPicPr>
                  <pic:blipFill>
                    <a:blip r:embed="rId17"/>
                    <a:stretch>
                      <a:fillRect/>
                    </a:stretch>
                  </pic:blipFill>
                  <pic:spPr>
                    <a:xfrm>
                      <a:off x="0" y="0"/>
                      <a:ext cx="5006340" cy="3048000"/>
                    </a:xfrm>
                    <a:prstGeom prst="rect">
                      <a:avLst/>
                    </a:prstGeom>
                  </pic:spPr>
                </pic:pic>
              </a:graphicData>
            </a:graphic>
          </wp:inline>
        </w:drawing>
      </w:r>
    </w:p>
    <w:p w14:paraId="57721A10">
      <w:pPr>
        <w:ind w:firstLine="0" w:firstLineChars="0"/>
        <w:jc w:val="left"/>
        <w:rPr>
          <w:rFonts w:hint="eastAsia" w:ascii="宋体" w:hAnsi="宋体" w:cs="宋体"/>
          <w:bCs/>
          <w:sz w:val="18"/>
          <w:szCs w:val="18"/>
        </w:rPr>
      </w:pPr>
      <w:r>
        <w:rPr>
          <w:rFonts w:hint="eastAsia" w:ascii="宋体" w:hAnsi="宋体" w:cs="宋体"/>
          <w:bCs/>
          <w:sz w:val="18"/>
          <w:szCs w:val="18"/>
        </w:rPr>
        <w:t>说明：</w:t>
      </w:r>
    </w:p>
    <w:p w14:paraId="3BE9D9BF">
      <w:pPr>
        <w:ind w:firstLine="0" w:firstLineChars="0"/>
        <w:jc w:val="left"/>
        <w:rPr>
          <w:rFonts w:hint="eastAsia" w:ascii="宋体" w:hAnsi="宋体" w:cs="宋体"/>
          <w:bCs/>
          <w:sz w:val="18"/>
          <w:szCs w:val="18"/>
          <w:highlight w:val="none"/>
        </w:rPr>
      </w:pPr>
      <w:r>
        <w:rPr>
          <w:rFonts w:hint="eastAsia"/>
          <w:sz w:val="18"/>
          <w:szCs w:val="18"/>
          <w:highlight w:val="none"/>
        </w:rPr>
        <w:t>1</w:t>
      </w:r>
      <w:r>
        <w:rPr>
          <w:rFonts w:hint="eastAsia" w:ascii="宋体" w:hAnsi="宋体" w:cs="宋体"/>
          <w:bCs/>
          <w:sz w:val="18"/>
          <w:szCs w:val="18"/>
          <w:highlight w:val="none"/>
        </w:rPr>
        <w:t>——电炉（带调压器）；</w:t>
      </w:r>
    </w:p>
    <w:p w14:paraId="7D0A6800">
      <w:pPr>
        <w:ind w:left="0" w:firstLine="0" w:firstLineChars="0"/>
        <w:jc w:val="left"/>
        <w:rPr>
          <w:rFonts w:hint="eastAsia" w:ascii="宋体" w:hAnsi="宋体" w:cs="宋体"/>
          <w:bCs/>
          <w:sz w:val="18"/>
          <w:szCs w:val="18"/>
          <w:highlight w:val="none"/>
        </w:rPr>
      </w:pPr>
      <w:r>
        <w:rPr>
          <w:rFonts w:hint="eastAsia"/>
          <w:sz w:val="18"/>
          <w:szCs w:val="18"/>
          <w:highlight w:val="none"/>
        </w:rPr>
        <w:t>2</w:t>
      </w:r>
      <w:r>
        <w:rPr>
          <w:rFonts w:hint="eastAsia" w:ascii="宋体" w:hAnsi="宋体" w:cs="宋体"/>
          <w:bCs/>
          <w:sz w:val="18"/>
          <w:szCs w:val="18"/>
          <w:highlight w:val="none"/>
        </w:rPr>
        <w:t>——蒸馏器（</w:t>
      </w:r>
      <w:r>
        <w:rPr>
          <w:rFonts w:hint="eastAsia"/>
          <w:sz w:val="18"/>
          <w:szCs w:val="18"/>
          <w:highlight w:val="none"/>
        </w:rPr>
        <w:t>250</w:t>
      </w:r>
      <w:r>
        <w:rPr>
          <w:rFonts w:hint="eastAsia"/>
          <w:sz w:val="18"/>
          <w:szCs w:val="18"/>
          <w:highlight w:val="none"/>
          <w:lang w:val="en-US" w:eastAsia="zh-CN"/>
        </w:rPr>
        <w:t xml:space="preserve"> </w:t>
      </w:r>
      <w:r>
        <w:rPr>
          <w:rFonts w:hint="eastAsia"/>
          <w:sz w:val="18"/>
          <w:szCs w:val="18"/>
          <w:highlight w:val="none"/>
        </w:rPr>
        <w:t>mL</w:t>
      </w:r>
      <w:r>
        <w:rPr>
          <w:rFonts w:hint="eastAsia" w:ascii="宋体" w:hAnsi="宋体" w:cs="宋体"/>
          <w:bCs/>
          <w:sz w:val="18"/>
          <w:szCs w:val="18"/>
          <w:highlight w:val="none"/>
        </w:rPr>
        <w:t>）；</w:t>
      </w:r>
    </w:p>
    <w:p w14:paraId="7C9C0579">
      <w:pPr>
        <w:ind w:left="0" w:firstLine="0" w:firstLineChars="0"/>
        <w:jc w:val="left"/>
        <w:rPr>
          <w:rFonts w:hint="eastAsia" w:ascii="宋体" w:hAnsi="宋体" w:cs="宋体"/>
          <w:bCs/>
          <w:sz w:val="18"/>
          <w:szCs w:val="18"/>
          <w:highlight w:val="none"/>
        </w:rPr>
      </w:pPr>
      <w:r>
        <w:rPr>
          <w:rFonts w:hint="eastAsia"/>
          <w:sz w:val="18"/>
          <w:szCs w:val="18"/>
          <w:highlight w:val="none"/>
        </w:rPr>
        <w:t>3</w:t>
      </w:r>
      <w:r>
        <w:rPr>
          <w:rFonts w:hint="eastAsia" w:ascii="宋体" w:hAnsi="宋体" w:cs="宋体"/>
          <w:bCs/>
          <w:sz w:val="18"/>
          <w:szCs w:val="18"/>
          <w:highlight w:val="none"/>
        </w:rPr>
        <w:t>——水银温度计；</w:t>
      </w:r>
    </w:p>
    <w:p w14:paraId="203D4B32">
      <w:pPr>
        <w:ind w:left="0" w:firstLine="0" w:firstLineChars="0"/>
        <w:jc w:val="left"/>
        <w:rPr>
          <w:rFonts w:hint="eastAsia" w:ascii="宋体" w:hAnsi="宋体" w:cs="宋体"/>
          <w:bCs/>
          <w:sz w:val="18"/>
          <w:szCs w:val="18"/>
          <w:highlight w:val="none"/>
        </w:rPr>
      </w:pPr>
      <w:r>
        <w:rPr>
          <w:rFonts w:hint="eastAsia"/>
          <w:sz w:val="18"/>
          <w:szCs w:val="18"/>
          <w:highlight w:val="none"/>
        </w:rPr>
        <w:t>4</w:t>
      </w:r>
      <w:r>
        <w:rPr>
          <w:rFonts w:hint="eastAsia" w:ascii="宋体" w:hAnsi="宋体" w:cs="宋体"/>
          <w:bCs/>
          <w:sz w:val="18"/>
          <w:szCs w:val="18"/>
          <w:highlight w:val="none"/>
        </w:rPr>
        <w:t>——玻璃导管；</w:t>
      </w:r>
    </w:p>
    <w:p w14:paraId="6F0D8A95">
      <w:pPr>
        <w:ind w:left="0" w:firstLine="0" w:firstLineChars="0"/>
        <w:jc w:val="left"/>
        <w:rPr>
          <w:rFonts w:hint="eastAsia" w:ascii="宋体" w:hAnsi="宋体" w:cs="宋体"/>
          <w:bCs/>
          <w:sz w:val="18"/>
          <w:szCs w:val="18"/>
          <w:highlight w:val="none"/>
        </w:rPr>
      </w:pPr>
      <w:r>
        <w:rPr>
          <w:rFonts w:hint="eastAsia"/>
          <w:sz w:val="18"/>
          <w:szCs w:val="18"/>
          <w:highlight w:val="none"/>
        </w:rPr>
        <w:t>5</w:t>
      </w:r>
      <w:r>
        <w:rPr>
          <w:rFonts w:hint="eastAsia" w:ascii="宋体" w:hAnsi="宋体" w:cs="宋体"/>
          <w:bCs/>
          <w:sz w:val="18"/>
          <w:szCs w:val="18"/>
          <w:highlight w:val="none"/>
        </w:rPr>
        <w:t>——冷凝器（球形）；</w:t>
      </w:r>
    </w:p>
    <w:p w14:paraId="117B8A73">
      <w:pPr>
        <w:ind w:left="0" w:firstLine="0" w:firstLineChars="0"/>
        <w:jc w:val="left"/>
        <w:rPr>
          <w:rFonts w:hint="eastAsia" w:ascii="宋体" w:hAnsi="宋体" w:cs="宋体"/>
          <w:bCs/>
          <w:sz w:val="18"/>
          <w:szCs w:val="18"/>
          <w:highlight w:val="none"/>
        </w:rPr>
      </w:pPr>
      <w:r>
        <w:rPr>
          <w:rFonts w:hint="eastAsia"/>
          <w:sz w:val="18"/>
          <w:szCs w:val="18"/>
          <w:highlight w:val="none"/>
        </w:rPr>
        <w:t>6</w:t>
      </w:r>
      <w:r>
        <w:rPr>
          <w:rFonts w:hint="eastAsia" w:ascii="宋体" w:hAnsi="宋体" w:cs="宋体"/>
          <w:bCs/>
          <w:sz w:val="18"/>
          <w:szCs w:val="18"/>
          <w:highlight w:val="none"/>
        </w:rPr>
        <w:t>——吸收杯（</w:t>
      </w:r>
      <w:r>
        <w:rPr>
          <w:rFonts w:hint="eastAsia"/>
          <w:sz w:val="18"/>
          <w:szCs w:val="18"/>
          <w:highlight w:val="none"/>
        </w:rPr>
        <w:t>250</w:t>
      </w:r>
      <w:r>
        <w:rPr>
          <w:rFonts w:hint="eastAsia"/>
          <w:sz w:val="18"/>
          <w:szCs w:val="18"/>
          <w:highlight w:val="none"/>
          <w:lang w:val="en-US" w:eastAsia="zh-CN"/>
        </w:rPr>
        <w:t xml:space="preserve"> </w:t>
      </w:r>
      <w:r>
        <w:rPr>
          <w:rFonts w:hint="eastAsia"/>
          <w:sz w:val="18"/>
          <w:szCs w:val="18"/>
          <w:highlight w:val="none"/>
        </w:rPr>
        <w:t>mL</w:t>
      </w:r>
      <w:r>
        <w:rPr>
          <w:rFonts w:hint="eastAsia" w:ascii="宋体" w:hAnsi="宋体" w:cs="宋体"/>
          <w:bCs/>
          <w:sz w:val="18"/>
          <w:szCs w:val="18"/>
          <w:highlight w:val="none"/>
        </w:rPr>
        <w:t>）；</w:t>
      </w:r>
    </w:p>
    <w:p w14:paraId="02A099B7">
      <w:pPr>
        <w:ind w:left="0" w:firstLine="0" w:firstLineChars="0"/>
        <w:jc w:val="left"/>
        <w:rPr>
          <w:rFonts w:hint="eastAsia" w:ascii="宋体" w:hAnsi="宋体" w:eastAsia="宋体" w:cs="宋体"/>
          <w:bCs/>
          <w:sz w:val="18"/>
          <w:szCs w:val="18"/>
          <w:highlight w:val="none"/>
          <w:lang w:eastAsia="zh-CN"/>
        </w:rPr>
      </w:pPr>
      <w:r>
        <w:rPr>
          <w:rFonts w:hint="eastAsia"/>
          <w:sz w:val="18"/>
          <w:szCs w:val="18"/>
          <w:highlight w:val="none"/>
        </w:rPr>
        <w:t>7</w:t>
      </w:r>
      <w:r>
        <w:rPr>
          <w:rFonts w:hint="eastAsia" w:ascii="宋体" w:hAnsi="宋体" w:cs="宋体"/>
          <w:bCs/>
          <w:sz w:val="18"/>
          <w:szCs w:val="18"/>
          <w:highlight w:val="none"/>
        </w:rPr>
        <w:t>——玻璃球</w:t>
      </w:r>
      <w:r>
        <w:rPr>
          <w:rFonts w:hint="eastAsia" w:ascii="宋体" w:hAnsi="宋体" w:cs="宋体"/>
          <w:bCs/>
          <w:sz w:val="18"/>
          <w:szCs w:val="18"/>
          <w:highlight w:val="none"/>
          <w:lang w:eastAsia="zh-CN"/>
        </w:rPr>
        <w:t>。</w:t>
      </w:r>
    </w:p>
    <w:p w14:paraId="0A031E03">
      <w:pPr>
        <w:jc w:val="center"/>
        <w:rPr>
          <w:rFonts w:hint="eastAsia" w:ascii="黑体" w:hAnsi="黑体" w:eastAsia="黑体" w:cs="黑体"/>
          <w:bCs/>
          <w:szCs w:val="21"/>
        </w:rPr>
      </w:pPr>
      <w:r>
        <w:rPr>
          <w:rFonts w:hint="eastAsia" w:ascii="黑体" w:hAnsi="黑体" w:eastAsia="黑体" w:cs="黑体"/>
          <w:bCs/>
          <w:szCs w:val="21"/>
        </w:rPr>
        <w:t>图1 蒸馏装置示意图</w:t>
      </w:r>
    </w:p>
    <w:p w14:paraId="6D7F8782">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5.4  样品</w:t>
      </w:r>
    </w:p>
    <w:p w14:paraId="39A8CC3F">
      <w:pPr>
        <w:rPr>
          <w:rFonts w:hint="eastAsia" w:ascii="宋体" w:hAnsi="宋体" w:eastAsia="宋体" w:cs="宋体"/>
          <w:szCs w:val="21"/>
          <w:lang w:eastAsia="zh-CN"/>
        </w:rPr>
      </w:pPr>
      <w:r>
        <w:rPr>
          <w:rFonts w:hint="eastAsia" w:ascii="黑体" w:hAnsi="黑体" w:eastAsia="黑体"/>
          <w:szCs w:val="21"/>
        </w:rPr>
        <w:t>5.4.1</w:t>
      </w:r>
      <w:r>
        <w:rPr>
          <w:rFonts w:hint="eastAsia" w:ascii="宋体" w:hAnsi="宋体" w:cs="宋体"/>
          <w:szCs w:val="21"/>
        </w:rPr>
        <w:t xml:space="preserve">  样品粒度应不大于</w:t>
      </w:r>
      <w:r>
        <w:rPr>
          <w:rFonts w:hint="eastAsia" w:ascii="Times New Roman" w:hAnsi="Times New Roman" w:cs="Times New Roman"/>
          <w:bCs/>
          <w:szCs w:val="21"/>
        </w:rPr>
        <w:t>100</w:t>
      </w:r>
      <w:r>
        <w:rPr>
          <w:rFonts w:hint="eastAsia"/>
          <w:szCs w:val="21"/>
          <w:highlight w:val="none"/>
        </w:rPr>
        <w:t xml:space="preserve"> </w:t>
      </w:r>
      <w:r>
        <w:rPr>
          <w:szCs w:val="21"/>
          <w:highlight w:val="none"/>
        </w:rPr>
        <w:t>μm</w:t>
      </w:r>
      <w:r>
        <w:rPr>
          <w:rFonts w:hint="eastAsia" w:ascii="宋体" w:hAnsi="宋体" w:cs="宋体"/>
          <w:szCs w:val="21"/>
          <w:highlight w:val="none"/>
        </w:rPr>
        <w:t>。</w:t>
      </w:r>
    </w:p>
    <w:p w14:paraId="2430A368">
      <w:pPr>
        <w:rPr>
          <w:szCs w:val="21"/>
        </w:rPr>
      </w:pPr>
      <w:r>
        <w:rPr>
          <w:rFonts w:hint="eastAsia" w:ascii="黑体" w:hAnsi="黑体" w:eastAsia="黑体"/>
          <w:szCs w:val="21"/>
        </w:rPr>
        <w:t>5.4.2</w:t>
      </w:r>
      <w:r>
        <w:rPr>
          <w:rFonts w:hint="eastAsia" w:ascii="宋体" w:hAnsi="宋体" w:cs="宋体"/>
          <w:szCs w:val="21"/>
        </w:rPr>
        <w:t xml:space="preserve">  </w:t>
      </w:r>
      <w:r>
        <w:rPr>
          <w:rFonts w:hint="eastAsia"/>
          <w:szCs w:val="21"/>
        </w:rPr>
        <w:t>样品应在100</w:t>
      </w:r>
      <w:r>
        <w:rPr>
          <w:rFonts w:hint="default" w:ascii="Times New Roman" w:hAnsi="Times New Roman" w:cs="Times New Roman"/>
          <w:szCs w:val="21"/>
        </w:rPr>
        <w:t xml:space="preserve"> ℃～105 ℃</w:t>
      </w:r>
      <w:r>
        <w:rPr>
          <w:rFonts w:hint="eastAsia"/>
          <w:szCs w:val="21"/>
        </w:rPr>
        <w:t>烘1 h</w:t>
      </w:r>
      <w:r>
        <w:rPr>
          <w:rFonts w:hint="eastAsia"/>
          <w:szCs w:val="21"/>
          <w:lang w:eastAsia="zh-CN"/>
        </w:rPr>
        <w:t>，</w:t>
      </w:r>
      <w:r>
        <w:rPr>
          <w:rFonts w:hint="eastAsia"/>
          <w:szCs w:val="21"/>
        </w:rPr>
        <w:t>置于干燥器中冷却至室温。</w:t>
      </w:r>
    </w:p>
    <w:p w14:paraId="6D840497">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5.5  试验步骤</w:t>
      </w:r>
    </w:p>
    <w:p w14:paraId="5EBDFB47">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5.5.1  试料</w:t>
      </w:r>
    </w:p>
    <w:p w14:paraId="34A7FB73">
      <w:pPr>
        <w:ind w:firstLine="420" w:firstLineChars="200"/>
      </w:pPr>
      <w:r>
        <w:rPr>
          <w:rFonts w:hint="eastAsia"/>
        </w:rPr>
        <w:t>按表4称取样品</w:t>
      </w:r>
      <w:r>
        <w:rPr>
          <w:rFonts w:hint="eastAsia"/>
          <w:lang w:eastAsia="zh-CN"/>
        </w:rPr>
        <w:t>（</w:t>
      </w:r>
      <w:r>
        <w:rPr>
          <w:rFonts w:hint="eastAsia"/>
          <w:lang w:val="en-US" w:eastAsia="zh-CN"/>
        </w:rPr>
        <w:t>5.4</w:t>
      </w:r>
      <w:r>
        <w:rPr>
          <w:rFonts w:hint="eastAsia"/>
          <w:lang w:eastAsia="zh-CN"/>
        </w:rPr>
        <w:t>）</w:t>
      </w:r>
      <w:r>
        <w:rPr>
          <w:rFonts w:hint="eastAsia"/>
        </w:rPr>
        <w:t>，精确至0.0001 g。</w:t>
      </w:r>
    </w:p>
    <w:p w14:paraId="6F9225D4">
      <w:pPr>
        <w:widowControl/>
        <w:adjustRightInd w:val="0"/>
        <w:snapToGrid w:val="0"/>
        <w:spacing w:before="156" w:beforeLines="50" w:after="156" w:afterLines="50"/>
        <w:ind w:firstLine="420"/>
        <w:jc w:val="center"/>
        <w:rPr>
          <w:rFonts w:hint="eastAsia" w:ascii="黑体" w:hAnsi="黑体" w:eastAsia="黑体" w:cs="黑体"/>
          <w:szCs w:val="21"/>
        </w:rPr>
      </w:pPr>
      <w:r>
        <w:rPr>
          <w:rFonts w:hint="eastAsia" w:ascii="黑体" w:hAnsi="黑体" w:eastAsia="黑体" w:cs="黑体"/>
          <w:szCs w:val="21"/>
        </w:rPr>
        <w:t>表 4 试料量</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4C3AF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1" w:type="dxa"/>
            <w:noWrap/>
          </w:tcPr>
          <w:p w14:paraId="7D0173B6">
            <w:pPr>
              <w:ind w:firstLine="420"/>
              <w:jc w:val="center"/>
              <w:rPr>
                <w:rFonts w:hint="eastAsia" w:ascii="宋体" w:hAnsi="宋体" w:cs="宋体"/>
                <w:bCs/>
                <w:sz w:val="18"/>
                <w:szCs w:val="18"/>
                <w:highlight w:val="none"/>
              </w:rPr>
            </w:pPr>
            <w:r>
              <w:rPr>
                <w:rFonts w:hint="eastAsia" w:ascii="宋体" w:hAnsi="宋体" w:cs="宋体"/>
                <w:bCs/>
                <w:sz w:val="18"/>
                <w:szCs w:val="18"/>
                <w:highlight w:val="none"/>
              </w:rPr>
              <w:t>砷的质量分数</w:t>
            </w:r>
          </w:p>
          <w:p w14:paraId="496B45D4">
            <w:pPr>
              <w:ind w:firstLine="420"/>
              <w:jc w:val="center"/>
              <w:rPr>
                <w:rFonts w:hint="eastAsia" w:ascii="宋体" w:hAnsi="宋体" w:cs="宋体"/>
                <w:bCs/>
                <w:sz w:val="18"/>
                <w:szCs w:val="18"/>
                <w:highlight w:val="none"/>
              </w:rPr>
            </w:pPr>
            <w:r>
              <w:rPr>
                <w:rFonts w:hint="eastAsia" w:ascii="Times New Roman" w:hAnsi="Times New Roman" w:cs="Times New Roman"/>
                <w:bCs/>
                <w:sz w:val="18"/>
                <w:szCs w:val="18"/>
                <w:highlight w:val="none"/>
              </w:rPr>
              <w:t>%</w:t>
            </w:r>
          </w:p>
        </w:tc>
        <w:tc>
          <w:tcPr>
            <w:tcW w:w="4261" w:type="dxa"/>
            <w:noWrap/>
          </w:tcPr>
          <w:p w14:paraId="25641DEA">
            <w:pPr>
              <w:ind w:firstLine="412"/>
              <w:jc w:val="center"/>
              <w:rPr>
                <w:rFonts w:hint="eastAsia" w:ascii="宋体" w:hAnsi="宋体" w:cs="宋体"/>
                <w:color w:val="000000"/>
                <w:spacing w:val="-2"/>
                <w:sz w:val="18"/>
                <w:szCs w:val="18"/>
                <w:highlight w:val="none"/>
                <w:lang w:bidi="he-IL"/>
              </w:rPr>
            </w:pPr>
            <w:r>
              <w:rPr>
                <w:rFonts w:hint="eastAsia" w:ascii="宋体" w:hAnsi="宋体" w:cs="宋体"/>
                <w:color w:val="000000"/>
                <w:spacing w:val="-2"/>
                <w:sz w:val="18"/>
                <w:szCs w:val="18"/>
                <w:highlight w:val="none"/>
                <w:lang w:bidi="he-IL"/>
              </w:rPr>
              <w:t>试料量</w:t>
            </w:r>
          </w:p>
          <w:p w14:paraId="44BE3BE0">
            <w:pPr>
              <w:ind w:firstLine="412"/>
              <w:jc w:val="center"/>
              <w:rPr>
                <w:rFonts w:hint="eastAsia" w:ascii="宋体" w:hAnsi="宋体" w:cs="宋体"/>
                <w:bCs/>
                <w:sz w:val="18"/>
                <w:szCs w:val="18"/>
                <w:highlight w:val="none"/>
              </w:rPr>
            </w:pPr>
            <w:r>
              <w:rPr>
                <w:rFonts w:hint="eastAsia" w:ascii="Times New Roman" w:hAnsi="Times New Roman" w:cs="Times New Roman"/>
                <w:bCs/>
                <w:sz w:val="18"/>
                <w:szCs w:val="18"/>
                <w:highlight w:val="none"/>
              </w:rPr>
              <w:t>g</w:t>
            </w:r>
          </w:p>
        </w:tc>
      </w:tr>
      <w:tr w14:paraId="78310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tcPr>
          <w:p w14:paraId="7A6C9B09">
            <w:pPr>
              <w:ind w:firstLine="420"/>
              <w:jc w:val="center"/>
              <w:rPr>
                <w:rFonts w:hint="eastAsia" w:ascii="Times New Roman" w:hAnsi="Times New Roman" w:cs="Times New Roman"/>
                <w:bCs/>
                <w:sz w:val="18"/>
                <w:szCs w:val="18"/>
                <w:highlight w:val="none"/>
              </w:rPr>
            </w:pPr>
            <w:r>
              <w:rPr>
                <w:rFonts w:hint="eastAsia" w:ascii="Times New Roman" w:hAnsi="Times New Roman" w:cs="Times New Roman"/>
                <w:bCs/>
                <w:sz w:val="18"/>
                <w:szCs w:val="18"/>
                <w:highlight w:val="none"/>
              </w:rPr>
              <w:t>0.10</w:t>
            </w:r>
            <w:r>
              <w:rPr>
                <w:rFonts w:hint="default" w:ascii="Times New Roman" w:hAnsi="Times New Roman" w:cs="Times New Roman"/>
                <w:bCs/>
                <w:sz w:val="18"/>
                <w:szCs w:val="18"/>
                <w:highlight w:val="none"/>
              </w:rPr>
              <w:t>～</w:t>
            </w:r>
            <w:r>
              <w:rPr>
                <w:rFonts w:hint="eastAsia" w:ascii="Times New Roman" w:hAnsi="Times New Roman" w:cs="Times New Roman"/>
                <w:bCs/>
                <w:sz w:val="18"/>
                <w:szCs w:val="18"/>
                <w:highlight w:val="none"/>
              </w:rPr>
              <w:t>1.00</w:t>
            </w:r>
          </w:p>
        </w:tc>
        <w:tc>
          <w:tcPr>
            <w:tcW w:w="4261" w:type="dxa"/>
            <w:noWrap/>
          </w:tcPr>
          <w:p w14:paraId="3AE24088">
            <w:pPr>
              <w:ind w:firstLine="420"/>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0.50</w:t>
            </w:r>
          </w:p>
        </w:tc>
      </w:tr>
      <w:tr w14:paraId="5ACF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tcPr>
          <w:p w14:paraId="4962ED0D">
            <w:pPr>
              <w:ind w:firstLine="420"/>
              <w:jc w:val="center"/>
              <w:rPr>
                <w:rFonts w:hint="eastAsia" w:ascii="Times New Roman" w:hAnsi="Times New Roman" w:cs="Times New Roman"/>
                <w:bCs/>
                <w:sz w:val="18"/>
                <w:szCs w:val="18"/>
                <w:highlight w:val="none"/>
              </w:rPr>
            </w:pPr>
            <w:r>
              <w:rPr>
                <w:rFonts w:hint="eastAsia" w:ascii="Times New Roman" w:hAnsi="Times New Roman" w:cs="Times New Roman"/>
                <w:bCs/>
                <w:sz w:val="18"/>
                <w:szCs w:val="18"/>
                <w:highlight w:val="none"/>
              </w:rPr>
              <w:t>＞</w:t>
            </w:r>
            <w:r>
              <w:rPr>
                <w:rFonts w:hint="default" w:ascii="Times New Roman" w:hAnsi="Times New Roman" w:cs="Times New Roman"/>
                <w:bCs/>
                <w:sz w:val="18"/>
                <w:szCs w:val="18"/>
                <w:highlight w:val="none"/>
              </w:rPr>
              <w:t>1.00～2.50</w:t>
            </w:r>
          </w:p>
        </w:tc>
        <w:tc>
          <w:tcPr>
            <w:tcW w:w="4261" w:type="dxa"/>
            <w:noWrap/>
          </w:tcPr>
          <w:p w14:paraId="3D584420">
            <w:pPr>
              <w:ind w:firstLine="420"/>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0.20</w:t>
            </w:r>
          </w:p>
        </w:tc>
      </w:tr>
      <w:tr w14:paraId="42072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tcPr>
          <w:p w14:paraId="2BFF329F">
            <w:pPr>
              <w:ind w:firstLine="420"/>
              <w:jc w:val="center"/>
              <w:rPr>
                <w:rFonts w:hint="eastAsia" w:ascii="Times New Roman" w:hAnsi="Times New Roman" w:cs="Times New Roman"/>
                <w:bCs/>
                <w:sz w:val="18"/>
                <w:szCs w:val="18"/>
                <w:highlight w:val="none"/>
              </w:rPr>
            </w:pPr>
            <w:r>
              <w:rPr>
                <w:rFonts w:hint="eastAsia" w:ascii="Times New Roman" w:hAnsi="Times New Roman" w:cs="Times New Roman"/>
                <w:bCs/>
                <w:sz w:val="18"/>
                <w:szCs w:val="18"/>
                <w:highlight w:val="none"/>
              </w:rPr>
              <w:t>＞2.50</w:t>
            </w:r>
            <w:r>
              <w:rPr>
                <w:rFonts w:hint="default" w:ascii="Times New Roman" w:hAnsi="Times New Roman" w:cs="Times New Roman"/>
                <w:bCs/>
                <w:sz w:val="18"/>
                <w:szCs w:val="18"/>
                <w:highlight w:val="none"/>
              </w:rPr>
              <w:t>～</w:t>
            </w:r>
            <w:r>
              <w:rPr>
                <w:rFonts w:hint="eastAsia" w:ascii="Times New Roman" w:hAnsi="Times New Roman" w:cs="Times New Roman"/>
                <w:bCs/>
                <w:sz w:val="18"/>
                <w:szCs w:val="18"/>
                <w:highlight w:val="none"/>
              </w:rPr>
              <w:t>4.50</w:t>
            </w:r>
          </w:p>
        </w:tc>
        <w:tc>
          <w:tcPr>
            <w:tcW w:w="4261" w:type="dxa"/>
            <w:noWrap/>
          </w:tcPr>
          <w:p w14:paraId="20FB46C9">
            <w:pPr>
              <w:ind w:firstLine="420"/>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0.10</w:t>
            </w:r>
          </w:p>
        </w:tc>
      </w:tr>
    </w:tbl>
    <w:p w14:paraId="5FF052FD">
      <w:pPr>
        <w:spacing w:before="312" w:beforeLines="100" w:after="156" w:afterLines="50"/>
        <w:rPr>
          <w:rFonts w:hint="eastAsia" w:ascii="黑体" w:hAnsi="黑体" w:eastAsia="黑体" w:cs="黑体"/>
          <w:bCs/>
          <w:szCs w:val="21"/>
        </w:rPr>
      </w:pPr>
      <w:r>
        <w:rPr>
          <w:rFonts w:hint="eastAsia" w:ascii="黑体" w:hAnsi="黑体" w:eastAsia="黑体" w:cs="黑体"/>
          <w:bCs/>
          <w:szCs w:val="21"/>
        </w:rPr>
        <w:t>5.5.2  平行试验</w:t>
      </w:r>
    </w:p>
    <w:p w14:paraId="312F7D45">
      <w:pPr>
        <w:adjustRightInd w:val="0"/>
        <w:snapToGrid w:val="0"/>
        <w:spacing w:before="50" w:after="50"/>
        <w:ind w:firstLine="444" w:firstLineChars="200"/>
      </w:pPr>
      <w:r>
        <w:rPr>
          <w:rFonts w:hint="eastAsia"/>
          <w:spacing w:val="6"/>
        </w:rPr>
        <w:t>平行做两份试验，取其平均值。</w:t>
      </w:r>
    </w:p>
    <w:p w14:paraId="707114DC">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5.5.3  空白试验</w:t>
      </w:r>
    </w:p>
    <w:p w14:paraId="76737CBB">
      <w:pPr>
        <w:ind w:firstLine="420" w:firstLineChars="200"/>
      </w:pPr>
      <w:r>
        <w:rPr>
          <w:rFonts w:hint="eastAsia"/>
        </w:rPr>
        <w:t>随同试料做空白试验。</w:t>
      </w:r>
    </w:p>
    <w:p w14:paraId="7D22D4E5">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5.5.4  测定</w:t>
      </w:r>
    </w:p>
    <w:p w14:paraId="43289A70">
      <w:pPr>
        <w:widowControl/>
        <w:adjustRightInd w:val="0"/>
        <w:snapToGrid w:val="0"/>
        <w:rPr>
          <w:rFonts w:hint="default" w:ascii="Times New Roman" w:hAnsi="Times New Roman" w:cs="Times New Roman"/>
          <w:szCs w:val="21"/>
        </w:rPr>
      </w:pPr>
      <w:r>
        <w:rPr>
          <w:rFonts w:hint="eastAsia" w:ascii="黑体" w:hAnsi="黑体" w:eastAsia="黑体"/>
          <w:szCs w:val="21"/>
        </w:rPr>
        <w:t>5.5.4.1</w:t>
      </w:r>
      <w:r>
        <w:rPr>
          <w:rFonts w:hint="eastAsia" w:ascii="宋体" w:hAnsi="宋体" w:cs="宋体"/>
          <w:szCs w:val="21"/>
        </w:rPr>
        <w:t xml:space="preserve"> </w:t>
      </w:r>
      <w:r>
        <w:rPr>
          <w:rFonts w:hint="default" w:ascii="Times New Roman" w:hAnsi="Times New Roman" w:cs="Times New Roman"/>
          <w:szCs w:val="21"/>
        </w:rPr>
        <w:t xml:space="preserve"> </w:t>
      </w:r>
      <w:r>
        <w:rPr>
          <w:rFonts w:hint="default" w:ascii="Times New Roman" w:hAnsi="Times New Roman" w:cs="Times New Roman"/>
          <w:bCs/>
          <w:szCs w:val="21"/>
        </w:rPr>
        <w:t>将试料</w:t>
      </w:r>
      <w:r>
        <w:rPr>
          <w:rFonts w:hint="default" w:ascii="Times New Roman" w:hAnsi="Times New Roman" w:cs="Times New Roman"/>
          <w:szCs w:val="21"/>
        </w:rPr>
        <w:t>（5.5.1）置于</w:t>
      </w:r>
      <w:r>
        <w:rPr>
          <w:rFonts w:hint="eastAsia" w:ascii="Times New Roman" w:hAnsi="Times New Roman" w:cs="Times New Roman"/>
          <w:bCs/>
          <w:szCs w:val="21"/>
        </w:rPr>
        <w:t>250</w:t>
      </w:r>
      <w:r>
        <w:rPr>
          <w:rFonts w:hint="default" w:ascii="Times New Roman" w:hAnsi="Times New Roman" w:cs="Times New Roman"/>
          <w:bCs/>
          <w:szCs w:val="21"/>
        </w:rPr>
        <w:t xml:space="preserve"> </w:t>
      </w:r>
      <w:r>
        <w:rPr>
          <w:rFonts w:hint="eastAsia"/>
          <w:szCs w:val="21"/>
        </w:rPr>
        <w:t>mL</w:t>
      </w:r>
      <w:r>
        <w:rPr>
          <w:rFonts w:hint="default" w:ascii="Times New Roman" w:hAnsi="Times New Roman" w:cs="Times New Roman"/>
          <w:szCs w:val="21"/>
        </w:rPr>
        <w:t>烧杯中，</w:t>
      </w:r>
      <w:r>
        <w:rPr>
          <w:rFonts w:hint="eastAsia"/>
          <w:szCs w:val="21"/>
        </w:rPr>
        <w:t>用少量水润湿</w:t>
      </w:r>
      <w:r>
        <w:rPr>
          <w:rFonts w:hint="eastAsia"/>
          <w:color w:val="FF0000"/>
          <w:szCs w:val="21"/>
        </w:rPr>
        <w:t>，</w:t>
      </w:r>
      <w:r>
        <w:rPr>
          <w:rFonts w:hint="eastAsia"/>
          <w:szCs w:val="21"/>
        </w:rPr>
        <w:t>加入</w:t>
      </w:r>
      <w:r>
        <w:rPr>
          <w:rFonts w:hint="eastAsia" w:ascii="Times New Roman" w:hAnsi="Times New Roman" w:cs="Times New Roman"/>
          <w:bCs/>
          <w:szCs w:val="21"/>
        </w:rPr>
        <w:t xml:space="preserve">约2 </w:t>
      </w:r>
      <w:r>
        <w:rPr>
          <w:szCs w:val="21"/>
        </w:rPr>
        <w:t>mL</w:t>
      </w:r>
      <w:r>
        <w:rPr>
          <w:rFonts w:hint="eastAsia"/>
          <w:szCs w:val="21"/>
        </w:rPr>
        <w:t>氟化氢铵溶液（5.2.7）（硅含量高的样品加入3 mL），</w:t>
      </w:r>
      <w:r>
        <w:rPr>
          <w:rFonts w:hint="default" w:ascii="Times New Roman" w:hAnsi="Times New Roman" w:cs="Times New Roman"/>
          <w:szCs w:val="21"/>
        </w:rPr>
        <w:t>加入</w:t>
      </w:r>
      <w:r>
        <w:rPr>
          <w:rFonts w:hint="eastAsia" w:ascii="Times New Roman" w:hAnsi="Times New Roman" w:cs="Times New Roman"/>
          <w:bCs/>
          <w:szCs w:val="21"/>
        </w:rPr>
        <w:t>10</w:t>
      </w:r>
      <w:r>
        <w:rPr>
          <w:rFonts w:hint="default" w:ascii="Times New Roman" w:hAnsi="Times New Roman" w:cs="Times New Roman"/>
          <w:bCs/>
          <w:szCs w:val="21"/>
        </w:rPr>
        <w:t xml:space="preserve"> </w:t>
      </w:r>
      <w:r>
        <w:rPr>
          <w:rFonts w:hint="eastAsia"/>
          <w:szCs w:val="21"/>
        </w:rPr>
        <w:t>mL</w:t>
      </w:r>
      <w:r>
        <w:rPr>
          <w:rFonts w:hint="default" w:ascii="Times New Roman" w:hAnsi="Times New Roman" w:cs="Times New Roman"/>
          <w:szCs w:val="21"/>
        </w:rPr>
        <w:t>氯酸钾</w:t>
      </w:r>
      <w:r>
        <w:rPr>
          <w:rFonts w:hint="eastAsia" w:cs="Times New Roman"/>
          <w:szCs w:val="21"/>
          <w:lang w:eastAsia="zh-CN"/>
        </w:rPr>
        <w:t>-</w:t>
      </w:r>
      <w:r>
        <w:rPr>
          <w:rFonts w:hint="default" w:ascii="Times New Roman" w:hAnsi="Times New Roman" w:cs="Times New Roman"/>
          <w:szCs w:val="21"/>
        </w:rPr>
        <w:t>硝酸溶液（5.2.8），在电热板上低温加热至试料完全溶解。取下，稍冷，用水吹洗杯壁，加入</w:t>
      </w:r>
      <w:r>
        <w:rPr>
          <w:rFonts w:hint="eastAsia" w:ascii="Times New Roman" w:hAnsi="Times New Roman" w:cs="Times New Roman"/>
          <w:bCs/>
          <w:szCs w:val="21"/>
        </w:rPr>
        <w:t xml:space="preserve">5 </w:t>
      </w:r>
      <w:r>
        <w:rPr>
          <w:rFonts w:hint="eastAsia"/>
          <w:szCs w:val="21"/>
        </w:rPr>
        <w:t>mL</w:t>
      </w:r>
      <w:r>
        <w:rPr>
          <w:rFonts w:hint="default" w:ascii="Times New Roman" w:hAnsi="Times New Roman" w:cs="Times New Roman"/>
          <w:szCs w:val="21"/>
        </w:rPr>
        <w:t>硫酸（5.2.5），加热至冒浓白烟，取下，稍冷。</w:t>
      </w:r>
    </w:p>
    <w:p w14:paraId="27B0D0C5">
      <w:pPr>
        <w:rPr>
          <w:rFonts w:hint="default" w:ascii="Times New Roman" w:hAnsi="Times New Roman" w:cs="Times New Roman"/>
          <w:bCs/>
          <w:szCs w:val="21"/>
        </w:rPr>
      </w:pPr>
      <w:r>
        <w:rPr>
          <w:rFonts w:hint="eastAsia" w:ascii="黑体" w:hAnsi="黑体" w:eastAsia="黑体"/>
          <w:szCs w:val="21"/>
        </w:rPr>
        <w:t xml:space="preserve">5.5.4.2 </w:t>
      </w:r>
      <w:r>
        <w:rPr>
          <w:rFonts w:hint="eastAsia" w:ascii="宋体" w:hAnsi="宋体" w:cs="宋体"/>
          <w:szCs w:val="21"/>
        </w:rPr>
        <w:t xml:space="preserve"> </w:t>
      </w:r>
      <w:r>
        <w:rPr>
          <w:rFonts w:hint="default" w:ascii="Times New Roman" w:hAnsi="Times New Roman" w:cs="Times New Roman"/>
          <w:bCs/>
          <w:szCs w:val="21"/>
        </w:rPr>
        <w:t>用少量水吹洗杯壁，加入</w:t>
      </w:r>
      <w:r>
        <w:rPr>
          <w:rFonts w:hint="eastAsia" w:ascii="Times New Roman" w:hAnsi="Times New Roman" w:cs="Times New Roman"/>
          <w:bCs/>
          <w:szCs w:val="21"/>
        </w:rPr>
        <w:t>5</w:t>
      </w:r>
      <w:r>
        <w:rPr>
          <w:rFonts w:hint="eastAsia"/>
          <w:szCs w:val="21"/>
        </w:rPr>
        <w:t xml:space="preserve"> mL</w:t>
      </w:r>
      <w:r>
        <w:rPr>
          <w:rFonts w:hint="default" w:ascii="Times New Roman" w:hAnsi="Times New Roman" w:cs="Times New Roman"/>
          <w:bCs/>
          <w:szCs w:val="21"/>
        </w:rPr>
        <w:t>盐酸(5.2.6)，加热至盐类溶解，移入预先盛有</w:t>
      </w:r>
      <w:r>
        <w:rPr>
          <w:rFonts w:hint="eastAsia" w:ascii="Times New Roman" w:hAnsi="Times New Roman" w:cs="Times New Roman"/>
          <w:bCs/>
          <w:szCs w:val="21"/>
        </w:rPr>
        <w:t xml:space="preserve">0.3 </w:t>
      </w:r>
      <w:r>
        <w:rPr>
          <w:bCs/>
          <w:szCs w:val="21"/>
        </w:rPr>
        <w:t>g</w:t>
      </w:r>
      <w:r>
        <w:rPr>
          <w:rFonts w:hint="default" w:ascii="Times New Roman" w:hAnsi="Times New Roman" w:cs="Times New Roman"/>
          <w:bCs/>
          <w:szCs w:val="21"/>
        </w:rPr>
        <w:t xml:space="preserve">溴化钾（5.2.2），0.3 </w:t>
      </w:r>
      <w:r>
        <w:rPr>
          <w:bCs/>
          <w:szCs w:val="21"/>
        </w:rPr>
        <w:t>g</w:t>
      </w:r>
      <w:r>
        <w:rPr>
          <w:rFonts w:hint="default" w:ascii="Times New Roman" w:hAnsi="Times New Roman" w:cs="Times New Roman"/>
          <w:bCs/>
          <w:szCs w:val="21"/>
        </w:rPr>
        <w:t>硫酸联胺（5.2.3）和玻璃珠的</w:t>
      </w:r>
      <w:r>
        <w:rPr>
          <w:rFonts w:hint="eastAsia" w:ascii="Times New Roman" w:hAnsi="Times New Roman" w:cs="Times New Roman"/>
          <w:bCs/>
          <w:szCs w:val="21"/>
        </w:rPr>
        <w:t>250</w:t>
      </w:r>
      <w:r>
        <w:rPr>
          <w:rFonts w:hint="default" w:ascii="Times New Roman" w:hAnsi="Times New Roman" w:cs="Times New Roman"/>
          <w:bCs/>
          <w:szCs w:val="21"/>
        </w:rPr>
        <w:t xml:space="preserve"> </w:t>
      </w:r>
      <w:r>
        <w:rPr>
          <w:bCs/>
          <w:szCs w:val="21"/>
        </w:rPr>
        <w:t>mL</w:t>
      </w:r>
      <w:r>
        <w:rPr>
          <w:rFonts w:hint="default" w:ascii="Times New Roman" w:hAnsi="Times New Roman" w:cs="Times New Roman"/>
          <w:bCs/>
          <w:szCs w:val="21"/>
        </w:rPr>
        <w:t>锥形烧瓶中，并加入</w:t>
      </w:r>
      <w:r>
        <w:rPr>
          <w:rFonts w:hint="eastAsia" w:ascii="Times New Roman" w:hAnsi="Times New Roman" w:cs="Times New Roman"/>
          <w:bCs/>
          <w:szCs w:val="21"/>
        </w:rPr>
        <w:t xml:space="preserve">40 </w:t>
      </w:r>
      <w:r>
        <w:rPr>
          <w:rFonts w:hint="eastAsia"/>
          <w:szCs w:val="21"/>
        </w:rPr>
        <w:t>mL</w:t>
      </w:r>
      <w:r>
        <w:rPr>
          <w:rFonts w:hint="default" w:ascii="Times New Roman" w:hAnsi="Times New Roman" w:cs="Times New Roman"/>
          <w:bCs/>
          <w:szCs w:val="21"/>
        </w:rPr>
        <w:t>盐酸（5.2.4），用水洗净烧杯，</w:t>
      </w:r>
      <w:r>
        <w:rPr>
          <w:rFonts w:hint="eastAsia" w:cs="Times New Roman"/>
          <w:bCs/>
          <w:szCs w:val="21"/>
          <w:lang w:val="en-US" w:eastAsia="zh-CN"/>
        </w:rPr>
        <w:t>洗液并入锥形烧瓶，</w:t>
      </w:r>
      <w:r>
        <w:rPr>
          <w:rFonts w:hint="default" w:ascii="Times New Roman" w:hAnsi="Times New Roman" w:cs="Times New Roman"/>
          <w:bCs/>
          <w:szCs w:val="21"/>
        </w:rPr>
        <w:t>控制锥形瓶中溶液的总体积为80</w:t>
      </w:r>
      <w:r>
        <w:rPr>
          <w:rFonts w:hint="eastAsia"/>
          <w:szCs w:val="21"/>
        </w:rPr>
        <w:t xml:space="preserve"> mL</w:t>
      </w:r>
      <w:r>
        <w:rPr>
          <w:rFonts w:hint="default" w:ascii="Times New Roman" w:hAnsi="Times New Roman" w:cs="Times New Roman"/>
          <w:bCs/>
          <w:szCs w:val="21"/>
        </w:rPr>
        <w:t>。</w:t>
      </w:r>
    </w:p>
    <w:p w14:paraId="3971A0A7">
      <w:pPr>
        <w:rPr>
          <w:rFonts w:hint="default" w:ascii="Times New Roman" w:hAnsi="Times New Roman" w:cs="Times New Roman"/>
          <w:szCs w:val="21"/>
        </w:rPr>
      </w:pPr>
      <w:r>
        <w:rPr>
          <w:rFonts w:hint="eastAsia" w:ascii="黑体" w:hAnsi="黑体" w:eastAsia="黑体"/>
          <w:szCs w:val="21"/>
        </w:rPr>
        <w:t xml:space="preserve">5.5.4.3 </w:t>
      </w:r>
      <w:r>
        <w:rPr>
          <w:rFonts w:hint="eastAsia" w:ascii="宋体" w:hAnsi="宋体" w:cs="宋体"/>
          <w:szCs w:val="21"/>
        </w:rPr>
        <w:t xml:space="preserve"> </w:t>
      </w:r>
      <w:r>
        <w:rPr>
          <w:rFonts w:hint="default" w:ascii="Times New Roman" w:hAnsi="Times New Roman" w:cs="Times New Roman"/>
          <w:szCs w:val="21"/>
        </w:rPr>
        <w:t>按图1</w:t>
      </w:r>
      <w:r>
        <w:rPr>
          <w:rFonts w:hint="default" w:ascii="Times New Roman" w:hAnsi="Times New Roman" w:cs="Times New Roman"/>
          <w:bCs/>
          <w:szCs w:val="21"/>
        </w:rPr>
        <w:t>连接蒸馏装置，在100</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℃～105</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℃加热蒸馏。馏出物用预先盛有</w:t>
      </w:r>
      <w:r>
        <w:rPr>
          <w:rFonts w:hint="eastAsia" w:ascii="Times New Roman" w:hAnsi="Times New Roman" w:cs="Times New Roman"/>
          <w:bCs/>
          <w:szCs w:val="21"/>
        </w:rPr>
        <w:t xml:space="preserve">50 </w:t>
      </w:r>
      <w:r>
        <w:rPr>
          <w:rFonts w:hint="eastAsia"/>
          <w:szCs w:val="21"/>
        </w:rPr>
        <w:t>mL</w:t>
      </w:r>
      <w:r>
        <w:rPr>
          <w:rFonts w:hint="default" w:ascii="Times New Roman" w:hAnsi="Times New Roman" w:cs="Times New Roman"/>
          <w:bCs/>
          <w:szCs w:val="21"/>
        </w:rPr>
        <w:t>水的</w:t>
      </w:r>
      <w:r>
        <w:rPr>
          <w:rFonts w:hint="eastAsia" w:ascii="Times New Roman" w:hAnsi="Times New Roman" w:cs="Times New Roman"/>
          <w:bCs/>
          <w:szCs w:val="21"/>
        </w:rPr>
        <w:t xml:space="preserve">250 </w:t>
      </w:r>
      <w:r>
        <w:rPr>
          <w:rFonts w:hint="eastAsia"/>
          <w:szCs w:val="21"/>
        </w:rPr>
        <w:t>mL</w:t>
      </w:r>
      <w:r>
        <w:rPr>
          <w:rFonts w:hint="default" w:ascii="Times New Roman" w:hAnsi="Times New Roman" w:cs="Times New Roman"/>
          <w:bCs/>
          <w:szCs w:val="21"/>
        </w:rPr>
        <w:t>烧杯吸收。待蒸馏至残留液的体积为</w:t>
      </w:r>
      <w:r>
        <w:rPr>
          <w:rFonts w:hint="eastAsia" w:cs="Times New Roman"/>
          <w:bCs/>
          <w:szCs w:val="21"/>
          <w:lang w:val="en-US" w:eastAsia="zh-CN"/>
        </w:rPr>
        <w:t>接近</w:t>
      </w:r>
      <w:r>
        <w:rPr>
          <w:rFonts w:hint="eastAsia" w:ascii="Times New Roman" w:hAnsi="Times New Roman" w:cs="Times New Roman"/>
          <w:bCs/>
          <w:szCs w:val="21"/>
        </w:rPr>
        <w:t xml:space="preserve">30 </w:t>
      </w:r>
      <w:r>
        <w:rPr>
          <w:rFonts w:hint="eastAsia"/>
          <w:szCs w:val="21"/>
        </w:rPr>
        <w:t>mL</w:t>
      </w:r>
      <w:r>
        <w:rPr>
          <w:rFonts w:hint="default" w:ascii="Times New Roman" w:hAnsi="Times New Roman" w:cs="Times New Roman"/>
          <w:bCs/>
          <w:szCs w:val="21"/>
        </w:rPr>
        <w:t>时，取下锥形烧杯，用水吹洗冷凝管内壁及管口，并将洗液并入吸收杯。</w:t>
      </w:r>
    </w:p>
    <w:p w14:paraId="58E835C3">
      <w:pPr>
        <w:rPr>
          <w:szCs w:val="21"/>
        </w:rPr>
      </w:pPr>
      <w:r>
        <w:rPr>
          <w:rFonts w:hint="eastAsia" w:ascii="黑体" w:hAnsi="黑体" w:eastAsia="黑体"/>
          <w:szCs w:val="21"/>
        </w:rPr>
        <w:t xml:space="preserve">5.5.4.4 </w:t>
      </w:r>
      <w:r>
        <w:rPr>
          <w:rFonts w:hint="eastAsia" w:ascii="宋体" w:hAnsi="宋体" w:cs="宋体"/>
          <w:szCs w:val="21"/>
        </w:rPr>
        <w:t xml:space="preserve"> </w:t>
      </w:r>
      <w:r>
        <w:rPr>
          <w:rFonts w:hint="default" w:ascii="Times New Roman" w:hAnsi="Times New Roman" w:cs="Times New Roman"/>
          <w:bCs/>
          <w:szCs w:val="21"/>
        </w:rPr>
        <w:t>将吸收液加热至</w:t>
      </w:r>
      <w:r>
        <w:rPr>
          <w:rFonts w:hint="eastAsia" w:ascii="Times New Roman" w:hAnsi="Times New Roman" w:cs="Times New Roman"/>
          <w:bCs/>
          <w:szCs w:val="21"/>
        </w:rPr>
        <w:t>60 ℃</w:t>
      </w:r>
      <w:r>
        <w:rPr>
          <w:rFonts w:hint="default" w:ascii="Times New Roman" w:hAnsi="Times New Roman" w:cs="Times New Roman"/>
          <w:bCs/>
          <w:szCs w:val="21"/>
        </w:rPr>
        <w:t>，加入2滴甲基橙指示剂（5.2.11），用溴酸钾标准滴定溶液（5.2.10）滴定至红色刚好消失为终点。</w:t>
      </w:r>
    </w:p>
    <w:p w14:paraId="25504A80">
      <w:pPr>
        <w:spacing w:before="156" w:beforeLines="50" w:after="156" w:afterLines="50"/>
        <w:rPr>
          <w:rFonts w:hint="eastAsia" w:ascii="黑体" w:hAnsi="黑体" w:eastAsia="黑体"/>
          <w:bCs/>
          <w:szCs w:val="21"/>
        </w:rPr>
      </w:pPr>
      <w:r>
        <w:rPr>
          <w:rFonts w:hint="eastAsia" w:ascii="黑体" w:hAnsi="黑体" w:eastAsia="黑体" w:cs="黑体"/>
          <w:bCs/>
          <w:szCs w:val="21"/>
        </w:rPr>
        <w:t>5.6  试验数据处理</w:t>
      </w:r>
    </w:p>
    <w:p w14:paraId="487C1AB0">
      <w:pPr>
        <w:snapToGrid w:val="0"/>
        <w:ind w:firstLine="420" w:firstLineChars="200"/>
        <w:rPr>
          <w:szCs w:val="21"/>
        </w:rPr>
      </w:pPr>
      <w:r>
        <w:rPr>
          <w:rFonts w:hint="eastAsia"/>
          <w:szCs w:val="21"/>
        </w:rPr>
        <w:t>砷</w:t>
      </w:r>
      <w:r>
        <w:rPr>
          <w:szCs w:val="21"/>
        </w:rPr>
        <w:t>的含量以质量分数</w:t>
      </w:r>
      <w:r>
        <w:rPr>
          <w:rFonts w:hint="eastAsia"/>
          <w:szCs w:val="21"/>
        </w:rPr>
        <w:drawing>
          <wp:inline distT="0" distB="0" distL="114300" distR="114300">
            <wp:extent cx="142875" cy="133350"/>
            <wp:effectExtent l="0" t="0" r="9525" b="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rFonts w:hint="eastAsia"/>
          <w:iCs/>
          <w:spacing w:val="6"/>
          <w:vertAlign w:val="subscript"/>
        </w:rPr>
        <w:t>As</w:t>
      </w:r>
      <w:r>
        <w:rPr>
          <w:szCs w:val="21"/>
        </w:rPr>
        <w:t>计，按公式（</w:t>
      </w:r>
      <w:r>
        <w:rPr>
          <w:rFonts w:hint="eastAsia"/>
          <w:szCs w:val="21"/>
        </w:rPr>
        <w:t>3</w:t>
      </w:r>
      <w:r>
        <w:rPr>
          <w:szCs w:val="21"/>
        </w:rPr>
        <w:t>）计算：</w:t>
      </w:r>
    </w:p>
    <w:p w14:paraId="6E561FDD">
      <w:pPr>
        <w:snapToGrid w:val="0"/>
        <w:ind w:firstLine="420" w:firstLineChars="200"/>
        <w:jc w:val="right"/>
        <w:rPr>
          <w:szCs w:val="21"/>
        </w:rPr>
      </w:pPr>
      <w:r>
        <w:rPr>
          <w:rFonts w:hint="eastAsia" w:ascii="宋体" w:hAnsi="宋体" w:cs="宋体"/>
          <w:position w:val="-24"/>
        </w:rPr>
        <w:object>
          <v:shape id="_x0000_i1027" o:spt="75" type="#_x0000_t75" style="height:28.35pt;width:275.0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p>
    <w:p w14:paraId="0AF72D82">
      <w:pPr>
        <w:snapToGrid w:val="0"/>
        <w:ind w:firstLine="420" w:firstLineChars="200"/>
        <w:rPr>
          <w:rFonts w:hint="eastAsia" w:ascii="宋体" w:hAnsi="宋体"/>
          <w:szCs w:val="21"/>
        </w:rPr>
      </w:pPr>
      <w:r>
        <w:rPr>
          <w:rFonts w:hint="eastAsia" w:ascii="宋体" w:hAnsi="宋体"/>
          <w:szCs w:val="21"/>
        </w:rPr>
        <w:t>式中：</w:t>
      </w:r>
    </w:p>
    <w:p w14:paraId="2FBF7B13">
      <w:pPr>
        <w:ind w:firstLine="420" w:firstLineChars="200"/>
        <w:rPr>
          <w:rFonts w:hint="eastAsia" w:ascii="宋体" w:hAnsi="宋体"/>
          <w:iCs/>
          <w:szCs w:val="21"/>
        </w:rPr>
      </w:pPr>
      <w:r>
        <w:rPr>
          <w:i/>
          <w:szCs w:val="21"/>
        </w:rPr>
        <w:t>c</w:t>
      </w:r>
      <w:r>
        <w:rPr>
          <w:iCs/>
          <w:szCs w:val="21"/>
          <w:vertAlign w:val="subscript"/>
        </w:rPr>
        <w:t>1</w:t>
      </w:r>
      <w:r>
        <w:rPr>
          <w:szCs w:val="21"/>
        </w:rPr>
        <w:t>——</w:t>
      </w:r>
      <w:r>
        <w:rPr>
          <w:rFonts w:hint="eastAsia" w:ascii="宋体" w:hAnsi="宋体"/>
          <w:bCs/>
          <w:iCs/>
          <w:szCs w:val="21"/>
        </w:rPr>
        <w:t>溴酸钾标准滴定溶液的实际浓度，单位为摩尔每升（</w:t>
      </w:r>
      <w:r>
        <w:rPr>
          <w:rFonts w:hint="eastAsia"/>
          <w:szCs w:val="21"/>
        </w:rPr>
        <w:t>mol/L</w:t>
      </w:r>
      <w:r>
        <w:rPr>
          <w:rFonts w:hint="eastAsia" w:ascii="宋体" w:hAnsi="宋体"/>
          <w:bCs/>
          <w:iCs/>
          <w:szCs w:val="21"/>
        </w:rPr>
        <w:t xml:space="preserve">）                         </w:t>
      </w:r>
    </w:p>
    <w:p w14:paraId="7443985C">
      <w:pPr>
        <w:ind w:firstLine="420" w:firstLineChars="200"/>
        <w:rPr>
          <w:rFonts w:hint="eastAsia" w:ascii="宋体" w:hAnsi="宋体"/>
          <w:iCs/>
          <w:szCs w:val="21"/>
        </w:rPr>
      </w:pPr>
      <w:r>
        <w:rPr>
          <w:i/>
          <w:szCs w:val="21"/>
        </w:rPr>
        <w:t>V</w:t>
      </w:r>
      <w:r>
        <w:rPr>
          <w:iCs/>
          <w:szCs w:val="21"/>
          <w:vertAlign w:val="subscript"/>
        </w:rPr>
        <w:t>8</w:t>
      </w:r>
      <w:r>
        <w:rPr>
          <w:szCs w:val="21"/>
        </w:rPr>
        <w:t>——</w:t>
      </w:r>
      <w:r>
        <w:rPr>
          <w:rFonts w:hint="eastAsia" w:ascii="宋体" w:hAnsi="宋体"/>
          <w:bCs/>
          <w:iCs/>
          <w:szCs w:val="21"/>
        </w:rPr>
        <w:t>滴定试料溶液时消耗溴酸钾标准滴定溶液的体积，单位为毫升（</w:t>
      </w:r>
      <w:r>
        <w:rPr>
          <w:rFonts w:hint="eastAsia"/>
          <w:szCs w:val="21"/>
        </w:rPr>
        <w:t>mL</w:t>
      </w:r>
      <w:r>
        <w:rPr>
          <w:rFonts w:hint="eastAsia" w:ascii="宋体" w:hAnsi="宋体"/>
          <w:bCs/>
          <w:iCs/>
          <w:szCs w:val="21"/>
        </w:rPr>
        <w:t>）</w:t>
      </w:r>
    </w:p>
    <w:p w14:paraId="254F194D">
      <w:pPr>
        <w:ind w:firstLine="420" w:firstLineChars="200"/>
        <w:rPr>
          <w:rFonts w:hint="eastAsia" w:ascii="宋体" w:hAnsi="宋体"/>
          <w:iCs/>
          <w:szCs w:val="21"/>
        </w:rPr>
      </w:pPr>
      <w:r>
        <w:rPr>
          <w:i/>
          <w:szCs w:val="21"/>
        </w:rPr>
        <w:t>V</w:t>
      </w:r>
      <w:r>
        <w:rPr>
          <w:iCs/>
          <w:szCs w:val="21"/>
          <w:vertAlign w:val="subscript"/>
        </w:rPr>
        <w:t>7</w:t>
      </w:r>
      <w:r>
        <w:rPr>
          <w:szCs w:val="21"/>
        </w:rPr>
        <w:t>——</w:t>
      </w:r>
      <w:r>
        <w:rPr>
          <w:rFonts w:hint="eastAsia" w:ascii="宋体" w:hAnsi="宋体"/>
          <w:bCs/>
          <w:iCs/>
          <w:szCs w:val="21"/>
        </w:rPr>
        <w:t>滴定空白试液时消耗溴酸钾标准滴定溶液的体积，单位为毫升（</w:t>
      </w:r>
      <w:r>
        <w:rPr>
          <w:rFonts w:hint="eastAsia"/>
          <w:szCs w:val="21"/>
        </w:rPr>
        <w:t>mL</w:t>
      </w:r>
      <w:r>
        <w:rPr>
          <w:rFonts w:hint="eastAsia" w:ascii="宋体" w:hAnsi="宋体"/>
          <w:bCs/>
          <w:iCs/>
          <w:szCs w:val="21"/>
        </w:rPr>
        <w:t>）</w:t>
      </w:r>
    </w:p>
    <w:p w14:paraId="666EA824">
      <w:pPr>
        <w:ind w:firstLine="420" w:firstLineChars="200"/>
        <w:rPr>
          <w:rFonts w:hint="eastAsia" w:ascii="宋体" w:hAnsi="宋体"/>
          <w:iCs/>
          <w:szCs w:val="21"/>
        </w:rPr>
      </w:pPr>
      <w:r>
        <w:rPr>
          <w:rFonts w:hint="eastAsia" w:ascii="Times New Roman" w:hAnsi="Times New Roman" w:cs="Times New Roman"/>
          <w:bCs/>
          <w:szCs w:val="21"/>
        </w:rPr>
        <w:t>37.46</w:t>
      </w:r>
      <w:r>
        <w:rPr>
          <w:szCs w:val="21"/>
        </w:rPr>
        <w:t>——</w:t>
      </w:r>
      <w:r>
        <w:rPr>
          <w:rFonts w:hint="default" w:ascii="Times New Roman" w:hAnsi="Times New Roman" w:cs="Times New Roman"/>
          <w:bCs/>
          <w:szCs w:val="21"/>
        </w:rPr>
        <w:t>1/2</w:t>
      </w:r>
      <w:r>
        <w:rPr>
          <w:rFonts w:hint="eastAsia" w:ascii="宋体" w:hAnsi="宋体"/>
          <w:bCs/>
          <w:iCs/>
          <w:szCs w:val="21"/>
        </w:rPr>
        <w:t>砷的摩尔质量，单位为克每摩尔（</w:t>
      </w:r>
      <w:r>
        <w:rPr>
          <w:rFonts w:hint="eastAsia"/>
          <w:szCs w:val="21"/>
        </w:rPr>
        <w:t>g/mol</w:t>
      </w:r>
      <w:r>
        <w:rPr>
          <w:rFonts w:hint="eastAsia" w:ascii="宋体" w:hAnsi="宋体"/>
          <w:bCs/>
          <w:iCs/>
          <w:szCs w:val="21"/>
        </w:rPr>
        <w:t>）</w:t>
      </w:r>
    </w:p>
    <w:p w14:paraId="772A6BD1">
      <w:pPr>
        <w:ind w:firstLine="420" w:firstLineChars="200"/>
        <w:rPr>
          <w:rFonts w:hint="eastAsia" w:ascii="宋体" w:hAnsi="宋体"/>
          <w:iCs/>
          <w:szCs w:val="21"/>
        </w:rPr>
      </w:pPr>
      <w:r>
        <w:rPr>
          <w:i/>
          <w:szCs w:val="21"/>
        </w:rPr>
        <w:t>m</w:t>
      </w:r>
      <w:r>
        <w:rPr>
          <w:rFonts w:hint="eastAsia"/>
          <w:iCs/>
          <w:szCs w:val="21"/>
          <w:vertAlign w:val="subscript"/>
        </w:rPr>
        <w:t>2</w:t>
      </w:r>
      <w:r>
        <w:rPr>
          <w:szCs w:val="21"/>
        </w:rPr>
        <w:t>——</w:t>
      </w:r>
      <w:r>
        <w:rPr>
          <w:rFonts w:hint="eastAsia" w:ascii="宋体" w:hAnsi="宋体"/>
          <w:bCs/>
          <w:iCs/>
          <w:szCs w:val="21"/>
        </w:rPr>
        <w:t>试料的质量，单位为克（</w:t>
      </w:r>
      <w:r>
        <w:rPr>
          <w:rFonts w:hint="eastAsia"/>
          <w:szCs w:val="21"/>
        </w:rPr>
        <w:t>g</w:t>
      </w:r>
      <w:r>
        <w:rPr>
          <w:rFonts w:hint="eastAsia" w:ascii="宋体" w:hAnsi="宋体"/>
          <w:bCs/>
          <w:iCs/>
          <w:szCs w:val="21"/>
        </w:rPr>
        <w:t>）</w:t>
      </w:r>
    </w:p>
    <w:p w14:paraId="0134ABBC">
      <w:pPr>
        <w:ind w:firstLine="420" w:firstLineChars="200"/>
        <w:rPr>
          <w:rFonts w:hint="eastAsia" w:ascii="宋体" w:hAnsi="宋体"/>
        </w:rPr>
      </w:pPr>
      <w:r>
        <w:rPr>
          <w:rFonts w:hint="eastAsia" w:ascii="宋体" w:hAnsi="宋体"/>
          <w:bCs/>
          <w:iCs/>
          <w:szCs w:val="21"/>
        </w:rPr>
        <w:t>计算结果表示至小数点后二位。</w:t>
      </w:r>
    </w:p>
    <w:p w14:paraId="1D536E38">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5.7  精密度</w:t>
      </w:r>
    </w:p>
    <w:p w14:paraId="16A1ED8B">
      <w:pPr>
        <w:spacing w:before="156" w:beforeLines="50" w:after="156" w:afterLines="50"/>
        <w:rPr>
          <w:rFonts w:hint="eastAsia" w:ascii="黑体" w:hAnsi="黑体" w:eastAsia="黑体" w:cs="黑体"/>
          <w:bCs/>
          <w:szCs w:val="21"/>
        </w:rPr>
      </w:pPr>
      <w:r>
        <w:rPr>
          <w:rFonts w:hint="eastAsia" w:ascii="黑体" w:hAnsi="黑体" w:eastAsia="黑体" w:cs="黑体"/>
          <w:bCs/>
          <w:szCs w:val="21"/>
        </w:rPr>
        <w:t>5.7.1  重复性</w:t>
      </w:r>
    </w:p>
    <w:p w14:paraId="48CE8BD7">
      <w:pPr>
        <w:pStyle w:val="22"/>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w:t>
      </w:r>
      <w:r>
        <w:rPr>
          <w:rFonts w:hint="eastAsia" w:ascii="Times New Roman" w:hAnsi="Times New Roman" w:cs="Times New Roman"/>
          <w:color w:val="000000"/>
          <w:lang w:val="en-US" w:eastAsia="zh-CN"/>
        </w:rPr>
        <w:t>表5</w:t>
      </w:r>
      <w:r>
        <w:rPr>
          <w:rFonts w:ascii="Times New Roman" w:hAnsi="Times New Roman" w:cs="Times New Roman"/>
          <w:color w:val="000000"/>
        </w:rPr>
        <w:t>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w:t>
      </w:r>
      <w:r>
        <w:rPr>
          <w:rFonts w:hint="eastAsia" w:ascii="Times New Roman" w:hAnsi="Times New Roman" w:cs="Times New Roman"/>
          <w:color w:val="000000"/>
        </w:rPr>
        <w:t xml:space="preserve"> </w:t>
      </w:r>
      <w:r>
        <w:rPr>
          <w:rFonts w:ascii="Times New Roman" w:hAnsi="Times New Roman" w:cs="Times New Roman"/>
          <w:color w:val="000000"/>
        </w:rPr>
        <w:t>%，重复性限（</w:t>
      </w:r>
      <w:r>
        <w:rPr>
          <w:rFonts w:ascii="Times New Roman" w:hAnsi="Times New Roman" w:cs="Times New Roman"/>
          <w:i/>
          <w:color w:val="000000"/>
        </w:rPr>
        <w:t>r</w:t>
      </w:r>
      <w:r>
        <w:rPr>
          <w:rFonts w:ascii="Times New Roman" w:hAnsi="Times New Roman" w:cs="Times New Roman"/>
          <w:color w:val="000000"/>
        </w:rPr>
        <w:t>）按以下</w:t>
      </w:r>
      <w:r>
        <w:rPr>
          <w:rFonts w:ascii="Times New Roman" w:hAnsi="Times New Roman" w:cs="Times New Roman"/>
        </w:rPr>
        <w:t>表</w:t>
      </w:r>
      <w:r>
        <w:rPr>
          <w:rFonts w:hint="eastAsia" w:ascii="Times New Roman" w:hAnsi="Times New Roman" w:cs="Times New Roman"/>
        </w:rPr>
        <w:t>5</w:t>
      </w:r>
      <w:r>
        <w:rPr>
          <w:rFonts w:ascii="Times New Roman" w:hAnsi="Times New Roman" w:cs="Times New Roman"/>
          <w:color w:val="000000"/>
        </w:rPr>
        <w:t>数据采用线性内插法或外延法求得</w:t>
      </w:r>
      <w:r>
        <w:rPr>
          <w:bCs/>
        </w:rPr>
        <w:t>。</w:t>
      </w:r>
      <w:r>
        <w:rPr>
          <w:rFonts w:hint="eastAsia"/>
          <w:bCs/>
        </w:rPr>
        <w:t>精密度试验原始数据参见附录B。</w:t>
      </w:r>
    </w:p>
    <w:p w14:paraId="69232FF0">
      <w:pPr>
        <w:spacing w:before="156" w:beforeLines="50" w:after="156" w:afterLines="50"/>
        <w:ind w:firstLine="363"/>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5  </w:t>
      </w:r>
      <w:r>
        <w:rPr>
          <w:rFonts w:hint="eastAsia" w:ascii="黑体" w:hAnsi="黑体" w:eastAsia="黑体" w:cs="黑体"/>
          <w:szCs w:val="21"/>
          <w:lang w:val="en-US" w:eastAsia="zh-CN"/>
        </w:rPr>
        <w:t>方法2</w:t>
      </w:r>
      <w:r>
        <w:rPr>
          <w:rFonts w:ascii="黑体" w:hAnsi="黑体" w:eastAsia="黑体"/>
          <w:szCs w:val="21"/>
        </w:rPr>
        <w:t>重复性限</w:t>
      </w:r>
      <w:r>
        <w:rPr>
          <w:rFonts w:ascii="黑体" w:hAnsi="黑体" w:eastAsia="黑体"/>
          <w:color w:val="000000"/>
        </w:rPr>
        <w:t>（</w:t>
      </w:r>
      <w:r>
        <w:rPr>
          <w:rFonts w:ascii="黑体" w:hAnsi="黑体" w:eastAsia="黑体"/>
          <w:i/>
          <w:color w:val="000000"/>
        </w:rPr>
        <w:t>r</w:t>
      </w:r>
      <w:r>
        <w:rPr>
          <w:rFonts w:ascii="黑体" w:hAnsi="黑体" w:eastAsia="黑体"/>
          <w:color w:val="000000"/>
        </w:rPr>
        <w:t>）</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993"/>
        <w:gridCol w:w="994"/>
        <w:gridCol w:w="994"/>
        <w:gridCol w:w="994"/>
        <w:gridCol w:w="994"/>
        <w:gridCol w:w="994"/>
        <w:gridCol w:w="990"/>
      </w:tblGrid>
      <w:tr w14:paraId="1AF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pct"/>
            <w:noWrap/>
            <w:vAlign w:val="center"/>
          </w:tcPr>
          <w:p w14:paraId="6189C92A">
            <w:pPr>
              <w:ind w:firstLine="420"/>
              <w:jc w:val="center"/>
              <w:rPr>
                <w:bCs/>
                <w:sz w:val="18"/>
                <w:szCs w:val="18"/>
              </w:rPr>
            </w:pPr>
            <w:r>
              <w:rPr>
                <w:rFonts w:hint="default" w:ascii="Times New Roman" w:hAnsi="Times New Roman" w:cs="Times New Roman"/>
                <w:kern w:val="0"/>
                <w:sz w:val="18"/>
                <w:szCs w:val="18"/>
              </w:rPr>
              <w:t>ω</w:t>
            </w:r>
            <w:r>
              <w:rPr>
                <w:rFonts w:hint="eastAsia"/>
                <w:kern w:val="0"/>
                <w:sz w:val="18"/>
                <w:szCs w:val="18"/>
                <w:vertAlign w:val="subscript"/>
              </w:rPr>
              <w:t>As</w:t>
            </w:r>
            <w:r>
              <w:rPr>
                <w:sz w:val="18"/>
                <w:szCs w:val="18"/>
              </w:rPr>
              <w:t>/ %</w:t>
            </w:r>
          </w:p>
        </w:tc>
        <w:tc>
          <w:tcPr>
            <w:tcW w:w="583" w:type="pct"/>
            <w:noWrap/>
            <w:vAlign w:val="center"/>
          </w:tcPr>
          <w:p w14:paraId="2CA8A3C5">
            <w:pPr>
              <w:widowControl/>
              <w:jc w:val="center"/>
              <w:rPr>
                <w:sz w:val="18"/>
                <w:szCs w:val="18"/>
              </w:rPr>
            </w:pPr>
            <w:r>
              <w:rPr>
                <w:rFonts w:hint="eastAsia"/>
                <w:kern w:val="0"/>
                <w:sz w:val="18"/>
                <w:szCs w:val="18"/>
              </w:rPr>
              <w:t>0.11</w:t>
            </w:r>
          </w:p>
        </w:tc>
        <w:tc>
          <w:tcPr>
            <w:tcW w:w="583" w:type="pct"/>
            <w:noWrap/>
            <w:vAlign w:val="center"/>
          </w:tcPr>
          <w:p w14:paraId="7ADC4E65">
            <w:pPr>
              <w:widowControl/>
              <w:jc w:val="center"/>
              <w:rPr>
                <w:sz w:val="18"/>
                <w:szCs w:val="18"/>
              </w:rPr>
            </w:pPr>
            <w:r>
              <w:rPr>
                <w:rFonts w:hint="eastAsia"/>
                <w:kern w:val="0"/>
                <w:sz w:val="18"/>
                <w:szCs w:val="18"/>
              </w:rPr>
              <w:t>0.28</w:t>
            </w:r>
          </w:p>
        </w:tc>
        <w:tc>
          <w:tcPr>
            <w:tcW w:w="583" w:type="pct"/>
            <w:noWrap/>
            <w:vAlign w:val="center"/>
          </w:tcPr>
          <w:p w14:paraId="163A2EAE">
            <w:pPr>
              <w:widowControl/>
              <w:jc w:val="center"/>
              <w:rPr>
                <w:sz w:val="18"/>
                <w:szCs w:val="18"/>
              </w:rPr>
            </w:pPr>
            <w:r>
              <w:rPr>
                <w:rFonts w:hint="eastAsia"/>
                <w:kern w:val="0"/>
                <w:sz w:val="18"/>
                <w:szCs w:val="18"/>
              </w:rPr>
              <w:t>0.57</w:t>
            </w:r>
          </w:p>
        </w:tc>
        <w:tc>
          <w:tcPr>
            <w:tcW w:w="583" w:type="pct"/>
            <w:noWrap/>
            <w:vAlign w:val="center"/>
          </w:tcPr>
          <w:p w14:paraId="15572D37">
            <w:pPr>
              <w:widowControl/>
              <w:jc w:val="center"/>
              <w:rPr>
                <w:sz w:val="18"/>
                <w:szCs w:val="18"/>
              </w:rPr>
            </w:pPr>
            <w:r>
              <w:rPr>
                <w:rFonts w:hint="eastAsia"/>
                <w:kern w:val="0"/>
                <w:sz w:val="18"/>
                <w:szCs w:val="18"/>
              </w:rPr>
              <w:t>0.98</w:t>
            </w:r>
          </w:p>
        </w:tc>
        <w:tc>
          <w:tcPr>
            <w:tcW w:w="583" w:type="pct"/>
            <w:noWrap/>
            <w:vAlign w:val="center"/>
          </w:tcPr>
          <w:p w14:paraId="30A7966A">
            <w:pPr>
              <w:widowControl/>
              <w:jc w:val="center"/>
              <w:rPr>
                <w:sz w:val="18"/>
                <w:szCs w:val="18"/>
              </w:rPr>
            </w:pPr>
            <w:r>
              <w:rPr>
                <w:rFonts w:hint="eastAsia"/>
                <w:kern w:val="0"/>
                <w:sz w:val="18"/>
                <w:szCs w:val="18"/>
              </w:rPr>
              <w:t>1.97</w:t>
            </w:r>
          </w:p>
        </w:tc>
        <w:tc>
          <w:tcPr>
            <w:tcW w:w="583" w:type="pct"/>
            <w:noWrap/>
            <w:vAlign w:val="center"/>
          </w:tcPr>
          <w:p w14:paraId="66D508BC">
            <w:pPr>
              <w:widowControl/>
              <w:jc w:val="center"/>
              <w:rPr>
                <w:sz w:val="18"/>
                <w:szCs w:val="18"/>
              </w:rPr>
            </w:pPr>
            <w:r>
              <w:rPr>
                <w:rFonts w:hint="eastAsia"/>
                <w:kern w:val="0"/>
                <w:sz w:val="18"/>
                <w:szCs w:val="18"/>
              </w:rPr>
              <w:t>3.05</w:t>
            </w:r>
          </w:p>
        </w:tc>
        <w:tc>
          <w:tcPr>
            <w:tcW w:w="583" w:type="pct"/>
            <w:noWrap/>
            <w:vAlign w:val="center"/>
          </w:tcPr>
          <w:p w14:paraId="78B0E6CB">
            <w:pPr>
              <w:widowControl/>
              <w:jc w:val="center"/>
              <w:rPr>
                <w:sz w:val="18"/>
                <w:szCs w:val="18"/>
              </w:rPr>
            </w:pPr>
            <w:r>
              <w:rPr>
                <w:rFonts w:hint="eastAsia"/>
                <w:kern w:val="0"/>
                <w:sz w:val="18"/>
                <w:szCs w:val="18"/>
              </w:rPr>
              <w:t>4.34</w:t>
            </w:r>
          </w:p>
        </w:tc>
      </w:tr>
      <w:tr w14:paraId="76A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pct"/>
            <w:noWrap/>
            <w:vAlign w:val="center"/>
          </w:tcPr>
          <w:p w14:paraId="244D0089">
            <w:pPr>
              <w:ind w:firstLine="360"/>
              <w:jc w:val="center"/>
              <w:rPr>
                <w:bCs/>
                <w:sz w:val="18"/>
                <w:szCs w:val="18"/>
              </w:rPr>
            </w:pPr>
            <w:r>
              <w:rPr>
                <w:bCs/>
                <w:i/>
                <w:sz w:val="18"/>
                <w:szCs w:val="18"/>
              </w:rPr>
              <w:t xml:space="preserve">r </w:t>
            </w:r>
            <w:r>
              <w:rPr>
                <w:bCs/>
                <w:sz w:val="18"/>
                <w:szCs w:val="18"/>
              </w:rPr>
              <w:t>/ %</w:t>
            </w:r>
          </w:p>
        </w:tc>
        <w:tc>
          <w:tcPr>
            <w:tcW w:w="583" w:type="pct"/>
            <w:noWrap/>
            <w:vAlign w:val="center"/>
          </w:tcPr>
          <w:p w14:paraId="08D02551">
            <w:pPr>
              <w:widowControl/>
              <w:jc w:val="center"/>
              <w:rPr>
                <w:sz w:val="18"/>
                <w:szCs w:val="18"/>
              </w:rPr>
            </w:pPr>
            <w:r>
              <w:rPr>
                <w:rFonts w:hint="eastAsia"/>
                <w:kern w:val="0"/>
                <w:sz w:val="18"/>
                <w:szCs w:val="18"/>
              </w:rPr>
              <w:t xml:space="preserve">0.02 </w:t>
            </w:r>
          </w:p>
        </w:tc>
        <w:tc>
          <w:tcPr>
            <w:tcW w:w="583" w:type="pct"/>
            <w:noWrap/>
            <w:vAlign w:val="center"/>
          </w:tcPr>
          <w:p w14:paraId="6A1BE030">
            <w:pPr>
              <w:widowControl/>
              <w:jc w:val="center"/>
              <w:rPr>
                <w:sz w:val="18"/>
                <w:szCs w:val="18"/>
              </w:rPr>
            </w:pPr>
            <w:r>
              <w:rPr>
                <w:rFonts w:hint="eastAsia"/>
                <w:kern w:val="0"/>
                <w:sz w:val="18"/>
                <w:szCs w:val="18"/>
              </w:rPr>
              <w:t>0.02</w:t>
            </w:r>
          </w:p>
        </w:tc>
        <w:tc>
          <w:tcPr>
            <w:tcW w:w="583" w:type="pct"/>
            <w:noWrap/>
            <w:vAlign w:val="center"/>
          </w:tcPr>
          <w:p w14:paraId="42AD19C4">
            <w:pPr>
              <w:widowControl/>
              <w:jc w:val="center"/>
              <w:rPr>
                <w:sz w:val="18"/>
                <w:szCs w:val="18"/>
              </w:rPr>
            </w:pPr>
            <w:r>
              <w:rPr>
                <w:rFonts w:hint="eastAsia"/>
                <w:kern w:val="0"/>
                <w:sz w:val="18"/>
                <w:szCs w:val="18"/>
              </w:rPr>
              <w:t>0.03</w:t>
            </w:r>
          </w:p>
        </w:tc>
        <w:tc>
          <w:tcPr>
            <w:tcW w:w="583" w:type="pct"/>
            <w:noWrap/>
            <w:vAlign w:val="center"/>
          </w:tcPr>
          <w:p w14:paraId="127451BC">
            <w:pPr>
              <w:widowControl/>
              <w:jc w:val="center"/>
              <w:rPr>
                <w:sz w:val="18"/>
                <w:szCs w:val="18"/>
              </w:rPr>
            </w:pPr>
            <w:r>
              <w:rPr>
                <w:rFonts w:hint="eastAsia"/>
                <w:kern w:val="0"/>
                <w:sz w:val="18"/>
                <w:szCs w:val="18"/>
              </w:rPr>
              <w:t xml:space="preserve">0.03 </w:t>
            </w:r>
          </w:p>
        </w:tc>
        <w:tc>
          <w:tcPr>
            <w:tcW w:w="583" w:type="pct"/>
            <w:noWrap/>
            <w:vAlign w:val="center"/>
          </w:tcPr>
          <w:p w14:paraId="2864FBF2">
            <w:pPr>
              <w:widowControl/>
              <w:jc w:val="center"/>
              <w:rPr>
                <w:sz w:val="18"/>
                <w:szCs w:val="18"/>
              </w:rPr>
            </w:pPr>
            <w:r>
              <w:rPr>
                <w:rFonts w:hint="eastAsia"/>
                <w:kern w:val="0"/>
                <w:sz w:val="18"/>
                <w:szCs w:val="18"/>
              </w:rPr>
              <w:t xml:space="preserve">0.06 </w:t>
            </w:r>
          </w:p>
        </w:tc>
        <w:tc>
          <w:tcPr>
            <w:tcW w:w="583" w:type="pct"/>
            <w:noWrap/>
            <w:vAlign w:val="center"/>
          </w:tcPr>
          <w:p w14:paraId="3F87784B">
            <w:pPr>
              <w:widowControl/>
              <w:jc w:val="center"/>
              <w:rPr>
                <w:sz w:val="18"/>
                <w:szCs w:val="18"/>
              </w:rPr>
            </w:pPr>
            <w:r>
              <w:rPr>
                <w:rFonts w:hint="eastAsia"/>
                <w:kern w:val="0"/>
                <w:sz w:val="18"/>
                <w:szCs w:val="18"/>
              </w:rPr>
              <w:t xml:space="preserve">0.07 </w:t>
            </w:r>
          </w:p>
        </w:tc>
        <w:tc>
          <w:tcPr>
            <w:tcW w:w="583" w:type="pct"/>
            <w:noWrap/>
            <w:vAlign w:val="center"/>
          </w:tcPr>
          <w:p w14:paraId="54800FA1">
            <w:pPr>
              <w:widowControl/>
              <w:jc w:val="center"/>
              <w:rPr>
                <w:sz w:val="18"/>
                <w:szCs w:val="18"/>
              </w:rPr>
            </w:pPr>
            <w:r>
              <w:rPr>
                <w:rFonts w:hint="eastAsia"/>
                <w:kern w:val="0"/>
                <w:sz w:val="18"/>
                <w:szCs w:val="18"/>
              </w:rPr>
              <w:t xml:space="preserve">0.12 </w:t>
            </w:r>
          </w:p>
        </w:tc>
      </w:tr>
    </w:tbl>
    <w:p w14:paraId="2341CCE9">
      <w:pPr>
        <w:spacing w:before="312" w:beforeLines="100" w:after="156" w:afterLines="50"/>
        <w:rPr>
          <w:rFonts w:hint="eastAsia" w:ascii="黑体" w:hAnsi="黑体" w:eastAsia="黑体" w:cs="黑体"/>
          <w:bCs/>
          <w:szCs w:val="21"/>
        </w:rPr>
      </w:pPr>
      <w:r>
        <w:rPr>
          <w:rFonts w:hint="eastAsia" w:ascii="黑体" w:hAnsi="黑体" w:eastAsia="黑体" w:cs="黑体"/>
          <w:bCs/>
          <w:szCs w:val="21"/>
        </w:rPr>
        <w:t>5.7.2  再现性</w:t>
      </w:r>
    </w:p>
    <w:p w14:paraId="7CEA7712">
      <w:pPr>
        <w:pStyle w:val="22"/>
        <w:ind w:firstLine="420" w:firstLineChars="200"/>
        <w:rPr>
          <w:rFonts w:ascii="Times New Roman" w:hAnsi="Times New Roman" w:cs="Times New Roman"/>
          <w:color w:val="000000"/>
        </w:rPr>
      </w:pPr>
      <w:r>
        <w:rPr>
          <w:rFonts w:ascii="Times New Roman" w:hAnsi="Times New Roman" w:cs="Times New Roman"/>
          <w:color w:val="000000"/>
        </w:rPr>
        <w:t>在再现性条件下获得的两次独立测试结果的测定值，在</w:t>
      </w:r>
      <w:r>
        <w:rPr>
          <w:rFonts w:hint="eastAsia" w:ascii="Times New Roman" w:hAnsi="Times New Roman" w:cs="Times New Roman"/>
          <w:color w:val="000000"/>
          <w:lang w:val="en-US" w:eastAsia="zh-CN"/>
        </w:rPr>
        <w:t>表6</w:t>
      </w:r>
      <w:r>
        <w:rPr>
          <w:rFonts w:ascii="Times New Roman" w:hAnsi="Times New Roman" w:cs="Times New Roman"/>
          <w:color w:val="000000"/>
        </w:rPr>
        <w:t>给出的平均值范围内，这两个测试结果的绝对差值不大于再现性限（</w:t>
      </w:r>
      <w:r>
        <w:rPr>
          <w:rFonts w:ascii="Times New Roman" w:hAnsi="Times New Roman" w:cs="Times New Roman"/>
          <w:i/>
          <w:color w:val="000000"/>
        </w:rPr>
        <w:t>R</w:t>
      </w:r>
      <w:r>
        <w:rPr>
          <w:rFonts w:ascii="Times New Roman" w:hAnsi="Times New Roman" w:cs="Times New Roman"/>
          <w:color w:val="000000"/>
        </w:rPr>
        <w:t>），超过再现性限（</w:t>
      </w:r>
      <w:r>
        <w:rPr>
          <w:rFonts w:ascii="Times New Roman" w:hAnsi="Times New Roman" w:cs="Times New Roman"/>
          <w:i/>
          <w:color w:val="000000"/>
        </w:rPr>
        <w:t>R</w:t>
      </w:r>
      <w:r>
        <w:rPr>
          <w:rFonts w:ascii="Times New Roman" w:hAnsi="Times New Roman" w:cs="Times New Roman"/>
          <w:color w:val="000000"/>
        </w:rPr>
        <w:t>）的情况不超过5</w:t>
      </w:r>
      <w:r>
        <w:rPr>
          <w:rFonts w:hint="eastAsia" w:ascii="Times New Roman" w:hAnsi="Times New Roman" w:cs="Times New Roman"/>
          <w:color w:val="000000"/>
        </w:rPr>
        <w:t xml:space="preserve"> </w:t>
      </w:r>
      <w:r>
        <w:rPr>
          <w:rFonts w:ascii="Times New Roman" w:hAnsi="Times New Roman" w:cs="Times New Roman"/>
          <w:color w:val="000000"/>
        </w:rPr>
        <w:t>%，再现性限（</w:t>
      </w:r>
      <w:r>
        <w:rPr>
          <w:rFonts w:ascii="Times New Roman" w:hAnsi="Times New Roman" w:cs="Times New Roman"/>
          <w:i/>
          <w:color w:val="000000"/>
        </w:rPr>
        <w:t>R</w:t>
      </w:r>
      <w:r>
        <w:rPr>
          <w:rFonts w:ascii="Times New Roman" w:hAnsi="Times New Roman" w:cs="Times New Roman"/>
          <w:color w:val="000000"/>
        </w:rPr>
        <w:t>）按表</w:t>
      </w:r>
      <w:r>
        <w:rPr>
          <w:rFonts w:hint="eastAsia" w:ascii="Times New Roman" w:hAnsi="Times New Roman" w:cs="Times New Roman"/>
          <w:color w:val="000000"/>
        </w:rPr>
        <w:t>6</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r>
        <w:rPr>
          <w:bCs/>
        </w:rPr>
        <w:t>。</w:t>
      </w:r>
      <w:r>
        <w:rPr>
          <w:rFonts w:hint="eastAsia"/>
          <w:bCs/>
        </w:rPr>
        <w:t>精密度试验原始数据参见附录B。</w:t>
      </w:r>
    </w:p>
    <w:p w14:paraId="7154FF9B">
      <w:pPr>
        <w:spacing w:before="156" w:beforeLines="50" w:after="156" w:afterLines="50"/>
        <w:ind w:firstLine="363"/>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6  </w:t>
      </w:r>
      <w:r>
        <w:rPr>
          <w:rFonts w:hint="eastAsia" w:ascii="黑体" w:hAnsi="黑体" w:eastAsia="黑体" w:cs="黑体"/>
          <w:szCs w:val="21"/>
          <w:lang w:val="en-US" w:eastAsia="zh-CN"/>
        </w:rPr>
        <w:t>方法2</w:t>
      </w:r>
      <w:r>
        <w:rPr>
          <w:rFonts w:ascii="黑体" w:hAnsi="黑体" w:eastAsia="黑体"/>
          <w:szCs w:val="21"/>
        </w:rPr>
        <w:t>再现性限</w:t>
      </w:r>
      <w:r>
        <w:rPr>
          <w:rFonts w:ascii="黑体" w:hAnsi="黑体" w:eastAsia="黑体"/>
          <w:color w:val="000000"/>
        </w:rPr>
        <w:t>（</w:t>
      </w:r>
      <w:r>
        <w:rPr>
          <w:rFonts w:ascii="黑体" w:hAnsi="黑体" w:eastAsia="黑体"/>
          <w:i/>
          <w:color w:val="000000"/>
        </w:rPr>
        <w:t>R</w:t>
      </w:r>
      <w:r>
        <w:rPr>
          <w:rFonts w:ascii="黑体" w:hAnsi="黑体" w:eastAsia="黑体"/>
          <w:color w:val="000000"/>
        </w:rPr>
        <w:t>）</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1002"/>
        <w:gridCol w:w="1002"/>
        <w:gridCol w:w="1002"/>
        <w:gridCol w:w="1002"/>
        <w:gridCol w:w="1003"/>
        <w:gridCol w:w="1003"/>
        <w:gridCol w:w="1003"/>
      </w:tblGrid>
      <w:tr w14:paraId="094E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83" w:type="pct"/>
            <w:noWrap/>
          </w:tcPr>
          <w:p w14:paraId="170A188D">
            <w:pPr>
              <w:ind w:firstLine="420"/>
              <w:jc w:val="center"/>
              <w:rPr>
                <w:bCs/>
                <w:sz w:val="18"/>
                <w:szCs w:val="18"/>
              </w:rPr>
            </w:pPr>
            <w:r>
              <w:rPr>
                <w:rFonts w:hint="default" w:ascii="Times New Roman" w:hAnsi="Times New Roman" w:cs="Times New Roman"/>
                <w:kern w:val="0"/>
                <w:sz w:val="18"/>
                <w:szCs w:val="18"/>
              </w:rPr>
              <w:t>ω</w:t>
            </w:r>
            <w:r>
              <w:rPr>
                <w:rFonts w:hint="eastAsia"/>
                <w:kern w:val="0"/>
                <w:sz w:val="18"/>
                <w:szCs w:val="18"/>
                <w:vertAlign w:val="subscript"/>
              </w:rPr>
              <w:t>As</w:t>
            </w:r>
            <w:r>
              <w:rPr>
                <w:sz w:val="18"/>
                <w:szCs w:val="18"/>
              </w:rPr>
              <w:t>/ %</w:t>
            </w:r>
          </w:p>
        </w:tc>
        <w:tc>
          <w:tcPr>
            <w:tcW w:w="588" w:type="pct"/>
            <w:noWrap/>
            <w:vAlign w:val="center"/>
          </w:tcPr>
          <w:p w14:paraId="5EBC7FED">
            <w:pPr>
              <w:widowControl/>
              <w:jc w:val="center"/>
              <w:rPr>
                <w:sz w:val="18"/>
                <w:szCs w:val="18"/>
              </w:rPr>
            </w:pPr>
            <w:r>
              <w:rPr>
                <w:rFonts w:hint="eastAsia"/>
                <w:kern w:val="0"/>
                <w:sz w:val="18"/>
                <w:szCs w:val="18"/>
              </w:rPr>
              <w:t>0.11</w:t>
            </w:r>
          </w:p>
        </w:tc>
        <w:tc>
          <w:tcPr>
            <w:tcW w:w="588" w:type="pct"/>
            <w:noWrap/>
            <w:vAlign w:val="center"/>
          </w:tcPr>
          <w:p w14:paraId="03C8148E">
            <w:pPr>
              <w:widowControl/>
              <w:jc w:val="center"/>
              <w:rPr>
                <w:sz w:val="18"/>
                <w:szCs w:val="18"/>
              </w:rPr>
            </w:pPr>
            <w:r>
              <w:rPr>
                <w:rFonts w:hint="eastAsia"/>
                <w:kern w:val="0"/>
                <w:sz w:val="18"/>
                <w:szCs w:val="18"/>
              </w:rPr>
              <w:t>0.28</w:t>
            </w:r>
          </w:p>
        </w:tc>
        <w:tc>
          <w:tcPr>
            <w:tcW w:w="588" w:type="pct"/>
            <w:noWrap/>
            <w:vAlign w:val="center"/>
          </w:tcPr>
          <w:p w14:paraId="60A0E432">
            <w:pPr>
              <w:widowControl/>
              <w:jc w:val="center"/>
              <w:rPr>
                <w:sz w:val="18"/>
                <w:szCs w:val="18"/>
              </w:rPr>
            </w:pPr>
            <w:r>
              <w:rPr>
                <w:rFonts w:hint="eastAsia"/>
                <w:kern w:val="0"/>
                <w:sz w:val="18"/>
                <w:szCs w:val="18"/>
              </w:rPr>
              <w:t>0.57</w:t>
            </w:r>
          </w:p>
        </w:tc>
        <w:tc>
          <w:tcPr>
            <w:tcW w:w="588" w:type="pct"/>
            <w:noWrap/>
            <w:vAlign w:val="center"/>
          </w:tcPr>
          <w:p w14:paraId="729A386F">
            <w:pPr>
              <w:widowControl/>
              <w:jc w:val="center"/>
              <w:rPr>
                <w:sz w:val="18"/>
                <w:szCs w:val="18"/>
              </w:rPr>
            </w:pPr>
            <w:r>
              <w:rPr>
                <w:rFonts w:hint="eastAsia"/>
                <w:kern w:val="0"/>
                <w:sz w:val="18"/>
                <w:szCs w:val="18"/>
              </w:rPr>
              <w:t>0.98</w:t>
            </w:r>
          </w:p>
        </w:tc>
        <w:tc>
          <w:tcPr>
            <w:tcW w:w="588" w:type="pct"/>
            <w:noWrap/>
            <w:vAlign w:val="center"/>
          </w:tcPr>
          <w:p w14:paraId="78067CBE">
            <w:pPr>
              <w:widowControl/>
              <w:jc w:val="center"/>
              <w:rPr>
                <w:sz w:val="18"/>
                <w:szCs w:val="18"/>
              </w:rPr>
            </w:pPr>
            <w:r>
              <w:rPr>
                <w:rFonts w:hint="eastAsia"/>
                <w:kern w:val="0"/>
                <w:sz w:val="18"/>
                <w:szCs w:val="18"/>
              </w:rPr>
              <w:t>1.97</w:t>
            </w:r>
          </w:p>
        </w:tc>
        <w:tc>
          <w:tcPr>
            <w:tcW w:w="588" w:type="pct"/>
            <w:noWrap/>
            <w:vAlign w:val="center"/>
          </w:tcPr>
          <w:p w14:paraId="213E6A5C">
            <w:pPr>
              <w:widowControl/>
              <w:jc w:val="center"/>
              <w:rPr>
                <w:sz w:val="18"/>
                <w:szCs w:val="18"/>
              </w:rPr>
            </w:pPr>
            <w:r>
              <w:rPr>
                <w:rFonts w:hint="eastAsia"/>
                <w:kern w:val="0"/>
                <w:sz w:val="18"/>
                <w:szCs w:val="18"/>
              </w:rPr>
              <w:t>3.05</w:t>
            </w:r>
          </w:p>
        </w:tc>
        <w:tc>
          <w:tcPr>
            <w:tcW w:w="588" w:type="pct"/>
            <w:noWrap/>
            <w:vAlign w:val="center"/>
          </w:tcPr>
          <w:p w14:paraId="033D279D">
            <w:pPr>
              <w:widowControl/>
              <w:jc w:val="center"/>
              <w:rPr>
                <w:sz w:val="18"/>
                <w:szCs w:val="18"/>
              </w:rPr>
            </w:pPr>
            <w:r>
              <w:rPr>
                <w:rFonts w:hint="eastAsia"/>
                <w:kern w:val="0"/>
                <w:sz w:val="18"/>
                <w:szCs w:val="18"/>
              </w:rPr>
              <w:t>4.34</w:t>
            </w:r>
          </w:p>
        </w:tc>
      </w:tr>
      <w:tr w14:paraId="5D6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3" w:type="pct"/>
            <w:noWrap/>
          </w:tcPr>
          <w:p w14:paraId="1E8B2896">
            <w:pPr>
              <w:ind w:firstLine="360"/>
              <w:jc w:val="center"/>
              <w:rPr>
                <w:bCs/>
                <w:sz w:val="18"/>
                <w:szCs w:val="18"/>
              </w:rPr>
            </w:pPr>
            <w:r>
              <w:rPr>
                <w:bCs/>
                <w:i/>
                <w:sz w:val="18"/>
                <w:szCs w:val="18"/>
              </w:rPr>
              <w:t>R</w:t>
            </w:r>
            <w:r>
              <w:rPr>
                <w:bCs/>
                <w:sz w:val="18"/>
                <w:szCs w:val="18"/>
              </w:rPr>
              <w:t xml:space="preserve"> / %</w:t>
            </w:r>
          </w:p>
        </w:tc>
        <w:tc>
          <w:tcPr>
            <w:tcW w:w="588" w:type="pct"/>
            <w:noWrap/>
            <w:vAlign w:val="center"/>
          </w:tcPr>
          <w:p w14:paraId="3ECB4B18">
            <w:pPr>
              <w:widowControl/>
              <w:jc w:val="center"/>
              <w:rPr>
                <w:sz w:val="18"/>
                <w:szCs w:val="18"/>
              </w:rPr>
            </w:pPr>
            <w:r>
              <w:rPr>
                <w:rFonts w:hint="eastAsia"/>
                <w:kern w:val="0"/>
                <w:sz w:val="18"/>
                <w:szCs w:val="18"/>
              </w:rPr>
              <w:t xml:space="preserve">0.02 </w:t>
            </w:r>
          </w:p>
        </w:tc>
        <w:tc>
          <w:tcPr>
            <w:tcW w:w="588" w:type="pct"/>
            <w:noWrap/>
            <w:vAlign w:val="center"/>
          </w:tcPr>
          <w:p w14:paraId="4929A77C">
            <w:pPr>
              <w:widowControl/>
              <w:jc w:val="center"/>
              <w:rPr>
                <w:sz w:val="18"/>
                <w:szCs w:val="18"/>
              </w:rPr>
            </w:pPr>
            <w:r>
              <w:rPr>
                <w:rFonts w:hint="eastAsia"/>
                <w:kern w:val="0"/>
                <w:sz w:val="18"/>
                <w:szCs w:val="18"/>
              </w:rPr>
              <w:t xml:space="preserve">0.04 </w:t>
            </w:r>
          </w:p>
        </w:tc>
        <w:tc>
          <w:tcPr>
            <w:tcW w:w="588" w:type="pct"/>
            <w:noWrap/>
            <w:vAlign w:val="center"/>
          </w:tcPr>
          <w:p w14:paraId="71ACBA8E">
            <w:pPr>
              <w:widowControl/>
              <w:jc w:val="center"/>
              <w:rPr>
                <w:sz w:val="18"/>
                <w:szCs w:val="18"/>
              </w:rPr>
            </w:pPr>
            <w:r>
              <w:rPr>
                <w:rFonts w:hint="eastAsia"/>
                <w:kern w:val="0"/>
                <w:sz w:val="18"/>
                <w:szCs w:val="18"/>
              </w:rPr>
              <w:t xml:space="preserve">0.06 </w:t>
            </w:r>
          </w:p>
        </w:tc>
        <w:tc>
          <w:tcPr>
            <w:tcW w:w="588" w:type="pct"/>
            <w:noWrap/>
            <w:vAlign w:val="center"/>
          </w:tcPr>
          <w:p w14:paraId="22A8476C">
            <w:pPr>
              <w:widowControl/>
              <w:jc w:val="center"/>
              <w:rPr>
                <w:sz w:val="18"/>
                <w:szCs w:val="18"/>
              </w:rPr>
            </w:pPr>
            <w:r>
              <w:rPr>
                <w:rFonts w:hint="eastAsia"/>
                <w:kern w:val="0"/>
                <w:sz w:val="18"/>
                <w:szCs w:val="18"/>
              </w:rPr>
              <w:t xml:space="preserve">0.07 </w:t>
            </w:r>
          </w:p>
        </w:tc>
        <w:tc>
          <w:tcPr>
            <w:tcW w:w="588" w:type="pct"/>
            <w:noWrap/>
            <w:vAlign w:val="center"/>
          </w:tcPr>
          <w:p w14:paraId="01B41387">
            <w:pPr>
              <w:widowControl/>
              <w:jc w:val="center"/>
              <w:rPr>
                <w:sz w:val="18"/>
                <w:szCs w:val="18"/>
              </w:rPr>
            </w:pPr>
            <w:r>
              <w:rPr>
                <w:rFonts w:hint="eastAsia"/>
                <w:kern w:val="0"/>
                <w:sz w:val="18"/>
                <w:szCs w:val="18"/>
              </w:rPr>
              <w:t>0.08</w:t>
            </w:r>
          </w:p>
        </w:tc>
        <w:tc>
          <w:tcPr>
            <w:tcW w:w="588" w:type="pct"/>
            <w:noWrap/>
            <w:vAlign w:val="center"/>
          </w:tcPr>
          <w:p w14:paraId="7F861AFF">
            <w:pPr>
              <w:widowControl/>
              <w:jc w:val="center"/>
              <w:rPr>
                <w:sz w:val="18"/>
                <w:szCs w:val="18"/>
              </w:rPr>
            </w:pPr>
            <w:r>
              <w:rPr>
                <w:rFonts w:hint="eastAsia"/>
                <w:kern w:val="0"/>
                <w:sz w:val="18"/>
                <w:szCs w:val="18"/>
              </w:rPr>
              <w:t xml:space="preserve">0.15 </w:t>
            </w:r>
          </w:p>
        </w:tc>
        <w:tc>
          <w:tcPr>
            <w:tcW w:w="588" w:type="pct"/>
            <w:noWrap/>
            <w:vAlign w:val="center"/>
          </w:tcPr>
          <w:p w14:paraId="7B0427DE">
            <w:pPr>
              <w:widowControl/>
              <w:jc w:val="center"/>
              <w:rPr>
                <w:sz w:val="18"/>
                <w:szCs w:val="18"/>
              </w:rPr>
            </w:pPr>
            <w:r>
              <w:rPr>
                <w:rFonts w:hint="eastAsia"/>
                <w:kern w:val="0"/>
                <w:sz w:val="18"/>
                <w:szCs w:val="18"/>
              </w:rPr>
              <w:t xml:space="preserve">0.22 </w:t>
            </w:r>
          </w:p>
        </w:tc>
      </w:tr>
    </w:tbl>
    <w:p w14:paraId="6C460C04">
      <w:pPr>
        <w:spacing w:before="156" w:beforeLines="50" w:after="156" w:afterLines="50"/>
        <w:rPr>
          <w:szCs w:val="21"/>
        </w:rPr>
      </w:pPr>
      <w:r>
        <w:rPr>
          <w:rFonts w:hint="eastAsia" w:ascii="黑体" w:hAnsi="黑体" w:eastAsia="黑体" w:cs="黑体"/>
          <w:bCs/>
          <w:szCs w:val="21"/>
        </w:rPr>
        <w:t>6  方法3  二乙基二硫代氨基甲酸银分光光度法</w:t>
      </w:r>
    </w:p>
    <w:p w14:paraId="7B6EBD8C">
      <w:pPr>
        <w:spacing w:before="156" w:beforeLines="50" w:after="156" w:afterLines="50"/>
        <w:rPr>
          <w:b/>
          <w:bCs/>
          <w:szCs w:val="21"/>
        </w:rPr>
      </w:pPr>
      <w:r>
        <w:rPr>
          <w:rFonts w:hint="eastAsia" w:ascii="黑体" w:hAnsi="黑体" w:eastAsia="黑体" w:cs="黑体"/>
          <w:bCs/>
          <w:szCs w:val="21"/>
        </w:rPr>
        <w:t>6.1  原理</w:t>
      </w:r>
    </w:p>
    <w:p w14:paraId="65894E33">
      <w:pPr>
        <w:pStyle w:val="60"/>
        <w:autoSpaceDE/>
        <w:autoSpaceDN/>
        <w:ind w:firstLine="420"/>
        <w:rPr>
          <w:rFonts w:hint="eastAsia" w:hAnsi="宋体" w:cs="宋体"/>
          <w:color w:val="000000"/>
          <w:szCs w:val="21"/>
        </w:rPr>
      </w:pPr>
      <w:r>
        <w:rPr>
          <w:rFonts w:hint="eastAsia" w:ascii="Times New Roman"/>
          <w:szCs w:val="21"/>
        </w:rPr>
        <w:t>试料经氯酸钾</w:t>
      </w:r>
      <w:r>
        <w:rPr>
          <w:rFonts w:hint="eastAsia" w:ascii="Times New Roman"/>
          <w:szCs w:val="21"/>
          <w:lang w:val="en-US" w:eastAsia="zh-CN"/>
        </w:rPr>
        <w:t>-</w:t>
      </w:r>
      <w:r>
        <w:rPr>
          <w:rFonts w:hint="eastAsia" w:ascii="Times New Roman"/>
          <w:szCs w:val="21"/>
        </w:rPr>
        <w:t>硝酸溶液、氟化氢铵、硫酸分解。</w:t>
      </w:r>
      <w:r>
        <w:rPr>
          <w:rFonts w:hint="eastAsia" w:hAnsi="宋体" w:cs="宋体"/>
          <w:color w:val="000000"/>
          <w:szCs w:val="21"/>
        </w:rPr>
        <w:t>于</w:t>
      </w:r>
      <w:r>
        <w:rPr>
          <w:rFonts w:hint="eastAsia" w:ascii="Times New Roman"/>
          <w:kern w:val="2"/>
          <w:szCs w:val="21"/>
        </w:rPr>
        <w:t>1.2</w:t>
      </w:r>
      <w:r>
        <w:rPr>
          <w:rFonts w:hint="eastAsia" w:hAnsi="宋体" w:cs="宋体"/>
          <w:color w:val="000000"/>
          <w:szCs w:val="21"/>
        </w:rPr>
        <w:t xml:space="preserve"> </w:t>
      </w:r>
      <w:r>
        <w:rPr>
          <w:rFonts w:hint="eastAsia" w:ascii="Times New Roman"/>
          <w:kern w:val="2"/>
          <w:szCs w:val="21"/>
        </w:rPr>
        <w:t>mol/L</w:t>
      </w:r>
      <w:r>
        <w:rPr>
          <w:rFonts w:hint="eastAsia" w:hAnsi="宋体" w:cs="宋体"/>
          <w:color w:val="000000"/>
          <w:szCs w:val="21"/>
        </w:rPr>
        <w:t>硫酸介质中砷被锌还原，生成的砷化氢气体采用铜试剂银盐三氯甲烷溶液吸收。砷化氢还原二乙基二硫代氨基甲酸银中的银，析出的银呈单质胶态并显红色，于分光光度计</w:t>
      </w:r>
      <w:r>
        <w:rPr>
          <w:rFonts w:hint="eastAsia" w:ascii="Times New Roman"/>
          <w:kern w:val="2"/>
          <w:szCs w:val="21"/>
        </w:rPr>
        <w:t>530 nm</w:t>
      </w:r>
      <w:r>
        <w:rPr>
          <w:rFonts w:hint="eastAsia" w:hAnsi="宋体" w:cs="宋体"/>
          <w:color w:val="000000"/>
          <w:szCs w:val="21"/>
        </w:rPr>
        <w:t>处测量吸光度，按标准曲线法计算砷</w:t>
      </w:r>
      <w:r>
        <w:rPr>
          <w:rFonts w:hint="eastAsia" w:hAnsi="宋体" w:cs="宋体"/>
          <w:color w:val="000000"/>
          <w:szCs w:val="21"/>
          <w:lang w:val="en-US" w:eastAsia="zh-CN"/>
        </w:rPr>
        <w:t>含</w:t>
      </w:r>
      <w:r>
        <w:rPr>
          <w:rFonts w:hint="eastAsia" w:hAnsi="宋体" w:cs="宋体"/>
          <w:color w:val="000000"/>
          <w:szCs w:val="21"/>
        </w:rPr>
        <w:t>量。</w:t>
      </w:r>
    </w:p>
    <w:p w14:paraId="24F88CB3">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6.2  试剂</w:t>
      </w:r>
    </w:p>
    <w:p w14:paraId="6C6EC25F">
      <w:pPr>
        <w:ind w:firstLine="420" w:firstLineChars="200"/>
        <w:rPr>
          <w:szCs w:val="21"/>
        </w:rPr>
      </w:pPr>
      <w:r>
        <w:rPr>
          <w:rFonts w:hint="eastAsia"/>
          <w:szCs w:val="21"/>
        </w:rPr>
        <w:t>除非另有说明，在分析中仅使用确认为分析纯的试剂。</w:t>
      </w:r>
    </w:p>
    <w:p w14:paraId="0CF282FC">
      <w:pPr>
        <w:rPr>
          <w:szCs w:val="21"/>
        </w:rPr>
      </w:pPr>
      <w:r>
        <w:rPr>
          <w:rFonts w:hint="eastAsia" w:ascii="黑体" w:hAnsi="黑体" w:eastAsia="黑体"/>
          <w:szCs w:val="21"/>
        </w:rPr>
        <w:t>6.2.</w:t>
      </w:r>
      <w:r>
        <w:rPr>
          <w:rFonts w:ascii="黑体" w:hAnsi="黑体" w:eastAsia="黑体" w:cs="黑体"/>
          <w:szCs w:val="21"/>
        </w:rPr>
        <w:t>1</w:t>
      </w:r>
      <w:r>
        <w:rPr>
          <w:rFonts w:hint="eastAsia" w:ascii="黑体" w:hAnsi="黑体" w:eastAsia="黑体" w:cs="黑体"/>
          <w:szCs w:val="21"/>
        </w:rPr>
        <w:t xml:space="preserve">  </w:t>
      </w:r>
      <w:r>
        <w:rPr>
          <w:szCs w:val="21"/>
        </w:rPr>
        <w:t>水，GB/T 6682，三级。</w:t>
      </w:r>
    </w:p>
    <w:p w14:paraId="08E96E70">
      <w:pPr>
        <w:rPr>
          <w:szCs w:val="21"/>
        </w:rPr>
      </w:pPr>
      <w:r>
        <w:rPr>
          <w:rFonts w:hint="eastAsia" w:ascii="黑体" w:hAnsi="黑体" w:eastAsia="黑体"/>
          <w:szCs w:val="21"/>
        </w:rPr>
        <w:t>6.2.2</w:t>
      </w:r>
      <w:r>
        <w:rPr>
          <w:rFonts w:hint="eastAsia"/>
          <w:szCs w:val="21"/>
        </w:rPr>
        <w:t xml:space="preserve">  无砷锌粒。</w:t>
      </w:r>
    </w:p>
    <w:p w14:paraId="668E155F">
      <w:pPr>
        <w:rPr>
          <w:szCs w:val="21"/>
        </w:rPr>
      </w:pPr>
      <w:r>
        <w:rPr>
          <w:rFonts w:hint="eastAsia" w:ascii="黑体" w:hAnsi="黑体" w:eastAsia="黑体"/>
          <w:szCs w:val="21"/>
        </w:rPr>
        <w:t xml:space="preserve">6.2.3 </w:t>
      </w:r>
      <w:r>
        <w:rPr>
          <w:rFonts w:hint="eastAsia"/>
          <w:szCs w:val="21"/>
        </w:rPr>
        <w:t xml:space="preserve"> 氯酸钾</w:t>
      </w:r>
      <w:r>
        <w:rPr>
          <w:rFonts w:hint="eastAsia"/>
          <w:szCs w:val="21"/>
          <w:lang w:val="en-US" w:eastAsia="zh-CN"/>
        </w:rPr>
        <w:t>-</w:t>
      </w:r>
      <w:r>
        <w:rPr>
          <w:rFonts w:hint="eastAsia"/>
          <w:szCs w:val="21"/>
        </w:rPr>
        <w:t>硝酸溶液（</w:t>
      </w:r>
      <w:r>
        <w:rPr>
          <w:rFonts w:hint="eastAsia" w:ascii="Times New Roman" w:hAnsi="Times New Roman" w:eastAsia="宋体" w:cs="Times New Roman"/>
          <w:kern w:val="2"/>
          <w:sz w:val="21"/>
          <w:szCs w:val="21"/>
          <w:lang w:val="en-US" w:eastAsia="zh-CN" w:bidi="ar-SA"/>
        </w:rPr>
        <w:t>80 g/L</w:t>
      </w:r>
      <w:r>
        <w:rPr>
          <w:rFonts w:hint="eastAsia"/>
          <w:szCs w:val="21"/>
        </w:rPr>
        <w:t>）：称取40 g氯酸钾用300 mL硝酸（</w:t>
      </w:r>
      <w:r>
        <w:rPr>
          <w:i/>
          <w:iCs/>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rPr>
        <w:t>）溶解，再用硝酸（</w:t>
      </w:r>
      <w:r>
        <w:rPr>
          <w:i/>
          <w:iCs/>
          <w:szCs w:val="21"/>
        </w:rPr>
        <w:t>ρ</w:t>
      </w:r>
      <w:r>
        <w:rPr>
          <w:rFonts w:hint="eastAsia"/>
          <w:szCs w:val="21"/>
        </w:rPr>
        <w:t xml:space="preserve">= </w:t>
      </w:r>
      <w:r>
        <w:rPr>
          <w:szCs w:val="21"/>
        </w:rPr>
        <w:t>1.</w:t>
      </w:r>
      <w:r>
        <w:rPr>
          <w:rFonts w:hint="eastAsia"/>
          <w:szCs w:val="21"/>
        </w:rPr>
        <w:t xml:space="preserve">42 </w:t>
      </w:r>
      <w:r>
        <w:rPr>
          <w:szCs w:val="21"/>
        </w:rPr>
        <w:t>g/mL</w:t>
      </w:r>
      <w:r>
        <w:rPr>
          <w:rFonts w:hint="eastAsia"/>
          <w:szCs w:val="21"/>
        </w:rPr>
        <w:t>）稀释至500 mL，混匀。</w:t>
      </w:r>
    </w:p>
    <w:p w14:paraId="64AE5E7D">
      <w:pPr>
        <w:rPr>
          <w:szCs w:val="21"/>
        </w:rPr>
      </w:pPr>
      <w:r>
        <w:rPr>
          <w:rFonts w:hint="eastAsia" w:ascii="黑体" w:hAnsi="黑体" w:eastAsia="黑体"/>
          <w:szCs w:val="21"/>
        </w:rPr>
        <w:t>6.2.4</w:t>
      </w:r>
      <w:r>
        <w:rPr>
          <w:rFonts w:hint="eastAsia"/>
          <w:szCs w:val="21"/>
        </w:rPr>
        <w:t xml:space="preserve">  硫酸(1+1)。</w:t>
      </w:r>
    </w:p>
    <w:p w14:paraId="380DCD61">
      <w:pPr>
        <w:rPr>
          <w:szCs w:val="21"/>
        </w:rPr>
      </w:pPr>
      <w:r>
        <w:rPr>
          <w:rFonts w:hint="eastAsia" w:ascii="黑体" w:hAnsi="黑体" w:eastAsia="黑体"/>
          <w:szCs w:val="21"/>
        </w:rPr>
        <w:t xml:space="preserve">6.2.5 </w:t>
      </w:r>
      <w:r>
        <w:rPr>
          <w:rFonts w:hint="eastAsia"/>
          <w:szCs w:val="21"/>
        </w:rPr>
        <w:t xml:space="preserve"> 氟化氢铵溶液（300 g/L）。</w:t>
      </w:r>
    </w:p>
    <w:p w14:paraId="1FEDF248">
      <w:pPr>
        <w:rPr>
          <w:szCs w:val="21"/>
        </w:rPr>
      </w:pPr>
      <w:r>
        <w:rPr>
          <w:rFonts w:hint="eastAsia" w:ascii="黑体" w:hAnsi="黑体" w:eastAsia="黑体"/>
          <w:szCs w:val="21"/>
        </w:rPr>
        <w:t>6.2.6</w:t>
      </w:r>
      <w:r>
        <w:rPr>
          <w:rFonts w:hint="eastAsia"/>
          <w:szCs w:val="21"/>
        </w:rPr>
        <w:t xml:space="preserve">  硫酸铁铵溶液(20 g/L)。</w:t>
      </w:r>
    </w:p>
    <w:p w14:paraId="60EF2A4D">
      <w:pPr>
        <w:rPr>
          <w:szCs w:val="21"/>
        </w:rPr>
      </w:pPr>
      <w:r>
        <w:rPr>
          <w:rFonts w:hint="eastAsia" w:ascii="黑体" w:hAnsi="黑体" w:eastAsia="黑体"/>
          <w:szCs w:val="21"/>
        </w:rPr>
        <w:t xml:space="preserve">6.2.7 </w:t>
      </w:r>
      <w:r>
        <w:rPr>
          <w:rFonts w:hint="eastAsia"/>
          <w:szCs w:val="21"/>
        </w:rPr>
        <w:t xml:space="preserve"> 硫酸铜溶液(20 g/L)。</w:t>
      </w:r>
    </w:p>
    <w:p w14:paraId="0007058A">
      <w:pPr>
        <w:rPr>
          <w:szCs w:val="21"/>
        </w:rPr>
      </w:pPr>
      <w:r>
        <w:rPr>
          <w:rFonts w:hint="eastAsia" w:ascii="黑体" w:hAnsi="黑体" w:eastAsia="黑体"/>
          <w:szCs w:val="21"/>
        </w:rPr>
        <w:t>6.2.8</w:t>
      </w:r>
      <w:r>
        <w:rPr>
          <w:rFonts w:hint="eastAsia"/>
          <w:szCs w:val="21"/>
        </w:rPr>
        <w:t xml:space="preserve">  碘化钾溶液(300 g/L)。</w:t>
      </w:r>
    </w:p>
    <w:p w14:paraId="5672B2DB">
      <w:pPr>
        <w:rPr>
          <w:szCs w:val="21"/>
        </w:rPr>
      </w:pPr>
      <w:r>
        <w:rPr>
          <w:rFonts w:hint="eastAsia" w:ascii="黑体" w:hAnsi="黑体" w:eastAsia="黑体"/>
          <w:szCs w:val="21"/>
        </w:rPr>
        <w:t>6.2.9</w:t>
      </w:r>
      <w:r>
        <w:rPr>
          <w:rFonts w:hint="eastAsia"/>
          <w:szCs w:val="21"/>
        </w:rPr>
        <w:t xml:space="preserve">  氯化亚锡溶液(200 g/L)：称取20 g氯化亚锡(SnCl</w:t>
      </w:r>
      <w:r>
        <w:rPr>
          <w:rFonts w:hint="eastAsia"/>
          <w:szCs w:val="21"/>
          <w:vertAlign w:val="subscript"/>
        </w:rPr>
        <w:t>2</w:t>
      </w:r>
      <w:r>
        <w:rPr>
          <w:szCs w:val="21"/>
        </w:rPr>
        <w:t>·</w:t>
      </w:r>
      <w:r>
        <w:rPr>
          <w:rFonts w:hint="eastAsia"/>
          <w:szCs w:val="21"/>
        </w:rPr>
        <w:t>2H</w:t>
      </w:r>
      <w:r>
        <w:rPr>
          <w:rFonts w:hint="eastAsia"/>
          <w:szCs w:val="21"/>
          <w:vertAlign w:val="subscript"/>
        </w:rPr>
        <w:t>2</w:t>
      </w:r>
      <w:r>
        <w:rPr>
          <w:rFonts w:hint="eastAsia"/>
          <w:szCs w:val="21"/>
        </w:rPr>
        <w:t>O)于250 mL烧杯中，加入30 mL盐酸（1+1)，加热溶解，冷却，用水稀释至100 mL，混匀。</w:t>
      </w:r>
    </w:p>
    <w:p w14:paraId="24B6A3BC">
      <w:pPr>
        <w:rPr>
          <w:szCs w:val="21"/>
        </w:rPr>
      </w:pPr>
      <w:r>
        <w:rPr>
          <w:rFonts w:hint="eastAsia" w:ascii="黑体" w:hAnsi="黑体" w:eastAsia="黑体"/>
          <w:szCs w:val="21"/>
        </w:rPr>
        <w:t>6.2.10</w:t>
      </w:r>
      <w:r>
        <w:rPr>
          <w:rFonts w:hint="eastAsia"/>
          <w:szCs w:val="21"/>
        </w:rPr>
        <w:t xml:space="preserve">  酒石酸溶液(500 g/L)。</w:t>
      </w:r>
    </w:p>
    <w:p w14:paraId="44298F46">
      <w:pPr>
        <w:rPr>
          <w:szCs w:val="21"/>
        </w:rPr>
      </w:pPr>
      <w:r>
        <w:rPr>
          <w:rFonts w:hint="eastAsia" w:ascii="黑体" w:hAnsi="黑体" w:eastAsia="黑体"/>
          <w:szCs w:val="21"/>
        </w:rPr>
        <w:t xml:space="preserve">6.2.11 </w:t>
      </w:r>
      <w:r>
        <w:rPr>
          <w:rFonts w:hint="eastAsia"/>
          <w:szCs w:val="21"/>
        </w:rPr>
        <w:t xml:space="preserve"> 三氯甲烷。</w:t>
      </w:r>
    </w:p>
    <w:p w14:paraId="2254CDF6">
      <w:pPr>
        <w:rPr>
          <w:szCs w:val="21"/>
        </w:rPr>
      </w:pPr>
      <w:r>
        <w:rPr>
          <w:rFonts w:hint="eastAsia" w:ascii="黑体" w:hAnsi="黑体" w:eastAsia="黑体"/>
          <w:szCs w:val="21"/>
        </w:rPr>
        <w:t>6.2.12</w:t>
      </w:r>
      <w:r>
        <w:rPr>
          <w:rFonts w:hint="eastAsia"/>
          <w:szCs w:val="21"/>
        </w:rPr>
        <w:t xml:space="preserve">  三乙醇胺溶液（4+96）：将20 mL三乙醇胺加入至480 mL三氯甲烷</w:t>
      </w:r>
      <w:r>
        <w:rPr>
          <w:rFonts w:hint="eastAsia"/>
          <w:szCs w:val="21"/>
          <w:lang w:eastAsia="zh-CN"/>
        </w:rPr>
        <w:t>（</w:t>
      </w:r>
      <w:r>
        <w:rPr>
          <w:rFonts w:hint="eastAsia"/>
          <w:szCs w:val="21"/>
          <w:lang w:val="en-US" w:eastAsia="zh-CN"/>
        </w:rPr>
        <w:t>6.2.11</w:t>
      </w:r>
      <w:r>
        <w:rPr>
          <w:rFonts w:hint="eastAsia"/>
          <w:szCs w:val="21"/>
          <w:lang w:eastAsia="zh-CN"/>
        </w:rPr>
        <w:t>）</w:t>
      </w:r>
      <w:r>
        <w:rPr>
          <w:rFonts w:hint="eastAsia"/>
          <w:szCs w:val="21"/>
        </w:rPr>
        <w:t>中，混匀。</w:t>
      </w:r>
    </w:p>
    <w:p w14:paraId="49A560FF">
      <w:pPr>
        <w:rPr>
          <w:szCs w:val="21"/>
        </w:rPr>
      </w:pPr>
      <w:r>
        <w:rPr>
          <w:rFonts w:hint="eastAsia" w:ascii="黑体" w:hAnsi="黑体" w:eastAsia="黑体"/>
          <w:szCs w:val="21"/>
        </w:rPr>
        <w:t xml:space="preserve">6.2.13 </w:t>
      </w:r>
      <w:r>
        <w:rPr>
          <w:rFonts w:hint="eastAsia"/>
          <w:szCs w:val="21"/>
        </w:rPr>
        <w:t xml:space="preserve"> 乙酸铅脱脂棉：将脱脂棉浸入含有乙酸</w:t>
      </w:r>
      <w:r>
        <w:rPr>
          <w:rFonts w:hint="eastAsia" w:ascii="Times New Roman" w:hAnsi="Times New Roman" w:eastAsia="宋体" w:cs="Times New Roman"/>
          <w:kern w:val="2"/>
          <w:sz w:val="21"/>
          <w:szCs w:val="21"/>
          <w:lang w:val="en-US" w:eastAsia="zh-CN" w:bidi="ar-SA"/>
        </w:rPr>
        <w:t>(0.5</w:t>
      </w:r>
      <w:r>
        <w:rPr>
          <w:rFonts w:hint="eastAsia"/>
          <w:szCs w:val="21"/>
        </w:rPr>
        <w:t xml:space="preserve"> %</w:t>
      </w:r>
      <w:r>
        <w:rPr>
          <w:rFonts w:hint="eastAsia"/>
          <w:szCs w:val="21"/>
          <w:lang w:eastAsia="zh-CN"/>
        </w:rPr>
        <w:t>，</w:t>
      </w:r>
      <w:r>
        <w:rPr>
          <w:rFonts w:hint="eastAsia"/>
          <w:i/>
          <w:iCs/>
          <w:szCs w:val="21"/>
          <w:lang w:val="en-US" w:eastAsia="zh-CN"/>
        </w:rPr>
        <w:t>V</w:t>
      </w:r>
      <w:r>
        <w:rPr>
          <w:rFonts w:hint="eastAsia"/>
          <w:szCs w:val="21"/>
          <w:lang w:val="en-US" w:eastAsia="zh-CN"/>
        </w:rPr>
        <w:t>/</w:t>
      </w:r>
      <w:r>
        <w:rPr>
          <w:rFonts w:hint="eastAsia"/>
          <w:i/>
          <w:iCs/>
          <w:szCs w:val="21"/>
          <w:lang w:val="en-US" w:eastAsia="zh-CN"/>
        </w:rPr>
        <w:t>V</w:t>
      </w:r>
      <w:r>
        <w:rPr>
          <w:rFonts w:hint="eastAsia"/>
          <w:szCs w:val="21"/>
        </w:rPr>
        <w:t>)的乙酸铅(100 g/L)溶液中，浸透后取出，在空气中干燥后备用。</w:t>
      </w:r>
    </w:p>
    <w:p w14:paraId="18A228C9">
      <w:pPr>
        <w:rPr>
          <w:szCs w:val="21"/>
        </w:rPr>
      </w:pPr>
      <w:r>
        <w:rPr>
          <w:rFonts w:hint="eastAsia" w:ascii="黑体" w:hAnsi="黑体" w:eastAsia="黑体"/>
          <w:szCs w:val="21"/>
        </w:rPr>
        <w:t xml:space="preserve">6.2.14 </w:t>
      </w:r>
      <w:r>
        <w:rPr>
          <w:rFonts w:hint="eastAsia"/>
          <w:szCs w:val="21"/>
        </w:rPr>
        <w:t xml:space="preserve"> 二乙基二硫代氨基甲酸银(以下简称铜试剂银盐)三氯甲烷溶液(</w:t>
      </w:r>
      <w:r>
        <w:rPr>
          <w:rFonts w:hint="eastAsia" w:ascii="Times New Roman" w:hAnsi="Times New Roman" w:eastAsia="宋体" w:cs="Times New Roman"/>
          <w:kern w:val="2"/>
          <w:sz w:val="21"/>
          <w:szCs w:val="21"/>
          <w:lang w:val="en-US" w:eastAsia="zh-CN" w:bidi="ar-SA"/>
        </w:rPr>
        <w:t xml:space="preserve">5 </w:t>
      </w:r>
      <w:r>
        <w:rPr>
          <w:rFonts w:hint="eastAsia"/>
          <w:szCs w:val="21"/>
        </w:rPr>
        <w:t>g/L)：称取2.5 g铜试剂银盐于500 mL试剂瓶中，加入500 mL三乙醇胺溶液(6.2.12)，振荡使其溶解。静置过夜。过滤，贮存于棕色试剂瓶中。使用期应不超过7天。</w:t>
      </w:r>
    </w:p>
    <w:p w14:paraId="164ABC53">
      <w:pPr>
        <w:rPr>
          <w:szCs w:val="21"/>
        </w:rPr>
      </w:pPr>
      <w:r>
        <w:rPr>
          <w:rFonts w:hint="eastAsia" w:ascii="黑体" w:hAnsi="黑体" w:eastAsia="黑体"/>
          <w:szCs w:val="21"/>
        </w:rPr>
        <w:t>6.2.15</w:t>
      </w:r>
      <w:r>
        <w:rPr>
          <w:rFonts w:hint="eastAsia"/>
          <w:szCs w:val="21"/>
        </w:rPr>
        <w:t xml:space="preserve">  砷标准贮存溶液：称取0.1320 g基准三氧化二砷(预先在100 ℃~105 ℃烘1 h，置于干燥器中冷至室温)于100 mL烧杯中，加5 mL氢氧化钠溶液(200 g/L)</w:t>
      </w:r>
      <w:r>
        <w:rPr>
          <w:rFonts w:hint="eastAsia"/>
          <w:szCs w:val="21"/>
          <w:lang w:eastAsia="zh-CN"/>
        </w:rPr>
        <w:t>，</w:t>
      </w:r>
      <w:r>
        <w:rPr>
          <w:rFonts w:hint="eastAsia"/>
          <w:szCs w:val="21"/>
        </w:rPr>
        <w:t>低温加热使其溶解，加</w:t>
      </w:r>
      <w:r>
        <w:rPr>
          <w:rFonts w:hint="eastAsia"/>
          <w:szCs w:val="21"/>
          <w:lang w:val="en-US" w:eastAsia="zh-CN"/>
        </w:rPr>
        <w:t>入</w:t>
      </w:r>
      <w:r>
        <w:rPr>
          <w:rFonts w:hint="eastAsia"/>
          <w:szCs w:val="21"/>
        </w:rPr>
        <w:t>50 mL水，</w:t>
      </w:r>
      <w:r>
        <w:rPr>
          <w:rFonts w:hint="eastAsia"/>
          <w:szCs w:val="21"/>
          <w:lang w:val="en-US" w:eastAsia="zh-CN"/>
        </w:rPr>
        <w:t>加入</w:t>
      </w:r>
      <w:r>
        <w:rPr>
          <w:rFonts w:hint="eastAsia"/>
          <w:szCs w:val="21"/>
        </w:rPr>
        <w:t>2滴酚酞乙醇溶液(1 g/L)，用硫酸(6.2.4)中和至红色刚消失后再过量2 mL，移入1</w:t>
      </w:r>
      <w:r>
        <w:rPr>
          <w:rFonts w:hint="eastAsia" w:ascii="Times New Roman" w:hAnsi="Times New Roman" w:eastAsia="宋体" w:cs="Times New Roman"/>
          <w:kern w:val="2"/>
          <w:sz w:val="21"/>
          <w:szCs w:val="21"/>
          <w:lang w:val="en-US" w:eastAsia="zh-CN" w:bidi="ar-SA"/>
        </w:rPr>
        <w:t xml:space="preserve"> L</w:t>
      </w:r>
      <w:r>
        <w:rPr>
          <w:rFonts w:hint="eastAsia"/>
          <w:szCs w:val="21"/>
        </w:rPr>
        <w:t xml:space="preserve">容量瓶中，用水稀释至刻度，混匀，此溶液1 mL含100 </w:t>
      </w:r>
      <w:r>
        <w:rPr>
          <w:szCs w:val="21"/>
        </w:rPr>
        <w:t>μ</w:t>
      </w:r>
      <w:r>
        <w:rPr>
          <w:rFonts w:hint="eastAsia"/>
          <w:szCs w:val="21"/>
        </w:rPr>
        <w:t>g砷。</w:t>
      </w:r>
    </w:p>
    <w:p w14:paraId="2699ACA5">
      <w:pPr>
        <w:rPr>
          <w:szCs w:val="21"/>
        </w:rPr>
      </w:pPr>
      <w:r>
        <w:rPr>
          <w:rFonts w:hint="eastAsia" w:ascii="黑体" w:hAnsi="黑体" w:eastAsia="黑体"/>
          <w:szCs w:val="21"/>
        </w:rPr>
        <w:t>6.2.16</w:t>
      </w:r>
      <w:r>
        <w:rPr>
          <w:rFonts w:hint="eastAsia"/>
          <w:szCs w:val="21"/>
        </w:rPr>
        <w:t xml:space="preserve">  砷标准溶液：移取20.00 mL砷标准贮存溶液(6.2.15)于500 mL容量瓶中，用水稀释至刻度，混匀。此溶液1 mL含4 </w:t>
      </w:r>
      <w:r>
        <w:rPr>
          <w:szCs w:val="21"/>
        </w:rPr>
        <w:t>μ</w:t>
      </w:r>
      <w:r>
        <w:rPr>
          <w:rFonts w:hint="eastAsia"/>
          <w:szCs w:val="21"/>
        </w:rPr>
        <w:t>g砷。</w:t>
      </w:r>
    </w:p>
    <w:p w14:paraId="1B07C247">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6.3  仪器</w:t>
      </w:r>
    </w:p>
    <w:p w14:paraId="4210F116">
      <w:pPr>
        <w:rPr>
          <w:szCs w:val="21"/>
        </w:rPr>
      </w:pPr>
      <w:r>
        <w:rPr>
          <w:rFonts w:hint="eastAsia" w:ascii="黑体" w:hAnsi="黑体" w:eastAsia="黑体"/>
          <w:szCs w:val="21"/>
        </w:rPr>
        <w:t>6.3.1</w:t>
      </w:r>
      <w:r>
        <w:rPr>
          <w:rFonts w:hint="eastAsia"/>
          <w:szCs w:val="21"/>
        </w:rPr>
        <w:t xml:space="preserve">  分光光度计。</w:t>
      </w:r>
    </w:p>
    <w:p w14:paraId="1832A3A4">
      <w:pPr>
        <w:rPr>
          <w:szCs w:val="21"/>
        </w:rPr>
      </w:pPr>
      <w:r>
        <w:rPr>
          <w:rFonts w:hint="eastAsia" w:ascii="黑体" w:hAnsi="黑体" w:eastAsia="黑体"/>
          <w:szCs w:val="21"/>
        </w:rPr>
        <w:t xml:space="preserve">6.3.2 </w:t>
      </w:r>
      <w:r>
        <w:rPr>
          <w:rFonts w:hint="eastAsia"/>
          <w:szCs w:val="21"/>
        </w:rPr>
        <w:t xml:space="preserve"> 砷化氢气体发生-吸收装置，如图2所示。</w:t>
      </w:r>
    </w:p>
    <w:p w14:paraId="774905CA">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6.4  样品</w:t>
      </w:r>
    </w:p>
    <w:p w14:paraId="7EA9A9F3">
      <w:pPr>
        <w:rPr>
          <w:szCs w:val="21"/>
        </w:rPr>
      </w:pPr>
      <w:r>
        <w:rPr>
          <w:rFonts w:hint="eastAsia" w:ascii="黑体" w:hAnsi="黑体" w:eastAsia="黑体"/>
          <w:szCs w:val="21"/>
        </w:rPr>
        <w:t>6.4.1</w:t>
      </w:r>
      <w:r>
        <w:rPr>
          <w:rFonts w:hint="eastAsia"/>
          <w:szCs w:val="21"/>
        </w:rPr>
        <w:t xml:space="preserve">  样品粒度应不大于100 </w:t>
      </w:r>
      <w:r>
        <w:rPr>
          <w:szCs w:val="21"/>
        </w:rPr>
        <w:t>μm</w:t>
      </w:r>
      <w:r>
        <w:rPr>
          <w:rFonts w:hint="eastAsia"/>
          <w:szCs w:val="21"/>
        </w:rPr>
        <w:t>。</w:t>
      </w:r>
    </w:p>
    <w:p w14:paraId="7211ACA1">
      <w:pPr>
        <w:rPr>
          <w:szCs w:val="21"/>
        </w:rPr>
      </w:pPr>
      <w:r>
        <w:rPr>
          <w:rFonts w:hint="eastAsia" w:ascii="黑体" w:hAnsi="黑体" w:eastAsia="黑体"/>
          <w:szCs w:val="21"/>
        </w:rPr>
        <w:t xml:space="preserve">6.4.2 </w:t>
      </w:r>
      <w:r>
        <w:rPr>
          <w:rFonts w:hint="eastAsia"/>
          <w:szCs w:val="21"/>
        </w:rPr>
        <w:t xml:space="preserve"> 样品应在100 ℃～105 ℃烘1 h</w:t>
      </w:r>
      <w:r>
        <w:rPr>
          <w:rFonts w:hint="eastAsia"/>
          <w:szCs w:val="21"/>
          <w:lang w:eastAsia="zh-CN"/>
        </w:rPr>
        <w:t>，</w:t>
      </w:r>
      <w:r>
        <w:rPr>
          <w:rFonts w:hint="eastAsia"/>
          <w:szCs w:val="21"/>
        </w:rPr>
        <w:t>置于干燥器中冷却至室温。</w:t>
      </w:r>
    </w:p>
    <w:p w14:paraId="730CA97B">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  分析步骤</w:t>
      </w:r>
    </w:p>
    <w:p w14:paraId="01052382">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6.5.1  试料</w:t>
      </w:r>
    </w:p>
    <w:p w14:paraId="4CB865D2">
      <w:pPr>
        <w:adjustRightInd w:val="0"/>
        <w:snapToGrid w:val="0"/>
        <w:spacing w:before="50" w:after="50"/>
        <w:ind w:firstLine="420" w:firstLineChars="200"/>
        <w:rPr>
          <w:szCs w:val="21"/>
        </w:rPr>
      </w:pPr>
      <w:r>
        <w:rPr>
          <w:rFonts w:hint="eastAsia"/>
          <w:szCs w:val="21"/>
        </w:rPr>
        <w:t>称取0.20 g</w:t>
      </w:r>
      <w:r>
        <w:rPr>
          <w:rFonts w:hint="eastAsia"/>
          <w:szCs w:val="21"/>
          <w:lang w:val="en-US" w:eastAsia="zh-CN"/>
        </w:rPr>
        <w:t>样</w:t>
      </w:r>
      <w:r>
        <w:rPr>
          <w:rFonts w:hint="eastAsia"/>
          <w:szCs w:val="21"/>
        </w:rPr>
        <w:t>品</w:t>
      </w:r>
      <w:r>
        <w:rPr>
          <w:rFonts w:hint="eastAsia"/>
          <w:szCs w:val="21"/>
          <w:lang w:eastAsia="zh-CN"/>
        </w:rPr>
        <w:t>（</w:t>
      </w:r>
      <w:r>
        <w:rPr>
          <w:rFonts w:hint="eastAsia"/>
          <w:szCs w:val="21"/>
          <w:lang w:val="en-US" w:eastAsia="zh-CN"/>
        </w:rPr>
        <w:t>6.4</w:t>
      </w:r>
      <w:r>
        <w:rPr>
          <w:rFonts w:hint="eastAsia"/>
          <w:szCs w:val="21"/>
          <w:lang w:eastAsia="zh-CN"/>
        </w:rPr>
        <w:t>）</w:t>
      </w:r>
      <w:r>
        <w:rPr>
          <w:rFonts w:hint="eastAsia"/>
          <w:szCs w:val="21"/>
        </w:rPr>
        <w:t>，精确至0.0001 g。</w:t>
      </w:r>
    </w:p>
    <w:p w14:paraId="31A0F247">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6.5.2  平行试验</w:t>
      </w:r>
    </w:p>
    <w:p w14:paraId="42C3A64B">
      <w:pPr>
        <w:adjustRightInd w:val="0"/>
        <w:snapToGrid w:val="0"/>
        <w:spacing w:before="50" w:after="50"/>
        <w:ind w:firstLine="444" w:firstLineChars="200"/>
      </w:pPr>
      <w:r>
        <w:rPr>
          <w:rFonts w:hint="eastAsia"/>
          <w:spacing w:val="6"/>
        </w:rPr>
        <w:t>平行做两份试验，取其平均值。</w:t>
      </w:r>
    </w:p>
    <w:p w14:paraId="13B487DF">
      <w:pPr>
        <w:rPr>
          <w:szCs w:val="21"/>
        </w:rPr>
      </w:pPr>
      <w:r>
        <w:rPr>
          <w:rFonts w:hint="eastAsia"/>
          <w:szCs w:val="21"/>
        </w:rPr>
        <w:drawing>
          <wp:inline distT="0" distB="0" distL="114300" distR="114300">
            <wp:extent cx="4983480" cy="3368040"/>
            <wp:effectExtent l="0" t="0" r="7620" b="3810"/>
            <wp:docPr id="37" name="图片 37" descr="方法3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方法3截图"/>
                    <pic:cNvPicPr>
                      <a:picLocks noChangeAspect="1"/>
                    </pic:cNvPicPr>
                  </pic:nvPicPr>
                  <pic:blipFill>
                    <a:blip r:embed="rId20"/>
                    <a:stretch>
                      <a:fillRect/>
                    </a:stretch>
                  </pic:blipFill>
                  <pic:spPr>
                    <a:xfrm>
                      <a:off x="0" y="0"/>
                      <a:ext cx="4983480" cy="3368040"/>
                    </a:xfrm>
                    <a:prstGeom prst="rect">
                      <a:avLst/>
                    </a:prstGeom>
                  </pic:spPr>
                </pic:pic>
              </a:graphicData>
            </a:graphic>
          </wp:inline>
        </w:drawing>
      </w:r>
      <w:r>
        <w:rPr>
          <w:rFonts w:hint="eastAsia"/>
          <w:szCs w:val="21"/>
        </w:rPr>
        <w:t xml:space="preserve">   </w:t>
      </w:r>
    </w:p>
    <w:p w14:paraId="3321D2CE">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标引序号说明:</w:t>
      </w:r>
    </w:p>
    <w:p w14:paraId="1793962D">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1</w:t>
      </w:r>
      <w:r>
        <w:rPr>
          <w:rFonts w:hint="default" w:ascii="Times New Roman" w:hAnsi="Times New Roman" w:cs="Times New Roman"/>
          <w:sz w:val="18"/>
          <w:szCs w:val="18"/>
        </w:rPr>
        <w:t>——100</w:t>
      </w:r>
      <w:r>
        <w:rPr>
          <w:rFonts w:hint="eastAsia"/>
          <w:sz w:val="18"/>
          <w:szCs w:val="18"/>
        </w:rPr>
        <w:t xml:space="preserve"> mL</w:t>
      </w:r>
      <w:r>
        <w:rPr>
          <w:rFonts w:hint="default" w:ascii="Times New Roman" w:hAnsi="Times New Roman" w:cs="Times New Roman"/>
          <w:sz w:val="18"/>
          <w:szCs w:val="18"/>
        </w:rPr>
        <w:t>锥形烧瓶；</w:t>
      </w:r>
    </w:p>
    <w:p w14:paraId="3B992DA0">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2</w:t>
      </w:r>
      <w:r>
        <w:rPr>
          <w:rFonts w:hint="default" w:ascii="Times New Roman" w:hAnsi="Times New Roman" w:cs="Times New Roman"/>
          <w:sz w:val="18"/>
          <w:szCs w:val="18"/>
        </w:rPr>
        <w:t>——橡胶塞；</w:t>
      </w:r>
    </w:p>
    <w:p w14:paraId="1A4A4ECA">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3</w:t>
      </w:r>
      <w:r>
        <w:rPr>
          <w:rFonts w:hint="default" w:ascii="Times New Roman" w:hAnsi="Times New Roman" w:cs="Times New Roman"/>
          <w:sz w:val="18"/>
          <w:szCs w:val="18"/>
        </w:rPr>
        <w:t xml:space="preserve">——导气管(内径5 </w:t>
      </w:r>
      <w:r>
        <w:rPr>
          <w:rFonts w:hint="eastAsia"/>
          <w:sz w:val="18"/>
          <w:szCs w:val="18"/>
        </w:rPr>
        <w:t>mm</w:t>
      </w:r>
      <w:r>
        <w:rPr>
          <w:rFonts w:hint="default" w:ascii="Times New Roman" w:hAnsi="Times New Roman" w:cs="Times New Roman"/>
          <w:sz w:val="18"/>
          <w:szCs w:val="18"/>
        </w:rPr>
        <w:t xml:space="preserve"> )；</w:t>
      </w:r>
    </w:p>
    <w:p w14:paraId="1D8BB608">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4</w:t>
      </w:r>
      <w:r>
        <w:rPr>
          <w:rFonts w:hint="default" w:ascii="Times New Roman" w:hAnsi="Times New Roman" w:cs="Times New Roman"/>
          <w:sz w:val="18"/>
          <w:szCs w:val="18"/>
        </w:rPr>
        <w:t>——玻璃球管</w:t>
      </w:r>
      <w:r>
        <w:rPr>
          <w:rFonts w:hint="eastAsia" w:cs="Times New Roman"/>
          <w:sz w:val="18"/>
          <w:szCs w:val="18"/>
          <w:lang w:eastAsia="zh-CN"/>
        </w:rPr>
        <w:t>[</w:t>
      </w:r>
      <w:r>
        <w:rPr>
          <w:rFonts w:hint="default" w:ascii="Times New Roman" w:hAnsi="Times New Roman" w:cs="Times New Roman"/>
          <w:sz w:val="18"/>
          <w:szCs w:val="18"/>
        </w:rPr>
        <w:t>球径</w:t>
      </w:r>
      <w:r>
        <w:rPr>
          <w:rFonts w:hint="eastAsia" w:ascii="Times New Roman" w:hAnsi="Times New Roman" w:cs="Times New Roman"/>
          <w:sz w:val="18"/>
          <w:szCs w:val="18"/>
        </w:rPr>
        <w:t>10 mm～12 mm</w:t>
      </w:r>
      <w:r>
        <w:rPr>
          <w:rFonts w:hint="default" w:ascii="Times New Roman" w:hAnsi="Times New Roman" w:cs="Times New Roman"/>
          <w:sz w:val="18"/>
          <w:szCs w:val="18"/>
        </w:rPr>
        <w:t>，内盛乙酸铅脱脂棉</w:t>
      </w:r>
      <w:r>
        <w:rPr>
          <w:rFonts w:hint="eastAsia" w:cs="Times New Roman"/>
          <w:sz w:val="18"/>
          <w:szCs w:val="18"/>
          <w:lang w:eastAsia="zh-CN"/>
        </w:rPr>
        <w:t>（</w:t>
      </w:r>
      <w:r>
        <w:rPr>
          <w:rFonts w:hint="eastAsia" w:cs="Times New Roman"/>
          <w:sz w:val="18"/>
          <w:szCs w:val="18"/>
          <w:lang w:val="en-US" w:eastAsia="zh-CN"/>
        </w:rPr>
        <w:t>6.2.13</w:t>
      </w:r>
      <w:r>
        <w:rPr>
          <w:rFonts w:hint="eastAsia" w:cs="Times New Roman"/>
          <w:sz w:val="18"/>
          <w:szCs w:val="18"/>
          <w:lang w:eastAsia="zh-CN"/>
        </w:rPr>
        <w:t>）]</w:t>
      </w:r>
      <w:r>
        <w:rPr>
          <w:rFonts w:hint="default" w:ascii="Times New Roman" w:hAnsi="Times New Roman" w:cs="Times New Roman"/>
          <w:sz w:val="18"/>
          <w:szCs w:val="18"/>
        </w:rPr>
        <w:t>；</w:t>
      </w:r>
    </w:p>
    <w:p w14:paraId="5B07FC46">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5</w:t>
      </w:r>
      <w:r>
        <w:rPr>
          <w:rFonts w:hint="default" w:ascii="Times New Roman" w:hAnsi="Times New Roman" w:cs="Times New Roman"/>
          <w:sz w:val="18"/>
          <w:szCs w:val="18"/>
        </w:rPr>
        <w:t>——橡胶管；</w:t>
      </w:r>
    </w:p>
    <w:p w14:paraId="15B08B2D">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6</w:t>
      </w:r>
      <w:r>
        <w:rPr>
          <w:rFonts w:hint="default" w:ascii="Times New Roman" w:hAnsi="Times New Roman" w:cs="Times New Roman"/>
          <w:sz w:val="18"/>
          <w:szCs w:val="18"/>
        </w:rPr>
        <w:t>——吸收管(</w:t>
      </w:r>
      <w:r>
        <w:rPr>
          <w:rFonts w:hint="eastAsia" w:ascii="Times New Roman" w:hAnsi="Times New Roman" w:cs="Times New Roman"/>
          <w:sz w:val="18"/>
          <w:szCs w:val="18"/>
        </w:rPr>
        <w:t xml:space="preserve">10 </w:t>
      </w:r>
      <w:r>
        <w:rPr>
          <w:rFonts w:hint="eastAsia"/>
          <w:sz w:val="18"/>
          <w:szCs w:val="18"/>
        </w:rPr>
        <w:t>mL</w:t>
      </w:r>
      <w:r>
        <w:rPr>
          <w:rFonts w:hint="default" w:ascii="Times New Roman" w:hAnsi="Times New Roman" w:cs="Times New Roman"/>
          <w:sz w:val="18"/>
          <w:szCs w:val="18"/>
        </w:rPr>
        <w:t>具塞比色管)；</w:t>
      </w:r>
    </w:p>
    <w:p w14:paraId="68AEC7EF">
      <w:pPr>
        <w:ind w:firstLine="360" w:firstLineChars="200"/>
        <w:rPr>
          <w:rFonts w:hint="default" w:ascii="Times New Roman" w:hAnsi="Times New Roman" w:cs="Times New Roman"/>
          <w:sz w:val="18"/>
          <w:szCs w:val="18"/>
        </w:rPr>
      </w:pPr>
      <w:r>
        <w:rPr>
          <w:rFonts w:hint="eastAsia" w:ascii="Times New Roman" w:hAnsi="Times New Roman" w:cs="Times New Roman"/>
          <w:sz w:val="18"/>
          <w:szCs w:val="18"/>
        </w:rPr>
        <w:t>7</w:t>
      </w:r>
      <w:r>
        <w:rPr>
          <w:rFonts w:hint="default" w:ascii="Times New Roman" w:hAnsi="Times New Roman" w:cs="Times New Roman"/>
          <w:sz w:val="18"/>
          <w:szCs w:val="18"/>
        </w:rPr>
        <w:t>——导气管下口(内径1</w:t>
      </w:r>
      <w:r>
        <w:rPr>
          <w:rFonts w:hint="eastAsia"/>
          <w:sz w:val="18"/>
          <w:szCs w:val="18"/>
        </w:rPr>
        <w:t xml:space="preserve"> mm </w:t>
      </w:r>
      <w:r>
        <w:rPr>
          <w:rFonts w:hint="default" w:ascii="Times New Roman" w:hAnsi="Times New Roman" w:cs="Times New Roman"/>
          <w:sz w:val="18"/>
          <w:szCs w:val="18"/>
        </w:rPr>
        <w:t>)。</w:t>
      </w:r>
    </w:p>
    <w:p w14:paraId="77A11880">
      <w:pPr>
        <w:spacing w:before="156" w:beforeLines="50" w:after="156" w:afterLines="50"/>
        <w:jc w:val="center"/>
        <w:rPr>
          <w:rFonts w:hint="eastAsia" w:ascii="黑体" w:hAnsi="黑体" w:eastAsia="黑体" w:cs="黑体"/>
          <w:szCs w:val="21"/>
        </w:rPr>
      </w:pPr>
      <w:r>
        <w:rPr>
          <w:rFonts w:hint="eastAsia" w:ascii="黑体" w:hAnsi="黑体" w:eastAsia="黑体" w:cs="黑体"/>
          <w:szCs w:val="21"/>
        </w:rPr>
        <w:t>图2  砷化氢气体发生-吸收装置示意图</w:t>
      </w:r>
    </w:p>
    <w:p w14:paraId="5340D51D">
      <w:pPr>
        <w:spacing w:before="156" w:beforeLines="50" w:after="156" w:afterLines="50"/>
        <w:rPr>
          <w:szCs w:val="21"/>
        </w:rPr>
      </w:pPr>
      <w:r>
        <w:rPr>
          <w:rFonts w:hint="eastAsia" w:ascii="黑体" w:hAnsi="黑体" w:eastAsia="黑体" w:cs="黑体"/>
          <w:bCs/>
          <w:szCs w:val="21"/>
        </w:rPr>
        <w:t>6.5.3  空白试验</w:t>
      </w:r>
    </w:p>
    <w:p w14:paraId="4297615B">
      <w:pPr>
        <w:ind w:firstLine="420" w:firstLineChars="200"/>
        <w:rPr>
          <w:szCs w:val="21"/>
        </w:rPr>
      </w:pPr>
      <w:r>
        <w:rPr>
          <w:rFonts w:hint="eastAsia"/>
          <w:szCs w:val="21"/>
        </w:rPr>
        <w:t>随同试料做空白试验。</w:t>
      </w:r>
    </w:p>
    <w:p w14:paraId="3F99308E">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6.5.4  测定</w:t>
      </w:r>
    </w:p>
    <w:p w14:paraId="5A7DCFE1">
      <w:pPr>
        <w:spacing w:before="156" w:beforeLines="50" w:after="156" w:afterLines="50"/>
        <w:rPr>
          <w:szCs w:val="21"/>
        </w:rPr>
      </w:pPr>
      <w:r>
        <w:rPr>
          <w:rFonts w:hint="eastAsia" w:ascii="黑体" w:hAnsi="黑体" w:eastAsia="黑体" w:cs="黑体"/>
          <w:bCs/>
          <w:szCs w:val="21"/>
        </w:rPr>
        <w:t>6.5.4.1  试料的溶解</w:t>
      </w:r>
    </w:p>
    <w:p w14:paraId="2511BC5C">
      <w:pPr>
        <w:rPr>
          <w:szCs w:val="21"/>
        </w:rPr>
      </w:pPr>
      <w:r>
        <w:rPr>
          <w:rFonts w:hint="eastAsia" w:ascii="黑体" w:hAnsi="黑体" w:eastAsia="黑体"/>
          <w:szCs w:val="21"/>
        </w:rPr>
        <w:t>6.5.4.1.1</w:t>
      </w:r>
      <w:r>
        <w:rPr>
          <w:rFonts w:hint="eastAsia"/>
          <w:szCs w:val="21"/>
        </w:rPr>
        <w:t xml:space="preserve">  将试料(6.5.1)置于</w:t>
      </w:r>
      <w:r>
        <w:rPr>
          <w:rFonts w:hint="eastAsia" w:ascii="Times New Roman" w:hAnsi="Times New Roman" w:eastAsia="宋体" w:cs="Times New Roman"/>
          <w:kern w:val="2"/>
          <w:sz w:val="21"/>
          <w:szCs w:val="21"/>
          <w:lang w:val="en-US" w:eastAsia="zh-CN" w:bidi="ar-SA"/>
        </w:rPr>
        <w:t>150</w:t>
      </w:r>
      <w:r>
        <w:rPr>
          <w:rFonts w:hint="eastAsia"/>
          <w:szCs w:val="21"/>
        </w:rPr>
        <w:t xml:space="preserve"> mL烧杯中，用少量水润湿</w:t>
      </w:r>
      <w:r>
        <w:rPr>
          <w:rFonts w:hint="eastAsia" w:ascii="宋体" w:hAnsi="宋体" w:cs="宋体"/>
          <w:szCs w:val="21"/>
        </w:rPr>
        <w:t>，</w:t>
      </w:r>
      <w:r>
        <w:rPr>
          <w:rFonts w:hint="eastAsia"/>
          <w:szCs w:val="21"/>
        </w:rPr>
        <w:t xml:space="preserve">加入约2 </w:t>
      </w:r>
      <w:r>
        <w:rPr>
          <w:szCs w:val="21"/>
        </w:rPr>
        <w:t>mL</w:t>
      </w:r>
      <w:r>
        <w:rPr>
          <w:rFonts w:hint="eastAsia"/>
          <w:szCs w:val="21"/>
        </w:rPr>
        <w:t>氟化氢铵溶液（6.2.5）（硅含量高的样品加入3 mL），加入10 mL氯酸钾</w:t>
      </w:r>
      <w:r>
        <w:rPr>
          <w:rFonts w:hint="eastAsia"/>
          <w:szCs w:val="21"/>
          <w:lang w:val="en-US" w:eastAsia="zh-CN"/>
        </w:rPr>
        <w:t>-</w:t>
      </w:r>
      <w:r>
        <w:rPr>
          <w:rFonts w:hint="eastAsia"/>
          <w:szCs w:val="21"/>
        </w:rPr>
        <w:t>硝酸溶液（6.2.3），盖上表面皿，置于电热板上低温加热溶解，蒸至小体积，稍冷，沿杯壁加入6 mL~8 mL硫酸(6.2.4)，蒸至冒浓白烟，取下稍冷。</w:t>
      </w:r>
    </w:p>
    <w:p w14:paraId="5ECE463E">
      <w:pPr>
        <w:rPr>
          <w:szCs w:val="21"/>
        </w:rPr>
      </w:pPr>
      <w:r>
        <w:rPr>
          <w:rFonts w:hint="eastAsia" w:ascii="黑体" w:hAnsi="黑体" w:eastAsia="黑体"/>
          <w:szCs w:val="21"/>
        </w:rPr>
        <w:t>6.5.4.1.2</w:t>
      </w:r>
      <w:r>
        <w:rPr>
          <w:rFonts w:hint="eastAsia"/>
          <w:szCs w:val="21"/>
        </w:rPr>
        <w:t xml:space="preserve">  用水吹洗杯壁，加热煮沸使可溶性盐溶解，冷</w:t>
      </w:r>
      <w:r>
        <w:rPr>
          <w:rFonts w:hint="eastAsia"/>
          <w:szCs w:val="21"/>
          <w:lang w:val="en-US" w:eastAsia="zh-CN"/>
        </w:rPr>
        <w:t>却</w:t>
      </w:r>
      <w:r>
        <w:rPr>
          <w:rFonts w:hint="eastAsia"/>
          <w:szCs w:val="21"/>
        </w:rPr>
        <w:t>至室温，按表7移入相应体积容量瓶中，用水稀释至刻度，混匀。</w:t>
      </w:r>
    </w:p>
    <w:p w14:paraId="2D3F68DE">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6.5.4.2  吸收</w:t>
      </w:r>
    </w:p>
    <w:p w14:paraId="1B2113F3">
      <w:pPr>
        <w:rPr>
          <w:szCs w:val="21"/>
        </w:rPr>
      </w:pPr>
      <w:r>
        <w:rPr>
          <w:rFonts w:hint="eastAsia" w:ascii="黑体" w:hAnsi="黑体" w:eastAsia="黑体"/>
          <w:szCs w:val="21"/>
        </w:rPr>
        <w:t xml:space="preserve">6.5.4.2.1 </w:t>
      </w:r>
      <w:r>
        <w:rPr>
          <w:rFonts w:hint="eastAsia"/>
          <w:szCs w:val="21"/>
        </w:rPr>
        <w:t xml:space="preserve"> 按表7分取试液（6.5.4.1.2）于100 mL锥形烧瓶中。</w:t>
      </w:r>
    </w:p>
    <w:p w14:paraId="79C2F27E">
      <w:pPr>
        <w:spacing w:before="156" w:beforeLines="50" w:after="156" w:afterLines="50"/>
        <w:jc w:val="center"/>
        <w:rPr>
          <w:rFonts w:hint="eastAsia" w:eastAsia="黑体"/>
          <w:b/>
          <w:bCs/>
          <w:szCs w:val="21"/>
          <w:lang w:eastAsia="zh-CN"/>
        </w:rPr>
      </w:pPr>
      <w:r>
        <w:rPr>
          <w:rFonts w:hint="eastAsia" w:ascii="黑体" w:hAnsi="黑体" w:eastAsia="黑体" w:cs="黑体"/>
          <w:bCs/>
          <w:szCs w:val="21"/>
        </w:rPr>
        <w:t>表7  试液分取</w:t>
      </w:r>
      <w:r>
        <w:rPr>
          <w:rFonts w:hint="eastAsia" w:ascii="黑体" w:hAnsi="黑体" w:eastAsia="黑体" w:cs="黑体"/>
          <w:bCs/>
          <w:szCs w:val="21"/>
          <w:lang w:val="en-US" w:eastAsia="zh-CN"/>
        </w:rPr>
        <w:t>体积</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2523"/>
        <w:gridCol w:w="2523"/>
      </w:tblGrid>
      <w:tr w14:paraId="13C6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483AC008">
            <w:pPr>
              <w:jc w:val="center"/>
              <w:rPr>
                <w:sz w:val="18"/>
                <w:szCs w:val="18"/>
              </w:rPr>
            </w:pPr>
            <w:r>
              <w:rPr>
                <w:rFonts w:hint="eastAsia"/>
                <w:sz w:val="18"/>
                <w:szCs w:val="18"/>
              </w:rPr>
              <w:t>砷的质量分数</w:t>
            </w:r>
          </w:p>
          <w:p w14:paraId="33C8B2DC">
            <w:pPr>
              <w:jc w:val="center"/>
              <w:rPr>
                <w:sz w:val="18"/>
                <w:szCs w:val="18"/>
              </w:rPr>
            </w:pPr>
            <w:r>
              <w:rPr>
                <w:rFonts w:hint="eastAsia"/>
                <w:sz w:val="18"/>
                <w:szCs w:val="18"/>
              </w:rPr>
              <w:t>%</w:t>
            </w:r>
          </w:p>
        </w:tc>
        <w:tc>
          <w:tcPr>
            <w:tcW w:w="2523" w:type="dxa"/>
          </w:tcPr>
          <w:p w14:paraId="162CB578">
            <w:pPr>
              <w:jc w:val="center"/>
              <w:rPr>
                <w:sz w:val="18"/>
                <w:szCs w:val="18"/>
              </w:rPr>
            </w:pPr>
            <w:r>
              <w:rPr>
                <w:rFonts w:hint="eastAsia"/>
                <w:sz w:val="18"/>
                <w:szCs w:val="18"/>
              </w:rPr>
              <w:t>定容体积</w:t>
            </w:r>
          </w:p>
          <w:p w14:paraId="7D21568E">
            <w:pPr>
              <w:jc w:val="center"/>
              <w:rPr>
                <w:sz w:val="18"/>
                <w:szCs w:val="18"/>
              </w:rPr>
            </w:pPr>
            <w:r>
              <w:rPr>
                <w:rFonts w:hint="eastAsia"/>
                <w:sz w:val="18"/>
                <w:szCs w:val="18"/>
              </w:rPr>
              <w:t>mL</w:t>
            </w:r>
          </w:p>
        </w:tc>
        <w:tc>
          <w:tcPr>
            <w:tcW w:w="2523" w:type="dxa"/>
          </w:tcPr>
          <w:p w14:paraId="3E87F072">
            <w:pPr>
              <w:jc w:val="center"/>
              <w:rPr>
                <w:rFonts w:hint="eastAsia" w:eastAsia="宋体"/>
                <w:sz w:val="18"/>
                <w:szCs w:val="18"/>
                <w:lang w:val="en-US" w:eastAsia="zh-CN"/>
              </w:rPr>
            </w:pPr>
            <w:r>
              <w:rPr>
                <w:rFonts w:hint="eastAsia"/>
                <w:sz w:val="18"/>
                <w:szCs w:val="18"/>
              </w:rPr>
              <w:t>试液分取</w:t>
            </w:r>
            <w:r>
              <w:rPr>
                <w:rFonts w:hint="eastAsia"/>
                <w:sz w:val="18"/>
                <w:szCs w:val="18"/>
                <w:lang w:val="en-US" w:eastAsia="zh-CN"/>
              </w:rPr>
              <w:t>体积</w:t>
            </w:r>
          </w:p>
          <w:p w14:paraId="2B82CC3F">
            <w:pPr>
              <w:jc w:val="center"/>
              <w:rPr>
                <w:sz w:val="18"/>
                <w:szCs w:val="18"/>
              </w:rPr>
            </w:pPr>
            <w:r>
              <w:rPr>
                <w:rFonts w:hint="eastAsia"/>
                <w:sz w:val="18"/>
                <w:szCs w:val="18"/>
              </w:rPr>
              <w:t>mL</w:t>
            </w:r>
          </w:p>
        </w:tc>
      </w:tr>
      <w:tr w14:paraId="0C9A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6ECD44D5">
            <w:pPr>
              <w:jc w:val="center"/>
              <w:rPr>
                <w:sz w:val="18"/>
                <w:szCs w:val="18"/>
              </w:rPr>
            </w:pPr>
            <w:r>
              <w:rPr>
                <w:rFonts w:hint="eastAsia"/>
                <w:sz w:val="18"/>
                <w:szCs w:val="18"/>
                <w:lang w:val="en-US" w:eastAsia="zh-CN"/>
              </w:rPr>
              <w:t>0.010~</w:t>
            </w:r>
            <w:r>
              <w:rPr>
                <w:rFonts w:hint="eastAsia"/>
                <w:sz w:val="18"/>
                <w:szCs w:val="18"/>
              </w:rPr>
              <w:t>0.020</w:t>
            </w:r>
          </w:p>
        </w:tc>
        <w:tc>
          <w:tcPr>
            <w:tcW w:w="2523" w:type="dxa"/>
          </w:tcPr>
          <w:p w14:paraId="26A0F65F">
            <w:pPr>
              <w:jc w:val="center"/>
              <w:rPr>
                <w:sz w:val="18"/>
                <w:szCs w:val="18"/>
              </w:rPr>
            </w:pPr>
            <w:r>
              <w:rPr>
                <w:rFonts w:hint="eastAsia"/>
                <w:sz w:val="18"/>
                <w:szCs w:val="18"/>
              </w:rPr>
              <w:t>100</w:t>
            </w:r>
          </w:p>
        </w:tc>
        <w:tc>
          <w:tcPr>
            <w:tcW w:w="2523" w:type="dxa"/>
          </w:tcPr>
          <w:p w14:paraId="34FCB81D">
            <w:pPr>
              <w:jc w:val="center"/>
              <w:rPr>
                <w:sz w:val="18"/>
                <w:szCs w:val="18"/>
              </w:rPr>
            </w:pPr>
            <w:r>
              <w:rPr>
                <w:rFonts w:hint="eastAsia"/>
                <w:sz w:val="18"/>
                <w:szCs w:val="18"/>
              </w:rPr>
              <w:t>25.00</w:t>
            </w:r>
          </w:p>
        </w:tc>
      </w:tr>
      <w:tr w14:paraId="52F7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08CE626F">
            <w:pPr>
              <w:jc w:val="center"/>
              <w:rPr>
                <w:sz w:val="18"/>
                <w:szCs w:val="18"/>
              </w:rPr>
            </w:pPr>
            <w:r>
              <w:rPr>
                <w:rFonts w:hint="eastAsia"/>
                <w:sz w:val="18"/>
                <w:szCs w:val="18"/>
              </w:rPr>
              <w:t>＞0.020</w:t>
            </w:r>
            <w:r>
              <w:rPr>
                <w:color w:val="000000"/>
                <w:szCs w:val="21"/>
              </w:rPr>
              <w:t>～</w:t>
            </w:r>
            <w:r>
              <w:rPr>
                <w:rFonts w:hint="eastAsia"/>
                <w:sz w:val="18"/>
                <w:szCs w:val="18"/>
              </w:rPr>
              <w:t>0.070</w:t>
            </w:r>
          </w:p>
        </w:tc>
        <w:tc>
          <w:tcPr>
            <w:tcW w:w="2523" w:type="dxa"/>
          </w:tcPr>
          <w:p w14:paraId="42E1C666">
            <w:pPr>
              <w:jc w:val="center"/>
              <w:rPr>
                <w:sz w:val="18"/>
                <w:szCs w:val="18"/>
              </w:rPr>
            </w:pPr>
            <w:r>
              <w:rPr>
                <w:rFonts w:hint="eastAsia"/>
                <w:sz w:val="18"/>
                <w:szCs w:val="18"/>
              </w:rPr>
              <w:t>100</w:t>
            </w:r>
          </w:p>
        </w:tc>
        <w:tc>
          <w:tcPr>
            <w:tcW w:w="2523" w:type="dxa"/>
          </w:tcPr>
          <w:p w14:paraId="5AAC86E3">
            <w:pPr>
              <w:jc w:val="center"/>
              <w:rPr>
                <w:sz w:val="18"/>
                <w:szCs w:val="18"/>
              </w:rPr>
            </w:pPr>
            <w:r>
              <w:rPr>
                <w:rFonts w:hint="eastAsia"/>
                <w:sz w:val="18"/>
                <w:szCs w:val="18"/>
              </w:rPr>
              <w:t>20.00</w:t>
            </w:r>
          </w:p>
        </w:tc>
      </w:tr>
      <w:tr w14:paraId="471E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1AB9169D">
            <w:pPr>
              <w:jc w:val="center"/>
              <w:rPr>
                <w:sz w:val="18"/>
                <w:szCs w:val="18"/>
              </w:rPr>
            </w:pPr>
            <w:r>
              <w:rPr>
                <w:rFonts w:hint="eastAsia"/>
                <w:sz w:val="18"/>
                <w:szCs w:val="18"/>
              </w:rPr>
              <w:t>＞0.070</w:t>
            </w:r>
            <w:r>
              <w:rPr>
                <w:color w:val="000000"/>
                <w:szCs w:val="21"/>
              </w:rPr>
              <w:t>～</w:t>
            </w:r>
            <w:r>
              <w:rPr>
                <w:rFonts w:hint="eastAsia"/>
                <w:sz w:val="18"/>
                <w:szCs w:val="18"/>
              </w:rPr>
              <w:t>0.10</w:t>
            </w:r>
          </w:p>
        </w:tc>
        <w:tc>
          <w:tcPr>
            <w:tcW w:w="2523" w:type="dxa"/>
          </w:tcPr>
          <w:p w14:paraId="1BAF628E">
            <w:pPr>
              <w:jc w:val="center"/>
              <w:rPr>
                <w:sz w:val="18"/>
                <w:szCs w:val="18"/>
              </w:rPr>
            </w:pPr>
            <w:r>
              <w:rPr>
                <w:rFonts w:hint="eastAsia"/>
                <w:sz w:val="18"/>
                <w:szCs w:val="18"/>
              </w:rPr>
              <w:t>100</w:t>
            </w:r>
          </w:p>
        </w:tc>
        <w:tc>
          <w:tcPr>
            <w:tcW w:w="2523" w:type="dxa"/>
          </w:tcPr>
          <w:p w14:paraId="1B113A12">
            <w:pPr>
              <w:jc w:val="center"/>
              <w:rPr>
                <w:sz w:val="18"/>
                <w:szCs w:val="18"/>
              </w:rPr>
            </w:pPr>
            <w:r>
              <w:rPr>
                <w:rFonts w:hint="eastAsia"/>
                <w:sz w:val="18"/>
                <w:szCs w:val="18"/>
              </w:rPr>
              <w:t>10.00</w:t>
            </w:r>
          </w:p>
        </w:tc>
      </w:tr>
      <w:tr w14:paraId="0A77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5032B02B">
            <w:pPr>
              <w:jc w:val="center"/>
              <w:rPr>
                <w:sz w:val="18"/>
                <w:szCs w:val="18"/>
              </w:rPr>
            </w:pPr>
            <w:r>
              <w:rPr>
                <w:rFonts w:hint="eastAsia"/>
                <w:sz w:val="18"/>
                <w:szCs w:val="18"/>
              </w:rPr>
              <w:t>＞0.10</w:t>
            </w:r>
            <w:r>
              <w:rPr>
                <w:color w:val="000000"/>
                <w:szCs w:val="21"/>
              </w:rPr>
              <w:t>～</w:t>
            </w:r>
            <w:r>
              <w:rPr>
                <w:rFonts w:hint="eastAsia"/>
                <w:sz w:val="18"/>
                <w:szCs w:val="18"/>
              </w:rPr>
              <w:t>0.20</w:t>
            </w:r>
          </w:p>
        </w:tc>
        <w:tc>
          <w:tcPr>
            <w:tcW w:w="2523" w:type="dxa"/>
          </w:tcPr>
          <w:p w14:paraId="29864FF4">
            <w:pPr>
              <w:jc w:val="center"/>
              <w:rPr>
                <w:sz w:val="18"/>
                <w:szCs w:val="18"/>
              </w:rPr>
            </w:pPr>
            <w:r>
              <w:rPr>
                <w:rFonts w:hint="eastAsia"/>
                <w:sz w:val="18"/>
                <w:szCs w:val="18"/>
              </w:rPr>
              <w:t>100</w:t>
            </w:r>
          </w:p>
        </w:tc>
        <w:tc>
          <w:tcPr>
            <w:tcW w:w="2523" w:type="dxa"/>
          </w:tcPr>
          <w:p w14:paraId="70E6CD2B">
            <w:pPr>
              <w:jc w:val="center"/>
              <w:rPr>
                <w:sz w:val="18"/>
                <w:szCs w:val="18"/>
              </w:rPr>
            </w:pPr>
            <w:r>
              <w:rPr>
                <w:rFonts w:hint="eastAsia"/>
                <w:sz w:val="18"/>
                <w:szCs w:val="18"/>
              </w:rPr>
              <w:t>5.00</w:t>
            </w:r>
          </w:p>
        </w:tc>
      </w:tr>
      <w:tr w14:paraId="49DB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3" w:type="dxa"/>
          </w:tcPr>
          <w:p w14:paraId="75D62999">
            <w:pPr>
              <w:jc w:val="center"/>
              <w:rPr>
                <w:sz w:val="18"/>
                <w:szCs w:val="18"/>
              </w:rPr>
            </w:pPr>
            <w:r>
              <w:rPr>
                <w:rFonts w:hint="eastAsia"/>
                <w:sz w:val="18"/>
                <w:szCs w:val="18"/>
              </w:rPr>
              <w:t>＞0.20</w:t>
            </w:r>
            <w:r>
              <w:rPr>
                <w:color w:val="000000"/>
                <w:szCs w:val="21"/>
              </w:rPr>
              <w:t>～</w:t>
            </w:r>
            <w:r>
              <w:rPr>
                <w:rFonts w:hint="eastAsia"/>
                <w:sz w:val="18"/>
                <w:szCs w:val="18"/>
              </w:rPr>
              <w:t>0.40</w:t>
            </w:r>
          </w:p>
        </w:tc>
        <w:tc>
          <w:tcPr>
            <w:tcW w:w="2523" w:type="dxa"/>
          </w:tcPr>
          <w:p w14:paraId="368AD926">
            <w:pPr>
              <w:jc w:val="center"/>
              <w:rPr>
                <w:sz w:val="18"/>
                <w:szCs w:val="18"/>
              </w:rPr>
            </w:pPr>
            <w:r>
              <w:rPr>
                <w:rFonts w:hint="eastAsia"/>
                <w:sz w:val="18"/>
                <w:szCs w:val="18"/>
              </w:rPr>
              <w:t>200</w:t>
            </w:r>
          </w:p>
        </w:tc>
        <w:tc>
          <w:tcPr>
            <w:tcW w:w="2523" w:type="dxa"/>
          </w:tcPr>
          <w:p w14:paraId="01E1DA6C">
            <w:pPr>
              <w:jc w:val="center"/>
              <w:rPr>
                <w:sz w:val="18"/>
                <w:szCs w:val="18"/>
              </w:rPr>
            </w:pPr>
            <w:r>
              <w:rPr>
                <w:rFonts w:hint="eastAsia"/>
                <w:sz w:val="18"/>
                <w:szCs w:val="18"/>
              </w:rPr>
              <w:t>5.00</w:t>
            </w:r>
          </w:p>
        </w:tc>
      </w:tr>
    </w:tbl>
    <w:p w14:paraId="21559EF9">
      <w:pPr>
        <w:spacing w:before="312" w:beforeLines="100"/>
        <w:rPr>
          <w:szCs w:val="21"/>
        </w:rPr>
      </w:pPr>
      <w:r>
        <w:rPr>
          <w:rFonts w:hint="eastAsia" w:ascii="黑体" w:hAnsi="黑体" w:eastAsia="黑体"/>
          <w:szCs w:val="21"/>
        </w:rPr>
        <w:t xml:space="preserve">6.5.4.2.2 </w:t>
      </w:r>
      <w:r>
        <w:rPr>
          <w:rFonts w:hint="eastAsia"/>
          <w:szCs w:val="21"/>
        </w:rPr>
        <w:t xml:space="preserve"> 加入7 mL硫酸(6.2.4)，用水稀释至40 mL，加入5 mL碘化钾溶液(6.2.8)，2 mL氯化亚锡溶液（6.2.9)，每加一种试剂均需充分混匀。放置2 min~3 min至溶液黄色消失为止。再加入5 mL酒石酸溶液(6.2.10)，放置10 min。</w:t>
      </w:r>
    </w:p>
    <w:p w14:paraId="10F032A5">
      <w:pPr>
        <w:rPr>
          <w:szCs w:val="21"/>
        </w:rPr>
      </w:pPr>
      <w:r>
        <w:rPr>
          <w:rFonts w:hint="eastAsia" w:ascii="黑体" w:hAnsi="黑体" w:eastAsia="黑体"/>
          <w:szCs w:val="21"/>
        </w:rPr>
        <w:t>6.5.4.2.3</w:t>
      </w:r>
      <w:r>
        <w:rPr>
          <w:rFonts w:hint="eastAsia"/>
          <w:szCs w:val="21"/>
        </w:rPr>
        <w:t xml:space="preserve">  移取10.00 mL铜试剂银盐三氯甲烷溶液(6.2.14)于10 mL吸收管中，向锥形烧瓶中投入5 g无砷锌粒(6.2.2)，立即按图2接好砷化氢气体发生-吸收装置。</w:t>
      </w:r>
    </w:p>
    <w:p w14:paraId="13A7364A">
      <w:pPr>
        <w:rPr>
          <w:szCs w:val="21"/>
        </w:rPr>
      </w:pPr>
      <w:r>
        <w:rPr>
          <w:rFonts w:hint="eastAsia" w:ascii="黑体" w:hAnsi="黑体" w:eastAsia="黑体"/>
          <w:szCs w:val="21"/>
        </w:rPr>
        <w:t>6.5.4.2.4</w:t>
      </w:r>
      <w:r>
        <w:rPr>
          <w:rFonts w:hint="eastAsia"/>
          <w:szCs w:val="21"/>
        </w:rPr>
        <w:t xml:space="preserve">  反应40 min后，取出导气管，用少量三氯甲烷(6.2.11)冲洗导气管，洗液合并于吸收管中，并用三氯甲烷(6.2.11)稀释至10.00 mL，混匀。</w:t>
      </w:r>
    </w:p>
    <w:p w14:paraId="63113E32">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6.5.4.3  测量</w:t>
      </w:r>
    </w:p>
    <w:p w14:paraId="476293A4">
      <w:pPr>
        <w:ind w:firstLine="420" w:firstLineChars="200"/>
        <w:rPr>
          <w:szCs w:val="21"/>
        </w:rPr>
      </w:pPr>
      <w:r>
        <w:rPr>
          <w:rFonts w:hint="eastAsia"/>
          <w:szCs w:val="21"/>
        </w:rPr>
        <w:t>将部分溶液（见6.5.4.2.4）移入干燥的1 cm吸收皿中，以铜试剂银盐三氯甲烷溶液(6.2.14)为参比，于分光光度计波长530 nm处测量其吸光度。从工作曲线上查出相应的砷</w:t>
      </w:r>
      <w:r>
        <w:rPr>
          <w:rFonts w:hint="eastAsia"/>
          <w:szCs w:val="21"/>
          <w:lang w:val="en-US" w:eastAsia="zh-CN"/>
        </w:rPr>
        <w:t>含</w:t>
      </w:r>
      <w:r>
        <w:rPr>
          <w:rFonts w:hint="eastAsia"/>
          <w:szCs w:val="21"/>
        </w:rPr>
        <w:t>量。</w:t>
      </w:r>
    </w:p>
    <w:p w14:paraId="04038B29">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6.5.5  工作曲线的绘制</w:t>
      </w:r>
    </w:p>
    <w:p w14:paraId="49F1D97A">
      <w:pPr>
        <w:ind w:firstLine="420" w:firstLineChars="200"/>
        <w:rPr>
          <w:szCs w:val="21"/>
        </w:rPr>
      </w:pPr>
      <w:r>
        <w:rPr>
          <w:rFonts w:hint="eastAsia"/>
          <w:szCs w:val="21"/>
        </w:rPr>
        <w:t>移取0 mL、2.00 mL、4.00 mL,6.00 mL、8.00 mL、10.00 mL砷标准溶液(6.2.16)，分别置于一组100 mL锥形烧瓶中，加入6 mL硫酸铁铵溶液(6.2.6)和6 mL硫酸铜溶液(6.2.7)，混匀。以下按6.5.4.2.2~6.5.4.3进行。以砷</w:t>
      </w:r>
      <w:r>
        <w:rPr>
          <w:rFonts w:hint="eastAsia"/>
          <w:szCs w:val="21"/>
          <w:lang w:val="en-US" w:eastAsia="zh-CN"/>
        </w:rPr>
        <w:t>的质量分数</w:t>
      </w:r>
      <w:r>
        <w:rPr>
          <w:rFonts w:hint="eastAsia"/>
          <w:szCs w:val="21"/>
        </w:rPr>
        <w:t>为横坐标，吸光度为纵坐标绘制工作曲线。</w:t>
      </w:r>
    </w:p>
    <w:p w14:paraId="48BEDBF5">
      <w:pPr>
        <w:rPr>
          <w:rFonts w:hint="default" w:ascii="黑体" w:hAnsi="黑体" w:eastAsia="黑体" w:cs="黑体"/>
          <w:bCs/>
          <w:szCs w:val="21"/>
          <w:lang w:val="en-US" w:eastAsia="zh-CN"/>
        </w:rPr>
      </w:pPr>
      <w:r>
        <w:rPr>
          <w:rFonts w:hint="eastAsia" w:ascii="黑体" w:hAnsi="黑体" w:eastAsia="黑体" w:cs="黑体"/>
          <w:bCs/>
          <w:szCs w:val="21"/>
        </w:rPr>
        <w:t xml:space="preserve">6.6  </w:t>
      </w:r>
      <w:r>
        <w:rPr>
          <w:rFonts w:hint="eastAsia" w:ascii="黑体" w:hAnsi="黑体" w:eastAsia="黑体" w:cs="黑体"/>
          <w:bCs/>
          <w:szCs w:val="21"/>
          <w:lang w:val="en-US" w:eastAsia="zh-CN"/>
        </w:rPr>
        <w:t>试验数据处理</w:t>
      </w:r>
    </w:p>
    <w:p w14:paraId="373B46FD">
      <w:pPr>
        <w:ind w:firstLine="420" w:firstLineChars="200"/>
        <w:rPr>
          <w:szCs w:val="21"/>
        </w:rPr>
      </w:pPr>
      <w:r>
        <w:rPr>
          <w:rFonts w:hint="eastAsia"/>
          <w:szCs w:val="21"/>
        </w:rPr>
        <w:t>砷的含量以质量分数</w:t>
      </w:r>
      <w:r>
        <w:rPr>
          <w:rFonts w:hint="eastAsia"/>
          <w:szCs w:val="21"/>
        </w:rPr>
        <w:drawing>
          <wp:inline distT="0" distB="0" distL="114300" distR="114300">
            <wp:extent cx="142875" cy="133350"/>
            <wp:effectExtent l="0" t="0" r="9525"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2"/>
                    <a:stretch>
                      <a:fillRect/>
                    </a:stretch>
                  </pic:blipFill>
                  <pic:spPr>
                    <a:xfrm>
                      <a:off x="0" y="0"/>
                      <a:ext cx="142875" cy="133350"/>
                    </a:xfrm>
                    <a:prstGeom prst="rect">
                      <a:avLst/>
                    </a:prstGeom>
                    <a:noFill/>
                    <a:ln>
                      <a:noFill/>
                    </a:ln>
                  </pic:spPr>
                </pic:pic>
              </a:graphicData>
            </a:graphic>
          </wp:inline>
        </w:drawing>
      </w:r>
      <w:r>
        <w:rPr>
          <w:iCs/>
          <w:spacing w:val="6"/>
          <w:vertAlign w:val="subscript"/>
        </w:rPr>
        <w:t>As</w:t>
      </w:r>
      <w:r>
        <w:rPr>
          <w:rFonts w:hint="eastAsia"/>
          <w:szCs w:val="21"/>
        </w:rPr>
        <w:t>计，按式(4)计算：</w:t>
      </w:r>
    </w:p>
    <w:p w14:paraId="5A516B01">
      <w:pPr>
        <w:ind w:firstLine="2520" w:firstLineChars="1200"/>
        <w:rPr>
          <w:szCs w:val="21"/>
        </w:rPr>
      </w:pPr>
      <w:r>
        <w:rPr>
          <w:rFonts w:hint="eastAsia"/>
          <w:i/>
          <w:iCs/>
          <w:position w:val="-26"/>
          <w:szCs w:val="21"/>
        </w:rPr>
        <w:object>
          <v:shape id="_x0000_i1028" o:spt="75" type="#_x0000_t75" style="height:30.2pt;width:261.4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eastAsia"/>
          <w:szCs w:val="21"/>
        </w:rPr>
        <w:t xml:space="preserve">    式中：</w:t>
      </w:r>
    </w:p>
    <w:p w14:paraId="2450D537">
      <w:pPr>
        <w:ind w:firstLine="420" w:firstLineChars="200"/>
        <w:rPr>
          <w:szCs w:val="21"/>
        </w:rPr>
      </w:pPr>
      <w:r>
        <w:rPr>
          <w:rFonts w:hint="eastAsia"/>
          <w:i/>
          <w:iCs/>
          <w:szCs w:val="21"/>
        </w:rPr>
        <w:t>m</w:t>
      </w:r>
      <w:r>
        <w:rPr>
          <w:rFonts w:hint="eastAsia"/>
          <w:sz w:val="16"/>
          <w:szCs w:val="16"/>
          <w:vertAlign w:val="subscript"/>
        </w:rPr>
        <w:t>5</w:t>
      </w:r>
      <w:r>
        <w:rPr>
          <w:szCs w:val="21"/>
        </w:rPr>
        <w:t>——</w:t>
      </w:r>
      <w:r>
        <w:rPr>
          <w:rFonts w:hint="eastAsia"/>
          <w:szCs w:val="21"/>
        </w:rPr>
        <w:t>工作曲线上查得的试液</w:t>
      </w:r>
      <w:r>
        <w:rPr>
          <w:rFonts w:hint="eastAsia"/>
          <w:szCs w:val="21"/>
          <w:lang w:val="en-US" w:eastAsia="zh-CN"/>
        </w:rPr>
        <w:t>中的</w:t>
      </w:r>
      <w:r>
        <w:rPr>
          <w:rFonts w:hint="eastAsia"/>
          <w:szCs w:val="21"/>
        </w:rPr>
        <w:t>砷</w:t>
      </w:r>
      <w:r>
        <w:rPr>
          <w:rFonts w:hint="eastAsia"/>
          <w:szCs w:val="21"/>
          <w:lang w:val="en-US" w:eastAsia="zh-CN"/>
        </w:rPr>
        <w:t>质量</w:t>
      </w:r>
      <w:r>
        <w:rPr>
          <w:rFonts w:hint="eastAsia"/>
          <w:szCs w:val="21"/>
        </w:rPr>
        <w:t>，单位为微克（</w:t>
      </w:r>
      <w:r>
        <w:rPr>
          <w:szCs w:val="21"/>
        </w:rPr>
        <w:t>μg</w:t>
      </w:r>
      <w:r>
        <w:rPr>
          <w:rFonts w:hint="eastAsia"/>
          <w:szCs w:val="21"/>
        </w:rPr>
        <w:t>）；</w:t>
      </w:r>
    </w:p>
    <w:p w14:paraId="78F02122">
      <w:pPr>
        <w:ind w:firstLine="420" w:firstLineChars="200"/>
        <w:rPr>
          <w:szCs w:val="21"/>
        </w:rPr>
      </w:pPr>
      <w:r>
        <w:rPr>
          <w:rFonts w:hint="eastAsia"/>
          <w:i/>
          <w:iCs/>
          <w:szCs w:val="21"/>
        </w:rPr>
        <w:t>m</w:t>
      </w:r>
      <w:r>
        <w:rPr>
          <w:rFonts w:hint="eastAsia"/>
          <w:sz w:val="16"/>
          <w:szCs w:val="16"/>
          <w:vertAlign w:val="subscript"/>
        </w:rPr>
        <w:t>4</w:t>
      </w:r>
      <w:r>
        <w:rPr>
          <w:szCs w:val="21"/>
        </w:rPr>
        <w:t>——</w:t>
      </w:r>
      <w:r>
        <w:rPr>
          <w:rFonts w:hint="eastAsia"/>
          <w:szCs w:val="21"/>
        </w:rPr>
        <w:t>工作曲线上查得的空白溶液</w:t>
      </w:r>
      <w:r>
        <w:rPr>
          <w:rFonts w:hint="eastAsia"/>
          <w:szCs w:val="21"/>
          <w:lang w:val="en-US" w:eastAsia="zh-CN"/>
        </w:rPr>
        <w:t>中</w:t>
      </w:r>
      <w:r>
        <w:rPr>
          <w:rFonts w:hint="eastAsia"/>
          <w:szCs w:val="21"/>
        </w:rPr>
        <w:t>的砷</w:t>
      </w:r>
      <w:r>
        <w:rPr>
          <w:rFonts w:hint="eastAsia"/>
          <w:szCs w:val="21"/>
          <w:lang w:val="en-US" w:eastAsia="zh-CN"/>
        </w:rPr>
        <w:t>质量</w:t>
      </w:r>
      <w:r>
        <w:rPr>
          <w:rFonts w:hint="eastAsia"/>
          <w:szCs w:val="21"/>
        </w:rPr>
        <w:t>，单位为微克（</w:t>
      </w:r>
      <w:r>
        <w:rPr>
          <w:szCs w:val="21"/>
        </w:rPr>
        <w:t>μg</w:t>
      </w:r>
      <w:r>
        <w:rPr>
          <w:rFonts w:hint="eastAsia"/>
          <w:szCs w:val="21"/>
        </w:rPr>
        <w:t>）；</w:t>
      </w:r>
    </w:p>
    <w:p w14:paraId="66B8A200">
      <w:pPr>
        <w:ind w:firstLine="420" w:firstLineChars="200"/>
        <w:rPr>
          <w:szCs w:val="21"/>
        </w:rPr>
      </w:pPr>
      <w:r>
        <w:rPr>
          <w:rFonts w:hint="eastAsia"/>
          <w:i/>
          <w:iCs/>
          <w:szCs w:val="21"/>
        </w:rPr>
        <w:t>V</w:t>
      </w:r>
      <w:r>
        <w:rPr>
          <w:rFonts w:hint="eastAsia"/>
          <w:sz w:val="16"/>
          <w:szCs w:val="16"/>
          <w:vertAlign w:val="subscript"/>
        </w:rPr>
        <w:t>9</w:t>
      </w:r>
      <w:r>
        <w:rPr>
          <w:szCs w:val="21"/>
        </w:rPr>
        <w:t>——</w:t>
      </w:r>
      <w:r>
        <w:rPr>
          <w:rFonts w:hint="eastAsia"/>
          <w:szCs w:val="21"/>
        </w:rPr>
        <w:t>试液的</w:t>
      </w:r>
      <w:r>
        <w:rPr>
          <w:rFonts w:hint="eastAsia"/>
          <w:szCs w:val="21"/>
          <w:lang w:val="en-US" w:eastAsia="zh-CN"/>
        </w:rPr>
        <w:t>定容</w:t>
      </w:r>
      <w:r>
        <w:rPr>
          <w:rFonts w:hint="eastAsia"/>
          <w:szCs w:val="21"/>
        </w:rPr>
        <w:t>体积，单位为毫升(mL)；</w:t>
      </w:r>
    </w:p>
    <w:p w14:paraId="0E10062A">
      <w:pPr>
        <w:ind w:firstLine="420" w:firstLineChars="200"/>
        <w:rPr>
          <w:szCs w:val="21"/>
        </w:rPr>
      </w:pPr>
      <w:r>
        <w:rPr>
          <w:rFonts w:hint="eastAsia"/>
          <w:i/>
          <w:iCs/>
          <w:szCs w:val="21"/>
        </w:rPr>
        <w:t>V</w:t>
      </w:r>
      <w:r>
        <w:rPr>
          <w:rFonts w:hint="eastAsia"/>
          <w:sz w:val="16"/>
          <w:szCs w:val="16"/>
          <w:vertAlign w:val="subscript"/>
        </w:rPr>
        <w:t>10</w:t>
      </w:r>
      <w:r>
        <w:rPr>
          <w:szCs w:val="21"/>
        </w:rPr>
        <w:t>——</w:t>
      </w:r>
      <w:r>
        <w:rPr>
          <w:rFonts w:hint="eastAsia"/>
          <w:szCs w:val="21"/>
        </w:rPr>
        <w:t>试液的分取体积，单位为毫升(mL)；</w:t>
      </w:r>
    </w:p>
    <w:p w14:paraId="10DFA3DE">
      <w:pPr>
        <w:ind w:firstLine="420" w:firstLineChars="200"/>
        <w:rPr>
          <w:szCs w:val="21"/>
        </w:rPr>
      </w:pPr>
      <w:r>
        <w:rPr>
          <w:rFonts w:hint="eastAsia"/>
          <w:i/>
          <w:iCs/>
          <w:szCs w:val="21"/>
        </w:rPr>
        <w:t>m</w:t>
      </w:r>
      <w:r>
        <w:rPr>
          <w:rFonts w:hint="eastAsia"/>
          <w:sz w:val="16"/>
          <w:szCs w:val="16"/>
          <w:vertAlign w:val="subscript"/>
        </w:rPr>
        <w:t>3</w:t>
      </w:r>
      <w:r>
        <w:rPr>
          <w:szCs w:val="21"/>
        </w:rPr>
        <w:t>——</w:t>
      </w:r>
      <w:r>
        <w:rPr>
          <w:rFonts w:hint="eastAsia"/>
          <w:szCs w:val="21"/>
        </w:rPr>
        <w:t>试料的质量，单位为克(g)。</w:t>
      </w:r>
    </w:p>
    <w:p w14:paraId="6EE32997">
      <w:pPr>
        <w:ind w:firstLine="420"/>
      </w:pPr>
      <w:r>
        <w:t>计算结果表示至小数点后</w:t>
      </w:r>
      <w:r>
        <w:rPr>
          <w:rFonts w:hint="eastAsia"/>
        </w:rPr>
        <w:t>二</w:t>
      </w:r>
      <w:r>
        <w:t>位。</w:t>
      </w:r>
      <w:r>
        <w:rPr>
          <w:rFonts w:hint="eastAsia"/>
        </w:rPr>
        <w:t>若质量分数</w:t>
      </w:r>
      <w:r>
        <w:t>小于0.10</w:t>
      </w:r>
      <w:r>
        <w:rPr>
          <w:rFonts w:hint="eastAsia"/>
        </w:rPr>
        <w:t xml:space="preserve"> </w:t>
      </w:r>
      <w:r>
        <w:t>%</w:t>
      </w:r>
      <w:r>
        <w:rPr>
          <w:rFonts w:hint="eastAsia"/>
        </w:rPr>
        <w:t>时，</w:t>
      </w:r>
      <w:r>
        <w:t>表示到小数点后</w:t>
      </w:r>
      <w:r>
        <w:rPr>
          <w:rFonts w:hint="eastAsia"/>
        </w:rPr>
        <w:t>三</w:t>
      </w:r>
      <w:r>
        <w:t>位。</w:t>
      </w:r>
    </w:p>
    <w:p w14:paraId="13587B1C">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6.7  精密度</w:t>
      </w:r>
    </w:p>
    <w:p w14:paraId="55FFB44A">
      <w:pPr>
        <w:spacing w:before="156" w:beforeLines="50" w:after="156" w:afterLines="50"/>
        <w:rPr>
          <w:rFonts w:hint="eastAsia" w:ascii="黑体" w:hAnsi="黑体" w:eastAsia="黑体" w:cs="黑体"/>
          <w:bCs/>
          <w:szCs w:val="21"/>
        </w:rPr>
      </w:pPr>
      <w:r>
        <w:rPr>
          <w:rFonts w:hint="eastAsia" w:ascii="黑体" w:hAnsi="黑体" w:eastAsia="黑体" w:cs="黑体"/>
          <w:bCs/>
          <w:szCs w:val="21"/>
        </w:rPr>
        <w:t>6.7.1  重复性</w:t>
      </w:r>
    </w:p>
    <w:p w14:paraId="155684E8">
      <w:pPr>
        <w:widowControl/>
        <w:adjustRightInd w:val="0"/>
        <w:snapToGrid w:val="0"/>
        <w:ind w:left="-2" w:leftChars="-1" w:right="-4" w:rightChars="-2" w:firstLine="420" w:firstLineChars="200"/>
        <w:jc w:val="left"/>
        <w:rPr>
          <w:rFonts w:hint="eastAsia" w:ascii="宋体" w:hAnsi="宋体"/>
          <w:kern w:val="0"/>
          <w:szCs w:val="22"/>
        </w:rPr>
      </w:pPr>
      <w:r>
        <w:rPr>
          <w:rFonts w:ascii="宋体" w:hAnsi="宋体"/>
          <w:kern w:val="0"/>
          <w:szCs w:val="22"/>
        </w:rPr>
        <w:t>在重复性条件下获得的两个独立测试结果的测定值，在</w:t>
      </w:r>
      <w:r>
        <w:rPr>
          <w:rFonts w:hint="eastAsia" w:ascii="宋体" w:hAnsi="宋体"/>
          <w:kern w:val="0"/>
          <w:szCs w:val="22"/>
          <w:lang w:val="en-US" w:eastAsia="zh-CN"/>
        </w:rPr>
        <w:t>表8</w:t>
      </w:r>
      <w:r>
        <w:rPr>
          <w:rFonts w:ascii="宋体" w:hAnsi="宋体"/>
          <w:kern w:val="0"/>
          <w:szCs w:val="22"/>
        </w:rPr>
        <w:t>给出的平均值范围内，这两个测试结果的绝对差值不超过重复性限（</w:t>
      </w:r>
      <w:r>
        <w:rPr>
          <w:i/>
          <w:iCs/>
          <w:sz w:val="18"/>
          <w:szCs w:val="18"/>
        </w:rPr>
        <w:t>r</w:t>
      </w:r>
      <w:r>
        <w:rPr>
          <w:rFonts w:ascii="宋体" w:hAnsi="宋体"/>
          <w:kern w:val="0"/>
          <w:szCs w:val="22"/>
        </w:rPr>
        <w:t>），超过重复性限（</w:t>
      </w:r>
      <w:r>
        <w:rPr>
          <w:i/>
          <w:iCs/>
          <w:sz w:val="18"/>
          <w:szCs w:val="18"/>
        </w:rPr>
        <w:t>r</w:t>
      </w:r>
      <w:r>
        <w:rPr>
          <w:rFonts w:ascii="宋体" w:hAnsi="宋体"/>
          <w:kern w:val="0"/>
          <w:szCs w:val="22"/>
        </w:rPr>
        <w:t>）的情况不超过</w:t>
      </w:r>
      <w:r>
        <w:rPr>
          <w:rFonts w:hint="default" w:ascii="Times New Roman" w:hAnsi="Times New Roman" w:cs="Times New Roman"/>
          <w:kern w:val="0"/>
          <w:szCs w:val="22"/>
        </w:rPr>
        <w:t>5 %</w:t>
      </w:r>
      <w:r>
        <w:rPr>
          <w:rFonts w:ascii="宋体" w:hAnsi="宋体"/>
          <w:kern w:val="0"/>
          <w:szCs w:val="22"/>
        </w:rPr>
        <w:t>。重复性限（</w:t>
      </w:r>
      <w:r>
        <w:rPr>
          <w:i/>
          <w:iCs/>
          <w:sz w:val="18"/>
          <w:szCs w:val="18"/>
        </w:rPr>
        <w:t>r</w:t>
      </w:r>
      <w:r>
        <w:rPr>
          <w:rFonts w:ascii="宋体" w:hAnsi="宋体"/>
          <w:kern w:val="0"/>
          <w:szCs w:val="22"/>
        </w:rPr>
        <w:t>）按表</w:t>
      </w:r>
      <w:r>
        <w:rPr>
          <w:rFonts w:hint="eastAsia" w:ascii="宋体" w:hAnsi="宋体"/>
          <w:kern w:val="0"/>
          <w:szCs w:val="22"/>
        </w:rPr>
        <w:t>8</w:t>
      </w:r>
      <w:r>
        <w:rPr>
          <w:rFonts w:ascii="宋体" w:hAnsi="宋体"/>
          <w:kern w:val="0"/>
          <w:szCs w:val="22"/>
        </w:rPr>
        <w:t>采用线性内插法</w:t>
      </w:r>
      <w:r>
        <w:rPr>
          <w:rFonts w:hint="eastAsia" w:ascii="宋体" w:hAnsi="宋体"/>
          <w:kern w:val="0"/>
          <w:szCs w:val="22"/>
        </w:rPr>
        <w:t>或外延法</w:t>
      </w:r>
      <w:r>
        <w:rPr>
          <w:rFonts w:ascii="宋体" w:hAnsi="宋体"/>
          <w:kern w:val="0"/>
          <w:szCs w:val="22"/>
        </w:rPr>
        <w:t>获得</w:t>
      </w:r>
      <w:r>
        <w:rPr>
          <w:bCs/>
          <w:szCs w:val="21"/>
        </w:rPr>
        <w:t>。</w:t>
      </w:r>
      <w:r>
        <w:rPr>
          <w:rFonts w:hint="eastAsia"/>
          <w:bCs/>
          <w:szCs w:val="21"/>
        </w:rPr>
        <w:t>精密度试验原始数据参见附录C。</w:t>
      </w:r>
    </w:p>
    <w:p w14:paraId="63BEB53B">
      <w:pPr>
        <w:widowControl/>
        <w:adjustRightInd w:val="0"/>
        <w:snapToGrid w:val="0"/>
        <w:spacing w:before="156" w:beforeLines="50" w:after="156" w:afterLines="50"/>
        <w:ind w:right="414" w:firstLine="420" w:firstLineChars="200"/>
        <w:jc w:val="center"/>
        <w:rPr>
          <w:rFonts w:hint="eastAsia" w:ascii="黑体" w:hAnsi="黑体" w:eastAsia="黑体" w:cs="黑体"/>
          <w:bCs/>
          <w:szCs w:val="21"/>
        </w:rPr>
      </w:pPr>
      <w:r>
        <w:rPr>
          <w:rFonts w:hint="eastAsia" w:ascii="黑体" w:hAnsi="黑体" w:eastAsia="黑体" w:cs="黑体"/>
          <w:bCs/>
          <w:szCs w:val="21"/>
        </w:rPr>
        <w:t xml:space="preserve">表8  </w:t>
      </w:r>
      <w:r>
        <w:rPr>
          <w:rFonts w:hint="eastAsia" w:ascii="黑体" w:hAnsi="黑体" w:eastAsia="黑体" w:cs="黑体"/>
          <w:bCs/>
          <w:szCs w:val="21"/>
          <w:lang w:val="en-US" w:eastAsia="zh-CN"/>
        </w:rPr>
        <w:t>方法3</w:t>
      </w:r>
      <w:r>
        <w:rPr>
          <w:rFonts w:hint="eastAsia" w:ascii="黑体" w:hAnsi="黑体" w:eastAsia="黑体" w:cs="黑体"/>
          <w:bCs/>
          <w:szCs w:val="21"/>
        </w:rPr>
        <w:t>重复性限</w:t>
      </w:r>
      <w:r>
        <w:rPr>
          <w:rFonts w:ascii="黑体" w:hAnsi="黑体" w:eastAsia="黑体"/>
          <w:kern w:val="0"/>
          <w:szCs w:val="21"/>
        </w:rPr>
        <w:t>（</w:t>
      </w:r>
      <w:r>
        <w:rPr>
          <w:rFonts w:ascii="黑体" w:hAnsi="黑体" w:eastAsia="黑体"/>
          <w:i/>
          <w:iCs/>
          <w:szCs w:val="21"/>
        </w:rPr>
        <w:t>r</w:t>
      </w:r>
      <w:r>
        <w:rPr>
          <w:rFonts w:ascii="黑体" w:hAnsi="黑体" w:eastAsia="黑体"/>
          <w:kern w:val="0"/>
          <w:szCs w:val="21"/>
        </w:rPr>
        <w:t>）</w:t>
      </w:r>
    </w:p>
    <w:tbl>
      <w:tblPr>
        <w:tblStyle w:val="3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026"/>
        <w:gridCol w:w="1038"/>
        <w:gridCol w:w="925"/>
        <w:gridCol w:w="924"/>
        <w:gridCol w:w="962"/>
        <w:gridCol w:w="901"/>
        <w:gridCol w:w="953"/>
      </w:tblGrid>
      <w:tr w14:paraId="1586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Align w:val="center"/>
          </w:tcPr>
          <w:p w14:paraId="35077024">
            <w:pPr>
              <w:tabs>
                <w:tab w:val="left" w:pos="278"/>
                <w:tab w:val="center" w:pos="901"/>
              </w:tabs>
              <w:snapToGrid w:val="0"/>
              <w:spacing w:line="360" w:lineRule="auto"/>
              <w:jc w:val="center"/>
              <w:rPr>
                <w:sz w:val="18"/>
                <w:szCs w:val="18"/>
              </w:rPr>
            </w:pPr>
            <w:r>
              <w:rPr>
                <w:rFonts w:hint="eastAsia"/>
                <w:i/>
                <w:color w:val="000000"/>
                <w:sz w:val="18"/>
                <w:szCs w:val="18"/>
              </w:rPr>
              <w:t>ω</w:t>
            </w:r>
            <w:r>
              <w:rPr>
                <w:rFonts w:hint="eastAsia"/>
                <w:i w:val="0"/>
                <w:iCs/>
                <w:sz w:val="18"/>
                <w:szCs w:val="18"/>
                <w:vertAlign w:val="subscript"/>
              </w:rPr>
              <w:t>As</w:t>
            </w:r>
            <w:r>
              <w:rPr>
                <w:sz w:val="18"/>
                <w:szCs w:val="18"/>
              </w:rPr>
              <w:t>/%</w:t>
            </w:r>
          </w:p>
        </w:tc>
        <w:tc>
          <w:tcPr>
            <w:tcW w:w="1026" w:type="dxa"/>
            <w:vAlign w:val="center"/>
          </w:tcPr>
          <w:p w14:paraId="3C990BB5">
            <w:pPr>
              <w:widowControl/>
              <w:jc w:val="center"/>
              <w:rPr>
                <w:kern w:val="0"/>
                <w:sz w:val="18"/>
                <w:szCs w:val="18"/>
              </w:rPr>
            </w:pPr>
            <w:r>
              <w:rPr>
                <w:rFonts w:hint="eastAsia"/>
                <w:kern w:val="0"/>
                <w:sz w:val="18"/>
                <w:szCs w:val="18"/>
              </w:rPr>
              <w:t xml:space="preserve">0.015 </w:t>
            </w:r>
          </w:p>
        </w:tc>
        <w:tc>
          <w:tcPr>
            <w:tcW w:w="1038" w:type="dxa"/>
            <w:vAlign w:val="center"/>
          </w:tcPr>
          <w:p w14:paraId="3E3AE550">
            <w:pPr>
              <w:widowControl/>
              <w:jc w:val="center"/>
              <w:rPr>
                <w:kern w:val="0"/>
                <w:sz w:val="18"/>
                <w:szCs w:val="18"/>
              </w:rPr>
            </w:pPr>
            <w:r>
              <w:rPr>
                <w:rFonts w:hint="eastAsia"/>
                <w:kern w:val="0"/>
                <w:sz w:val="18"/>
                <w:szCs w:val="18"/>
              </w:rPr>
              <w:t xml:space="preserve">0.051 </w:t>
            </w:r>
          </w:p>
        </w:tc>
        <w:tc>
          <w:tcPr>
            <w:tcW w:w="925" w:type="dxa"/>
            <w:vAlign w:val="center"/>
          </w:tcPr>
          <w:p w14:paraId="46CC72A3">
            <w:pPr>
              <w:widowControl/>
              <w:jc w:val="center"/>
              <w:rPr>
                <w:kern w:val="0"/>
                <w:sz w:val="18"/>
                <w:szCs w:val="18"/>
              </w:rPr>
            </w:pPr>
            <w:r>
              <w:rPr>
                <w:rFonts w:hint="eastAsia"/>
                <w:kern w:val="0"/>
                <w:sz w:val="18"/>
                <w:szCs w:val="18"/>
              </w:rPr>
              <w:t xml:space="preserve">0.12 </w:t>
            </w:r>
          </w:p>
        </w:tc>
        <w:tc>
          <w:tcPr>
            <w:tcW w:w="924" w:type="dxa"/>
            <w:vAlign w:val="center"/>
          </w:tcPr>
          <w:p w14:paraId="09FDC034">
            <w:pPr>
              <w:widowControl/>
              <w:jc w:val="center"/>
              <w:rPr>
                <w:kern w:val="0"/>
                <w:sz w:val="18"/>
                <w:szCs w:val="18"/>
              </w:rPr>
            </w:pPr>
            <w:r>
              <w:rPr>
                <w:rFonts w:hint="eastAsia"/>
                <w:kern w:val="0"/>
                <w:sz w:val="18"/>
                <w:szCs w:val="18"/>
              </w:rPr>
              <w:t xml:space="preserve">0.21 </w:t>
            </w:r>
          </w:p>
        </w:tc>
        <w:tc>
          <w:tcPr>
            <w:tcW w:w="962" w:type="dxa"/>
            <w:vAlign w:val="center"/>
          </w:tcPr>
          <w:p w14:paraId="35A2958B">
            <w:pPr>
              <w:widowControl/>
              <w:jc w:val="center"/>
              <w:rPr>
                <w:kern w:val="0"/>
                <w:sz w:val="18"/>
                <w:szCs w:val="18"/>
              </w:rPr>
            </w:pPr>
            <w:r>
              <w:rPr>
                <w:rFonts w:hint="eastAsia"/>
                <w:kern w:val="0"/>
                <w:sz w:val="18"/>
                <w:szCs w:val="18"/>
              </w:rPr>
              <w:t xml:space="preserve">0.30 </w:t>
            </w:r>
          </w:p>
        </w:tc>
        <w:tc>
          <w:tcPr>
            <w:tcW w:w="901" w:type="dxa"/>
            <w:vAlign w:val="center"/>
          </w:tcPr>
          <w:p w14:paraId="59771736">
            <w:pPr>
              <w:widowControl/>
              <w:jc w:val="center"/>
              <w:rPr>
                <w:kern w:val="0"/>
                <w:sz w:val="18"/>
                <w:szCs w:val="18"/>
              </w:rPr>
            </w:pPr>
            <w:r>
              <w:rPr>
                <w:rFonts w:hint="eastAsia"/>
                <w:kern w:val="0"/>
                <w:sz w:val="18"/>
                <w:szCs w:val="18"/>
              </w:rPr>
              <w:t xml:space="preserve">0.37 </w:t>
            </w:r>
          </w:p>
        </w:tc>
        <w:tc>
          <w:tcPr>
            <w:tcW w:w="953" w:type="dxa"/>
            <w:vAlign w:val="center"/>
          </w:tcPr>
          <w:p w14:paraId="69A761C9">
            <w:pPr>
              <w:widowControl/>
              <w:jc w:val="center"/>
              <w:rPr>
                <w:kern w:val="0"/>
                <w:sz w:val="18"/>
                <w:szCs w:val="18"/>
              </w:rPr>
            </w:pPr>
            <w:r>
              <w:rPr>
                <w:rFonts w:hint="eastAsia"/>
                <w:kern w:val="0"/>
                <w:sz w:val="18"/>
                <w:szCs w:val="18"/>
              </w:rPr>
              <w:t xml:space="preserve">0.43 </w:t>
            </w:r>
          </w:p>
        </w:tc>
      </w:tr>
      <w:tr w14:paraId="3C06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Align w:val="center"/>
          </w:tcPr>
          <w:p w14:paraId="3C16ADAE">
            <w:pPr>
              <w:snapToGrid w:val="0"/>
              <w:spacing w:line="360" w:lineRule="auto"/>
              <w:ind w:firstLine="420"/>
              <w:jc w:val="center"/>
              <w:rPr>
                <w:sz w:val="18"/>
                <w:szCs w:val="18"/>
              </w:rPr>
            </w:pPr>
            <w:r>
              <w:rPr>
                <w:i/>
                <w:iCs/>
                <w:sz w:val="18"/>
                <w:szCs w:val="18"/>
              </w:rPr>
              <w:t>r</w:t>
            </w:r>
            <w:r>
              <w:rPr>
                <w:sz w:val="18"/>
                <w:szCs w:val="18"/>
              </w:rPr>
              <w:t>/%</w:t>
            </w:r>
          </w:p>
        </w:tc>
        <w:tc>
          <w:tcPr>
            <w:tcW w:w="1026" w:type="dxa"/>
            <w:vAlign w:val="center"/>
          </w:tcPr>
          <w:p w14:paraId="3E6A1B76">
            <w:pPr>
              <w:widowControl/>
              <w:jc w:val="center"/>
              <w:rPr>
                <w:kern w:val="0"/>
                <w:sz w:val="18"/>
                <w:szCs w:val="18"/>
              </w:rPr>
            </w:pPr>
            <w:r>
              <w:rPr>
                <w:rFonts w:hint="eastAsia"/>
                <w:kern w:val="0"/>
                <w:sz w:val="18"/>
                <w:szCs w:val="18"/>
              </w:rPr>
              <w:t xml:space="preserve">0.002 </w:t>
            </w:r>
          </w:p>
        </w:tc>
        <w:tc>
          <w:tcPr>
            <w:tcW w:w="1038" w:type="dxa"/>
            <w:vAlign w:val="center"/>
          </w:tcPr>
          <w:p w14:paraId="4786C31C">
            <w:pPr>
              <w:widowControl/>
              <w:jc w:val="center"/>
              <w:rPr>
                <w:kern w:val="0"/>
                <w:sz w:val="18"/>
                <w:szCs w:val="18"/>
              </w:rPr>
            </w:pPr>
            <w:r>
              <w:rPr>
                <w:rFonts w:hint="eastAsia"/>
                <w:kern w:val="0"/>
                <w:sz w:val="18"/>
                <w:szCs w:val="18"/>
              </w:rPr>
              <w:t xml:space="preserve">0.005 </w:t>
            </w:r>
          </w:p>
        </w:tc>
        <w:tc>
          <w:tcPr>
            <w:tcW w:w="925" w:type="dxa"/>
            <w:vAlign w:val="center"/>
          </w:tcPr>
          <w:p w14:paraId="1D1EF2D0">
            <w:pPr>
              <w:widowControl/>
              <w:jc w:val="center"/>
              <w:rPr>
                <w:kern w:val="0"/>
                <w:sz w:val="18"/>
                <w:szCs w:val="18"/>
              </w:rPr>
            </w:pPr>
            <w:r>
              <w:rPr>
                <w:rFonts w:hint="eastAsia"/>
                <w:kern w:val="0"/>
                <w:sz w:val="18"/>
                <w:szCs w:val="18"/>
              </w:rPr>
              <w:t xml:space="preserve">0.01 </w:t>
            </w:r>
          </w:p>
        </w:tc>
        <w:tc>
          <w:tcPr>
            <w:tcW w:w="924" w:type="dxa"/>
            <w:vAlign w:val="center"/>
          </w:tcPr>
          <w:p w14:paraId="659C2526">
            <w:pPr>
              <w:widowControl/>
              <w:jc w:val="center"/>
              <w:rPr>
                <w:kern w:val="0"/>
                <w:sz w:val="18"/>
                <w:szCs w:val="18"/>
              </w:rPr>
            </w:pPr>
            <w:r>
              <w:rPr>
                <w:rFonts w:hint="eastAsia"/>
                <w:kern w:val="0"/>
                <w:sz w:val="18"/>
                <w:szCs w:val="18"/>
              </w:rPr>
              <w:t xml:space="preserve">0.02 </w:t>
            </w:r>
          </w:p>
        </w:tc>
        <w:tc>
          <w:tcPr>
            <w:tcW w:w="962" w:type="dxa"/>
            <w:vAlign w:val="center"/>
          </w:tcPr>
          <w:p w14:paraId="28BF5562">
            <w:pPr>
              <w:widowControl/>
              <w:jc w:val="center"/>
              <w:rPr>
                <w:kern w:val="0"/>
                <w:sz w:val="18"/>
                <w:szCs w:val="18"/>
              </w:rPr>
            </w:pPr>
            <w:r>
              <w:rPr>
                <w:rFonts w:hint="eastAsia"/>
                <w:kern w:val="0"/>
                <w:sz w:val="18"/>
                <w:szCs w:val="18"/>
              </w:rPr>
              <w:t xml:space="preserve">0.02 </w:t>
            </w:r>
          </w:p>
        </w:tc>
        <w:tc>
          <w:tcPr>
            <w:tcW w:w="901" w:type="dxa"/>
            <w:vAlign w:val="center"/>
          </w:tcPr>
          <w:p w14:paraId="200A512E">
            <w:pPr>
              <w:widowControl/>
              <w:jc w:val="center"/>
              <w:rPr>
                <w:kern w:val="0"/>
                <w:sz w:val="18"/>
                <w:szCs w:val="18"/>
              </w:rPr>
            </w:pPr>
            <w:r>
              <w:rPr>
                <w:rFonts w:hint="eastAsia"/>
                <w:kern w:val="0"/>
                <w:sz w:val="18"/>
                <w:szCs w:val="18"/>
              </w:rPr>
              <w:t xml:space="preserve">0.02 </w:t>
            </w:r>
          </w:p>
        </w:tc>
        <w:tc>
          <w:tcPr>
            <w:tcW w:w="953" w:type="dxa"/>
            <w:vAlign w:val="center"/>
          </w:tcPr>
          <w:p w14:paraId="54CB1A48">
            <w:pPr>
              <w:widowControl/>
              <w:jc w:val="center"/>
              <w:rPr>
                <w:kern w:val="0"/>
                <w:sz w:val="18"/>
                <w:szCs w:val="18"/>
              </w:rPr>
            </w:pPr>
            <w:r>
              <w:rPr>
                <w:rFonts w:hint="eastAsia"/>
                <w:kern w:val="0"/>
                <w:sz w:val="18"/>
                <w:szCs w:val="18"/>
              </w:rPr>
              <w:t xml:space="preserve">0.02 </w:t>
            </w:r>
          </w:p>
        </w:tc>
      </w:tr>
    </w:tbl>
    <w:p w14:paraId="5B8AA30E">
      <w:pPr>
        <w:widowControl/>
        <w:adjustRightInd w:val="0"/>
        <w:snapToGrid w:val="0"/>
        <w:spacing w:before="156" w:beforeLines="50" w:after="120"/>
        <w:ind w:right="420"/>
        <w:jc w:val="left"/>
        <w:rPr>
          <w:rFonts w:hint="eastAsia" w:ascii="宋体" w:hAnsi="宋体"/>
          <w:kern w:val="0"/>
          <w:szCs w:val="22"/>
        </w:rPr>
      </w:pPr>
      <w:r>
        <w:rPr>
          <w:rFonts w:hint="eastAsia" w:ascii="黑体" w:hAnsi="黑体" w:eastAsia="黑体" w:cs="黑体"/>
          <w:bCs/>
          <w:szCs w:val="21"/>
        </w:rPr>
        <w:t xml:space="preserve">6.7.2  再现性   </w:t>
      </w:r>
      <w:r>
        <w:rPr>
          <w:rFonts w:hint="eastAsia" w:ascii="宋体" w:hAnsi="宋体"/>
          <w:szCs w:val="21"/>
        </w:rPr>
        <w:t xml:space="preserve"> </w:t>
      </w:r>
      <w:r>
        <w:rPr>
          <w:rFonts w:hint="eastAsia" w:ascii="宋体" w:hAnsi="宋体"/>
          <w:kern w:val="0"/>
          <w:szCs w:val="22"/>
        </w:rPr>
        <w:t xml:space="preserve">                                                       </w:t>
      </w:r>
    </w:p>
    <w:p w14:paraId="604215F4">
      <w:pPr>
        <w:widowControl/>
        <w:adjustRightInd w:val="0"/>
        <w:snapToGrid w:val="0"/>
        <w:ind w:firstLine="420" w:firstLineChars="200"/>
        <w:jc w:val="left"/>
        <w:rPr>
          <w:rFonts w:hint="eastAsia" w:ascii="宋体" w:hAnsi="宋体"/>
          <w:kern w:val="0"/>
          <w:szCs w:val="22"/>
        </w:rPr>
      </w:pPr>
      <w:r>
        <w:rPr>
          <w:rFonts w:ascii="宋体" w:hAnsi="宋体"/>
          <w:kern w:val="0"/>
          <w:szCs w:val="22"/>
        </w:rPr>
        <w:t>在再现性条件下获得的两次独立测试结果的测定值，在</w:t>
      </w:r>
      <w:r>
        <w:rPr>
          <w:rFonts w:hint="eastAsia" w:ascii="宋体" w:hAnsi="宋体"/>
          <w:kern w:val="0"/>
          <w:szCs w:val="22"/>
          <w:lang w:val="en-US" w:eastAsia="zh-CN"/>
        </w:rPr>
        <w:t>表9</w:t>
      </w:r>
      <w:r>
        <w:rPr>
          <w:rFonts w:ascii="宋体" w:hAnsi="宋体"/>
          <w:kern w:val="0"/>
          <w:szCs w:val="22"/>
        </w:rPr>
        <w:t>给出的平均值范围内，这两个测试结果的绝对差值不超过再现性限（</w:t>
      </w:r>
      <w:r>
        <w:rPr>
          <w:i/>
          <w:iCs/>
          <w:kern w:val="0"/>
          <w:szCs w:val="22"/>
        </w:rPr>
        <w:t>R</w:t>
      </w:r>
      <w:r>
        <w:rPr>
          <w:rFonts w:ascii="宋体" w:hAnsi="宋体"/>
          <w:kern w:val="0"/>
          <w:szCs w:val="22"/>
        </w:rPr>
        <w:t>），超过再现性限（</w:t>
      </w:r>
      <w:r>
        <w:rPr>
          <w:i/>
          <w:iCs/>
          <w:kern w:val="0"/>
          <w:szCs w:val="22"/>
        </w:rPr>
        <w:t>R</w:t>
      </w:r>
      <w:r>
        <w:rPr>
          <w:rFonts w:ascii="宋体" w:hAnsi="宋体"/>
          <w:kern w:val="0"/>
          <w:szCs w:val="22"/>
        </w:rPr>
        <w:t>）的情况不超过</w:t>
      </w:r>
      <w:r>
        <w:rPr>
          <w:rFonts w:hint="default" w:ascii="Times New Roman" w:hAnsi="Times New Roman" w:cs="Times New Roman"/>
          <w:kern w:val="0"/>
          <w:szCs w:val="22"/>
        </w:rPr>
        <w:t>5 %</w:t>
      </w:r>
      <w:r>
        <w:rPr>
          <w:rFonts w:ascii="宋体" w:hAnsi="宋体"/>
          <w:kern w:val="0"/>
          <w:szCs w:val="22"/>
        </w:rPr>
        <w:t>，再现性限（</w:t>
      </w:r>
      <w:r>
        <w:rPr>
          <w:i/>
          <w:iCs/>
          <w:kern w:val="0"/>
          <w:szCs w:val="22"/>
        </w:rPr>
        <w:t>R</w:t>
      </w:r>
      <w:r>
        <w:rPr>
          <w:rFonts w:ascii="宋体" w:hAnsi="宋体"/>
          <w:kern w:val="0"/>
          <w:szCs w:val="22"/>
        </w:rPr>
        <w:t>）按表</w:t>
      </w:r>
      <w:r>
        <w:rPr>
          <w:rFonts w:hint="eastAsia" w:ascii="宋体" w:hAnsi="宋体"/>
          <w:kern w:val="0"/>
          <w:szCs w:val="22"/>
        </w:rPr>
        <w:t>9</w:t>
      </w:r>
      <w:r>
        <w:rPr>
          <w:rFonts w:ascii="宋体" w:hAnsi="宋体"/>
          <w:kern w:val="0"/>
          <w:szCs w:val="22"/>
        </w:rPr>
        <w:t>数据采用线性内插法</w:t>
      </w:r>
      <w:r>
        <w:rPr>
          <w:rFonts w:hint="eastAsia" w:ascii="宋体" w:hAnsi="宋体"/>
          <w:kern w:val="0"/>
          <w:szCs w:val="22"/>
        </w:rPr>
        <w:t>或外延法</w:t>
      </w:r>
      <w:r>
        <w:rPr>
          <w:rFonts w:ascii="宋体" w:hAnsi="宋体"/>
          <w:kern w:val="0"/>
          <w:szCs w:val="22"/>
        </w:rPr>
        <w:t>求得</w:t>
      </w:r>
      <w:r>
        <w:rPr>
          <w:bCs/>
          <w:szCs w:val="21"/>
        </w:rPr>
        <w:t>。</w:t>
      </w:r>
      <w:r>
        <w:rPr>
          <w:rFonts w:hint="eastAsia"/>
          <w:bCs/>
          <w:szCs w:val="21"/>
        </w:rPr>
        <w:t>精密度试验原始数据参见附录C。</w:t>
      </w:r>
    </w:p>
    <w:p w14:paraId="78606DCF">
      <w:pPr>
        <w:widowControl/>
        <w:adjustRightInd w:val="0"/>
        <w:snapToGrid w:val="0"/>
        <w:spacing w:before="156" w:beforeLines="50" w:after="156" w:afterLines="50"/>
        <w:ind w:right="414" w:firstLine="420" w:firstLineChars="200"/>
        <w:jc w:val="center"/>
        <w:rPr>
          <w:rFonts w:hint="eastAsia" w:ascii="黑体" w:hAnsi="黑体" w:eastAsia="黑体" w:cs="黑体"/>
          <w:bCs/>
          <w:szCs w:val="21"/>
        </w:rPr>
      </w:pPr>
      <w:r>
        <w:rPr>
          <w:rFonts w:hint="eastAsia" w:ascii="黑体" w:hAnsi="黑体" w:eastAsia="黑体" w:cs="黑体"/>
          <w:bCs/>
          <w:szCs w:val="21"/>
        </w:rPr>
        <w:t xml:space="preserve">表9  </w:t>
      </w:r>
      <w:r>
        <w:rPr>
          <w:rFonts w:hint="eastAsia" w:ascii="黑体" w:hAnsi="黑体" w:eastAsia="黑体" w:cs="黑体"/>
          <w:bCs/>
          <w:szCs w:val="21"/>
          <w:lang w:val="en-US" w:eastAsia="zh-CN"/>
        </w:rPr>
        <w:t>方法3</w:t>
      </w:r>
      <w:r>
        <w:rPr>
          <w:rFonts w:hint="eastAsia" w:ascii="黑体" w:hAnsi="黑体" w:eastAsia="黑体" w:cs="黑体"/>
          <w:bCs/>
          <w:szCs w:val="21"/>
        </w:rPr>
        <w:t>再现性限</w:t>
      </w:r>
      <w:r>
        <w:rPr>
          <w:rFonts w:ascii="黑体" w:hAnsi="黑体" w:eastAsia="黑体"/>
          <w:kern w:val="0"/>
          <w:szCs w:val="21"/>
        </w:rPr>
        <w:t>（</w:t>
      </w:r>
      <w:r>
        <w:rPr>
          <w:rFonts w:ascii="黑体" w:hAnsi="黑体" w:eastAsia="黑体"/>
          <w:i/>
          <w:iCs/>
          <w:kern w:val="0"/>
          <w:szCs w:val="21"/>
        </w:rPr>
        <w:t>R</w:t>
      </w:r>
      <w:r>
        <w:rPr>
          <w:rFonts w:ascii="黑体" w:hAnsi="黑体" w:eastAsia="黑体"/>
          <w:kern w:val="0"/>
          <w:szCs w:val="21"/>
        </w:rPr>
        <w:t>）</w:t>
      </w:r>
    </w:p>
    <w:tbl>
      <w:tblPr>
        <w:tblStyle w:val="3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026"/>
        <w:gridCol w:w="1038"/>
        <w:gridCol w:w="925"/>
        <w:gridCol w:w="924"/>
        <w:gridCol w:w="962"/>
        <w:gridCol w:w="901"/>
        <w:gridCol w:w="953"/>
      </w:tblGrid>
      <w:tr w14:paraId="6515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Align w:val="center"/>
          </w:tcPr>
          <w:p w14:paraId="36CB004E">
            <w:pPr>
              <w:tabs>
                <w:tab w:val="left" w:pos="278"/>
                <w:tab w:val="center" w:pos="901"/>
              </w:tabs>
              <w:snapToGrid w:val="0"/>
              <w:spacing w:line="360" w:lineRule="auto"/>
              <w:jc w:val="center"/>
              <w:rPr>
                <w:sz w:val="18"/>
                <w:szCs w:val="18"/>
              </w:rPr>
            </w:pPr>
            <w:r>
              <w:rPr>
                <w:rFonts w:hint="eastAsia"/>
                <w:i/>
                <w:color w:val="000000"/>
                <w:sz w:val="18"/>
                <w:szCs w:val="18"/>
              </w:rPr>
              <w:t>ω</w:t>
            </w:r>
            <w:r>
              <w:rPr>
                <w:rFonts w:hint="eastAsia"/>
                <w:i w:val="0"/>
                <w:iCs/>
                <w:sz w:val="18"/>
                <w:szCs w:val="18"/>
                <w:vertAlign w:val="subscript"/>
              </w:rPr>
              <w:t>As</w:t>
            </w:r>
            <w:r>
              <w:rPr>
                <w:iCs/>
                <w:sz w:val="18"/>
                <w:szCs w:val="18"/>
              </w:rPr>
              <w:t xml:space="preserve"> </w:t>
            </w:r>
            <w:r>
              <w:rPr>
                <w:sz w:val="18"/>
                <w:szCs w:val="18"/>
              </w:rPr>
              <w:t>/%</w:t>
            </w:r>
          </w:p>
        </w:tc>
        <w:tc>
          <w:tcPr>
            <w:tcW w:w="1026" w:type="dxa"/>
            <w:vAlign w:val="center"/>
          </w:tcPr>
          <w:p w14:paraId="72365D79">
            <w:pPr>
              <w:widowControl/>
              <w:jc w:val="center"/>
              <w:rPr>
                <w:kern w:val="0"/>
                <w:sz w:val="18"/>
                <w:szCs w:val="18"/>
              </w:rPr>
            </w:pPr>
            <w:r>
              <w:rPr>
                <w:rFonts w:hint="eastAsia"/>
                <w:kern w:val="0"/>
                <w:sz w:val="18"/>
                <w:szCs w:val="18"/>
              </w:rPr>
              <w:t xml:space="preserve">0.015 </w:t>
            </w:r>
          </w:p>
        </w:tc>
        <w:tc>
          <w:tcPr>
            <w:tcW w:w="1038" w:type="dxa"/>
            <w:vAlign w:val="center"/>
          </w:tcPr>
          <w:p w14:paraId="65217051">
            <w:pPr>
              <w:widowControl/>
              <w:jc w:val="center"/>
              <w:rPr>
                <w:kern w:val="0"/>
                <w:sz w:val="18"/>
                <w:szCs w:val="18"/>
              </w:rPr>
            </w:pPr>
            <w:r>
              <w:rPr>
                <w:rFonts w:hint="eastAsia"/>
                <w:kern w:val="0"/>
                <w:sz w:val="18"/>
                <w:szCs w:val="18"/>
              </w:rPr>
              <w:t xml:space="preserve">0.051 </w:t>
            </w:r>
          </w:p>
        </w:tc>
        <w:tc>
          <w:tcPr>
            <w:tcW w:w="925" w:type="dxa"/>
            <w:vAlign w:val="center"/>
          </w:tcPr>
          <w:p w14:paraId="0F30F61A">
            <w:pPr>
              <w:widowControl/>
              <w:jc w:val="center"/>
              <w:rPr>
                <w:kern w:val="0"/>
                <w:sz w:val="18"/>
                <w:szCs w:val="18"/>
              </w:rPr>
            </w:pPr>
            <w:r>
              <w:rPr>
                <w:rFonts w:hint="eastAsia"/>
                <w:kern w:val="0"/>
                <w:sz w:val="18"/>
                <w:szCs w:val="18"/>
              </w:rPr>
              <w:t xml:space="preserve">0.12 </w:t>
            </w:r>
          </w:p>
        </w:tc>
        <w:tc>
          <w:tcPr>
            <w:tcW w:w="924" w:type="dxa"/>
            <w:vAlign w:val="center"/>
          </w:tcPr>
          <w:p w14:paraId="34AF2780">
            <w:pPr>
              <w:widowControl/>
              <w:jc w:val="center"/>
              <w:rPr>
                <w:kern w:val="0"/>
                <w:sz w:val="18"/>
                <w:szCs w:val="18"/>
              </w:rPr>
            </w:pPr>
            <w:r>
              <w:rPr>
                <w:rFonts w:hint="eastAsia"/>
                <w:kern w:val="0"/>
                <w:sz w:val="18"/>
                <w:szCs w:val="18"/>
              </w:rPr>
              <w:t xml:space="preserve">0.21 </w:t>
            </w:r>
          </w:p>
        </w:tc>
        <w:tc>
          <w:tcPr>
            <w:tcW w:w="962" w:type="dxa"/>
            <w:vAlign w:val="center"/>
          </w:tcPr>
          <w:p w14:paraId="64400E73">
            <w:pPr>
              <w:widowControl/>
              <w:jc w:val="center"/>
              <w:rPr>
                <w:kern w:val="0"/>
                <w:sz w:val="18"/>
                <w:szCs w:val="18"/>
              </w:rPr>
            </w:pPr>
            <w:r>
              <w:rPr>
                <w:rFonts w:hint="eastAsia"/>
                <w:kern w:val="0"/>
                <w:sz w:val="18"/>
                <w:szCs w:val="18"/>
              </w:rPr>
              <w:t xml:space="preserve">0.30 </w:t>
            </w:r>
          </w:p>
        </w:tc>
        <w:tc>
          <w:tcPr>
            <w:tcW w:w="901" w:type="dxa"/>
            <w:vAlign w:val="center"/>
          </w:tcPr>
          <w:p w14:paraId="37079F74">
            <w:pPr>
              <w:widowControl/>
              <w:jc w:val="center"/>
              <w:rPr>
                <w:kern w:val="0"/>
                <w:sz w:val="18"/>
                <w:szCs w:val="18"/>
              </w:rPr>
            </w:pPr>
            <w:r>
              <w:rPr>
                <w:rFonts w:hint="eastAsia"/>
                <w:kern w:val="0"/>
                <w:sz w:val="18"/>
                <w:szCs w:val="18"/>
              </w:rPr>
              <w:t xml:space="preserve">0.37 </w:t>
            </w:r>
          </w:p>
        </w:tc>
        <w:tc>
          <w:tcPr>
            <w:tcW w:w="953" w:type="dxa"/>
            <w:vAlign w:val="center"/>
          </w:tcPr>
          <w:p w14:paraId="7AFF4E6D">
            <w:pPr>
              <w:widowControl/>
              <w:jc w:val="center"/>
              <w:rPr>
                <w:kern w:val="0"/>
                <w:sz w:val="18"/>
                <w:szCs w:val="18"/>
              </w:rPr>
            </w:pPr>
            <w:r>
              <w:rPr>
                <w:rFonts w:hint="eastAsia"/>
                <w:kern w:val="0"/>
                <w:sz w:val="18"/>
                <w:szCs w:val="18"/>
              </w:rPr>
              <w:t xml:space="preserve">0.43 </w:t>
            </w:r>
          </w:p>
        </w:tc>
      </w:tr>
      <w:tr w14:paraId="2CEF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pct"/>
            <w:vAlign w:val="center"/>
          </w:tcPr>
          <w:p w14:paraId="0BF38F51">
            <w:pPr>
              <w:snapToGrid w:val="0"/>
              <w:spacing w:line="360" w:lineRule="auto"/>
              <w:ind w:firstLine="420"/>
              <w:jc w:val="center"/>
              <w:rPr>
                <w:sz w:val="18"/>
                <w:szCs w:val="18"/>
              </w:rPr>
            </w:pPr>
            <w:r>
              <w:rPr>
                <w:rFonts w:hint="eastAsia"/>
                <w:i/>
                <w:iCs/>
                <w:sz w:val="18"/>
                <w:szCs w:val="18"/>
              </w:rPr>
              <w:t>R</w:t>
            </w:r>
            <w:r>
              <w:rPr>
                <w:sz w:val="18"/>
                <w:szCs w:val="18"/>
              </w:rPr>
              <w:t>/%</w:t>
            </w:r>
          </w:p>
        </w:tc>
        <w:tc>
          <w:tcPr>
            <w:tcW w:w="1026" w:type="dxa"/>
            <w:vAlign w:val="center"/>
          </w:tcPr>
          <w:p w14:paraId="4D198DD0">
            <w:pPr>
              <w:widowControl/>
              <w:jc w:val="center"/>
              <w:rPr>
                <w:kern w:val="0"/>
                <w:sz w:val="18"/>
                <w:szCs w:val="18"/>
              </w:rPr>
            </w:pPr>
            <w:r>
              <w:rPr>
                <w:rFonts w:hint="eastAsia"/>
                <w:kern w:val="0"/>
                <w:sz w:val="18"/>
                <w:szCs w:val="18"/>
              </w:rPr>
              <w:t xml:space="preserve">0.003 </w:t>
            </w:r>
          </w:p>
        </w:tc>
        <w:tc>
          <w:tcPr>
            <w:tcW w:w="1038" w:type="dxa"/>
            <w:vAlign w:val="center"/>
          </w:tcPr>
          <w:p w14:paraId="68DC0B6C">
            <w:pPr>
              <w:widowControl/>
              <w:jc w:val="center"/>
              <w:rPr>
                <w:kern w:val="0"/>
                <w:sz w:val="18"/>
                <w:szCs w:val="18"/>
              </w:rPr>
            </w:pPr>
            <w:r>
              <w:rPr>
                <w:rFonts w:hint="eastAsia"/>
                <w:kern w:val="0"/>
                <w:sz w:val="18"/>
                <w:szCs w:val="18"/>
              </w:rPr>
              <w:t xml:space="preserve">0.009 </w:t>
            </w:r>
          </w:p>
        </w:tc>
        <w:tc>
          <w:tcPr>
            <w:tcW w:w="925" w:type="dxa"/>
            <w:vAlign w:val="center"/>
          </w:tcPr>
          <w:p w14:paraId="203E247A">
            <w:pPr>
              <w:widowControl/>
              <w:jc w:val="center"/>
              <w:rPr>
                <w:kern w:val="0"/>
                <w:sz w:val="18"/>
                <w:szCs w:val="18"/>
              </w:rPr>
            </w:pPr>
            <w:r>
              <w:rPr>
                <w:rFonts w:hint="eastAsia"/>
                <w:kern w:val="0"/>
                <w:sz w:val="18"/>
                <w:szCs w:val="18"/>
              </w:rPr>
              <w:t xml:space="preserve">0.02 </w:t>
            </w:r>
          </w:p>
        </w:tc>
        <w:tc>
          <w:tcPr>
            <w:tcW w:w="924" w:type="dxa"/>
            <w:vAlign w:val="center"/>
          </w:tcPr>
          <w:p w14:paraId="685380CC">
            <w:pPr>
              <w:widowControl/>
              <w:jc w:val="center"/>
              <w:rPr>
                <w:kern w:val="0"/>
                <w:sz w:val="18"/>
                <w:szCs w:val="18"/>
              </w:rPr>
            </w:pPr>
            <w:r>
              <w:rPr>
                <w:rFonts w:hint="eastAsia"/>
                <w:kern w:val="0"/>
                <w:sz w:val="18"/>
                <w:szCs w:val="18"/>
              </w:rPr>
              <w:t xml:space="preserve">0.03 </w:t>
            </w:r>
          </w:p>
        </w:tc>
        <w:tc>
          <w:tcPr>
            <w:tcW w:w="962" w:type="dxa"/>
            <w:vAlign w:val="center"/>
          </w:tcPr>
          <w:p w14:paraId="1D8F2F75">
            <w:pPr>
              <w:widowControl/>
              <w:jc w:val="center"/>
              <w:rPr>
                <w:kern w:val="0"/>
                <w:sz w:val="18"/>
                <w:szCs w:val="18"/>
              </w:rPr>
            </w:pPr>
            <w:r>
              <w:rPr>
                <w:rFonts w:hint="eastAsia"/>
                <w:kern w:val="0"/>
                <w:sz w:val="18"/>
                <w:szCs w:val="18"/>
              </w:rPr>
              <w:t xml:space="preserve">0.02 </w:t>
            </w:r>
          </w:p>
        </w:tc>
        <w:tc>
          <w:tcPr>
            <w:tcW w:w="901" w:type="dxa"/>
            <w:vAlign w:val="center"/>
          </w:tcPr>
          <w:p w14:paraId="07F3F0E9">
            <w:pPr>
              <w:widowControl/>
              <w:jc w:val="center"/>
              <w:rPr>
                <w:kern w:val="0"/>
                <w:sz w:val="18"/>
                <w:szCs w:val="18"/>
              </w:rPr>
            </w:pPr>
            <w:r>
              <w:rPr>
                <w:rFonts w:hint="eastAsia"/>
                <w:kern w:val="0"/>
                <w:sz w:val="18"/>
                <w:szCs w:val="18"/>
              </w:rPr>
              <w:t xml:space="preserve">0.03 </w:t>
            </w:r>
          </w:p>
        </w:tc>
        <w:tc>
          <w:tcPr>
            <w:tcW w:w="953" w:type="dxa"/>
            <w:vAlign w:val="center"/>
          </w:tcPr>
          <w:p w14:paraId="10D30A34">
            <w:pPr>
              <w:widowControl/>
              <w:jc w:val="center"/>
              <w:rPr>
                <w:kern w:val="0"/>
                <w:sz w:val="18"/>
                <w:szCs w:val="18"/>
              </w:rPr>
            </w:pPr>
            <w:r>
              <w:rPr>
                <w:rFonts w:hint="eastAsia"/>
                <w:kern w:val="0"/>
                <w:sz w:val="18"/>
                <w:szCs w:val="18"/>
              </w:rPr>
              <w:t xml:space="preserve">0.04 </w:t>
            </w:r>
          </w:p>
        </w:tc>
      </w:tr>
    </w:tbl>
    <w:p w14:paraId="0217772B">
      <w:pPr>
        <w:widowControl/>
        <w:adjustRightInd w:val="0"/>
        <w:snapToGrid w:val="0"/>
        <w:spacing w:before="312" w:beforeLines="100" w:after="120"/>
        <w:ind w:right="420"/>
        <w:jc w:val="left"/>
        <w:rPr>
          <w:rFonts w:hint="eastAsia" w:ascii="黑体" w:hAnsi="黑体" w:eastAsia="黑体" w:cs="黑体"/>
          <w:bCs/>
          <w:szCs w:val="21"/>
        </w:rPr>
      </w:pPr>
      <w:r>
        <w:rPr>
          <w:rFonts w:hint="eastAsia" w:ascii="黑体" w:hAnsi="黑体" w:eastAsia="黑体" w:cs="黑体"/>
          <w:bCs/>
          <w:szCs w:val="21"/>
        </w:rPr>
        <w:t>7  试验报告</w:t>
      </w:r>
    </w:p>
    <w:p w14:paraId="4BA69BF3">
      <w:pPr>
        <w:widowControl/>
        <w:autoSpaceDE w:val="0"/>
        <w:autoSpaceDN w:val="0"/>
        <w:adjustRightInd w:val="0"/>
        <w:snapToGrid w:val="0"/>
        <w:spacing w:after="200"/>
        <w:ind w:firstLine="604" w:firstLineChars="288"/>
        <w:jc w:val="left"/>
        <w:rPr>
          <w:color w:val="000000"/>
          <w:kern w:val="0"/>
          <w:szCs w:val="20"/>
        </w:rPr>
      </w:pPr>
      <w:r>
        <w:rPr>
          <w:rFonts w:hint="eastAsia"/>
          <w:color w:val="000000"/>
          <w:kern w:val="0"/>
          <w:szCs w:val="20"/>
        </w:rPr>
        <w:t>试验报告应至少给出以下内容：</w:t>
      </w:r>
    </w:p>
    <w:p w14:paraId="2B92405A">
      <w:pPr>
        <w:widowControl/>
        <w:autoSpaceDE w:val="0"/>
        <w:autoSpaceDN w:val="0"/>
        <w:adjustRightInd w:val="0"/>
        <w:snapToGrid w:val="0"/>
        <w:spacing w:after="200"/>
        <w:ind w:firstLine="604" w:firstLineChars="288"/>
        <w:jc w:val="left"/>
        <w:rPr>
          <w:color w:val="000000"/>
          <w:kern w:val="0"/>
          <w:szCs w:val="20"/>
        </w:rPr>
      </w:pPr>
      <w:r>
        <w:rPr>
          <w:rFonts w:hint="eastAsia"/>
          <w:color w:val="000000"/>
          <w:kern w:val="0"/>
          <w:szCs w:val="20"/>
        </w:rPr>
        <w:t>──试验对象；</w:t>
      </w:r>
    </w:p>
    <w:p w14:paraId="6BB496F6">
      <w:pPr>
        <w:widowControl/>
        <w:autoSpaceDE w:val="0"/>
        <w:autoSpaceDN w:val="0"/>
        <w:adjustRightInd w:val="0"/>
        <w:snapToGrid w:val="0"/>
        <w:spacing w:after="200"/>
        <w:ind w:firstLine="619" w:firstLineChars="295"/>
        <w:jc w:val="left"/>
        <w:rPr>
          <w:color w:val="000000"/>
          <w:kern w:val="0"/>
          <w:szCs w:val="20"/>
        </w:rPr>
      </w:pPr>
      <w:r>
        <w:rPr>
          <w:rFonts w:hint="eastAsia"/>
          <w:color w:val="000000"/>
          <w:kern w:val="0"/>
          <w:szCs w:val="20"/>
        </w:rPr>
        <w:t>──本文</w:t>
      </w:r>
      <w:r>
        <w:rPr>
          <w:rFonts w:hint="eastAsia"/>
        </w:rPr>
        <w:t>件编号</w:t>
      </w:r>
      <w:r>
        <w:rPr>
          <w:rFonts w:hint="eastAsia"/>
          <w:color w:val="000000"/>
          <w:kern w:val="0"/>
          <w:szCs w:val="20"/>
        </w:rPr>
        <w:t>；</w:t>
      </w:r>
    </w:p>
    <w:p w14:paraId="0758523B">
      <w:pPr>
        <w:widowControl/>
        <w:autoSpaceDE w:val="0"/>
        <w:autoSpaceDN w:val="0"/>
        <w:adjustRightInd w:val="0"/>
        <w:snapToGrid w:val="0"/>
        <w:spacing w:after="200"/>
        <w:ind w:firstLine="619" w:firstLineChars="295"/>
        <w:jc w:val="left"/>
        <w:rPr>
          <w:color w:val="000000"/>
          <w:kern w:val="0"/>
          <w:szCs w:val="20"/>
        </w:rPr>
      </w:pPr>
      <w:r>
        <w:rPr>
          <w:rFonts w:hint="eastAsia"/>
          <w:color w:val="000000"/>
          <w:kern w:val="0"/>
          <w:szCs w:val="20"/>
        </w:rPr>
        <w:t>──使用的方法；</w:t>
      </w:r>
    </w:p>
    <w:p w14:paraId="15E4FBB1">
      <w:pPr>
        <w:widowControl/>
        <w:autoSpaceDE w:val="0"/>
        <w:autoSpaceDN w:val="0"/>
        <w:adjustRightInd w:val="0"/>
        <w:snapToGrid w:val="0"/>
        <w:spacing w:after="200"/>
        <w:ind w:firstLine="604" w:firstLineChars="288"/>
        <w:jc w:val="left"/>
        <w:rPr>
          <w:color w:val="000000"/>
          <w:kern w:val="0"/>
          <w:szCs w:val="20"/>
        </w:rPr>
      </w:pPr>
      <w:r>
        <w:rPr>
          <w:rFonts w:hint="eastAsia"/>
          <w:color w:val="000000"/>
          <w:kern w:val="0"/>
          <w:szCs w:val="20"/>
        </w:rPr>
        <w:t>──分析结果及其表示；</w:t>
      </w:r>
    </w:p>
    <w:p w14:paraId="4A4D0F72">
      <w:pPr>
        <w:widowControl/>
        <w:autoSpaceDE w:val="0"/>
        <w:autoSpaceDN w:val="0"/>
        <w:adjustRightInd w:val="0"/>
        <w:snapToGrid w:val="0"/>
        <w:spacing w:after="200"/>
        <w:ind w:firstLine="604" w:firstLineChars="288"/>
        <w:jc w:val="left"/>
        <w:rPr>
          <w:color w:val="000000"/>
          <w:kern w:val="0"/>
          <w:szCs w:val="20"/>
        </w:rPr>
      </w:pPr>
      <w:r>
        <w:rPr>
          <w:rFonts w:hint="eastAsia"/>
          <w:color w:val="000000"/>
          <w:kern w:val="0"/>
          <w:szCs w:val="20"/>
        </w:rPr>
        <w:t>──与基本分析步骤的差异；</w:t>
      </w:r>
    </w:p>
    <w:p w14:paraId="134322FB">
      <w:pPr>
        <w:widowControl/>
        <w:autoSpaceDE w:val="0"/>
        <w:autoSpaceDN w:val="0"/>
        <w:adjustRightInd w:val="0"/>
        <w:snapToGrid w:val="0"/>
        <w:spacing w:after="200"/>
        <w:ind w:firstLine="604" w:firstLineChars="288"/>
        <w:jc w:val="left"/>
        <w:rPr>
          <w:color w:val="000000"/>
          <w:kern w:val="0"/>
          <w:szCs w:val="20"/>
        </w:rPr>
      </w:pPr>
      <w:r>
        <w:rPr>
          <w:rFonts w:hint="eastAsia"/>
          <w:color w:val="000000"/>
          <w:kern w:val="0"/>
          <w:szCs w:val="20"/>
        </w:rPr>
        <w:t>──测定中观察到的异常现象；</w:t>
      </w:r>
    </w:p>
    <w:p w14:paraId="0F1A3A90">
      <w:pPr>
        <w:widowControl/>
        <w:autoSpaceDE w:val="0"/>
        <w:autoSpaceDN w:val="0"/>
        <w:adjustRightInd w:val="0"/>
        <w:snapToGrid w:val="0"/>
        <w:spacing w:after="200"/>
        <w:ind w:firstLine="604" w:firstLineChars="288"/>
        <w:jc w:val="left"/>
        <w:rPr>
          <w:rFonts w:hint="eastAsia" w:ascii="宋体" w:hAnsi="宋体"/>
          <w:szCs w:val="21"/>
        </w:rPr>
      </w:pPr>
      <w:r>
        <w:rPr>
          <w:rFonts w:hint="eastAsia"/>
          <w:color w:val="000000"/>
          <w:kern w:val="0"/>
          <w:szCs w:val="20"/>
        </w:rPr>
        <w:t>──试验日期。</w:t>
      </w:r>
      <w:r>
        <w:rPr>
          <w:rFonts w:ascii="宋体" w:hAnsi="宋体"/>
          <w:szCs w:val="21"/>
        </w:rPr>
        <w:t xml:space="preserve"> </w:t>
      </w:r>
      <w:r>
        <w:rPr>
          <w:rFonts w:hint="eastAsia" w:ascii="宋体" w:hAnsi="宋体"/>
          <w:szCs w:val="21"/>
        </w:rPr>
        <w:t xml:space="preserve">   </w:t>
      </w:r>
    </w:p>
    <w:p w14:paraId="6BCD54A5">
      <w:pPr>
        <w:widowControl/>
        <w:adjustRightInd w:val="0"/>
        <w:snapToGrid w:val="0"/>
        <w:ind w:firstLine="604" w:firstLineChars="288"/>
        <w:jc w:val="center"/>
        <w:rPr>
          <w:rFonts w:hint="eastAsia" w:ascii="黑体" w:hAnsi="黑体" w:eastAsia="黑体" w:cs="黑体"/>
          <w:bCs/>
          <w:szCs w:val="21"/>
        </w:rPr>
      </w:pPr>
      <w:r>
        <w:rPr>
          <w:rFonts w:hint="eastAsia" w:ascii="宋体" w:hAnsi="宋体"/>
          <w:szCs w:val="21"/>
        </w:rPr>
        <w:br w:type="page"/>
      </w:r>
      <w:r>
        <w:rPr>
          <w:rFonts w:hint="eastAsia" w:ascii="黑体" w:hAnsi="黑体" w:eastAsia="黑体" w:cs="黑体"/>
          <w:bCs/>
          <w:szCs w:val="21"/>
        </w:rPr>
        <w:t>附录A</w:t>
      </w:r>
    </w:p>
    <w:p w14:paraId="23ED8801">
      <w:pPr>
        <w:widowControl/>
        <w:adjustRightInd w:val="0"/>
        <w:snapToGrid w:val="0"/>
        <w:ind w:firstLine="604" w:firstLineChars="288"/>
        <w:jc w:val="center"/>
        <w:rPr>
          <w:rFonts w:hint="eastAsia" w:ascii="宋体" w:hAnsi="宋体"/>
          <w:szCs w:val="21"/>
        </w:rPr>
      </w:pPr>
      <w:r>
        <w:rPr>
          <w:rFonts w:hint="eastAsia" w:ascii="黑体" w:hAnsi="黑体" w:eastAsia="黑体" w:cs="黑体"/>
          <w:bCs/>
          <w:szCs w:val="21"/>
        </w:rPr>
        <w:t>(资料性)</w:t>
      </w:r>
      <w:r>
        <w:rPr>
          <w:rFonts w:hint="eastAsia" w:ascii="宋体" w:hAnsi="宋体"/>
          <w:szCs w:val="21"/>
        </w:rPr>
        <w:t xml:space="preserve"> </w:t>
      </w:r>
    </w:p>
    <w:p w14:paraId="3BD24577">
      <w:pPr>
        <w:widowControl/>
        <w:adjustRightInd w:val="0"/>
        <w:snapToGrid w:val="0"/>
        <w:ind w:firstLine="604" w:firstLineChars="288"/>
        <w:jc w:val="center"/>
        <w:rPr>
          <w:rFonts w:hint="eastAsia" w:ascii="宋体" w:hAnsi="宋体"/>
          <w:szCs w:val="21"/>
        </w:rPr>
      </w:pPr>
      <w:r>
        <w:rPr>
          <w:rFonts w:hint="eastAsia" w:ascii="黑体" w:hAnsi="黑体" w:eastAsia="黑体" w:cs="黑体"/>
          <w:bCs/>
          <w:szCs w:val="21"/>
        </w:rPr>
        <w:t>氢化物发生—原子荧光光谱法（方法1）精密度试验</w:t>
      </w:r>
      <w:r>
        <w:rPr>
          <w:rFonts w:hint="eastAsia" w:ascii="黑体" w:hAnsi="黑体" w:eastAsia="黑体" w:cs="黑体"/>
          <w:bCs/>
          <w:szCs w:val="21"/>
          <w:lang w:val="en-US" w:eastAsia="zh-CN"/>
        </w:rPr>
        <w:t>统计数据</w:t>
      </w:r>
      <w:r>
        <w:rPr>
          <w:rFonts w:hint="eastAsia" w:ascii="宋体" w:hAnsi="宋体"/>
          <w:szCs w:val="21"/>
        </w:rPr>
        <w:t xml:space="preserve">    </w:t>
      </w:r>
    </w:p>
    <w:p w14:paraId="7605AEB3">
      <w:pPr>
        <w:widowControl/>
        <w:adjustRightInd w:val="0"/>
        <w:snapToGrid w:val="0"/>
        <w:ind w:firstLine="604" w:firstLineChars="288"/>
        <w:jc w:val="center"/>
        <w:rPr>
          <w:rFonts w:hint="eastAsia" w:ascii="宋体" w:hAnsi="宋体"/>
          <w:szCs w:val="21"/>
        </w:rPr>
      </w:pPr>
    </w:p>
    <w:p w14:paraId="0894EB68">
      <w:pPr>
        <w:widowControl/>
        <w:adjustRightInd w:val="0"/>
        <w:snapToGrid w:val="0"/>
        <w:ind w:firstLine="604" w:firstLineChars="288"/>
        <w:jc w:val="left"/>
        <w:rPr>
          <w:rFonts w:hint="eastAsia" w:ascii="宋体" w:hAnsi="宋体"/>
          <w:kern w:val="0"/>
          <w:szCs w:val="22"/>
        </w:rPr>
      </w:pPr>
      <w:r>
        <w:rPr>
          <w:rFonts w:hint="eastAsia" w:ascii="宋体" w:hAnsi="宋体"/>
          <w:kern w:val="0"/>
          <w:szCs w:val="22"/>
          <w:lang w:val="en-US" w:eastAsia="zh-CN"/>
        </w:rPr>
        <w:t>砷的</w:t>
      </w:r>
      <w:r>
        <w:rPr>
          <w:rFonts w:hint="eastAsia" w:ascii="宋体" w:hAnsi="宋体"/>
          <w:kern w:val="0"/>
          <w:szCs w:val="22"/>
        </w:rPr>
        <w:t>精密度数据是由2024年1</w:t>
      </w:r>
      <w:r>
        <w:rPr>
          <w:rFonts w:hint="eastAsia" w:ascii="宋体" w:hAnsi="宋体"/>
          <w:kern w:val="0"/>
          <w:szCs w:val="22"/>
          <w:lang w:val="en-US" w:eastAsia="zh-CN"/>
        </w:rPr>
        <w:t>4</w:t>
      </w:r>
      <w:r>
        <w:rPr>
          <w:rFonts w:hint="eastAsia" w:ascii="宋体" w:hAnsi="宋体"/>
          <w:kern w:val="0"/>
          <w:szCs w:val="22"/>
        </w:rPr>
        <w:t>家实验室对7个不同水平样品进行共同试验确定的。每个实验室对每个水平的砷含量在重复性条件下独立测定11次。测定原始数据见表A.1。</w:t>
      </w:r>
    </w:p>
    <w:p w14:paraId="53D9A623">
      <w:pPr>
        <w:ind w:firstLine="770" w:firstLineChars="367"/>
        <w:jc w:val="center"/>
        <w:rPr>
          <w:rFonts w:hint="eastAsia" w:ascii="黑体" w:hAnsi="黑体" w:eastAsia="黑体" w:cs="黑体"/>
          <w:szCs w:val="21"/>
          <w:lang w:val="en-US" w:eastAsia="zh-CN"/>
        </w:rPr>
      </w:pPr>
      <w:r>
        <w:rPr>
          <w:rFonts w:hint="eastAsia" w:ascii="黑体" w:hAnsi="黑体" w:eastAsia="黑体" w:cs="黑体"/>
          <w:szCs w:val="21"/>
        </w:rPr>
        <w:t>表A.1  砷精密度试验</w:t>
      </w:r>
      <w:r>
        <w:rPr>
          <w:rFonts w:hint="eastAsia" w:ascii="黑体" w:hAnsi="黑体" w:eastAsia="黑体" w:cs="黑体"/>
          <w:szCs w:val="21"/>
          <w:lang w:val="en-US" w:eastAsia="zh-CN"/>
        </w:rPr>
        <w:t>统计数据</w:t>
      </w:r>
    </w:p>
    <w:tbl>
      <w:tblPr>
        <w:tblStyle w:val="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23"/>
        <w:gridCol w:w="951"/>
        <w:gridCol w:w="844"/>
        <w:gridCol w:w="844"/>
        <w:gridCol w:w="844"/>
        <w:gridCol w:w="736"/>
        <w:gridCol w:w="736"/>
        <w:gridCol w:w="737"/>
      </w:tblGrid>
      <w:tr w14:paraId="0FC6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7AA3895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样品的水平</w:t>
            </w:r>
          </w:p>
        </w:tc>
        <w:tc>
          <w:tcPr>
            <w:tcW w:w="558" w:type="pct"/>
          </w:tcPr>
          <w:p w14:paraId="66F5E350">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w:t>
            </w:r>
          </w:p>
        </w:tc>
        <w:tc>
          <w:tcPr>
            <w:tcW w:w="495" w:type="pct"/>
          </w:tcPr>
          <w:p w14:paraId="6E49949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2</w:t>
            </w:r>
          </w:p>
        </w:tc>
        <w:tc>
          <w:tcPr>
            <w:tcW w:w="495" w:type="pct"/>
          </w:tcPr>
          <w:p w14:paraId="0B6C706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3</w:t>
            </w:r>
          </w:p>
        </w:tc>
        <w:tc>
          <w:tcPr>
            <w:tcW w:w="495" w:type="pct"/>
          </w:tcPr>
          <w:p w14:paraId="57C2997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4</w:t>
            </w:r>
          </w:p>
        </w:tc>
        <w:tc>
          <w:tcPr>
            <w:tcW w:w="432" w:type="pct"/>
          </w:tcPr>
          <w:p w14:paraId="3F80812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5</w:t>
            </w:r>
          </w:p>
        </w:tc>
        <w:tc>
          <w:tcPr>
            <w:tcW w:w="432" w:type="pct"/>
          </w:tcPr>
          <w:p w14:paraId="049DD20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6</w:t>
            </w:r>
          </w:p>
        </w:tc>
        <w:tc>
          <w:tcPr>
            <w:tcW w:w="432" w:type="pct"/>
          </w:tcPr>
          <w:p w14:paraId="6831F44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7</w:t>
            </w:r>
          </w:p>
        </w:tc>
      </w:tr>
      <w:tr w14:paraId="1618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5F3BEBA4">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参加试验室的数目</w:t>
            </w:r>
          </w:p>
        </w:tc>
        <w:tc>
          <w:tcPr>
            <w:tcW w:w="558" w:type="pct"/>
          </w:tcPr>
          <w:p w14:paraId="57A65E0D">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95" w:type="pct"/>
          </w:tcPr>
          <w:p w14:paraId="114AB51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95" w:type="pct"/>
          </w:tcPr>
          <w:p w14:paraId="35C488C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95" w:type="pct"/>
          </w:tcPr>
          <w:p w14:paraId="3CE672EF">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2" w:type="pct"/>
          </w:tcPr>
          <w:p w14:paraId="314A2A3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2" w:type="pct"/>
          </w:tcPr>
          <w:p w14:paraId="2D53E50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2" w:type="pct"/>
          </w:tcPr>
          <w:p w14:paraId="34FA91FF">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r>
      <w:tr w14:paraId="20BE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3D80C67B">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可接受结果的数目</w:t>
            </w:r>
          </w:p>
        </w:tc>
        <w:tc>
          <w:tcPr>
            <w:tcW w:w="558" w:type="pct"/>
          </w:tcPr>
          <w:p w14:paraId="4711408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c>
          <w:tcPr>
            <w:tcW w:w="495" w:type="pct"/>
          </w:tcPr>
          <w:p w14:paraId="0E73278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95" w:type="pct"/>
          </w:tcPr>
          <w:p w14:paraId="34A97A9D">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95" w:type="pct"/>
          </w:tcPr>
          <w:p w14:paraId="166BC61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2" w:type="pct"/>
          </w:tcPr>
          <w:p w14:paraId="5BB30D4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2" w:type="pct"/>
          </w:tcPr>
          <w:p w14:paraId="2594FEB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2" w:type="pct"/>
          </w:tcPr>
          <w:p w14:paraId="52B0A87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r>
      <w:tr w14:paraId="7D86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192C478D">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平均值（g/100g）</w:t>
            </w:r>
          </w:p>
        </w:tc>
        <w:tc>
          <w:tcPr>
            <w:tcW w:w="558" w:type="pct"/>
            <w:vAlign w:val="center"/>
          </w:tcPr>
          <w:p w14:paraId="0AC12447">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0.018 </w:t>
            </w:r>
          </w:p>
        </w:tc>
        <w:tc>
          <w:tcPr>
            <w:tcW w:w="495" w:type="pct"/>
            <w:vAlign w:val="center"/>
          </w:tcPr>
          <w:p w14:paraId="30F207C3">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0.057 </w:t>
            </w:r>
          </w:p>
        </w:tc>
        <w:tc>
          <w:tcPr>
            <w:tcW w:w="495" w:type="pct"/>
            <w:vAlign w:val="center"/>
          </w:tcPr>
          <w:p w14:paraId="4AAACC5A">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0.12 </w:t>
            </w:r>
          </w:p>
        </w:tc>
        <w:tc>
          <w:tcPr>
            <w:tcW w:w="495" w:type="pct"/>
            <w:vAlign w:val="center"/>
          </w:tcPr>
          <w:p w14:paraId="15E37325">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0.29 </w:t>
            </w:r>
          </w:p>
        </w:tc>
        <w:tc>
          <w:tcPr>
            <w:tcW w:w="432" w:type="pct"/>
            <w:vAlign w:val="center"/>
          </w:tcPr>
          <w:p w14:paraId="4090F030">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0.61 </w:t>
            </w:r>
          </w:p>
        </w:tc>
        <w:tc>
          <w:tcPr>
            <w:tcW w:w="432" w:type="pct"/>
            <w:vAlign w:val="center"/>
          </w:tcPr>
          <w:p w14:paraId="388982F3">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0.80 </w:t>
            </w:r>
          </w:p>
        </w:tc>
        <w:tc>
          <w:tcPr>
            <w:tcW w:w="432" w:type="pct"/>
            <w:vAlign w:val="center"/>
          </w:tcPr>
          <w:p w14:paraId="4CF7C4C1">
            <w:pPr>
              <w:widowControl/>
              <w:jc w:val="center"/>
              <w:rPr>
                <w:rFonts w:hint="default" w:ascii="Times New Roman" w:hAnsi="Times New Roman" w:eastAsia="黑体" w:cs="Times New Roman"/>
                <w:color w:val="auto"/>
                <w:sz w:val="18"/>
                <w:szCs w:val="18"/>
                <w:vertAlign w:val="baseline"/>
                <w:lang w:val="en-US" w:eastAsia="zh-CN"/>
              </w:rPr>
            </w:pPr>
            <w:r>
              <w:rPr>
                <w:rFonts w:hint="default" w:ascii="Times New Roman" w:hAnsi="Times New Roman" w:cs="Times New Roman"/>
                <w:color w:val="auto"/>
                <w:kern w:val="0"/>
                <w:sz w:val="18"/>
                <w:szCs w:val="18"/>
              </w:rPr>
              <w:t xml:space="preserve">1.00 </w:t>
            </w:r>
          </w:p>
        </w:tc>
      </w:tr>
      <w:tr w14:paraId="7AC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683280AC">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重复性标准差（Sr）</w:t>
            </w:r>
          </w:p>
        </w:tc>
        <w:tc>
          <w:tcPr>
            <w:tcW w:w="558" w:type="pct"/>
            <w:vAlign w:val="center"/>
          </w:tcPr>
          <w:p w14:paraId="492D52C9">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0.00090 </w:t>
            </w:r>
          </w:p>
        </w:tc>
        <w:tc>
          <w:tcPr>
            <w:tcW w:w="495" w:type="pct"/>
            <w:vAlign w:val="center"/>
          </w:tcPr>
          <w:p w14:paraId="08A4F528">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0.0014 </w:t>
            </w:r>
          </w:p>
        </w:tc>
        <w:tc>
          <w:tcPr>
            <w:tcW w:w="495" w:type="pct"/>
            <w:vAlign w:val="center"/>
          </w:tcPr>
          <w:p w14:paraId="176985FB">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0.0065 </w:t>
            </w:r>
          </w:p>
        </w:tc>
        <w:tc>
          <w:tcPr>
            <w:tcW w:w="495" w:type="pct"/>
            <w:vAlign w:val="center"/>
          </w:tcPr>
          <w:p w14:paraId="4EF56CE5">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0.0093 </w:t>
            </w:r>
          </w:p>
        </w:tc>
        <w:tc>
          <w:tcPr>
            <w:tcW w:w="432" w:type="pct"/>
            <w:vAlign w:val="center"/>
          </w:tcPr>
          <w:p w14:paraId="68B82E4C">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0.013 </w:t>
            </w:r>
          </w:p>
        </w:tc>
        <w:tc>
          <w:tcPr>
            <w:tcW w:w="432" w:type="pct"/>
            <w:vAlign w:val="center"/>
          </w:tcPr>
          <w:p w14:paraId="2895CFF8">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0.014 </w:t>
            </w:r>
          </w:p>
        </w:tc>
        <w:tc>
          <w:tcPr>
            <w:tcW w:w="432" w:type="pct"/>
            <w:vAlign w:val="center"/>
          </w:tcPr>
          <w:p w14:paraId="6EA1E946">
            <w:pPr>
              <w:keepNext w:val="0"/>
              <w:keepLines w:val="0"/>
              <w:widowControl/>
              <w:suppressLineNumbers w:val="0"/>
              <w:jc w:val="center"/>
              <w:textAlignment w:val="auto"/>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eastAsiaTheme="minorEastAsia"/>
                <w:i w:val="0"/>
                <w:iCs w:val="0"/>
                <w:kern w:val="0"/>
                <w:sz w:val="18"/>
                <w:szCs w:val="18"/>
                <w:u w:val="none"/>
                <w:lang w:val="en-US" w:eastAsia="zh-CN" w:bidi="ar"/>
              </w:rPr>
              <w:t xml:space="preserve">0.016 </w:t>
            </w:r>
          </w:p>
        </w:tc>
      </w:tr>
      <w:tr w14:paraId="2D44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6" w:type="pct"/>
          </w:tcPr>
          <w:p w14:paraId="3CFE47E0">
            <w:pPr>
              <w:jc w:val="both"/>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重复性限（r）（2.8×Sr）</w:t>
            </w:r>
          </w:p>
        </w:tc>
        <w:tc>
          <w:tcPr>
            <w:tcW w:w="558" w:type="pct"/>
            <w:vAlign w:val="center"/>
          </w:tcPr>
          <w:p w14:paraId="4DA21FD7">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0.003 </w:t>
            </w:r>
          </w:p>
        </w:tc>
        <w:tc>
          <w:tcPr>
            <w:tcW w:w="495" w:type="pct"/>
            <w:vAlign w:val="center"/>
          </w:tcPr>
          <w:p w14:paraId="520EE31B">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0.004 </w:t>
            </w:r>
          </w:p>
        </w:tc>
        <w:tc>
          <w:tcPr>
            <w:tcW w:w="495" w:type="pct"/>
            <w:vAlign w:val="center"/>
          </w:tcPr>
          <w:p w14:paraId="009A40AB">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0.02 </w:t>
            </w:r>
          </w:p>
        </w:tc>
        <w:tc>
          <w:tcPr>
            <w:tcW w:w="495" w:type="pct"/>
            <w:vAlign w:val="center"/>
          </w:tcPr>
          <w:p w14:paraId="0268D844">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0.03 </w:t>
            </w:r>
          </w:p>
        </w:tc>
        <w:tc>
          <w:tcPr>
            <w:tcW w:w="432" w:type="pct"/>
            <w:vAlign w:val="center"/>
          </w:tcPr>
          <w:p w14:paraId="61C8C433">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0.04 </w:t>
            </w:r>
          </w:p>
        </w:tc>
        <w:tc>
          <w:tcPr>
            <w:tcW w:w="432" w:type="pct"/>
            <w:vAlign w:val="center"/>
          </w:tcPr>
          <w:p w14:paraId="19885724">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0.04 </w:t>
            </w:r>
          </w:p>
        </w:tc>
        <w:tc>
          <w:tcPr>
            <w:tcW w:w="432" w:type="pct"/>
            <w:vAlign w:val="center"/>
          </w:tcPr>
          <w:p w14:paraId="3EE22D46">
            <w:pPr>
              <w:ind w:firstLine="0" w:firstLineChars="0"/>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eastAsiaTheme="minorEastAsia"/>
                <w:kern w:val="0"/>
                <w:sz w:val="18"/>
                <w:szCs w:val="18"/>
              </w:rPr>
              <w:t xml:space="preserve">0.05 </w:t>
            </w:r>
          </w:p>
        </w:tc>
      </w:tr>
      <w:tr w14:paraId="7834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4F3FD8F1">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再现性标准差（S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951" w:type="dxa"/>
            <w:vAlign w:val="center"/>
          </w:tcPr>
          <w:p w14:paraId="22B67A49">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0.0033 </w:t>
            </w:r>
          </w:p>
        </w:tc>
        <w:tc>
          <w:tcPr>
            <w:tcW w:w="844" w:type="dxa"/>
            <w:vAlign w:val="center"/>
          </w:tcPr>
          <w:p w14:paraId="129ED7E6">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0.0038 </w:t>
            </w:r>
          </w:p>
        </w:tc>
        <w:tc>
          <w:tcPr>
            <w:tcW w:w="844" w:type="dxa"/>
            <w:vAlign w:val="center"/>
          </w:tcPr>
          <w:p w14:paraId="1D742762">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0.011 </w:t>
            </w:r>
          </w:p>
        </w:tc>
        <w:tc>
          <w:tcPr>
            <w:tcW w:w="844" w:type="dxa"/>
            <w:vAlign w:val="center"/>
          </w:tcPr>
          <w:p w14:paraId="3A568EA7">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0.018 </w:t>
            </w:r>
          </w:p>
        </w:tc>
        <w:tc>
          <w:tcPr>
            <w:tcW w:w="736" w:type="dxa"/>
            <w:vAlign w:val="center"/>
          </w:tcPr>
          <w:p w14:paraId="2D038FB2">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0.022 </w:t>
            </w:r>
          </w:p>
        </w:tc>
        <w:tc>
          <w:tcPr>
            <w:tcW w:w="736" w:type="dxa"/>
            <w:vAlign w:val="center"/>
          </w:tcPr>
          <w:p w14:paraId="137509A1">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0.031 </w:t>
            </w:r>
          </w:p>
        </w:tc>
        <w:tc>
          <w:tcPr>
            <w:tcW w:w="737" w:type="dxa"/>
            <w:vAlign w:val="center"/>
          </w:tcPr>
          <w:p w14:paraId="274B68CB">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0.034 </w:t>
            </w:r>
          </w:p>
        </w:tc>
      </w:tr>
      <w:tr w14:paraId="09D9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6" w:type="pct"/>
          </w:tcPr>
          <w:p w14:paraId="6E637B5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再现性限（R）（2.8×S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951" w:type="dxa"/>
            <w:vAlign w:val="center"/>
          </w:tcPr>
          <w:p w14:paraId="753F315A">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0.009 </w:t>
            </w:r>
          </w:p>
        </w:tc>
        <w:tc>
          <w:tcPr>
            <w:tcW w:w="844" w:type="dxa"/>
            <w:vAlign w:val="center"/>
          </w:tcPr>
          <w:p w14:paraId="55E84BF4">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0.011 </w:t>
            </w:r>
          </w:p>
        </w:tc>
        <w:tc>
          <w:tcPr>
            <w:tcW w:w="844" w:type="dxa"/>
            <w:vAlign w:val="center"/>
          </w:tcPr>
          <w:p w14:paraId="2041800A">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0.03 </w:t>
            </w:r>
          </w:p>
        </w:tc>
        <w:tc>
          <w:tcPr>
            <w:tcW w:w="844" w:type="dxa"/>
            <w:vAlign w:val="center"/>
          </w:tcPr>
          <w:p w14:paraId="690F7163">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0.05 </w:t>
            </w:r>
          </w:p>
        </w:tc>
        <w:tc>
          <w:tcPr>
            <w:tcW w:w="736" w:type="dxa"/>
            <w:vAlign w:val="center"/>
          </w:tcPr>
          <w:p w14:paraId="29E78138">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0.06 </w:t>
            </w:r>
          </w:p>
        </w:tc>
        <w:tc>
          <w:tcPr>
            <w:tcW w:w="736" w:type="dxa"/>
            <w:vAlign w:val="center"/>
          </w:tcPr>
          <w:p w14:paraId="4E141F2A">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0.09 </w:t>
            </w:r>
          </w:p>
        </w:tc>
        <w:tc>
          <w:tcPr>
            <w:tcW w:w="737" w:type="dxa"/>
            <w:vAlign w:val="center"/>
          </w:tcPr>
          <w:p w14:paraId="1B485552">
            <w:pPr>
              <w:ind w:firstLine="0" w:firstLineChars="0"/>
              <w:jc w:val="center"/>
              <w:rPr>
                <w:rFonts w:hint="default" w:ascii="Times New Roman" w:hAnsi="Times New Roman" w:eastAsia="黑体" w:cs="Times New Roman"/>
                <w:sz w:val="18"/>
                <w:szCs w:val="18"/>
                <w:vertAlign w:val="baseline"/>
                <w:lang w:val="en-US" w:eastAsia="zh-CN"/>
              </w:rPr>
            </w:pPr>
            <w:r>
              <w:rPr>
                <w:rFonts w:hint="eastAsia" w:eastAsiaTheme="minorEastAsia"/>
                <w:kern w:val="0"/>
                <w:sz w:val="18"/>
                <w:szCs w:val="18"/>
              </w:rPr>
              <w:t xml:space="preserve">0.09 </w:t>
            </w:r>
          </w:p>
        </w:tc>
      </w:tr>
    </w:tbl>
    <w:p w14:paraId="0571F5F2">
      <w:pPr>
        <w:ind w:firstLine="770" w:firstLineChars="367"/>
        <w:jc w:val="center"/>
        <w:rPr>
          <w:rFonts w:hint="eastAsia" w:ascii="黑体" w:hAnsi="黑体" w:eastAsia="黑体" w:cs="黑体"/>
          <w:szCs w:val="21"/>
          <w:lang w:val="en-US" w:eastAsia="zh-CN"/>
        </w:rPr>
      </w:pPr>
    </w:p>
    <w:p w14:paraId="661334ED">
      <w:pPr>
        <w:widowControl/>
        <w:adjustRightInd w:val="0"/>
        <w:snapToGrid w:val="0"/>
        <w:ind w:firstLine="604" w:firstLineChars="288"/>
        <w:jc w:val="left"/>
        <w:rPr>
          <w:rFonts w:hint="eastAsia" w:ascii="宋体" w:hAnsi="宋体"/>
          <w:kern w:val="0"/>
          <w:szCs w:val="22"/>
        </w:rPr>
      </w:pPr>
      <w:r>
        <w:rPr>
          <w:rFonts w:hint="eastAsia" w:ascii="宋体" w:hAnsi="宋体"/>
          <w:kern w:val="0"/>
          <w:szCs w:val="22"/>
          <w:lang w:val="en-US" w:eastAsia="zh-CN"/>
        </w:rPr>
        <w:t>锑的</w:t>
      </w:r>
      <w:r>
        <w:rPr>
          <w:rFonts w:hint="eastAsia" w:ascii="宋体" w:hAnsi="宋体"/>
          <w:kern w:val="0"/>
          <w:szCs w:val="22"/>
        </w:rPr>
        <w:t>精密度数据是由2024年1</w:t>
      </w:r>
      <w:r>
        <w:rPr>
          <w:rFonts w:hint="eastAsia" w:ascii="宋体" w:hAnsi="宋体"/>
          <w:kern w:val="0"/>
          <w:szCs w:val="22"/>
          <w:lang w:val="en-US" w:eastAsia="zh-CN"/>
        </w:rPr>
        <w:t>4</w:t>
      </w:r>
      <w:r>
        <w:rPr>
          <w:rFonts w:hint="eastAsia" w:ascii="宋体" w:hAnsi="宋体"/>
          <w:kern w:val="0"/>
          <w:szCs w:val="22"/>
        </w:rPr>
        <w:t>家实验室对7个不同水平样品进行共同试验确定的。每个实验室对每个水平的</w:t>
      </w:r>
      <w:r>
        <w:rPr>
          <w:rFonts w:hint="eastAsia" w:ascii="宋体" w:hAnsi="宋体"/>
          <w:kern w:val="0"/>
          <w:szCs w:val="22"/>
          <w:lang w:val="en-US" w:eastAsia="zh-CN"/>
        </w:rPr>
        <w:t>锑</w:t>
      </w:r>
      <w:r>
        <w:rPr>
          <w:rFonts w:hint="eastAsia" w:ascii="宋体" w:hAnsi="宋体"/>
          <w:kern w:val="0"/>
          <w:szCs w:val="22"/>
        </w:rPr>
        <w:t>含量在重复性条件下独立测定11次。测定原始数据见表A.1。</w:t>
      </w:r>
    </w:p>
    <w:p w14:paraId="1A3E0A55">
      <w:pPr>
        <w:widowControl/>
        <w:jc w:val="center"/>
        <w:rPr>
          <w:rFonts w:hint="eastAsia" w:ascii="黑体" w:hAnsi="黑体" w:eastAsia="黑体" w:cs="黑体"/>
          <w:szCs w:val="21"/>
        </w:rPr>
      </w:pPr>
      <w:r>
        <w:rPr>
          <w:rFonts w:hint="eastAsia" w:ascii="黑体" w:hAnsi="黑体" w:eastAsia="黑体" w:cs="黑体"/>
          <w:szCs w:val="21"/>
        </w:rPr>
        <w:t>表A.2  锑精密度试验</w:t>
      </w:r>
      <w:r>
        <w:rPr>
          <w:rFonts w:hint="eastAsia" w:ascii="黑体" w:hAnsi="黑体" w:eastAsia="黑体" w:cs="黑体"/>
          <w:szCs w:val="21"/>
          <w:lang w:val="en-US" w:eastAsia="zh-CN"/>
        </w:rPr>
        <w:t>统计</w:t>
      </w:r>
      <w:r>
        <w:rPr>
          <w:rFonts w:hint="eastAsia" w:ascii="黑体" w:hAnsi="黑体" w:eastAsia="黑体" w:cs="黑体"/>
          <w:szCs w:val="21"/>
        </w:rPr>
        <w:t>数据</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963"/>
        <w:gridCol w:w="854"/>
        <w:gridCol w:w="854"/>
        <w:gridCol w:w="747"/>
        <w:gridCol w:w="747"/>
        <w:gridCol w:w="747"/>
        <w:gridCol w:w="747"/>
      </w:tblGrid>
      <w:tr w14:paraId="30D9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5B49A6D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样品的水平</w:t>
            </w:r>
          </w:p>
        </w:tc>
        <w:tc>
          <w:tcPr>
            <w:tcW w:w="565" w:type="pct"/>
          </w:tcPr>
          <w:p w14:paraId="62F97AE2">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w:t>
            </w:r>
          </w:p>
        </w:tc>
        <w:tc>
          <w:tcPr>
            <w:tcW w:w="501" w:type="pct"/>
          </w:tcPr>
          <w:p w14:paraId="50C8CFF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2</w:t>
            </w:r>
          </w:p>
        </w:tc>
        <w:tc>
          <w:tcPr>
            <w:tcW w:w="501" w:type="pct"/>
          </w:tcPr>
          <w:p w14:paraId="7F19270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3</w:t>
            </w:r>
          </w:p>
        </w:tc>
        <w:tc>
          <w:tcPr>
            <w:tcW w:w="438" w:type="pct"/>
          </w:tcPr>
          <w:p w14:paraId="0B74BBE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4</w:t>
            </w:r>
          </w:p>
        </w:tc>
        <w:tc>
          <w:tcPr>
            <w:tcW w:w="438" w:type="pct"/>
          </w:tcPr>
          <w:p w14:paraId="65B6145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5</w:t>
            </w:r>
          </w:p>
        </w:tc>
        <w:tc>
          <w:tcPr>
            <w:tcW w:w="438" w:type="pct"/>
          </w:tcPr>
          <w:p w14:paraId="43002CE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6</w:t>
            </w:r>
          </w:p>
        </w:tc>
        <w:tc>
          <w:tcPr>
            <w:tcW w:w="438" w:type="pct"/>
          </w:tcPr>
          <w:p w14:paraId="3FB4B94F">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7</w:t>
            </w:r>
          </w:p>
        </w:tc>
      </w:tr>
      <w:tr w14:paraId="49DB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04492924">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参加试验室的数目</w:t>
            </w:r>
          </w:p>
        </w:tc>
        <w:tc>
          <w:tcPr>
            <w:tcW w:w="565" w:type="pct"/>
          </w:tcPr>
          <w:p w14:paraId="25A7CB0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501" w:type="pct"/>
          </w:tcPr>
          <w:p w14:paraId="3C5E5C0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501" w:type="pct"/>
          </w:tcPr>
          <w:p w14:paraId="2F5AEB7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43EF804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60F809A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7F9C35C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2967647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r>
      <w:tr w14:paraId="2E70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562659F7">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可接受结果的数目</w:t>
            </w:r>
          </w:p>
        </w:tc>
        <w:tc>
          <w:tcPr>
            <w:tcW w:w="565" w:type="pct"/>
          </w:tcPr>
          <w:p w14:paraId="32143B9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c>
          <w:tcPr>
            <w:tcW w:w="501" w:type="pct"/>
          </w:tcPr>
          <w:p w14:paraId="4BFBD6E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501" w:type="pct"/>
          </w:tcPr>
          <w:p w14:paraId="53A13CA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tcPr>
          <w:p w14:paraId="06B97D9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4BE0715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14</w:t>
            </w:r>
          </w:p>
        </w:tc>
        <w:tc>
          <w:tcPr>
            <w:tcW w:w="438" w:type="pct"/>
          </w:tcPr>
          <w:p w14:paraId="079EF38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tcPr>
          <w:p w14:paraId="049C9B4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r>
      <w:tr w14:paraId="492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7DAACEA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平均值（g/100g）</w:t>
            </w:r>
          </w:p>
        </w:tc>
        <w:tc>
          <w:tcPr>
            <w:tcW w:w="565" w:type="pct"/>
            <w:vAlign w:val="center"/>
          </w:tcPr>
          <w:p w14:paraId="08B2A689">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0.010 </w:t>
            </w:r>
          </w:p>
        </w:tc>
        <w:tc>
          <w:tcPr>
            <w:tcW w:w="501" w:type="pct"/>
            <w:vAlign w:val="center"/>
          </w:tcPr>
          <w:p w14:paraId="5995D298">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0.048 </w:t>
            </w:r>
          </w:p>
        </w:tc>
        <w:tc>
          <w:tcPr>
            <w:tcW w:w="501" w:type="pct"/>
            <w:vAlign w:val="center"/>
          </w:tcPr>
          <w:p w14:paraId="35E8DED4">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0.19 </w:t>
            </w:r>
          </w:p>
        </w:tc>
        <w:tc>
          <w:tcPr>
            <w:tcW w:w="438" w:type="pct"/>
            <w:vAlign w:val="center"/>
          </w:tcPr>
          <w:p w14:paraId="0D926C24">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0.36 </w:t>
            </w:r>
          </w:p>
        </w:tc>
        <w:tc>
          <w:tcPr>
            <w:tcW w:w="438" w:type="pct"/>
            <w:vAlign w:val="center"/>
          </w:tcPr>
          <w:p w14:paraId="34F1C42A">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0.55 </w:t>
            </w:r>
          </w:p>
        </w:tc>
        <w:tc>
          <w:tcPr>
            <w:tcW w:w="438" w:type="pct"/>
            <w:vAlign w:val="center"/>
          </w:tcPr>
          <w:p w14:paraId="3069AF32">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0.72 </w:t>
            </w:r>
          </w:p>
        </w:tc>
        <w:tc>
          <w:tcPr>
            <w:tcW w:w="438" w:type="pct"/>
            <w:vAlign w:val="center"/>
          </w:tcPr>
          <w:p w14:paraId="6E5392B5">
            <w:pPr>
              <w:widowControl/>
              <w:jc w:val="center"/>
              <w:rPr>
                <w:rFonts w:hint="eastAsia" w:ascii="黑体" w:hAnsi="黑体" w:eastAsia="黑体" w:cs="黑体"/>
                <w:color w:val="auto"/>
                <w:sz w:val="18"/>
                <w:szCs w:val="18"/>
                <w:vertAlign w:val="baseline"/>
                <w:lang w:val="en-US" w:eastAsia="zh-CN"/>
              </w:rPr>
            </w:pPr>
            <w:r>
              <w:rPr>
                <w:rFonts w:hint="eastAsia"/>
                <w:color w:val="auto"/>
                <w:kern w:val="0"/>
                <w:sz w:val="18"/>
                <w:szCs w:val="18"/>
              </w:rPr>
              <w:t xml:space="preserve">0.98 </w:t>
            </w:r>
          </w:p>
        </w:tc>
      </w:tr>
      <w:tr w14:paraId="5493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0B1CEEEE">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重复性标准差（Sr）</w:t>
            </w:r>
          </w:p>
        </w:tc>
        <w:tc>
          <w:tcPr>
            <w:tcW w:w="565" w:type="pct"/>
            <w:vAlign w:val="center"/>
          </w:tcPr>
          <w:p w14:paraId="38968F12">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0.00061 </w:t>
            </w:r>
          </w:p>
        </w:tc>
        <w:tc>
          <w:tcPr>
            <w:tcW w:w="501" w:type="pct"/>
            <w:vAlign w:val="center"/>
          </w:tcPr>
          <w:p w14:paraId="4EE4540C">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0.0015 </w:t>
            </w:r>
          </w:p>
        </w:tc>
        <w:tc>
          <w:tcPr>
            <w:tcW w:w="501" w:type="pct"/>
            <w:vAlign w:val="center"/>
          </w:tcPr>
          <w:p w14:paraId="01F29191">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0.0082 </w:t>
            </w:r>
          </w:p>
        </w:tc>
        <w:tc>
          <w:tcPr>
            <w:tcW w:w="438" w:type="pct"/>
            <w:vAlign w:val="center"/>
          </w:tcPr>
          <w:p w14:paraId="5B7DCA9C">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0.011 </w:t>
            </w:r>
          </w:p>
        </w:tc>
        <w:tc>
          <w:tcPr>
            <w:tcW w:w="438" w:type="pct"/>
            <w:vAlign w:val="center"/>
          </w:tcPr>
          <w:p w14:paraId="72D803E9">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0.013 </w:t>
            </w:r>
          </w:p>
        </w:tc>
        <w:tc>
          <w:tcPr>
            <w:tcW w:w="438" w:type="pct"/>
            <w:vAlign w:val="center"/>
          </w:tcPr>
          <w:p w14:paraId="1D6EBB4D">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0.012 </w:t>
            </w:r>
          </w:p>
        </w:tc>
        <w:tc>
          <w:tcPr>
            <w:tcW w:w="438" w:type="pct"/>
            <w:vAlign w:val="center"/>
          </w:tcPr>
          <w:p w14:paraId="7148EB7A">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 xml:space="preserve">0.019 </w:t>
            </w:r>
          </w:p>
        </w:tc>
      </w:tr>
      <w:tr w14:paraId="5F1C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5BE0B0A8">
            <w:pPr>
              <w:jc w:val="both"/>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重复性限（r）（2.8×Sr）</w:t>
            </w:r>
          </w:p>
        </w:tc>
        <w:tc>
          <w:tcPr>
            <w:tcW w:w="565" w:type="pct"/>
            <w:vAlign w:val="center"/>
          </w:tcPr>
          <w:p w14:paraId="1883179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0.002 </w:t>
            </w:r>
          </w:p>
        </w:tc>
        <w:tc>
          <w:tcPr>
            <w:tcW w:w="501" w:type="pct"/>
            <w:vAlign w:val="center"/>
          </w:tcPr>
          <w:p w14:paraId="7A03E10B">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0.004 </w:t>
            </w:r>
          </w:p>
        </w:tc>
        <w:tc>
          <w:tcPr>
            <w:tcW w:w="501" w:type="pct"/>
            <w:vAlign w:val="center"/>
          </w:tcPr>
          <w:p w14:paraId="1C4909E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0.02 </w:t>
            </w:r>
          </w:p>
        </w:tc>
        <w:tc>
          <w:tcPr>
            <w:tcW w:w="438" w:type="pct"/>
            <w:vAlign w:val="center"/>
          </w:tcPr>
          <w:p w14:paraId="6E4613F1">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0.03 </w:t>
            </w:r>
          </w:p>
        </w:tc>
        <w:tc>
          <w:tcPr>
            <w:tcW w:w="438" w:type="pct"/>
            <w:vAlign w:val="center"/>
          </w:tcPr>
          <w:p w14:paraId="51C7DAD9">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0.04 </w:t>
            </w:r>
          </w:p>
        </w:tc>
        <w:tc>
          <w:tcPr>
            <w:tcW w:w="438" w:type="pct"/>
            <w:vAlign w:val="center"/>
          </w:tcPr>
          <w:p w14:paraId="0FF3113C">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0.03 </w:t>
            </w:r>
          </w:p>
        </w:tc>
        <w:tc>
          <w:tcPr>
            <w:tcW w:w="438" w:type="pct"/>
            <w:vAlign w:val="center"/>
          </w:tcPr>
          <w:p w14:paraId="0CAAE921">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0.05 </w:t>
            </w:r>
          </w:p>
        </w:tc>
      </w:tr>
      <w:tr w14:paraId="5EAA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46918340">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再现性标准差（S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65" w:type="pct"/>
            <w:vAlign w:val="center"/>
          </w:tcPr>
          <w:p w14:paraId="6D6F97B4">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0.0020 </w:t>
            </w:r>
          </w:p>
        </w:tc>
        <w:tc>
          <w:tcPr>
            <w:tcW w:w="501" w:type="pct"/>
            <w:vAlign w:val="center"/>
          </w:tcPr>
          <w:p w14:paraId="6831062E">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0.0030 </w:t>
            </w:r>
          </w:p>
        </w:tc>
        <w:tc>
          <w:tcPr>
            <w:tcW w:w="501" w:type="pct"/>
            <w:vAlign w:val="center"/>
          </w:tcPr>
          <w:p w14:paraId="42BE3F49">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0.029 </w:t>
            </w:r>
          </w:p>
        </w:tc>
        <w:tc>
          <w:tcPr>
            <w:tcW w:w="438" w:type="pct"/>
            <w:vAlign w:val="center"/>
          </w:tcPr>
          <w:p w14:paraId="737CE584">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0.024 </w:t>
            </w:r>
          </w:p>
        </w:tc>
        <w:tc>
          <w:tcPr>
            <w:tcW w:w="438" w:type="pct"/>
            <w:vAlign w:val="center"/>
          </w:tcPr>
          <w:p w14:paraId="3867B608">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0.027 </w:t>
            </w:r>
          </w:p>
        </w:tc>
        <w:tc>
          <w:tcPr>
            <w:tcW w:w="438" w:type="pct"/>
            <w:vAlign w:val="center"/>
          </w:tcPr>
          <w:p w14:paraId="2D54FBDC">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0.047 </w:t>
            </w:r>
          </w:p>
        </w:tc>
        <w:tc>
          <w:tcPr>
            <w:tcW w:w="438" w:type="pct"/>
            <w:vAlign w:val="center"/>
          </w:tcPr>
          <w:p w14:paraId="2CAB5657">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0.048 </w:t>
            </w:r>
          </w:p>
        </w:tc>
      </w:tr>
      <w:tr w14:paraId="5A07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tcPr>
          <w:p w14:paraId="4DC1F169">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再现性限（R）（2.8×S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65" w:type="pct"/>
            <w:vAlign w:val="center"/>
          </w:tcPr>
          <w:p w14:paraId="6F09D8D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0.005 </w:t>
            </w:r>
          </w:p>
        </w:tc>
        <w:tc>
          <w:tcPr>
            <w:tcW w:w="501" w:type="pct"/>
            <w:vAlign w:val="center"/>
          </w:tcPr>
          <w:p w14:paraId="36FEB834">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0.008 </w:t>
            </w:r>
          </w:p>
        </w:tc>
        <w:tc>
          <w:tcPr>
            <w:tcW w:w="501" w:type="pct"/>
            <w:vAlign w:val="center"/>
          </w:tcPr>
          <w:p w14:paraId="52163CE4">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0.08 </w:t>
            </w:r>
          </w:p>
        </w:tc>
        <w:tc>
          <w:tcPr>
            <w:tcW w:w="438" w:type="pct"/>
            <w:vAlign w:val="center"/>
          </w:tcPr>
          <w:p w14:paraId="3514A7B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0.07 </w:t>
            </w:r>
          </w:p>
        </w:tc>
        <w:tc>
          <w:tcPr>
            <w:tcW w:w="438" w:type="pct"/>
            <w:vAlign w:val="center"/>
          </w:tcPr>
          <w:p w14:paraId="3AA6084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0.08 </w:t>
            </w:r>
          </w:p>
        </w:tc>
        <w:tc>
          <w:tcPr>
            <w:tcW w:w="438" w:type="pct"/>
            <w:vAlign w:val="center"/>
          </w:tcPr>
          <w:p w14:paraId="1D62A87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0.13 </w:t>
            </w:r>
          </w:p>
        </w:tc>
        <w:tc>
          <w:tcPr>
            <w:tcW w:w="438" w:type="pct"/>
            <w:vAlign w:val="center"/>
          </w:tcPr>
          <w:p w14:paraId="14E9FB56">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 xml:space="preserve">0.13 </w:t>
            </w:r>
          </w:p>
        </w:tc>
      </w:tr>
    </w:tbl>
    <w:p w14:paraId="379E1E61">
      <w:pPr>
        <w:widowControl/>
        <w:adjustRightInd w:val="0"/>
        <w:snapToGrid w:val="0"/>
        <w:ind w:firstLine="604" w:firstLineChars="288"/>
        <w:jc w:val="left"/>
        <w:rPr>
          <w:rFonts w:hint="eastAsia" w:ascii="宋体" w:hAnsi="宋体"/>
          <w:kern w:val="0"/>
          <w:szCs w:val="22"/>
        </w:rPr>
      </w:pPr>
      <w:r>
        <w:rPr>
          <w:rFonts w:hint="eastAsia" w:ascii="宋体" w:hAnsi="宋体"/>
          <w:kern w:val="0"/>
          <w:szCs w:val="22"/>
          <w:lang w:val="en-US" w:eastAsia="zh-CN"/>
        </w:rPr>
        <w:t>铋的</w:t>
      </w:r>
      <w:r>
        <w:rPr>
          <w:rFonts w:hint="eastAsia" w:ascii="宋体" w:hAnsi="宋体"/>
          <w:kern w:val="0"/>
          <w:szCs w:val="22"/>
        </w:rPr>
        <w:t>精密度数据是由2024年1</w:t>
      </w:r>
      <w:r>
        <w:rPr>
          <w:rFonts w:hint="eastAsia" w:ascii="宋体" w:hAnsi="宋体"/>
          <w:kern w:val="0"/>
          <w:szCs w:val="22"/>
          <w:lang w:val="en-US" w:eastAsia="zh-CN"/>
        </w:rPr>
        <w:t>4</w:t>
      </w:r>
      <w:r>
        <w:rPr>
          <w:rFonts w:hint="eastAsia" w:ascii="宋体" w:hAnsi="宋体"/>
          <w:kern w:val="0"/>
          <w:szCs w:val="22"/>
        </w:rPr>
        <w:t>家实验室对7个不同水平样品进行共同试验确定的。每个实验室对每个水平的</w:t>
      </w:r>
      <w:r>
        <w:rPr>
          <w:rFonts w:hint="eastAsia" w:ascii="宋体" w:hAnsi="宋体"/>
          <w:kern w:val="0"/>
          <w:szCs w:val="22"/>
          <w:lang w:val="en-US" w:eastAsia="zh-CN"/>
        </w:rPr>
        <w:t>铋</w:t>
      </w:r>
      <w:r>
        <w:rPr>
          <w:rFonts w:hint="eastAsia" w:ascii="宋体" w:hAnsi="宋体"/>
          <w:kern w:val="0"/>
          <w:szCs w:val="22"/>
        </w:rPr>
        <w:t>含量在重复性条件下独立测定11次。测定原始数据见表A.1。</w:t>
      </w:r>
    </w:p>
    <w:p w14:paraId="0D027A49">
      <w:pPr>
        <w:widowControl/>
        <w:jc w:val="center"/>
        <w:rPr>
          <w:rFonts w:hint="eastAsia" w:ascii="黑体" w:hAnsi="黑体" w:eastAsia="黑体" w:cs="黑体"/>
          <w:szCs w:val="21"/>
        </w:rPr>
      </w:pPr>
      <w:r>
        <w:rPr>
          <w:rFonts w:hint="eastAsia" w:ascii="黑体" w:hAnsi="黑体" w:eastAsia="黑体" w:cs="黑体"/>
          <w:szCs w:val="21"/>
        </w:rPr>
        <w:t>表A.</w:t>
      </w:r>
      <w:r>
        <w:rPr>
          <w:rFonts w:hint="eastAsia" w:ascii="黑体" w:hAnsi="黑体" w:eastAsia="黑体" w:cs="黑体"/>
          <w:szCs w:val="21"/>
          <w:lang w:val="en-US" w:eastAsia="zh-CN"/>
        </w:rPr>
        <w:t>3</w:t>
      </w:r>
      <w:r>
        <w:rPr>
          <w:rFonts w:hint="eastAsia" w:ascii="黑体" w:hAnsi="黑体" w:eastAsia="黑体" w:cs="黑体"/>
          <w:szCs w:val="21"/>
        </w:rPr>
        <w:t xml:space="preserve">  </w:t>
      </w:r>
      <w:r>
        <w:rPr>
          <w:rFonts w:hint="eastAsia" w:ascii="黑体" w:hAnsi="黑体" w:eastAsia="黑体" w:cs="黑体"/>
          <w:szCs w:val="21"/>
          <w:lang w:val="en-US" w:eastAsia="zh-CN"/>
        </w:rPr>
        <w:t>铋</w:t>
      </w:r>
      <w:r>
        <w:rPr>
          <w:rFonts w:hint="eastAsia" w:ascii="黑体" w:hAnsi="黑体" w:eastAsia="黑体" w:cs="黑体"/>
          <w:szCs w:val="21"/>
        </w:rPr>
        <w:t>精密度试验</w:t>
      </w:r>
      <w:r>
        <w:rPr>
          <w:rFonts w:hint="eastAsia" w:ascii="黑体" w:hAnsi="黑体" w:eastAsia="黑体" w:cs="黑体"/>
          <w:szCs w:val="21"/>
          <w:lang w:val="en-US" w:eastAsia="zh-CN"/>
        </w:rPr>
        <w:t>统计</w:t>
      </w:r>
      <w:r>
        <w:rPr>
          <w:rFonts w:hint="eastAsia" w:ascii="黑体" w:hAnsi="黑体" w:eastAsia="黑体" w:cs="黑体"/>
          <w:szCs w:val="21"/>
        </w:rPr>
        <w:t>数据</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963"/>
        <w:gridCol w:w="854"/>
        <w:gridCol w:w="854"/>
        <w:gridCol w:w="747"/>
        <w:gridCol w:w="747"/>
        <w:gridCol w:w="747"/>
        <w:gridCol w:w="747"/>
      </w:tblGrid>
      <w:tr w14:paraId="35D4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58699E6C">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样品的水平</w:t>
            </w:r>
          </w:p>
        </w:tc>
        <w:tc>
          <w:tcPr>
            <w:tcW w:w="565" w:type="pct"/>
            <w:vAlign w:val="center"/>
          </w:tcPr>
          <w:p w14:paraId="477FFAF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w:t>
            </w:r>
          </w:p>
        </w:tc>
        <w:tc>
          <w:tcPr>
            <w:tcW w:w="501" w:type="pct"/>
            <w:vAlign w:val="center"/>
          </w:tcPr>
          <w:p w14:paraId="0B7591E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2</w:t>
            </w:r>
          </w:p>
        </w:tc>
        <w:tc>
          <w:tcPr>
            <w:tcW w:w="501" w:type="pct"/>
            <w:vAlign w:val="center"/>
          </w:tcPr>
          <w:p w14:paraId="1A48FAF3">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3</w:t>
            </w:r>
          </w:p>
        </w:tc>
        <w:tc>
          <w:tcPr>
            <w:tcW w:w="438" w:type="pct"/>
            <w:vAlign w:val="center"/>
          </w:tcPr>
          <w:p w14:paraId="58D90E23">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4</w:t>
            </w:r>
          </w:p>
        </w:tc>
        <w:tc>
          <w:tcPr>
            <w:tcW w:w="438" w:type="pct"/>
            <w:vAlign w:val="center"/>
          </w:tcPr>
          <w:p w14:paraId="3C7E763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5</w:t>
            </w:r>
          </w:p>
        </w:tc>
        <w:tc>
          <w:tcPr>
            <w:tcW w:w="438" w:type="pct"/>
            <w:vAlign w:val="center"/>
          </w:tcPr>
          <w:p w14:paraId="6AD1F6E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6</w:t>
            </w:r>
          </w:p>
        </w:tc>
        <w:tc>
          <w:tcPr>
            <w:tcW w:w="438" w:type="pct"/>
            <w:vAlign w:val="center"/>
          </w:tcPr>
          <w:p w14:paraId="74B8F03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7</w:t>
            </w:r>
          </w:p>
        </w:tc>
      </w:tr>
      <w:tr w14:paraId="5E7A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03D18010">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参加试验室的数目</w:t>
            </w:r>
          </w:p>
        </w:tc>
        <w:tc>
          <w:tcPr>
            <w:tcW w:w="565" w:type="pct"/>
            <w:vAlign w:val="center"/>
          </w:tcPr>
          <w:p w14:paraId="7BA6C6E3">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501" w:type="pct"/>
            <w:vAlign w:val="center"/>
          </w:tcPr>
          <w:p w14:paraId="197BF08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501" w:type="pct"/>
            <w:vAlign w:val="center"/>
          </w:tcPr>
          <w:p w14:paraId="1765732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vAlign w:val="center"/>
          </w:tcPr>
          <w:p w14:paraId="4594783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vAlign w:val="center"/>
          </w:tcPr>
          <w:p w14:paraId="132F992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vAlign w:val="center"/>
          </w:tcPr>
          <w:p w14:paraId="590833E2">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c>
          <w:tcPr>
            <w:tcW w:w="438" w:type="pct"/>
            <w:vAlign w:val="center"/>
          </w:tcPr>
          <w:p w14:paraId="276D056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13</w:t>
            </w:r>
          </w:p>
        </w:tc>
      </w:tr>
      <w:tr w14:paraId="003A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37447DF0">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可接受结果的数目</w:t>
            </w:r>
          </w:p>
        </w:tc>
        <w:tc>
          <w:tcPr>
            <w:tcW w:w="565" w:type="pct"/>
            <w:vAlign w:val="center"/>
          </w:tcPr>
          <w:p w14:paraId="18F47AB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501" w:type="pct"/>
            <w:vAlign w:val="center"/>
          </w:tcPr>
          <w:p w14:paraId="12C4330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c>
          <w:tcPr>
            <w:tcW w:w="501" w:type="pct"/>
            <w:vAlign w:val="center"/>
          </w:tcPr>
          <w:p w14:paraId="6817A03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38" w:type="pct"/>
            <w:vAlign w:val="center"/>
          </w:tcPr>
          <w:p w14:paraId="71CE3ED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c>
          <w:tcPr>
            <w:tcW w:w="438" w:type="pct"/>
            <w:vAlign w:val="center"/>
          </w:tcPr>
          <w:p w14:paraId="58C90D7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12</w:t>
            </w:r>
          </w:p>
        </w:tc>
        <w:tc>
          <w:tcPr>
            <w:tcW w:w="438" w:type="pct"/>
            <w:vAlign w:val="center"/>
          </w:tcPr>
          <w:p w14:paraId="7509239A">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38" w:type="pct"/>
            <w:vAlign w:val="center"/>
          </w:tcPr>
          <w:p w14:paraId="4A60490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r>
      <w:tr w14:paraId="28FF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2449DE4D">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平均值（g/100g）</w:t>
            </w:r>
          </w:p>
        </w:tc>
        <w:tc>
          <w:tcPr>
            <w:tcW w:w="565" w:type="pct"/>
            <w:vAlign w:val="center"/>
          </w:tcPr>
          <w:p w14:paraId="48D5989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0.010</w:t>
            </w:r>
          </w:p>
        </w:tc>
        <w:tc>
          <w:tcPr>
            <w:tcW w:w="501" w:type="pct"/>
            <w:vAlign w:val="center"/>
          </w:tcPr>
          <w:p w14:paraId="4CEEA2F0">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0.029</w:t>
            </w:r>
          </w:p>
        </w:tc>
        <w:tc>
          <w:tcPr>
            <w:tcW w:w="501" w:type="pct"/>
            <w:vAlign w:val="center"/>
          </w:tcPr>
          <w:p w14:paraId="323279C1">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0.12</w:t>
            </w:r>
          </w:p>
        </w:tc>
        <w:tc>
          <w:tcPr>
            <w:tcW w:w="438" w:type="pct"/>
            <w:vAlign w:val="center"/>
          </w:tcPr>
          <w:p w14:paraId="40CD4EA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0.31</w:t>
            </w:r>
          </w:p>
        </w:tc>
        <w:tc>
          <w:tcPr>
            <w:tcW w:w="438" w:type="pct"/>
            <w:vAlign w:val="center"/>
          </w:tcPr>
          <w:p w14:paraId="31C7B4EB">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0.50</w:t>
            </w:r>
          </w:p>
        </w:tc>
        <w:tc>
          <w:tcPr>
            <w:tcW w:w="438" w:type="pct"/>
            <w:vAlign w:val="center"/>
          </w:tcPr>
          <w:p w14:paraId="26066355">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0.80</w:t>
            </w:r>
          </w:p>
        </w:tc>
        <w:tc>
          <w:tcPr>
            <w:tcW w:w="438" w:type="pct"/>
            <w:vAlign w:val="center"/>
          </w:tcPr>
          <w:p w14:paraId="4F8C2D2B">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1.04</w:t>
            </w:r>
          </w:p>
        </w:tc>
      </w:tr>
      <w:tr w14:paraId="4473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7E90801D">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重复性标准差（Sr）</w:t>
            </w:r>
          </w:p>
        </w:tc>
        <w:tc>
          <w:tcPr>
            <w:tcW w:w="565" w:type="pct"/>
            <w:vAlign w:val="center"/>
          </w:tcPr>
          <w:p w14:paraId="1806E0B3">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0.00054</w:t>
            </w:r>
          </w:p>
        </w:tc>
        <w:tc>
          <w:tcPr>
            <w:tcW w:w="501" w:type="pct"/>
            <w:vAlign w:val="center"/>
          </w:tcPr>
          <w:p w14:paraId="568B6DAD">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0.0011</w:t>
            </w:r>
          </w:p>
        </w:tc>
        <w:tc>
          <w:tcPr>
            <w:tcW w:w="501" w:type="pct"/>
            <w:vAlign w:val="center"/>
          </w:tcPr>
          <w:p w14:paraId="202F5B9B">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0.0057</w:t>
            </w:r>
          </w:p>
        </w:tc>
        <w:tc>
          <w:tcPr>
            <w:tcW w:w="438" w:type="pct"/>
            <w:vAlign w:val="center"/>
          </w:tcPr>
          <w:p w14:paraId="776883DD">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0.011</w:t>
            </w:r>
          </w:p>
        </w:tc>
        <w:tc>
          <w:tcPr>
            <w:tcW w:w="438" w:type="pct"/>
            <w:vAlign w:val="center"/>
          </w:tcPr>
          <w:p w14:paraId="76C862C1">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0.012</w:t>
            </w:r>
          </w:p>
        </w:tc>
        <w:tc>
          <w:tcPr>
            <w:tcW w:w="438" w:type="pct"/>
            <w:vAlign w:val="center"/>
          </w:tcPr>
          <w:p w14:paraId="796AF99C">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0.013</w:t>
            </w:r>
          </w:p>
        </w:tc>
        <w:tc>
          <w:tcPr>
            <w:tcW w:w="438" w:type="pct"/>
            <w:vAlign w:val="center"/>
          </w:tcPr>
          <w:p w14:paraId="55C449B7">
            <w:pPr>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0.020</w:t>
            </w:r>
          </w:p>
        </w:tc>
      </w:tr>
      <w:tr w14:paraId="004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534B0C90">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重复性限（r）（2.8×Sr）</w:t>
            </w:r>
          </w:p>
        </w:tc>
        <w:tc>
          <w:tcPr>
            <w:tcW w:w="565" w:type="pct"/>
            <w:vAlign w:val="center"/>
          </w:tcPr>
          <w:p w14:paraId="776F173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0.002</w:t>
            </w:r>
          </w:p>
        </w:tc>
        <w:tc>
          <w:tcPr>
            <w:tcW w:w="501" w:type="pct"/>
            <w:vAlign w:val="center"/>
          </w:tcPr>
          <w:p w14:paraId="7FF71A07">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0.003</w:t>
            </w:r>
          </w:p>
        </w:tc>
        <w:tc>
          <w:tcPr>
            <w:tcW w:w="501" w:type="pct"/>
            <w:vAlign w:val="center"/>
          </w:tcPr>
          <w:p w14:paraId="6CB96D8A">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w:t>
            </w:r>
          </w:p>
        </w:tc>
        <w:tc>
          <w:tcPr>
            <w:tcW w:w="438" w:type="pct"/>
            <w:vAlign w:val="center"/>
          </w:tcPr>
          <w:p w14:paraId="10ABD49B">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0.03</w:t>
            </w:r>
          </w:p>
        </w:tc>
        <w:tc>
          <w:tcPr>
            <w:tcW w:w="438" w:type="pct"/>
            <w:vAlign w:val="center"/>
          </w:tcPr>
          <w:p w14:paraId="76845FF5">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0.03</w:t>
            </w:r>
          </w:p>
        </w:tc>
        <w:tc>
          <w:tcPr>
            <w:tcW w:w="438" w:type="pct"/>
            <w:vAlign w:val="center"/>
          </w:tcPr>
          <w:p w14:paraId="32B4D649">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0.04</w:t>
            </w:r>
          </w:p>
        </w:tc>
        <w:tc>
          <w:tcPr>
            <w:tcW w:w="438" w:type="pct"/>
            <w:vAlign w:val="center"/>
          </w:tcPr>
          <w:p w14:paraId="78576E68">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0.06</w:t>
            </w:r>
          </w:p>
        </w:tc>
      </w:tr>
      <w:tr w14:paraId="46EB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07B87A6F">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再现性标准差（S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65" w:type="pct"/>
            <w:vAlign w:val="center"/>
          </w:tcPr>
          <w:p w14:paraId="63D492A3">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0.0014</w:t>
            </w:r>
          </w:p>
        </w:tc>
        <w:tc>
          <w:tcPr>
            <w:tcW w:w="501" w:type="pct"/>
            <w:vAlign w:val="center"/>
          </w:tcPr>
          <w:p w14:paraId="3470D047">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0.0037</w:t>
            </w:r>
          </w:p>
        </w:tc>
        <w:tc>
          <w:tcPr>
            <w:tcW w:w="501" w:type="pct"/>
            <w:vAlign w:val="center"/>
          </w:tcPr>
          <w:p w14:paraId="229DE0C1">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0.016</w:t>
            </w:r>
          </w:p>
        </w:tc>
        <w:tc>
          <w:tcPr>
            <w:tcW w:w="438" w:type="pct"/>
            <w:vAlign w:val="center"/>
          </w:tcPr>
          <w:p w14:paraId="51ECF0C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0.031</w:t>
            </w:r>
          </w:p>
        </w:tc>
        <w:tc>
          <w:tcPr>
            <w:tcW w:w="438" w:type="pct"/>
            <w:vAlign w:val="center"/>
          </w:tcPr>
          <w:p w14:paraId="361F3D56">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0.041</w:t>
            </w:r>
          </w:p>
        </w:tc>
        <w:tc>
          <w:tcPr>
            <w:tcW w:w="438" w:type="pct"/>
            <w:vAlign w:val="center"/>
          </w:tcPr>
          <w:p w14:paraId="1930F2A7">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0.032</w:t>
            </w:r>
          </w:p>
        </w:tc>
        <w:tc>
          <w:tcPr>
            <w:tcW w:w="438" w:type="pct"/>
            <w:vAlign w:val="center"/>
          </w:tcPr>
          <w:p w14:paraId="1F3F571B">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0.029</w:t>
            </w:r>
          </w:p>
        </w:tc>
      </w:tr>
      <w:tr w14:paraId="0938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pct"/>
            <w:vAlign w:val="center"/>
          </w:tcPr>
          <w:p w14:paraId="51896658">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再现性限（R）（2.8×S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65" w:type="pct"/>
            <w:vAlign w:val="center"/>
          </w:tcPr>
          <w:p w14:paraId="251A5A66">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0.004</w:t>
            </w:r>
          </w:p>
        </w:tc>
        <w:tc>
          <w:tcPr>
            <w:tcW w:w="501" w:type="pct"/>
            <w:vAlign w:val="center"/>
          </w:tcPr>
          <w:p w14:paraId="4330231D">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0.010</w:t>
            </w:r>
          </w:p>
        </w:tc>
        <w:tc>
          <w:tcPr>
            <w:tcW w:w="501" w:type="pct"/>
            <w:vAlign w:val="center"/>
          </w:tcPr>
          <w:p w14:paraId="1A14FF7F">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0.04</w:t>
            </w:r>
          </w:p>
        </w:tc>
        <w:tc>
          <w:tcPr>
            <w:tcW w:w="438" w:type="pct"/>
            <w:vAlign w:val="center"/>
          </w:tcPr>
          <w:p w14:paraId="1021985F">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0.09</w:t>
            </w:r>
          </w:p>
        </w:tc>
        <w:tc>
          <w:tcPr>
            <w:tcW w:w="438" w:type="pct"/>
            <w:vAlign w:val="center"/>
          </w:tcPr>
          <w:p w14:paraId="1FC46377">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0.12</w:t>
            </w:r>
          </w:p>
        </w:tc>
        <w:tc>
          <w:tcPr>
            <w:tcW w:w="438" w:type="pct"/>
            <w:vAlign w:val="center"/>
          </w:tcPr>
          <w:p w14:paraId="2F902603">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0.09</w:t>
            </w:r>
          </w:p>
        </w:tc>
        <w:tc>
          <w:tcPr>
            <w:tcW w:w="438" w:type="pct"/>
            <w:vAlign w:val="center"/>
          </w:tcPr>
          <w:p w14:paraId="1631E6A3">
            <w:pPr>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0.08</w:t>
            </w:r>
          </w:p>
        </w:tc>
      </w:tr>
    </w:tbl>
    <w:p w14:paraId="06C8723B">
      <w:pPr>
        <w:widowControl/>
        <w:adjustRightInd/>
        <w:snapToGrid/>
        <w:ind w:firstLine="0" w:firstLineChars="0"/>
        <w:jc w:val="left"/>
        <w:rPr>
          <w:rFonts w:hint="eastAsia" w:ascii="黑体" w:hAnsi="黑体" w:eastAsia="黑体" w:cs="黑体"/>
          <w:bCs/>
          <w:szCs w:val="21"/>
        </w:rPr>
      </w:pPr>
      <w:r>
        <w:rPr>
          <w:rFonts w:hint="eastAsia" w:ascii="黑体" w:hAnsi="黑体" w:eastAsia="黑体" w:cs="黑体"/>
          <w:bCs/>
          <w:szCs w:val="21"/>
        </w:rPr>
        <w:br w:type="page"/>
      </w:r>
    </w:p>
    <w:p w14:paraId="4B92C153">
      <w:pPr>
        <w:widowControl/>
        <w:adjustRightInd w:val="0"/>
        <w:snapToGrid w:val="0"/>
        <w:ind w:firstLine="604" w:firstLineChars="288"/>
        <w:jc w:val="center"/>
        <w:rPr>
          <w:rFonts w:hint="eastAsia" w:ascii="黑体" w:hAnsi="黑体" w:eastAsia="黑体" w:cs="黑体"/>
          <w:bCs/>
          <w:szCs w:val="21"/>
        </w:rPr>
      </w:pPr>
      <w:r>
        <w:rPr>
          <w:rFonts w:hint="eastAsia" w:ascii="黑体" w:hAnsi="黑体" w:eastAsia="黑体" w:cs="黑体"/>
          <w:bCs/>
          <w:szCs w:val="21"/>
        </w:rPr>
        <w:t>附录B</w:t>
      </w:r>
    </w:p>
    <w:p w14:paraId="075922CE">
      <w:pPr>
        <w:widowControl/>
        <w:adjustRightInd w:val="0"/>
        <w:snapToGrid w:val="0"/>
        <w:ind w:firstLine="604" w:firstLineChars="288"/>
        <w:jc w:val="center"/>
        <w:rPr>
          <w:rFonts w:hint="eastAsia" w:ascii="黑体" w:hAnsi="黑体" w:eastAsia="黑体" w:cs="黑体"/>
          <w:bCs/>
          <w:szCs w:val="21"/>
        </w:rPr>
      </w:pPr>
      <w:r>
        <w:rPr>
          <w:rFonts w:hint="eastAsia" w:ascii="黑体" w:hAnsi="黑体" w:eastAsia="黑体" w:cs="黑体"/>
          <w:bCs/>
          <w:szCs w:val="21"/>
        </w:rPr>
        <w:t xml:space="preserve">(资料性) </w:t>
      </w:r>
    </w:p>
    <w:p w14:paraId="78926C81">
      <w:pPr>
        <w:widowControl/>
        <w:adjustRightInd w:val="0"/>
        <w:snapToGrid w:val="0"/>
        <w:ind w:firstLine="604" w:firstLineChars="288"/>
        <w:jc w:val="center"/>
        <w:rPr>
          <w:rFonts w:hint="eastAsia" w:ascii="黑体" w:hAnsi="黑体" w:eastAsia="黑体" w:cs="黑体"/>
          <w:bCs/>
          <w:szCs w:val="21"/>
        </w:rPr>
      </w:pPr>
      <w:r>
        <w:rPr>
          <w:rFonts w:hint="eastAsia" w:ascii="黑体" w:hAnsi="黑体" w:eastAsia="黑体" w:cs="黑体"/>
          <w:bCs/>
          <w:szCs w:val="21"/>
        </w:rPr>
        <w:t>溴酸钾滴定法（方法2）精密度试验</w:t>
      </w:r>
      <w:r>
        <w:rPr>
          <w:rFonts w:hint="eastAsia" w:ascii="黑体" w:hAnsi="黑体" w:eastAsia="黑体" w:cs="黑体"/>
          <w:bCs/>
          <w:szCs w:val="21"/>
          <w:lang w:val="en-US" w:eastAsia="zh-CN"/>
        </w:rPr>
        <w:t>统计数据</w:t>
      </w:r>
      <w:r>
        <w:rPr>
          <w:rFonts w:hint="eastAsia" w:ascii="黑体" w:hAnsi="黑体" w:eastAsia="黑体" w:cs="黑体"/>
          <w:bCs/>
          <w:szCs w:val="21"/>
        </w:rPr>
        <w:t xml:space="preserve">    </w:t>
      </w:r>
    </w:p>
    <w:p w14:paraId="134B6DA0">
      <w:pPr>
        <w:widowControl/>
        <w:adjustRightInd w:val="0"/>
        <w:snapToGrid w:val="0"/>
        <w:ind w:firstLine="604" w:firstLineChars="288"/>
        <w:rPr>
          <w:rFonts w:hint="default" w:ascii="Times New Roman" w:hAnsi="Times New Roman" w:eastAsia="宋体" w:cs="Times New Roman"/>
          <w:bCs/>
          <w:szCs w:val="21"/>
        </w:rPr>
      </w:pPr>
      <w:r>
        <w:rPr>
          <w:rFonts w:hint="default" w:ascii="Times New Roman" w:hAnsi="Times New Roman" w:eastAsia="宋体" w:cs="Times New Roman"/>
          <w:bCs/>
          <w:szCs w:val="21"/>
        </w:rPr>
        <w:t>精密度数据是由2024年1</w:t>
      </w:r>
      <w:r>
        <w:rPr>
          <w:rFonts w:hint="eastAsia" w:cs="Times New Roman"/>
          <w:bCs/>
          <w:szCs w:val="21"/>
          <w:lang w:val="en-US" w:eastAsia="zh-CN"/>
        </w:rPr>
        <w:t>1</w:t>
      </w:r>
      <w:r>
        <w:rPr>
          <w:rFonts w:hint="default" w:ascii="Times New Roman" w:hAnsi="Times New Roman" w:eastAsia="宋体" w:cs="Times New Roman"/>
          <w:bCs/>
          <w:szCs w:val="21"/>
        </w:rPr>
        <w:t>家实验室对砷的7个不同水平样品进行共同试验确定的。每个实验室对每个水平的砷、锑和铋含量在重复性条件下独立测定11次。测定原始数据见表B.1。</w:t>
      </w:r>
    </w:p>
    <w:p w14:paraId="3F025970">
      <w:pPr>
        <w:widowControl/>
        <w:adjustRightInd w:val="0"/>
        <w:snapToGrid w:val="0"/>
        <w:ind w:firstLine="604" w:firstLineChars="288"/>
        <w:jc w:val="center"/>
        <w:rPr>
          <w:rFonts w:hint="eastAsia" w:ascii="黑体" w:hAnsi="黑体" w:eastAsia="黑体" w:cs="黑体"/>
          <w:bCs/>
          <w:szCs w:val="21"/>
        </w:rPr>
      </w:pPr>
      <w:r>
        <w:rPr>
          <w:rFonts w:hint="eastAsia" w:ascii="黑体" w:hAnsi="黑体" w:eastAsia="黑体" w:cs="黑体"/>
          <w:bCs/>
          <w:szCs w:val="21"/>
        </w:rPr>
        <w:t xml:space="preserve">表B.1  </w:t>
      </w:r>
      <w:r>
        <w:rPr>
          <w:rFonts w:hint="eastAsia" w:ascii="黑体" w:hAnsi="黑体" w:eastAsia="黑体" w:cs="黑体"/>
          <w:bCs/>
          <w:szCs w:val="21"/>
          <w:lang w:val="en-US" w:eastAsia="zh-CN"/>
        </w:rPr>
        <w:t>方法2</w:t>
      </w:r>
      <w:r>
        <w:rPr>
          <w:rFonts w:hint="eastAsia" w:ascii="黑体" w:hAnsi="黑体" w:eastAsia="黑体" w:cs="黑体"/>
          <w:bCs/>
          <w:szCs w:val="21"/>
        </w:rPr>
        <w:t>精密度试验</w:t>
      </w:r>
      <w:r>
        <w:rPr>
          <w:rFonts w:hint="eastAsia" w:ascii="黑体" w:hAnsi="黑体" w:eastAsia="黑体" w:cs="黑体"/>
          <w:bCs/>
          <w:szCs w:val="21"/>
          <w:lang w:val="en-US" w:eastAsia="zh-CN"/>
        </w:rPr>
        <w:t>统计</w:t>
      </w:r>
      <w:r>
        <w:rPr>
          <w:rFonts w:hint="eastAsia" w:ascii="黑体" w:hAnsi="黑体" w:eastAsia="黑体" w:cs="黑体"/>
          <w:bCs/>
          <w:szCs w:val="21"/>
        </w:rPr>
        <w:t>数据</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071"/>
        <w:gridCol w:w="1071"/>
        <w:gridCol w:w="1071"/>
        <w:gridCol w:w="981"/>
        <w:gridCol w:w="981"/>
        <w:gridCol w:w="981"/>
        <w:gridCol w:w="981"/>
      </w:tblGrid>
      <w:tr w14:paraId="6227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0B2CB5D5">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样品的水平</w:t>
            </w:r>
          </w:p>
        </w:tc>
        <w:tc>
          <w:tcPr>
            <w:tcW w:w="0" w:type="auto"/>
            <w:vAlign w:val="center"/>
          </w:tcPr>
          <w:p w14:paraId="463A4FE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w:t>
            </w:r>
          </w:p>
        </w:tc>
        <w:tc>
          <w:tcPr>
            <w:tcW w:w="0" w:type="auto"/>
            <w:vAlign w:val="center"/>
          </w:tcPr>
          <w:p w14:paraId="5DE7A47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2</w:t>
            </w:r>
          </w:p>
        </w:tc>
        <w:tc>
          <w:tcPr>
            <w:tcW w:w="0" w:type="auto"/>
            <w:vAlign w:val="center"/>
          </w:tcPr>
          <w:p w14:paraId="7CBF2D4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3</w:t>
            </w:r>
          </w:p>
        </w:tc>
        <w:tc>
          <w:tcPr>
            <w:tcW w:w="0" w:type="auto"/>
            <w:vAlign w:val="center"/>
          </w:tcPr>
          <w:p w14:paraId="129BA273">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4</w:t>
            </w:r>
          </w:p>
        </w:tc>
        <w:tc>
          <w:tcPr>
            <w:tcW w:w="0" w:type="auto"/>
            <w:vAlign w:val="center"/>
          </w:tcPr>
          <w:p w14:paraId="7A2C8597">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5</w:t>
            </w:r>
          </w:p>
        </w:tc>
        <w:tc>
          <w:tcPr>
            <w:tcW w:w="0" w:type="auto"/>
            <w:vAlign w:val="center"/>
          </w:tcPr>
          <w:p w14:paraId="2C6F4F0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6</w:t>
            </w:r>
          </w:p>
        </w:tc>
        <w:tc>
          <w:tcPr>
            <w:tcW w:w="0" w:type="auto"/>
            <w:vAlign w:val="center"/>
          </w:tcPr>
          <w:p w14:paraId="10D927E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7</w:t>
            </w:r>
          </w:p>
        </w:tc>
      </w:tr>
      <w:tr w14:paraId="3FC2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7F8ED456">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参加试验室的数目</w:t>
            </w:r>
          </w:p>
        </w:tc>
        <w:tc>
          <w:tcPr>
            <w:tcW w:w="0" w:type="auto"/>
            <w:vAlign w:val="center"/>
          </w:tcPr>
          <w:p w14:paraId="42ADA59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10F8A1F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530E5C6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6E53FFE5">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0E2007B8">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466B4E60">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0" w:type="auto"/>
            <w:vAlign w:val="center"/>
          </w:tcPr>
          <w:p w14:paraId="2CC45BBB">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r>
      <w:tr w14:paraId="7F41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6394B267">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可接受结果的数目</w:t>
            </w:r>
          </w:p>
        </w:tc>
        <w:tc>
          <w:tcPr>
            <w:tcW w:w="0" w:type="auto"/>
            <w:vAlign w:val="center"/>
          </w:tcPr>
          <w:p w14:paraId="17240AD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0" w:type="auto"/>
            <w:vAlign w:val="center"/>
          </w:tcPr>
          <w:p w14:paraId="5D43F8C5">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0" w:type="auto"/>
            <w:vAlign w:val="center"/>
          </w:tcPr>
          <w:p w14:paraId="0B14DA7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9</w:t>
            </w:r>
          </w:p>
        </w:tc>
        <w:tc>
          <w:tcPr>
            <w:tcW w:w="0" w:type="auto"/>
            <w:vAlign w:val="center"/>
          </w:tcPr>
          <w:p w14:paraId="3E3DD6B5">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8</w:t>
            </w:r>
          </w:p>
        </w:tc>
        <w:tc>
          <w:tcPr>
            <w:tcW w:w="0" w:type="auto"/>
            <w:vAlign w:val="center"/>
          </w:tcPr>
          <w:p w14:paraId="5D3FE5B0">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9</w:t>
            </w:r>
          </w:p>
        </w:tc>
        <w:tc>
          <w:tcPr>
            <w:tcW w:w="0" w:type="auto"/>
            <w:vAlign w:val="center"/>
          </w:tcPr>
          <w:p w14:paraId="38E0192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8</w:t>
            </w:r>
          </w:p>
        </w:tc>
        <w:tc>
          <w:tcPr>
            <w:tcW w:w="0" w:type="auto"/>
            <w:vAlign w:val="center"/>
          </w:tcPr>
          <w:p w14:paraId="0515B99F">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9</w:t>
            </w:r>
          </w:p>
        </w:tc>
      </w:tr>
      <w:tr w14:paraId="7341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4F878B06">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平均值（g/100g）</w:t>
            </w:r>
          </w:p>
        </w:tc>
        <w:tc>
          <w:tcPr>
            <w:tcW w:w="0" w:type="auto"/>
            <w:vAlign w:val="center"/>
          </w:tcPr>
          <w:p w14:paraId="12C46B86">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0.11</w:t>
            </w:r>
          </w:p>
        </w:tc>
        <w:tc>
          <w:tcPr>
            <w:tcW w:w="0" w:type="auto"/>
            <w:vAlign w:val="center"/>
          </w:tcPr>
          <w:p w14:paraId="1A35876F">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0.28</w:t>
            </w:r>
          </w:p>
        </w:tc>
        <w:tc>
          <w:tcPr>
            <w:tcW w:w="0" w:type="auto"/>
            <w:vAlign w:val="center"/>
          </w:tcPr>
          <w:p w14:paraId="374BBEE7">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0.57</w:t>
            </w:r>
          </w:p>
        </w:tc>
        <w:tc>
          <w:tcPr>
            <w:tcW w:w="0" w:type="auto"/>
            <w:vAlign w:val="center"/>
          </w:tcPr>
          <w:p w14:paraId="27C70954">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0.98</w:t>
            </w:r>
          </w:p>
        </w:tc>
        <w:tc>
          <w:tcPr>
            <w:tcW w:w="0" w:type="auto"/>
            <w:vAlign w:val="center"/>
          </w:tcPr>
          <w:p w14:paraId="611E350F">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1.97</w:t>
            </w:r>
          </w:p>
        </w:tc>
        <w:tc>
          <w:tcPr>
            <w:tcW w:w="0" w:type="auto"/>
            <w:vAlign w:val="center"/>
          </w:tcPr>
          <w:p w14:paraId="0AF507CD">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3.04</w:t>
            </w:r>
          </w:p>
        </w:tc>
        <w:tc>
          <w:tcPr>
            <w:tcW w:w="0" w:type="auto"/>
            <w:vAlign w:val="center"/>
          </w:tcPr>
          <w:p w14:paraId="3437152C">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4.34</w:t>
            </w:r>
          </w:p>
        </w:tc>
      </w:tr>
      <w:tr w14:paraId="54B9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3B26B44C">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重复性标准差（Sr）</w:t>
            </w:r>
          </w:p>
        </w:tc>
        <w:tc>
          <w:tcPr>
            <w:tcW w:w="0" w:type="auto"/>
            <w:vAlign w:val="center"/>
          </w:tcPr>
          <w:p w14:paraId="4E2C6476">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0.0054</w:t>
            </w:r>
          </w:p>
        </w:tc>
        <w:tc>
          <w:tcPr>
            <w:tcW w:w="0" w:type="auto"/>
            <w:vAlign w:val="center"/>
          </w:tcPr>
          <w:p w14:paraId="4E320E23">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0.0079</w:t>
            </w:r>
          </w:p>
        </w:tc>
        <w:tc>
          <w:tcPr>
            <w:tcW w:w="0" w:type="auto"/>
            <w:vAlign w:val="center"/>
          </w:tcPr>
          <w:p w14:paraId="32695A6D">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0.0099</w:t>
            </w:r>
          </w:p>
        </w:tc>
        <w:tc>
          <w:tcPr>
            <w:tcW w:w="0" w:type="auto"/>
            <w:vAlign w:val="center"/>
          </w:tcPr>
          <w:p w14:paraId="0F16CC3A">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0.012</w:t>
            </w:r>
          </w:p>
        </w:tc>
        <w:tc>
          <w:tcPr>
            <w:tcW w:w="0" w:type="auto"/>
            <w:vAlign w:val="center"/>
          </w:tcPr>
          <w:p w14:paraId="7EC0A07F">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0.022</w:t>
            </w:r>
          </w:p>
        </w:tc>
        <w:tc>
          <w:tcPr>
            <w:tcW w:w="0" w:type="auto"/>
            <w:vAlign w:val="center"/>
          </w:tcPr>
          <w:p w14:paraId="6901750C">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0.026</w:t>
            </w:r>
          </w:p>
        </w:tc>
        <w:tc>
          <w:tcPr>
            <w:tcW w:w="0" w:type="auto"/>
            <w:vAlign w:val="center"/>
          </w:tcPr>
          <w:p w14:paraId="3A448E22">
            <w:pPr>
              <w:widowControl/>
              <w:ind w:firstLine="360" w:firstLineChars="0"/>
              <w:jc w:val="center"/>
              <w:textAlignment w:val="center"/>
              <w:rPr>
                <w:rFonts w:hint="default" w:ascii="Times New Roman" w:hAnsi="Times New Roman" w:cs="Times New Roman" w:eastAsiaTheme="minorEastAsia"/>
                <w:kern w:val="0"/>
                <w:sz w:val="18"/>
                <w:szCs w:val="18"/>
                <w:vertAlign w:val="baseline"/>
                <w:lang w:val="en-US" w:eastAsia="zh-CN"/>
              </w:rPr>
            </w:pPr>
            <w:r>
              <w:rPr>
                <w:rFonts w:hint="default" w:ascii="Times New Roman" w:hAnsi="Times New Roman" w:cs="Times New Roman"/>
                <w:color w:val="000000"/>
                <w:kern w:val="0"/>
                <w:sz w:val="18"/>
                <w:szCs w:val="18"/>
                <w:lang w:bidi="ar"/>
              </w:rPr>
              <w:t>0.043</w:t>
            </w:r>
          </w:p>
        </w:tc>
      </w:tr>
      <w:tr w14:paraId="54FF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55AE9940">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重复性限（r）（2.8×Sr）</w:t>
            </w:r>
          </w:p>
        </w:tc>
        <w:tc>
          <w:tcPr>
            <w:tcW w:w="0" w:type="auto"/>
            <w:vAlign w:val="center"/>
          </w:tcPr>
          <w:p w14:paraId="574169D3">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0.02</w:t>
            </w:r>
          </w:p>
        </w:tc>
        <w:tc>
          <w:tcPr>
            <w:tcW w:w="0" w:type="auto"/>
            <w:vAlign w:val="center"/>
          </w:tcPr>
          <w:p w14:paraId="14E62C2C">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0.02</w:t>
            </w:r>
          </w:p>
        </w:tc>
        <w:tc>
          <w:tcPr>
            <w:tcW w:w="0" w:type="auto"/>
            <w:vAlign w:val="center"/>
          </w:tcPr>
          <w:p w14:paraId="72F96859">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0.03</w:t>
            </w:r>
          </w:p>
        </w:tc>
        <w:tc>
          <w:tcPr>
            <w:tcW w:w="0" w:type="auto"/>
            <w:vAlign w:val="center"/>
          </w:tcPr>
          <w:p w14:paraId="696A14FA">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0.03</w:t>
            </w:r>
          </w:p>
        </w:tc>
        <w:tc>
          <w:tcPr>
            <w:tcW w:w="0" w:type="auto"/>
            <w:vAlign w:val="center"/>
          </w:tcPr>
          <w:p w14:paraId="6D5C4505">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0.06</w:t>
            </w:r>
          </w:p>
        </w:tc>
        <w:tc>
          <w:tcPr>
            <w:tcW w:w="0" w:type="auto"/>
            <w:vAlign w:val="center"/>
          </w:tcPr>
          <w:p w14:paraId="7C1A9A4C">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0.07</w:t>
            </w:r>
          </w:p>
        </w:tc>
        <w:tc>
          <w:tcPr>
            <w:tcW w:w="0" w:type="auto"/>
            <w:vAlign w:val="center"/>
          </w:tcPr>
          <w:p w14:paraId="62C8755D">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0.12</w:t>
            </w:r>
          </w:p>
        </w:tc>
      </w:tr>
      <w:tr w14:paraId="687D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5C3A176C">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再现性标准差（S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0" w:type="auto"/>
            <w:vAlign w:val="center"/>
          </w:tcPr>
          <w:p w14:paraId="66A506F6">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0.0066</w:t>
            </w:r>
          </w:p>
        </w:tc>
        <w:tc>
          <w:tcPr>
            <w:tcW w:w="0" w:type="auto"/>
            <w:vAlign w:val="center"/>
          </w:tcPr>
          <w:p w14:paraId="52CDE6CD">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0.015</w:t>
            </w:r>
          </w:p>
        </w:tc>
        <w:tc>
          <w:tcPr>
            <w:tcW w:w="0" w:type="auto"/>
            <w:vAlign w:val="center"/>
          </w:tcPr>
          <w:p w14:paraId="761B8AC6">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0.022</w:t>
            </w:r>
          </w:p>
        </w:tc>
        <w:tc>
          <w:tcPr>
            <w:tcW w:w="0" w:type="auto"/>
            <w:vAlign w:val="center"/>
          </w:tcPr>
          <w:p w14:paraId="1A793FEA">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0.025</w:t>
            </w:r>
          </w:p>
        </w:tc>
        <w:tc>
          <w:tcPr>
            <w:tcW w:w="0" w:type="auto"/>
            <w:vAlign w:val="center"/>
          </w:tcPr>
          <w:p w14:paraId="5E66F90B">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0.030</w:t>
            </w:r>
          </w:p>
        </w:tc>
        <w:tc>
          <w:tcPr>
            <w:tcW w:w="0" w:type="auto"/>
            <w:vAlign w:val="center"/>
          </w:tcPr>
          <w:p w14:paraId="5D6F26C9">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0.053</w:t>
            </w:r>
          </w:p>
        </w:tc>
        <w:tc>
          <w:tcPr>
            <w:tcW w:w="0" w:type="auto"/>
            <w:vAlign w:val="center"/>
          </w:tcPr>
          <w:p w14:paraId="0DFF093A">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0.077</w:t>
            </w:r>
          </w:p>
        </w:tc>
      </w:tr>
      <w:tr w14:paraId="28E8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0" w:type="auto"/>
            <w:vAlign w:val="center"/>
          </w:tcPr>
          <w:p w14:paraId="4D9D25D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再现性限（R）（2.8×S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0" w:type="auto"/>
            <w:vAlign w:val="center"/>
          </w:tcPr>
          <w:p w14:paraId="05D29683">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0.02</w:t>
            </w:r>
          </w:p>
        </w:tc>
        <w:tc>
          <w:tcPr>
            <w:tcW w:w="0" w:type="auto"/>
            <w:vAlign w:val="center"/>
          </w:tcPr>
          <w:p w14:paraId="16B316BA">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0.04</w:t>
            </w:r>
          </w:p>
        </w:tc>
        <w:tc>
          <w:tcPr>
            <w:tcW w:w="0" w:type="auto"/>
            <w:vAlign w:val="center"/>
          </w:tcPr>
          <w:p w14:paraId="0BB4235B">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0.06</w:t>
            </w:r>
          </w:p>
        </w:tc>
        <w:tc>
          <w:tcPr>
            <w:tcW w:w="0" w:type="auto"/>
            <w:vAlign w:val="center"/>
          </w:tcPr>
          <w:p w14:paraId="22FDE2A4">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0.07</w:t>
            </w:r>
          </w:p>
        </w:tc>
        <w:tc>
          <w:tcPr>
            <w:tcW w:w="0" w:type="auto"/>
            <w:vAlign w:val="center"/>
          </w:tcPr>
          <w:p w14:paraId="27023BBB">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0.08</w:t>
            </w:r>
          </w:p>
        </w:tc>
        <w:tc>
          <w:tcPr>
            <w:tcW w:w="0" w:type="auto"/>
            <w:vAlign w:val="center"/>
          </w:tcPr>
          <w:p w14:paraId="64996EDD">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0.15</w:t>
            </w:r>
          </w:p>
        </w:tc>
        <w:tc>
          <w:tcPr>
            <w:tcW w:w="0" w:type="auto"/>
            <w:vAlign w:val="center"/>
          </w:tcPr>
          <w:p w14:paraId="6BCB0E56">
            <w:pPr>
              <w:widowControl/>
              <w:ind w:firstLine="360" w:firstLineChars="0"/>
              <w:jc w:val="center"/>
              <w:textAlignment w:val="center"/>
              <w:rPr>
                <w:rFonts w:hint="default" w:ascii="Times New Roman" w:hAnsi="Times New Roman" w:eastAsia="黑体" w:cs="Times New Roman"/>
                <w:sz w:val="18"/>
                <w:szCs w:val="18"/>
                <w:vertAlign w:val="baseline"/>
                <w:lang w:val="en-US" w:eastAsia="zh-CN"/>
              </w:rPr>
            </w:pPr>
            <w:r>
              <w:rPr>
                <w:rFonts w:hint="default" w:ascii="Times New Roman" w:hAnsi="Times New Roman" w:cs="Times New Roman"/>
                <w:color w:val="000000"/>
                <w:kern w:val="0"/>
                <w:sz w:val="18"/>
                <w:szCs w:val="18"/>
                <w:lang w:bidi="ar"/>
              </w:rPr>
              <w:t>0.22</w:t>
            </w:r>
          </w:p>
        </w:tc>
      </w:tr>
    </w:tbl>
    <w:p w14:paraId="2B2D87C2">
      <w:pPr>
        <w:rPr>
          <w:rFonts w:hint="eastAsia" w:ascii="黑体" w:hAnsi="黑体" w:eastAsia="黑体"/>
        </w:rPr>
      </w:pPr>
    </w:p>
    <w:p w14:paraId="166C8E13">
      <w:pPr>
        <w:widowControl/>
        <w:adjustRightInd/>
        <w:snapToGrid/>
        <w:ind w:firstLine="0" w:firstLineChars="0"/>
        <w:jc w:val="left"/>
        <w:rPr>
          <w:rFonts w:hint="eastAsia" w:ascii="黑体" w:hAnsi="黑体" w:eastAsia="黑体" w:cs="黑体"/>
          <w:bCs/>
          <w:szCs w:val="21"/>
        </w:rPr>
      </w:pPr>
      <w:r>
        <w:rPr>
          <w:rFonts w:hint="eastAsia" w:ascii="黑体" w:hAnsi="黑体" w:eastAsia="黑体" w:cs="黑体"/>
          <w:bCs/>
          <w:szCs w:val="21"/>
        </w:rPr>
        <w:br w:type="page"/>
      </w:r>
    </w:p>
    <w:p w14:paraId="5152DF71">
      <w:pPr>
        <w:widowControl/>
        <w:adjustRightInd w:val="0"/>
        <w:snapToGrid w:val="0"/>
        <w:ind w:firstLine="604" w:firstLineChars="288"/>
        <w:jc w:val="center"/>
        <w:rPr>
          <w:rFonts w:hint="eastAsia" w:ascii="黑体" w:hAnsi="黑体" w:eastAsia="黑体" w:cs="黑体"/>
          <w:bCs/>
          <w:szCs w:val="21"/>
        </w:rPr>
      </w:pPr>
      <w:r>
        <w:rPr>
          <w:rFonts w:hint="eastAsia" w:ascii="黑体" w:hAnsi="黑体" w:eastAsia="黑体" w:cs="黑体"/>
          <w:bCs/>
          <w:szCs w:val="21"/>
        </w:rPr>
        <w:t>附录C</w:t>
      </w:r>
    </w:p>
    <w:p w14:paraId="23CBA6E6">
      <w:pPr>
        <w:widowControl/>
        <w:adjustRightInd w:val="0"/>
        <w:snapToGrid w:val="0"/>
        <w:ind w:firstLine="604" w:firstLineChars="288"/>
        <w:jc w:val="center"/>
        <w:rPr>
          <w:rFonts w:hint="eastAsia" w:ascii="宋体" w:hAnsi="宋体"/>
          <w:szCs w:val="21"/>
        </w:rPr>
      </w:pPr>
      <w:r>
        <w:rPr>
          <w:rFonts w:hint="eastAsia" w:ascii="黑体" w:hAnsi="黑体" w:eastAsia="黑体" w:cs="黑体"/>
          <w:bCs/>
          <w:szCs w:val="21"/>
        </w:rPr>
        <w:t>(资料性)</w:t>
      </w:r>
      <w:r>
        <w:rPr>
          <w:rFonts w:hint="eastAsia" w:ascii="宋体" w:hAnsi="宋体"/>
          <w:szCs w:val="21"/>
        </w:rPr>
        <w:t xml:space="preserve"> </w:t>
      </w:r>
    </w:p>
    <w:p w14:paraId="0F733F9E">
      <w:pPr>
        <w:widowControl/>
        <w:adjustRightInd w:val="0"/>
        <w:snapToGrid w:val="0"/>
        <w:ind w:firstLine="604" w:firstLineChars="288"/>
        <w:jc w:val="center"/>
        <w:rPr>
          <w:rFonts w:hint="default" w:ascii="黑体" w:hAnsi="黑体" w:eastAsia="黑体" w:cs="黑体"/>
          <w:bCs/>
          <w:szCs w:val="21"/>
          <w:lang w:val="en-US" w:eastAsia="zh-CN"/>
        </w:rPr>
      </w:pPr>
      <w:r>
        <w:rPr>
          <w:rFonts w:hint="eastAsia" w:ascii="黑体" w:hAnsi="黑体" w:eastAsia="黑体" w:cs="黑体"/>
          <w:bCs/>
          <w:szCs w:val="21"/>
        </w:rPr>
        <w:t>二乙基二硫代氨基甲酸银分光光度法（方法3）精密度试验</w:t>
      </w:r>
      <w:r>
        <w:rPr>
          <w:rFonts w:hint="eastAsia" w:ascii="黑体" w:hAnsi="黑体" w:eastAsia="黑体" w:cs="黑体"/>
          <w:bCs/>
          <w:szCs w:val="21"/>
          <w:lang w:val="en-US" w:eastAsia="zh-CN"/>
        </w:rPr>
        <w:t>统计数据</w:t>
      </w:r>
    </w:p>
    <w:p w14:paraId="6A260E28">
      <w:pPr>
        <w:widowControl/>
        <w:adjustRightInd w:val="0"/>
        <w:snapToGrid w:val="0"/>
        <w:ind w:firstLine="604" w:firstLineChars="288"/>
        <w:jc w:val="left"/>
        <w:rPr>
          <w:rFonts w:hint="eastAsia" w:ascii="宋体" w:hAnsi="宋体"/>
          <w:kern w:val="0"/>
          <w:szCs w:val="22"/>
        </w:rPr>
      </w:pPr>
      <w:r>
        <w:rPr>
          <w:rFonts w:hint="eastAsia" w:ascii="宋体" w:hAnsi="宋体"/>
          <w:kern w:val="0"/>
          <w:szCs w:val="22"/>
        </w:rPr>
        <w:t>精密度数据是由2024年1</w:t>
      </w:r>
      <w:r>
        <w:rPr>
          <w:rFonts w:hint="eastAsia" w:ascii="宋体" w:hAnsi="宋体"/>
          <w:kern w:val="0"/>
          <w:szCs w:val="22"/>
          <w:lang w:val="en-US" w:eastAsia="zh-CN"/>
        </w:rPr>
        <w:t>1</w:t>
      </w:r>
      <w:r>
        <w:rPr>
          <w:rFonts w:hint="eastAsia" w:ascii="宋体" w:hAnsi="宋体"/>
          <w:kern w:val="0"/>
          <w:szCs w:val="22"/>
        </w:rPr>
        <w:t>家实验室对砷的7个不同水平样品进行共同试验确定的。每个实验室对每个水平的砷、锑和铋含量在重复性条件下独立测定11次。测定原始数据见表C.1。</w:t>
      </w:r>
    </w:p>
    <w:p w14:paraId="6A9828C5">
      <w:pPr>
        <w:jc w:val="center"/>
        <w:rPr>
          <w:rFonts w:hint="eastAsia" w:ascii="黑体" w:hAnsi="黑体" w:eastAsia="黑体" w:cs="黑体"/>
          <w:szCs w:val="21"/>
        </w:rPr>
      </w:pPr>
      <w:r>
        <w:rPr>
          <w:rFonts w:hint="eastAsia" w:ascii="黑体" w:hAnsi="黑体" w:eastAsia="黑体" w:cs="黑体"/>
          <w:szCs w:val="21"/>
        </w:rPr>
        <w:t>表C.1  砷精密度试验</w:t>
      </w:r>
      <w:r>
        <w:rPr>
          <w:rFonts w:hint="eastAsia" w:ascii="黑体" w:hAnsi="黑体" w:eastAsia="黑体" w:cs="黑体"/>
          <w:szCs w:val="21"/>
          <w:lang w:val="en-US" w:eastAsia="zh-CN"/>
        </w:rPr>
        <w:t>统计</w:t>
      </w:r>
      <w:r>
        <w:rPr>
          <w:rFonts w:hint="eastAsia" w:ascii="黑体" w:hAnsi="黑体" w:eastAsia="黑体" w:cs="黑体"/>
          <w:szCs w:val="21"/>
        </w:rPr>
        <w:t>数据</w:t>
      </w:r>
    </w:p>
    <w:p w14:paraId="34D9EA0E">
      <w:pPr>
        <w:widowControl/>
        <w:adjustRightInd w:val="0"/>
        <w:snapToGrid w:val="0"/>
        <w:ind w:firstLine="604" w:firstLineChars="288"/>
        <w:jc w:val="center"/>
        <w:rPr>
          <w:rFonts w:hint="eastAsia" w:ascii="黑体" w:hAnsi="黑体" w:eastAsia="黑体" w:cs="黑体"/>
          <w:bCs/>
          <w:szCs w:val="21"/>
        </w:rPr>
      </w:pP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918"/>
        <w:gridCol w:w="813"/>
        <w:gridCol w:w="813"/>
        <w:gridCol w:w="813"/>
        <w:gridCol w:w="813"/>
        <w:gridCol w:w="814"/>
        <w:gridCol w:w="814"/>
      </w:tblGrid>
      <w:tr w14:paraId="0754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6074937B">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样品的水平</w:t>
            </w:r>
          </w:p>
        </w:tc>
        <w:tc>
          <w:tcPr>
            <w:tcW w:w="538" w:type="pct"/>
            <w:vAlign w:val="center"/>
          </w:tcPr>
          <w:p w14:paraId="1BC5A1B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w:t>
            </w:r>
          </w:p>
        </w:tc>
        <w:tc>
          <w:tcPr>
            <w:tcW w:w="477" w:type="pct"/>
            <w:vAlign w:val="center"/>
          </w:tcPr>
          <w:p w14:paraId="3B6FDF6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2</w:t>
            </w:r>
          </w:p>
        </w:tc>
        <w:tc>
          <w:tcPr>
            <w:tcW w:w="477" w:type="pct"/>
            <w:vAlign w:val="center"/>
          </w:tcPr>
          <w:p w14:paraId="4EE0F6E2">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3</w:t>
            </w:r>
          </w:p>
        </w:tc>
        <w:tc>
          <w:tcPr>
            <w:tcW w:w="477" w:type="pct"/>
            <w:vAlign w:val="center"/>
          </w:tcPr>
          <w:p w14:paraId="6857B48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4</w:t>
            </w:r>
          </w:p>
        </w:tc>
        <w:tc>
          <w:tcPr>
            <w:tcW w:w="477" w:type="pct"/>
            <w:vAlign w:val="center"/>
          </w:tcPr>
          <w:p w14:paraId="30F26F6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5</w:t>
            </w:r>
          </w:p>
        </w:tc>
        <w:tc>
          <w:tcPr>
            <w:tcW w:w="477" w:type="pct"/>
            <w:vAlign w:val="center"/>
          </w:tcPr>
          <w:p w14:paraId="2B0E659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6</w:t>
            </w:r>
          </w:p>
        </w:tc>
        <w:tc>
          <w:tcPr>
            <w:tcW w:w="477" w:type="pct"/>
            <w:vAlign w:val="center"/>
          </w:tcPr>
          <w:p w14:paraId="442D89C2">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7</w:t>
            </w:r>
          </w:p>
        </w:tc>
      </w:tr>
      <w:tr w14:paraId="3FF1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0105ECD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参加试验室的数目</w:t>
            </w:r>
          </w:p>
        </w:tc>
        <w:tc>
          <w:tcPr>
            <w:tcW w:w="538" w:type="pct"/>
            <w:vAlign w:val="center"/>
          </w:tcPr>
          <w:p w14:paraId="1AEDFF2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32C8409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2BB36913">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1806129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4E0E30D0">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12D0458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c>
          <w:tcPr>
            <w:tcW w:w="477" w:type="pct"/>
            <w:vAlign w:val="center"/>
          </w:tcPr>
          <w:p w14:paraId="36CA70D6">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r>
      <w:tr w14:paraId="4E17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5CC36A0B">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可接受结果的数目</w:t>
            </w:r>
          </w:p>
        </w:tc>
        <w:tc>
          <w:tcPr>
            <w:tcW w:w="538" w:type="pct"/>
            <w:vAlign w:val="center"/>
          </w:tcPr>
          <w:p w14:paraId="235FF1CF">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477" w:type="pct"/>
            <w:vAlign w:val="center"/>
          </w:tcPr>
          <w:p w14:paraId="2915F3B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477" w:type="pct"/>
            <w:vAlign w:val="center"/>
          </w:tcPr>
          <w:p w14:paraId="64F72CFC">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477" w:type="pct"/>
            <w:vAlign w:val="center"/>
          </w:tcPr>
          <w:p w14:paraId="3A622C71">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477" w:type="pct"/>
            <w:vAlign w:val="center"/>
          </w:tcPr>
          <w:p w14:paraId="627726C4">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9</w:t>
            </w:r>
          </w:p>
        </w:tc>
        <w:tc>
          <w:tcPr>
            <w:tcW w:w="477" w:type="pct"/>
            <w:vAlign w:val="center"/>
          </w:tcPr>
          <w:p w14:paraId="2C0BD07E">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10</w:t>
            </w:r>
          </w:p>
        </w:tc>
        <w:tc>
          <w:tcPr>
            <w:tcW w:w="477" w:type="pct"/>
            <w:vAlign w:val="center"/>
          </w:tcPr>
          <w:p w14:paraId="64C589D9">
            <w:pPr>
              <w:jc w:val="center"/>
              <w:rPr>
                <w:rFonts w:hint="default" w:ascii="Times New Roman" w:hAnsi="Times New Roman" w:eastAsia="黑体" w:cs="Times New Roman"/>
                <w:sz w:val="18"/>
                <w:szCs w:val="18"/>
                <w:vertAlign w:val="baseline"/>
                <w:lang w:val="en-US" w:eastAsia="zh-CN"/>
              </w:rPr>
            </w:pPr>
            <w:r>
              <w:rPr>
                <w:rFonts w:hint="default" w:ascii="Times New Roman" w:hAnsi="Times New Roman" w:eastAsia="黑体" w:cs="Times New Roman"/>
                <w:sz w:val="18"/>
                <w:szCs w:val="18"/>
                <w:vertAlign w:val="baseline"/>
                <w:lang w:val="en-US" w:eastAsia="zh-CN"/>
              </w:rPr>
              <w:t>11</w:t>
            </w:r>
          </w:p>
        </w:tc>
      </w:tr>
      <w:tr w14:paraId="72A4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4E569212">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平均值（g/100g）</w:t>
            </w:r>
          </w:p>
        </w:tc>
        <w:tc>
          <w:tcPr>
            <w:tcW w:w="538" w:type="pct"/>
            <w:vAlign w:val="center"/>
          </w:tcPr>
          <w:p w14:paraId="3AFBE614">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0.015</w:t>
            </w:r>
          </w:p>
        </w:tc>
        <w:tc>
          <w:tcPr>
            <w:tcW w:w="477" w:type="pct"/>
            <w:vAlign w:val="center"/>
          </w:tcPr>
          <w:p w14:paraId="5B5A1376">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0.051</w:t>
            </w:r>
          </w:p>
        </w:tc>
        <w:tc>
          <w:tcPr>
            <w:tcW w:w="477" w:type="pct"/>
            <w:vAlign w:val="center"/>
          </w:tcPr>
          <w:p w14:paraId="40E6A501">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0.12</w:t>
            </w:r>
          </w:p>
        </w:tc>
        <w:tc>
          <w:tcPr>
            <w:tcW w:w="477" w:type="pct"/>
            <w:vAlign w:val="center"/>
          </w:tcPr>
          <w:p w14:paraId="3374524C">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0.21</w:t>
            </w:r>
          </w:p>
        </w:tc>
        <w:tc>
          <w:tcPr>
            <w:tcW w:w="477" w:type="pct"/>
            <w:vAlign w:val="center"/>
          </w:tcPr>
          <w:p w14:paraId="1F8172D8">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0.30</w:t>
            </w:r>
          </w:p>
        </w:tc>
        <w:tc>
          <w:tcPr>
            <w:tcW w:w="477" w:type="pct"/>
            <w:vAlign w:val="center"/>
          </w:tcPr>
          <w:p w14:paraId="71D55C92">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0.37</w:t>
            </w:r>
          </w:p>
        </w:tc>
        <w:tc>
          <w:tcPr>
            <w:tcW w:w="477" w:type="pct"/>
            <w:vAlign w:val="center"/>
          </w:tcPr>
          <w:p w14:paraId="1588E7A4">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0.43</w:t>
            </w:r>
          </w:p>
        </w:tc>
      </w:tr>
      <w:tr w14:paraId="7B28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576AC3B8">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重复性标准差（Sr）</w:t>
            </w:r>
          </w:p>
        </w:tc>
        <w:tc>
          <w:tcPr>
            <w:tcW w:w="538" w:type="pct"/>
            <w:vAlign w:val="center"/>
          </w:tcPr>
          <w:p w14:paraId="653AC5E0">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0.000</w:t>
            </w:r>
            <w:r>
              <w:rPr>
                <w:rFonts w:hint="eastAsia" w:eastAsiaTheme="minorEastAsia"/>
                <w:kern w:val="0"/>
                <w:sz w:val="18"/>
                <w:szCs w:val="18"/>
                <w:lang w:val="en-US" w:eastAsia="zh-CN"/>
              </w:rPr>
              <w:t>76</w:t>
            </w:r>
          </w:p>
        </w:tc>
        <w:tc>
          <w:tcPr>
            <w:tcW w:w="477" w:type="pct"/>
            <w:vAlign w:val="center"/>
          </w:tcPr>
          <w:p w14:paraId="0B5EBFAD">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0.0016</w:t>
            </w:r>
          </w:p>
        </w:tc>
        <w:tc>
          <w:tcPr>
            <w:tcW w:w="477" w:type="pct"/>
            <w:vAlign w:val="center"/>
          </w:tcPr>
          <w:p w14:paraId="173B4ED6">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0.0043</w:t>
            </w:r>
          </w:p>
        </w:tc>
        <w:tc>
          <w:tcPr>
            <w:tcW w:w="477" w:type="pct"/>
            <w:vAlign w:val="center"/>
          </w:tcPr>
          <w:p w14:paraId="2C7E927F">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0.0054</w:t>
            </w:r>
          </w:p>
        </w:tc>
        <w:tc>
          <w:tcPr>
            <w:tcW w:w="477" w:type="pct"/>
            <w:vAlign w:val="center"/>
          </w:tcPr>
          <w:p w14:paraId="1B6DED51">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0.0056</w:t>
            </w:r>
          </w:p>
        </w:tc>
        <w:tc>
          <w:tcPr>
            <w:tcW w:w="477" w:type="pct"/>
            <w:vAlign w:val="center"/>
          </w:tcPr>
          <w:p w14:paraId="237ED25E">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0.0062</w:t>
            </w:r>
          </w:p>
        </w:tc>
        <w:tc>
          <w:tcPr>
            <w:tcW w:w="477" w:type="pct"/>
            <w:vAlign w:val="center"/>
          </w:tcPr>
          <w:p w14:paraId="1A2C5A16">
            <w:pPr>
              <w:widowControl/>
              <w:spacing w:line="240" w:lineRule="auto"/>
              <w:ind w:firstLine="0" w:firstLineChars="0"/>
              <w:jc w:val="center"/>
              <w:rPr>
                <w:rFonts w:hint="eastAsia" w:ascii="Times New Roman" w:hAnsi="Times New Roman" w:cs="Times New Roman" w:eastAsiaTheme="minorEastAsia"/>
                <w:kern w:val="0"/>
                <w:sz w:val="18"/>
                <w:szCs w:val="18"/>
                <w:vertAlign w:val="baseline"/>
                <w:lang w:val="en-US" w:eastAsia="zh-CN"/>
              </w:rPr>
            </w:pPr>
            <w:r>
              <w:rPr>
                <w:rFonts w:hint="eastAsia" w:eastAsiaTheme="minorEastAsia"/>
                <w:kern w:val="0"/>
                <w:sz w:val="18"/>
                <w:szCs w:val="18"/>
              </w:rPr>
              <w:t>0.0071</w:t>
            </w:r>
          </w:p>
        </w:tc>
      </w:tr>
      <w:tr w14:paraId="7830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391D71B6">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重复性限（r）（2.8×Sr）</w:t>
            </w:r>
          </w:p>
        </w:tc>
        <w:tc>
          <w:tcPr>
            <w:tcW w:w="538" w:type="pct"/>
            <w:vAlign w:val="center"/>
          </w:tcPr>
          <w:p w14:paraId="26104BB7">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0.002</w:t>
            </w:r>
          </w:p>
        </w:tc>
        <w:tc>
          <w:tcPr>
            <w:tcW w:w="477" w:type="pct"/>
            <w:vAlign w:val="center"/>
          </w:tcPr>
          <w:p w14:paraId="620AFE8D">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0.005</w:t>
            </w:r>
          </w:p>
        </w:tc>
        <w:tc>
          <w:tcPr>
            <w:tcW w:w="477" w:type="pct"/>
            <w:vAlign w:val="center"/>
          </w:tcPr>
          <w:p w14:paraId="6BCE62BA">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0.012</w:t>
            </w:r>
          </w:p>
        </w:tc>
        <w:tc>
          <w:tcPr>
            <w:tcW w:w="477" w:type="pct"/>
            <w:vAlign w:val="center"/>
          </w:tcPr>
          <w:p w14:paraId="45B82869">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0.015</w:t>
            </w:r>
          </w:p>
        </w:tc>
        <w:tc>
          <w:tcPr>
            <w:tcW w:w="477" w:type="pct"/>
            <w:vAlign w:val="center"/>
          </w:tcPr>
          <w:p w14:paraId="5FFB775E">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0.016</w:t>
            </w:r>
          </w:p>
        </w:tc>
        <w:tc>
          <w:tcPr>
            <w:tcW w:w="477" w:type="pct"/>
            <w:vAlign w:val="center"/>
          </w:tcPr>
          <w:p w14:paraId="03BE9F51">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0.017</w:t>
            </w:r>
          </w:p>
        </w:tc>
        <w:tc>
          <w:tcPr>
            <w:tcW w:w="477" w:type="pct"/>
            <w:vAlign w:val="center"/>
          </w:tcPr>
          <w:p w14:paraId="601E3326">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0.020</w:t>
            </w:r>
          </w:p>
        </w:tc>
      </w:tr>
      <w:tr w14:paraId="6583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09E0594E">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再现性标准差（S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38" w:type="pct"/>
            <w:vAlign w:val="center"/>
          </w:tcPr>
          <w:p w14:paraId="60C96716">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0.0009</w:t>
            </w:r>
            <w:r>
              <w:rPr>
                <w:rFonts w:hint="eastAsia" w:eastAsiaTheme="minorEastAsia"/>
                <w:kern w:val="0"/>
                <w:sz w:val="18"/>
                <w:szCs w:val="18"/>
                <w:lang w:val="en-US" w:eastAsia="zh-CN"/>
              </w:rPr>
              <w:t>1</w:t>
            </w:r>
          </w:p>
        </w:tc>
        <w:tc>
          <w:tcPr>
            <w:tcW w:w="477" w:type="pct"/>
            <w:vAlign w:val="center"/>
          </w:tcPr>
          <w:p w14:paraId="159E003A">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0.0031</w:t>
            </w:r>
          </w:p>
        </w:tc>
        <w:tc>
          <w:tcPr>
            <w:tcW w:w="477" w:type="pct"/>
            <w:vAlign w:val="center"/>
          </w:tcPr>
          <w:p w14:paraId="489E524C">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0.0055</w:t>
            </w:r>
          </w:p>
        </w:tc>
        <w:tc>
          <w:tcPr>
            <w:tcW w:w="477" w:type="pct"/>
            <w:vAlign w:val="center"/>
          </w:tcPr>
          <w:p w14:paraId="09E0BB7F">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0.0092</w:t>
            </w:r>
          </w:p>
        </w:tc>
        <w:tc>
          <w:tcPr>
            <w:tcW w:w="477" w:type="pct"/>
            <w:vAlign w:val="center"/>
          </w:tcPr>
          <w:p w14:paraId="712D0E15">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0.0081</w:t>
            </w:r>
          </w:p>
        </w:tc>
        <w:tc>
          <w:tcPr>
            <w:tcW w:w="477" w:type="pct"/>
            <w:vAlign w:val="center"/>
          </w:tcPr>
          <w:p w14:paraId="41A60492">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0.0109</w:t>
            </w:r>
          </w:p>
        </w:tc>
        <w:tc>
          <w:tcPr>
            <w:tcW w:w="477" w:type="pct"/>
            <w:vAlign w:val="center"/>
          </w:tcPr>
          <w:p w14:paraId="3FAAFE41">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0.0157</w:t>
            </w:r>
          </w:p>
        </w:tc>
      </w:tr>
      <w:tr w14:paraId="3B5B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pct"/>
            <w:vAlign w:val="center"/>
          </w:tcPr>
          <w:p w14:paraId="6AB70268">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再现性限（R）（2.8×S</w:t>
            </w:r>
            <w:r>
              <w:rPr>
                <w:rFonts w:hint="eastAsia" w:ascii="黑体" w:hAnsi="黑体" w:eastAsia="黑体" w:cs="黑体"/>
                <w:sz w:val="18"/>
                <w:szCs w:val="18"/>
                <w:vertAlign w:val="subscript"/>
                <w:lang w:val="en-US" w:eastAsia="zh-CN"/>
              </w:rPr>
              <w:t>R</w:t>
            </w:r>
            <w:r>
              <w:rPr>
                <w:rFonts w:hint="eastAsia" w:ascii="黑体" w:hAnsi="黑体" w:eastAsia="黑体" w:cs="黑体"/>
                <w:sz w:val="18"/>
                <w:szCs w:val="18"/>
                <w:vertAlign w:val="baseline"/>
                <w:lang w:val="en-US" w:eastAsia="zh-CN"/>
              </w:rPr>
              <w:t>）</w:t>
            </w:r>
          </w:p>
        </w:tc>
        <w:tc>
          <w:tcPr>
            <w:tcW w:w="538" w:type="pct"/>
            <w:vAlign w:val="center"/>
          </w:tcPr>
          <w:p w14:paraId="2CB696DF">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0.003</w:t>
            </w:r>
          </w:p>
        </w:tc>
        <w:tc>
          <w:tcPr>
            <w:tcW w:w="477" w:type="pct"/>
            <w:vAlign w:val="center"/>
          </w:tcPr>
          <w:p w14:paraId="6DB469DB">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0.009</w:t>
            </w:r>
          </w:p>
        </w:tc>
        <w:tc>
          <w:tcPr>
            <w:tcW w:w="477" w:type="pct"/>
            <w:vAlign w:val="center"/>
          </w:tcPr>
          <w:p w14:paraId="579945B0">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0.016</w:t>
            </w:r>
          </w:p>
        </w:tc>
        <w:tc>
          <w:tcPr>
            <w:tcW w:w="477" w:type="pct"/>
            <w:vAlign w:val="center"/>
          </w:tcPr>
          <w:p w14:paraId="7014C9C4">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0.026</w:t>
            </w:r>
          </w:p>
        </w:tc>
        <w:tc>
          <w:tcPr>
            <w:tcW w:w="477" w:type="pct"/>
            <w:vAlign w:val="center"/>
          </w:tcPr>
          <w:p w14:paraId="18D4CFFF">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0.023</w:t>
            </w:r>
          </w:p>
        </w:tc>
        <w:tc>
          <w:tcPr>
            <w:tcW w:w="477" w:type="pct"/>
            <w:vAlign w:val="center"/>
          </w:tcPr>
          <w:p w14:paraId="2369F62F">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0.031</w:t>
            </w:r>
          </w:p>
        </w:tc>
        <w:tc>
          <w:tcPr>
            <w:tcW w:w="477" w:type="pct"/>
            <w:vAlign w:val="center"/>
          </w:tcPr>
          <w:p w14:paraId="59F3B454">
            <w:pPr>
              <w:widowControl/>
              <w:spacing w:line="240" w:lineRule="auto"/>
              <w:ind w:firstLine="0" w:firstLineChars="0"/>
              <w:jc w:val="center"/>
              <w:rPr>
                <w:rFonts w:hint="eastAsia" w:ascii="黑体" w:hAnsi="黑体" w:eastAsia="黑体" w:cs="黑体"/>
                <w:sz w:val="18"/>
                <w:szCs w:val="18"/>
                <w:vertAlign w:val="baseline"/>
                <w:lang w:val="en-US" w:eastAsia="zh-CN"/>
              </w:rPr>
            </w:pPr>
            <w:r>
              <w:rPr>
                <w:rFonts w:hint="eastAsia" w:eastAsiaTheme="minorEastAsia"/>
                <w:kern w:val="0"/>
                <w:sz w:val="18"/>
                <w:szCs w:val="18"/>
              </w:rPr>
              <w:t>0.044</w:t>
            </w:r>
          </w:p>
        </w:tc>
      </w:tr>
    </w:tbl>
    <w:p w14:paraId="14EAB242"/>
    <w:sectPr>
      <w:footerReference r:id="rId8" w:type="default"/>
      <w:footerReference r:id="rId9"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7D6F">
    <w:pPr>
      <w:pStyle w:val="54"/>
      <w:rPr>
        <w:rStyle w:val="37"/>
      </w:rP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8D2BB">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2yM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R69sjCAQAAjQMAAA4AAAAAAAAAAQAgAAAAHgEAAGRycy9lMm9Eb2MueG1sUEsF&#10;BgAAAAAGAAYAWQEAAFIFAAAAAA==&#10;">
              <v:fill on="f" focussize="0,0"/>
              <v:stroke on="f"/>
              <v:imagedata o:title=""/>
              <o:lock v:ext="edit" aspectratio="f"/>
              <v:textbox inset="0mm,0mm,0mm,0mm" style="mso-fit-shape-to-text:t;">
                <w:txbxContent>
                  <w:p w14:paraId="6188D2BB">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0CCA">
    <w:pPr>
      <w:pStyle w:val="54"/>
      <w:rPr>
        <w:rStyle w:val="37"/>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56C3A">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&#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GSld7XAQAAswMAAA4AAAAAAAAAAQAgAAAA&#10;HgEAAGRycy9lMm9Eb2MueG1sUEsFBgAAAAAGAAYAWQEAAGcFAAAAAA==&#10;">
              <v:fill on="f" focussize="0,0"/>
              <v:stroke on="f"/>
              <v:imagedata o:title=""/>
              <o:lock v:ext="edit" aspectratio="f"/>
              <v:textbox inset="0mm,0mm,0mm,0mm" style="mso-fit-shape-to-text:t;">
                <w:txbxContent>
                  <w:p w14:paraId="17C56C3A">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35EC">
    <w:pPr>
      <w:pStyle w:val="26"/>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611C2">
                          <w:pPr>
                            <w:pStyle w:val="26"/>
                          </w:pPr>
                          <w:r>
                            <w:fldChar w:fldCharType="begin"/>
                          </w:r>
                          <w:r>
                            <w:instrText xml:space="preserve"> PAGE  \* MERGEFORMAT </w:instrText>
                          </w:r>
                          <w:r>
                            <w:fldChar w:fldCharType="separate"/>
                          </w:r>
                          <w:r>
                            <w:t>II</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7Bl3LXAQAAswMAAA4AAAAAAAAAAQAgAAAA&#10;HgEAAGRycy9lMm9Eb2MueG1sUEsFBgAAAAAGAAYAWQEAAGcFAAAAAA==&#10;">
              <v:fill on="f" focussize="0,0"/>
              <v:stroke on="f"/>
              <v:imagedata o:title=""/>
              <o:lock v:ext="edit" aspectratio="f"/>
              <v:textbox inset="0mm,0mm,0mm,0mm" style="mso-fit-shape-to-text:t;">
                <w:txbxContent>
                  <w:p w14:paraId="4EF611C2">
                    <w:pPr>
                      <w:pStyle w:val="2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CACB">
    <w:pPr>
      <w:pStyle w:val="54"/>
      <w:rPr>
        <w:rStyle w:val="37"/>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0633BB">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vtEdcBAACz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G9qEa86csDTx8/dv5x+/zj+/&#10;suvUn97HitLuPCXi8BoGyp39kZxJ9tAGm/4kiFGcunu6dFcNyGS6tFquViWFJMXmA+EXD9d9iPhW&#10;gWXJqHmg8eWuiuP7iGPqnJKqObjVxuQRGveXgzCTp0jcR47JwmE3TIJ20JxID70DqtNB+MJZT1tQ&#10;c0dLz5l556jJaWFmI8zGbjaEk3Sx5sjZaL7BvFiJSPSvDkjsMulUeqw3MaJZZtnT3qVl+fOcsx7e&#10;2u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F77RHXAQAAswMAAA4AAAAAAAAAAQAgAAAA&#10;HgEAAGRycy9lMm9Eb2MueG1sUEsFBgAAAAAGAAYAWQEAAGcFAAAAAA==&#10;">
              <v:fill on="f" focussize="0,0"/>
              <v:stroke on="f"/>
              <v:imagedata o:title=""/>
              <o:lock v:ext="edit" aspectratio="f"/>
              <v:textbox inset="0mm,0mm,0mm,0mm" style="mso-fit-shape-to-text:t;">
                <w:txbxContent>
                  <w:p w14:paraId="140633BB">
                    <w:pPr>
                      <w:pStyle w:val="26"/>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XVII</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F5AB">
    <w:pPr>
      <w:pStyle w:val="2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B7CE9">
                          <w:pPr>
                            <w:pStyle w:val="26"/>
                          </w:pPr>
                          <w:r>
                            <w:fldChar w:fldCharType="begin"/>
                          </w:r>
                          <w:r>
                            <w:instrText xml:space="preserve"> PAGE  \* MERGEFORMAT </w:instrText>
                          </w:r>
                          <w:r>
                            <w:fldChar w:fldCharType="separate"/>
                          </w:r>
                          <w:r>
                            <w:t>IV</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&#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M54UPTXAQAAtAMAAA4AAAAAAAAAAQAgAAAA&#10;HgEAAGRycy9lMm9Eb2MueG1sUEsFBgAAAAAGAAYAWQEAAGcFAAAAAA==&#10;">
              <v:fill on="f" focussize="0,0"/>
              <v:stroke on="f"/>
              <v:imagedata o:title=""/>
              <o:lock v:ext="edit" aspectratio="f"/>
              <v:textbox inset="0mm,0mm,0mm,0mm" style="mso-fit-shape-to-text:t;">
                <w:txbxContent>
                  <w:p w14:paraId="64CB7CE9">
                    <w:pPr>
                      <w:pStyle w:val="2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9773">
    <w:pPr>
      <w:pStyle w:val="55"/>
      <w:wordWrap w:val="0"/>
      <w:rPr>
        <w:rFonts w:ascii="黑体" w:eastAsia="黑体"/>
        <w:szCs w:val="21"/>
      </w:rPr>
    </w:pPr>
    <w:r>
      <w:rPr>
        <w:rFonts w:hint="eastAsia" w:ascii="黑体" w:eastAsia="黑体"/>
        <w:szCs w:val="21"/>
      </w:rPr>
      <w:t>GB/T 3884.9-202X</w:t>
    </w:r>
  </w:p>
  <w:p w14:paraId="6B6A6DE6">
    <w:pPr>
      <w:pStyle w:val="55"/>
      <w:wordWrap w:val="0"/>
      <w:jc w:val="center"/>
      <w:rPr>
        <w:rFonts w:hint="eastAsia" w:ascii="黑体" w:hAnsi="黑体" w:eastAsia="黑体" w:cs="黑体"/>
      </w:rPr>
    </w:pPr>
    <w:r>
      <w:rPr>
        <w:rFonts w:hint="eastAsia" w:ascii="黑体" w:eastAsia="黑体"/>
        <w:szCs w:val="21"/>
      </w:rPr>
      <w:t xml:space="preserve">                                                           </w:t>
    </w:r>
    <w:r>
      <w:rPr>
        <w:rFonts w:hint="eastAsia" w:ascii="黑体" w:hAnsi="黑体" w:eastAsia="黑体" w:cs="黑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B798">
    <w:pPr>
      <w:pStyle w:val="55"/>
      <w:wordWrap w:val="0"/>
      <w:jc w:val="both"/>
    </w:pPr>
    <w:r>
      <w:rPr>
        <w:rFonts w:hint="eastAsia" w:ascii="黑体" w:eastAsia="黑体"/>
        <w:szCs w:val="21"/>
      </w:rPr>
      <w:t>GB/T 3884.9-202X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DBA17E8"/>
    <w:multiLevelType w:val="singleLevel"/>
    <w:tmpl w:val="0DBA17E8"/>
    <w:lvl w:ilvl="0" w:tentative="0">
      <w:start w:val="1"/>
      <w:numFmt w:val="lowerLetter"/>
      <w:lvlText w:val="%1)"/>
      <w:lvlJc w:val="left"/>
      <w:pPr>
        <w:tabs>
          <w:tab w:val="left" w:pos="312"/>
        </w:tabs>
        <w:ind w:left="420"/>
      </w:pPr>
    </w:lvl>
  </w:abstractNum>
  <w:abstractNum w:abstractNumId="2">
    <w:nsid w:val="46806F7D"/>
    <w:multiLevelType w:val="multilevel"/>
    <w:tmpl w:val="46806F7D"/>
    <w:lvl w:ilvl="0" w:tentative="0">
      <w:start w:val="1"/>
      <w:numFmt w:val="none"/>
      <w:pStyle w:val="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55F22B85"/>
    <w:multiLevelType w:val="multilevel"/>
    <w:tmpl w:val="55F22B85"/>
    <w:lvl w:ilvl="0" w:tentative="0">
      <w:start w:val="1"/>
      <w:numFmt w:val="none"/>
      <w:suff w:val="nothing"/>
      <w:lvlText w:val="%1"/>
      <w:lvlJc w:val="left"/>
      <w:rPr>
        <w:rFonts w:ascii="Times New Roman" w:hAnsi="Times New Roman"/>
        <w:b/>
        <w:i w:val="0"/>
        <w:sz w:val="21"/>
      </w:rPr>
    </w:lvl>
    <w:lvl w:ilvl="1" w:tentative="0">
      <w:start w:val="1"/>
      <w:numFmt w:val="decimal"/>
      <w:suff w:val="nothing"/>
      <w:lvlText w:val="%1%2　"/>
      <w:lvlJc w:val="left"/>
      <w:rPr>
        <w:rFonts w:ascii="黑体" w:hAnsi="黑体"/>
        <w:b w:val="0"/>
        <w:i w:val="0"/>
        <w:sz w:val="21"/>
      </w:rPr>
    </w:lvl>
    <w:lvl w:ilvl="2" w:tentative="0">
      <w:start w:val="1"/>
      <w:numFmt w:val="decimal"/>
      <w:suff w:val="nothing"/>
      <w:lvlText w:val="%1%2.%3　"/>
      <w:lvlJc w:val="left"/>
      <w:rPr>
        <w:rFonts w:ascii="黑体" w:hAnsi="黑体"/>
        <w:b w:val="0"/>
        <w:i w:val="0"/>
        <w:sz w:val="21"/>
      </w:rPr>
    </w:lvl>
    <w:lvl w:ilvl="3" w:tentative="0">
      <w:start w:val="1"/>
      <w:numFmt w:val="decimal"/>
      <w:suff w:val="nothing"/>
      <w:lvlText w:val="%1%2.%3.%4　"/>
      <w:lvlJc w:val="left"/>
      <w:rPr>
        <w:rFonts w:ascii="黑体" w:hAnsi="黑体"/>
        <w:b w:val="0"/>
        <w:i w:val="0"/>
        <w:sz w:val="21"/>
      </w:rPr>
    </w:lvl>
    <w:lvl w:ilvl="4" w:tentative="0">
      <w:start w:val="1"/>
      <w:numFmt w:val="decimal"/>
      <w:suff w:val="nothing"/>
      <w:lvlText w:val="%1%2.%3.%4.%5　"/>
      <w:lvlJc w:val="left"/>
      <w:rPr>
        <w:rFonts w:ascii="黑体" w:hAnsi="黑体"/>
        <w:b w:val="0"/>
        <w:i w:val="0"/>
        <w:sz w:val="21"/>
      </w:rPr>
    </w:lvl>
    <w:lvl w:ilvl="5" w:tentative="0">
      <w:start w:val="1"/>
      <w:numFmt w:val="decimal"/>
      <w:suff w:val="nothing"/>
      <w:lvlText w:val="%1%2.%3.%4.%5.%6　"/>
      <w:lvlJc w:val="left"/>
      <w:rPr>
        <w:rFonts w:ascii="黑体" w:hAnsi="黑体"/>
        <w:b w:val="0"/>
        <w:i w:val="0"/>
        <w:sz w:val="21"/>
      </w:rPr>
    </w:lvl>
    <w:lvl w:ilvl="6" w:tentative="0">
      <w:start w:val="1"/>
      <w:numFmt w:val="decimal"/>
      <w:suff w:val="nothing"/>
      <w:lvlText w:val="%1%2.%3.%4.%5.%6.%7　"/>
      <w:lvlJc w:val="left"/>
      <w:rPr>
        <w:rFonts w:ascii="黑体" w:hAnsi="黑体"/>
        <w:b w:val="0"/>
        <w:i w:val="0"/>
        <w:sz w:val="21"/>
      </w:rPr>
    </w:lvl>
    <w:lvl w:ilvl="7" w:tentative="0">
      <w:start w:val="1"/>
      <w:numFmt w:val="decimal"/>
      <w:lvlText w:val="%1.%2.%3.%4.%5.%6.%7.%8"/>
      <w:lvlJc w:val="left"/>
    </w:lvl>
    <w:lvl w:ilvl="8" w:tentative="0">
      <w:start w:val="1"/>
      <w:numFmt w:val="decimal"/>
      <w:lvlText w:val="%1.%2.%3.%4.%5.%6.%7.%8.%9"/>
      <w:lvlJc w:val="left"/>
    </w:lvl>
  </w:abstractNum>
  <w:abstractNum w:abstractNumId="8">
    <w:nsid w:val="6350366A"/>
    <w:multiLevelType w:val="multilevel"/>
    <w:tmpl w:val="6350366A"/>
    <w:lvl w:ilvl="0" w:tentative="0">
      <w:start w:val="1"/>
      <w:numFmt w:val="none"/>
      <w:pStyle w:val="8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10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0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0"/>
  </w:num>
  <w:num w:numId="3">
    <w:abstractNumId w:val="5"/>
  </w:num>
  <w:num w:numId="4">
    <w:abstractNumId w:val="2"/>
  </w:num>
  <w:num w:numId="5">
    <w:abstractNumId w:val="13"/>
  </w:num>
  <w:num w:numId="6">
    <w:abstractNumId w:val="8"/>
  </w:num>
  <w:num w:numId="7">
    <w:abstractNumId w:val="0"/>
  </w:num>
  <w:num w:numId="8">
    <w:abstractNumId w:val="9"/>
  </w:num>
  <w:num w:numId="9">
    <w:abstractNumId w:val="6"/>
  </w:num>
  <w:num w:numId="10">
    <w:abstractNumId w:val="12"/>
  </w:num>
  <w:num w:numId="11">
    <w:abstractNumId w:val="4"/>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OTgyYzI2NGRhODNiNGRmNWFmYTRkNjAxYjY2ZWEifQ=="/>
  </w:docVars>
  <w:rsids>
    <w:rsidRoot w:val="002127AC"/>
    <w:rsid w:val="0000076A"/>
    <w:rsid w:val="000035A8"/>
    <w:rsid w:val="00010565"/>
    <w:rsid w:val="000157AE"/>
    <w:rsid w:val="00016961"/>
    <w:rsid w:val="00025CCA"/>
    <w:rsid w:val="00031C8E"/>
    <w:rsid w:val="00032BFB"/>
    <w:rsid w:val="000348E3"/>
    <w:rsid w:val="00042AF6"/>
    <w:rsid w:val="00042EAA"/>
    <w:rsid w:val="00045CD2"/>
    <w:rsid w:val="000560EB"/>
    <w:rsid w:val="000634A7"/>
    <w:rsid w:val="00077610"/>
    <w:rsid w:val="000814B8"/>
    <w:rsid w:val="000818E8"/>
    <w:rsid w:val="000831DD"/>
    <w:rsid w:val="000842AB"/>
    <w:rsid w:val="00090F5F"/>
    <w:rsid w:val="000920FB"/>
    <w:rsid w:val="00094A86"/>
    <w:rsid w:val="000A05BE"/>
    <w:rsid w:val="000A0811"/>
    <w:rsid w:val="000A1D6B"/>
    <w:rsid w:val="000A4813"/>
    <w:rsid w:val="000A61DD"/>
    <w:rsid w:val="000A6501"/>
    <w:rsid w:val="000A6677"/>
    <w:rsid w:val="000B100D"/>
    <w:rsid w:val="000C01F0"/>
    <w:rsid w:val="000C0606"/>
    <w:rsid w:val="000C3C1F"/>
    <w:rsid w:val="000E4857"/>
    <w:rsid w:val="000E5631"/>
    <w:rsid w:val="000F41CC"/>
    <w:rsid w:val="000F52D2"/>
    <w:rsid w:val="001025B9"/>
    <w:rsid w:val="0010386B"/>
    <w:rsid w:val="00105216"/>
    <w:rsid w:val="00105C1F"/>
    <w:rsid w:val="00116F87"/>
    <w:rsid w:val="0012145F"/>
    <w:rsid w:val="00124302"/>
    <w:rsid w:val="0012514F"/>
    <w:rsid w:val="00130977"/>
    <w:rsid w:val="00134DE2"/>
    <w:rsid w:val="00143211"/>
    <w:rsid w:val="00145989"/>
    <w:rsid w:val="00146AC1"/>
    <w:rsid w:val="001472BB"/>
    <w:rsid w:val="00156D26"/>
    <w:rsid w:val="001576B2"/>
    <w:rsid w:val="00161CEF"/>
    <w:rsid w:val="001640FB"/>
    <w:rsid w:val="00176A1E"/>
    <w:rsid w:val="00180956"/>
    <w:rsid w:val="00181E95"/>
    <w:rsid w:val="001821BF"/>
    <w:rsid w:val="001822A5"/>
    <w:rsid w:val="00183168"/>
    <w:rsid w:val="00192E98"/>
    <w:rsid w:val="001962E7"/>
    <w:rsid w:val="001A187F"/>
    <w:rsid w:val="001B07B0"/>
    <w:rsid w:val="001B2FAF"/>
    <w:rsid w:val="001C569F"/>
    <w:rsid w:val="001C5C52"/>
    <w:rsid w:val="001D05D0"/>
    <w:rsid w:val="001D088D"/>
    <w:rsid w:val="001F540A"/>
    <w:rsid w:val="001F6851"/>
    <w:rsid w:val="00206BDD"/>
    <w:rsid w:val="002103D4"/>
    <w:rsid w:val="00211C2A"/>
    <w:rsid w:val="002127AC"/>
    <w:rsid w:val="00212AC5"/>
    <w:rsid w:val="00213E25"/>
    <w:rsid w:val="002242FA"/>
    <w:rsid w:val="00224421"/>
    <w:rsid w:val="0023312C"/>
    <w:rsid w:val="00236A1F"/>
    <w:rsid w:val="00236EC3"/>
    <w:rsid w:val="002378D1"/>
    <w:rsid w:val="00237CBB"/>
    <w:rsid w:val="00241480"/>
    <w:rsid w:val="002601BC"/>
    <w:rsid w:val="002619BC"/>
    <w:rsid w:val="00264629"/>
    <w:rsid w:val="00277E1D"/>
    <w:rsid w:val="00281CB6"/>
    <w:rsid w:val="00283A7D"/>
    <w:rsid w:val="002865A7"/>
    <w:rsid w:val="00297F34"/>
    <w:rsid w:val="002A2761"/>
    <w:rsid w:val="002A57E1"/>
    <w:rsid w:val="002C11B8"/>
    <w:rsid w:val="002C20A9"/>
    <w:rsid w:val="002C792E"/>
    <w:rsid w:val="002C7EDD"/>
    <w:rsid w:val="002D0E11"/>
    <w:rsid w:val="002D15C0"/>
    <w:rsid w:val="00303545"/>
    <w:rsid w:val="003106E8"/>
    <w:rsid w:val="00310BA0"/>
    <w:rsid w:val="00311A98"/>
    <w:rsid w:val="00313D60"/>
    <w:rsid w:val="00315F00"/>
    <w:rsid w:val="003242F3"/>
    <w:rsid w:val="00325406"/>
    <w:rsid w:val="00331F18"/>
    <w:rsid w:val="00341C3D"/>
    <w:rsid w:val="00344CE4"/>
    <w:rsid w:val="00356C96"/>
    <w:rsid w:val="003724A9"/>
    <w:rsid w:val="003806E4"/>
    <w:rsid w:val="00380C96"/>
    <w:rsid w:val="00381886"/>
    <w:rsid w:val="003840BA"/>
    <w:rsid w:val="00384BB1"/>
    <w:rsid w:val="0039293F"/>
    <w:rsid w:val="0039769A"/>
    <w:rsid w:val="003C09A1"/>
    <w:rsid w:val="003C597A"/>
    <w:rsid w:val="003C5B73"/>
    <w:rsid w:val="003D1F99"/>
    <w:rsid w:val="003D6960"/>
    <w:rsid w:val="003E0074"/>
    <w:rsid w:val="003E65D3"/>
    <w:rsid w:val="003E7B01"/>
    <w:rsid w:val="003F6648"/>
    <w:rsid w:val="004048BE"/>
    <w:rsid w:val="00405356"/>
    <w:rsid w:val="004107E1"/>
    <w:rsid w:val="00415A39"/>
    <w:rsid w:val="00431204"/>
    <w:rsid w:val="00434B8C"/>
    <w:rsid w:val="00441983"/>
    <w:rsid w:val="00445A1D"/>
    <w:rsid w:val="0044787D"/>
    <w:rsid w:val="00456E54"/>
    <w:rsid w:val="0045708B"/>
    <w:rsid w:val="00483057"/>
    <w:rsid w:val="00490DB6"/>
    <w:rsid w:val="004911AC"/>
    <w:rsid w:val="00492541"/>
    <w:rsid w:val="004A2FF6"/>
    <w:rsid w:val="004A7FFB"/>
    <w:rsid w:val="004B18E3"/>
    <w:rsid w:val="004B2372"/>
    <w:rsid w:val="004B4C33"/>
    <w:rsid w:val="004C0656"/>
    <w:rsid w:val="004C2A0D"/>
    <w:rsid w:val="004D0911"/>
    <w:rsid w:val="004D2B01"/>
    <w:rsid w:val="004D3A23"/>
    <w:rsid w:val="004E6BE1"/>
    <w:rsid w:val="0051307F"/>
    <w:rsid w:val="005236D4"/>
    <w:rsid w:val="00526B81"/>
    <w:rsid w:val="00536583"/>
    <w:rsid w:val="00551BEB"/>
    <w:rsid w:val="0055476A"/>
    <w:rsid w:val="00555AF4"/>
    <w:rsid w:val="0056442F"/>
    <w:rsid w:val="005664B5"/>
    <w:rsid w:val="005828B6"/>
    <w:rsid w:val="0058779C"/>
    <w:rsid w:val="0059134B"/>
    <w:rsid w:val="005A02F5"/>
    <w:rsid w:val="005B2E58"/>
    <w:rsid w:val="005B5EFE"/>
    <w:rsid w:val="005C205A"/>
    <w:rsid w:val="005C6561"/>
    <w:rsid w:val="005C776C"/>
    <w:rsid w:val="005D0558"/>
    <w:rsid w:val="005D3468"/>
    <w:rsid w:val="005D4BA3"/>
    <w:rsid w:val="005D77B6"/>
    <w:rsid w:val="005E1232"/>
    <w:rsid w:val="00602A07"/>
    <w:rsid w:val="00603B95"/>
    <w:rsid w:val="00607030"/>
    <w:rsid w:val="00607492"/>
    <w:rsid w:val="00613AB1"/>
    <w:rsid w:val="00620BBC"/>
    <w:rsid w:val="00620E8D"/>
    <w:rsid w:val="00622C25"/>
    <w:rsid w:val="006312F5"/>
    <w:rsid w:val="006375D7"/>
    <w:rsid w:val="006401B6"/>
    <w:rsid w:val="00646BA3"/>
    <w:rsid w:val="00646CF3"/>
    <w:rsid w:val="00650838"/>
    <w:rsid w:val="006520F6"/>
    <w:rsid w:val="006522AF"/>
    <w:rsid w:val="00653EBA"/>
    <w:rsid w:val="00661ABC"/>
    <w:rsid w:val="0066363F"/>
    <w:rsid w:val="00672D36"/>
    <w:rsid w:val="0067313F"/>
    <w:rsid w:val="00680F9B"/>
    <w:rsid w:val="0068595A"/>
    <w:rsid w:val="0068768C"/>
    <w:rsid w:val="00687F8E"/>
    <w:rsid w:val="00690C3F"/>
    <w:rsid w:val="006934C0"/>
    <w:rsid w:val="006A089E"/>
    <w:rsid w:val="006A7647"/>
    <w:rsid w:val="006C256B"/>
    <w:rsid w:val="006C31D5"/>
    <w:rsid w:val="006D02BB"/>
    <w:rsid w:val="006D3FBC"/>
    <w:rsid w:val="006D5371"/>
    <w:rsid w:val="006D72A1"/>
    <w:rsid w:val="006D76C7"/>
    <w:rsid w:val="006E383F"/>
    <w:rsid w:val="006E5258"/>
    <w:rsid w:val="006E58CE"/>
    <w:rsid w:val="00712837"/>
    <w:rsid w:val="0071398B"/>
    <w:rsid w:val="007144E8"/>
    <w:rsid w:val="0072567D"/>
    <w:rsid w:val="00740BFA"/>
    <w:rsid w:val="00745E99"/>
    <w:rsid w:val="00746B79"/>
    <w:rsid w:val="00753D84"/>
    <w:rsid w:val="0075654B"/>
    <w:rsid w:val="007612D9"/>
    <w:rsid w:val="00767B36"/>
    <w:rsid w:val="0077037A"/>
    <w:rsid w:val="007718FA"/>
    <w:rsid w:val="00773701"/>
    <w:rsid w:val="007764E8"/>
    <w:rsid w:val="0077711C"/>
    <w:rsid w:val="00781338"/>
    <w:rsid w:val="00781861"/>
    <w:rsid w:val="007A0177"/>
    <w:rsid w:val="007A2464"/>
    <w:rsid w:val="007A5C25"/>
    <w:rsid w:val="007A65B0"/>
    <w:rsid w:val="007A6674"/>
    <w:rsid w:val="007A78EA"/>
    <w:rsid w:val="007B4710"/>
    <w:rsid w:val="007C1466"/>
    <w:rsid w:val="007C1805"/>
    <w:rsid w:val="007D1572"/>
    <w:rsid w:val="007D2DC6"/>
    <w:rsid w:val="007D7CE6"/>
    <w:rsid w:val="007E4B06"/>
    <w:rsid w:val="007E6BC7"/>
    <w:rsid w:val="007F0E6C"/>
    <w:rsid w:val="007F3B78"/>
    <w:rsid w:val="007F5708"/>
    <w:rsid w:val="00812FCC"/>
    <w:rsid w:val="008168E8"/>
    <w:rsid w:val="00823168"/>
    <w:rsid w:val="00843048"/>
    <w:rsid w:val="00852C11"/>
    <w:rsid w:val="00853941"/>
    <w:rsid w:val="00855747"/>
    <w:rsid w:val="00857997"/>
    <w:rsid w:val="0086313F"/>
    <w:rsid w:val="00863E04"/>
    <w:rsid w:val="00867C92"/>
    <w:rsid w:val="00881642"/>
    <w:rsid w:val="008843EA"/>
    <w:rsid w:val="00891E92"/>
    <w:rsid w:val="00893AB5"/>
    <w:rsid w:val="008B5005"/>
    <w:rsid w:val="008B5207"/>
    <w:rsid w:val="008C124D"/>
    <w:rsid w:val="008C1ECF"/>
    <w:rsid w:val="008C7E8C"/>
    <w:rsid w:val="008E1B1C"/>
    <w:rsid w:val="008E2208"/>
    <w:rsid w:val="008E68FB"/>
    <w:rsid w:val="008F1412"/>
    <w:rsid w:val="008F23AB"/>
    <w:rsid w:val="008F5ECF"/>
    <w:rsid w:val="00902F95"/>
    <w:rsid w:val="00903469"/>
    <w:rsid w:val="00904D5E"/>
    <w:rsid w:val="00906E2C"/>
    <w:rsid w:val="00911EEE"/>
    <w:rsid w:val="00925ED2"/>
    <w:rsid w:val="00926524"/>
    <w:rsid w:val="00930579"/>
    <w:rsid w:val="009401DE"/>
    <w:rsid w:val="009407F1"/>
    <w:rsid w:val="009433BB"/>
    <w:rsid w:val="00943A31"/>
    <w:rsid w:val="009447FE"/>
    <w:rsid w:val="009458DD"/>
    <w:rsid w:val="00947439"/>
    <w:rsid w:val="009511AD"/>
    <w:rsid w:val="009575D9"/>
    <w:rsid w:val="00964F9A"/>
    <w:rsid w:val="00967D8F"/>
    <w:rsid w:val="00973CAD"/>
    <w:rsid w:val="009A0C11"/>
    <w:rsid w:val="009A3BD2"/>
    <w:rsid w:val="009A6BD8"/>
    <w:rsid w:val="009B547E"/>
    <w:rsid w:val="009C150A"/>
    <w:rsid w:val="009C297E"/>
    <w:rsid w:val="009C3424"/>
    <w:rsid w:val="009C3533"/>
    <w:rsid w:val="009D7EC2"/>
    <w:rsid w:val="009E07C7"/>
    <w:rsid w:val="009E1A51"/>
    <w:rsid w:val="00A05703"/>
    <w:rsid w:val="00A14B68"/>
    <w:rsid w:val="00A23089"/>
    <w:rsid w:val="00A31470"/>
    <w:rsid w:val="00A32644"/>
    <w:rsid w:val="00A44E9E"/>
    <w:rsid w:val="00A46310"/>
    <w:rsid w:val="00A54D57"/>
    <w:rsid w:val="00A72092"/>
    <w:rsid w:val="00A72375"/>
    <w:rsid w:val="00A73A6E"/>
    <w:rsid w:val="00A749FF"/>
    <w:rsid w:val="00A85E16"/>
    <w:rsid w:val="00A93F6E"/>
    <w:rsid w:val="00A94C4F"/>
    <w:rsid w:val="00A952DF"/>
    <w:rsid w:val="00A96E60"/>
    <w:rsid w:val="00AA2712"/>
    <w:rsid w:val="00AA4B15"/>
    <w:rsid w:val="00AD30F3"/>
    <w:rsid w:val="00B06385"/>
    <w:rsid w:val="00B12C3A"/>
    <w:rsid w:val="00B14BB4"/>
    <w:rsid w:val="00B204D0"/>
    <w:rsid w:val="00B247C4"/>
    <w:rsid w:val="00B316B4"/>
    <w:rsid w:val="00B37483"/>
    <w:rsid w:val="00B435B7"/>
    <w:rsid w:val="00B535A0"/>
    <w:rsid w:val="00B54006"/>
    <w:rsid w:val="00B76BF1"/>
    <w:rsid w:val="00B77B11"/>
    <w:rsid w:val="00B936EE"/>
    <w:rsid w:val="00BA19B1"/>
    <w:rsid w:val="00BA3ABB"/>
    <w:rsid w:val="00BA5924"/>
    <w:rsid w:val="00BC410E"/>
    <w:rsid w:val="00BD4B35"/>
    <w:rsid w:val="00BD51D8"/>
    <w:rsid w:val="00BE2CED"/>
    <w:rsid w:val="00BF007E"/>
    <w:rsid w:val="00C03F1F"/>
    <w:rsid w:val="00C06CCE"/>
    <w:rsid w:val="00C072E7"/>
    <w:rsid w:val="00C11EF3"/>
    <w:rsid w:val="00C13030"/>
    <w:rsid w:val="00C13DE5"/>
    <w:rsid w:val="00C23A8F"/>
    <w:rsid w:val="00C27507"/>
    <w:rsid w:val="00C40A55"/>
    <w:rsid w:val="00C44E17"/>
    <w:rsid w:val="00C566A9"/>
    <w:rsid w:val="00C636CB"/>
    <w:rsid w:val="00C63E1D"/>
    <w:rsid w:val="00C7022A"/>
    <w:rsid w:val="00C7633A"/>
    <w:rsid w:val="00C76593"/>
    <w:rsid w:val="00C957BB"/>
    <w:rsid w:val="00CA1D98"/>
    <w:rsid w:val="00CA3A8D"/>
    <w:rsid w:val="00CA49E2"/>
    <w:rsid w:val="00CA4B5C"/>
    <w:rsid w:val="00CA74FB"/>
    <w:rsid w:val="00CB0912"/>
    <w:rsid w:val="00CB31C4"/>
    <w:rsid w:val="00CD2CA4"/>
    <w:rsid w:val="00CE12B4"/>
    <w:rsid w:val="00CE2BCF"/>
    <w:rsid w:val="00CF23B4"/>
    <w:rsid w:val="00CF77EA"/>
    <w:rsid w:val="00D06115"/>
    <w:rsid w:val="00D20CF0"/>
    <w:rsid w:val="00D24C9F"/>
    <w:rsid w:val="00D32DEC"/>
    <w:rsid w:val="00D340C2"/>
    <w:rsid w:val="00D34AFF"/>
    <w:rsid w:val="00D40E51"/>
    <w:rsid w:val="00D42E55"/>
    <w:rsid w:val="00D45963"/>
    <w:rsid w:val="00D57749"/>
    <w:rsid w:val="00D60C16"/>
    <w:rsid w:val="00D64B64"/>
    <w:rsid w:val="00D659ED"/>
    <w:rsid w:val="00D71C9F"/>
    <w:rsid w:val="00D75010"/>
    <w:rsid w:val="00D83E64"/>
    <w:rsid w:val="00D916AB"/>
    <w:rsid w:val="00D946BC"/>
    <w:rsid w:val="00D97E77"/>
    <w:rsid w:val="00DA7BF0"/>
    <w:rsid w:val="00DA7D73"/>
    <w:rsid w:val="00DC2FDC"/>
    <w:rsid w:val="00DC4697"/>
    <w:rsid w:val="00DC4EC3"/>
    <w:rsid w:val="00DD013E"/>
    <w:rsid w:val="00DD35CB"/>
    <w:rsid w:val="00DD557C"/>
    <w:rsid w:val="00DD6DF4"/>
    <w:rsid w:val="00DE1C11"/>
    <w:rsid w:val="00DF2AD2"/>
    <w:rsid w:val="00DF75AC"/>
    <w:rsid w:val="00E03608"/>
    <w:rsid w:val="00E03701"/>
    <w:rsid w:val="00E071C2"/>
    <w:rsid w:val="00E229C9"/>
    <w:rsid w:val="00E25212"/>
    <w:rsid w:val="00E31693"/>
    <w:rsid w:val="00E41C08"/>
    <w:rsid w:val="00E5446C"/>
    <w:rsid w:val="00E5516B"/>
    <w:rsid w:val="00E57D82"/>
    <w:rsid w:val="00E6180B"/>
    <w:rsid w:val="00E627A2"/>
    <w:rsid w:val="00E63085"/>
    <w:rsid w:val="00E80133"/>
    <w:rsid w:val="00E823F8"/>
    <w:rsid w:val="00E86219"/>
    <w:rsid w:val="00EA1090"/>
    <w:rsid w:val="00EC5CCA"/>
    <w:rsid w:val="00ED11C3"/>
    <w:rsid w:val="00EF2FF7"/>
    <w:rsid w:val="00EF31F0"/>
    <w:rsid w:val="00EF3C0F"/>
    <w:rsid w:val="00F01015"/>
    <w:rsid w:val="00F13809"/>
    <w:rsid w:val="00F14A8A"/>
    <w:rsid w:val="00F17386"/>
    <w:rsid w:val="00F24C7D"/>
    <w:rsid w:val="00F317F9"/>
    <w:rsid w:val="00F33C21"/>
    <w:rsid w:val="00F42DB2"/>
    <w:rsid w:val="00F45FAD"/>
    <w:rsid w:val="00F53A32"/>
    <w:rsid w:val="00F57B38"/>
    <w:rsid w:val="00F631C1"/>
    <w:rsid w:val="00F651CF"/>
    <w:rsid w:val="00F74792"/>
    <w:rsid w:val="00F7791E"/>
    <w:rsid w:val="00F80244"/>
    <w:rsid w:val="00F8496A"/>
    <w:rsid w:val="00F918F5"/>
    <w:rsid w:val="00F96D22"/>
    <w:rsid w:val="00FA5415"/>
    <w:rsid w:val="00FA60C2"/>
    <w:rsid w:val="00FA7A19"/>
    <w:rsid w:val="00FB4542"/>
    <w:rsid w:val="00FB6657"/>
    <w:rsid w:val="00FD40D8"/>
    <w:rsid w:val="016227A7"/>
    <w:rsid w:val="01F65559"/>
    <w:rsid w:val="02D435F7"/>
    <w:rsid w:val="034C15AE"/>
    <w:rsid w:val="04AC41B2"/>
    <w:rsid w:val="062A39F0"/>
    <w:rsid w:val="066459F8"/>
    <w:rsid w:val="06E81FA0"/>
    <w:rsid w:val="07565BDB"/>
    <w:rsid w:val="079857ED"/>
    <w:rsid w:val="07DF12BE"/>
    <w:rsid w:val="0826199E"/>
    <w:rsid w:val="08D12404"/>
    <w:rsid w:val="0903374A"/>
    <w:rsid w:val="095A2027"/>
    <w:rsid w:val="0ACB41AC"/>
    <w:rsid w:val="0BD25EA5"/>
    <w:rsid w:val="0C2E74A0"/>
    <w:rsid w:val="0C4C2484"/>
    <w:rsid w:val="0C6F41D3"/>
    <w:rsid w:val="0CA7562C"/>
    <w:rsid w:val="0DBF21EB"/>
    <w:rsid w:val="0E1204E4"/>
    <w:rsid w:val="0F257DD2"/>
    <w:rsid w:val="0F8E47D8"/>
    <w:rsid w:val="101A602E"/>
    <w:rsid w:val="111556E9"/>
    <w:rsid w:val="11502A77"/>
    <w:rsid w:val="115068E8"/>
    <w:rsid w:val="122B0A80"/>
    <w:rsid w:val="129C68F6"/>
    <w:rsid w:val="139D4FEA"/>
    <w:rsid w:val="13FA3249"/>
    <w:rsid w:val="140212F1"/>
    <w:rsid w:val="14767897"/>
    <w:rsid w:val="154E49D2"/>
    <w:rsid w:val="157A633B"/>
    <w:rsid w:val="15897F1C"/>
    <w:rsid w:val="15A765F4"/>
    <w:rsid w:val="17201A79"/>
    <w:rsid w:val="181F1E09"/>
    <w:rsid w:val="1905578D"/>
    <w:rsid w:val="192D429F"/>
    <w:rsid w:val="193B4ACA"/>
    <w:rsid w:val="19A476CC"/>
    <w:rsid w:val="1B2A1E9F"/>
    <w:rsid w:val="1BA11C9A"/>
    <w:rsid w:val="1BE75042"/>
    <w:rsid w:val="1C623A13"/>
    <w:rsid w:val="1D1A408D"/>
    <w:rsid w:val="1D3C6BE8"/>
    <w:rsid w:val="1D941C08"/>
    <w:rsid w:val="20E77E40"/>
    <w:rsid w:val="20FF420A"/>
    <w:rsid w:val="217F2959"/>
    <w:rsid w:val="221E6708"/>
    <w:rsid w:val="2293086B"/>
    <w:rsid w:val="2299614F"/>
    <w:rsid w:val="238504A7"/>
    <w:rsid w:val="23CA582F"/>
    <w:rsid w:val="245549D4"/>
    <w:rsid w:val="26232F7A"/>
    <w:rsid w:val="26BB4C94"/>
    <w:rsid w:val="26C86E2D"/>
    <w:rsid w:val="26CD2304"/>
    <w:rsid w:val="28CC7BD4"/>
    <w:rsid w:val="291011D3"/>
    <w:rsid w:val="295C0267"/>
    <w:rsid w:val="2A971898"/>
    <w:rsid w:val="2AB04714"/>
    <w:rsid w:val="2AB0609F"/>
    <w:rsid w:val="2AF16CBC"/>
    <w:rsid w:val="2B5865A8"/>
    <w:rsid w:val="2B597123"/>
    <w:rsid w:val="2BA44B45"/>
    <w:rsid w:val="2BC50318"/>
    <w:rsid w:val="2BE170D9"/>
    <w:rsid w:val="2CF55662"/>
    <w:rsid w:val="2CFD1237"/>
    <w:rsid w:val="2D582633"/>
    <w:rsid w:val="2D706FC7"/>
    <w:rsid w:val="2DC0604D"/>
    <w:rsid w:val="2E2A1009"/>
    <w:rsid w:val="2E544297"/>
    <w:rsid w:val="2EBD258D"/>
    <w:rsid w:val="2EC829EE"/>
    <w:rsid w:val="2F615877"/>
    <w:rsid w:val="31200CA6"/>
    <w:rsid w:val="31961ECA"/>
    <w:rsid w:val="347D4D5E"/>
    <w:rsid w:val="351C2935"/>
    <w:rsid w:val="35E367A5"/>
    <w:rsid w:val="35FA05D2"/>
    <w:rsid w:val="36EB7528"/>
    <w:rsid w:val="37C97989"/>
    <w:rsid w:val="381D18E0"/>
    <w:rsid w:val="38747252"/>
    <w:rsid w:val="39E445FA"/>
    <w:rsid w:val="39E94F55"/>
    <w:rsid w:val="3A1F6B35"/>
    <w:rsid w:val="3BA52FD6"/>
    <w:rsid w:val="3BEA6F12"/>
    <w:rsid w:val="3C3A7B84"/>
    <w:rsid w:val="3DAB14DE"/>
    <w:rsid w:val="3DC2317B"/>
    <w:rsid w:val="3DF6228E"/>
    <w:rsid w:val="3E6E6EE3"/>
    <w:rsid w:val="3ECB374E"/>
    <w:rsid w:val="3F596D80"/>
    <w:rsid w:val="41116C08"/>
    <w:rsid w:val="4131617D"/>
    <w:rsid w:val="415E7320"/>
    <w:rsid w:val="4238169B"/>
    <w:rsid w:val="433B5A81"/>
    <w:rsid w:val="433D1CFC"/>
    <w:rsid w:val="43C63189"/>
    <w:rsid w:val="441E50AF"/>
    <w:rsid w:val="44611301"/>
    <w:rsid w:val="44876382"/>
    <w:rsid w:val="44EE22F5"/>
    <w:rsid w:val="455A02F9"/>
    <w:rsid w:val="45BC0BF3"/>
    <w:rsid w:val="46846A96"/>
    <w:rsid w:val="482C6361"/>
    <w:rsid w:val="48AB1295"/>
    <w:rsid w:val="48BF3365"/>
    <w:rsid w:val="49001364"/>
    <w:rsid w:val="49525ECF"/>
    <w:rsid w:val="497B74D7"/>
    <w:rsid w:val="49843F21"/>
    <w:rsid w:val="4992755D"/>
    <w:rsid w:val="49ED26FF"/>
    <w:rsid w:val="4A713467"/>
    <w:rsid w:val="4B16020F"/>
    <w:rsid w:val="4BD71D7A"/>
    <w:rsid w:val="4BDD6AC0"/>
    <w:rsid w:val="4C2D771F"/>
    <w:rsid w:val="4C774981"/>
    <w:rsid w:val="4D746FF3"/>
    <w:rsid w:val="4D755F55"/>
    <w:rsid w:val="4F002426"/>
    <w:rsid w:val="4F1B1008"/>
    <w:rsid w:val="4F9A256D"/>
    <w:rsid w:val="4F9B5194"/>
    <w:rsid w:val="4FCA5809"/>
    <w:rsid w:val="500C35CF"/>
    <w:rsid w:val="50905708"/>
    <w:rsid w:val="50D47A7A"/>
    <w:rsid w:val="512A3E35"/>
    <w:rsid w:val="51D32881"/>
    <w:rsid w:val="52280D22"/>
    <w:rsid w:val="54444652"/>
    <w:rsid w:val="545B4D44"/>
    <w:rsid w:val="54B63481"/>
    <w:rsid w:val="551419F1"/>
    <w:rsid w:val="562E6417"/>
    <w:rsid w:val="56522EA6"/>
    <w:rsid w:val="567B5D97"/>
    <w:rsid w:val="56F677F5"/>
    <w:rsid w:val="586E5A81"/>
    <w:rsid w:val="58AD4CF7"/>
    <w:rsid w:val="5A85128E"/>
    <w:rsid w:val="5C881CAA"/>
    <w:rsid w:val="5CC23DA2"/>
    <w:rsid w:val="5CD85DF8"/>
    <w:rsid w:val="5D30225E"/>
    <w:rsid w:val="5D7E3DFC"/>
    <w:rsid w:val="5DAE448D"/>
    <w:rsid w:val="5ECA775E"/>
    <w:rsid w:val="5EFC5C4A"/>
    <w:rsid w:val="5F046EB4"/>
    <w:rsid w:val="5F187BC0"/>
    <w:rsid w:val="5F940FEE"/>
    <w:rsid w:val="5FAB2DF5"/>
    <w:rsid w:val="61D4140B"/>
    <w:rsid w:val="626E0F8A"/>
    <w:rsid w:val="63164569"/>
    <w:rsid w:val="63231B53"/>
    <w:rsid w:val="6367712A"/>
    <w:rsid w:val="636C30B8"/>
    <w:rsid w:val="63707B51"/>
    <w:rsid w:val="6375036A"/>
    <w:rsid w:val="63EB22CC"/>
    <w:rsid w:val="644545DB"/>
    <w:rsid w:val="646405B2"/>
    <w:rsid w:val="655B3960"/>
    <w:rsid w:val="656E4E38"/>
    <w:rsid w:val="65AB451A"/>
    <w:rsid w:val="66C13CC1"/>
    <w:rsid w:val="6725109E"/>
    <w:rsid w:val="676F3BD3"/>
    <w:rsid w:val="67901777"/>
    <w:rsid w:val="682676EC"/>
    <w:rsid w:val="698D37BB"/>
    <w:rsid w:val="6A517888"/>
    <w:rsid w:val="6B4B692C"/>
    <w:rsid w:val="6B573E5E"/>
    <w:rsid w:val="6D4A7EB2"/>
    <w:rsid w:val="6DE36C79"/>
    <w:rsid w:val="6DEF2C5C"/>
    <w:rsid w:val="6E7D2FC2"/>
    <w:rsid w:val="6F1B5229"/>
    <w:rsid w:val="707100C2"/>
    <w:rsid w:val="70CA4BD0"/>
    <w:rsid w:val="70E656B8"/>
    <w:rsid w:val="72622FAC"/>
    <w:rsid w:val="727045ED"/>
    <w:rsid w:val="728F23CF"/>
    <w:rsid w:val="72AA4416"/>
    <w:rsid w:val="72D27A68"/>
    <w:rsid w:val="72E774C3"/>
    <w:rsid w:val="733A5AD1"/>
    <w:rsid w:val="73835D1A"/>
    <w:rsid w:val="74B14519"/>
    <w:rsid w:val="74B3733F"/>
    <w:rsid w:val="74DB6AF9"/>
    <w:rsid w:val="74DF6C33"/>
    <w:rsid w:val="75055A94"/>
    <w:rsid w:val="75D731BC"/>
    <w:rsid w:val="75E35580"/>
    <w:rsid w:val="763B3A90"/>
    <w:rsid w:val="76A26563"/>
    <w:rsid w:val="77B94427"/>
    <w:rsid w:val="7887421A"/>
    <w:rsid w:val="7AE37D59"/>
    <w:rsid w:val="7AED58D0"/>
    <w:rsid w:val="7BA61C9C"/>
    <w:rsid w:val="7D4638A1"/>
    <w:rsid w:val="7EB4528A"/>
    <w:rsid w:val="7EB539EB"/>
    <w:rsid w:val="7EBD0694"/>
    <w:rsid w:val="7F265E6D"/>
    <w:rsid w:val="7F281D9F"/>
    <w:rsid w:val="7F57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12">
    <w:name w:val="toc 7"/>
    <w:basedOn w:val="13"/>
    <w:semiHidden/>
    <w:qFormat/>
    <w:uiPriority w:val="0"/>
  </w:style>
  <w:style w:type="paragraph" w:styleId="13">
    <w:name w:val="toc 6"/>
    <w:basedOn w:val="14"/>
    <w:semiHidden/>
    <w:qFormat/>
    <w:uiPriority w:val="0"/>
  </w:style>
  <w:style w:type="paragraph" w:styleId="14">
    <w:name w:val="toc 5"/>
    <w:basedOn w:val="15"/>
    <w:semiHidden/>
    <w:qFormat/>
    <w:uiPriority w:val="0"/>
  </w:style>
  <w:style w:type="paragraph" w:styleId="15">
    <w:name w:val="toc 4"/>
    <w:basedOn w:val="16"/>
    <w:semiHidden/>
    <w:qFormat/>
    <w:uiPriority w:val="0"/>
  </w:style>
  <w:style w:type="paragraph" w:styleId="16">
    <w:name w:val="toc 3"/>
    <w:basedOn w:val="17"/>
    <w:semiHidden/>
    <w:qFormat/>
    <w:uiPriority w:val="0"/>
  </w:style>
  <w:style w:type="paragraph" w:styleId="17">
    <w:name w:val="toc 2"/>
    <w:basedOn w:val="18"/>
    <w:semiHidden/>
    <w:qFormat/>
    <w:uiPriority w:val="0"/>
  </w:style>
  <w:style w:type="paragraph" w:styleId="18">
    <w:name w:val="toc 1"/>
    <w:semiHidden/>
    <w:qFormat/>
    <w:uiPriority w:val="0"/>
    <w:pPr>
      <w:jc w:val="both"/>
    </w:pPr>
    <w:rPr>
      <w:rFonts w:ascii="宋体" w:hAnsi="Times New Roman" w:eastAsia="宋体" w:cs="Times New Roman"/>
      <w:sz w:val="21"/>
      <w:lang w:val="en-US" w:eastAsia="zh-CN" w:bidi="ar-SA"/>
    </w:rPr>
  </w:style>
  <w:style w:type="paragraph" w:styleId="19">
    <w:name w:val="annotation text"/>
    <w:basedOn w:val="1"/>
    <w:qFormat/>
    <w:uiPriority w:val="0"/>
    <w:pPr>
      <w:jc w:val="left"/>
    </w:pPr>
  </w:style>
  <w:style w:type="paragraph" w:styleId="20">
    <w:name w:val="Body Text"/>
    <w:basedOn w:val="1"/>
    <w:qFormat/>
    <w:uiPriority w:val="0"/>
    <w:pPr>
      <w:spacing w:after="120" w:line="312" w:lineRule="auto"/>
      <w:ind w:firstLine="883" w:firstLineChars="200"/>
    </w:pPr>
  </w:style>
  <w:style w:type="paragraph" w:styleId="21">
    <w:name w:val="HTML Address"/>
    <w:basedOn w:val="1"/>
    <w:qFormat/>
    <w:uiPriority w:val="0"/>
    <w:rPr>
      <w:i/>
      <w:iCs/>
    </w:rPr>
  </w:style>
  <w:style w:type="paragraph" w:styleId="22">
    <w:name w:val="Plain Text"/>
    <w:basedOn w:val="1"/>
    <w:qFormat/>
    <w:uiPriority w:val="0"/>
    <w:rPr>
      <w:rFonts w:ascii="宋体" w:hAnsi="Courier New" w:cs="Courier New"/>
      <w:szCs w:val="21"/>
    </w:rPr>
  </w:style>
  <w:style w:type="paragraph" w:styleId="23">
    <w:name w:val="toc 8"/>
    <w:basedOn w:val="12"/>
    <w:semiHidden/>
    <w:qFormat/>
    <w:uiPriority w:val="0"/>
  </w:style>
  <w:style w:type="paragraph" w:styleId="24">
    <w:name w:val="Date"/>
    <w:basedOn w:val="1"/>
    <w:next w:val="1"/>
    <w:qFormat/>
    <w:uiPriority w:val="0"/>
    <w:pPr>
      <w:ind w:left="100" w:leftChars="2500"/>
    </w:pPr>
  </w:style>
  <w:style w:type="paragraph" w:styleId="25">
    <w:name w:val="Balloon Text"/>
    <w:basedOn w:val="1"/>
    <w:link w:val="50"/>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qFormat/>
    <w:uiPriority w:val="0"/>
    <w:pPr>
      <w:ind w:firstLine="420" w:firstLineChars="200"/>
    </w:pPr>
    <w:rPr>
      <w:szCs w:val="18"/>
    </w:rPr>
  </w:style>
  <w:style w:type="paragraph" w:styleId="30">
    <w:name w:val="toc 9"/>
    <w:basedOn w:val="23"/>
    <w:semiHidden/>
    <w:qFormat/>
    <w:uiPriority w:val="0"/>
  </w:style>
  <w:style w:type="paragraph" w:styleId="31">
    <w:name w:val="HTML Preformatted"/>
    <w:basedOn w:val="1"/>
    <w:qFormat/>
    <w:uiPriority w:val="0"/>
    <w:rPr>
      <w:rFonts w:ascii="Courier New" w:hAnsi="Courier New" w:cs="Courier New"/>
      <w:sz w:val="20"/>
      <w:szCs w:val="20"/>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Title"/>
    <w:basedOn w:val="1"/>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qFormat/>
    <w:uiPriority w:val="0"/>
  </w:style>
  <w:style w:type="character" w:styleId="42">
    <w:name w:val="HTML Variable"/>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vertAlign w:val="baseline"/>
    </w:rPr>
  </w:style>
  <w:style w:type="character" w:styleId="44">
    <w:name w:val="HTML Code"/>
    <w:qFormat/>
    <w:uiPriority w:val="0"/>
    <w:rPr>
      <w:rFonts w:ascii="Courier New" w:hAnsi="Courier New"/>
      <w:sz w:val="20"/>
      <w:szCs w:val="20"/>
    </w:rPr>
  </w:style>
  <w:style w:type="character" w:styleId="45">
    <w:name w:val="annotation reference"/>
    <w:basedOn w:val="36"/>
    <w:qFormat/>
    <w:uiPriority w:val="0"/>
    <w:rPr>
      <w:sz w:val="21"/>
      <w:szCs w:val="21"/>
    </w:rPr>
  </w:style>
  <w:style w:type="character" w:styleId="46">
    <w:name w:val="HTML Cite"/>
    <w:qFormat/>
    <w:uiPriority w:val="0"/>
    <w:rPr>
      <w:i/>
      <w:iCs/>
    </w:rPr>
  </w:style>
  <w:style w:type="character" w:styleId="47">
    <w:name w:val="footnote reference"/>
    <w:semiHidden/>
    <w:qFormat/>
    <w:uiPriority w:val="0"/>
    <w:rPr>
      <w:vertAlign w:val="superscript"/>
    </w:rPr>
  </w:style>
  <w:style w:type="character" w:styleId="48">
    <w:name w:val="HTML Keyboard"/>
    <w:qFormat/>
    <w:uiPriority w:val="0"/>
    <w:rPr>
      <w:rFonts w:ascii="Courier New" w:hAnsi="Courier New"/>
      <w:sz w:val="20"/>
      <w:szCs w:val="20"/>
    </w:rPr>
  </w:style>
  <w:style w:type="character" w:styleId="49">
    <w:name w:val="HTML Sample"/>
    <w:qFormat/>
    <w:uiPriority w:val="0"/>
    <w:rPr>
      <w:rFonts w:ascii="Courier New" w:hAnsi="Courier New"/>
    </w:rPr>
  </w:style>
  <w:style w:type="character" w:customStyle="1" w:styleId="50">
    <w:name w:val="批注框文本 字符"/>
    <w:link w:val="25"/>
    <w:qFormat/>
    <w:uiPriority w:val="0"/>
    <w:rPr>
      <w:kern w:val="2"/>
      <w:sz w:val="18"/>
      <w:szCs w:val="18"/>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标准书眉_偶数页"/>
    <w:basedOn w:val="55"/>
    <w:next w:val="1"/>
    <w:qFormat/>
    <w:uiPriority w:val="0"/>
    <w:pPr>
      <w:jc w:val="left"/>
    </w:p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参考文献、索引标题"/>
    <w:basedOn w:val="58"/>
    <w:next w:val="1"/>
    <w:qFormat/>
    <w:uiPriority w:val="0"/>
    <w:pPr>
      <w:numPr>
        <w:numId w:val="0"/>
      </w:numPr>
      <w:spacing w:after="200"/>
    </w:pPr>
    <w:rPr>
      <w:sz w:val="21"/>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章标题"/>
    <w:next w:val="6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一级条标题"/>
    <w:basedOn w:val="61"/>
    <w:next w:val="60"/>
    <w:qFormat/>
    <w:uiPriority w:val="0"/>
    <w:pPr>
      <w:numPr>
        <w:ilvl w:val="2"/>
      </w:numPr>
      <w:outlineLvl w:val="2"/>
    </w:pPr>
  </w:style>
  <w:style w:type="paragraph" w:customStyle="1" w:styleId="63">
    <w:name w:val="二级条标题"/>
    <w:basedOn w:val="62"/>
    <w:next w:val="60"/>
    <w:qFormat/>
    <w:uiPriority w:val="0"/>
    <w:pPr>
      <w:numPr>
        <w:ilvl w:val="3"/>
      </w:numPr>
      <w:outlineLvl w:val="3"/>
    </w:pPr>
  </w:style>
  <w:style w:type="character" w:customStyle="1" w:styleId="64">
    <w:name w:val="发布"/>
    <w:qFormat/>
    <w:uiPriority w:val="0"/>
    <w:rPr>
      <w:rFonts w:ascii="黑体" w:eastAsia="黑体"/>
      <w:spacing w:val="22"/>
      <w:w w:val="100"/>
      <w:position w:val="3"/>
      <w:sz w:val="28"/>
    </w:rPr>
  </w:style>
  <w:style w:type="paragraph" w:customStyle="1" w:styleId="65">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8">
    <w:name w:val="封面标准号2"/>
    <w:basedOn w:val="67"/>
    <w:qFormat/>
    <w:uiPriority w:val="0"/>
    <w:pPr>
      <w:framePr w:w="9138" w:h="1244" w:hRule="exact" w:wrap="auto" w:vAnchor="page" w:hAnchor="margin" w:y="2908"/>
      <w:adjustRightInd w:val="0"/>
      <w:spacing w:before="357" w:line="280" w:lineRule="exact"/>
    </w:pPr>
  </w:style>
  <w:style w:type="paragraph" w:customStyle="1" w:styleId="69">
    <w:name w:val="封面标准代替信息"/>
    <w:basedOn w:val="68"/>
    <w:qFormat/>
    <w:uiPriority w:val="0"/>
    <w:pPr>
      <w:spacing w:before="57"/>
    </w:pPr>
    <w:rPr>
      <w:rFonts w:ascii="宋体"/>
      <w:sz w:val="21"/>
    </w:rPr>
  </w:style>
  <w:style w:type="paragraph" w:customStyle="1" w:styleId="7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58"/>
    <w:qFormat/>
    <w:uiPriority w:val="0"/>
    <w:pPr>
      <w:numPr>
        <w:ilvl w:val="0"/>
        <w:numId w:val="2"/>
      </w:numPr>
      <w:tabs>
        <w:tab w:val="left" w:pos="6405"/>
      </w:tabs>
      <w:spacing w:after="200"/>
    </w:pPr>
    <w:rPr>
      <w:sz w:val="21"/>
    </w:rPr>
  </w:style>
  <w:style w:type="paragraph" w:customStyle="1" w:styleId="77">
    <w:name w:val="附录表标题"/>
    <w:next w:val="6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8">
    <w:name w:val="附录章标题"/>
    <w:next w:val="60"/>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附录一级条标题"/>
    <w:basedOn w:val="78"/>
    <w:next w:val="60"/>
    <w:qFormat/>
    <w:uiPriority w:val="0"/>
    <w:pPr>
      <w:numPr>
        <w:ilvl w:val="2"/>
      </w:numPr>
      <w:autoSpaceDN w:val="0"/>
      <w:spacing w:before="0" w:beforeLines="0" w:after="0" w:afterLines="0"/>
      <w:outlineLvl w:val="2"/>
    </w:pPr>
  </w:style>
  <w:style w:type="paragraph" w:customStyle="1" w:styleId="80">
    <w:name w:val="附录二级条标题"/>
    <w:basedOn w:val="79"/>
    <w:next w:val="60"/>
    <w:qFormat/>
    <w:uiPriority w:val="0"/>
    <w:pPr>
      <w:numPr>
        <w:ilvl w:val="3"/>
      </w:numPr>
      <w:outlineLvl w:val="3"/>
    </w:pPr>
  </w:style>
  <w:style w:type="paragraph" w:customStyle="1" w:styleId="81">
    <w:name w:val="附录三级条标题"/>
    <w:basedOn w:val="80"/>
    <w:next w:val="60"/>
    <w:qFormat/>
    <w:uiPriority w:val="0"/>
    <w:pPr>
      <w:numPr>
        <w:ilvl w:val="4"/>
      </w:numPr>
      <w:outlineLvl w:val="4"/>
    </w:pPr>
  </w:style>
  <w:style w:type="paragraph" w:customStyle="1" w:styleId="82">
    <w:name w:val="附录四级条标题"/>
    <w:basedOn w:val="81"/>
    <w:next w:val="60"/>
    <w:qFormat/>
    <w:uiPriority w:val="0"/>
    <w:pPr>
      <w:numPr>
        <w:ilvl w:val="5"/>
      </w:numPr>
      <w:outlineLvl w:val="5"/>
    </w:pPr>
  </w:style>
  <w:style w:type="paragraph" w:customStyle="1" w:styleId="83">
    <w:name w:val="附录图标题"/>
    <w:next w:val="6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4">
    <w:name w:val="附录五级条标题"/>
    <w:basedOn w:val="82"/>
    <w:next w:val="60"/>
    <w:qFormat/>
    <w:uiPriority w:val="0"/>
    <w:pPr>
      <w:numPr>
        <w:ilvl w:val="6"/>
      </w:numPr>
      <w:outlineLvl w:val="6"/>
    </w:pPr>
  </w:style>
  <w:style w:type="character" w:customStyle="1" w:styleId="85">
    <w:name w:val="个人答复风格"/>
    <w:qFormat/>
    <w:uiPriority w:val="0"/>
    <w:rPr>
      <w:rFonts w:ascii="Arial" w:hAnsi="Arial" w:eastAsia="宋体" w:cs="Arial"/>
      <w:color w:val="auto"/>
      <w:sz w:val="20"/>
    </w:rPr>
  </w:style>
  <w:style w:type="character" w:customStyle="1" w:styleId="86">
    <w:name w:val="个人撰写风格"/>
    <w:qFormat/>
    <w:uiPriority w:val="0"/>
    <w:rPr>
      <w:rFonts w:ascii="Arial" w:hAnsi="Arial" w:eastAsia="宋体" w:cs="Arial"/>
      <w:color w:val="auto"/>
      <w:sz w:val="20"/>
    </w:rPr>
  </w:style>
  <w:style w:type="paragraph" w:customStyle="1" w:styleId="87">
    <w:name w:val="列项——（一级）"/>
    <w:link w:val="88"/>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88">
    <w:name w:val="列项——（一级） Char"/>
    <w:link w:val="87"/>
    <w:qFormat/>
    <w:locked/>
    <w:uiPriority w:val="0"/>
    <w:rPr>
      <w:rFonts w:ascii="宋体" w:eastAsia="宋体"/>
      <w:sz w:val="21"/>
      <w:lang w:val="en-US" w:eastAsia="zh-CN" w:bidi="ar-SA"/>
    </w:rPr>
  </w:style>
  <w:style w:type="paragraph" w:customStyle="1" w:styleId="89">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0">
    <w:name w:val="目次、标准名称标题"/>
    <w:basedOn w:val="58"/>
    <w:next w:val="60"/>
    <w:qFormat/>
    <w:uiPriority w:val="0"/>
    <w:p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5"/>
    <w:qFormat/>
    <w:uiPriority w:val="0"/>
    <w:pPr>
      <w:framePr w:wrap="around"/>
      <w:spacing w:line="0" w:lineRule="atLeast"/>
    </w:pPr>
    <w:rPr>
      <w:rFonts w:ascii="黑体" w:eastAsia="黑体"/>
      <w:b w:val="0"/>
    </w:rPr>
  </w:style>
  <w:style w:type="paragraph" w:customStyle="1" w:styleId="94">
    <w:name w:val="三级条标题"/>
    <w:basedOn w:val="63"/>
    <w:next w:val="60"/>
    <w:qFormat/>
    <w:uiPriority w:val="0"/>
    <w:pPr>
      <w:numPr>
        <w:ilvl w:val="4"/>
      </w:numPr>
      <w:outlineLvl w:val="4"/>
    </w:pPr>
  </w:style>
  <w:style w:type="paragraph" w:customStyle="1" w:styleId="95">
    <w:name w:val="实施日期"/>
    <w:basedOn w:val="66"/>
    <w:qFormat/>
    <w:uiPriority w:val="0"/>
    <w:pPr>
      <w:framePr w:hSpace="0" w:wrap="around" w:xAlign="right"/>
      <w:jc w:val="right"/>
    </w:pPr>
  </w:style>
  <w:style w:type="paragraph" w:customStyle="1" w:styleId="96">
    <w:name w:val="示例"/>
    <w:next w:val="60"/>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四级条标题"/>
    <w:basedOn w:val="94"/>
    <w:next w:val="60"/>
    <w:qFormat/>
    <w:uiPriority w:val="0"/>
    <w:pPr>
      <w:numPr>
        <w:ilvl w:val="5"/>
      </w:numPr>
      <w:outlineLvl w:val="5"/>
    </w:pPr>
  </w:style>
  <w:style w:type="paragraph" w:customStyle="1" w:styleId="99">
    <w:name w:val="条文脚注"/>
    <w:basedOn w:val="28"/>
    <w:qFormat/>
    <w:uiPriority w:val="0"/>
    <w:pPr>
      <w:ind w:left="780" w:leftChars="200" w:hanging="360" w:hangingChars="200"/>
      <w:jc w:val="both"/>
    </w:pPr>
    <w:rPr>
      <w:rFonts w:ascii="宋体"/>
    </w:rPr>
  </w:style>
  <w:style w:type="paragraph" w:customStyle="1" w:styleId="100">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2">
    <w:name w:val="五级条标题"/>
    <w:basedOn w:val="98"/>
    <w:next w:val="60"/>
    <w:qFormat/>
    <w:uiPriority w:val="0"/>
    <w:pPr>
      <w:numPr>
        <w:ilvl w:val="6"/>
      </w:numPr>
      <w:outlineLvl w:val="6"/>
    </w:pPr>
  </w:style>
  <w:style w:type="paragraph" w:customStyle="1" w:styleId="103">
    <w:name w:val="正文表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4">
    <w:name w:val="正文图标题"/>
    <w:next w:val="60"/>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5">
    <w:name w:val="注："/>
    <w:next w:val="60"/>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6">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8">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9">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1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1">
    <w:name w:val="标准文件_正文公式"/>
    <w:basedOn w:val="1"/>
    <w:next w:val="1"/>
    <w:qFormat/>
    <w:uiPriority w:val="0"/>
    <w:pPr>
      <w:tabs>
        <w:tab w:val="right" w:leader="middleDot" w:pos="0"/>
      </w:tabs>
      <w:adjustRightInd w:val="0"/>
      <w:spacing w:line="360" w:lineRule="auto"/>
      <w:ind w:right="420"/>
    </w:pPr>
    <w:rPr>
      <w:rFonts w:ascii="宋体" w:hAnsi="宋体"/>
      <w:szCs w:val="20"/>
    </w:rPr>
  </w:style>
  <w:style w:type="paragraph" w:customStyle="1" w:styleId="1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Body text|2"/>
    <w:basedOn w:val="1"/>
    <w:qFormat/>
    <w:uiPriority w:val="0"/>
    <w:pPr>
      <w:spacing w:after="80"/>
    </w:pPr>
    <w:rPr>
      <w:sz w:val="20"/>
      <w:szCs w:val="20"/>
    </w:rPr>
  </w:style>
  <w:style w:type="paragraph" w:customStyle="1" w:styleId="115">
    <w:name w:val="Body text|4"/>
    <w:basedOn w:val="1"/>
    <w:qFormat/>
    <w:uiPriority w:val="0"/>
    <w:pPr>
      <w:spacing w:after="480" w:line="312" w:lineRule="auto"/>
      <w:jc w:val="center"/>
    </w:pPr>
    <w:rPr>
      <w:b/>
      <w:bCs/>
      <w:sz w:val="26"/>
      <w:szCs w:val="26"/>
    </w:rPr>
  </w:style>
  <w:style w:type="paragraph" w:customStyle="1" w:styleId="116">
    <w:name w:val="Heading #2|1"/>
    <w:basedOn w:val="1"/>
    <w:qFormat/>
    <w:uiPriority w:val="0"/>
    <w:pPr>
      <w:spacing w:after="480"/>
      <w:jc w:val="center"/>
      <w:outlineLvl w:val="1"/>
    </w:pPr>
    <w:rPr>
      <w:rFonts w:ascii="宋体" w:hAnsi="宋体" w:cs="宋体"/>
      <w:sz w:val="50"/>
      <w:szCs w:val="50"/>
      <w:lang w:val="zh-TW" w:eastAsia="zh-TW" w:bidi="zh-TW"/>
    </w:rPr>
  </w:style>
  <w:style w:type="paragraph" w:styleId="117">
    <w:name w:val="List Paragraph"/>
    <w:basedOn w:val="1"/>
    <w:qFormat/>
    <w:uiPriority w:val="34"/>
    <w:pPr>
      <w:ind w:firstLine="420" w:firstLineChars="200"/>
    </w:pPr>
  </w:style>
  <w:style w:type="table" w:customStyle="1" w:styleId="118">
    <w:name w:val="网格型1"/>
    <w:basedOn w:val="34"/>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_Style 116"/>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4.bin"/><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png"/><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w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19</Pages>
  <Words>11917</Words>
  <Characters>17250</Characters>
  <Lines>327</Lines>
  <Paragraphs>92</Paragraphs>
  <TotalTime>0</TotalTime>
  <ScaleCrop>false</ScaleCrop>
  <LinksUpToDate>false</LinksUpToDate>
  <CharactersWithSpaces>18483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2006-09-29T17:34:00Z</dcterms:created>
  <dc:creator>03</dc:creator>
  <cp:lastModifiedBy>左伟佳</cp:lastModifiedBy>
  <cp:lastPrinted>2024-09-23T12:18:00Z</cp:lastPrinted>
  <dcterms:modified xsi:type="dcterms:W3CDTF">2025-03-03T02:48:03Z</dcterms:modified>
  <dc:title>钛及钛合金加工产品的包装、标志、运输和贮存</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2052-12.1.0.17827</vt:lpwstr>
  </property>
  <property fmtid="{D5CDD505-2E9C-101B-9397-08002B2CF9AE}" pid="4" name="ICV">
    <vt:lpwstr>392DD1BE75FF4997B40F0165370F3286_13</vt:lpwstr>
  </property>
  <property fmtid="{D5CDD505-2E9C-101B-9397-08002B2CF9AE}" pid="5" name="KSOTemplateDocerSaveRecord">
    <vt:lpwstr>eyJoZGlkIjoiNmJhNjFiYzEyMGYxNjdhN2I2ODlmY2E1MmZjYThkZWYiLCJ1c2VySWQiOiIzOTc1NTY5ODkifQ==</vt:lpwstr>
  </property>
</Properties>
</file>