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7"/>
        <w:gridCol w:w="8537"/>
      </w:tblGrid>
      <w:tr w14:paraId="7F13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87A9CB">
            <w:pPr>
              <w:pStyle w:val="20"/>
              <w:framePr w:wrap="notBeside" w:vAnchor="page" w:hAnchor="page" w:x="1372" w:y="568"/>
              <w:tabs>
                <w:tab w:val="clear" w:pos="4153"/>
                <w:tab w:val="clear" w:pos="8306"/>
              </w:tabs>
              <w:spacing w:line="240" w:lineRule="auto"/>
              <w:ind w:firstLine="420"/>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8D4B99">
            <w:pPr>
              <w:pStyle w:val="20"/>
              <w:framePr w:wrap="notBeside" w:vAnchor="page" w:hAnchor="page" w:x="1372" w:y="568"/>
              <w:tabs>
                <w:tab w:val="clear" w:pos="4153"/>
                <w:tab w:val="clear" w:pos="8306"/>
              </w:tabs>
              <w:spacing w:line="240" w:lineRule="auto"/>
              <w:ind w:left="3" w:firstLine="420"/>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77.150.</w:t>
            </w:r>
            <w:r>
              <w:rPr>
                <w:rFonts w:hint="eastAsia" w:ascii="黑体" w:hAnsi="黑体" w:eastAsia="黑体"/>
                <w:sz w:val="21"/>
                <w:szCs w:val="21"/>
              </w:rPr>
              <w:t>30</w:t>
            </w:r>
            <w:r>
              <w:rPr>
                <w:rFonts w:ascii="黑体" w:hAnsi="黑体" w:eastAsia="黑体"/>
                <w:sz w:val="21"/>
                <w:szCs w:val="21"/>
              </w:rPr>
              <w:fldChar w:fldCharType="end"/>
            </w:r>
            <w:bookmarkEnd w:id="0"/>
          </w:p>
        </w:tc>
      </w:tr>
      <w:tr w14:paraId="1B2D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25AD14">
            <w:pPr>
              <w:pStyle w:val="20"/>
              <w:framePr w:wrap="notBeside" w:vAnchor="page" w:hAnchor="page" w:x="1372" w:y="568"/>
              <w:tabs>
                <w:tab w:val="clear" w:pos="4153"/>
                <w:tab w:val="clear" w:pos="8306"/>
              </w:tabs>
              <w:spacing w:before="40" w:line="240" w:lineRule="auto"/>
              <w:ind w:firstLine="420"/>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FC81559">
            <w:pPr>
              <w:pStyle w:val="20"/>
              <w:framePr w:wrap="notBeside" w:vAnchor="page" w:hAnchor="page" w:x="1372" w:y="568"/>
              <w:tabs>
                <w:tab w:val="clear" w:pos="4153"/>
                <w:tab w:val="clear" w:pos="8306"/>
              </w:tabs>
              <w:spacing w:before="40" w:line="240" w:lineRule="auto"/>
              <w:ind w:firstLine="420"/>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w:t>
            </w:r>
            <w:r>
              <w:rPr>
                <w:rFonts w:ascii="黑体" w:hAnsi="黑体" w:eastAsia="黑体"/>
                <w:sz w:val="21"/>
                <w:szCs w:val="21"/>
              </w:rPr>
              <w:t xml:space="preserve"> 6</w:t>
            </w:r>
            <w:r>
              <w:rPr>
                <w:rFonts w:hint="eastAsia" w:ascii="黑体" w:hAnsi="黑体" w:eastAsia="黑体"/>
                <w:sz w:val="21"/>
                <w:szCs w:val="21"/>
              </w:rPr>
              <w:t>2</w:t>
            </w:r>
            <w:r>
              <w:rPr>
                <w:rFonts w:ascii="黑体" w:hAnsi="黑体" w:eastAsia="黑体"/>
                <w:sz w:val="21"/>
                <w:szCs w:val="21"/>
              </w:rPr>
              <w:fldChar w:fldCharType="end"/>
            </w:r>
            <w:bookmarkEnd w:id="1"/>
          </w:p>
        </w:tc>
      </w:tr>
    </w:tbl>
    <w:p w14:paraId="5606CEAC">
      <w:pPr>
        <w:pStyle w:val="52"/>
        <w:framePr w:w="9639" w:h="624" w:hRule="exact" w:hSpace="181" w:vSpace="181" w:wrap="around" w:hAnchor="page" w:x="1305" w:y="2269"/>
      </w:pPr>
      <w:bookmarkStart w:id="2" w:name="_Hlk26473981"/>
      <w:r>
        <w:rPr>
          <w:rFonts w:hint="eastAsia"/>
        </w:rPr>
        <w:t>中华人民共和国国家标准</w:t>
      </w:r>
    </w:p>
    <w:bookmarkEnd w:id="2"/>
    <w:p w14:paraId="0626DE6C">
      <w:pPr>
        <w:pStyle w:val="197"/>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7AEC9456">
      <w:pPr>
        <w:pStyle w:val="198"/>
        <w:rPr>
          <w:rFonts w:hAnsi="黑体"/>
          <w:lang w:val="fr-FR"/>
        </w:rPr>
      </w:pPr>
      <w:r>
        <w:rPr>
          <w:rFonts w:hAnsi="黑体"/>
        </w:rPr>
        <w:fldChar w:fldCharType="begin">
          <w:ffData>
            <w:name w:val="OSTD_CODE"/>
            <w:enabled/>
            <w:calcOnExit w:val="0"/>
            <w:textInput/>
          </w:ffData>
        </w:fldChar>
      </w:r>
      <w:bookmarkStart w:id="6"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6"/>
    </w:p>
    <w:p w14:paraId="10ECC092">
      <w:pPr>
        <w:spacing w:line="240" w:lineRule="auto"/>
        <w:ind w:left="8080" w:firstLine="1040"/>
        <w:rPr>
          <w:rFonts w:ascii="黑体" w:hAnsi="黑体" w:eastAsia="黑体"/>
          <w:kern w:val="0"/>
          <w:sz w:val="52"/>
          <w:szCs w:val="20"/>
          <w:lang w:val="fr-FR"/>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404B70F9">
      <w:pPr>
        <w:pStyle w:val="52"/>
        <w:framePr w:w="9639" w:h="6976" w:hRule="exact" w:hSpace="0" w:vSpace="0" w:wrap="around" w:hAnchor="page" w:y="6408"/>
        <w:jc w:val="center"/>
        <w:rPr>
          <w:rFonts w:ascii="黑体" w:hAnsi="黑体" w:eastAsia="黑体"/>
          <w:b w:val="0"/>
          <w:bCs w:val="0"/>
          <w:w w:val="100"/>
          <w:lang w:val="fr-FR"/>
        </w:rPr>
      </w:pPr>
    </w:p>
    <w:p w14:paraId="12969F91">
      <w:pPr>
        <w:pStyle w:val="199"/>
        <w:framePr w:h="6974" w:hRule="exact" w:wrap="around" w:x="1419" w:anchorLock="1"/>
        <w:rPr>
          <w:lang w:val="fr-FR"/>
        </w:rPr>
      </w:pPr>
      <w:bookmarkStart w:id="7" w:name="OLE_LINK4"/>
      <w:r>
        <w:fldChar w:fldCharType="begin">
          <w:ffData>
            <w:name w:val="CSTD_NAME"/>
            <w:enabled/>
            <w:calcOnExit w:val="0"/>
            <w:textInput>
              <w:default w:val="点击此处添加标准名称"/>
            </w:textInput>
          </w:ffData>
        </w:fldChar>
      </w:r>
      <w:bookmarkStart w:id="8" w:name="CSTD_NAME"/>
      <w:r>
        <w:rPr>
          <w:lang w:val="fr-FR"/>
        </w:rPr>
        <w:instrText xml:space="preserve"> FORMTEXT </w:instrText>
      </w:r>
      <w:r>
        <w:fldChar w:fldCharType="separate"/>
      </w:r>
      <w:r>
        <w:rPr>
          <w:rFonts w:hint="eastAsia"/>
        </w:rPr>
        <w:t>充电桩连接器用铜棒</w:t>
      </w:r>
      <w:r>
        <w:fldChar w:fldCharType="end"/>
      </w:r>
      <w:bookmarkEnd w:id="7"/>
      <w:bookmarkEnd w:id="8"/>
    </w:p>
    <w:p w14:paraId="3CDC623E">
      <w:pPr>
        <w:framePr w:w="9639" w:h="6974" w:hRule="exact" w:wrap="around" w:vAnchor="page" w:hAnchor="page" w:x="1419" w:y="6408" w:anchorLock="1"/>
        <w:ind w:left="-1418" w:firstLine="420"/>
        <w:rPr>
          <w:lang w:val="fr-FR"/>
        </w:rPr>
      </w:pPr>
    </w:p>
    <w:p w14:paraId="35744A46">
      <w:pPr>
        <w:pStyle w:val="127"/>
        <w:framePr w:w="9639" w:h="6974" w:hRule="exact" w:wrap="around" w:vAnchor="page" w:hAnchor="page" w:x="1419" w:y="6408" w:anchorLock="1"/>
        <w:textAlignment w:val="bottom"/>
        <w:rPr>
          <w:rFonts w:eastAsia="黑体"/>
          <w:szCs w:val="28"/>
          <w:lang w:val="fr-FR"/>
        </w:rPr>
      </w:pPr>
      <w:bookmarkStart w:id="9" w:name="OLE_LINK3"/>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lang w:val="fr-FR"/>
        </w:rPr>
        <w:instrText xml:space="preserve"> FORMTEXT </w:instrText>
      </w:r>
      <w:r>
        <w:rPr>
          <w:rFonts w:eastAsia="黑体"/>
          <w:szCs w:val="28"/>
        </w:rPr>
        <w:fldChar w:fldCharType="separate"/>
      </w:r>
      <w:r>
        <w:rPr>
          <w:rFonts w:hint="eastAsia" w:eastAsia="黑体"/>
          <w:szCs w:val="28"/>
          <w:lang w:val="fr-FR"/>
        </w:rPr>
        <w:t>Copper bar for charging pile connector</w:t>
      </w:r>
      <w:r>
        <w:rPr>
          <w:rFonts w:eastAsia="黑体"/>
          <w:szCs w:val="28"/>
        </w:rPr>
        <w:fldChar w:fldCharType="end"/>
      </w:r>
      <w:bookmarkEnd w:id="9"/>
      <w:bookmarkEnd w:id="10"/>
    </w:p>
    <w:p w14:paraId="6D457045">
      <w:pPr>
        <w:framePr w:w="9639" w:h="6974" w:hRule="exact" w:wrap="around" w:vAnchor="page" w:hAnchor="page" w:x="1419" w:y="6408" w:anchorLock="1"/>
        <w:spacing w:line="760" w:lineRule="exact"/>
        <w:ind w:left="-1418" w:firstLine="420"/>
        <w:rPr>
          <w:lang w:val="fr-FR"/>
        </w:rPr>
      </w:pPr>
    </w:p>
    <w:p w14:paraId="45A1131F">
      <w:pPr>
        <w:pStyle w:val="127"/>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val="fr-FR"/>
        </w:rPr>
        <w:instrText xml:space="preserve"> FORMTEXT </w:instrText>
      </w:r>
      <w:r>
        <w:rPr>
          <w:rFonts w:eastAsia="黑体"/>
          <w:szCs w:val="28"/>
        </w:rPr>
        <w:fldChar w:fldCharType="separate"/>
      </w:r>
      <w:r>
        <w:rPr>
          <w:rFonts w:hint="eastAsia" w:eastAsia="黑体"/>
          <w:szCs w:val="28"/>
          <w:lang w:val="fr-FR"/>
        </w:rPr>
        <w:t>(</w:t>
      </w:r>
      <w:r>
        <w:rPr>
          <w:rFonts w:hint="eastAsia" w:eastAsia="黑体"/>
          <w:szCs w:val="28"/>
        </w:rPr>
        <w:t>点击此处添加与国际标准一致性程度的标识</w:t>
      </w:r>
      <w:r>
        <w:rPr>
          <w:rFonts w:hint="eastAsia" w:eastAsia="黑体"/>
          <w:szCs w:val="28"/>
          <w:lang w:val="fr-FR"/>
        </w:rPr>
        <w:t>)</w:t>
      </w:r>
      <w:r>
        <w:rPr>
          <w:rFonts w:eastAsia="黑体"/>
          <w:szCs w:val="28"/>
        </w:rPr>
        <w:fldChar w:fldCharType="end"/>
      </w:r>
      <w:bookmarkEnd w:id="11"/>
    </w:p>
    <w:p w14:paraId="48E28BD9">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06B0584C">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rPr>
        <w:t>4</w:t>
      </w:r>
      <w:r>
        <w:rPr>
          <w:sz w:val="21"/>
          <w:szCs w:val="28"/>
        </w:rPr>
        <w:t>.</w:t>
      </w:r>
      <w:r>
        <w:rPr>
          <w:rFonts w:hint="eastAsia"/>
          <w:sz w:val="21"/>
          <w:szCs w:val="28"/>
        </w:rPr>
        <w:t>11</w:t>
      </w:r>
      <w:r>
        <w:rPr>
          <w:sz w:val="21"/>
          <w:szCs w:val="28"/>
        </w:rPr>
        <w:t>.</w:t>
      </w:r>
      <w:r>
        <w:rPr>
          <w:rFonts w:hint="eastAsia"/>
          <w:sz w:val="21"/>
          <w:szCs w:val="28"/>
        </w:rPr>
        <w:t>27）</w:t>
      </w:r>
      <w:r>
        <w:rPr>
          <w:sz w:val="21"/>
          <w:szCs w:val="28"/>
        </w:rPr>
        <w:fldChar w:fldCharType="end"/>
      </w:r>
      <w:bookmarkEnd w:id="13"/>
    </w:p>
    <w:p w14:paraId="204B797F">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64B24D9">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4839E344">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328B2A7C">
      <w:pPr>
        <w:ind w:firstLine="560"/>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7DC05BB6">
      <w:pPr>
        <w:pStyle w:val="91"/>
        <w:spacing w:after="468"/>
      </w:pPr>
      <w:bookmarkStart w:id="21" w:name="BookMark2"/>
      <w:r>
        <w:rPr>
          <w:spacing w:val="320"/>
        </w:rPr>
        <w:t>前</w:t>
      </w:r>
      <w:r>
        <w:t>言</w:t>
      </w:r>
    </w:p>
    <w:p w14:paraId="793C0046">
      <w:pPr>
        <w:pStyle w:val="58"/>
        <w:ind w:firstLine="420"/>
      </w:pPr>
      <w:r>
        <w:rPr>
          <w:rFonts w:hint="eastAsia"/>
        </w:rPr>
        <w:t>本文件按照GB/T 1.1—2020《标准化工作导则  第1部分：标准化文件的结构和起草规则》的规定起草。</w:t>
      </w:r>
    </w:p>
    <w:p w14:paraId="55B9A4F9">
      <w:pPr>
        <w:pStyle w:val="58"/>
        <w:ind w:firstLine="420"/>
        <w:rPr>
          <w:rFonts w:ascii="Times New Roman"/>
        </w:rPr>
      </w:pPr>
      <w:r>
        <w:rPr>
          <w:rFonts w:ascii="Times New Roman"/>
        </w:rPr>
        <w:t xml:space="preserve">请注意本文件的某些内容可能涉及专利。本文件的发布机构不承担识别专利的责任。 </w:t>
      </w:r>
    </w:p>
    <w:p w14:paraId="4F797F40">
      <w:pPr>
        <w:pStyle w:val="58"/>
        <w:ind w:firstLine="420"/>
        <w:rPr>
          <w:rFonts w:ascii="Times New Roman"/>
        </w:rPr>
      </w:pPr>
      <w:r>
        <w:rPr>
          <w:rFonts w:ascii="Times New Roman"/>
        </w:rPr>
        <w:t>本文件由</w:t>
      </w:r>
      <w:r>
        <w:rPr>
          <w:rFonts w:hint="eastAsia" w:ascii="Times New Roman"/>
        </w:rPr>
        <w:t>有色金属工业协会</w:t>
      </w:r>
      <w:r>
        <w:rPr>
          <w:rFonts w:ascii="Times New Roman"/>
        </w:rPr>
        <w:t>提出。</w:t>
      </w:r>
    </w:p>
    <w:p w14:paraId="464F16E2">
      <w:pPr>
        <w:pStyle w:val="58"/>
        <w:ind w:firstLine="420"/>
        <w:rPr>
          <w:rFonts w:ascii="Times New Roman"/>
        </w:rPr>
      </w:pPr>
      <w:r>
        <w:rPr>
          <w:rFonts w:ascii="Times New Roman"/>
        </w:rPr>
        <w:t>本文件由</w:t>
      </w:r>
      <w:r>
        <w:rPr>
          <w:rFonts w:hint="eastAsia" w:ascii="Times New Roman"/>
        </w:rPr>
        <w:t>全国有色金属工业标准化技术委员会</w:t>
      </w:r>
      <w:r>
        <w:rPr>
          <w:rFonts w:ascii="Times New Roman"/>
        </w:rPr>
        <w:t>归口。</w:t>
      </w:r>
    </w:p>
    <w:p w14:paraId="038F7294">
      <w:pPr>
        <w:pStyle w:val="58"/>
        <w:ind w:firstLine="420"/>
        <w:rPr>
          <w:rFonts w:ascii="Times New Roman"/>
        </w:rPr>
      </w:pPr>
      <w:r>
        <w:rPr>
          <w:rFonts w:ascii="Times New Roman"/>
        </w:rPr>
        <w:t>本文件起草单位：</w:t>
      </w:r>
      <w:r>
        <w:rPr>
          <w:rFonts w:hint="eastAsia"/>
          <w:szCs w:val="21"/>
        </w:rPr>
        <w:t>浙江力博实业股份有限公司</w:t>
      </w:r>
    </w:p>
    <w:p w14:paraId="4FBE0E48">
      <w:pPr>
        <w:pStyle w:val="58"/>
        <w:ind w:firstLine="420"/>
      </w:pPr>
      <w:r>
        <w:rPr>
          <w:rFonts w:ascii="Times New Roman"/>
        </w:rPr>
        <w:t>本文件主要起草人：</w:t>
      </w:r>
    </w:p>
    <w:p w14:paraId="4A771F04">
      <w:pPr>
        <w:pStyle w:val="58"/>
        <w:ind w:firstLine="420"/>
        <w:sectPr>
          <w:headerReference r:id="rId11" w:type="default"/>
          <w:footerReference r:id="rId13" w:type="default"/>
          <w:head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21"/>
    <w:p w14:paraId="6A358066">
      <w:pPr>
        <w:spacing w:line="20" w:lineRule="exact"/>
        <w:ind w:firstLine="640"/>
        <w:jc w:val="center"/>
        <w:rPr>
          <w:rFonts w:ascii="黑体" w:hAnsi="黑体" w:eastAsia="黑体"/>
          <w:sz w:val="32"/>
          <w:szCs w:val="32"/>
        </w:rPr>
      </w:pPr>
      <w:bookmarkStart w:id="22" w:name="BookMark4"/>
    </w:p>
    <w:p w14:paraId="31CBF19B">
      <w:pPr>
        <w:spacing w:line="20" w:lineRule="exact"/>
        <w:ind w:firstLine="640"/>
        <w:jc w:val="center"/>
        <w:rPr>
          <w:rFonts w:ascii="黑体" w:hAnsi="黑体" w:eastAsia="黑体"/>
          <w:sz w:val="32"/>
          <w:szCs w:val="32"/>
        </w:rPr>
      </w:pPr>
    </w:p>
    <w:sdt>
      <w:sdtPr>
        <w:tag w:val="NEW_STAND_NAME"/>
        <w:id w:val="595910757"/>
        <w:lock w:val="sdtLocked"/>
        <w:placeholder>
          <w:docPart w:val="5F07CC62782B4DCEBAC68DE028C1A3C6"/>
        </w:placeholder>
      </w:sdtPr>
      <w:sdtContent>
        <w:p w14:paraId="3BE70CCD">
          <w:pPr>
            <w:pStyle w:val="179"/>
            <w:spacing w:before="312" w:beforeLines="100" w:after="686" w:afterLines="220"/>
          </w:pPr>
          <w:bookmarkStart w:id="23" w:name="NEW_STAND_NAME"/>
          <w:r>
            <w:rPr>
              <w:rFonts w:hint="eastAsia"/>
            </w:rPr>
            <w:t>充电桩连接器用铜棒</w:t>
          </w:r>
        </w:p>
      </w:sdtContent>
    </w:sdt>
    <w:bookmarkEnd w:id="23"/>
    <w:p w14:paraId="32A32CF2">
      <w:pPr>
        <w:pStyle w:val="106"/>
      </w:pPr>
      <w:bookmarkStart w:id="24" w:name="_Toc24884211"/>
      <w:bookmarkStart w:id="25" w:name="_Toc24884218"/>
      <w:bookmarkStart w:id="26" w:name="_Toc26648465"/>
      <w:bookmarkStart w:id="27" w:name="_Toc26986530"/>
      <w:bookmarkStart w:id="28" w:name="_Toc26718930"/>
      <w:bookmarkStart w:id="29" w:name="_Toc26986771"/>
      <w:bookmarkStart w:id="30" w:name="_Toc17233325"/>
      <w:bookmarkStart w:id="31" w:name="_Toc97190718"/>
      <w:bookmarkStart w:id="32" w:name="_Toc17233333"/>
      <w:r>
        <w:rPr>
          <w:rFonts w:hint="eastAsia" w:ascii="黑体" w:hAnsi="黑体" w:eastAsia="黑体" w:cs="黑体"/>
          <w:lang w:val="en-US" w:eastAsia="zh-CN"/>
        </w:rPr>
        <w:t>1</w:t>
      </w:r>
      <w:r>
        <w:rPr>
          <w:rFonts w:hint="eastAsia"/>
        </w:rPr>
        <w:t>范围</w:t>
      </w:r>
      <w:bookmarkEnd w:id="24"/>
      <w:bookmarkEnd w:id="25"/>
      <w:bookmarkEnd w:id="26"/>
      <w:bookmarkEnd w:id="27"/>
      <w:bookmarkEnd w:id="28"/>
      <w:bookmarkEnd w:id="29"/>
      <w:bookmarkEnd w:id="30"/>
      <w:bookmarkEnd w:id="31"/>
      <w:bookmarkEnd w:id="32"/>
    </w:p>
    <w:p w14:paraId="195FBD59">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color w:val="auto"/>
        </w:rPr>
      </w:pPr>
      <w:bookmarkStart w:id="33" w:name="_Toc26718931"/>
      <w:bookmarkStart w:id="34" w:name="_Toc24884219"/>
      <w:bookmarkStart w:id="35" w:name="_Toc97190719"/>
      <w:bookmarkStart w:id="36" w:name="_Toc17233334"/>
      <w:bookmarkStart w:id="37" w:name="_Toc26986772"/>
      <w:bookmarkStart w:id="38" w:name="_Toc26986531"/>
      <w:bookmarkStart w:id="39" w:name="_Toc17233326"/>
      <w:bookmarkStart w:id="40" w:name="_Toc26648466"/>
      <w:bookmarkStart w:id="41" w:name="_Toc24884212"/>
      <w:r>
        <w:rPr>
          <w:rFonts w:hint="eastAsia"/>
        </w:rPr>
        <w:t>本文件规定了充</w:t>
      </w:r>
      <w:bookmarkStart w:id="42" w:name="OLE_LINK1"/>
      <w:r>
        <w:rPr>
          <w:rFonts w:hint="eastAsia"/>
        </w:rPr>
        <w:t>电桩连接器用铜棒</w:t>
      </w:r>
      <w:bookmarkEnd w:id="42"/>
      <w:r>
        <w:rPr>
          <w:rFonts w:hint="eastAsia"/>
        </w:rPr>
        <w:t>的要求、试验方法、检验规则及标志、包装、运输、贮</w:t>
      </w:r>
      <w:r>
        <w:rPr>
          <w:rFonts w:hint="eastAsia"/>
          <w:color w:val="auto"/>
        </w:rPr>
        <w:t>存</w:t>
      </w:r>
      <w:r>
        <w:rPr>
          <w:rFonts w:hint="eastAsia"/>
          <w:color w:val="auto"/>
          <w:lang w:val="en-US" w:eastAsia="zh-CN"/>
        </w:rPr>
        <w:t>及随行文件</w:t>
      </w:r>
      <w:r>
        <w:rPr>
          <w:rFonts w:hint="eastAsia"/>
          <w:color w:val="auto"/>
        </w:rPr>
        <w:t>和订货单内容。</w:t>
      </w:r>
    </w:p>
    <w:p w14:paraId="56E1C4C9">
      <w:pPr>
        <w:pStyle w:val="3"/>
        <w:keepNext w:val="0"/>
        <w:keepLines w:val="0"/>
        <w:pageBreakBefore w:val="0"/>
        <w:widowControl w:val="0"/>
        <w:kinsoku/>
        <w:wordWrap/>
        <w:overflowPunct/>
        <w:topLinePunct w:val="0"/>
        <w:autoSpaceDE/>
        <w:autoSpaceDN/>
        <w:bidi w:val="0"/>
        <w:adjustRightInd w:val="0"/>
        <w:snapToGrid/>
        <w:spacing w:line="240" w:lineRule="auto"/>
        <w:textAlignment w:val="auto"/>
      </w:pPr>
      <w:r>
        <w:rPr>
          <w:rFonts w:hint="eastAsia"/>
        </w:rPr>
        <w:t>本文件适用于充电桩连接器用铜棒（以下简称“棒材”）。</w:t>
      </w:r>
    </w:p>
    <w:p w14:paraId="4D5E0D2B">
      <w:pPr>
        <w:pStyle w:val="106"/>
      </w:pPr>
      <w:r>
        <w:rPr>
          <w:rFonts w:hint="eastAsia" w:ascii="黑体" w:hAnsi="黑体" w:eastAsia="黑体" w:cs="黑体"/>
          <w:lang w:val="en-US" w:eastAsia="zh-CN"/>
        </w:rPr>
        <w:t>2</w:t>
      </w:r>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406E0A7E16646F79A949867AD0E9A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0622CBF">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C6935A">
      <w:pPr>
        <w:pStyle w:val="15"/>
        <w:keepNext w:val="0"/>
        <w:keepLines w:val="0"/>
        <w:pageBreakBefore w:val="0"/>
        <w:widowControl w:val="0"/>
        <w:kinsoku/>
        <w:wordWrap/>
        <w:overflowPunct/>
        <w:topLinePunct w:val="0"/>
        <w:autoSpaceDE/>
        <w:autoSpaceDN/>
        <w:bidi w:val="0"/>
        <w:adjustRightInd w:val="0"/>
        <w:snapToGrid/>
        <w:spacing w:after="0" w:line="240" w:lineRule="auto"/>
        <w:ind w:left="0" w:leftChars="0" w:firstLine="420" w:firstLineChars="200"/>
        <w:textAlignment w:val="auto"/>
        <w:rPr>
          <w:rFonts w:ascii="Times New Roman" w:hAnsi="Times New Roman"/>
        </w:rPr>
      </w:pPr>
      <w:bookmarkStart w:id="43" w:name="_Toc97190720"/>
      <w:r>
        <w:rPr>
          <w:rFonts w:ascii="Times New Roman" w:hAnsi="Times New Roman"/>
        </w:rPr>
        <w:t>GB/T</w:t>
      </w:r>
      <w:r>
        <w:rPr>
          <w:rFonts w:hint="eastAsia" w:ascii="Times New Roman" w:hAnsi="Times New Roman"/>
        </w:rPr>
        <w:t xml:space="preserve"> </w:t>
      </w:r>
      <w:r>
        <w:rPr>
          <w:rFonts w:ascii="Times New Roman" w:hAnsi="Times New Roman"/>
        </w:rPr>
        <w:t xml:space="preserve">231.1 </w:t>
      </w:r>
      <w:r>
        <w:rPr>
          <w:rFonts w:hint="eastAsia" w:ascii="Times New Roman" w:hAnsi="Times New Roman"/>
          <w:lang w:val="en-US" w:eastAsia="zh-CN"/>
        </w:rPr>
        <w:t xml:space="preserve"> </w:t>
      </w:r>
      <w:r>
        <w:rPr>
          <w:rFonts w:ascii="Times New Roman" w:hAnsi="Times New Roman"/>
        </w:rPr>
        <w:t>金属布氏硬度试验  第1部分：室温试验方法</w:t>
      </w:r>
    </w:p>
    <w:p w14:paraId="092713B7">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 351  金属材料电阻系数测量方法</w:t>
      </w:r>
    </w:p>
    <w:p w14:paraId="08961CA5">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Times New Roman" w:hAnsi="Times New Roman"/>
        </w:rPr>
        <w:t>GB/T 2828.1  计数抽样检验程序  第1部分：按接收质量限（AQL）检索的逐批检验抽样计划</w:t>
      </w:r>
    </w:p>
    <w:p w14:paraId="230CF60A">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rPr>
        <w:t xml:space="preserve"> </w:t>
      </w:r>
      <w:r>
        <w:rPr>
          <w:rFonts w:ascii="Times New Roman" w:hAnsi="Times New Roman"/>
        </w:rPr>
        <w:t>5121</w:t>
      </w:r>
      <w:r>
        <w:rPr>
          <w:rFonts w:hint="eastAsia" w:ascii="Times New Roman" w:hAnsi="Times New Roman"/>
          <w:lang w:eastAsia="zh-CN"/>
        </w:rPr>
        <w:t>（</w:t>
      </w:r>
      <w:r>
        <w:rPr>
          <w:rFonts w:hint="eastAsia" w:ascii="Times New Roman" w:hAnsi="Times New Roman"/>
          <w:lang w:val="en-US" w:eastAsia="zh-CN"/>
        </w:rPr>
        <w:t>所有部分</w:t>
      </w:r>
      <w:r>
        <w:rPr>
          <w:rFonts w:hint="eastAsia" w:ascii="Times New Roman" w:hAnsi="Times New Roman"/>
          <w:lang w:eastAsia="zh-CN"/>
        </w:rPr>
        <w:t>）</w:t>
      </w:r>
      <w:r>
        <w:rPr>
          <w:rFonts w:ascii="Times New Roman" w:hAnsi="Times New Roman"/>
        </w:rPr>
        <w:t xml:space="preserve">  铜及铜合金化学分析方法</w:t>
      </w:r>
    </w:p>
    <w:p w14:paraId="1886C442">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rPr>
        <w:t xml:space="preserve"> </w:t>
      </w:r>
      <w:r>
        <w:rPr>
          <w:rFonts w:ascii="Times New Roman" w:hAnsi="Times New Roman"/>
        </w:rPr>
        <w:t xml:space="preserve">5231  </w:t>
      </w:r>
      <w:r>
        <w:rPr>
          <w:rFonts w:hint="eastAsia" w:ascii="Times New Roman" w:hAnsi="Times New Roman"/>
        </w:rPr>
        <w:t>加工铜及铜合金牌号和化学成分</w:t>
      </w:r>
    </w:p>
    <w:p w14:paraId="5E46BC4C">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rPr>
        <w:t xml:space="preserve"> </w:t>
      </w:r>
      <w:r>
        <w:rPr>
          <w:rFonts w:ascii="Times New Roman" w:hAnsi="Times New Roman"/>
        </w:rPr>
        <w:t xml:space="preserve">8888  </w:t>
      </w:r>
      <w:r>
        <w:rPr>
          <w:rFonts w:hint="eastAsia" w:ascii="Times New Roman" w:hAnsi="Times New Roman"/>
        </w:rPr>
        <w:t>重有色金属加工产品的包装、标志、运输、贮存和质量证明书</w:t>
      </w:r>
    </w:p>
    <w:p w14:paraId="57C4053B">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rPr>
        <w:t xml:space="preserve"> </w:t>
      </w:r>
      <w:r>
        <w:rPr>
          <w:rFonts w:ascii="Times New Roman" w:hAnsi="Times New Roman"/>
        </w:rPr>
        <w:t>23606  铜氢脆试验方法</w:t>
      </w:r>
    </w:p>
    <w:p w14:paraId="62E811F6">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rPr>
        <w:t xml:space="preserve"> </w:t>
      </w:r>
      <w:r>
        <w:rPr>
          <w:rFonts w:ascii="Times New Roman" w:hAnsi="Times New Roman"/>
        </w:rPr>
        <w:t xml:space="preserve">26303.2 </w:t>
      </w:r>
      <w:r>
        <w:rPr>
          <w:rFonts w:hint="eastAsia" w:ascii="Times New Roman" w:hAnsi="Times New Roman"/>
        </w:rPr>
        <w:t xml:space="preserve"> </w:t>
      </w:r>
      <w:r>
        <w:rPr>
          <w:rFonts w:ascii="Times New Roman" w:hAnsi="Times New Roman"/>
        </w:rPr>
        <w:t>铜及铜合金加工材外形尺寸检测方法  第2部分</w:t>
      </w:r>
      <w:r>
        <w:rPr>
          <w:rFonts w:hint="eastAsia" w:ascii="Times New Roman" w:hAnsi="Times New Roman"/>
          <w:lang w:eastAsia="zh-CN"/>
        </w:rPr>
        <w:t>：</w:t>
      </w:r>
      <w:r>
        <w:rPr>
          <w:rFonts w:ascii="Times New Roman" w:hAnsi="Times New Roman"/>
        </w:rPr>
        <w:t>棒、线、型材</w:t>
      </w:r>
    </w:p>
    <w:p w14:paraId="466F24E2">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Times New Roman" w:hAnsi="Times New Roman"/>
        </w:rPr>
        <w:t>GB/T 32791  铜及铜合金导电率涡流测试方法</w:t>
      </w:r>
    </w:p>
    <w:p w14:paraId="77A75812">
      <w:pPr>
        <w:pStyle w:val="15"/>
        <w:keepNext w:val="0"/>
        <w:keepLines w:val="0"/>
        <w:pageBreakBefore w:val="0"/>
        <w:widowControl w:val="0"/>
        <w:kinsoku/>
        <w:wordWrap/>
        <w:overflowPunct/>
        <w:topLinePunct w:val="0"/>
        <w:autoSpaceDE/>
        <w:autoSpaceDN/>
        <w:bidi w:val="0"/>
        <w:adjustRightInd w:val="0"/>
        <w:snapToGrid/>
        <w:spacing w:after="0" w:line="240" w:lineRule="auto"/>
        <w:ind w:left="0" w:leftChars="0" w:firstLine="420" w:firstLineChars="200"/>
        <w:textAlignment w:val="auto"/>
        <w:rPr>
          <w:rFonts w:ascii="Times New Roman" w:hAnsi="Times New Roman"/>
        </w:rPr>
      </w:pPr>
      <w:r>
        <w:rPr>
          <w:rFonts w:hint="eastAsia" w:ascii="Times New Roman" w:hAnsi="Times New Roman"/>
        </w:rPr>
        <w:t>GB/T 34505</w:t>
      </w:r>
      <w:r>
        <w:rPr>
          <w:rFonts w:hint="eastAsia" w:ascii="Times New Roman" w:hAnsi="Times New Roman"/>
          <w:lang w:val="en-US" w:eastAsia="zh-CN"/>
        </w:rPr>
        <w:t xml:space="preserve">  </w:t>
      </w:r>
      <w:r>
        <w:rPr>
          <w:rFonts w:hint="eastAsia" w:ascii="Times New Roman" w:hAnsi="Times New Roman"/>
        </w:rPr>
        <w:t>铜及铜合金材料室温拉伸试验方法</w:t>
      </w:r>
    </w:p>
    <w:p w14:paraId="17E6DF2C">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YS/T 335  无氧铜含氧量金相检验法</w:t>
      </w:r>
    </w:p>
    <w:p w14:paraId="309AC803">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Times New Roman" w:hAnsi="Times New Roman"/>
        </w:rPr>
        <w:t>YS/T 482  铜及铜合金分析方法</w:t>
      </w:r>
      <w:r>
        <w:rPr>
          <w:rFonts w:hint="eastAsia" w:ascii="Times New Roman" w:hAnsi="Times New Roman"/>
          <w:lang w:val="en-US" w:eastAsia="zh-CN"/>
        </w:rPr>
        <w:t xml:space="preserve"> </w:t>
      </w:r>
      <w:r>
        <w:rPr>
          <w:rFonts w:hint="eastAsia" w:ascii="Times New Roman" w:hAnsi="Times New Roman"/>
        </w:rPr>
        <w:t>火花放电原子发射光谱法</w:t>
      </w:r>
    </w:p>
    <w:p w14:paraId="3CBD27DD">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YS/T 668</w:t>
      </w:r>
      <w:r>
        <w:rPr>
          <w:rFonts w:hint="eastAsia" w:ascii="Times New Roman" w:hAnsi="Times New Roman"/>
        </w:rPr>
        <w:t xml:space="preserve">  铜及铜合金理化检测取样方法</w:t>
      </w:r>
    </w:p>
    <w:bookmarkEnd w:id="43"/>
    <w:p w14:paraId="03468AF4">
      <w:pPr>
        <w:pStyle w:val="106"/>
      </w:pPr>
      <w:r>
        <w:rPr>
          <w:rFonts w:hint="eastAsia" w:ascii="黑体" w:hAnsi="黑体" w:eastAsia="黑体" w:cs="黑体"/>
        </w:rPr>
        <w:t>3</w:t>
      </w:r>
      <w:r>
        <w:rPr>
          <w:rFonts w:hint="eastAsia"/>
        </w:rPr>
        <w:t>术语和定义</w:t>
      </w:r>
    </w:p>
    <w:p w14:paraId="4BB2037D">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ascii="Times New Roman" w:hAnsi="Times New Roman"/>
        </w:rPr>
        <w:t>GB/T</w:t>
      </w:r>
      <w:r>
        <w:rPr>
          <w:rFonts w:hint="eastAsia" w:ascii="Times New Roman" w:hAnsi="Times New Roman"/>
          <w:lang w:val="en-US" w:eastAsia="zh-CN"/>
        </w:rPr>
        <w:t xml:space="preserve"> </w:t>
      </w:r>
      <w:r>
        <w:rPr>
          <w:rFonts w:hint="eastAsia" w:ascii="Times New Roman" w:hAnsi="Times New Roman"/>
        </w:rPr>
        <w:t>20000.1</w:t>
      </w:r>
      <w:r>
        <w:rPr>
          <w:rFonts w:ascii="Times New Roman" w:hAnsi="Times New Roman"/>
        </w:rPr>
        <w:t>界定的以下术语和定义适用于本文件。</w:t>
      </w:r>
    </w:p>
    <w:p w14:paraId="7B390A75">
      <w:pPr>
        <w:pStyle w:val="106"/>
      </w:pPr>
      <w:r>
        <w:rPr>
          <w:rFonts w:hint="eastAsia" w:ascii="黑体" w:hAnsi="黑体" w:eastAsia="黑体" w:cs="黑体"/>
        </w:rPr>
        <w:t>4</w:t>
      </w:r>
      <w:r>
        <w:rPr>
          <w:rFonts w:hint="eastAsia"/>
        </w:rPr>
        <w:t>分类和标记</w:t>
      </w:r>
    </w:p>
    <w:p w14:paraId="1116E2D0">
      <w:pPr>
        <w:pStyle w:val="107"/>
        <w:spacing w:before="156" w:after="156"/>
      </w:pPr>
      <w:r>
        <w:rPr>
          <w:rFonts w:hint="eastAsia" w:ascii="黑体" w:hAnsi="黑体" w:eastAsia="黑体" w:cs="黑体"/>
        </w:rPr>
        <w:t>4.1</w:t>
      </w:r>
      <w:r>
        <w:rPr>
          <w:rFonts w:hint="eastAsia"/>
        </w:rPr>
        <w:t>产品分类</w:t>
      </w:r>
    </w:p>
    <w:p w14:paraId="420DB172">
      <w:pPr>
        <w:pStyle w:val="3"/>
        <w:keepNext w:val="0"/>
        <w:keepLines w:val="0"/>
        <w:pageBreakBefore w:val="0"/>
        <w:widowControl w:val="0"/>
        <w:kinsoku/>
        <w:wordWrap/>
        <w:overflowPunct/>
        <w:topLinePunct w:val="0"/>
        <w:autoSpaceDE/>
        <w:autoSpaceDN/>
        <w:bidi w:val="0"/>
        <w:adjustRightInd w:val="0"/>
        <w:snapToGrid/>
        <w:spacing w:line="240" w:lineRule="auto"/>
        <w:textAlignment w:val="auto"/>
      </w:pPr>
      <w:r>
        <w:rPr>
          <w:rFonts w:hint="eastAsia"/>
        </w:rPr>
        <w:t>棒材的代号、牌号、状态和规格应符合表</w:t>
      </w:r>
      <w:r>
        <w:rPr>
          <w:rFonts w:hint="default" w:ascii="Times New Roman" w:hAnsi="Times New Roman" w:cs="Times New Roman"/>
        </w:rPr>
        <w:t>1</w:t>
      </w:r>
      <w:r>
        <w:rPr>
          <w:rFonts w:hint="eastAsia"/>
        </w:rPr>
        <w:t>的规定。</w:t>
      </w:r>
    </w:p>
    <w:p w14:paraId="35C15554">
      <w:pPr>
        <w:pStyle w:val="14"/>
        <w:jc w:val="center"/>
        <w:rPr>
          <w:rFonts w:ascii="黑体" w:hAnsi="宋体" w:eastAsia="黑体"/>
        </w:rPr>
      </w:pPr>
    </w:p>
    <w:p w14:paraId="16F99FB3">
      <w:pPr>
        <w:pStyle w:val="14"/>
        <w:jc w:val="center"/>
        <w:rPr>
          <w:rFonts w:ascii="黑体" w:hAnsi="宋体" w:eastAsia="黑体"/>
        </w:rPr>
      </w:pPr>
    </w:p>
    <w:p w14:paraId="02266B2E">
      <w:pPr>
        <w:pStyle w:val="14"/>
        <w:jc w:val="center"/>
        <w:rPr>
          <w:rFonts w:ascii="黑体" w:hAnsi="宋体" w:eastAsia="黑体"/>
        </w:rPr>
      </w:pPr>
    </w:p>
    <w:p w14:paraId="7A93438C">
      <w:pPr>
        <w:pStyle w:val="14"/>
        <w:jc w:val="center"/>
        <w:rPr>
          <w:rFonts w:ascii="黑体" w:hAnsi="宋体" w:eastAsia="黑体"/>
        </w:rPr>
      </w:pPr>
    </w:p>
    <w:p w14:paraId="2E980B90">
      <w:pPr>
        <w:pStyle w:val="14"/>
        <w:jc w:val="center"/>
        <w:rPr>
          <w:rFonts w:ascii="黑体" w:hAnsi="宋体" w:eastAsia="黑体"/>
        </w:rPr>
      </w:pPr>
      <w:r>
        <w:rPr>
          <w:rFonts w:hint="eastAsia" w:ascii="黑体" w:hAnsi="宋体" w:eastAsia="黑体"/>
        </w:rPr>
        <w:t xml:space="preserve">表1 </w:t>
      </w:r>
      <w:r>
        <w:rPr>
          <w:rFonts w:hint="eastAsia" w:ascii="黑体" w:hAnsi="宋体" w:eastAsia="黑体"/>
          <w:lang w:val="en-US" w:eastAsia="zh-CN"/>
        </w:rPr>
        <w:t>棒材的代号、</w:t>
      </w:r>
      <w:r>
        <w:rPr>
          <w:rFonts w:hint="eastAsia" w:ascii="黑体" w:hAnsi="宋体" w:eastAsia="黑体"/>
        </w:rPr>
        <w:t>牌号、状态和规格</w:t>
      </w:r>
    </w:p>
    <w:tbl>
      <w:tblPr>
        <w:tblStyle w:val="28"/>
        <w:tblW w:w="4994"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504"/>
        <w:gridCol w:w="2568"/>
        <w:gridCol w:w="1843"/>
        <w:gridCol w:w="1524"/>
        <w:gridCol w:w="2120"/>
      </w:tblGrid>
      <w:tr w14:paraId="6622E2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787" w:type="pct"/>
            <w:vMerge w:val="restart"/>
            <w:tcBorders>
              <w:bottom w:val="single" w:color="auto" w:sz="2" w:space="0"/>
              <w:right w:val="single" w:color="auto" w:sz="2" w:space="0"/>
            </w:tcBorders>
            <w:vAlign w:val="center"/>
          </w:tcPr>
          <w:p w14:paraId="3D47C5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代号</w:t>
            </w:r>
          </w:p>
        </w:tc>
        <w:tc>
          <w:tcPr>
            <w:tcW w:w="1343" w:type="pct"/>
            <w:vMerge w:val="restart"/>
            <w:tcBorders>
              <w:left w:val="single" w:color="auto" w:sz="2" w:space="0"/>
              <w:bottom w:val="single" w:color="auto" w:sz="2" w:space="0"/>
              <w:right w:val="single" w:color="auto" w:sz="2" w:space="0"/>
            </w:tcBorders>
            <w:vAlign w:val="center"/>
          </w:tcPr>
          <w:p w14:paraId="381CF1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牌号</w:t>
            </w:r>
          </w:p>
        </w:tc>
        <w:tc>
          <w:tcPr>
            <w:tcW w:w="964" w:type="pct"/>
            <w:vMerge w:val="restart"/>
            <w:tcBorders>
              <w:left w:val="single" w:color="auto" w:sz="2" w:space="0"/>
              <w:bottom w:val="single" w:color="auto" w:sz="2" w:space="0"/>
              <w:right w:val="single" w:color="auto" w:sz="2" w:space="0"/>
            </w:tcBorders>
            <w:vAlign w:val="center"/>
          </w:tcPr>
          <w:p w14:paraId="3F1849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状态</w:t>
            </w:r>
          </w:p>
        </w:tc>
        <w:tc>
          <w:tcPr>
            <w:tcW w:w="1905" w:type="pct"/>
            <w:gridSpan w:val="2"/>
            <w:tcBorders>
              <w:left w:val="single" w:color="auto" w:sz="2" w:space="0"/>
              <w:bottom w:val="single" w:color="auto" w:sz="2" w:space="0"/>
            </w:tcBorders>
            <w:vAlign w:val="center"/>
          </w:tcPr>
          <w:p w14:paraId="6CA5F2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规格</w:t>
            </w:r>
          </w:p>
        </w:tc>
      </w:tr>
      <w:tr w14:paraId="24D0DB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787" w:type="pct"/>
            <w:vMerge w:val="continue"/>
            <w:tcBorders>
              <w:top w:val="single" w:color="auto" w:sz="2" w:space="0"/>
              <w:bottom w:val="single" w:color="auto" w:sz="12" w:space="0"/>
              <w:right w:val="single" w:color="auto" w:sz="2" w:space="0"/>
            </w:tcBorders>
            <w:vAlign w:val="center"/>
          </w:tcPr>
          <w:p w14:paraId="217364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rPr>
            </w:pPr>
          </w:p>
        </w:tc>
        <w:tc>
          <w:tcPr>
            <w:tcW w:w="1343" w:type="pct"/>
            <w:vMerge w:val="continue"/>
            <w:tcBorders>
              <w:top w:val="single" w:color="auto" w:sz="2" w:space="0"/>
              <w:left w:val="single" w:color="auto" w:sz="2" w:space="0"/>
              <w:bottom w:val="single" w:color="auto" w:sz="12" w:space="0"/>
              <w:right w:val="single" w:color="auto" w:sz="2" w:space="0"/>
            </w:tcBorders>
            <w:vAlign w:val="center"/>
          </w:tcPr>
          <w:p w14:paraId="0AF2A73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rPr>
            </w:pPr>
          </w:p>
        </w:tc>
        <w:tc>
          <w:tcPr>
            <w:tcW w:w="964" w:type="pct"/>
            <w:vMerge w:val="continue"/>
            <w:tcBorders>
              <w:top w:val="single" w:color="auto" w:sz="2" w:space="0"/>
              <w:left w:val="single" w:color="auto" w:sz="2" w:space="0"/>
              <w:bottom w:val="single" w:color="auto" w:sz="12" w:space="0"/>
              <w:right w:val="single" w:color="auto" w:sz="2" w:space="0"/>
            </w:tcBorders>
            <w:vAlign w:val="center"/>
          </w:tcPr>
          <w:p w14:paraId="518341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rPr>
            </w:pPr>
          </w:p>
        </w:tc>
        <w:tc>
          <w:tcPr>
            <w:tcW w:w="797" w:type="pct"/>
            <w:tcBorders>
              <w:top w:val="single" w:color="auto" w:sz="2" w:space="0"/>
              <w:left w:val="single" w:color="auto" w:sz="2" w:space="0"/>
              <w:bottom w:val="single" w:color="auto" w:sz="12" w:space="0"/>
              <w:right w:val="single" w:color="auto" w:sz="2" w:space="0"/>
            </w:tcBorders>
            <w:vAlign w:val="center"/>
          </w:tcPr>
          <w:p w14:paraId="717092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直径</w:t>
            </w:r>
          </w:p>
          <w:p w14:paraId="55FF32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mm</w:t>
            </w:r>
          </w:p>
        </w:tc>
        <w:tc>
          <w:tcPr>
            <w:tcW w:w="1107" w:type="pct"/>
            <w:tcBorders>
              <w:top w:val="single" w:color="auto" w:sz="2" w:space="0"/>
              <w:left w:val="single" w:color="auto" w:sz="2" w:space="0"/>
              <w:bottom w:val="single" w:color="auto" w:sz="12" w:space="0"/>
            </w:tcBorders>
            <w:vAlign w:val="center"/>
          </w:tcPr>
          <w:p w14:paraId="6EAB0B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供应长度</w:t>
            </w:r>
          </w:p>
          <w:p w14:paraId="2A4908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mm</w:t>
            </w:r>
          </w:p>
        </w:tc>
      </w:tr>
      <w:tr w14:paraId="3F2D0B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12" w:space="0"/>
              <w:bottom w:val="single" w:color="auto" w:sz="2" w:space="0"/>
              <w:right w:val="single" w:color="auto" w:sz="2" w:space="0"/>
            </w:tcBorders>
            <w:vAlign w:val="center"/>
          </w:tcPr>
          <w:p w14:paraId="48F9A9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hint="eastAsia" w:ascii="Times New Roman" w:hAnsi="Times New Roman" w:eastAsia="宋体"/>
                <w:color w:val="auto"/>
                <w:sz w:val="18"/>
                <w:szCs w:val="18"/>
                <w:highlight w:val="none"/>
              </w:rPr>
              <w:t>T101</w:t>
            </w:r>
            <w:r>
              <w:rPr>
                <w:rFonts w:hint="eastAsia" w:ascii="Times New Roman" w:hAnsi="Times New Roman" w:eastAsia="宋体"/>
                <w:color w:val="auto"/>
                <w:sz w:val="18"/>
                <w:szCs w:val="18"/>
                <w:highlight w:val="none"/>
                <w:lang w:val="en-US" w:eastAsia="zh-CN"/>
              </w:rPr>
              <w:t>3</w:t>
            </w:r>
            <w:r>
              <w:rPr>
                <w:rFonts w:hint="eastAsia" w:ascii="Times New Roman" w:hAnsi="Times New Roman" w:eastAsia="宋体"/>
                <w:color w:val="auto"/>
                <w:sz w:val="18"/>
                <w:szCs w:val="18"/>
                <w:highlight w:val="none"/>
              </w:rPr>
              <w:t>0</w:t>
            </w:r>
          </w:p>
        </w:tc>
        <w:tc>
          <w:tcPr>
            <w:tcW w:w="1343" w:type="pct"/>
            <w:tcBorders>
              <w:top w:val="single" w:color="auto" w:sz="12" w:space="0"/>
              <w:left w:val="single" w:color="auto" w:sz="2" w:space="0"/>
              <w:bottom w:val="single" w:color="auto" w:sz="2" w:space="0"/>
              <w:right w:val="single" w:color="auto" w:sz="2" w:space="0"/>
            </w:tcBorders>
            <w:vAlign w:val="center"/>
          </w:tcPr>
          <w:p w14:paraId="7906842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ascii="Times New Roman" w:hAnsi="Times New Roman" w:eastAsia="宋体"/>
                <w:color w:val="auto"/>
                <w:sz w:val="18"/>
                <w:szCs w:val="18"/>
                <w:highlight w:val="none"/>
              </w:rPr>
              <w:t>TU0</w:t>
            </w:r>
          </w:p>
        </w:tc>
        <w:tc>
          <w:tcPr>
            <w:tcW w:w="964" w:type="pct"/>
            <w:vMerge w:val="restart"/>
            <w:tcBorders>
              <w:top w:val="single" w:color="auto" w:sz="12" w:space="0"/>
              <w:left w:val="single" w:color="auto" w:sz="2" w:space="0"/>
              <w:right w:val="single" w:color="auto" w:sz="2" w:space="0"/>
            </w:tcBorders>
            <w:vAlign w:val="center"/>
          </w:tcPr>
          <w:p w14:paraId="59766E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拉制（H50）</w:t>
            </w:r>
          </w:p>
        </w:tc>
        <w:tc>
          <w:tcPr>
            <w:tcW w:w="797" w:type="pct"/>
            <w:vMerge w:val="restart"/>
            <w:tcBorders>
              <w:top w:val="single" w:color="auto" w:sz="12" w:space="0"/>
              <w:left w:val="single" w:color="auto" w:sz="2" w:space="0"/>
              <w:right w:val="single" w:color="auto" w:sz="2" w:space="0"/>
            </w:tcBorders>
            <w:vAlign w:val="center"/>
          </w:tcPr>
          <w:p w14:paraId="54900E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rPr>
              <w:t>8</w:t>
            </w:r>
            <w:r>
              <w:rPr>
                <w:rFonts w:hint="default" w:ascii="Times New Roman" w:hAnsi="Times New Roman" w:eastAsia="宋体" w:cs="Times New Roman"/>
                <w:sz w:val="18"/>
                <w:szCs w:val="18"/>
              </w:rPr>
              <w:t>～</w:t>
            </w:r>
            <w:r>
              <w:rPr>
                <w:rFonts w:ascii="Times New Roman" w:hAnsi="Times New Roman" w:eastAsia="宋体"/>
                <w:sz w:val="18"/>
                <w:szCs w:val="18"/>
              </w:rPr>
              <w:t>12</w:t>
            </w:r>
          </w:p>
        </w:tc>
        <w:tc>
          <w:tcPr>
            <w:tcW w:w="1107" w:type="pct"/>
            <w:vMerge w:val="restart"/>
            <w:tcBorders>
              <w:top w:val="single" w:color="auto" w:sz="12" w:space="0"/>
              <w:left w:val="single" w:color="auto" w:sz="2" w:space="0"/>
            </w:tcBorders>
            <w:vAlign w:val="center"/>
          </w:tcPr>
          <w:p w14:paraId="4BE812CB">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r>
              <w:rPr>
                <w:rFonts w:hint="eastAsia" w:ascii="Times New Roman" w:hAnsi="Times New Roman" w:eastAsia="宋体"/>
                <w:color w:val="auto"/>
                <w:sz w:val="18"/>
                <w:szCs w:val="18"/>
                <w:lang w:val="en-US" w:eastAsia="zh-CN"/>
              </w:rPr>
              <w:t>2</w:t>
            </w:r>
            <w:r>
              <w:rPr>
                <w:rFonts w:ascii="Times New Roman" w:hAnsi="Times New Roman" w:eastAsia="宋体"/>
                <w:color w:val="auto"/>
                <w:sz w:val="18"/>
                <w:szCs w:val="18"/>
              </w:rPr>
              <w:t>000～5000</w:t>
            </w:r>
          </w:p>
        </w:tc>
      </w:tr>
      <w:tr w14:paraId="3C6EB1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7704A4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rPr>
              <w:t>T10150</w:t>
            </w:r>
          </w:p>
        </w:tc>
        <w:tc>
          <w:tcPr>
            <w:tcW w:w="1343" w:type="pct"/>
            <w:tcBorders>
              <w:top w:val="single" w:color="auto" w:sz="2" w:space="0"/>
              <w:left w:val="single" w:color="auto" w:sz="2" w:space="0"/>
              <w:bottom w:val="single" w:color="auto" w:sz="2" w:space="0"/>
              <w:right w:val="single" w:color="auto" w:sz="2" w:space="0"/>
            </w:tcBorders>
            <w:vAlign w:val="center"/>
          </w:tcPr>
          <w:p w14:paraId="55850C3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highlight w:val="none"/>
              </w:rPr>
            </w:pPr>
            <w:r>
              <w:rPr>
                <w:rFonts w:ascii="Times New Roman" w:hAnsi="Times New Roman" w:eastAsia="宋体"/>
                <w:color w:val="auto"/>
                <w:sz w:val="18"/>
                <w:szCs w:val="18"/>
              </w:rPr>
              <w:t>TU1</w:t>
            </w:r>
          </w:p>
        </w:tc>
        <w:tc>
          <w:tcPr>
            <w:tcW w:w="964" w:type="pct"/>
            <w:vMerge w:val="continue"/>
            <w:tcBorders>
              <w:left w:val="single" w:color="auto" w:sz="2" w:space="0"/>
              <w:right w:val="single" w:color="auto" w:sz="2" w:space="0"/>
            </w:tcBorders>
            <w:vAlign w:val="center"/>
          </w:tcPr>
          <w:p w14:paraId="51393C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1D5159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627E6585">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Times New Roman" w:hAnsi="Times New Roman" w:eastAsia="宋体"/>
                <w:color w:val="auto"/>
                <w:sz w:val="18"/>
                <w:szCs w:val="18"/>
                <w:lang w:val="en-US" w:eastAsia="zh-CN"/>
              </w:rPr>
            </w:pPr>
          </w:p>
        </w:tc>
      </w:tr>
      <w:tr w14:paraId="58FB9B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486ACF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ascii="Times New Roman" w:hAnsi="Times New Roman" w:eastAsia="宋体"/>
                <w:color w:val="auto"/>
                <w:sz w:val="18"/>
                <w:szCs w:val="18"/>
              </w:rPr>
              <w:t>T10</w:t>
            </w:r>
            <w:r>
              <w:rPr>
                <w:rFonts w:hint="eastAsia" w:ascii="Times New Roman" w:hAnsi="Times New Roman" w:eastAsia="宋体"/>
                <w:color w:val="auto"/>
                <w:sz w:val="18"/>
                <w:szCs w:val="18"/>
              </w:rPr>
              <w:t>180</w:t>
            </w:r>
          </w:p>
        </w:tc>
        <w:tc>
          <w:tcPr>
            <w:tcW w:w="1343" w:type="pct"/>
            <w:tcBorders>
              <w:top w:val="single" w:color="auto" w:sz="2" w:space="0"/>
              <w:left w:val="single" w:color="auto" w:sz="2" w:space="0"/>
              <w:bottom w:val="single" w:color="auto" w:sz="2" w:space="0"/>
              <w:right w:val="single" w:color="auto" w:sz="2" w:space="0"/>
            </w:tcBorders>
            <w:vAlign w:val="center"/>
          </w:tcPr>
          <w:p w14:paraId="6147D4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ascii="Times New Roman" w:hAnsi="Times New Roman" w:eastAsia="宋体"/>
                <w:color w:val="auto"/>
                <w:sz w:val="18"/>
                <w:szCs w:val="18"/>
              </w:rPr>
              <w:t>TU2</w:t>
            </w:r>
          </w:p>
        </w:tc>
        <w:tc>
          <w:tcPr>
            <w:tcW w:w="964" w:type="pct"/>
            <w:vMerge w:val="continue"/>
            <w:tcBorders>
              <w:left w:val="single" w:color="auto" w:sz="2" w:space="0"/>
              <w:right w:val="single" w:color="auto" w:sz="2" w:space="0"/>
            </w:tcBorders>
            <w:vAlign w:val="center"/>
          </w:tcPr>
          <w:p w14:paraId="4522C8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2C15D5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6EE62EB4">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6AB025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6FB5E6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olor w:val="auto"/>
                <w:sz w:val="18"/>
                <w:szCs w:val="18"/>
              </w:rPr>
            </w:pPr>
            <w:r>
              <w:rPr>
                <w:rFonts w:hint="eastAsia" w:ascii="Times New Roman" w:hAnsi="Times New Roman" w:eastAsia="宋体"/>
                <w:color w:val="auto"/>
                <w:sz w:val="18"/>
                <w:szCs w:val="18"/>
              </w:rPr>
              <w:t>T10900</w:t>
            </w:r>
          </w:p>
        </w:tc>
        <w:tc>
          <w:tcPr>
            <w:tcW w:w="1343" w:type="pct"/>
            <w:tcBorders>
              <w:top w:val="single" w:color="auto" w:sz="2" w:space="0"/>
              <w:left w:val="single" w:color="auto" w:sz="2" w:space="0"/>
              <w:bottom w:val="single" w:color="auto" w:sz="2" w:space="0"/>
              <w:right w:val="single" w:color="auto" w:sz="2" w:space="0"/>
            </w:tcBorders>
            <w:vAlign w:val="center"/>
          </w:tcPr>
          <w:p w14:paraId="2CA15D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ascii="Times New Roman" w:hAnsi="Times New Roman" w:eastAsia="宋体"/>
                <w:color w:val="auto"/>
                <w:sz w:val="18"/>
                <w:szCs w:val="18"/>
              </w:rPr>
              <w:t>T1</w:t>
            </w:r>
          </w:p>
        </w:tc>
        <w:tc>
          <w:tcPr>
            <w:tcW w:w="964" w:type="pct"/>
            <w:vMerge w:val="continue"/>
            <w:tcBorders>
              <w:left w:val="single" w:color="auto" w:sz="2" w:space="0"/>
              <w:right w:val="single" w:color="auto" w:sz="2" w:space="0"/>
            </w:tcBorders>
            <w:vAlign w:val="center"/>
          </w:tcPr>
          <w:p w14:paraId="6E9F20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3DF799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691B7C6A">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4398B9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2084F4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olor w:val="auto"/>
                <w:sz w:val="18"/>
                <w:szCs w:val="18"/>
              </w:rPr>
            </w:pPr>
            <w:r>
              <w:rPr>
                <w:rFonts w:ascii="Times New Roman" w:hAnsi="Times New Roman" w:eastAsia="宋体"/>
                <w:color w:val="auto"/>
                <w:sz w:val="18"/>
                <w:szCs w:val="18"/>
              </w:rPr>
              <w:t>T</w:t>
            </w:r>
            <w:r>
              <w:rPr>
                <w:rFonts w:hint="eastAsia" w:ascii="Times New Roman" w:hAnsi="Times New Roman" w:eastAsia="宋体"/>
                <w:color w:val="auto"/>
                <w:sz w:val="18"/>
                <w:szCs w:val="18"/>
              </w:rPr>
              <w:t>11050</w:t>
            </w:r>
          </w:p>
        </w:tc>
        <w:tc>
          <w:tcPr>
            <w:tcW w:w="1343" w:type="pct"/>
            <w:tcBorders>
              <w:top w:val="single" w:color="auto" w:sz="2" w:space="0"/>
              <w:left w:val="single" w:color="auto" w:sz="2" w:space="0"/>
              <w:bottom w:val="single" w:color="auto" w:sz="2" w:space="0"/>
              <w:right w:val="single" w:color="auto" w:sz="2" w:space="0"/>
            </w:tcBorders>
            <w:vAlign w:val="center"/>
          </w:tcPr>
          <w:p w14:paraId="1A15ED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olor w:val="auto"/>
                <w:sz w:val="18"/>
                <w:szCs w:val="18"/>
              </w:rPr>
            </w:pPr>
            <w:r>
              <w:rPr>
                <w:rFonts w:ascii="Times New Roman" w:hAnsi="Times New Roman" w:eastAsia="宋体"/>
                <w:color w:val="auto"/>
                <w:sz w:val="18"/>
                <w:szCs w:val="18"/>
              </w:rPr>
              <w:t>T2</w:t>
            </w:r>
          </w:p>
        </w:tc>
        <w:tc>
          <w:tcPr>
            <w:tcW w:w="964" w:type="pct"/>
            <w:vMerge w:val="continue"/>
            <w:tcBorders>
              <w:left w:val="single" w:color="auto" w:sz="2" w:space="0"/>
              <w:right w:val="single" w:color="auto" w:sz="2" w:space="0"/>
            </w:tcBorders>
            <w:vAlign w:val="center"/>
          </w:tcPr>
          <w:p w14:paraId="08FE8F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4B67F6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07635722">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4AFBFB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33651F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hint="eastAsia" w:ascii="Times New Roman" w:hAnsi="Times New Roman" w:eastAsia="宋体"/>
                <w:sz w:val="18"/>
                <w:szCs w:val="18"/>
                <w:highlight w:val="none"/>
              </w:rPr>
              <w:t>T10510</w:t>
            </w:r>
          </w:p>
        </w:tc>
        <w:tc>
          <w:tcPr>
            <w:tcW w:w="1343" w:type="pct"/>
            <w:tcBorders>
              <w:top w:val="single" w:color="auto" w:sz="2" w:space="0"/>
              <w:left w:val="single" w:color="auto" w:sz="2" w:space="0"/>
              <w:bottom w:val="single" w:color="auto" w:sz="2" w:space="0"/>
              <w:right w:val="single" w:color="auto" w:sz="2" w:space="0"/>
            </w:tcBorders>
            <w:vAlign w:val="center"/>
          </w:tcPr>
          <w:p w14:paraId="5C36CF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ascii="Times New Roman" w:hAnsi="Times New Roman" w:eastAsia="宋体"/>
                <w:sz w:val="18"/>
                <w:szCs w:val="18"/>
                <w:highlight w:val="none"/>
              </w:rPr>
              <w:t>TUAg0.05</w:t>
            </w:r>
          </w:p>
        </w:tc>
        <w:tc>
          <w:tcPr>
            <w:tcW w:w="964" w:type="pct"/>
            <w:vMerge w:val="continue"/>
            <w:tcBorders>
              <w:left w:val="single" w:color="auto" w:sz="2" w:space="0"/>
              <w:right w:val="single" w:color="auto" w:sz="2" w:space="0"/>
            </w:tcBorders>
            <w:vAlign w:val="center"/>
          </w:tcPr>
          <w:p w14:paraId="52938B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1C07B0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4B18F1C7">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31181D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2" w:space="0"/>
              <w:right w:val="single" w:color="auto" w:sz="2" w:space="0"/>
            </w:tcBorders>
            <w:vAlign w:val="center"/>
          </w:tcPr>
          <w:p w14:paraId="44DA4F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hint="eastAsia" w:ascii="Times New Roman" w:hAnsi="Times New Roman" w:eastAsia="宋体"/>
                <w:sz w:val="18"/>
                <w:szCs w:val="18"/>
                <w:highlight w:val="none"/>
              </w:rPr>
              <w:t>T10530</w:t>
            </w:r>
          </w:p>
        </w:tc>
        <w:tc>
          <w:tcPr>
            <w:tcW w:w="1343" w:type="pct"/>
            <w:tcBorders>
              <w:top w:val="single" w:color="auto" w:sz="2" w:space="0"/>
              <w:left w:val="single" w:color="auto" w:sz="2" w:space="0"/>
              <w:bottom w:val="single" w:color="auto" w:sz="2" w:space="0"/>
              <w:right w:val="single" w:color="auto" w:sz="2" w:space="0"/>
            </w:tcBorders>
            <w:vAlign w:val="center"/>
          </w:tcPr>
          <w:p w14:paraId="405C28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ascii="Times New Roman" w:hAnsi="Times New Roman" w:eastAsia="宋体"/>
                <w:sz w:val="18"/>
                <w:szCs w:val="18"/>
                <w:highlight w:val="none"/>
              </w:rPr>
              <w:t>TUAg0.1</w:t>
            </w:r>
          </w:p>
        </w:tc>
        <w:tc>
          <w:tcPr>
            <w:tcW w:w="964" w:type="pct"/>
            <w:vMerge w:val="continue"/>
            <w:tcBorders>
              <w:left w:val="single" w:color="auto" w:sz="2" w:space="0"/>
              <w:right w:val="single" w:color="auto" w:sz="2" w:space="0"/>
            </w:tcBorders>
            <w:vAlign w:val="center"/>
          </w:tcPr>
          <w:p w14:paraId="09FE06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right w:val="single" w:color="auto" w:sz="2" w:space="0"/>
            </w:tcBorders>
            <w:vAlign w:val="center"/>
          </w:tcPr>
          <w:p w14:paraId="5E99D9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tcBorders>
            <w:vAlign w:val="center"/>
          </w:tcPr>
          <w:p w14:paraId="599C1F64">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2A155E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87" w:type="pct"/>
            <w:tcBorders>
              <w:top w:val="single" w:color="auto" w:sz="2" w:space="0"/>
              <w:bottom w:val="single" w:color="auto" w:sz="12" w:space="0"/>
              <w:right w:val="single" w:color="auto" w:sz="2" w:space="0"/>
            </w:tcBorders>
            <w:vAlign w:val="center"/>
          </w:tcPr>
          <w:p w14:paraId="0AFB8D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hint="eastAsia" w:ascii="Times New Roman" w:hAnsi="Times New Roman" w:eastAsia="宋体"/>
                <w:sz w:val="18"/>
                <w:szCs w:val="18"/>
                <w:highlight w:val="none"/>
              </w:rPr>
              <w:t>T14440</w:t>
            </w:r>
          </w:p>
        </w:tc>
        <w:tc>
          <w:tcPr>
            <w:tcW w:w="1343" w:type="pct"/>
            <w:tcBorders>
              <w:top w:val="single" w:color="auto" w:sz="2" w:space="0"/>
              <w:left w:val="single" w:color="auto" w:sz="2" w:space="0"/>
              <w:bottom w:val="single" w:color="auto" w:sz="12" w:space="0"/>
              <w:right w:val="single" w:color="auto" w:sz="2" w:space="0"/>
            </w:tcBorders>
            <w:vAlign w:val="center"/>
          </w:tcPr>
          <w:p w14:paraId="3ECE0B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ascii="Times New Roman" w:hAnsi="Times New Roman" w:eastAsia="宋体"/>
                <w:sz w:val="18"/>
                <w:szCs w:val="18"/>
                <w:highlight w:val="none"/>
              </w:rPr>
              <w:t>TTe0.3</w:t>
            </w:r>
          </w:p>
        </w:tc>
        <w:tc>
          <w:tcPr>
            <w:tcW w:w="964" w:type="pct"/>
            <w:vMerge w:val="continue"/>
            <w:tcBorders>
              <w:left w:val="single" w:color="auto" w:sz="2" w:space="0"/>
              <w:bottom w:val="single" w:color="auto" w:sz="12" w:space="0"/>
              <w:right w:val="single" w:color="auto" w:sz="2" w:space="0"/>
            </w:tcBorders>
            <w:vAlign w:val="center"/>
          </w:tcPr>
          <w:p w14:paraId="543A50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797" w:type="pct"/>
            <w:vMerge w:val="continue"/>
            <w:tcBorders>
              <w:left w:val="single" w:color="auto" w:sz="2" w:space="0"/>
              <w:bottom w:val="single" w:color="auto" w:sz="12" w:space="0"/>
              <w:right w:val="single" w:color="auto" w:sz="2" w:space="0"/>
            </w:tcBorders>
            <w:vAlign w:val="center"/>
          </w:tcPr>
          <w:p w14:paraId="2FC2A4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107" w:type="pct"/>
            <w:vMerge w:val="continue"/>
            <w:tcBorders>
              <w:left w:val="single" w:color="auto" w:sz="2" w:space="0"/>
              <w:bottom w:val="single" w:color="auto" w:sz="12" w:space="0"/>
            </w:tcBorders>
            <w:vAlign w:val="center"/>
          </w:tcPr>
          <w:p w14:paraId="43C2E080">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sz w:val="18"/>
                <w:szCs w:val="18"/>
              </w:rPr>
            </w:pPr>
          </w:p>
        </w:tc>
      </w:tr>
      <w:tr w14:paraId="6B6D76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5000" w:type="pct"/>
            <w:gridSpan w:val="5"/>
            <w:tcBorders>
              <w:top w:val="single" w:color="auto" w:sz="12" w:space="0"/>
            </w:tcBorders>
            <w:vAlign w:val="center"/>
          </w:tcPr>
          <w:p w14:paraId="779B58DA">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ascii="Times New Roman" w:hAnsi="Times New Roman" w:eastAsia="宋体"/>
                <w:sz w:val="18"/>
                <w:szCs w:val="18"/>
              </w:rPr>
            </w:pPr>
            <w:r>
              <w:rPr>
                <w:rFonts w:hint="eastAsia" w:ascii="黑体" w:hAnsi="黑体" w:eastAsia="黑体" w:cs="黑体"/>
                <w:sz w:val="18"/>
                <w:szCs w:val="18"/>
              </w:rPr>
              <w:t>注：</w:t>
            </w:r>
            <w:r>
              <w:rPr>
                <w:rFonts w:ascii="Times New Roman" w:hAnsi="Times New Roman" w:eastAsia="宋体"/>
                <w:sz w:val="18"/>
                <w:szCs w:val="18"/>
              </w:rPr>
              <w:t>经</w:t>
            </w:r>
            <w:r>
              <w:rPr>
                <w:rFonts w:hint="eastAsia" w:ascii="Times New Roman" w:hAnsi="Times New Roman" w:eastAsia="宋体"/>
                <w:sz w:val="18"/>
                <w:szCs w:val="18"/>
                <w:lang w:val="en-US" w:eastAsia="zh-CN"/>
              </w:rPr>
              <w:t>供需</w:t>
            </w:r>
            <w:r>
              <w:rPr>
                <w:rFonts w:ascii="Times New Roman" w:hAnsi="Times New Roman" w:eastAsia="宋体"/>
                <w:sz w:val="18"/>
                <w:szCs w:val="18"/>
              </w:rPr>
              <w:t>双方协商，可供其</w:t>
            </w:r>
            <w:r>
              <w:rPr>
                <w:rFonts w:hint="eastAsia" w:ascii="Times New Roman" w:hAnsi="Times New Roman" w:eastAsia="宋体"/>
                <w:sz w:val="18"/>
                <w:szCs w:val="18"/>
                <w:lang w:val="en-US" w:eastAsia="zh-CN"/>
              </w:rPr>
              <w:t>他</w:t>
            </w:r>
            <w:r>
              <w:rPr>
                <w:rFonts w:ascii="Times New Roman" w:hAnsi="Times New Roman" w:eastAsia="宋体"/>
                <w:sz w:val="18"/>
                <w:szCs w:val="18"/>
              </w:rPr>
              <w:t>规格的棒材，具体要求在</w:t>
            </w:r>
            <w:r>
              <w:rPr>
                <w:rFonts w:hint="eastAsia" w:ascii="Times New Roman" w:hAnsi="Times New Roman" w:eastAsia="宋体"/>
                <w:sz w:val="18"/>
                <w:szCs w:val="18"/>
                <w:lang w:val="en-US" w:eastAsia="zh-CN"/>
              </w:rPr>
              <w:t>订货单</w:t>
            </w:r>
            <w:r>
              <w:rPr>
                <w:rFonts w:ascii="Times New Roman" w:hAnsi="Times New Roman" w:eastAsia="宋体"/>
                <w:sz w:val="18"/>
                <w:szCs w:val="18"/>
              </w:rPr>
              <w:t>中注明。</w:t>
            </w:r>
          </w:p>
        </w:tc>
      </w:tr>
    </w:tbl>
    <w:p w14:paraId="07B65C0D">
      <w:pPr>
        <w:pStyle w:val="107"/>
        <w:spacing w:before="156" w:after="156"/>
      </w:pPr>
      <w:r>
        <w:rPr>
          <w:rFonts w:hint="eastAsia" w:ascii="黑体" w:hAnsi="黑体" w:eastAsia="黑体" w:cs="黑体"/>
        </w:rPr>
        <w:t>4.2</w:t>
      </w:r>
      <w:r>
        <w:rPr>
          <w:rFonts w:hint="eastAsia"/>
        </w:rPr>
        <w:t>产品标记</w:t>
      </w:r>
    </w:p>
    <w:p w14:paraId="09F157F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ascii="Times New Roman" w:hAnsi="Times New Roman"/>
        </w:rPr>
        <w:t>产品标记按产品名称、本</w:t>
      </w:r>
      <w:r>
        <w:rPr>
          <w:rFonts w:hint="eastAsia" w:ascii="Times New Roman" w:hAnsi="Times New Roman"/>
        </w:rPr>
        <w:t>文件</w:t>
      </w:r>
      <w:r>
        <w:rPr>
          <w:rFonts w:ascii="Times New Roman" w:hAnsi="Times New Roman"/>
        </w:rPr>
        <w:t>编号、牌号（或代号）、状态和规格的顺序表示。</w:t>
      </w:r>
    </w:p>
    <w:p w14:paraId="213DC5DA">
      <w:pPr>
        <w:spacing w:line="320" w:lineRule="exact"/>
        <w:ind w:firstLine="360" w:firstLineChars="200"/>
        <w:rPr>
          <w:rFonts w:ascii="Times New Roman" w:hAnsi="Times New Roman"/>
        </w:rPr>
      </w:pPr>
      <w:r>
        <w:rPr>
          <w:rFonts w:ascii="黑体" w:hAnsi="黑体" w:eastAsia="黑体"/>
          <w:sz w:val="18"/>
          <w:szCs w:val="18"/>
        </w:rPr>
        <w:t>示例</w:t>
      </w:r>
      <w:r>
        <w:rPr>
          <w:rFonts w:ascii="Times New Roman" w:hAnsi="Times New Roman"/>
        </w:rPr>
        <w:t>：</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Layout w:type="autofit"/>
        <w:tblCellMar>
          <w:top w:w="0" w:type="dxa"/>
          <w:left w:w="108" w:type="dxa"/>
          <w:bottom w:w="0" w:type="dxa"/>
          <w:right w:w="108" w:type="dxa"/>
        </w:tblCellMar>
      </w:tblPr>
      <w:tblGrid>
        <w:gridCol w:w="9570"/>
      </w:tblGrid>
      <w:tr w14:paraId="51C67BCA">
        <w:tblPrEx>
          <w:tblBorders>
            <w:top w:val="single" w:color="auto" w:sz="12" w:space="0"/>
            <w:left w:val="single" w:color="auto" w:sz="12" w:space="0"/>
            <w:bottom w:val="single" w:color="auto" w:sz="12" w:space="0"/>
            <w:right w:val="single" w:color="auto" w:sz="12" w:space="0"/>
            <w:insideH w:val="single" w:color="auto" w:sz="2" w:space="0"/>
            <w:insideV w:val="none" w:color="auto" w:sz="0" w:space="0"/>
          </w:tblBorders>
          <w:tblCellMar>
            <w:top w:w="0" w:type="dxa"/>
            <w:left w:w="108" w:type="dxa"/>
            <w:bottom w:w="0" w:type="dxa"/>
            <w:right w:w="108" w:type="dxa"/>
          </w:tblCellMar>
        </w:tblPrEx>
        <w:tc>
          <w:tcPr>
            <w:tcW w:w="9570" w:type="dxa"/>
            <w:tcBorders>
              <w:tl2br w:val="nil"/>
              <w:tr2bl w:val="nil"/>
            </w:tcBorders>
            <w:vAlign w:val="center"/>
          </w:tcPr>
          <w:p w14:paraId="3B748A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sz w:val="18"/>
                <w:szCs w:val="18"/>
              </w:rPr>
            </w:pPr>
            <w:r>
              <w:rPr>
                <w:rFonts w:ascii="Times New Roman" w:hAnsi="Times New Roman"/>
                <w:sz w:val="18"/>
                <w:szCs w:val="18"/>
              </w:rPr>
              <w:t>用TU</w:t>
            </w:r>
            <w:r>
              <w:rPr>
                <w:rFonts w:hint="eastAsia" w:ascii="Times New Roman" w:hAnsi="Times New Roman"/>
                <w:sz w:val="18"/>
                <w:szCs w:val="18"/>
                <w:lang w:val="en-US" w:eastAsia="zh-CN"/>
              </w:rPr>
              <w:t>1</w:t>
            </w:r>
            <w:r>
              <w:rPr>
                <w:rFonts w:ascii="Times New Roman" w:hAnsi="Times New Roman"/>
                <w:sz w:val="18"/>
                <w:szCs w:val="18"/>
              </w:rPr>
              <w:t>制造</w:t>
            </w:r>
            <w:r>
              <w:rPr>
                <w:rFonts w:hint="eastAsia" w:ascii="Times New Roman" w:hAnsi="Times New Roman"/>
                <w:sz w:val="18"/>
                <w:szCs w:val="18"/>
                <w:lang w:val="en-US" w:eastAsia="zh-CN"/>
              </w:rPr>
              <w:t>的</w:t>
            </w:r>
            <w:r>
              <w:rPr>
                <w:rFonts w:ascii="Times New Roman" w:hAnsi="Times New Roman"/>
                <w:sz w:val="18"/>
                <w:szCs w:val="18"/>
              </w:rPr>
              <w:t>、状态</w:t>
            </w:r>
            <w:r>
              <w:rPr>
                <w:rFonts w:hint="eastAsia" w:ascii="Times New Roman" w:hAnsi="Times New Roman"/>
                <w:sz w:val="18"/>
                <w:szCs w:val="18"/>
                <w:lang w:val="en-US" w:eastAsia="zh-CN"/>
              </w:rPr>
              <w:t>为拉制</w:t>
            </w:r>
            <w:r>
              <w:rPr>
                <w:rFonts w:ascii="Times New Roman" w:hAnsi="Times New Roman"/>
                <w:sz w:val="18"/>
                <w:szCs w:val="18"/>
              </w:rPr>
              <w:t>（H50）、直径为10</w:t>
            </w:r>
            <w:r>
              <w:rPr>
                <w:rFonts w:hint="eastAsia" w:ascii="Times New Roman" w:hAnsi="Times New Roman"/>
                <w:sz w:val="18"/>
                <w:szCs w:val="18"/>
              </w:rPr>
              <w:t xml:space="preserve"> </w:t>
            </w:r>
            <w:r>
              <w:rPr>
                <w:rFonts w:ascii="Times New Roman" w:hAnsi="Times New Roman"/>
                <w:sz w:val="18"/>
                <w:szCs w:val="18"/>
              </w:rPr>
              <w:t>mm、长度为</w:t>
            </w:r>
            <w:r>
              <w:rPr>
                <w:rFonts w:hint="eastAsia" w:ascii="Times New Roman" w:hAnsi="Times New Roman"/>
                <w:sz w:val="18"/>
                <w:szCs w:val="18"/>
                <w:lang w:val="en-US" w:eastAsia="zh-CN"/>
              </w:rPr>
              <w:t>2</w:t>
            </w:r>
            <w:r>
              <w:rPr>
                <w:rFonts w:ascii="Times New Roman" w:hAnsi="Times New Roman"/>
                <w:sz w:val="18"/>
                <w:szCs w:val="18"/>
              </w:rPr>
              <w:t>000</w:t>
            </w:r>
            <w:r>
              <w:rPr>
                <w:rFonts w:hint="eastAsia" w:ascii="Times New Roman" w:hAnsi="Times New Roman"/>
                <w:sz w:val="18"/>
                <w:szCs w:val="18"/>
              </w:rPr>
              <w:t xml:space="preserve"> </w:t>
            </w:r>
            <w:r>
              <w:rPr>
                <w:rFonts w:ascii="Times New Roman" w:hAnsi="Times New Roman"/>
                <w:sz w:val="18"/>
                <w:szCs w:val="18"/>
              </w:rPr>
              <w:t>mm的棒材标记为：</w:t>
            </w:r>
          </w:p>
          <w:p w14:paraId="2F8B984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lang w:val="en-US" w:eastAsia="zh-CN"/>
              </w:rPr>
              <w:t>铜棒GB</w:t>
            </w:r>
            <w:r>
              <w:rPr>
                <w:rFonts w:ascii="Times New Roman" w:hAnsi="Times New Roman"/>
                <w:sz w:val="18"/>
                <w:szCs w:val="18"/>
              </w:rPr>
              <w:t>/T</w:t>
            </w:r>
            <w:r>
              <w:rPr>
                <w:rFonts w:hint="eastAsia" w:ascii="Times New Roman" w:hAnsi="Times New Roman"/>
                <w:sz w:val="18"/>
                <w:szCs w:val="18"/>
                <w:lang w:val="en-US" w:eastAsia="zh-CN"/>
              </w:rPr>
              <w:t xml:space="preserve"> XXX</w:t>
            </w:r>
            <w:r>
              <w:rPr>
                <w:rFonts w:ascii="Times New Roman" w:hAnsi="Times New Roman"/>
                <w:sz w:val="18"/>
                <w:szCs w:val="18"/>
              </w:rPr>
              <w:t>-TU</w:t>
            </w:r>
            <w:r>
              <w:rPr>
                <w:rFonts w:hint="eastAsia" w:ascii="Times New Roman" w:hAnsi="Times New Roman"/>
                <w:sz w:val="18"/>
                <w:szCs w:val="18"/>
                <w:lang w:val="en-US" w:eastAsia="zh-CN"/>
              </w:rPr>
              <w:t>1</w:t>
            </w:r>
            <w:r>
              <w:rPr>
                <w:rFonts w:ascii="Times New Roman" w:hAnsi="Times New Roman"/>
                <w:sz w:val="18"/>
                <w:szCs w:val="18"/>
              </w:rPr>
              <w:t>H50</w:t>
            </w:r>
            <w:r>
              <w:rPr>
                <w:rFonts w:hint="eastAsia" w:ascii="Times New Roman" w:hAnsi="Times New Roman"/>
                <w:sz w:val="18"/>
                <w:szCs w:val="18"/>
                <w:lang w:val="en-US" w:eastAsia="zh-CN"/>
              </w:rPr>
              <w:t>,</w:t>
            </w:r>
            <w:r>
              <w:rPr>
                <w:rFonts w:ascii="Times New Roman" w:hAnsi="Times New Roman"/>
                <w:sz w:val="18"/>
                <w:szCs w:val="18"/>
              </w:rPr>
              <w:t>10×</w:t>
            </w:r>
            <w:r>
              <w:rPr>
                <w:rFonts w:hint="eastAsia" w:ascii="Times New Roman" w:hAnsi="Times New Roman"/>
                <w:sz w:val="18"/>
                <w:szCs w:val="18"/>
                <w:lang w:val="en-US" w:eastAsia="zh-CN"/>
              </w:rPr>
              <w:t>2</w:t>
            </w:r>
            <w:r>
              <w:rPr>
                <w:rFonts w:ascii="Times New Roman" w:hAnsi="Times New Roman"/>
                <w:sz w:val="18"/>
                <w:szCs w:val="18"/>
              </w:rPr>
              <w:t>000</w:t>
            </w:r>
          </w:p>
          <w:p w14:paraId="1DEB7375">
            <w:pPr>
              <w:keepNext w:val="0"/>
              <w:keepLines w:val="0"/>
              <w:pageBreakBefore w:val="0"/>
              <w:widowControl w:val="0"/>
              <w:kinsoku/>
              <w:wordWrap/>
              <w:overflowPunct/>
              <w:topLinePunct w:val="0"/>
              <w:autoSpaceDE/>
              <w:autoSpaceDN/>
              <w:bidi w:val="0"/>
              <w:adjustRightInd w:val="0"/>
              <w:snapToGrid/>
              <w:spacing w:line="240" w:lineRule="auto"/>
              <w:ind w:firstLine="3060" w:firstLineChars="1700"/>
              <w:jc w:val="left"/>
              <w:textAlignment w:val="auto"/>
              <w:rPr>
                <w:rFonts w:hint="default" w:ascii="宋体" w:hAnsi="宋体" w:eastAsia="宋体"/>
                <w:sz w:val="18"/>
                <w:szCs w:val="18"/>
                <w:lang w:val="en-US" w:eastAsia="zh-CN"/>
              </w:rPr>
            </w:pPr>
            <w:r>
              <w:rPr>
                <w:rFonts w:hint="eastAsia" w:ascii="Times New Roman" w:hAnsi="Times New Roman"/>
                <w:sz w:val="18"/>
                <w:szCs w:val="18"/>
                <w:lang w:val="en-US" w:eastAsia="zh-CN"/>
              </w:rPr>
              <w:t>或 铜棒GB/T XXX-T10150H50,10×2000</w:t>
            </w:r>
          </w:p>
        </w:tc>
      </w:tr>
    </w:tbl>
    <w:p w14:paraId="0259B136">
      <w:pPr>
        <w:pStyle w:val="106"/>
      </w:pPr>
      <w:r>
        <w:rPr>
          <w:rFonts w:hint="eastAsia" w:ascii="黑体" w:hAnsi="黑体" w:eastAsia="黑体" w:cs="黑体"/>
        </w:rPr>
        <w:t>5</w:t>
      </w:r>
      <w:r>
        <w:rPr>
          <w:rFonts w:hint="eastAsia"/>
        </w:rPr>
        <w:t>技术要求</w:t>
      </w:r>
    </w:p>
    <w:p w14:paraId="13B08D29">
      <w:pPr>
        <w:pStyle w:val="107"/>
        <w:spacing w:before="156" w:after="156"/>
      </w:pPr>
      <w:r>
        <w:rPr>
          <w:rFonts w:hint="eastAsia" w:ascii="黑体" w:hAnsi="黑体" w:eastAsia="黑体" w:cs="黑体"/>
        </w:rPr>
        <w:t>5.1</w:t>
      </w:r>
      <w:r>
        <w:t>化学成分</w:t>
      </w:r>
    </w:p>
    <w:p w14:paraId="6142005C">
      <w:pPr>
        <w:spacing w:line="320" w:lineRule="exact"/>
        <w:ind w:firstLine="420" w:firstLineChars="200"/>
        <w:rPr>
          <w:rFonts w:ascii="Times New Roman" w:hAnsi="Times New Roman"/>
        </w:rPr>
      </w:pPr>
      <w:r>
        <w:rPr>
          <w:rFonts w:ascii="Times New Roman" w:hAnsi="Times New Roman"/>
        </w:rPr>
        <w:t>棒材的化学成分应符合GB/T</w:t>
      </w:r>
      <w:r>
        <w:rPr>
          <w:rFonts w:hint="eastAsia" w:ascii="Times New Roman" w:hAnsi="Times New Roman"/>
        </w:rPr>
        <w:t xml:space="preserve"> </w:t>
      </w:r>
      <w:r>
        <w:rPr>
          <w:rFonts w:ascii="Times New Roman" w:hAnsi="Times New Roman"/>
        </w:rPr>
        <w:t>5231</w:t>
      </w:r>
      <w:r>
        <w:rPr>
          <w:rFonts w:hint="eastAsia" w:ascii="Times New Roman" w:hAnsi="Times New Roman"/>
          <w:lang w:val="en-US" w:eastAsia="zh-CN"/>
        </w:rPr>
        <w:t>的</w:t>
      </w:r>
      <w:r>
        <w:rPr>
          <w:rFonts w:ascii="Times New Roman" w:hAnsi="Times New Roman"/>
        </w:rPr>
        <w:t>规定。</w:t>
      </w:r>
    </w:p>
    <w:p w14:paraId="7B5D765D">
      <w:pPr>
        <w:pStyle w:val="107"/>
        <w:spacing w:before="156" w:after="156"/>
      </w:pPr>
      <w:r>
        <w:rPr>
          <w:rFonts w:hint="eastAsia" w:ascii="黑体" w:hAnsi="黑体" w:eastAsia="黑体" w:cs="黑体"/>
        </w:rPr>
        <w:t>5.2</w:t>
      </w:r>
      <w:r>
        <w:rPr>
          <w:rFonts w:hint="eastAsia"/>
        </w:rPr>
        <w:t>外形尺寸及其允许偏差</w:t>
      </w:r>
    </w:p>
    <w:p w14:paraId="12C95831">
      <w:pPr>
        <w:pStyle w:val="107"/>
        <w:spacing w:before="156" w:after="156"/>
      </w:pPr>
      <w:r>
        <w:rPr>
          <w:rFonts w:hint="eastAsia" w:ascii="黑体" w:hAnsi="黑体" w:eastAsia="黑体" w:cs="黑体"/>
        </w:rPr>
        <w:t>5.2.1</w:t>
      </w:r>
      <w:r>
        <w:rPr>
          <w:rFonts w:hint="eastAsia"/>
        </w:rPr>
        <w:t>直径或对边距允许偏差</w:t>
      </w:r>
    </w:p>
    <w:p w14:paraId="7756D18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棒材直径或对边距允许偏差应符合表2的规定。</w:t>
      </w:r>
    </w:p>
    <w:p w14:paraId="23C6396B">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auto"/>
        <w:rPr>
          <w:rFonts w:hint="eastAsia" w:ascii="黑体" w:hAnsi="宋体" w:eastAsia="黑体"/>
        </w:rPr>
      </w:pPr>
      <w:r>
        <w:rPr>
          <w:rFonts w:hint="eastAsia" w:ascii="黑体" w:hAnsi="宋体" w:eastAsia="黑体"/>
        </w:rPr>
        <w:t>表2 棒材直径或对边距允许偏差</w:t>
      </w:r>
    </w:p>
    <w:p w14:paraId="662B60A3">
      <w:pPr>
        <w:keepNext w:val="0"/>
        <w:keepLines w:val="0"/>
        <w:pageBreakBefore w:val="0"/>
        <w:widowControl w:val="0"/>
        <w:kinsoku/>
        <w:wordWrap/>
        <w:overflowPunct/>
        <w:topLinePunct w:val="0"/>
        <w:autoSpaceDE/>
        <w:autoSpaceDN/>
        <w:bidi w:val="0"/>
        <w:adjustRightInd w:val="0"/>
        <w:snapToGrid/>
        <w:spacing w:line="240" w:lineRule="auto"/>
        <w:ind w:firstLine="0"/>
        <w:jc w:val="right"/>
        <w:textAlignment w:val="auto"/>
        <w:rPr>
          <w:rFonts w:ascii="宋体" w:hAnsi="宋体"/>
          <w:sz w:val="18"/>
          <w:szCs w:val="18"/>
        </w:rPr>
      </w:pPr>
      <w:r>
        <w:rPr>
          <w:rFonts w:hint="eastAsia" w:ascii="宋体" w:hAnsi="宋体"/>
        </w:rPr>
        <w:t xml:space="preserve">                       </w:t>
      </w:r>
      <w:r>
        <w:rPr>
          <w:rFonts w:hint="eastAsia" w:ascii="宋体" w:hAnsi="宋体"/>
          <w:sz w:val="18"/>
          <w:szCs w:val="18"/>
        </w:rPr>
        <w:t xml:space="preserve">单位为毫米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Layout w:type="fixed"/>
        <w:tblCellMar>
          <w:top w:w="0" w:type="dxa"/>
          <w:left w:w="108" w:type="dxa"/>
          <w:bottom w:w="0" w:type="dxa"/>
          <w:right w:w="108" w:type="dxa"/>
        </w:tblCellMar>
      </w:tblPr>
      <w:tblGrid>
        <w:gridCol w:w="2009"/>
        <w:gridCol w:w="7503"/>
      </w:tblGrid>
      <w:tr w14:paraId="11BE1C25">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283" w:hRule="atLeast"/>
          <w:jc w:val="center"/>
        </w:trPr>
        <w:tc>
          <w:tcPr>
            <w:tcW w:w="2009" w:type="dxa"/>
            <w:tcBorders>
              <w:tl2br w:val="nil"/>
              <w:tr2bl w:val="nil"/>
            </w:tcBorders>
            <w:vAlign w:val="center"/>
          </w:tcPr>
          <w:p w14:paraId="692A07CE">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直径或对边距</w:t>
            </w:r>
          </w:p>
        </w:tc>
        <w:tc>
          <w:tcPr>
            <w:tcW w:w="7503" w:type="dxa"/>
            <w:tcBorders>
              <w:tl2br w:val="nil"/>
              <w:tr2bl w:val="nil"/>
            </w:tcBorders>
            <w:vAlign w:val="center"/>
          </w:tcPr>
          <w:p w14:paraId="694C1FBF">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直径或对边距</w:t>
            </w:r>
            <w:r>
              <w:rPr>
                <w:rFonts w:ascii="Times New Roman" w:hAnsi="Times New Roman" w:eastAsia="宋体"/>
                <w:sz w:val="18"/>
                <w:szCs w:val="18"/>
              </w:rPr>
              <w:t>允许偏差</w:t>
            </w:r>
          </w:p>
        </w:tc>
      </w:tr>
      <w:tr w14:paraId="15A0D916">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283" w:hRule="atLeast"/>
          <w:jc w:val="center"/>
        </w:trPr>
        <w:tc>
          <w:tcPr>
            <w:tcW w:w="2009" w:type="dxa"/>
            <w:tcBorders>
              <w:tl2br w:val="nil"/>
              <w:tr2bl w:val="nil"/>
            </w:tcBorders>
            <w:vAlign w:val="center"/>
          </w:tcPr>
          <w:p w14:paraId="3FA4408A">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8～12</w:t>
            </w:r>
          </w:p>
        </w:tc>
        <w:tc>
          <w:tcPr>
            <w:tcW w:w="7503" w:type="dxa"/>
            <w:tcBorders>
              <w:tl2br w:val="nil"/>
              <w:tr2bl w:val="nil"/>
            </w:tcBorders>
            <w:vAlign w:val="center"/>
          </w:tcPr>
          <w:p w14:paraId="10D3C4C0">
            <w:pPr>
              <w:spacing w:line="240" w:lineRule="auto"/>
              <w:jc w:val="center"/>
              <w:rPr>
                <w:rFonts w:ascii="Times New Roman" w:hAnsi="Times New Roman" w:eastAsia="宋体"/>
                <w:sz w:val="18"/>
                <w:szCs w:val="18"/>
              </w:rPr>
            </w:pPr>
            <w:r>
              <w:rPr>
                <w:rFonts w:hint="eastAsia" w:ascii="Times New Roman" w:hAnsi="Times New Roman" w:eastAsia="宋体"/>
                <w:color w:val="auto"/>
                <w:sz w:val="18"/>
                <w:szCs w:val="18"/>
              </w:rPr>
              <w:t>±0.03</w:t>
            </w:r>
          </w:p>
        </w:tc>
      </w:tr>
      <w:tr w14:paraId="52D3E255">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284" w:hRule="atLeast"/>
          <w:jc w:val="center"/>
        </w:trPr>
        <w:tc>
          <w:tcPr>
            <w:tcW w:w="9512" w:type="dxa"/>
            <w:gridSpan w:val="2"/>
            <w:tcBorders>
              <w:tl2br w:val="nil"/>
              <w:tr2bl w:val="nil"/>
            </w:tcBorders>
            <w:vAlign w:val="center"/>
          </w:tcPr>
          <w:p w14:paraId="0A712135">
            <w:pPr>
              <w:spacing w:line="240" w:lineRule="auto"/>
              <w:rPr>
                <w:rFonts w:hint="eastAsia" w:ascii="Times New Roman" w:hAnsi="Times New Roman" w:eastAsia="宋体"/>
                <w:sz w:val="18"/>
                <w:szCs w:val="18"/>
                <w:lang w:eastAsia="zh-CN"/>
              </w:rPr>
            </w:pPr>
            <w:r>
              <w:rPr>
                <w:rFonts w:hint="eastAsia" w:ascii="黑体" w:hAnsi="黑体" w:eastAsia="黑体" w:cs="黑体"/>
                <w:kern w:val="2"/>
                <w:sz w:val="18"/>
                <w:szCs w:val="18"/>
                <w:lang w:val="en-US" w:eastAsia="zh-CN" w:bidi="ar-SA"/>
              </w:rPr>
              <w:t>注：</w:t>
            </w:r>
            <w:r>
              <w:rPr>
                <w:rFonts w:ascii="Times New Roman" w:hAnsi="Times New Roman" w:eastAsia="宋体"/>
                <w:sz w:val="18"/>
                <w:szCs w:val="18"/>
              </w:rPr>
              <w:t>当</w:t>
            </w:r>
            <w:r>
              <w:rPr>
                <w:rFonts w:hint="eastAsia" w:ascii="Times New Roman" w:hAnsi="Times New Roman"/>
                <w:sz w:val="18"/>
                <w:szCs w:val="18"/>
                <w:lang w:val="en-US" w:eastAsia="zh-CN"/>
              </w:rPr>
              <w:t>需方</w:t>
            </w:r>
            <w:r>
              <w:rPr>
                <w:rFonts w:ascii="Times New Roman" w:hAnsi="Times New Roman" w:eastAsia="宋体"/>
                <w:sz w:val="18"/>
                <w:szCs w:val="18"/>
              </w:rPr>
              <w:t>要求</w:t>
            </w:r>
            <w:r>
              <w:rPr>
                <w:rFonts w:hint="eastAsia" w:ascii="Times New Roman" w:hAnsi="Times New Roman" w:eastAsia="宋体"/>
                <w:sz w:val="18"/>
                <w:szCs w:val="18"/>
              </w:rPr>
              <w:t>直径或对边距允许</w:t>
            </w:r>
            <w:r>
              <w:rPr>
                <w:rFonts w:ascii="Times New Roman" w:hAnsi="Times New Roman" w:eastAsia="宋体"/>
                <w:sz w:val="18"/>
                <w:szCs w:val="18"/>
              </w:rPr>
              <w:t>偏差全</w:t>
            </w:r>
            <w:r>
              <w:rPr>
                <w:rFonts w:hint="eastAsia" w:ascii="Times New Roman" w:hAnsi="Times New Roman" w:eastAsia="宋体"/>
                <w:sz w:val="18"/>
                <w:szCs w:val="18"/>
              </w:rPr>
              <w:t>为（+）或全为（-）单向偏差</w:t>
            </w:r>
            <w:r>
              <w:rPr>
                <w:rFonts w:ascii="Times New Roman" w:hAnsi="Times New Roman" w:eastAsia="宋体"/>
                <w:sz w:val="18"/>
                <w:szCs w:val="18"/>
              </w:rPr>
              <w:t>时，其值为</w:t>
            </w:r>
            <w:r>
              <w:rPr>
                <w:rFonts w:hint="eastAsia" w:ascii="Times New Roman" w:hAnsi="Times New Roman" w:eastAsia="宋体"/>
                <w:sz w:val="18"/>
                <w:szCs w:val="18"/>
              </w:rPr>
              <w:t>表中相应</w:t>
            </w:r>
            <w:r>
              <w:rPr>
                <w:rFonts w:ascii="Times New Roman" w:hAnsi="Times New Roman" w:eastAsia="宋体"/>
                <w:sz w:val="18"/>
                <w:szCs w:val="18"/>
              </w:rPr>
              <w:t>数值的</w:t>
            </w:r>
            <w:r>
              <w:rPr>
                <w:rFonts w:hint="eastAsia" w:ascii="Times New Roman" w:hAnsi="Times New Roman" w:eastAsia="宋体"/>
                <w:sz w:val="18"/>
                <w:szCs w:val="18"/>
              </w:rPr>
              <w:t>2</w:t>
            </w:r>
            <w:r>
              <w:rPr>
                <w:rFonts w:ascii="Times New Roman" w:hAnsi="Times New Roman" w:eastAsia="宋体"/>
                <w:sz w:val="18"/>
                <w:szCs w:val="18"/>
              </w:rPr>
              <w:t>倍</w:t>
            </w:r>
            <w:r>
              <w:rPr>
                <w:rFonts w:hint="eastAsia" w:ascii="Times New Roman" w:hAnsi="Times New Roman" w:eastAsia="宋体"/>
                <w:sz w:val="18"/>
                <w:szCs w:val="18"/>
                <w:lang w:eastAsia="zh-CN"/>
              </w:rPr>
              <w:t>。</w:t>
            </w:r>
          </w:p>
        </w:tc>
      </w:tr>
    </w:tbl>
    <w:p w14:paraId="706AC9E8">
      <w:pPr>
        <w:pStyle w:val="107"/>
        <w:spacing w:before="156" w:after="156"/>
      </w:pPr>
      <w:r>
        <w:rPr>
          <w:rFonts w:hint="eastAsia" w:ascii="黑体" w:hAnsi="黑体" w:eastAsia="黑体" w:cs="黑体"/>
        </w:rPr>
        <w:t>5.2.2</w:t>
      </w:r>
      <w:r>
        <w:rPr>
          <w:rFonts w:hint="eastAsia"/>
        </w:rPr>
        <w:t>长度及其允许偏差</w:t>
      </w:r>
    </w:p>
    <w:p w14:paraId="3624FC2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sz w:val="21"/>
        </w:rPr>
      </w:pPr>
      <w:r>
        <w:rPr>
          <w:rFonts w:hint="eastAsia" w:ascii="Times New Roman" w:hAnsi="Times New Roman"/>
          <w:sz w:val="21"/>
        </w:rPr>
        <w:t>棒材的定尺或倍尺长度的允许偏差为+10 mm。倍尺长度应加入锯切分段时的锯切量，每一锯切量为5mm。定尺或倍尺长度应在不定尺范围内，并在</w:t>
      </w:r>
      <w:r>
        <w:rPr>
          <w:rFonts w:hint="eastAsia" w:ascii="Times New Roman" w:hAnsi="Times New Roman"/>
          <w:sz w:val="21"/>
          <w:lang w:val="en-US" w:eastAsia="zh-CN"/>
        </w:rPr>
        <w:t>订货单</w:t>
      </w:r>
      <w:r>
        <w:rPr>
          <w:rFonts w:hint="eastAsia" w:ascii="Times New Roman" w:hAnsi="Times New Roman"/>
          <w:sz w:val="21"/>
        </w:rPr>
        <w:t>中注明，否则按不定尺长度供货。</w:t>
      </w:r>
    </w:p>
    <w:p w14:paraId="1384035C">
      <w:pPr>
        <w:pStyle w:val="107"/>
        <w:spacing w:before="156" w:after="156"/>
      </w:pPr>
      <w:r>
        <w:rPr>
          <w:rFonts w:hint="eastAsia" w:ascii="黑体" w:hAnsi="黑体" w:eastAsia="黑体" w:cs="黑体"/>
        </w:rPr>
        <w:t>5.2.3</w:t>
      </w:r>
      <w:r>
        <w:rPr>
          <w:rFonts w:hint="eastAsia"/>
        </w:rPr>
        <w:t>直度</w:t>
      </w:r>
    </w:p>
    <w:p w14:paraId="7E4B6635">
      <w:pPr>
        <w:pStyle w:val="3"/>
        <w:keepNext w:val="0"/>
        <w:keepLines w:val="0"/>
        <w:pageBreakBefore w:val="0"/>
        <w:widowControl w:val="0"/>
        <w:kinsoku/>
        <w:wordWrap/>
        <w:overflowPunct/>
        <w:topLinePunct w:val="0"/>
        <w:autoSpaceDE/>
        <w:autoSpaceDN/>
        <w:bidi w:val="0"/>
        <w:adjustRightInd w:val="0"/>
        <w:snapToGrid/>
        <w:spacing w:line="240" w:lineRule="auto"/>
        <w:textAlignment w:val="auto"/>
        <w:rPr>
          <w:rFonts w:ascii="黑体" w:eastAsia="黑体"/>
        </w:rPr>
      </w:pPr>
      <w:r>
        <w:rPr>
          <w:rFonts w:hint="eastAsia"/>
        </w:rPr>
        <w:t>棒</w:t>
      </w:r>
      <w:r>
        <w:t>材的</w:t>
      </w:r>
      <w:r>
        <w:rPr>
          <w:rFonts w:hint="eastAsia"/>
        </w:rPr>
        <w:t>直度</w:t>
      </w:r>
      <w:r>
        <w:t>应符合表</w:t>
      </w:r>
      <w:r>
        <w:rPr>
          <w:rFonts w:hint="default" w:ascii="Times New Roman" w:hAnsi="Times New Roman" w:cs="Times New Roman"/>
        </w:rPr>
        <w:t>3</w:t>
      </w:r>
      <w:r>
        <w:t>的规定。</w:t>
      </w:r>
    </w:p>
    <w:p w14:paraId="50AA2C77">
      <w:pPr>
        <w:keepNext w:val="0"/>
        <w:keepLines w:val="0"/>
        <w:pageBreakBefore w:val="0"/>
        <w:widowControl w:val="0"/>
        <w:tabs>
          <w:tab w:val="left" w:pos="2940"/>
        </w:tabs>
        <w:kinsoku/>
        <w:wordWrap/>
        <w:overflowPunct/>
        <w:topLinePunct w:val="0"/>
        <w:autoSpaceDE/>
        <w:autoSpaceDN/>
        <w:bidi w:val="0"/>
        <w:adjustRightInd w:val="0"/>
        <w:snapToGrid/>
        <w:spacing w:line="240" w:lineRule="auto"/>
        <w:ind w:right="0" w:firstLine="0"/>
        <w:jc w:val="center"/>
        <w:textAlignment w:val="auto"/>
        <w:rPr>
          <w:rFonts w:hint="eastAsia" w:ascii="黑体" w:hAnsi="宋体" w:eastAsia="黑体"/>
        </w:rPr>
      </w:pPr>
      <w:r>
        <w:rPr>
          <w:rFonts w:hint="eastAsia" w:ascii="黑体" w:hAnsi="宋体" w:eastAsia="黑体"/>
        </w:rPr>
        <w:t>表3 棒材直度</w:t>
      </w:r>
    </w:p>
    <w:p w14:paraId="23F1BD4F">
      <w:pPr>
        <w:keepNext w:val="0"/>
        <w:keepLines w:val="0"/>
        <w:pageBreakBefore w:val="0"/>
        <w:widowControl w:val="0"/>
        <w:tabs>
          <w:tab w:val="left" w:pos="2940"/>
        </w:tabs>
        <w:kinsoku/>
        <w:wordWrap/>
        <w:overflowPunct/>
        <w:topLinePunct w:val="0"/>
        <w:autoSpaceDE/>
        <w:autoSpaceDN/>
        <w:bidi w:val="0"/>
        <w:adjustRightInd w:val="0"/>
        <w:snapToGrid/>
        <w:spacing w:line="240" w:lineRule="auto"/>
        <w:ind w:right="0" w:firstLine="0"/>
        <w:jc w:val="right"/>
        <w:textAlignment w:val="auto"/>
      </w:pPr>
      <w:r>
        <w:t xml:space="preserve">             </w:t>
      </w:r>
      <w:r>
        <w:rPr>
          <w:rFonts w:hint="eastAsia"/>
        </w:rPr>
        <w:t xml:space="preserve">        </w:t>
      </w:r>
      <w:r>
        <w:t xml:space="preserve">          </w:t>
      </w:r>
      <w:r>
        <w:rPr>
          <w:rFonts w:hint="eastAsia" w:ascii="宋体" w:hAnsi="宋体"/>
          <w:sz w:val="18"/>
          <w:szCs w:val="18"/>
        </w:rPr>
        <w:t>单位为毫米</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280"/>
        <w:gridCol w:w="2640"/>
        <w:gridCol w:w="2160"/>
        <w:gridCol w:w="2160"/>
      </w:tblGrid>
      <w:tr w14:paraId="3A44C6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restart"/>
            <w:tcBorders>
              <w:top w:val="single" w:color="auto" w:sz="12" w:space="0"/>
              <w:left w:val="single" w:color="auto" w:sz="12" w:space="0"/>
              <w:bottom w:val="single" w:color="auto" w:sz="2" w:space="0"/>
              <w:right w:val="single" w:color="auto" w:sz="2" w:space="0"/>
            </w:tcBorders>
            <w:vAlign w:val="center"/>
          </w:tcPr>
          <w:p w14:paraId="197FEAA0">
            <w:pPr>
              <w:spacing w:line="240" w:lineRule="auto"/>
              <w:jc w:val="center"/>
              <w:rPr>
                <w:rFonts w:ascii="Times New Roman" w:hAnsi="Times New Roman"/>
                <w:sz w:val="18"/>
                <w:szCs w:val="18"/>
              </w:rPr>
            </w:pPr>
            <w:r>
              <w:rPr>
                <w:rFonts w:ascii="Times New Roman" w:hAnsi="Times New Roman"/>
                <w:sz w:val="18"/>
                <w:szCs w:val="18"/>
              </w:rPr>
              <w:t>直径</w:t>
            </w:r>
          </w:p>
        </w:tc>
        <w:tc>
          <w:tcPr>
            <w:tcW w:w="2640" w:type="dxa"/>
            <w:vMerge w:val="restart"/>
            <w:tcBorders>
              <w:top w:val="single" w:color="auto" w:sz="12" w:space="0"/>
              <w:left w:val="single" w:color="auto" w:sz="2" w:space="0"/>
              <w:bottom w:val="single" w:color="auto" w:sz="2" w:space="0"/>
              <w:right w:val="single" w:color="auto" w:sz="2" w:space="0"/>
            </w:tcBorders>
            <w:vAlign w:val="center"/>
          </w:tcPr>
          <w:p w14:paraId="1A45D133">
            <w:pPr>
              <w:spacing w:line="240" w:lineRule="auto"/>
              <w:jc w:val="center"/>
              <w:rPr>
                <w:rFonts w:ascii="Times New Roman" w:hAnsi="Times New Roman"/>
                <w:sz w:val="18"/>
                <w:szCs w:val="18"/>
              </w:rPr>
            </w:pPr>
            <w:r>
              <w:rPr>
                <w:rFonts w:ascii="Times New Roman" w:hAnsi="Times New Roman"/>
                <w:sz w:val="18"/>
                <w:szCs w:val="18"/>
              </w:rPr>
              <w:t>长度</w:t>
            </w:r>
          </w:p>
        </w:tc>
        <w:tc>
          <w:tcPr>
            <w:tcW w:w="4320" w:type="dxa"/>
            <w:gridSpan w:val="2"/>
            <w:tcBorders>
              <w:top w:val="single" w:color="auto" w:sz="12" w:space="0"/>
              <w:left w:val="single" w:color="auto" w:sz="2" w:space="0"/>
              <w:bottom w:val="single" w:color="auto" w:sz="2" w:space="0"/>
              <w:right w:val="single" w:color="auto" w:sz="12" w:space="0"/>
            </w:tcBorders>
            <w:vAlign w:val="center"/>
          </w:tcPr>
          <w:p w14:paraId="07DD793C">
            <w:pPr>
              <w:spacing w:line="240" w:lineRule="auto"/>
              <w:jc w:val="center"/>
              <w:rPr>
                <w:rFonts w:ascii="Times New Roman" w:hAnsi="Times New Roman"/>
                <w:sz w:val="18"/>
                <w:szCs w:val="18"/>
              </w:rPr>
            </w:pPr>
            <w:r>
              <w:rPr>
                <w:rFonts w:ascii="Times New Roman" w:hAnsi="Times New Roman"/>
                <w:sz w:val="18"/>
                <w:szCs w:val="18"/>
              </w:rPr>
              <w:t>圆形棒</w:t>
            </w:r>
          </w:p>
        </w:tc>
      </w:tr>
      <w:tr w14:paraId="73372A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continue"/>
            <w:tcBorders>
              <w:top w:val="single" w:color="auto" w:sz="2" w:space="0"/>
              <w:left w:val="single" w:color="auto" w:sz="12" w:space="0"/>
              <w:bottom w:val="single" w:color="auto" w:sz="12" w:space="0"/>
              <w:right w:val="single" w:color="auto" w:sz="2" w:space="0"/>
            </w:tcBorders>
            <w:vAlign w:val="center"/>
          </w:tcPr>
          <w:p w14:paraId="0623D6E3">
            <w:pPr>
              <w:spacing w:line="240" w:lineRule="auto"/>
              <w:jc w:val="center"/>
              <w:rPr>
                <w:rFonts w:ascii="Times New Roman" w:hAnsi="Times New Roman"/>
                <w:sz w:val="18"/>
                <w:szCs w:val="18"/>
              </w:rPr>
            </w:pPr>
          </w:p>
        </w:tc>
        <w:tc>
          <w:tcPr>
            <w:tcW w:w="2640" w:type="dxa"/>
            <w:vMerge w:val="continue"/>
            <w:tcBorders>
              <w:top w:val="single" w:color="auto" w:sz="2" w:space="0"/>
              <w:left w:val="single" w:color="auto" w:sz="2" w:space="0"/>
              <w:bottom w:val="single" w:color="auto" w:sz="12" w:space="0"/>
              <w:right w:val="single" w:color="auto" w:sz="2" w:space="0"/>
            </w:tcBorders>
            <w:vAlign w:val="center"/>
          </w:tcPr>
          <w:p w14:paraId="65BEEC55">
            <w:pPr>
              <w:spacing w:line="240" w:lineRule="auto"/>
              <w:jc w:val="center"/>
              <w:rPr>
                <w:rFonts w:ascii="Times New Roman" w:hAnsi="Times New Roman"/>
                <w:sz w:val="18"/>
                <w:szCs w:val="18"/>
              </w:rPr>
            </w:pPr>
          </w:p>
        </w:tc>
        <w:tc>
          <w:tcPr>
            <w:tcW w:w="2160" w:type="dxa"/>
            <w:tcBorders>
              <w:top w:val="single" w:color="auto" w:sz="2" w:space="0"/>
              <w:left w:val="single" w:color="auto" w:sz="2" w:space="0"/>
              <w:bottom w:val="single" w:color="auto" w:sz="12" w:space="0"/>
              <w:right w:val="single" w:color="auto" w:sz="2" w:space="0"/>
            </w:tcBorders>
            <w:vAlign w:val="center"/>
          </w:tcPr>
          <w:p w14:paraId="44A57DEB">
            <w:pPr>
              <w:spacing w:line="240" w:lineRule="auto"/>
              <w:jc w:val="center"/>
              <w:rPr>
                <w:rFonts w:ascii="Times New Roman" w:hAnsi="Times New Roman"/>
                <w:sz w:val="18"/>
                <w:szCs w:val="18"/>
              </w:rPr>
            </w:pPr>
            <w:r>
              <w:rPr>
                <w:rFonts w:ascii="Times New Roman" w:hAnsi="Times New Roman"/>
                <w:sz w:val="18"/>
                <w:szCs w:val="18"/>
              </w:rPr>
              <w:t>全长直度</w:t>
            </w:r>
          </w:p>
        </w:tc>
        <w:tc>
          <w:tcPr>
            <w:tcW w:w="2160" w:type="dxa"/>
            <w:tcBorders>
              <w:top w:val="single" w:color="auto" w:sz="2" w:space="0"/>
              <w:left w:val="single" w:color="auto" w:sz="2" w:space="0"/>
              <w:bottom w:val="single" w:color="auto" w:sz="12" w:space="0"/>
              <w:right w:val="single" w:color="auto" w:sz="12" w:space="0"/>
            </w:tcBorders>
            <w:vAlign w:val="center"/>
          </w:tcPr>
          <w:p w14:paraId="092A673A">
            <w:pPr>
              <w:spacing w:line="240" w:lineRule="auto"/>
              <w:jc w:val="center"/>
              <w:rPr>
                <w:rFonts w:ascii="Times New Roman" w:hAnsi="Times New Roman"/>
                <w:sz w:val="18"/>
                <w:szCs w:val="18"/>
              </w:rPr>
            </w:pPr>
            <w:r>
              <w:rPr>
                <w:rFonts w:ascii="Times New Roman" w:hAnsi="Times New Roman"/>
                <w:sz w:val="18"/>
                <w:szCs w:val="18"/>
              </w:rPr>
              <w:t>每米直度</w:t>
            </w:r>
          </w:p>
        </w:tc>
      </w:tr>
      <w:tr w14:paraId="171C4D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restart"/>
            <w:tcBorders>
              <w:top w:val="single" w:color="auto" w:sz="12" w:space="0"/>
              <w:bottom w:val="single" w:color="auto" w:sz="2" w:space="0"/>
              <w:right w:val="single" w:color="auto" w:sz="2" w:space="0"/>
            </w:tcBorders>
            <w:vAlign w:val="center"/>
          </w:tcPr>
          <w:p w14:paraId="194CB703">
            <w:pPr>
              <w:spacing w:line="240" w:lineRule="auto"/>
              <w:jc w:val="center"/>
              <w:rPr>
                <w:rFonts w:hint="eastAsia" w:ascii="Times New Roman" w:hAnsi="Times New Roman" w:eastAsia="宋体"/>
                <w:sz w:val="18"/>
                <w:szCs w:val="18"/>
                <w:lang w:eastAsia="zh-CN"/>
              </w:rPr>
            </w:pPr>
            <w:r>
              <w:rPr>
                <w:rFonts w:ascii="Times New Roman" w:hAnsi="Times New Roman"/>
                <w:sz w:val="18"/>
                <w:szCs w:val="18"/>
              </w:rPr>
              <w:t>8～12</w:t>
            </w:r>
          </w:p>
        </w:tc>
        <w:tc>
          <w:tcPr>
            <w:tcW w:w="2640" w:type="dxa"/>
            <w:tcBorders>
              <w:top w:val="single" w:color="auto" w:sz="12" w:space="0"/>
              <w:left w:val="single" w:color="auto" w:sz="2" w:space="0"/>
              <w:bottom w:val="single" w:color="auto" w:sz="2" w:space="0"/>
              <w:right w:val="single" w:color="auto" w:sz="2" w:space="0"/>
            </w:tcBorders>
            <w:vAlign w:val="center"/>
          </w:tcPr>
          <w:p w14:paraId="7C61C206">
            <w:pPr>
              <w:spacing w:line="240" w:lineRule="auto"/>
              <w:jc w:val="center"/>
              <w:rPr>
                <w:rFonts w:ascii="Times New Roman" w:hAnsi="Times New Roman"/>
                <w:sz w:val="18"/>
                <w:szCs w:val="18"/>
              </w:rPr>
            </w:pPr>
            <w:r>
              <w:rPr>
                <w:rFonts w:hint="eastAsia" w:ascii="仿宋" w:hAnsi="仿宋" w:eastAsia="仿宋" w:cs="仿宋"/>
                <w:sz w:val="20"/>
                <w:szCs w:val="21"/>
              </w:rPr>
              <w:t>≥</w:t>
            </w:r>
            <w:r>
              <w:rPr>
                <w:rFonts w:ascii="Times New Roman" w:hAnsi="Times New Roman"/>
                <w:sz w:val="18"/>
                <w:szCs w:val="18"/>
              </w:rPr>
              <w:t>2000～＜3000</w:t>
            </w:r>
          </w:p>
        </w:tc>
        <w:tc>
          <w:tcPr>
            <w:tcW w:w="2160" w:type="dxa"/>
            <w:tcBorders>
              <w:top w:val="single" w:color="auto" w:sz="12" w:space="0"/>
              <w:left w:val="single" w:color="auto" w:sz="2" w:space="0"/>
              <w:bottom w:val="single" w:color="auto" w:sz="2" w:space="0"/>
              <w:right w:val="single" w:color="auto" w:sz="2" w:space="0"/>
            </w:tcBorders>
            <w:vAlign w:val="center"/>
          </w:tcPr>
          <w:p w14:paraId="37CDE46C">
            <w:pPr>
              <w:spacing w:line="240" w:lineRule="auto"/>
              <w:jc w:val="center"/>
              <w:rPr>
                <w:rFonts w:ascii="Times New Roman" w:hAnsi="Times New Roman"/>
                <w:sz w:val="18"/>
                <w:szCs w:val="18"/>
              </w:rPr>
            </w:pPr>
            <w:r>
              <w:rPr>
                <w:rFonts w:hint="eastAsia" w:ascii="仿宋" w:hAnsi="仿宋" w:eastAsia="仿宋" w:cs="仿宋"/>
                <w:kern w:val="0"/>
                <w:sz w:val="24"/>
              </w:rPr>
              <w:t>≤</w:t>
            </w:r>
            <w:r>
              <w:rPr>
                <w:rFonts w:ascii="Times New Roman" w:hAnsi="Times New Roman"/>
                <w:sz w:val="18"/>
                <w:szCs w:val="18"/>
              </w:rPr>
              <w:t>5</w:t>
            </w:r>
          </w:p>
        </w:tc>
        <w:tc>
          <w:tcPr>
            <w:tcW w:w="2160" w:type="dxa"/>
            <w:tcBorders>
              <w:top w:val="single" w:color="auto" w:sz="12" w:space="0"/>
              <w:left w:val="single" w:color="auto" w:sz="2" w:space="0"/>
              <w:bottom w:val="single" w:color="auto" w:sz="2" w:space="0"/>
            </w:tcBorders>
            <w:vAlign w:val="center"/>
          </w:tcPr>
          <w:p w14:paraId="5390A1CC">
            <w:pPr>
              <w:spacing w:line="240" w:lineRule="auto"/>
              <w:jc w:val="center"/>
              <w:rPr>
                <w:rFonts w:hint="eastAsia" w:ascii="Times New Roman" w:hAnsi="Times New Roman" w:eastAsia="宋体"/>
                <w:sz w:val="18"/>
                <w:szCs w:val="18"/>
                <w:lang w:val="en-US" w:eastAsia="zh-CN"/>
              </w:rPr>
            </w:pPr>
            <w:r>
              <w:rPr>
                <w:rFonts w:hint="eastAsia" w:ascii="仿宋" w:hAnsi="仿宋" w:eastAsia="仿宋" w:cs="仿宋"/>
                <w:kern w:val="0"/>
                <w:sz w:val="24"/>
              </w:rPr>
              <w:t>≤</w:t>
            </w:r>
            <w:r>
              <w:rPr>
                <w:rFonts w:hint="eastAsia" w:ascii="Times New Roman" w:hAnsi="Times New Roman"/>
                <w:color w:val="auto"/>
                <w:sz w:val="18"/>
                <w:szCs w:val="18"/>
                <w:lang w:val="en-US" w:eastAsia="zh-CN"/>
              </w:rPr>
              <w:t>2</w:t>
            </w:r>
          </w:p>
        </w:tc>
      </w:tr>
      <w:tr w14:paraId="6FBC1A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80" w:type="dxa"/>
            <w:vMerge w:val="continue"/>
            <w:tcBorders>
              <w:top w:val="single" w:color="auto" w:sz="2" w:space="0"/>
              <w:bottom w:val="single" w:color="auto" w:sz="12" w:space="0"/>
              <w:right w:val="single" w:color="auto" w:sz="2" w:space="0"/>
            </w:tcBorders>
            <w:vAlign w:val="center"/>
          </w:tcPr>
          <w:p w14:paraId="445032E6">
            <w:pPr>
              <w:spacing w:line="240" w:lineRule="auto"/>
              <w:jc w:val="center"/>
              <w:rPr>
                <w:rFonts w:ascii="Times New Roman" w:hAnsi="Times New Roman"/>
                <w:sz w:val="18"/>
                <w:szCs w:val="18"/>
              </w:rPr>
            </w:pPr>
          </w:p>
        </w:tc>
        <w:tc>
          <w:tcPr>
            <w:tcW w:w="2640" w:type="dxa"/>
            <w:tcBorders>
              <w:top w:val="single" w:color="auto" w:sz="2" w:space="0"/>
              <w:left w:val="single" w:color="auto" w:sz="2" w:space="0"/>
              <w:bottom w:val="single" w:color="auto" w:sz="12" w:space="0"/>
              <w:right w:val="single" w:color="auto" w:sz="2" w:space="0"/>
            </w:tcBorders>
            <w:vAlign w:val="center"/>
          </w:tcPr>
          <w:p w14:paraId="69789313">
            <w:pPr>
              <w:spacing w:line="240" w:lineRule="auto"/>
              <w:jc w:val="center"/>
              <w:rPr>
                <w:rFonts w:ascii="Times New Roman" w:hAnsi="Times New Roman"/>
                <w:sz w:val="18"/>
                <w:szCs w:val="18"/>
              </w:rPr>
            </w:pPr>
            <w:r>
              <w:rPr>
                <w:rFonts w:hint="eastAsia" w:ascii="仿宋" w:hAnsi="仿宋" w:eastAsia="仿宋" w:cs="仿宋"/>
                <w:sz w:val="20"/>
                <w:szCs w:val="21"/>
              </w:rPr>
              <w:t>≥</w:t>
            </w:r>
            <w:r>
              <w:rPr>
                <w:rFonts w:ascii="Times New Roman" w:hAnsi="Times New Roman"/>
                <w:sz w:val="18"/>
                <w:szCs w:val="18"/>
              </w:rPr>
              <w:t>3000</w:t>
            </w:r>
          </w:p>
        </w:tc>
        <w:tc>
          <w:tcPr>
            <w:tcW w:w="2160" w:type="dxa"/>
            <w:tcBorders>
              <w:top w:val="single" w:color="auto" w:sz="2" w:space="0"/>
              <w:left w:val="single" w:color="auto" w:sz="2" w:space="0"/>
              <w:bottom w:val="single" w:color="auto" w:sz="12" w:space="0"/>
              <w:right w:val="single" w:color="auto" w:sz="2" w:space="0"/>
            </w:tcBorders>
            <w:vAlign w:val="center"/>
          </w:tcPr>
          <w:p w14:paraId="5438887F">
            <w:pPr>
              <w:spacing w:line="240" w:lineRule="auto"/>
              <w:jc w:val="center"/>
              <w:rPr>
                <w:rFonts w:ascii="Times New Roman" w:hAnsi="Times New Roman"/>
                <w:sz w:val="18"/>
                <w:szCs w:val="18"/>
              </w:rPr>
            </w:pPr>
            <w:r>
              <w:rPr>
                <w:rFonts w:hint="eastAsia" w:ascii="仿宋" w:hAnsi="仿宋" w:eastAsia="仿宋" w:cs="仿宋"/>
                <w:kern w:val="0"/>
                <w:sz w:val="24"/>
              </w:rPr>
              <w:t>≤</w:t>
            </w:r>
            <w:r>
              <w:rPr>
                <w:rFonts w:ascii="Times New Roman" w:hAnsi="Times New Roman"/>
                <w:sz w:val="18"/>
                <w:szCs w:val="18"/>
              </w:rPr>
              <w:t>8</w:t>
            </w:r>
          </w:p>
        </w:tc>
        <w:tc>
          <w:tcPr>
            <w:tcW w:w="2160" w:type="dxa"/>
            <w:tcBorders>
              <w:top w:val="single" w:color="auto" w:sz="2" w:space="0"/>
              <w:left w:val="single" w:color="auto" w:sz="2" w:space="0"/>
              <w:bottom w:val="single" w:color="auto" w:sz="12" w:space="0"/>
            </w:tcBorders>
            <w:vAlign w:val="center"/>
          </w:tcPr>
          <w:p w14:paraId="116996B1">
            <w:pPr>
              <w:spacing w:line="240" w:lineRule="auto"/>
              <w:jc w:val="center"/>
              <w:rPr>
                <w:rFonts w:ascii="Times New Roman" w:hAnsi="Times New Roman"/>
                <w:sz w:val="18"/>
                <w:szCs w:val="18"/>
              </w:rPr>
            </w:pPr>
            <w:r>
              <w:rPr>
                <w:rFonts w:hint="eastAsia" w:ascii="仿宋" w:hAnsi="仿宋" w:eastAsia="仿宋" w:cs="仿宋"/>
                <w:kern w:val="0"/>
                <w:sz w:val="24"/>
              </w:rPr>
              <w:t>≤</w:t>
            </w:r>
            <w:r>
              <w:rPr>
                <w:rFonts w:hint="eastAsia" w:ascii="Times New Roman" w:hAnsi="Times New Roman"/>
                <w:sz w:val="18"/>
                <w:szCs w:val="18"/>
              </w:rPr>
              <w:t>3</w:t>
            </w:r>
          </w:p>
        </w:tc>
      </w:tr>
      <w:tr w14:paraId="11BB39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240" w:type="dxa"/>
            <w:gridSpan w:val="4"/>
            <w:tcBorders>
              <w:top w:val="single" w:color="auto" w:sz="12" w:space="0"/>
            </w:tcBorders>
            <w:vAlign w:val="center"/>
          </w:tcPr>
          <w:p w14:paraId="7722FEB8">
            <w:pPr>
              <w:spacing w:line="240" w:lineRule="auto"/>
              <w:rPr>
                <w:rFonts w:ascii="宋体" w:hAnsi="宋体"/>
                <w:sz w:val="18"/>
                <w:szCs w:val="18"/>
              </w:rPr>
            </w:pPr>
            <w:r>
              <w:rPr>
                <w:rFonts w:hint="eastAsia" w:ascii="黑体" w:hAnsi="黑体" w:eastAsia="黑体" w:cs="黑体"/>
                <w:sz w:val="18"/>
                <w:szCs w:val="18"/>
              </w:rPr>
              <w:t>注：</w:t>
            </w:r>
            <w:r>
              <w:rPr>
                <w:rFonts w:ascii="宋体" w:hAnsi="宋体"/>
                <w:sz w:val="18"/>
                <w:szCs w:val="18"/>
              </w:rPr>
              <w:t>尺寸超出规定范围的，其允许偏差以供需双方的协议为准。</w:t>
            </w:r>
          </w:p>
        </w:tc>
      </w:tr>
    </w:tbl>
    <w:p w14:paraId="1E57AA5B">
      <w:pPr>
        <w:pStyle w:val="107"/>
        <w:spacing w:before="156" w:after="156"/>
      </w:pPr>
      <w:r>
        <w:rPr>
          <w:rFonts w:hint="eastAsia" w:ascii="黑体" w:hAnsi="黑体" w:eastAsia="黑体" w:cs="黑体"/>
        </w:rPr>
        <w:t>5.3</w:t>
      </w:r>
      <w:r>
        <w:rPr>
          <w:rFonts w:hint="eastAsia"/>
        </w:rPr>
        <w:t>力学性能</w:t>
      </w:r>
    </w:p>
    <w:p w14:paraId="277E7D5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ascii="Times New Roman" w:hAnsi="Times New Roman"/>
        </w:rPr>
        <w:t>棒材的室温力学性能应符合表</w:t>
      </w:r>
      <w:r>
        <w:rPr>
          <w:rFonts w:hint="eastAsia" w:ascii="Times New Roman" w:hAnsi="Times New Roman"/>
        </w:rPr>
        <w:t>4</w:t>
      </w:r>
      <w:r>
        <w:rPr>
          <w:rFonts w:ascii="Times New Roman" w:hAnsi="Times New Roman"/>
        </w:rPr>
        <w:t>的规定。</w:t>
      </w:r>
    </w:p>
    <w:p w14:paraId="1D6996C2">
      <w:pPr>
        <w:keepNext w:val="0"/>
        <w:keepLines w:val="0"/>
        <w:pageBreakBefore w:val="0"/>
        <w:widowControl w:val="0"/>
        <w:tabs>
          <w:tab w:val="left" w:pos="2940"/>
        </w:tabs>
        <w:kinsoku/>
        <w:wordWrap/>
        <w:overflowPunct/>
        <w:topLinePunct w:val="0"/>
        <w:autoSpaceDE/>
        <w:autoSpaceDN/>
        <w:bidi w:val="0"/>
        <w:adjustRightInd w:val="0"/>
        <w:snapToGrid/>
        <w:spacing w:line="240" w:lineRule="auto"/>
        <w:ind w:right="210" w:firstLine="0"/>
        <w:jc w:val="center"/>
        <w:textAlignment w:val="auto"/>
        <w:rPr>
          <w:rFonts w:ascii="黑体" w:eastAsia="黑体"/>
        </w:rPr>
      </w:pPr>
      <w:r>
        <w:rPr>
          <w:rFonts w:hint="eastAsia" w:ascii="黑体" w:eastAsia="黑体"/>
        </w:rPr>
        <w:t>表4 棒材力学性能</w:t>
      </w:r>
    </w:p>
    <w:tbl>
      <w:tblPr>
        <w:tblStyle w:val="28"/>
        <w:tblW w:w="4859"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2458"/>
        <w:gridCol w:w="709"/>
        <w:gridCol w:w="1280"/>
        <w:gridCol w:w="2177"/>
        <w:gridCol w:w="1559"/>
        <w:gridCol w:w="1117"/>
      </w:tblGrid>
      <w:tr w14:paraId="61F67B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21" w:type="pct"/>
            <w:vMerge w:val="restart"/>
            <w:tcBorders>
              <w:bottom w:val="single" w:color="auto" w:sz="2" w:space="0"/>
              <w:right w:val="single" w:color="auto" w:sz="2" w:space="0"/>
            </w:tcBorders>
            <w:vAlign w:val="center"/>
          </w:tcPr>
          <w:p w14:paraId="68752B9C">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牌号</w:t>
            </w:r>
          </w:p>
        </w:tc>
        <w:tc>
          <w:tcPr>
            <w:tcW w:w="381" w:type="pct"/>
            <w:vMerge w:val="restart"/>
            <w:tcBorders>
              <w:left w:val="single" w:color="auto" w:sz="2" w:space="0"/>
              <w:bottom w:val="single" w:color="auto" w:sz="2" w:space="0"/>
              <w:right w:val="single" w:color="auto" w:sz="2" w:space="0"/>
            </w:tcBorders>
            <w:vAlign w:val="center"/>
          </w:tcPr>
          <w:p w14:paraId="76427613">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状态</w:t>
            </w:r>
          </w:p>
        </w:tc>
        <w:tc>
          <w:tcPr>
            <w:tcW w:w="688" w:type="pct"/>
            <w:vMerge w:val="restart"/>
            <w:tcBorders>
              <w:left w:val="single" w:color="auto" w:sz="2" w:space="0"/>
              <w:bottom w:val="single" w:color="auto" w:sz="2" w:space="0"/>
              <w:right w:val="single" w:color="auto" w:sz="2" w:space="0"/>
            </w:tcBorders>
            <w:vAlign w:val="center"/>
          </w:tcPr>
          <w:p w14:paraId="21370BC7">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直径</w:t>
            </w:r>
          </w:p>
          <w:p w14:paraId="0B4E97D9">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mm</w:t>
            </w:r>
          </w:p>
        </w:tc>
        <w:tc>
          <w:tcPr>
            <w:tcW w:w="2008" w:type="pct"/>
            <w:gridSpan w:val="2"/>
            <w:tcBorders>
              <w:left w:val="single" w:color="auto" w:sz="2" w:space="0"/>
              <w:bottom w:val="single" w:color="auto" w:sz="2" w:space="0"/>
              <w:right w:val="single" w:color="auto" w:sz="2" w:space="0"/>
            </w:tcBorders>
            <w:vAlign w:val="center"/>
          </w:tcPr>
          <w:p w14:paraId="2B45ADA8">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拉伸试验</w:t>
            </w:r>
          </w:p>
        </w:tc>
        <w:tc>
          <w:tcPr>
            <w:tcW w:w="600" w:type="pct"/>
            <w:tcBorders>
              <w:left w:val="single" w:color="auto" w:sz="2" w:space="0"/>
              <w:bottom w:val="single" w:color="auto" w:sz="2" w:space="0"/>
            </w:tcBorders>
            <w:vAlign w:val="center"/>
          </w:tcPr>
          <w:p w14:paraId="7B14D59B">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硬度试验</w:t>
            </w:r>
          </w:p>
        </w:tc>
      </w:tr>
      <w:tr w14:paraId="4A8B15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21" w:type="pct"/>
            <w:vMerge w:val="continue"/>
            <w:tcBorders>
              <w:top w:val="single" w:color="auto" w:sz="2" w:space="0"/>
              <w:bottom w:val="single" w:color="auto" w:sz="2" w:space="0"/>
              <w:right w:val="single" w:color="auto" w:sz="2" w:space="0"/>
            </w:tcBorders>
            <w:vAlign w:val="center"/>
          </w:tcPr>
          <w:p w14:paraId="15C012B9">
            <w:pPr>
              <w:spacing w:line="240" w:lineRule="auto"/>
              <w:jc w:val="center"/>
              <w:rPr>
                <w:rFonts w:ascii="Times New Roman" w:hAnsi="Times New Roman" w:eastAsia="宋体" w:cs="Times New Roman"/>
                <w:sz w:val="18"/>
                <w:szCs w:val="18"/>
              </w:rPr>
            </w:pPr>
          </w:p>
        </w:tc>
        <w:tc>
          <w:tcPr>
            <w:tcW w:w="381" w:type="pct"/>
            <w:vMerge w:val="continue"/>
            <w:tcBorders>
              <w:top w:val="single" w:color="auto" w:sz="2" w:space="0"/>
              <w:left w:val="single" w:color="auto" w:sz="2" w:space="0"/>
              <w:bottom w:val="single" w:color="auto" w:sz="2" w:space="0"/>
              <w:right w:val="single" w:color="auto" w:sz="2" w:space="0"/>
            </w:tcBorders>
            <w:vAlign w:val="center"/>
          </w:tcPr>
          <w:p w14:paraId="7F19EA61">
            <w:pPr>
              <w:spacing w:line="240" w:lineRule="auto"/>
              <w:jc w:val="center"/>
              <w:rPr>
                <w:rFonts w:ascii="Times New Roman" w:hAnsi="Times New Roman" w:eastAsia="宋体" w:cs="Times New Roman"/>
                <w:sz w:val="18"/>
                <w:szCs w:val="18"/>
              </w:rPr>
            </w:pPr>
          </w:p>
        </w:tc>
        <w:tc>
          <w:tcPr>
            <w:tcW w:w="688" w:type="pct"/>
            <w:vMerge w:val="continue"/>
            <w:tcBorders>
              <w:top w:val="single" w:color="auto" w:sz="2" w:space="0"/>
              <w:left w:val="single" w:color="auto" w:sz="2" w:space="0"/>
              <w:bottom w:val="single" w:color="auto" w:sz="2" w:space="0"/>
              <w:right w:val="single" w:color="auto" w:sz="2" w:space="0"/>
            </w:tcBorders>
            <w:vAlign w:val="center"/>
          </w:tcPr>
          <w:p w14:paraId="19A266AB">
            <w:pPr>
              <w:spacing w:line="240" w:lineRule="auto"/>
              <w:jc w:val="center"/>
              <w:rPr>
                <w:rFonts w:ascii="Times New Roman" w:hAnsi="Times New Roman" w:eastAsia="宋体" w:cs="Times New Roman"/>
                <w:sz w:val="18"/>
                <w:szCs w:val="18"/>
              </w:rPr>
            </w:pPr>
          </w:p>
        </w:tc>
        <w:tc>
          <w:tcPr>
            <w:tcW w:w="1170" w:type="pct"/>
            <w:tcBorders>
              <w:top w:val="single" w:color="auto" w:sz="2" w:space="0"/>
              <w:left w:val="single" w:color="auto" w:sz="2" w:space="0"/>
              <w:bottom w:val="single" w:color="auto" w:sz="2" w:space="0"/>
              <w:right w:val="single" w:color="auto" w:sz="2" w:space="0"/>
            </w:tcBorders>
            <w:vAlign w:val="center"/>
          </w:tcPr>
          <w:p w14:paraId="7CDBF6EA">
            <w:pPr>
              <w:spacing w:line="240" w:lineRule="auto"/>
              <w:jc w:val="center"/>
              <w:rPr>
                <w:rFonts w:hint="eastAsia" w:ascii="Times New Roman" w:hAnsi="Times New Roman" w:eastAsia="宋体" w:cs="Times New Roman"/>
                <w:sz w:val="18"/>
                <w:szCs w:val="18"/>
                <w:lang w:eastAsia="zh-CN"/>
              </w:rPr>
            </w:pPr>
            <w:r>
              <w:rPr>
                <w:rFonts w:ascii="Times New Roman" w:hAnsi="Times New Roman" w:eastAsia="宋体" w:cs="Times New Roman"/>
                <w:sz w:val="18"/>
                <w:szCs w:val="18"/>
              </w:rPr>
              <w:t>抗拉强度</w:t>
            </w:r>
            <w:r>
              <w:rPr>
                <w:rFonts w:hint="eastAsia" w:ascii="Times New Roman" w:hAnsi="Times New Roman" w:cs="Times New Roman"/>
                <w:sz w:val="18"/>
                <w:szCs w:val="18"/>
                <w:lang w:eastAsia="zh-CN"/>
              </w:rPr>
              <w:t>（</w:t>
            </w:r>
            <w:r>
              <w:rPr>
                <w:rFonts w:ascii="Times New Roman" w:hAnsi="Times New Roman" w:eastAsia="宋体" w:cs="Times New Roman"/>
                <w:i/>
                <w:sz w:val="18"/>
                <w:szCs w:val="18"/>
              </w:rPr>
              <w:t>R</w:t>
            </w:r>
            <w:r>
              <w:rPr>
                <w:rFonts w:ascii="Times New Roman" w:hAnsi="Times New Roman" w:eastAsia="宋体" w:cs="Times New Roman"/>
                <w:sz w:val="18"/>
                <w:szCs w:val="18"/>
                <w:vertAlign w:val="subscript"/>
              </w:rPr>
              <w:t>m</w:t>
            </w:r>
            <w:r>
              <w:rPr>
                <w:rFonts w:hint="eastAsia" w:ascii="Times New Roman" w:hAnsi="Times New Roman" w:cs="Times New Roman"/>
                <w:sz w:val="18"/>
                <w:szCs w:val="18"/>
                <w:lang w:eastAsia="zh-CN"/>
              </w:rPr>
              <w:t>）</w:t>
            </w:r>
          </w:p>
          <w:p w14:paraId="580ADFE8">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MPa</w:t>
            </w:r>
          </w:p>
        </w:tc>
        <w:tc>
          <w:tcPr>
            <w:tcW w:w="837" w:type="pct"/>
            <w:tcBorders>
              <w:top w:val="single" w:color="auto" w:sz="2" w:space="0"/>
              <w:left w:val="single" w:color="auto" w:sz="2" w:space="0"/>
              <w:bottom w:val="single" w:color="auto" w:sz="2" w:space="0"/>
              <w:right w:val="single" w:color="auto" w:sz="2" w:space="0"/>
            </w:tcBorders>
            <w:vAlign w:val="center"/>
          </w:tcPr>
          <w:p w14:paraId="684E0C81">
            <w:pPr>
              <w:spacing w:line="240" w:lineRule="auto"/>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断后</w:t>
            </w:r>
            <w:r>
              <w:rPr>
                <w:rFonts w:ascii="Times New Roman" w:hAnsi="Times New Roman" w:eastAsia="宋体" w:cs="Times New Roman"/>
                <w:sz w:val="18"/>
                <w:szCs w:val="18"/>
              </w:rPr>
              <w:t>伸长率</w:t>
            </w:r>
            <w:r>
              <w:rPr>
                <w:rFonts w:hint="eastAsia" w:ascii="Times New Roman" w:hAnsi="Times New Roman" w:cs="Times New Roman"/>
                <w:sz w:val="18"/>
                <w:szCs w:val="18"/>
                <w:lang w:eastAsia="zh-CN"/>
              </w:rPr>
              <w:t>（</w:t>
            </w:r>
            <w:r>
              <w:rPr>
                <w:rFonts w:ascii="Times New Roman" w:hAnsi="Times New Roman" w:eastAsia="宋体" w:cs="Times New Roman"/>
                <w:i/>
                <w:iCs/>
                <w:sz w:val="18"/>
                <w:szCs w:val="18"/>
              </w:rPr>
              <w:t>A</w:t>
            </w:r>
            <w:r>
              <w:rPr>
                <w:rFonts w:hint="eastAsia" w:ascii="Times New Roman" w:hAnsi="Times New Roman" w:cs="Times New Roman"/>
                <w:sz w:val="18"/>
                <w:szCs w:val="18"/>
                <w:lang w:eastAsia="zh-CN"/>
              </w:rPr>
              <w:t>）</w:t>
            </w:r>
          </w:p>
          <w:p w14:paraId="79733A85">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00" w:type="pct"/>
            <w:tcBorders>
              <w:top w:val="single" w:color="auto" w:sz="2" w:space="0"/>
              <w:left w:val="single" w:color="auto" w:sz="2" w:space="0"/>
              <w:bottom w:val="single" w:color="auto" w:sz="2" w:space="0"/>
            </w:tcBorders>
            <w:vAlign w:val="center"/>
          </w:tcPr>
          <w:p w14:paraId="043749C2">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布氏硬度</w:t>
            </w:r>
          </w:p>
          <w:p w14:paraId="7C1F13A0">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HBW</w:t>
            </w:r>
          </w:p>
        </w:tc>
      </w:tr>
      <w:tr w14:paraId="4CBE90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21" w:type="pct"/>
            <w:vMerge w:val="continue"/>
            <w:tcBorders>
              <w:top w:val="single" w:color="auto" w:sz="2" w:space="0"/>
              <w:bottom w:val="single" w:color="auto" w:sz="12" w:space="0"/>
              <w:right w:val="single" w:color="auto" w:sz="2" w:space="0"/>
            </w:tcBorders>
            <w:vAlign w:val="center"/>
          </w:tcPr>
          <w:p w14:paraId="2AF306E7">
            <w:pPr>
              <w:spacing w:line="240" w:lineRule="auto"/>
              <w:jc w:val="center"/>
              <w:rPr>
                <w:rFonts w:ascii="Times New Roman" w:hAnsi="Times New Roman" w:eastAsia="宋体" w:cs="Times New Roman"/>
                <w:sz w:val="18"/>
                <w:szCs w:val="18"/>
              </w:rPr>
            </w:pPr>
          </w:p>
        </w:tc>
        <w:tc>
          <w:tcPr>
            <w:tcW w:w="381" w:type="pct"/>
            <w:vMerge w:val="continue"/>
            <w:tcBorders>
              <w:top w:val="single" w:color="auto" w:sz="2" w:space="0"/>
              <w:left w:val="single" w:color="auto" w:sz="2" w:space="0"/>
              <w:bottom w:val="single" w:color="auto" w:sz="12" w:space="0"/>
              <w:right w:val="single" w:color="auto" w:sz="2" w:space="0"/>
            </w:tcBorders>
            <w:vAlign w:val="center"/>
          </w:tcPr>
          <w:p w14:paraId="70AEFA6B">
            <w:pPr>
              <w:spacing w:line="240" w:lineRule="auto"/>
              <w:jc w:val="center"/>
              <w:rPr>
                <w:rFonts w:ascii="Times New Roman" w:hAnsi="Times New Roman" w:eastAsia="宋体" w:cs="Times New Roman"/>
                <w:sz w:val="18"/>
                <w:szCs w:val="18"/>
              </w:rPr>
            </w:pPr>
          </w:p>
        </w:tc>
        <w:tc>
          <w:tcPr>
            <w:tcW w:w="688" w:type="pct"/>
            <w:vMerge w:val="continue"/>
            <w:tcBorders>
              <w:top w:val="single" w:color="auto" w:sz="2" w:space="0"/>
              <w:left w:val="single" w:color="auto" w:sz="2" w:space="0"/>
              <w:bottom w:val="single" w:color="auto" w:sz="12" w:space="0"/>
              <w:right w:val="single" w:color="auto" w:sz="2" w:space="0"/>
            </w:tcBorders>
            <w:vAlign w:val="center"/>
          </w:tcPr>
          <w:p w14:paraId="332F1BC4">
            <w:pPr>
              <w:spacing w:line="240" w:lineRule="auto"/>
              <w:jc w:val="center"/>
              <w:rPr>
                <w:rFonts w:ascii="Times New Roman" w:hAnsi="Times New Roman" w:eastAsia="宋体" w:cs="Times New Roman"/>
                <w:sz w:val="18"/>
                <w:szCs w:val="18"/>
              </w:rPr>
            </w:pPr>
          </w:p>
        </w:tc>
        <w:tc>
          <w:tcPr>
            <w:tcW w:w="2608" w:type="pct"/>
            <w:gridSpan w:val="3"/>
            <w:tcBorders>
              <w:top w:val="single" w:color="auto" w:sz="2" w:space="0"/>
              <w:left w:val="single" w:color="auto" w:sz="2" w:space="0"/>
              <w:bottom w:val="single" w:color="auto" w:sz="12" w:space="0"/>
            </w:tcBorders>
            <w:vAlign w:val="center"/>
          </w:tcPr>
          <w:p w14:paraId="6071165D">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不小于</w:t>
            </w:r>
          </w:p>
        </w:tc>
      </w:tr>
      <w:tr w14:paraId="16E7CA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21" w:type="pct"/>
            <w:tcBorders>
              <w:top w:val="single" w:color="auto" w:sz="12" w:space="0"/>
              <w:right w:val="single" w:color="auto" w:sz="2" w:space="0"/>
            </w:tcBorders>
            <w:vAlign w:val="center"/>
          </w:tcPr>
          <w:p w14:paraId="20971A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highlight w:val="none"/>
              </w:rPr>
              <w:t>TU0、</w:t>
            </w:r>
            <w:r>
              <w:rPr>
                <w:rFonts w:hint="eastAsia" w:ascii="Times New Roman" w:hAnsi="Times New Roman" w:eastAsia="宋体" w:cs="Times New Roman"/>
                <w:sz w:val="18"/>
                <w:szCs w:val="18"/>
              </w:rPr>
              <w:t>TU1</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TU2、T1</w:t>
            </w:r>
          </w:p>
          <w:p w14:paraId="50EAD6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sz w:val="18"/>
                <w:szCs w:val="18"/>
              </w:rPr>
            </w:pPr>
            <w:r>
              <w:rPr>
                <w:rFonts w:hint="eastAsia" w:ascii="Times New Roman" w:hAnsi="Times New Roman" w:eastAsia="宋体" w:cs="Times New Roman"/>
                <w:sz w:val="18"/>
                <w:szCs w:val="18"/>
              </w:rPr>
              <w:t>T2</w:t>
            </w:r>
            <w:r>
              <w:rPr>
                <w:rFonts w:hint="eastAsia" w:ascii="Times New Roman" w:hAnsi="Times New Roman" w:eastAsia="宋体" w:cs="Times New Roman"/>
                <w:sz w:val="18"/>
                <w:szCs w:val="18"/>
                <w:lang w:eastAsia="zh-CN"/>
              </w:rPr>
              <w:t>、</w:t>
            </w:r>
            <w:r>
              <w:rPr>
                <w:rFonts w:ascii="Times New Roman" w:hAnsi="Times New Roman" w:eastAsia="宋体" w:cs="Times New Roman"/>
                <w:sz w:val="18"/>
                <w:szCs w:val="18"/>
                <w:highlight w:val="none"/>
              </w:rPr>
              <w:t>TUAg0.05、TUAg0.1</w:t>
            </w:r>
            <w:r>
              <w:rPr>
                <w:rFonts w:hint="eastAsia" w:ascii="Times New Roman" w:hAnsi="Times New Roman" w:eastAsia="宋体" w:cs="Times New Roman"/>
                <w:sz w:val="18"/>
                <w:szCs w:val="18"/>
                <w:highlight w:val="none"/>
                <w:lang w:eastAsia="zh-CN"/>
              </w:rPr>
              <w:t>、</w:t>
            </w:r>
            <w:r>
              <w:rPr>
                <w:rFonts w:ascii="Times New Roman" w:hAnsi="Times New Roman" w:eastAsia="宋体" w:cs="Times New Roman"/>
                <w:sz w:val="18"/>
                <w:szCs w:val="18"/>
                <w:highlight w:val="none"/>
              </w:rPr>
              <w:t>TTe0.3</w:t>
            </w:r>
          </w:p>
        </w:tc>
        <w:tc>
          <w:tcPr>
            <w:tcW w:w="381" w:type="pct"/>
            <w:tcBorders>
              <w:top w:val="single" w:color="auto" w:sz="12" w:space="0"/>
              <w:left w:val="single" w:color="auto" w:sz="2" w:space="0"/>
              <w:right w:val="single" w:color="auto" w:sz="2" w:space="0"/>
            </w:tcBorders>
            <w:vAlign w:val="center"/>
          </w:tcPr>
          <w:p w14:paraId="5C3B7062">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H50</w:t>
            </w:r>
          </w:p>
        </w:tc>
        <w:tc>
          <w:tcPr>
            <w:tcW w:w="688" w:type="pct"/>
            <w:tcBorders>
              <w:top w:val="single" w:color="auto" w:sz="12" w:space="0"/>
              <w:left w:val="single" w:color="auto" w:sz="2" w:space="0"/>
              <w:right w:val="single" w:color="auto" w:sz="2" w:space="0"/>
            </w:tcBorders>
            <w:vAlign w:val="center"/>
          </w:tcPr>
          <w:p w14:paraId="0D600770">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8～12</w:t>
            </w:r>
          </w:p>
        </w:tc>
        <w:tc>
          <w:tcPr>
            <w:tcW w:w="1170" w:type="pct"/>
            <w:tcBorders>
              <w:top w:val="single" w:color="auto" w:sz="12" w:space="0"/>
              <w:left w:val="single" w:color="auto" w:sz="2" w:space="0"/>
              <w:right w:val="single" w:color="auto" w:sz="2" w:space="0"/>
            </w:tcBorders>
            <w:vAlign w:val="center"/>
          </w:tcPr>
          <w:p w14:paraId="7F468A17">
            <w:pPr>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320</w:t>
            </w:r>
          </w:p>
        </w:tc>
        <w:tc>
          <w:tcPr>
            <w:tcW w:w="837" w:type="pct"/>
            <w:tcBorders>
              <w:top w:val="single" w:color="auto" w:sz="12" w:space="0"/>
              <w:left w:val="single" w:color="auto" w:sz="2" w:space="0"/>
              <w:right w:val="single" w:color="auto" w:sz="2" w:space="0"/>
            </w:tcBorders>
            <w:vAlign w:val="center"/>
          </w:tcPr>
          <w:p w14:paraId="7CDA2980">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w:t>
            </w:r>
          </w:p>
        </w:tc>
        <w:tc>
          <w:tcPr>
            <w:tcW w:w="600" w:type="pct"/>
            <w:tcBorders>
              <w:top w:val="single" w:color="auto" w:sz="12" w:space="0"/>
              <w:left w:val="single" w:color="auto" w:sz="2" w:space="0"/>
            </w:tcBorders>
            <w:vAlign w:val="center"/>
          </w:tcPr>
          <w:p w14:paraId="23E96DBF">
            <w:pPr>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84</w:t>
            </w:r>
          </w:p>
        </w:tc>
      </w:tr>
    </w:tbl>
    <w:p w14:paraId="4773CC1B">
      <w:pPr>
        <w:pStyle w:val="107"/>
        <w:spacing w:before="156" w:after="156"/>
      </w:pPr>
      <w:r>
        <w:rPr>
          <w:rFonts w:hint="eastAsia" w:ascii="黑体" w:hAnsi="黑体" w:eastAsia="黑体" w:cs="黑体"/>
        </w:rPr>
        <w:t>5.4</w:t>
      </w:r>
      <w:r>
        <w:rPr>
          <w:rFonts w:hint="eastAsia"/>
        </w:rPr>
        <w:t>电性能</w:t>
      </w:r>
    </w:p>
    <w:p w14:paraId="14FD9723">
      <w:pPr>
        <w:spacing w:line="320" w:lineRule="exact"/>
        <w:ind w:firstLine="420" w:firstLineChars="200"/>
        <w:rPr>
          <w:rFonts w:ascii="Times New Roman" w:hAnsi="Times New Roman"/>
        </w:rPr>
      </w:pPr>
      <w:r>
        <w:rPr>
          <w:rFonts w:hint="eastAsia" w:ascii="Times New Roman" w:hAnsi="Times New Roman"/>
        </w:rPr>
        <w:t>在20℃的室温条件下测试</w:t>
      </w:r>
      <w:r>
        <w:rPr>
          <w:rFonts w:ascii="Times New Roman" w:hAnsi="Times New Roman"/>
        </w:rPr>
        <w:t>，</w:t>
      </w:r>
      <w:r>
        <w:rPr>
          <w:rFonts w:hint="eastAsia" w:ascii="Times New Roman" w:hAnsi="Times New Roman"/>
        </w:rPr>
        <w:t>棒材的电性能应符合表5的规定。</w:t>
      </w:r>
    </w:p>
    <w:p w14:paraId="6C059C53">
      <w:pPr>
        <w:keepNext w:val="0"/>
        <w:keepLines w:val="0"/>
        <w:pageBreakBefore w:val="0"/>
        <w:widowControl w:val="0"/>
        <w:kinsoku/>
        <w:wordWrap/>
        <w:overflowPunct/>
        <w:topLinePunct w:val="0"/>
        <w:autoSpaceDE/>
        <w:autoSpaceDN/>
        <w:bidi w:val="0"/>
        <w:adjustRightInd w:val="0"/>
        <w:snapToGrid/>
        <w:spacing w:line="240" w:lineRule="auto"/>
        <w:ind w:right="0" w:rightChars="0" w:firstLine="0"/>
        <w:jc w:val="center"/>
        <w:textAlignment w:val="auto"/>
        <w:rPr>
          <w:rFonts w:hint="eastAsia" w:ascii="黑体" w:eastAsia="黑体"/>
          <w:lang w:eastAsia="zh-CN"/>
        </w:rPr>
      </w:pPr>
      <w:r>
        <w:rPr>
          <w:rFonts w:hint="eastAsia" w:ascii="黑体" w:hAnsi="宋体" w:eastAsia="黑体"/>
        </w:rPr>
        <w:t xml:space="preserve">表5 </w:t>
      </w:r>
      <w:r>
        <w:rPr>
          <w:rFonts w:hint="eastAsia" w:ascii="黑体" w:eastAsia="黑体"/>
          <w:lang w:val="en-US" w:eastAsia="zh-CN"/>
        </w:rPr>
        <w:t>电性能</w:t>
      </w:r>
    </w:p>
    <w:tbl>
      <w:tblPr>
        <w:tblStyle w:val="28"/>
        <w:tblW w:w="0" w:type="auto"/>
        <w:tblInd w:w="15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77"/>
        <w:gridCol w:w="1320"/>
        <w:gridCol w:w="2760"/>
        <w:gridCol w:w="3329"/>
      </w:tblGrid>
      <w:tr w14:paraId="6B6345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877" w:type="dxa"/>
            <w:vMerge w:val="restart"/>
            <w:tcBorders>
              <w:bottom w:val="single" w:color="auto" w:sz="2" w:space="0"/>
              <w:right w:val="single" w:color="auto" w:sz="2" w:space="0"/>
            </w:tcBorders>
            <w:vAlign w:val="center"/>
          </w:tcPr>
          <w:p w14:paraId="1056FB2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牌 号</w:t>
            </w:r>
          </w:p>
        </w:tc>
        <w:tc>
          <w:tcPr>
            <w:tcW w:w="1320" w:type="dxa"/>
            <w:vMerge w:val="restart"/>
            <w:tcBorders>
              <w:left w:val="single" w:color="auto" w:sz="2" w:space="0"/>
              <w:bottom w:val="single" w:color="auto" w:sz="2" w:space="0"/>
              <w:right w:val="single" w:color="auto" w:sz="2" w:space="0"/>
            </w:tcBorders>
            <w:vAlign w:val="center"/>
          </w:tcPr>
          <w:p w14:paraId="3A6EF6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状态</w:t>
            </w:r>
          </w:p>
        </w:tc>
        <w:tc>
          <w:tcPr>
            <w:tcW w:w="2760" w:type="dxa"/>
            <w:tcBorders>
              <w:left w:val="single" w:color="auto" w:sz="2" w:space="0"/>
              <w:bottom w:val="single" w:color="auto" w:sz="2" w:space="0"/>
              <w:right w:val="single" w:color="auto" w:sz="2" w:space="0"/>
            </w:tcBorders>
            <w:vAlign w:val="center"/>
          </w:tcPr>
          <w:p w14:paraId="5ACA38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导电率</w:t>
            </w:r>
            <w:r>
              <w:rPr>
                <w:color w:val="000000"/>
                <w:kern w:val="0"/>
                <w:sz w:val="18"/>
                <w:szCs w:val="18"/>
              </w:rPr>
              <w:t>（</w:t>
            </w:r>
            <w:r>
              <w:rPr>
                <w:i/>
                <w:iCs/>
                <w:color w:val="000000"/>
                <w:kern w:val="0"/>
                <w:sz w:val="18"/>
                <w:szCs w:val="18"/>
              </w:rPr>
              <w:t>C</w:t>
            </w:r>
            <w:r>
              <w:rPr>
                <w:color w:val="000000"/>
                <w:kern w:val="0"/>
                <w:sz w:val="18"/>
                <w:szCs w:val="18"/>
                <w:vertAlign w:val="subscript"/>
              </w:rPr>
              <w:t>20</w:t>
            </w:r>
            <w:r>
              <w:rPr>
                <w:color w:val="000000"/>
                <w:kern w:val="0"/>
                <w:sz w:val="18"/>
                <w:szCs w:val="18"/>
              </w:rPr>
              <w:t>）</w:t>
            </w:r>
          </w:p>
          <w:p w14:paraId="5C4245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default" w:ascii="Times New Roman" w:hAnsi="Times New Roman" w:eastAsia="宋体" w:cs="Times New Roman"/>
                <w:sz w:val="18"/>
                <w:szCs w:val="18"/>
              </w:rPr>
              <w:t>%IACS</w:t>
            </w:r>
          </w:p>
        </w:tc>
        <w:tc>
          <w:tcPr>
            <w:tcW w:w="3329" w:type="dxa"/>
            <w:tcBorders>
              <w:left w:val="single" w:color="auto" w:sz="2" w:space="0"/>
              <w:bottom w:val="single" w:color="auto" w:sz="2" w:space="0"/>
            </w:tcBorders>
            <w:vAlign w:val="center"/>
          </w:tcPr>
          <w:p w14:paraId="4EDB9B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color w:val="000000"/>
                <w:kern w:val="0"/>
                <w:sz w:val="18"/>
                <w:szCs w:val="18"/>
              </w:rPr>
            </w:pPr>
            <w:r>
              <w:rPr>
                <w:rFonts w:hint="eastAsia" w:ascii="宋体" w:hAnsi="宋体" w:cs="宋体"/>
                <w:color w:val="000000"/>
                <w:kern w:val="0"/>
                <w:sz w:val="18"/>
                <w:szCs w:val="18"/>
              </w:rPr>
              <w:t>体积电阻率</w:t>
            </w:r>
            <w:r>
              <w:rPr>
                <w:color w:val="000000"/>
                <w:kern w:val="0"/>
                <w:sz w:val="18"/>
                <w:szCs w:val="18"/>
              </w:rPr>
              <w:t>（</w:t>
            </w:r>
            <w:r>
              <w:rPr>
                <w:i/>
                <w:iCs/>
                <w:color w:val="000000"/>
                <w:kern w:val="0"/>
                <w:sz w:val="18"/>
                <w:szCs w:val="18"/>
              </w:rPr>
              <w:t>ρ</w:t>
            </w:r>
            <w:r>
              <w:rPr>
                <w:color w:val="000000"/>
                <w:kern w:val="0"/>
                <w:sz w:val="18"/>
                <w:szCs w:val="18"/>
                <w:vertAlign w:val="subscript"/>
              </w:rPr>
              <w:t>20</w:t>
            </w:r>
            <w:r>
              <w:rPr>
                <w:color w:val="000000"/>
                <w:kern w:val="0"/>
                <w:sz w:val="18"/>
                <w:szCs w:val="18"/>
              </w:rPr>
              <w:t>）</w:t>
            </w:r>
          </w:p>
          <w:p w14:paraId="42350C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default" w:ascii="Times New Roman" w:hAnsi="Times New Roman" w:eastAsia="宋体" w:cs="Times New Roman"/>
                <w:sz w:val="18"/>
                <w:szCs w:val="18"/>
              </w:rPr>
              <w:t>Ω·mm</w:t>
            </w:r>
            <w:r>
              <w:rPr>
                <w:rFonts w:hint="default" w:ascii="Times New Roman" w:hAnsi="Times New Roman" w:eastAsia="宋体" w:cs="Times New Roman"/>
                <w:sz w:val="18"/>
                <w:szCs w:val="18"/>
                <w:vertAlign w:val="superscript"/>
              </w:rPr>
              <w:t>2</w:t>
            </w:r>
            <w:r>
              <w:rPr>
                <w:rFonts w:hint="default" w:ascii="Times New Roman" w:hAnsi="Times New Roman" w:eastAsia="宋体" w:cs="Times New Roman"/>
                <w:sz w:val="18"/>
                <w:szCs w:val="18"/>
              </w:rPr>
              <w:t>/m</w:t>
            </w:r>
          </w:p>
        </w:tc>
      </w:tr>
      <w:tr w14:paraId="02EF84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877" w:type="dxa"/>
            <w:vMerge w:val="continue"/>
            <w:tcBorders>
              <w:top w:val="single" w:color="auto" w:sz="2" w:space="0"/>
              <w:bottom w:val="single" w:color="auto" w:sz="12" w:space="0"/>
              <w:right w:val="single" w:color="auto" w:sz="2" w:space="0"/>
            </w:tcBorders>
            <w:vAlign w:val="center"/>
          </w:tcPr>
          <w:p w14:paraId="121244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1320" w:type="dxa"/>
            <w:vMerge w:val="continue"/>
            <w:tcBorders>
              <w:top w:val="single" w:color="auto" w:sz="2" w:space="0"/>
              <w:left w:val="single" w:color="auto" w:sz="2" w:space="0"/>
              <w:bottom w:val="single" w:color="auto" w:sz="12" w:space="0"/>
              <w:right w:val="single" w:color="auto" w:sz="2" w:space="0"/>
            </w:tcBorders>
            <w:vAlign w:val="center"/>
          </w:tcPr>
          <w:p w14:paraId="1CAC5A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p>
        </w:tc>
        <w:tc>
          <w:tcPr>
            <w:tcW w:w="2760" w:type="dxa"/>
            <w:tcBorders>
              <w:top w:val="single" w:color="auto" w:sz="2" w:space="0"/>
              <w:left w:val="single" w:color="auto" w:sz="2" w:space="0"/>
              <w:bottom w:val="single" w:color="auto" w:sz="12" w:space="0"/>
              <w:right w:val="single" w:color="auto" w:sz="2" w:space="0"/>
            </w:tcBorders>
            <w:vAlign w:val="center"/>
          </w:tcPr>
          <w:p w14:paraId="4FF0FA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不小于</w:t>
            </w:r>
          </w:p>
        </w:tc>
        <w:tc>
          <w:tcPr>
            <w:tcW w:w="3329" w:type="dxa"/>
            <w:tcBorders>
              <w:top w:val="single" w:color="auto" w:sz="2" w:space="0"/>
              <w:left w:val="single" w:color="auto" w:sz="2" w:space="0"/>
              <w:bottom w:val="single" w:color="auto" w:sz="12" w:space="0"/>
            </w:tcBorders>
            <w:vAlign w:val="center"/>
          </w:tcPr>
          <w:p w14:paraId="2FFD42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不大于</w:t>
            </w:r>
          </w:p>
        </w:tc>
      </w:tr>
      <w:tr w14:paraId="2D6811B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877" w:type="dxa"/>
            <w:tcBorders>
              <w:top w:val="single" w:color="auto" w:sz="12" w:space="0"/>
              <w:right w:val="single" w:color="auto" w:sz="2" w:space="0"/>
            </w:tcBorders>
            <w:vAlign w:val="center"/>
          </w:tcPr>
          <w:p w14:paraId="4879A4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highlight w:val="none"/>
              </w:rPr>
            </w:pPr>
            <w:r>
              <w:rPr>
                <w:rFonts w:hint="eastAsia" w:ascii="Times New Roman" w:hAnsi="Times New Roman" w:eastAsia="宋体"/>
                <w:sz w:val="18"/>
                <w:szCs w:val="18"/>
                <w:highlight w:val="none"/>
              </w:rPr>
              <w:t>TU0</w:t>
            </w:r>
            <w:r>
              <w:rPr>
                <w:rFonts w:hint="eastAsia" w:ascii="Times New Roman" w:hAnsi="Times New Roman" w:eastAsia="宋体"/>
                <w:sz w:val="18"/>
                <w:szCs w:val="18"/>
              </w:rPr>
              <w:t>、TU1、TU2、T1、</w:t>
            </w:r>
            <w:r>
              <w:rPr>
                <w:rFonts w:ascii="Times New Roman" w:hAnsi="Times New Roman" w:eastAsia="宋体"/>
                <w:sz w:val="18"/>
                <w:szCs w:val="18"/>
              </w:rPr>
              <w:t>T2</w:t>
            </w:r>
            <w:r>
              <w:rPr>
                <w:rFonts w:hint="eastAsia" w:ascii="Times New Roman" w:hAnsi="Times New Roman" w:eastAsia="宋体"/>
                <w:sz w:val="18"/>
                <w:szCs w:val="18"/>
              </w:rPr>
              <w:t>、</w:t>
            </w:r>
            <w:r>
              <w:rPr>
                <w:rFonts w:ascii="Times New Roman" w:hAnsi="Times New Roman" w:eastAsia="宋体"/>
                <w:sz w:val="18"/>
                <w:szCs w:val="18"/>
                <w:highlight w:val="none"/>
              </w:rPr>
              <w:t>TUAg0.0</w:t>
            </w:r>
            <w:r>
              <w:rPr>
                <w:rFonts w:hint="eastAsia" w:ascii="Times New Roman" w:hAnsi="Times New Roman" w:eastAsia="宋体"/>
                <w:sz w:val="18"/>
                <w:szCs w:val="18"/>
                <w:highlight w:val="none"/>
              </w:rPr>
              <w:t>5、</w:t>
            </w:r>
          </w:p>
          <w:p w14:paraId="396DC0A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sz w:val="18"/>
                <w:szCs w:val="18"/>
                <w:highlight w:val="none"/>
              </w:rPr>
              <w:t>TUAg0.</w:t>
            </w:r>
            <w:r>
              <w:rPr>
                <w:rFonts w:hint="eastAsia" w:ascii="Times New Roman" w:hAnsi="Times New Roman" w:eastAsia="宋体"/>
                <w:sz w:val="18"/>
                <w:szCs w:val="18"/>
                <w:highlight w:val="none"/>
              </w:rPr>
              <w:t>1</w:t>
            </w:r>
            <w:r>
              <w:rPr>
                <w:rFonts w:hint="eastAsia" w:ascii="Times New Roman" w:hAnsi="Times New Roman"/>
                <w:sz w:val="18"/>
                <w:szCs w:val="18"/>
                <w:highlight w:val="none"/>
                <w:lang w:eastAsia="zh-CN"/>
              </w:rPr>
              <w:t>、</w:t>
            </w:r>
            <w:r>
              <w:rPr>
                <w:rFonts w:ascii="Times New Roman" w:hAnsi="Times New Roman" w:eastAsia="宋体"/>
                <w:sz w:val="18"/>
                <w:szCs w:val="18"/>
                <w:highlight w:val="none"/>
              </w:rPr>
              <w:t>TTe0.3</w:t>
            </w:r>
          </w:p>
        </w:tc>
        <w:tc>
          <w:tcPr>
            <w:tcW w:w="1320" w:type="dxa"/>
            <w:tcBorders>
              <w:top w:val="single" w:color="auto" w:sz="12" w:space="0"/>
              <w:left w:val="single" w:color="auto" w:sz="2" w:space="0"/>
              <w:right w:val="single" w:color="auto" w:sz="2" w:space="0"/>
            </w:tcBorders>
            <w:vAlign w:val="center"/>
          </w:tcPr>
          <w:p w14:paraId="4B2FA1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H50</w:t>
            </w:r>
          </w:p>
        </w:tc>
        <w:tc>
          <w:tcPr>
            <w:tcW w:w="2760" w:type="dxa"/>
            <w:tcBorders>
              <w:top w:val="single" w:color="auto" w:sz="12" w:space="0"/>
              <w:left w:val="single" w:color="auto" w:sz="2" w:space="0"/>
              <w:right w:val="single" w:color="auto" w:sz="2" w:space="0"/>
            </w:tcBorders>
            <w:vAlign w:val="center"/>
          </w:tcPr>
          <w:p w14:paraId="1F8F22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hint="eastAsia" w:ascii="Times New Roman" w:hAnsi="Times New Roman" w:eastAsia="宋体"/>
                <w:sz w:val="18"/>
                <w:szCs w:val="18"/>
              </w:rPr>
              <w:t>98</w:t>
            </w:r>
          </w:p>
        </w:tc>
        <w:tc>
          <w:tcPr>
            <w:tcW w:w="3329" w:type="dxa"/>
            <w:tcBorders>
              <w:top w:val="single" w:color="auto" w:sz="12" w:space="0"/>
              <w:left w:val="single" w:color="auto" w:sz="2" w:space="0"/>
            </w:tcBorders>
            <w:vAlign w:val="center"/>
          </w:tcPr>
          <w:p w14:paraId="487B3D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sz w:val="18"/>
                <w:szCs w:val="18"/>
              </w:rPr>
            </w:pPr>
            <w:r>
              <w:rPr>
                <w:rFonts w:ascii="Times New Roman" w:hAnsi="Times New Roman" w:eastAsia="宋体"/>
                <w:color w:val="auto"/>
                <w:sz w:val="18"/>
                <w:szCs w:val="18"/>
              </w:rPr>
              <w:t>0.017</w:t>
            </w:r>
            <w:r>
              <w:rPr>
                <w:rFonts w:hint="eastAsia" w:ascii="Times New Roman" w:hAnsi="Times New Roman" w:eastAsia="宋体"/>
                <w:color w:val="auto"/>
                <w:sz w:val="18"/>
                <w:szCs w:val="18"/>
              </w:rPr>
              <w:t>543</w:t>
            </w:r>
          </w:p>
        </w:tc>
      </w:tr>
    </w:tbl>
    <w:p w14:paraId="5066F3D0">
      <w:pPr>
        <w:pStyle w:val="107"/>
        <w:spacing w:before="156" w:after="156"/>
      </w:pPr>
      <w:r>
        <w:rPr>
          <w:rFonts w:hint="eastAsia" w:ascii="黑体" w:hAnsi="黑体" w:eastAsia="黑体" w:cs="黑体"/>
        </w:rPr>
        <w:t>5.5</w:t>
      </w:r>
      <w:r>
        <w:rPr>
          <w:rFonts w:hint="eastAsia"/>
        </w:rPr>
        <w:t>氧含量金相检验</w:t>
      </w:r>
    </w:p>
    <w:p w14:paraId="08C0E73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lang w:val="en-US" w:eastAsia="zh-CN"/>
        </w:rPr>
        <w:t>无氧</w:t>
      </w:r>
      <w:r>
        <w:rPr>
          <w:rFonts w:hint="eastAsia" w:ascii="Times New Roman" w:hAnsi="Times New Roman"/>
        </w:rPr>
        <w:t>棒材氢气退火后，经金相检验，氧含量符合YS/T335文件图片1、2、3级为合格。</w:t>
      </w:r>
    </w:p>
    <w:p w14:paraId="2B04C4A6">
      <w:pPr>
        <w:pStyle w:val="107"/>
        <w:spacing w:before="156" w:after="156"/>
      </w:pPr>
      <w:r>
        <w:rPr>
          <w:rFonts w:hint="eastAsia" w:ascii="黑体" w:hAnsi="黑体" w:eastAsia="黑体" w:cs="黑体"/>
        </w:rPr>
        <w:t>5.6</w:t>
      </w:r>
      <w:r>
        <w:rPr>
          <w:rFonts w:hint="eastAsia"/>
        </w:rPr>
        <w:t>氢脆试验</w:t>
      </w:r>
    </w:p>
    <w:p w14:paraId="3887554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Times New Roman" w:hAnsi="Times New Roman"/>
        </w:rPr>
      </w:pPr>
      <w:r>
        <w:rPr>
          <w:rFonts w:hint="eastAsia" w:ascii="Times New Roman" w:hAnsi="Times New Roman"/>
        </w:rPr>
        <w:t>当用户有要求，并在</w:t>
      </w:r>
      <w:r>
        <w:rPr>
          <w:rFonts w:hint="eastAsia" w:ascii="Times New Roman" w:hAnsi="Times New Roman"/>
          <w:lang w:val="en-US" w:eastAsia="zh-CN"/>
        </w:rPr>
        <w:t>订货单</w:t>
      </w:r>
      <w:r>
        <w:rPr>
          <w:rFonts w:hint="eastAsia" w:ascii="Times New Roman" w:hAnsi="Times New Roman"/>
        </w:rPr>
        <w:t>中注明时，</w:t>
      </w:r>
      <w:r>
        <w:rPr>
          <w:rFonts w:hint="eastAsia" w:ascii="Times New Roman" w:hAnsi="Times New Roman"/>
          <w:color w:val="auto"/>
          <w:highlight w:val="none"/>
        </w:rPr>
        <w:t>TU0</w:t>
      </w:r>
      <w:r>
        <w:rPr>
          <w:rFonts w:hint="eastAsia" w:ascii="Times New Roman" w:hAnsi="Times New Roman"/>
          <w:color w:val="auto"/>
        </w:rPr>
        <w:t>、</w:t>
      </w:r>
      <w:r>
        <w:rPr>
          <w:rFonts w:ascii="Times New Roman" w:hAnsi="Times New Roman"/>
          <w:color w:val="auto"/>
        </w:rPr>
        <w:t>TU1</w:t>
      </w:r>
      <w:r>
        <w:rPr>
          <w:rFonts w:hint="eastAsia" w:ascii="Times New Roman" w:hAnsi="Times New Roman"/>
          <w:color w:val="auto"/>
        </w:rPr>
        <w:t>牌号</w:t>
      </w:r>
      <w:r>
        <w:rPr>
          <w:rFonts w:hint="eastAsia" w:ascii="Times New Roman" w:hAnsi="Times New Roman"/>
        </w:rPr>
        <w:t>的棒材可进行氢脆试验。</w:t>
      </w:r>
    </w:p>
    <w:p w14:paraId="01A39AE7">
      <w:pPr>
        <w:pStyle w:val="107"/>
        <w:spacing w:before="156" w:after="156"/>
      </w:pPr>
      <w:r>
        <w:rPr>
          <w:rFonts w:hint="eastAsia" w:ascii="黑体" w:hAnsi="黑体" w:eastAsia="黑体" w:cs="黑体"/>
        </w:rPr>
        <w:t>5.7</w:t>
      </w:r>
      <w:r>
        <w:rPr>
          <w:rFonts w:hint="eastAsia"/>
        </w:rPr>
        <w:t>表面质量</w:t>
      </w:r>
    </w:p>
    <w:p w14:paraId="573F2BB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棒材的表面应加工良好、均匀、清洁，不</w:t>
      </w:r>
      <w:r>
        <w:rPr>
          <w:rFonts w:hint="eastAsia" w:ascii="Times New Roman" w:hAnsi="Times New Roman"/>
          <w:lang w:val="en-US" w:eastAsia="zh-CN"/>
        </w:rPr>
        <w:t>应</w:t>
      </w:r>
      <w:r>
        <w:rPr>
          <w:rFonts w:hint="eastAsia" w:ascii="Times New Roman" w:hAnsi="Times New Roman"/>
        </w:rPr>
        <w:t>有裂纹、夹杂等影响使用的缺陷。</w:t>
      </w:r>
    </w:p>
    <w:p w14:paraId="017A1032">
      <w:pPr>
        <w:pStyle w:val="106"/>
      </w:pPr>
      <w:bookmarkStart w:id="44" w:name="OLE_LINK5"/>
      <w:bookmarkStart w:id="45" w:name="OLE_LINK2"/>
      <w:r>
        <w:rPr>
          <w:rFonts w:hint="eastAsia" w:ascii="黑体" w:hAnsi="黑体" w:eastAsia="黑体" w:cs="黑体"/>
        </w:rPr>
        <w:t>6</w:t>
      </w:r>
      <w:r>
        <w:rPr>
          <w:rFonts w:hint="eastAsia"/>
        </w:rPr>
        <w:t>试验方法</w:t>
      </w:r>
    </w:p>
    <w:p w14:paraId="67DA2557">
      <w:pPr>
        <w:pStyle w:val="107"/>
        <w:spacing w:before="156" w:after="156"/>
      </w:pPr>
      <w:r>
        <w:rPr>
          <w:rFonts w:hint="eastAsia" w:ascii="黑体" w:hAnsi="黑体" w:eastAsia="黑体" w:cs="黑体"/>
        </w:rPr>
        <w:t>6.1</w:t>
      </w:r>
      <w:r>
        <w:rPr>
          <w:rFonts w:hint="eastAsia"/>
        </w:rPr>
        <w:t>化学成分</w:t>
      </w:r>
    </w:p>
    <w:bookmarkEnd w:id="44"/>
    <w:bookmarkEnd w:id="45"/>
    <w:p w14:paraId="32EFA89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棒材的化学成分分析应按GB/T 5121（所有部分）或YS/T 482的规定进行</w:t>
      </w:r>
      <w:r>
        <w:rPr>
          <w:rFonts w:hint="eastAsia" w:ascii="Times New Roman" w:hAnsi="Times New Roman"/>
          <w:lang w:eastAsia="zh-CN"/>
        </w:rPr>
        <w:t>。</w:t>
      </w:r>
      <w:r>
        <w:rPr>
          <w:rFonts w:hint="eastAsia" w:ascii="Times New Roman" w:hAnsi="Times New Roman"/>
        </w:rPr>
        <w:t>仲裁时按GB/T 5121（所有部分）的规定进行。</w:t>
      </w:r>
    </w:p>
    <w:p w14:paraId="3E12CBBF">
      <w:pPr>
        <w:pStyle w:val="107"/>
        <w:spacing w:before="156" w:after="156"/>
      </w:pPr>
      <w:r>
        <w:rPr>
          <w:rFonts w:hint="eastAsia" w:ascii="黑体" w:hAnsi="黑体" w:eastAsia="黑体" w:cs="黑体"/>
        </w:rPr>
        <w:t>6.2</w:t>
      </w:r>
      <w:r>
        <w:rPr>
          <w:rFonts w:hint="eastAsia"/>
        </w:rPr>
        <w:t>外形尺寸及其允许偏差</w:t>
      </w:r>
    </w:p>
    <w:p w14:paraId="1E22144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棒材的外形尺寸及其允许偏差测量按GB/T 26303.2的规定进行。</w:t>
      </w:r>
    </w:p>
    <w:p w14:paraId="30424DC1">
      <w:pPr>
        <w:pStyle w:val="107"/>
        <w:spacing w:before="156" w:after="156"/>
      </w:pPr>
      <w:r>
        <w:rPr>
          <w:rFonts w:hint="eastAsia" w:ascii="黑体" w:hAnsi="黑体" w:eastAsia="黑体" w:cs="黑体"/>
        </w:rPr>
        <w:t>6.3</w:t>
      </w:r>
      <w:r>
        <w:rPr>
          <w:rFonts w:hint="eastAsia"/>
        </w:rPr>
        <w:t>力学性能</w:t>
      </w:r>
    </w:p>
    <w:p w14:paraId="74E62594">
      <w:pPr>
        <w:pStyle w:val="107"/>
        <w:spacing w:before="156" w:after="156"/>
      </w:pPr>
      <w:r>
        <w:rPr>
          <w:rFonts w:hint="eastAsia" w:ascii="黑体" w:hAnsi="黑体" w:eastAsia="黑体" w:cs="黑体"/>
        </w:rPr>
        <w:t>6.3.1</w:t>
      </w:r>
      <w:r>
        <w:rPr>
          <w:rFonts w:hint="eastAsia"/>
        </w:rPr>
        <w:t>室温拉伸试验</w:t>
      </w:r>
    </w:p>
    <w:p w14:paraId="3ABA925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棒材的室温拉伸试验按GB/T 34505的规定进行。</w:t>
      </w:r>
    </w:p>
    <w:p w14:paraId="0161EDB4">
      <w:pPr>
        <w:pStyle w:val="107"/>
        <w:spacing w:before="156" w:after="156"/>
      </w:pPr>
      <w:r>
        <w:rPr>
          <w:rFonts w:hint="eastAsia" w:ascii="黑体" w:hAnsi="黑体" w:eastAsia="黑体" w:cs="黑体"/>
        </w:rPr>
        <w:t>6.3.2</w:t>
      </w:r>
      <w:r>
        <w:rPr>
          <w:rFonts w:hint="eastAsia"/>
        </w:rPr>
        <w:t>硬度</w:t>
      </w:r>
    </w:p>
    <w:p w14:paraId="397F957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棒材的布氏硬度试验按GB/T 231.1的规定进行。</w:t>
      </w:r>
    </w:p>
    <w:p w14:paraId="79A28823">
      <w:pPr>
        <w:pStyle w:val="107"/>
        <w:spacing w:before="156" w:after="156"/>
      </w:pPr>
      <w:r>
        <w:rPr>
          <w:rFonts w:hint="eastAsia" w:ascii="黑体" w:hAnsi="黑体" w:eastAsia="黑体" w:cs="黑体"/>
        </w:rPr>
        <w:t>6.4</w:t>
      </w:r>
      <w:r>
        <w:rPr>
          <w:rFonts w:hint="eastAsia"/>
        </w:rPr>
        <w:t>电性能</w:t>
      </w:r>
    </w:p>
    <w:p w14:paraId="4A16D3B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棒材的电性能试验按GB/T 351或GB/T 32791的规定进行</w:t>
      </w:r>
      <w:r>
        <w:rPr>
          <w:rFonts w:hint="eastAsia" w:ascii="Times New Roman" w:hAnsi="Times New Roman"/>
          <w:lang w:eastAsia="zh-CN"/>
        </w:rPr>
        <w:t>。</w:t>
      </w:r>
      <w:r>
        <w:rPr>
          <w:rFonts w:hint="eastAsia" w:ascii="Times New Roman" w:hAnsi="Times New Roman"/>
        </w:rPr>
        <w:t>仲裁</w:t>
      </w:r>
      <w:r>
        <w:rPr>
          <w:rFonts w:hint="eastAsia" w:ascii="Times New Roman" w:hAnsi="Times New Roman"/>
          <w:lang w:val="en-US" w:eastAsia="zh-CN"/>
        </w:rPr>
        <w:t>时</w:t>
      </w:r>
      <w:r>
        <w:rPr>
          <w:rFonts w:hint="eastAsia" w:ascii="Times New Roman" w:hAnsi="Times New Roman"/>
        </w:rPr>
        <w:t>按GB/T 351的规定进行。</w:t>
      </w:r>
    </w:p>
    <w:p w14:paraId="1961167C">
      <w:pPr>
        <w:pStyle w:val="107"/>
        <w:spacing w:before="156" w:after="156"/>
      </w:pPr>
      <w:r>
        <w:rPr>
          <w:rFonts w:hint="eastAsia" w:ascii="黑体" w:hAnsi="黑体" w:eastAsia="黑体" w:cs="黑体"/>
        </w:rPr>
        <w:t>6.5</w:t>
      </w:r>
      <w:r>
        <w:rPr>
          <w:rFonts w:hint="eastAsia"/>
        </w:rPr>
        <w:t>氧含量</w:t>
      </w:r>
    </w:p>
    <w:p w14:paraId="0B6DFD5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无氧棒材的氧含量</w:t>
      </w:r>
      <w:r>
        <w:rPr>
          <w:rFonts w:hint="eastAsia" w:ascii="Times New Roman" w:hAnsi="Times New Roman"/>
          <w:lang w:val="en-US" w:eastAsia="zh-CN"/>
        </w:rPr>
        <w:t>试验</w:t>
      </w:r>
      <w:r>
        <w:rPr>
          <w:rFonts w:hint="eastAsia" w:ascii="Times New Roman" w:hAnsi="Times New Roman"/>
        </w:rPr>
        <w:t>按YS/T 335的规定进行。</w:t>
      </w:r>
    </w:p>
    <w:p w14:paraId="58E09F6F">
      <w:pPr>
        <w:pStyle w:val="107"/>
        <w:spacing w:before="156" w:after="156"/>
      </w:pPr>
      <w:r>
        <w:rPr>
          <w:rFonts w:hint="eastAsia" w:ascii="黑体" w:hAnsi="黑体" w:eastAsia="黑体" w:cs="黑体"/>
        </w:rPr>
        <w:t>6.6</w:t>
      </w:r>
      <w:r>
        <w:rPr>
          <w:rFonts w:hint="eastAsia"/>
        </w:rPr>
        <w:t>氢脆试验</w:t>
      </w:r>
    </w:p>
    <w:p w14:paraId="0A2EC7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棒材的氢脆试验方法按GB/T 23606的规定进行。</w:t>
      </w:r>
    </w:p>
    <w:p w14:paraId="1F5FFF9E">
      <w:pPr>
        <w:pStyle w:val="107"/>
        <w:spacing w:before="156" w:after="156"/>
      </w:pPr>
      <w:r>
        <w:rPr>
          <w:rFonts w:hint="eastAsia" w:ascii="黑体" w:hAnsi="黑体" w:eastAsia="黑体" w:cs="黑体"/>
        </w:rPr>
        <w:t>6.7</w:t>
      </w:r>
      <w:r>
        <w:rPr>
          <w:rFonts w:hint="eastAsia"/>
        </w:rPr>
        <w:t>表面质量</w:t>
      </w:r>
    </w:p>
    <w:p w14:paraId="79B5522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棒材的表面质量</w:t>
      </w:r>
      <w:r>
        <w:rPr>
          <w:rFonts w:hint="eastAsia" w:ascii="Times New Roman" w:hAnsi="Times New Roman"/>
          <w:lang w:val="en-US" w:eastAsia="zh-CN"/>
        </w:rPr>
        <w:t>应</w:t>
      </w:r>
      <w:r>
        <w:rPr>
          <w:rFonts w:hint="eastAsia" w:ascii="Times New Roman" w:hAnsi="Times New Roman"/>
        </w:rPr>
        <w:t>用目视进行检验。</w:t>
      </w:r>
    </w:p>
    <w:p w14:paraId="47EACDC1">
      <w:pPr>
        <w:pStyle w:val="106"/>
      </w:pPr>
      <w:r>
        <w:rPr>
          <w:rFonts w:hint="eastAsia" w:ascii="黑体" w:hAnsi="黑体" w:eastAsia="黑体" w:cs="黑体"/>
        </w:rPr>
        <w:t>7</w:t>
      </w:r>
      <w:r>
        <w:rPr>
          <w:rFonts w:hint="eastAsia"/>
        </w:rPr>
        <w:t>检验规则</w:t>
      </w:r>
    </w:p>
    <w:p w14:paraId="566C3715">
      <w:pPr>
        <w:pStyle w:val="107"/>
        <w:spacing w:before="156" w:after="156"/>
      </w:pPr>
      <w:r>
        <w:rPr>
          <w:rFonts w:hint="eastAsia" w:ascii="黑体" w:hAnsi="黑体" w:eastAsia="黑体" w:cs="黑体"/>
        </w:rPr>
        <w:t>7.1</w:t>
      </w:r>
      <w:r>
        <w:rPr>
          <w:rFonts w:hint="eastAsia"/>
        </w:rPr>
        <w:t>检查和验收</w:t>
      </w:r>
    </w:p>
    <w:p w14:paraId="6B8586C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bookmarkStart w:id="46" w:name="OLE_LINK6"/>
      <w:bookmarkStart w:id="47" w:name="OLE_LINK7"/>
      <w:r>
        <w:rPr>
          <w:rFonts w:hint="eastAsia" w:ascii="黑体" w:hAnsi="黑体" w:eastAsia="黑体" w:cs="黑体"/>
          <w:kern w:val="0"/>
          <w:szCs w:val="20"/>
        </w:rPr>
        <w:t>7.1.1</w:t>
      </w:r>
      <w:r>
        <w:rPr>
          <w:rFonts w:hint="eastAsia" w:ascii="Times New Roman" w:hAnsi="Times New Roman"/>
          <w:lang w:val="en-US" w:eastAsia="zh-CN"/>
        </w:rPr>
        <w:t>棒材</w:t>
      </w:r>
      <w:r>
        <w:rPr>
          <w:rFonts w:hint="eastAsia" w:ascii="Times New Roman" w:hAnsi="Times New Roman"/>
        </w:rPr>
        <w:t>应由供方或第三方进行检验，</w:t>
      </w:r>
      <w:bookmarkEnd w:id="46"/>
      <w:bookmarkEnd w:id="47"/>
      <w:r>
        <w:rPr>
          <w:rFonts w:hint="eastAsia" w:ascii="Times New Roman" w:hAnsi="Times New Roman"/>
        </w:rPr>
        <w:t>产品质量</w:t>
      </w:r>
      <w:r>
        <w:rPr>
          <w:rFonts w:hint="eastAsia" w:ascii="Times New Roman" w:hAnsi="Times New Roman"/>
          <w:lang w:val="en-US" w:eastAsia="zh-CN"/>
        </w:rPr>
        <w:t>应</w:t>
      </w:r>
      <w:r>
        <w:rPr>
          <w:rFonts w:hint="eastAsia" w:ascii="Times New Roman" w:hAnsi="Times New Roman"/>
        </w:rPr>
        <w:t>符合本文件</w:t>
      </w:r>
      <w:r>
        <w:rPr>
          <w:rFonts w:hint="eastAsia" w:ascii="Times New Roman" w:hAnsi="Times New Roman"/>
          <w:lang w:val="en-US" w:eastAsia="zh-CN"/>
        </w:rPr>
        <w:t>及</w:t>
      </w:r>
      <w:r>
        <w:rPr>
          <w:rFonts w:hint="eastAsia" w:ascii="Times New Roman" w:hAnsi="Times New Roman"/>
        </w:rPr>
        <w:t>订货单的规定。</w:t>
      </w:r>
    </w:p>
    <w:p w14:paraId="67D1AB68">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黑体" w:hAnsi="黑体" w:eastAsia="黑体" w:cs="黑体"/>
        </w:rPr>
        <w:t>7.1.2</w:t>
      </w:r>
      <w:r>
        <w:rPr>
          <w:rFonts w:hint="eastAsia" w:ascii="Times New Roman" w:hAnsi="Times New Roman"/>
        </w:rPr>
        <w:t>需方可对收到的产品按本文件和订货单的规定进行复验</w:t>
      </w:r>
      <w:r>
        <w:rPr>
          <w:rFonts w:hint="eastAsia" w:ascii="Times New Roman" w:hAnsi="Times New Roman"/>
          <w:lang w:eastAsia="zh-CN"/>
        </w:rPr>
        <w:t>。</w:t>
      </w:r>
      <w:r>
        <w:rPr>
          <w:rFonts w:hint="eastAsia" w:ascii="Times New Roman" w:hAnsi="Times New Roman"/>
          <w:lang w:val="en-US" w:eastAsia="zh-CN"/>
        </w:rPr>
        <w:t>如</w:t>
      </w:r>
      <w:r>
        <w:rPr>
          <w:rFonts w:hint="eastAsia" w:ascii="Times New Roman" w:hAnsi="Times New Roman"/>
        </w:rPr>
        <w:t>复验结果与本文件和订货单的规定不符时，应在收到产品之日起3个月内向供方提出，由供需双方协商解决。如需仲裁，仲裁取样应由供需双方共同进行。</w:t>
      </w:r>
    </w:p>
    <w:p w14:paraId="59724A37">
      <w:pPr>
        <w:pStyle w:val="107"/>
        <w:spacing w:before="156" w:after="156"/>
      </w:pPr>
      <w:r>
        <w:rPr>
          <w:rFonts w:hint="eastAsia" w:ascii="黑体" w:hAnsi="黑体" w:eastAsia="黑体" w:cs="黑体"/>
        </w:rPr>
        <w:t>7.2</w:t>
      </w:r>
      <w:r>
        <w:rPr>
          <w:rFonts w:hint="eastAsia"/>
        </w:rPr>
        <w:t>组批</w:t>
      </w:r>
    </w:p>
    <w:p w14:paraId="6F8B6AC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lang w:val="en-US" w:eastAsia="zh-CN"/>
        </w:rPr>
        <w:t>棒材</w:t>
      </w:r>
      <w:r>
        <w:rPr>
          <w:rFonts w:hint="eastAsia" w:ascii="Times New Roman" w:hAnsi="Times New Roman"/>
        </w:rPr>
        <w:t>应成批提交验收，每批应由同一牌号、状态和规格组成，每批重量应不大于5000kg。</w:t>
      </w:r>
    </w:p>
    <w:p w14:paraId="00BD88B9">
      <w:pPr>
        <w:pStyle w:val="107"/>
        <w:spacing w:before="156" w:after="156"/>
      </w:pPr>
      <w:r>
        <w:rPr>
          <w:rFonts w:hint="eastAsia" w:ascii="黑体" w:hAnsi="黑体" w:eastAsia="黑体" w:cs="黑体"/>
        </w:rPr>
        <w:t>7.3</w:t>
      </w:r>
      <w:r>
        <w:rPr>
          <w:rFonts w:hint="eastAsia"/>
        </w:rPr>
        <w:t>检验项目</w:t>
      </w:r>
    </w:p>
    <w:p w14:paraId="374B1646">
      <w:pPr>
        <w:adjustRightInd/>
        <w:spacing w:line="320" w:lineRule="exact"/>
        <w:ind w:firstLine="420" w:firstLineChars="200"/>
        <w:rPr>
          <w:rFonts w:ascii="Times New Roman" w:hAnsi="Times New Roman"/>
        </w:rPr>
      </w:pPr>
      <w:r>
        <w:rPr>
          <w:rFonts w:hint="eastAsia" w:ascii="Times New Roman" w:hAnsi="Times New Roman"/>
        </w:rPr>
        <w:t>棒材的检验项目分为出厂检验</w:t>
      </w:r>
      <w:r>
        <w:rPr>
          <w:rFonts w:hint="eastAsia" w:ascii="Times New Roman" w:hAnsi="Times New Roman"/>
          <w:lang w:val="en-US" w:eastAsia="zh-CN"/>
        </w:rPr>
        <w:t>项目</w:t>
      </w:r>
      <w:r>
        <w:rPr>
          <w:rFonts w:hint="eastAsia" w:ascii="Times New Roman" w:hAnsi="Times New Roman"/>
        </w:rPr>
        <w:t>和型式检验项目，见表6。</w:t>
      </w:r>
    </w:p>
    <w:p w14:paraId="304EDCFD">
      <w:pPr>
        <w:keepNext w:val="0"/>
        <w:keepLines w:val="0"/>
        <w:pageBreakBefore w:val="0"/>
        <w:widowControl w:val="0"/>
        <w:kinsoku/>
        <w:wordWrap/>
        <w:overflowPunct/>
        <w:topLinePunct w:val="0"/>
        <w:autoSpaceDE/>
        <w:autoSpaceDN/>
        <w:bidi w:val="0"/>
        <w:adjustRightInd w:val="0"/>
        <w:snapToGrid/>
        <w:spacing w:line="240" w:lineRule="auto"/>
        <w:ind w:right="0" w:rightChars="0" w:firstLine="0"/>
        <w:jc w:val="center"/>
        <w:textAlignment w:val="auto"/>
        <w:rPr>
          <w:rFonts w:hint="eastAsia" w:ascii="黑体" w:hAnsi="宋体" w:eastAsia="黑体"/>
        </w:rPr>
      </w:pPr>
      <w:r>
        <w:rPr>
          <w:rFonts w:hint="eastAsia" w:ascii="黑体" w:hAnsi="宋体" w:eastAsia="黑体"/>
        </w:rPr>
        <w:t>表6 检验项目</w:t>
      </w:r>
    </w:p>
    <w:tbl>
      <w:tblPr>
        <w:tblStyle w:val="243"/>
        <w:tblW w:w="485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995"/>
        <w:gridCol w:w="3291"/>
        <w:gridCol w:w="3014"/>
      </w:tblGrid>
      <w:tr w14:paraId="13699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83" w:hRule="atLeast"/>
          <w:tblHeader/>
          <w:jc w:val="center"/>
        </w:trPr>
        <w:tc>
          <w:tcPr>
            <w:tcW w:w="1610" w:type="pct"/>
            <w:tcBorders>
              <w:top w:val="single" w:color="auto" w:sz="12" w:space="0"/>
              <w:bottom w:val="single" w:color="auto" w:sz="12" w:space="0"/>
            </w:tcBorders>
            <w:vAlign w:val="top"/>
          </w:tcPr>
          <w:p w14:paraId="3F2284B1">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检验项目</w:t>
            </w:r>
          </w:p>
        </w:tc>
        <w:tc>
          <w:tcPr>
            <w:tcW w:w="1769" w:type="pct"/>
            <w:tcBorders>
              <w:top w:val="single" w:color="auto" w:sz="12" w:space="0"/>
              <w:bottom w:val="single" w:color="auto" w:sz="12" w:space="0"/>
            </w:tcBorders>
            <w:vAlign w:val="top"/>
          </w:tcPr>
          <w:p w14:paraId="58D2727D">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出厂检验项目</w:t>
            </w:r>
          </w:p>
        </w:tc>
        <w:tc>
          <w:tcPr>
            <w:tcW w:w="1620" w:type="pct"/>
            <w:tcBorders>
              <w:top w:val="single" w:color="auto" w:sz="12" w:space="0"/>
              <w:bottom w:val="single" w:color="auto" w:sz="12" w:space="0"/>
            </w:tcBorders>
            <w:vAlign w:val="top"/>
          </w:tcPr>
          <w:p w14:paraId="00A31CCB">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型式检验项目</w:t>
            </w:r>
          </w:p>
        </w:tc>
      </w:tr>
      <w:tr w14:paraId="29451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610" w:type="pct"/>
            <w:tcBorders>
              <w:top w:val="single" w:color="auto" w:sz="12" w:space="0"/>
            </w:tcBorders>
          </w:tcPr>
          <w:p w14:paraId="09348D1C">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化学成分</w:t>
            </w:r>
          </w:p>
        </w:tc>
        <w:tc>
          <w:tcPr>
            <w:tcW w:w="1769" w:type="pct"/>
            <w:tcBorders>
              <w:top w:val="single" w:color="auto" w:sz="12" w:space="0"/>
            </w:tcBorders>
          </w:tcPr>
          <w:p w14:paraId="4CCCA931">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20" w:type="pct"/>
            <w:tcBorders>
              <w:top w:val="single" w:color="auto" w:sz="12" w:space="0"/>
            </w:tcBorders>
          </w:tcPr>
          <w:p w14:paraId="1C25CEE2">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6E12C3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610" w:type="pct"/>
          </w:tcPr>
          <w:p w14:paraId="41402211">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外形尺寸及其允许偏差</w:t>
            </w:r>
          </w:p>
        </w:tc>
        <w:tc>
          <w:tcPr>
            <w:tcW w:w="1769" w:type="pct"/>
          </w:tcPr>
          <w:p w14:paraId="75B4F64E">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20" w:type="pct"/>
          </w:tcPr>
          <w:p w14:paraId="6C9F987B">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bl>
    <w:p w14:paraId="554CD6BD">
      <w:pPr>
        <w:keepNext w:val="0"/>
        <w:keepLines w:val="0"/>
        <w:pageBreakBefore w:val="0"/>
        <w:widowControl w:val="0"/>
        <w:kinsoku/>
        <w:wordWrap/>
        <w:overflowPunct/>
        <w:topLinePunct w:val="0"/>
        <w:autoSpaceDE/>
        <w:autoSpaceDN/>
        <w:bidi w:val="0"/>
        <w:adjustRightInd w:val="0"/>
        <w:snapToGrid/>
        <w:spacing w:line="240" w:lineRule="auto"/>
        <w:ind w:right="0" w:rightChars="0" w:firstLine="0"/>
        <w:jc w:val="center"/>
        <w:textAlignment w:val="auto"/>
        <w:rPr>
          <w:rFonts w:hint="eastAsia" w:ascii="黑体" w:hAnsi="宋体" w:eastAsia="黑体"/>
          <w:lang w:eastAsia="zh-CN"/>
        </w:rPr>
      </w:pPr>
      <w:r>
        <w:rPr>
          <w:rFonts w:hint="eastAsia" w:ascii="黑体" w:hAnsi="宋体" w:eastAsia="黑体"/>
        </w:rPr>
        <w:t>表6 检验项目</w:t>
      </w:r>
      <w:r>
        <w:rPr>
          <w:rFonts w:hint="eastAsia" w:ascii="黑体" w:hAnsi="宋体" w:eastAsia="黑体"/>
          <w:lang w:eastAsia="zh-CN"/>
        </w:rPr>
        <w:t>（</w:t>
      </w:r>
      <w:r>
        <w:rPr>
          <w:rFonts w:hint="eastAsia" w:ascii="黑体" w:hAnsi="宋体" w:eastAsia="黑体"/>
          <w:lang w:val="en-US" w:eastAsia="zh-CN"/>
        </w:rPr>
        <w:t>续</w:t>
      </w:r>
      <w:r>
        <w:rPr>
          <w:rFonts w:hint="eastAsia" w:ascii="黑体" w:hAnsi="宋体" w:eastAsia="黑体"/>
          <w:lang w:eastAsia="zh-CN"/>
        </w:rPr>
        <w:t>）</w:t>
      </w:r>
    </w:p>
    <w:tbl>
      <w:tblPr>
        <w:tblStyle w:val="243"/>
        <w:tblW w:w="486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75"/>
        <w:gridCol w:w="1543"/>
        <w:gridCol w:w="3283"/>
        <w:gridCol w:w="3113"/>
      </w:tblGrid>
      <w:tr w14:paraId="2E4D4C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18" w:type="dxa"/>
            <w:gridSpan w:val="2"/>
            <w:tcBorders>
              <w:bottom w:val="single" w:color="auto" w:sz="12" w:space="0"/>
            </w:tcBorders>
            <w:vAlign w:val="top"/>
          </w:tcPr>
          <w:p w14:paraId="0F50760C">
            <w:pPr>
              <w:widowControl/>
              <w:autoSpaceDE w:val="0"/>
              <w:autoSpaceDN w:val="0"/>
              <w:adjustRightInd/>
              <w:spacing w:line="240" w:lineRule="auto"/>
              <w:contextualSpacing/>
              <w:jc w:val="center"/>
              <w:rPr>
                <w:rFonts w:hint="eastAsia" w:ascii="Times New Roman" w:hAnsi="Times New Roman" w:eastAsia="宋体"/>
                <w:sz w:val="18"/>
                <w:szCs w:val="18"/>
                <w:lang w:val="en-US" w:eastAsia="zh-CN"/>
              </w:rPr>
            </w:pPr>
            <w:r>
              <w:rPr>
                <w:rFonts w:hint="eastAsia" w:ascii="Times New Roman" w:hAnsi="Times New Roman"/>
                <w:sz w:val="18"/>
                <w:szCs w:val="18"/>
              </w:rPr>
              <w:t>检验项目</w:t>
            </w:r>
          </w:p>
        </w:tc>
        <w:tc>
          <w:tcPr>
            <w:tcW w:w="3283" w:type="dxa"/>
            <w:tcBorders>
              <w:bottom w:val="single" w:color="auto" w:sz="12" w:space="0"/>
            </w:tcBorders>
            <w:vAlign w:val="top"/>
          </w:tcPr>
          <w:p w14:paraId="64AAA55F">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eastAsia" w:ascii="Times New Roman" w:hAnsi="Times New Roman"/>
                <w:sz w:val="18"/>
                <w:szCs w:val="18"/>
              </w:rPr>
              <w:t>出厂检验项目</w:t>
            </w:r>
          </w:p>
        </w:tc>
        <w:tc>
          <w:tcPr>
            <w:tcW w:w="3113" w:type="dxa"/>
            <w:tcBorders>
              <w:bottom w:val="single" w:color="auto" w:sz="12" w:space="0"/>
            </w:tcBorders>
            <w:vAlign w:val="top"/>
          </w:tcPr>
          <w:p w14:paraId="0F6C9903">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eastAsia" w:ascii="Times New Roman" w:hAnsi="Times New Roman"/>
                <w:sz w:val="18"/>
                <w:szCs w:val="18"/>
              </w:rPr>
              <w:t>型式检验项目</w:t>
            </w:r>
          </w:p>
        </w:tc>
      </w:tr>
      <w:tr w14:paraId="6F2045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375" w:type="dxa"/>
            <w:vMerge w:val="restart"/>
            <w:tcBorders>
              <w:top w:val="single" w:color="auto" w:sz="12" w:space="0"/>
            </w:tcBorders>
            <w:vAlign w:val="center"/>
          </w:tcPr>
          <w:p w14:paraId="74057F02">
            <w:pPr>
              <w:widowControl/>
              <w:autoSpaceDE w:val="0"/>
              <w:autoSpaceDN w:val="0"/>
              <w:adjustRightInd/>
              <w:spacing w:line="240" w:lineRule="auto"/>
              <w:contextualSpacing/>
              <w:jc w:val="center"/>
              <w:rPr>
                <w:rFonts w:hint="eastAsia" w:ascii="Times New Roman" w:hAnsi="Times New Roman"/>
                <w:sz w:val="18"/>
                <w:szCs w:val="18"/>
              </w:rPr>
            </w:pPr>
            <w:r>
              <w:rPr>
                <w:rFonts w:hint="eastAsia" w:ascii="Times New Roman" w:hAnsi="Times New Roman"/>
                <w:sz w:val="18"/>
                <w:szCs w:val="18"/>
              </w:rPr>
              <w:t>力学性能</w:t>
            </w:r>
          </w:p>
        </w:tc>
        <w:tc>
          <w:tcPr>
            <w:tcW w:w="1543" w:type="dxa"/>
            <w:tcBorders>
              <w:top w:val="single" w:color="auto" w:sz="12" w:space="0"/>
            </w:tcBorders>
          </w:tcPr>
          <w:p w14:paraId="5CA54F7E">
            <w:pPr>
              <w:widowControl/>
              <w:autoSpaceDE w:val="0"/>
              <w:autoSpaceDN w:val="0"/>
              <w:adjustRightInd/>
              <w:spacing w:line="240" w:lineRule="auto"/>
              <w:contextualSpacing/>
              <w:jc w:val="center"/>
              <w:rPr>
                <w:rFonts w:hint="eastAsia" w:ascii="Times New Roman" w:hAnsi="Times New Roman"/>
                <w:sz w:val="18"/>
                <w:szCs w:val="18"/>
              </w:rPr>
            </w:pPr>
            <w:r>
              <w:rPr>
                <w:rFonts w:hint="eastAsia" w:ascii="Times New Roman" w:hAnsi="Times New Roman"/>
                <w:sz w:val="18"/>
                <w:szCs w:val="18"/>
              </w:rPr>
              <w:t>拉伸</w:t>
            </w:r>
            <w:r>
              <w:rPr>
                <w:rFonts w:hint="eastAsia" w:ascii="Times New Roman" w:hAnsi="Times New Roman"/>
                <w:sz w:val="18"/>
                <w:szCs w:val="18"/>
                <w:lang w:val="en-US" w:eastAsia="zh-CN"/>
              </w:rPr>
              <w:t>试验</w:t>
            </w:r>
          </w:p>
        </w:tc>
        <w:tc>
          <w:tcPr>
            <w:tcW w:w="3283" w:type="dxa"/>
            <w:tcBorders>
              <w:top w:val="single" w:color="auto" w:sz="12" w:space="0"/>
            </w:tcBorders>
            <w:shd w:val="clear"/>
            <w:vAlign w:val="top"/>
          </w:tcPr>
          <w:p w14:paraId="1A47C50E">
            <w:pPr>
              <w:widowControl/>
              <w:autoSpaceDE w:val="0"/>
              <w:autoSpaceDN w:val="0"/>
              <w:adjustRightInd/>
              <w:spacing w:line="240" w:lineRule="auto"/>
              <w:contextualSpacing/>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c>
          <w:tcPr>
            <w:tcW w:w="3113" w:type="dxa"/>
            <w:tcBorders>
              <w:top w:val="single" w:color="auto" w:sz="12" w:space="0"/>
            </w:tcBorders>
            <w:shd w:val="clear"/>
            <w:vAlign w:val="top"/>
          </w:tcPr>
          <w:p w14:paraId="416266F9">
            <w:pPr>
              <w:widowControl/>
              <w:autoSpaceDE w:val="0"/>
              <w:autoSpaceDN w:val="0"/>
              <w:adjustRightInd/>
              <w:spacing w:line="240" w:lineRule="auto"/>
              <w:contextualSpacing/>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r>
      <w:tr w14:paraId="2CC12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375" w:type="dxa"/>
            <w:vMerge w:val="continue"/>
            <w:tcBorders/>
          </w:tcPr>
          <w:p w14:paraId="536D4EB6">
            <w:pPr>
              <w:widowControl/>
              <w:numPr>
                <w:numId w:val="0"/>
              </w:numPr>
              <w:autoSpaceDE w:val="0"/>
              <w:autoSpaceDN w:val="0"/>
              <w:adjustRightInd/>
              <w:spacing w:line="240" w:lineRule="auto"/>
              <w:ind w:leftChars="0"/>
              <w:contextualSpacing/>
              <w:jc w:val="both"/>
              <w:rPr>
                <w:rFonts w:ascii="Times New Roman" w:hAnsi="Times New Roman"/>
                <w:sz w:val="18"/>
                <w:szCs w:val="18"/>
              </w:rPr>
            </w:pPr>
          </w:p>
        </w:tc>
        <w:tc>
          <w:tcPr>
            <w:tcW w:w="1543" w:type="dxa"/>
          </w:tcPr>
          <w:p w14:paraId="587E4CFE">
            <w:pPr>
              <w:widowControl/>
              <w:autoSpaceDE w:val="0"/>
              <w:autoSpaceDN w:val="0"/>
              <w:adjustRightInd/>
              <w:spacing w:line="240" w:lineRule="auto"/>
              <w:contextualSpacing/>
              <w:jc w:val="center"/>
              <w:rPr>
                <w:rFonts w:hint="eastAsia" w:ascii="Times New Roman" w:hAnsi="Times New Roman" w:eastAsia="宋体"/>
                <w:sz w:val="18"/>
                <w:szCs w:val="18"/>
                <w:lang w:val="en-US" w:eastAsia="zh-CN"/>
              </w:rPr>
            </w:pPr>
            <w:r>
              <w:rPr>
                <w:rFonts w:hint="eastAsia" w:ascii="Times New Roman" w:hAnsi="Times New Roman"/>
                <w:sz w:val="18"/>
                <w:szCs w:val="18"/>
              </w:rPr>
              <w:t>硬度</w:t>
            </w:r>
            <w:r>
              <w:rPr>
                <w:rFonts w:hint="eastAsia" w:ascii="Times New Roman" w:hAnsi="Times New Roman"/>
                <w:sz w:val="18"/>
                <w:szCs w:val="18"/>
                <w:lang w:val="en-US" w:eastAsia="zh-CN"/>
              </w:rPr>
              <w:t>试验</w:t>
            </w:r>
          </w:p>
        </w:tc>
        <w:tc>
          <w:tcPr>
            <w:tcW w:w="3283" w:type="dxa"/>
          </w:tcPr>
          <w:p w14:paraId="2D786CE6">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3" w:type="dxa"/>
          </w:tcPr>
          <w:p w14:paraId="5483BA22">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084BDE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18" w:type="dxa"/>
            <w:gridSpan w:val="2"/>
          </w:tcPr>
          <w:p w14:paraId="69622455">
            <w:pPr>
              <w:widowControl/>
              <w:autoSpaceDE w:val="0"/>
              <w:autoSpaceDN w:val="0"/>
              <w:adjustRightInd/>
              <w:spacing w:line="240" w:lineRule="auto"/>
              <w:contextualSpacing/>
              <w:jc w:val="center"/>
              <w:rPr>
                <w:rFonts w:ascii="Times New Roman" w:hAnsi="Times New Roman"/>
                <w:sz w:val="18"/>
                <w:szCs w:val="18"/>
              </w:rPr>
            </w:pPr>
            <w:r>
              <w:rPr>
                <w:rFonts w:hint="eastAsia" w:ascii="Times New Roman" w:hAnsi="Times New Roman"/>
                <w:sz w:val="18"/>
                <w:szCs w:val="18"/>
              </w:rPr>
              <w:t>电性能</w:t>
            </w:r>
          </w:p>
        </w:tc>
        <w:tc>
          <w:tcPr>
            <w:tcW w:w="3283" w:type="dxa"/>
          </w:tcPr>
          <w:p w14:paraId="45ADF8A6">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3" w:type="dxa"/>
          </w:tcPr>
          <w:p w14:paraId="633421CD">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26809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18" w:type="dxa"/>
            <w:gridSpan w:val="2"/>
          </w:tcPr>
          <w:p w14:paraId="16C29464">
            <w:pPr>
              <w:widowControl/>
              <w:autoSpaceDE w:val="0"/>
              <w:autoSpaceDN w:val="0"/>
              <w:adjustRightInd/>
              <w:spacing w:line="240" w:lineRule="auto"/>
              <w:contextualSpacing/>
              <w:jc w:val="center"/>
              <w:rPr>
                <w:rFonts w:ascii="Times New Roman" w:hAnsi="Times New Roman"/>
                <w:sz w:val="18"/>
                <w:szCs w:val="18"/>
              </w:rPr>
            </w:pPr>
            <w:r>
              <w:rPr>
                <w:rFonts w:ascii="Times New Roman" w:hAnsi="Times New Roman"/>
                <w:sz w:val="18"/>
                <w:szCs w:val="18"/>
              </w:rPr>
              <w:t>氧含量金相检验</w:t>
            </w:r>
          </w:p>
        </w:tc>
        <w:tc>
          <w:tcPr>
            <w:tcW w:w="3283" w:type="dxa"/>
          </w:tcPr>
          <w:p w14:paraId="2DDE9766">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3" w:type="dxa"/>
          </w:tcPr>
          <w:p w14:paraId="1E4929DA">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2612CF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18" w:type="dxa"/>
            <w:gridSpan w:val="2"/>
          </w:tcPr>
          <w:p w14:paraId="135ACDA8">
            <w:pPr>
              <w:widowControl/>
              <w:autoSpaceDE w:val="0"/>
              <w:autoSpaceDN w:val="0"/>
              <w:adjustRightInd/>
              <w:spacing w:line="240" w:lineRule="auto"/>
              <w:contextualSpacing/>
              <w:jc w:val="center"/>
              <w:rPr>
                <w:rFonts w:ascii="Times New Roman" w:hAnsi="Times New Roman"/>
                <w:sz w:val="18"/>
                <w:szCs w:val="18"/>
              </w:rPr>
            </w:pPr>
            <w:r>
              <w:rPr>
                <w:rFonts w:ascii="Times New Roman" w:hAnsi="Times New Roman"/>
                <w:sz w:val="18"/>
                <w:szCs w:val="18"/>
              </w:rPr>
              <w:t>氢脆试验</w:t>
            </w:r>
          </w:p>
        </w:tc>
        <w:tc>
          <w:tcPr>
            <w:tcW w:w="3283" w:type="dxa"/>
          </w:tcPr>
          <w:p w14:paraId="64CF8B96">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3" w:type="dxa"/>
          </w:tcPr>
          <w:p w14:paraId="71270C58">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4EBCB1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18" w:type="dxa"/>
            <w:gridSpan w:val="2"/>
            <w:tcBorders>
              <w:bottom w:val="single" w:color="auto" w:sz="12" w:space="0"/>
            </w:tcBorders>
          </w:tcPr>
          <w:p w14:paraId="6537241E">
            <w:pPr>
              <w:widowControl/>
              <w:autoSpaceDE w:val="0"/>
              <w:autoSpaceDN w:val="0"/>
              <w:adjustRightInd/>
              <w:spacing w:line="240" w:lineRule="auto"/>
              <w:contextualSpacing/>
              <w:jc w:val="center"/>
              <w:rPr>
                <w:rFonts w:ascii="Times New Roman" w:hAnsi="Times New Roman"/>
                <w:sz w:val="18"/>
                <w:szCs w:val="18"/>
              </w:rPr>
            </w:pPr>
            <w:r>
              <w:rPr>
                <w:rFonts w:ascii="Times New Roman" w:hAnsi="Times New Roman"/>
                <w:sz w:val="18"/>
                <w:szCs w:val="18"/>
              </w:rPr>
              <w:t>表面质量</w:t>
            </w:r>
          </w:p>
        </w:tc>
        <w:tc>
          <w:tcPr>
            <w:tcW w:w="3283" w:type="dxa"/>
            <w:tcBorders>
              <w:bottom w:val="single" w:color="auto" w:sz="12" w:space="0"/>
            </w:tcBorders>
          </w:tcPr>
          <w:p w14:paraId="0B4678CF">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3" w:type="dxa"/>
            <w:tcBorders>
              <w:bottom w:val="single" w:color="auto" w:sz="12" w:space="0"/>
            </w:tcBorders>
          </w:tcPr>
          <w:p w14:paraId="1F901877">
            <w:pPr>
              <w:widowControl/>
              <w:autoSpaceDE w:val="0"/>
              <w:autoSpaceDN w:val="0"/>
              <w:adjustRightInd/>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1C263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314" w:type="dxa"/>
            <w:gridSpan w:val="4"/>
            <w:tcBorders>
              <w:top w:val="single" w:color="auto" w:sz="12" w:space="0"/>
            </w:tcBorders>
            <w:vAlign w:val="top"/>
          </w:tcPr>
          <w:p w14:paraId="0C1E7539">
            <w:pPr>
              <w:widowControl/>
              <w:autoSpaceDE w:val="0"/>
              <w:autoSpaceDN w:val="0"/>
              <w:adjustRightInd/>
              <w:spacing w:line="240" w:lineRule="auto"/>
              <w:contextualSpacing/>
              <w:jc w:val="left"/>
              <w:rPr>
                <w:rFonts w:ascii="Times New Roman" w:hAnsi="Times New Roman"/>
                <w:sz w:val="18"/>
                <w:szCs w:val="18"/>
              </w:rPr>
            </w:pPr>
            <w:r>
              <w:rPr>
                <w:rFonts w:hint="eastAsia" w:ascii="Times New Roman" w:hAnsi="Times New Roman" w:eastAsia="黑体"/>
                <w:sz w:val="18"/>
                <w:szCs w:val="18"/>
              </w:rPr>
              <w:t>注：</w:t>
            </w:r>
            <w:r>
              <w:rPr>
                <w:rFonts w:hint="eastAsia" w:ascii="Times New Roman" w:hAnsi="Times New Roman"/>
                <w:sz w:val="18"/>
                <w:szCs w:val="18"/>
              </w:rPr>
              <w:t>表中“</w:t>
            </w:r>
            <w:r>
              <w:rPr>
                <w:rFonts w:hint="default" w:ascii="Times New Roman" w:hAnsi="Times New Roman" w:cs="Times New Roman"/>
                <w:sz w:val="18"/>
                <w:szCs w:val="18"/>
              </w:rPr>
              <w:t>√</w:t>
            </w:r>
            <w:r>
              <w:rPr>
                <w:rFonts w:hint="eastAsia" w:ascii="Times New Roman" w:hAnsi="Times New Roman"/>
                <w:sz w:val="18"/>
                <w:szCs w:val="18"/>
              </w:rPr>
              <w:t>”表示</w:t>
            </w:r>
            <w:r>
              <w:rPr>
                <w:rFonts w:hint="eastAsia" w:ascii="Times New Roman" w:hAnsi="Times New Roman"/>
                <w:sz w:val="18"/>
                <w:szCs w:val="18"/>
                <w:lang w:eastAsia="zh-CN"/>
              </w:rPr>
              <w:t>“</w:t>
            </w:r>
            <w:r>
              <w:rPr>
                <w:rFonts w:hint="eastAsia" w:ascii="Times New Roman" w:hAnsi="Times New Roman"/>
                <w:sz w:val="18"/>
                <w:szCs w:val="18"/>
              </w:rPr>
              <w:t>必验项目</w:t>
            </w:r>
            <w:r>
              <w:rPr>
                <w:rFonts w:hint="eastAsia" w:ascii="Times New Roman" w:hAnsi="Times New Roman"/>
                <w:sz w:val="18"/>
                <w:szCs w:val="18"/>
                <w:lang w:eastAsia="zh-CN"/>
              </w:rPr>
              <w:t>”</w:t>
            </w:r>
            <w:r>
              <w:rPr>
                <w:rFonts w:hint="eastAsia" w:ascii="Times New Roman" w:hAnsi="Times New Roman"/>
                <w:sz w:val="18"/>
                <w:szCs w:val="18"/>
              </w:rPr>
              <w:t>；“△”表示“非必验项目”。</w:t>
            </w:r>
          </w:p>
        </w:tc>
      </w:tr>
    </w:tbl>
    <w:p w14:paraId="1DF7A70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bookmarkStart w:id="48" w:name="_Toc225762291"/>
      <w:r>
        <w:rPr>
          <w:rFonts w:hint="eastAsia" w:ascii="Times New Roman" w:hAnsi="Times New Roman"/>
          <w:lang w:val="en-US" w:eastAsia="zh-CN"/>
        </w:rPr>
        <w:t>出现</w:t>
      </w:r>
      <w:r>
        <w:rPr>
          <w:rFonts w:hint="eastAsia" w:ascii="Times New Roman" w:hAnsi="Times New Roman"/>
        </w:rPr>
        <w:t>下列任一情况时，应进行型式检验：</w:t>
      </w:r>
    </w:p>
    <w:p w14:paraId="059115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a)新产品首次供货或老产品转厂的试制定型鉴定；</w:t>
      </w:r>
    </w:p>
    <w:p w14:paraId="48F77B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b)产品的原料、工艺有较大改变，可能影响产品性能时；</w:t>
      </w:r>
    </w:p>
    <w:p w14:paraId="04EE48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c)产品的结构有较大改变时；</w:t>
      </w:r>
    </w:p>
    <w:p w14:paraId="4180D7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d)产品停产后，恢复生产时；</w:t>
      </w:r>
    </w:p>
    <w:p w14:paraId="7D5F9E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e)出厂检验结果与上次型式检验有较大差异时；</w:t>
      </w:r>
    </w:p>
    <w:p w14:paraId="787FC0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f)正常生产时，每年进行一次型式试验；</w:t>
      </w:r>
    </w:p>
    <w:p w14:paraId="604F1B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g)需方要求时（在订货单中注明）；</w:t>
      </w:r>
    </w:p>
    <w:p w14:paraId="6D46C9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rPr>
      </w:pPr>
      <w:r>
        <w:rPr>
          <w:rFonts w:hint="eastAsia" w:ascii="Times New Roman" w:hAnsi="Times New Roman"/>
        </w:rPr>
        <w:t>h)国家质量监督机构提出进行型式检验的要求时。</w:t>
      </w:r>
    </w:p>
    <w:p w14:paraId="316700A3">
      <w:pPr>
        <w:pStyle w:val="234"/>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ascii="黑体"/>
          <w:szCs w:val="21"/>
        </w:rPr>
      </w:pPr>
      <w:r>
        <w:rPr>
          <w:rFonts w:hint="eastAsia" w:ascii="黑体"/>
          <w:szCs w:val="21"/>
        </w:rPr>
        <w:t>7.4取样</w:t>
      </w:r>
      <w:bookmarkEnd w:id="48"/>
    </w:p>
    <w:p w14:paraId="4CEB185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Times New Roman" w:hAnsi="Times New Roman"/>
          <w:sz w:val="21"/>
        </w:rPr>
      </w:pPr>
      <w:r>
        <w:rPr>
          <w:rFonts w:hint="eastAsia" w:ascii="Times New Roman" w:hAnsi="Times New Roman"/>
          <w:sz w:val="21"/>
        </w:rPr>
        <w:t>棒材的取样应符合表7规定</w:t>
      </w:r>
      <w:r>
        <w:rPr>
          <w:rFonts w:hint="eastAsia" w:ascii="Times New Roman" w:hAnsi="Times New Roman"/>
          <w:sz w:val="21"/>
          <w:lang w:eastAsia="zh-CN"/>
        </w:rPr>
        <w:t>。</w:t>
      </w:r>
      <w:r>
        <w:rPr>
          <w:rFonts w:hint="eastAsia" w:ascii="Times New Roman" w:hAnsi="Times New Roman"/>
          <w:sz w:val="21"/>
        </w:rPr>
        <w:t>取样方法按YS/T 668的规定进行。</w:t>
      </w:r>
    </w:p>
    <w:p w14:paraId="1DB9F26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Times New Roman" w:hAnsi="Times New Roman" w:eastAsia="黑体"/>
          <w:sz w:val="21"/>
          <w:lang w:val="en-US" w:eastAsia="zh-CN"/>
        </w:rPr>
      </w:pPr>
      <w:r>
        <w:rPr>
          <w:rFonts w:hint="eastAsia" w:ascii="黑体" w:hAnsi="宋体" w:eastAsia="黑体"/>
        </w:rPr>
        <w:t>表</w:t>
      </w:r>
      <w:r>
        <w:rPr>
          <w:rFonts w:hint="eastAsia" w:ascii="黑体" w:hAnsi="宋体" w:eastAsia="黑体"/>
          <w:lang w:val="en-US" w:eastAsia="zh-CN"/>
        </w:rPr>
        <w:t>7</w:t>
      </w:r>
      <w:r>
        <w:rPr>
          <w:rFonts w:hint="eastAsia" w:ascii="黑体" w:hAnsi="宋体" w:eastAsia="黑体"/>
        </w:rPr>
        <w:t xml:space="preserve"> </w:t>
      </w:r>
      <w:r>
        <w:rPr>
          <w:rFonts w:hint="eastAsia" w:ascii="黑体" w:hAnsi="宋体" w:eastAsia="黑体"/>
          <w:lang w:val="en-US" w:eastAsia="zh-CN"/>
        </w:rPr>
        <w:t>取样</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8"/>
        <w:gridCol w:w="3856"/>
        <w:gridCol w:w="1476"/>
        <w:gridCol w:w="1897"/>
      </w:tblGrid>
      <w:tr w14:paraId="4504B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bottom w:val="single" w:color="auto" w:sz="12" w:space="0"/>
            </w:tcBorders>
            <w:vAlign w:val="center"/>
          </w:tcPr>
          <w:p w14:paraId="23279B57">
            <w:pPr>
              <w:spacing w:line="240" w:lineRule="auto"/>
              <w:jc w:val="center"/>
              <w:rPr>
                <w:rFonts w:ascii="Times New Roman" w:hAnsi="Times New Roman" w:eastAsia="宋体"/>
                <w:sz w:val="18"/>
                <w:szCs w:val="18"/>
              </w:rPr>
            </w:pPr>
            <w:r>
              <w:rPr>
                <w:rFonts w:ascii="Times New Roman" w:hAnsi="Times New Roman" w:eastAsia="宋体"/>
                <w:sz w:val="18"/>
                <w:szCs w:val="18"/>
              </w:rPr>
              <w:t>检验项目</w:t>
            </w:r>
          </w:p>
        </w:tc>
        <w:tc>
          <w:tcPr>
            <w:tcW w:w="3856" w:type="dxa"/>
            <w:tcBorders>
              <w:bottom w:val="single" w:color="auto" w:sz="12" w:space="0"/>
            </w:tcBorders>
            <w:vAlign w:val="center"/>
          </w:tcPr>
          <w:p w14:paraId="04F34FDA">
            <w:pPr>
              <w:spacing w:line="240" w:lineRule="auto"/>
              <w:jc w:val="center"/>
              <w:rPr>
                <w:rFonts w:ascii="Times New Roman" w:hAnsi="Times New Roman" w:eastAsia="宋体"/>
                <w:sz w:val="18"/>
                <w:szCs w:val="18"/>
              </w:rPr>
            </w:pPr>
            <w:r>
              <w:rPr>
                <w:rFonts w:ascii="Times New Roman" w:hAnsi="Times New Roman" w:eastAsia="宋体"/>
                <w:sz w:val="18"/>
                <w:szCs w:val="18"/>
              </w:rPr>
              <w:t>取样规定</w:t>
            </w:r>
          </w:p>
        </w:tc>
        <w:tc>
          <w:tcPr>
            <w:tcW w:w="1476" w:type="dxa"/>
            <w:tcBorders>
              <w:bottom w:val="single" w:color="auto" w:sz="12" w:space="0"/>
            </w:tcBorders>
            <w:vAlign w:val="center"/>
          </w:tcPr>
          <w:p w14:paraId="1A95E912">
            <w:pPr>
              <w:spacing w:line="240" w:lineRule="auto"/>
              <w:jc w:val="center"/>
              <w:rPr>
                <w:rFonts w:ascii="Times New Roman" w:hAnsi="Times New Roman" w:eastAsia="宋体"/>
                <w:sz w:val="18"/>
                <w:szCs w:val="18"/>
              </w:rPr>
            </w:pPr>
            <w:r>
              <w:rPr>
                <w:rFonts w:ascii="Times New Roman" w:hAnsi="Times New Roman" w:eastAsia="宋体"/>
                <w:sz w:val="18"/>
                <w:szCs w:val="18"/>
              </w:rPr>
              <w:t>要求的章条号</w:t>
            </w:r>
          </w:p>
        </w:tc>
        <w:tc>
          <w:tcPr>
            <w:tcW w:w="1897" w:type="dxa"/>
            <w:tcBorders>
              <w:bottom w:val="single" w:color="auto" w:sz="12" w:space="0"/>
            </w:tcBorders>
            <w:vAlign w:val="center"/>
          </w:tcPr>
          <w:p w14:paraId="5612298F">
            <w:pPr>
              <w:spacing w:line="240" w:lineRule="auto"/>
              <w:jc w:val="center"/>
              <w:rPr>
                <w:rFonts w:ascii="Times New Roman" w:hAnsi="Times New Roman" w:eastAsia="宋体"/>
                <w:sz w:val="18"/>
                <w:szCs w:val="18"/>
              </w:rPr>
            </w:pPr>
            <w:r>
              <w:rPr>
                <w:rFonts w:ascii="Times New Roman" w:hAnsi="Times New Roman" w:eastAsia="宋体"/>
                <w:sz w:val="18"/>
                <w:szCs w:val="18"/>
              </w:rPr>
              <w:t>试验方法的章条号</w:t>
            </w:r>
          </w:p>
        </w:tc>
      </w:tr>
      <w:tr w14:paraId="5B44F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op w:val="single" w:color="auto" w:sz="12" w:space="0"/>
              <w:tl2br w:val="nil"/>
              <w:tr2bl w:val="nil"/>
            </w:tcBorders>
            <w:vAlign w:val="center"/>
          </w:tcPr>
          <w:p w14:paraId="04AC5DDD">
            <w:pPr>
              <w:spacing w:line="240" w:lineRule="auto"/>
              <w:jc w:val="center"/>
              <w:rPr>
                <w:rFonts w:ascii="Times New Roman" w:hAnsi="Times New Roman" w:eastAsia="宋体"/>
                <w:sz w:val="18"/>
                <w:szCs w:val="18"/>
              </w:rPr>
            </w:pPr>
            <w:r>
              <w:rPr>
                <w:rFonts w:ascii="Times New Roman" w:hAnsi="Times New Roman" w:eastAsia="宋体"/>
                <w:sz w:val="18"/>
                <w:szCs w:val="18"/>
              </w:rPr>
              <w:t>化学成分</w:t>
            </w:r>
          </w:p>
        </w:tc>
        <w:tc>
          <w:tcPr>
            <w:tcW w:w="3856" w:type="dxa"/>
            <w:tcBorders>
              <w:top w:val="single" w:color="auto" w:sz="12" w:space="0"/>
              <w:tl2br w:val="nil"/>
              <w:tr2bl w:val="nil"/>
            </w:tcBorders>
            <w:vAlign w:val="center"/>
          </w:tcPr>
          <w:p w14:paraId="4B697CB7">
            <w:pPr>
              <w:spacing w:line="240" w:lineRule="auto"/>
              <w:jc w:val="center"/>
              <w:rPr>
                <w:rFonts w:ascii="Times New Roman" w:hAnsi="Times New Roman" w:eastAsia="宋体"/>
                <w:sz w:val="18"/>
                <w:szCs w:val="18"/>
              </w:rPr>
            </w:pPr>
            <w:r>
              <w:rPr>
                <w:rFonts w:ascii="Times New Roman" w:hAnsi="Times New Roman" w:eastAsia="宋体"/>
                <w:sz w:val="18"/>
                <w:szCs w:val="18"/>
              </w:rPr>
              <w:t>供方每熔次取2个试样；需方每批取1个试样</w:t>
            </w:r>
          </w:p>
        </w:tc>
        <w:tc>
          <w:tcPr>
            <w:tcW w:w="1476" w:type="dxa"/>
            <w:tcBorders>
              <w:top w:val="single" w:color="auto" w:sz="12" w:space="0"/>
              <w:tl2br w:val="nil"/>
              <w:tr2bl w:val="nil"/>
            </w:tcBorders>
            <w:vAlign w:val="center"/>
          </w:tcPr>
          <w:p w14:paraId="21630258">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5.1</w:t>
            </w:r>
          </w:p>
        </w:tc>
        <w:tc>
          <w:tcPr>
            <w:tcW w:w="1897" w:type="dxa"/>
            <w:tcBorders>
              <w:top w:val="single" w:color="auto" w:sz="12" w:space="0"/>
              <w:tl2br w:val="nil"/>
              <w:tr2bl w:val="nil"/>
            </w:tcBorders>
            <w:vAlign w:val="center"/>
          </w:tcPr>
          <w:p w14:paraId="6C54DA7E">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6.1</w:t>
            </w:r>
          </w:p>
        </w:tc>
      </w:tr>
      <w:tr w14:paraId="6DB3A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6DE7BBCF">
            <w:pPr>
              <w:spacing w:line="240" w:lineRule="auto"/>
              <w:jc w:val="center"/>
              <w:rPr>
                <w:rFonts w:ascii="Times New Roman" w:hAnsi="Times New Roman" w:eastAsia="宋体"/>
                <w:sz w:val="18"/>
                <w:szCs w:val="18"/>
              </w:rPr>
            </w:pPr>
            <w:r>
              <w:rPr>
                <w:rFonts w:ascii="Times New Roman" w:hAnsi="Times New Roman" w:eastAsia="宋体"/>
                <w:sz w:val="18"/>
                <w:szCs w:val="18"/>
              </w:rPr>
              <w:t>外形尺寸</w:t>
            </w:r>
            <w:r>
              <w:rPr>
                <w:rFonts w:hint="eastAsia" w:ascii="Times New Roman" w:hAnsi="Times New Roman" w:eastAsia="宋体"/>
                <w:sz w:val="18"/>
                <w:szCs w:val="18"/>
              </w:rPr>
              <w:t>及其允许偏差</w:t>
            </w:r>
          </w:p>
        </w:tc>
        <w:tc>
          <w:tcPr>
            <w:tcW w:w="3856" w:type="dxa"/>
            <w:tcBorders>
              <w:tl2br w:val="nil"/>
              <w:tr2bl w:val="nil"/>
            </w:tcBorders>
            <w:vAlign w:val="center"/>
          </w:tcPr>
          <w:p w14:paraId="66DF5ABE">
            <w:pPr>
              <w:spacing w:line="240" w:lineRule="auto"/>
              <w:rPr>
                <w:rFonts w:ascii="Times New Roman" w:hAnsi="Times New Roman" w:eastAsia="宋体"/>
                <w:sz w:val="18"/>
                <w:szCs w:val="18"/>
              </w:rPr>
            </w:pPr>
            <w:r>
              <w:rPr>
                <w:rFonts w:ascii="Times New Roman" w:hAnsi="Times New Roman" w:eastAsia="宋体"/>
                <w:sz w:val="18"/>
                <w:szCs w:val="18"/>
              </w:rPr>
              <w:t>按照</w:t>
            </w:r>
            <w:r>
              <w:rPr>
                <w:rFonts w:hint="eastAsia" w:ascii="Times New Roman" w:hAnsi="Times New Roman" w:eastAsia="宋体"/>
                <w:sz w:val="18"/>
                <w:szCs w:val="18"/>
              </w:rPr>
              <w:t>GB/T 2828.1规定的取样方案，选择正常检验一次抽样方案，检测水平Ⅱ，接收质量限AQL=2.5</w:t>
            </w:r>
          </w:p>
        </w:tc>
        <w:tc>
          <w:tcPr>
            <w:tcW w:w="1476" w:type="dxa"/>
            <w:tcBorders>
              <w:tl2br w:val="nil"/>
              <w:tr2bl w:val="nil"/>
            </w:tcBorders>
            <w:vAlign w:val="center"/>
          </w:tcPr>
          <w:p w14:paraId="3604518A">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5.2</w:t>
            </w:r>
          </w:p>
        </w:tc>
        <w:tc>
          <w:tcPr>
            <w:tcW w:w="1897" w:type="dxa"/>
            <w:tcBorders>
              <w:tl2br w:val="nil"/>
              <w:tr2bl w:val="nil"/>
            </w:tcBorders>
            <w:vAlign w:val="center"/>
          </w:tcPr>
          <w:p w14:paraId="26A69647">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6.2</w:t>
            </w:r>
          </w:p>
        </w:tc>
      </w:tr>
      <w:tr w14:paraId="4BC9F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0790C7CA">
            <w:pPr>
              <w:spacing w:line="240" w:lineRule="auto"/>
              <w:jc w:val="center"/>
              <w:rPr>
                <w:rFonts w:ascii="Times New Roman" w:hAnsi="Times New Roman" w:eastAsia="宋体"/>
                <w:sz w:val="18"/>
                <w:szCs w:val="18"/>
              </w:rPr>
            </w:pPr>
            <w:r>
              <w:rPr>
                <w:rFonts w:ascii="Times New Roman" w:hAnsi="Times New Roman" w:eastAsia="宋体"/>
                <w:sz w:val="18"/>
                <w:szCs w:val="18"/>
              </w:rPr>
              <w:t>力学性能</w:t>
            </w:r>
          </w:p>
        </w:tc>
        <w:tc>
          <w:tcPr>
            <w:tcW w:w="3856" w:type="dxa"/>
            <w:tcBorders>
              <w:tl2br w:val="nil"/>
              <w:tr2bl w:val="nil"/>
            </w:tcBorders>
            <w:vAlign w:val="center"/>
          </w:tcPr>
          <w:p w14:paraId="49DFFDCD">
            <w:pPr>
              <w:spacing w:line="240" w:lineRule="auto"/>
              <w:jc w:val="both"/>
              <w:rPr>
                <w:rFonts w:ascii="Times New Roman" w:hAnsi="Times New Roman" w:eastAsia="宋体"/>
                <w:sz w:val="18"/>
                <w:szCs w:val="18"/>
              </w:rPr>
            </w:pPr>
            <w:r>
              <w:rPr>
                <w:rFonts w:ascii="Times New Roman" w:hAnsi="Times New Roman" w:eastAsia="宋体"/>
                <w:sz w:val="18"/>
                <w:szCs w:val="18"/>
              </w:rPr>
              <w:t>每批任取2根，每根取1个试样</w:t>
            </w:r>
          </w:p>
        </w:tc>
        <w:tc>
          <w:tcPr>
            <w:tcW w:w="1476" w:type="dxa"/>
            <w:tcBorders>
              <w:tl2br w:val="nil"/>
              <w:tr2bl w:val="nil"/>
            </w:tcBorders>
            <w:vAlign w:val="center"/>
          </w:tcPr>
          <w:p w14:paraId="4626BB09">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5.3</w:t>
            </w:r>
          </w:p>
        </w:tc>
        <w:tc>
          <w:tcPr>
            <w:tcW w:w="1897" w:type="dxa"/>
            <w:tcBorders>
              <w:tl2br w:val="nil"/>
              <w:tr2bl w:val="nil"/>
            </w:tcBorders>
            <w:vAlign w:val="center"/>
          </w:tcPr>
          <w:p w14:paraId="6AAF4FEE">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6.3</w:t>
            </w:r>
          </w:p>
        </w:tc>
      </w:tr>
      <w:tr w14:paraId="2D8B3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4DBBBA82">
            <w:pPr>
              <w:spacing w:line="240" w:lineRule="auto"/>
              <w:jc w:val="center"/>
              <w:rPr>
                <w:rFonts w:ascii="Times New Roman" w:hAnsi="Times New Roman" w:eastAsia="宋体"/>
                <w:sz w:val="18"/>
                <w:szCs w:val="18"/>
              </w:rPr>
            </w:pPr>
            <w:r>
              <w:rPr>
                <w:rFonts w:ascii="Times New Roman" w:hAnsi="Times New Roman" w:eastAsia="宋体"/>
                <w:sz w:val="18"/>
                <w:szCs w:val="18"/>
              </w:rPr>
              <w:t>电性能</w:t>
            </w:r>
          </w:p>
        </w:tc>
        <w:tc>
          <w:tcPr>
            <w:tcW w:w="3856" w:type="dxa"/>
            <w:tcBorders>
              <w:tl2br w:val="nil"/>
              <w:tr2bl w:val="nil"/>
            </w:tcBorders>
          </w:tcPr>
          <w:p w14:paraId="68179D3A">
            <w:pPr>
              <w:jc w:val="both"/>
              <w:rPr>
                <w:rFonts w:ascii="Times New Roman" w:hAnsi="Times New Roman" w:eastAsia="宋体"/>
                <w:sz w:val="18"/>
                <w:szCs w:val="18"/>
              </w:rPr>
            </w:pPr>
            <w:r>
              <w:rPr>
                <w:rFonts w:hint="eastAsia" w:ascii="Times New Roman" w:hAnsi="Times New Roman" w:eastAsia="宋体"/>
                <w:sz w:val="18"/>
                <w:szCs w:val="18"/>
              </w:rPr>
              <w:t>每批任取2根，每根取1个试样</w:t>
            </w:r>
          </w:p>
        </w:tc>
        <w:tc>
          <w:tcPr>
            <w:tcW w:w="1476" w:type="dxa"/>
            <w:tcBorders>
              <w:tl2br w:val="nil"/>
              <w:tr2bl w:val="nil"/>
            </w:tcBorders>
            <w:vAlign w:val="center"/>
          </w:tcPr>
          <w:p w14:paraId="375E23C2">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5.4</w:t>
            </w:r>
          </w:p>
        </w:tc>
        <w:tc>
          <w:tcPr>
            <w:tcW w:w="1897" w:type="dxa"/>
            <w:tcBorders>
              <w:tl2br w:val="nil"/>
              <w:tr2bl w:val="nil"/>
            </w:tcBorders>
            <w:vAlign w:val="center"/>
          </w:tcPr>
          <w:p w14:paraId="17DB14DB">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6.4</w:t>
            </w:r>
          </w:p>
        </w:tc>
      </w:tr>
      <w:tr w14:paraId="2AEB6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64D84BF0">
            <w:pPr>
              <w:spacing w:line="240" w:lineRule="auto"/>
              <w:jc w:val="center"/>
              <w:rPr>
                <w:rFonts w:ascii="Times New Roman" w:hAnsi="Times New Roman" w:eastAsia="宋体"/>
                <w:sz w:val="18"/>
                <w:szCs w:val="18"/>
              </w:rPr>
            </w:pPr>
            <w:r>
              <w:rPr>
                <w:rFonts w:ascii="Times New Roman" w:hAnsi="Times New Roman" w:eastAsia="宋体"/>
                <w:sz w:val="18"/>
                <w:szCs w:val="18"/>
              </w:rPr>
              <w:t>氧含量金相检验</w:t>
            </w:r>
          </w:p>
        </w:tc>
        <w:tc>
          <w:tcPr>
            <w:tcW w:w="3856" w:type="dxa"/>
            <w:tcBorders>
              <w:tl2br w:val="nil"/>
              <w:tr2bl w:val="nil"/>
            </w:tcBorders>
          </w:tcPr>
          <w:p w14:paraId="41FD8889">
            <w:pPr>
              <w:jc w:val="both"/>
              <w:rPr>
                <w:rFonts w:ascii="Times New Roman" w:hAnsi="Times New Roman" w:eastAsia="宋体"/>
                <w:sz w:val="18"/>
                <w:szCs w:val="18"/>
              </w:rPr>
            </w:pPr>
            <w:r>
              <w:rPr>
                <w:rFonts w:hint="eastAsia" w:ascii="Times New Roman" w:hAnsi="Times New Roman" w:eastAsia="宋体"/>
                <w:sz w:val="18"/>
                <w:szCs w:val="18"/>
              </w:rPr>
              <w:t>每批任取2根，每根取1个试样</w:t>
            </w:r>
          </w:p>
        </w:tc>
        <w:tc>
          <w:tcPr>
            <w:tcW w:w="1476" w:type="dxa"/>
            <w:tcBorders>
              <w:tl2br w:val="nil"/>
              <w:tr2bl w:val="nil"/>
            </w:tcBorders>
            <w:vAlign w:val="center"/>
          </w:tcPr>
          <w:p w14:paraId="369BABFC">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5.5</w:t>
            </w:r>
          </w:p>
        </w:tc>
        <w:tc>
          <w:tcPr>
            <w:tcW w:w="1897" w:type="dxa"/>
            <w:tcBorders>
              <w:tl2br w:val="nil"/>
              <w:tr2bl w:val="nil"/>
            </w:tcBorders>
            <w:vAlign w:val="center"/>
          </w:tcPr>
          <w:p w14:paraId="7D334EE5">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6.5</w:t>
            </w:r>
          </w:p>
        </w:tc>
      </w:tr>
      <w:tr w14:paraId="249F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4D07B6B0">
            <w:pPr>
              <w:spacing w:line="240" w:lineRule="auto"/>
              <w:jc w:val="center"/>
              <w:rPr>
                <w:rFonts w:ascii="Times New Roman" w:hAnsi="Times New Roman" w:eastAsia="宋体"/>
                <w:sz w:val="18"/>
                <w:szCs w:val="18"/>
              </w:rPr>
            </w:pPr>
            <w:r>
              <w:rPr>
                <w:rFonts w:ascii="Times New Roman" w:hAnsi="Times New Roman" w:eastAsia="宋体"/>
                <w:sz w:val="18"/>
                <w:szCs w:val="18"/>
              </w:rPr>
              <w:t>氢脆试验</w:t>
            </w:r>
          </w:p>
        </w:tc>
        <w:tc>
          <w:tcPr>
            <w:tcW w:w="3856" w:type="dxa"/>
            <w:tcBorders>
              <w:tl2br w:val="nil"/>
              <w:tr2bl w:val="nil"/>
            </w:tcBorders>
          </w:tcPr>
          <w:p w14:paraId="6DC9A91F">
            <w:pPr>
              <w:jc w:val="both"/>
              <w:rPr>
                <w:rFonts w:ascii="Times New Roman" w:hAnsi="Times New Roman" w:eastAsia="宋体"/>
                <w:sz w:val="18"/>
                <w:szCs w:val="18"/>
              </w:rPr>
            </w:pPr>
            <w:r>
              <w:rPr>
                <w:rFonts w:hint="eastAsia" w:ascii="Times New Roman" w:hAnsi="Times New Roman" w:eastAsia="宋体"/>
                <w:sz w:val="18"/>
                <w:szCs w:val="18"/>
              </w:rPr>
              <w:t>每批任取2根，每根取1个试样</w:t>
            </w:r>
          </w:p>
        </w:tc>
        <w:tc>
          <w:tcPr>
            <w:tcW w:w="1476" w:type="dxa"/>
            <w:tcBorders>
              <w:tl2br w:val="nil"/>
              <w:tr2bl w:val="nil"/>
            </w:tcBorders>
            <w:vAlign w:val="center"/>
          </w:tcPr>
          <w:p w14:paraId="755CB43F">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5.6</w:t>
            </w:r>
          </w:p>
        </w:tc>
        <w:tc>
          <w:tcPr>
            <w:tcW w:w="1897" w:type="dxa"/>
            <w:tcBorders>
              <w:tl2br w:val="nil"/>
              <w:tr2bl w:val="nil"/>
            </w:tcBorders>
            <w:vAlign w:val="center"/>
          </w:tcPr>
          <w:p w14:paraId="06E0AE37">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6.6</w:t>
            </w:r>
          </w:p>
        </w:tc>
      </w:tr>
      <w:tr w14:paraId="14DA7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68" w:type="dxa"/>
            <w:tcBorders>
              <w:tl2br w:val="nil"/>
              <w:tr2bl w:val="nil"/>
            </w:tcBorders>
            <w:vAlign w:val="center"/>
          </w:tcPr>
          <w:p w14:paraId="47C126A3">
            <w:pPr>
              <w:spacing w:line="240" w:lineRule="auto"/>
              <w:jc w:val="center"/>
              <w:rPr>
                <w:rFonts w:ascii="Times New Roman" w:hAnsi="Times New Roman" w:eastAsia="宋体"/>
                <w:sz w:val="18"/>
                <w:szCs w:val="18"/>
              </w:rPr>
            </w:pPr>
            <w:r>
              <w:rPr>
                <w:rFonts w:ascii="Times New Roman" w:hAnsi="Times New Roman" w:eastAsia="宋体"/>
                <w:sz w:val="18"/>
                <w:szCs w:val="18"/>
              </w:rPr>
              <w:t>表面质量</w:t>
            </w:r>
          </w:p>
        </w:tc>
        <w:tc>
          <w:tcPr>
            <w:tcW w:w="3856" w:type="dxa"/>
            <w:tcBorders>
              <w:tl2br w:val="nil"/>
              <w:tr2bl w:val="nil"/>
            </w:tcBorders>
            <w:vAlign w:val="center"/>
          </w:tcPr>
          <w:p w14:paraId="45E00EB7">
            <w:pPr>
              <w:spacing w:line="240" w:lineRule="auto"/>
              <w:rPr>
                <w:rFonts w:ascii="Times New Roman" w:hAnsi="Times New Roman" w:eastAsia="宋体"/>
                <w:sz w:val="18"/>
                <w:szCs w:val="18"/>
              </w:rPr>
            </w:pPr>
            <w:r>
              <w:rPr>
                <w:rFonts w:hint="eastAsia" w:ascii="Times New Roman" w:hAnsi="Times New Roman" w:eastAsia="宋体"/>
                <w:sz w:val="18"/>
                <w:szCs w:val="18"/>
              </w:rPr>
              <w:t>按GB/T 2828.1规定的取样方案，选择正常检验一次抽样方案，检测水平Ⅱ，接收质量限AQL=2.5</w:t>
            </w:r>
          </w:p>
        </w:tc>
        <w:tc>
          <w:tcPr>
            <w:tcW w:w="1476" w:type="dxa"/>
            <w:tcBorders>
              <w:tl2br w:val="nil"/>
              <w:tr2bl w:val="nil"/>
            </w:tcBorders>
            <w:vAlign w:val="center"/>
          </w:tcPr>
          <w:p w14:paraId="734E4E43">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5.7</w:t>
            </w:r>
          </w:p>
        </w:tc>
        <w:tc>
          <w:tcPr>
            <w:tcW w:w="1897" w:type="dxa"/>
            <w:tcBorders>
              <w:tl2br w:val="nil"/>
              <w:tr2bl w:val="nil"/>
            </w:tcBorders>
            <w:vAlign w:val="center"/>
          </w:tcPr>
          <w:p w14:paraId="513B0936">
            <w:pPr>
              <w:spacing w:line="240" w:lineRule="auto"/>
              <w:jc w:val="center"/>
              <w:rPr>
                <w:rFonts w:ascii="Times New Roman" w:hAnsi="Times New Roman" w:eastAsia="宋体"/>
                <w:sz w:val="18"/>
                <w:szCs w:val="18"/>
              </w:rPr>
            </w:pPr>
            <w:r>
              <w:rPr>
                <w:rFonts w:hint="eastAsia" w:ascii="Times New Roman" w:hAnsi="Times New Roman" w:eastAsia="宋体"/>
                <w:sz w:val="18"/>
                <w:szCs w:val="18"/>
              </w:rPr>
              <w:t>6.7</w:t>
            </w:r>
          </w:p>
        </w:tc>
      </w:tr>
    </w:tbl>
    <w:p w14:paraId="2E5E16DA">
      <w:pPr>
        <w:pStyle w:val="234"/>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ascii="黑体"/>
          <w:szCs w:val="21"/>
        </w:rPr>
      </w:pPr>
      <w:r>
        <w:rPr>
          <w:rFonts w:hint="eastAsia" w:ascii="黑体"/>
          <w:szCs w:val="21"/>
        </w:rPr>
        <w:t>7.5检验结果的判定</w:t>
      </w:r>
    </w:p>
    <w:p w14:paraId="5B99B3C4">
      <w:pPr>
        <w:spacing w:line="320" w:lineRule="exact"/>
        <w:rPr>
          <w:rFonts w:ascii="Times New Roman" w:hAnsi="Times New Roman"/>
        </w:rPr>
      </w:pPr>
      <w:r>
        <w:rPr>
          <w:rFonts w:hint="eastAsia" w:ascii="黑体" w:hAnsi="黑体" w:eastAsia="黑体" w:cs="黑体"/>
        </w:rPr>
        <w:t>7.5.1</w:t>
      </w:r>
      <w:r>
        <w:rPr>
          <w:rFonts w:hint="eastAsia" w:ascii="Times New Roman" w:hAnsi="Times New Roman" w:eastAsia="宋体" w:cs="宋体"/>
          <w:sz w:val="21"/>
        </w:rPr>
        <w:t>检验结果的数值按GB/T 8170的规定进行修约，并采用修约值比较法判定。</w:t>
      </w:r>
    </w:p>
    <w:p w14:paraId="34924EEE">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黑体" w:hAnsi="黑体" w:eastAsia="黑体" w:cs="黑体"/>
        </w:rPr>
        <w:t>7.5.2</w:t>
      </w:r>
      <w:r>
        <w:rPr>
          <w:rFonts w:hint="eastAsia" w:ascii="Times New Roman" w:hAnsi="Times New Roman"/>
        </w:rPr>
        <w:t>化学成分不合格时，判该批</w:t>
      </w:r>
      <w:r>
        <w:rPr>
          <w:rFonts w:hint="eastAsia" w:ascii="Times New Roman" w:hAnsi="Times New Roman"/>
          <w:lang w:val="en-US" w:eastAsia="zh-CN"/>
        </w:rPr>
        <w:t>棒材</w:t>
      </w:r>
      <w:r>
        <w:rPr>
          <w:rFonts w:hint="eastAsia" w:ascii="Times New Roman" w:hAnsi="Times New Roman"/>
        </w:rPr>
        <w:t>不合格。</w:t>
      </w:r>
    </w:p>
    <w:p w14:paraId="5CE5256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黑体" w:hAnsi="黑体" w:eastAsia="黑体" w:cs="黑体"/>
        </w:rPr>
        <w:t>7.5.3</w:t>
      </w:r>
      <w:r>
        <w:rPr>
          <w:rFonts w:hint="eastAsia" w:ascii="Times New Roman" w:hAnsi="Times New Roman"/>
          <w:lang w:val="en-US" w:eastAsia="zh-CN"/>
        </w:rPr>
        <w:t>棒材</w:t>
      </w:r>
      <w:r>
        <w:rPr>
          <w:rFonts w:hint="eastAsia" w:ascii="Times New Roman" w:hAnsi="Times New Roman"/>
        </w:rPr>
        <w:t>的外形尺寸及其允许偏差和表面质量不合格时，判该根不合格。</w:t>
      </w:r>
    </w:p>
    <w:p w14:paraId="0B8A7A3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黑体" w:hAnsi="黑体" w:eastAsia="黑体" w:cs="黑体"/>
        </w:rPr>
        <w:t>7.5.4</w:t>
      </w:r>
      <w:r>
        <w:rPr>
          <w:rFonts w:hint="eastAsia" w:ascii="Times New Roman" w:hAnsi="Times New Roman"/>
        </w:rPr>
        <w:t>当力学性能、电性能、氧含量金相检验、氢脆试验的试验结果中有试样不合格时，应从该批</w:t>
      </w:r>
      <w:r>
        <w:rPr>
          <w:rFonts w:hint="eastAsia" w:ascii="Times New Roman" w:hAnsi="Times New Roman"/>
          <w:lang w:val="en-US" w:eastAsia="zh-CN"/>
        </w:rPr>
        <w:t>棒材中另</w:t>
      </w:r>
      <w:r>
        <w:rPr>
          <w:rFonts w:hint="eastAsia" w:ascii="Times New Roman" w:hAnsi="Times New Roman"/>
        </w:rPr>
        <w:t>取双倍数量的试样进行重复试验，重复试验结果全部合格，则判整批</w:t>
      </w:r>
      <w:r>
        <w:rPr>
          <w:rFonts w:hint="eastAsia" w:ascii="Times New Roman" w:hAnsi="Times New Roman"/>
          <w:lang w:val="en-US" w:eastAsia="zh-CN"/>
        </w:rPr>
        <w:t>棒材</w:t>
      </w:r>
      <w:r>
        <w:rPr>
          <w:rFonts w:hint="eastAsia" w:ascii="Times New Roman" w:hAnsi="Times New Roman"/>
        </w:rPr>
        <w:t>合格。若重复试验结果仍有试样不合格，则判该批</w:t>
      </w:r>
      <w:r>
        <w:rPr>
          <w:rFonts w:hint="eastAsia" w:ascii="Times New Roman" w:hAnsi="Times New Roman"/>
          <w:lang w:val="en-US" w:eastAsia="zh-CN"/>
        </w:rPr>
        <w:t>棒材</w:t>
      </w:r>
      <w:r>
        <w:rPr>
          <w:rFonts w:hint="eastAsia" w:ascii="Times New Roman" w:hAnsi="Times New Roman"/>
        </w:rPr>
        <w:t>不合格，或由供方逐</w:t>
      </w:r>
      <w:r>
        <w:rPr>
          <w:rFonts w:hint="eastAsia" w:ascii="Times New Roman" w:hAnsi="Times New Roman"/>
          <w:lang w:val="en-US" w:eastAsia="zh-CN"/>
        </w:rPr>
        <w:t>根</w:t>
      </w:r>
      <w:r>
        <w:rPr>
          <w:rFonts w:hint="eastAsia" w:ascii="Times New Roman" w:hAnsi="Times New Roman"/>
        </w:rPr>
        <w:t>检验，逐</w:t>
      </w:r>
      <w:r>
        <w:rPr>
          <w:rFonts w:hint="eastAsia" w:ascii="Times New Roman" w:hAnsi="Times New Roman"/>
          <w:lang w:val="en-US" w:eastAsia="zh-CN"/>
        </w:rPr>
        <w:t>根判定</w:t>
      </w:r>
      <w:r>
        <w:rPr>
          <w:rFonts w:hint="eastAsia" w:ascii="Times New Roman" w:hAnsi="Times New Roman"/>
        </w:rPr>
        <w:t>。</w:t>
      </w:r>
    </w:p>
    <w:p w14:paraId="69690530">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rPr>
      </w:pPr>
      <w:r>
        <w:rPr>
          <w:rFonts w:hint="eastAsia" w:ascii="黑体" w:hAnsi="黑体" w:eastAsia="黑体" w:cs="黑体"/>
        </w:rPr>
        <w:t>7.5.5</w:t>
      </w:r>
      <w:r>
        <w:rPr>
          <w:rFonts w:hint="eastAsia" w:ascii="Times New Roman" w:hAnsi="Times New Roman"/>
        </w:rPr>
        <w:t>当出现其他缺陷时，该批</w:t>
      </w:r>
      <w:r>
        <w:rPr>
          <w:rFonts w:hint="eastAsia" w:ascii="Times New Roman" w:hAnsi="Times New Roman"/>
          <w:lang w:val="en-US" w:eastAsia="zh-CN"/>
        </w:rPr>
        <w:t>棒材</w:t>
      </w:r>
      <w:r>
        <w:rPr>
          <w:rFonts w:hint="eastAsia" w:ascii="Times New Roman" w:hAnsi="Times New Roman"/>
        </w:rPr>
        <w:t>由供需双方协商解决。</w:t>
      </w:r>
    </w:p>
    <w:bookmarkEnd w:id="22"/>
    <w:p w14:paraId="2D0B1934">
      <w:pPr>
        <w:pStyle w:val="106"/>
        <w:rPr>
          <w:rFonts w:hint="eastAsia"/>
          <w:lang w:val="en-US" w:eastAsia="zh-CN"/>
        </w:rPr>
      </w:pPr>
      <w:bookmarkStart w:id="49" w:name="BookMark5"/>
      <w:r>
        <w:rPr>
          <w:rFonts w:hint="eastAsia" w:ascii="黑体" w:hAnsi="黑体" w:eastAsia="黑体" w:cs="黑体"/>
        </w:rPr>
        <w:t>8</w:t>
      </w:r>
      <w:r>
        <w:rPr>
          <w:rFonts w:hint="eastAsia"/>
        </w:rPr>
        <w:t>标志、包装、运输、贮存及</w:t>
      </w:r>
      <w:r>
        <w:rPr>
          <w:rFonts w:hint="eastAsia"/>
          <w:lang w:val="en-US" w:eastAsia="zh-CN"/>
        </w:rPr>
        <w:t>随行文件</w:t>
      </w:r>
    </w:p>
    <w:p w14:paraId="7F5ECC46">
      <w:pPr>
        <w:pStyle w:val="234"/>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szCs w:val="21"/>
        </w:rPr>
      </w:pPr>
      <w:r>
        <w:rPr>
          <w:rFonts w:hint="eastAsia" w:ascii="黑体"/>
          <w:szCs w:val="21"/>
        </w:rPr>
        <w:t>8.1标志、包装、运输、贮存</w:t>
      </w:r>
    </w:p>
    <w:p w14:paraId="5A2A8CB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Times New Roman" w:hAnsi="Times New Roman"/>
        </w:rPr>
      </w:pPr>
      <w:r>
        <w:rPr>
          <w:rFonts w:hint="eastAsia" w:ascii="Times New Roman" w:hAnsi="Times New Roman"/>
        </w:rPr>
        <w:t>产品的标志、包装、运输、贮存应符合GB/T 8888的规定。</w:t>
      </w:r>
    </w:p>
    <w:p w14:paraId="467CB723">
      <w:pPr>
        <w:pStyle w:val="234"/>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eastAsia="黑体"/>
          <w:szCs w:val="21"/>
          <w:lang w:val="en-US" w:eastAsia="zh-CN"/>
        </w:rPr>
      </w:pPr>
      <w:r>
        <w:rPr>
          <w:rFonts w:hint="eastAsia" w:ascii="黑体"/>
          <w:szCs w:val="21"/>
        </w:rPr>
        <w:t>8.</w:t>
      </w:r>
      <w:r>
        <w:rPr>
          <w:rFonts w:hint="eastAsia" w:ascii="黑体"/>
          <w:szCs w:val="21"/>
          <w:lang w:val="en-US" w:eastAsia="zh-CN"/>
        </w:rPr>
        <w:t>2随行文件</w:t>
      </w:r>
    </w:p>
    <w:p w14:paraId="3E2F4C3C">
      <w:pPr>
        <w:keepNext w:val="0"/>
        <w:keepLines w:val="0"/>
        <w:pageBreakBefore w:val="0"/>
        <w:widowControl/>
        <w:kinsoku/>
        <w:wordWrap/>
        <w:overflowPunct/>
        <w:topLinePunct w:val="0"/>
        <w:autoSpaceDE w:val="0"/>
        <w:autoSpaceDN w:val="0"/>
        <w:bidi w:val="0"/>
        <w:adjustRightInd w:val="0"/>
        <w:snapToGrid/>
        <w:spacing w:line="24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每批产品应附有随行文件</w:t>
      </w:r>
      <w:r>
        <w:rPr>
          <w:color w:val="000000" w:themeColor="text1"/>
          <w:szCs w:val="21"/>
          <w:shd w:val="clear" w:color="auto" w:fill="FFFFFF"/>
          <w14:textFill>
            <w14:solidFill>
              <w14:schemeClr w14:val="tx1"/>
            </w14:solidFill>
          </w14:textFill>
        </w:rPr>
        <w:t>，其中</w:t>
      </w:r>
      <w:r>
        <w:rPr>
          <w:color w:val="000000" w:themeColor="text1"/>
          <w:szCs w:val="21"/>
          <w14:textFill>
            <w14:solidFill>
              <w14:schemeClr w14:val="tx1"/>
            </w14:solidFill>
          </w14:textFill>
        </w:rPr>
        <w:t>除应包括供方信息、产品信息、本文件编号、出厂日期或包装日期外，还宜包括：</w:t>
      </w:r>
    </w:p>
    <w:p w14:paraId="378C8219">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spacing w:line="240" w:lineRule="auto"/>
        <w:ind w:firstLine="420" w:firstLineChars="200"/>
        <w:contextualSpacing/>
        <w:jc w:val="left"/>
        <w:textAlignment w:val="auto"/>
        <w:rPr>
          <w:color w:val="000000" w:themeColor="text1"/>
          <w:szCs w:val="21"/>
          <w14:textFill>
            <w14:solidFill>
              <w14:schemeClr w14:val="tx1"/>
            </w14:solidFill>
          </w14:textFill>
        </w:rPr>
      </w:pPr>
      <w:r>
        <w:rPr>
          <w:rFonts w:hint="eastAsia" w:ascii="Times New Roman" w:hAnsi="Times New Roman"/>
        </w:rPr>
        <w:t>a</w:t>
      </w:r>
      <w:r>
        <w:rPr>
          <w:rFonts w:ascii="Times New Roman" w:hAnsi="Times New Roman"/>
        </w:rPr>
        <w:t>)</w:t>
      </w:r>
      <w:r>
        <w:rPr>
          <w:color w:val="000000" w:themeColor="text1"/>
          <w:szCs w:val="21"/>
          <w:shd w:val="clear" w:color="auto" w:fill="FFFFFF"/>
          <w14:textFill>
            <w14:solidFill>
              <w14:schemeClr w14:val="tx1"/>
            </w14:solidFill>
          </w14:textFill>
        </w:rPr>
        <w:t>产品质量保证书，内容如下</w:t>
      </w:r>
      <w:r>
        <w:rPr>
          <w:color w:val="000000" w:themeColor="text1"/>
          <w:szCs w:val="21"/>
          <w14:textFill>
            <w14:solidFill>
              <w14:schemeClr w14:val="tx1"/>
            </w14:solidFill>
          </w14:textFill>
        </w:rPr>
        <w:t>：</w:t>
      </w:r>
    </w:p>
    <w:p w14:paraId="2467CCEE">
      <w:pPr>
        <w:keepNext w:val="0"/>
        <w:keepLines w:val="0"/>
        <w:pageBreakBefore w:val="0"/>
        <w:tabs>
          <w:tab w:val="left" w:pos="780"/>
        </w:tabs>
        <w:kinsoku/>
        <w:wordWrap/>
        <w:overflowPunct/>
        <w:topLinePunct w:val="0"/>
        <w:bidi w:val="0"/>
        <w:adjustRightInd w:val="0"/>
        <w:snapToGrid/>
        <w:spacing w:line="240" w:lineRule="auto"/>
        <w:ind w:firstLine="840" w:firstLineChars="4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产品的主要性能及技术参数；</w:t>
      </w:r>
    </w:p>
    <w:p w14:paraId="3D2D83C1">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产品特点（包括制造工艺及原材料的特点）；</w:t>
      </w:r>
    </w:p>
    <w:p w14:paraId="16244CEC">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对产品质量所负的责任；</w:t>
      </w:r>
    </w:p>
    <w:p w14:paraId="09A7A9FE">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产品获得的质量认证及</w:t>
      </w:r>
      <w:r>
        <w:rPr>
          <w:color w:val="000000" w:themeColor="text1"/>
          <w:szCs w:val="21"/>
          <w:shd w:val="clear" w:color="auto" w:fill="FFFFFF"/>
          <w14:textFill>
            <w14:solidFill>
              <w14:schemeClr w14:val="tx1"/>
            </w14:solidFill>
          </w14:textFill>
        </w:rPr>
        <w:t>带</w:t>
      </w:r>
      <w:r>
        <w:rPr>
          <w:color w:val="000000" w:themeColor="text1"/>
          <w:szCs w:val="21"/>
          <w14:textFill>
            <w14:solidFill>
              <w14:schemeClr w14:val="tx1"/>
            </w14:solidFill>
          </w14:textFill>
        </w:rPr>
        <w:t>供方技术监督部门检印的各项分析检验结果。</w:t>
      </w:r>
    </w:p>
    <w:p w14:paraId="003127DB">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spacing w:line="240" w:lineRule="auto"/>
        <w:ind w:firstLine="420" w:firstLineChars="200"/>
        <w:contextualSpacing/>
        <w:jc w:val="left"/>
        <w:textAlignment w:val="auto"/>
        <w:rPr>
          <w:color w:val="000000" w:themeColor="text1"/>
          <w:szCs w:val="21"/>
          <w14:textFill>
            <w14:solidFill>
              <w14:schemeClr w14:val="tx1"/>
            </w14:solidFill>
          </w14:textFill>
        </w:rPr>
      </w:pPr>
      <w:r>
        <w:rPr>
          <w:rFonts w:hint="eastAsia" w:ascii="Times New Roman" w:hAnsi="Times New Roman"/>
          <w:lang w:val="en-US" w:eastAsia="zh-CN"/>
        </w:rPr>
        <w:t>b</w:t>
      </w:r>
      <w:r>
        <w:rPr>
          <w:rFonts w:ascii="Times New Roman" w:hAnsi="Times New Roman"/>
        </w:rPr>
        <w:t>)</w:t>
      </w:r>
      <w:r>
        <w:rPr>
          <w:color w:val="000000" w:themeColor="text1"/>
          <w:szCs w:val="21"/>
          <w:shd w:val="clear" w:color="auto" w:fill="FFFFFF"/>
          <w14:textFill>
            <w14:solidFill>
              <w14:schemeClr w14:val="tx1"/>
            </w14:solidFill>
          </w14:textFill>
        </w:rPr>
        <w:t>产品合格证，内容如下：</w:t>
      </w:r>
    </w:p>
    <w:p w14:paraId="78D2A0F8">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检验项目及其结果或检验结论；</w:t>
      </w:r>
    </w:p>
    <w:p w14:paraId="437654F0">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批量或批号；</w:t>
      </w:r>
    </w:p>
    <w:p w14:paraId="2DA55361">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检验日期；</w:t>
      </w:r>
    </w:p>
    <w:p w14:paraId="3A7C8210">
      <w:pPr>
        <w:keepNext w:val="0"/>
        <w:keepLines w:val="0"/>
        <w:pageBreakBefore w:val="0"/>
        <w:tabs>
          <w:tab w:val="left" w:pos="780"/>
        </w:tabs>
        <w:kinsoku/>
        <w:wordWrap/>
        <w:overflowPunct/>
        <w:topLinePunct w:val="0"/>
        <w:bidi w:val="0"/>
        <w:adjustRightInd w:val="0"/>
        <w:snapToGrid/>
        <w:spacing w:line="240" w:lineRule="auto"/>
        <w:ind w:left="420" w:firstLine="420" w:firstLineChars="200"/>
        <w:contextualSpacing/>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检验员签名或盖章。</w:t>
      </w:r>
    </w:p>
    <w:p w14:paraId="559660C6">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spacing w:line="240" w:lineRule="auto"/>
        <w:ind w:firstLine="420" w:firstLineChars="200"/>
        <w:contextualSpacing/>
        <w:jc w:val="left"/>
        <w:textAlignment w:val="auto"/>
        <w:rPr>
          <w:color w:val="000000" w:themeColor="text1"/>
          <w:szCs w:val="21"/>
          <w14:textFill>
            <w14:solidFill>
              <w14:schemeClr w14:val="tx1"/>
            </w14:solidFill>
          </w14:textFill>
        </w:rPr>
      </w:pPr>
      <w:r>
        <w:rPr>
          <w:rFonts w:hint="eastAsia" w:ascii="Times New Roman" w:hAnsi="Times New Roman"/>
          <w:lang w:val="en-US" w:eastAsia="zh-CN"/>
        </w:rPr>
        <w:t>c</w:t>
      </w:r>
      <w:r>
        <w:rPr>
          <w:rFonts w:ascii="Times New Roman" w:hAnsi="Times New Roman"/>
        </w:rPr>
        <w:t>)</w:t>
      </w:r>
      <w:r>
        <w:rPr>
          <w:color w:val="000000" w:themeColor="text1"/>
          <w:szCs w:val="21"/>
          <w:shd w:val="clear" w:color="auto" w:fill="FFFFFF"/>
          <w14:textFill>
            <w14:solidFill>
              <w14:schemeClr w14:val="tx1"/>
            </w14:solidFill>
          </w14:textFill>
        </w:rPr>
        <w:t>产品</w:t>
      </w:r>
      <w:r>
        <w:rPr>
          <w:color w:val="000000" w:themeColor="text1"/>
          <w:szCs w:val="21"/>
          <w14:textFill>
            <w14:solidFill>
              <w14:schemeClr w14:val="tx1"/>
            </w14:solidFill>
          </w14:textFill>
        </w:rPr>
        <w:t>质量控制过程中的检验报告及成品检验报告</w:t>
      </w:r>
      <w:r>
        <w:rPr>
          <w:rFonts w:hint="eastAsia"/>
          <w:color w:val="000000" w:themeColor="text1"/>
          <w:szCs w:val="21"/>
          <w:shd w:val="clear" w:color="auto" w:fill="FFFFFF"/>
          <w14:textFill>
            <w14:solidFill>
              <w14:schemeClr w14:val="tx1"/>
            </w14:solidFill>
          </w14:textFill>
        </w:rPr>
        <w:t>。</w:t>
      </w:r>
    </w:p>
    <w:p w14:paraId="050B7848">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spacing w:line="240" w:lineRule="auto"/>
        <w:ind w:firstLine="420" w:firstLineChars="200"/>
        <w:contextualSpacing/>
        <w:jc w:val="left"/>
        <w:textAlignment w:val="auto"/>
        <w:rPr>
          <w:color w:val="000000" w:themeColor="text1"/>
          <w:szCs w:val="21"/>
          <w14:textFill>
            <w14:solidFill>
              <w14:schemeClr w14:val="tx1"/>
            </w14:solidFill>
          </w14:textFill>
        </w:rPr>
      </w:pPr>
      <w:r>
        <w:rPr>
          <w:rFonts w:hint="eastAsia" w:ascii="Times New Roman" w:hAnsi="Times New Roman"/>
          <w:lang w:val="en-US" w:eastAsia="zh-CN"/>
        </w:rPr>
        <w:t>d</w:t>
      </w:r>
      <w:r>
        <w:rPr>
          <w:rFonts w:ascii="Times New Roman" w:hAnsi="Times New Roman"/>
        </w:rPr>
        <w:t>)</w:t>
      </w:r>
      <w:r>
        <w:rPr>
          <w:color w:val="000000" w:themeColor="text1"/>
          <w:szCs w:val="21"/>
          <w:shd w:val="clear" w:color="auto" w:fill="FFFFFF"/>
          <w14:textFill>
            <w14:solidFill>
              <w14:schemeClr w14:val="tx1"/>
            </w14:solidFill>
          </w14:textFill>
        </w:rPr>
        <w:t>产品使用说明：正确搬运、使用、贮存方法等</w:t>
      </w:r>
      <w:r>
        <w:rPr>
          <w:rFonts w:hint="eastAsia"/>
          <w:color w:val="000000" w:themeColor="text1"/>
          <w:szCs w:val="21"/>
          <w:shd w:val="clear" w:color="auto" w:fill="FFFFFF"/>
          <w14:textFill>
            <w14:solidFill>
              <w14:schemeClr w14:val="tx1"/>
            </w14:solidFill>
          </w14:textFill>
        </w:rPr>
        <w:t>。</w:t>
      </w:r>
    </w:p>
    <w:p w14:paraId="364124DF">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spacing w:line="240" w:lineRule="auto"/>
        <w:ind w:firstLine="420" w:firstLineChars="200"/>
        <w:contextualSpacing/>
        <w:jc w:val="left"/>
        <w:textAlignment w:val="auto"/>
        <w:rPr>
          <w:rFonts w:hint="eastAsia" w:ascii="Times New Roman" w:hAnsi="Times New Roman"/>
        </w:rPr>
      </w:pPr>
      <w:r>
        <w:rPr>
          <w:rFonts w:hint="eastAsia" w:ascii="Times New Roman" w:hAnsi="Times New Roman"/>
          <w:lang w:val="en-US" w:eastAsia="zh-CN"/>
        </w:rPr>
        <w:t>e</w:t>
      </w:r>
      <w:r>
        <w:rPr>
          <w:rFonts w:ascii="Times New Roman" w:hAnsi="Times New Roman"/>
        </w:rPr>
        <w:t>)</w:t>
      </w:r>
      <w:r>
        <w:rPr>
          <w:color w:val="000000" w:themeColor="text1"/>
          <w:szCs w:val="21"/>
          <w14:textFill>
            <w14:solidFill>
              <w14:schemeClr w14:val="tx1"/>
            </w14:solidFill>
          </w14:textFill>
        </w:rPr>
        <w:t>其他。</w:t>
      </w:r>
    </w:p>
    <w:p w14:paraId="04E984D5">
      <w:pPr>
        <w:pStyle w:val="106"/>
      </w:pPr>
      <w:bookmarkStart w:id="50" w:name="_Toc225762294"/>
      <w:r>
        <w:rPr>
          <w:rFonts w:hint="eastAsia" w:ascii="黑体" w:hAnsi="黑体" w:eastAsia="黑体" w:cs="黑体"/>
        </w:rPr>
        <w:t>9</w:t>
      </w:r>
      <w:r>
        <w:rPr>
          <w:rFonts w:hint="eastAsia"/>
        </w:rPr>
        <w:t>订货单内容</w:t>
      </w:r>
      <w:bookmarkEnd w:id="50"/>
    </w:p>
    <w:p w14:paraId="091347F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订购本文件所列</w:t>
      </w:r>
      <w:r>
        <w:rPr>
          <w:rFonts w:hint="eastAsia" w:ascii="Times New Roman" w:hAnsi="Times New Roman"/>
          <w:lang w:val="en-US" w:eastAsia="zh-CN"/>
        </w:rPr>
        <w:t>产品</w:t>
      </w:r>
      <w:r>
        <w:rPr>
          <w:rFonts w:hint="eastAsia" w:ascii="Times New Roman" w:hAnsi="Times New Roman"/>
        </w:rPr>
        <w:t xml:space="preserve">的订货单内应包括下列内容： </w:t>
      </w:r>
    </w:p>
    <w:p w14:paraId="61C4C77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a</w:t>
      </w:r>
      <w:r>
        <w:rPr>
          <w:rFonts w:ascii="Times New Roman" w:hAnsi="Times New Roman"/>
        </w:rPr>
        <w:t>)产品名称；</w:t>
      </w:r>
    </w:p>
    <w:p w14:paraId="5E69C45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b</w:t>
      </w:r>
      <w:r>
        <w:rPr>
          <w:rFonts w:ascii="Times New Roman" w:hAnsi="Times New Roman"/>
        </w:rPr>
        <w:t>)牌号；</w:t>
      </w:r>
    </w:p>
    <w:p w14:paraId="3CA58F4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c</w:t>
      </w:r>
      <w:r>
        <w:rPr>
          <w:rFonts w:ascii="Times New Roman" w:hAnsi="Times New Roman"/>
        </w:rPr>
        <w:t>)状态；</w:t>
      </w:r>
    </w:p>
    <w:p w14:paraId="686CEC0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d</w:t>
      </w:r>
      <w:r>
        <w:rPr>
          <w:rFonts w:ascii="Times New Roman" w:hAnsi="Times New Roman"/>
        </w:rPr>
        <w:t>)尺寸规格；</w:t>
      </w:r>
    </w:p>
    <w:p w14:paraId="55AAE80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e</w:t>
      </w:r>
      <w:r>
        <w:rPr>
          <w:rFonts w:ascii="Times New Roman" w:hAnsi="Times New Roman"/>
        </w:rPr>
        <w:t>)精度等级（普通级或高精级)；</w:t>
      </w:r>
    </w:p>
    <w:p w14:paraId="75F734F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f</w:t>
      </w:r>
      <w:r>
        <w:rPr>
          <w:rFonts w:ascii="Times New Roman" w:hAnsi="Times New Roman"/>
        </w:rPr>
        <w:t>)重量或根数；</w:t>
      </w:r>
    </w:p>
    <w:p w14:paraId="5A7E6C0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Times New Roman" w:hAnsi="Times New Roman"/>
        </w:rPr>
        <w:t>g</w:t>
      </w:r>
      <w:r>
        <w:rPr>
          <w:rFonts w:ascii="Times New Roman" w:hAnsi="Times New Roman"/>
        </w:rPr>
        <w:t>)氢脆试验（有要求时</w:t>
      </w:r>
      <w:r>
        <w:rPr>
          <w:rFonts w:hint="eastAsia" w:ascii="Times New Roman" w:hAnsi="Times New Roman"/>
          <w:lang w:eastAsia="zh-CN"/>
        </w:rPr>
        <w:t>）</w:t>
      </w:r>
      <w:r>
        <w:rPr>
          <w:rFonts w:ascii="Times New Roman" w:hAnsi="Times New Roman"/>
        </w:rPr>
        <w:t>；</w:t>
      </w:r>
    </w:p>
    <w:p w14:paraId="7C40751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ascii="Times New Roman" w:hAnsi="Times New Roman"/>
        </w:rPr>
        <w:t>h)本</w:t>
      </w:r>
      <w:r>
        <w:rPr>
          <w:rFonts w:hint="eastAsia" w:ascii="Times New Roman" w:hAnsi="Times New Roman"/>
        </w:rPr>
        <w:t>文件</w:t>
      </w:r>
      <w:r>
        <w:rPr>
          <w:rFonts w:ascii="Times New Roman" w:hAnsi="Times New Roman"/>
        </w:rPr>
        <w:t>编号；</w:t>
      </w:r>
    </w:p>
    <w:p w14:paraId="36D24CC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ascii="Times New Roman" w:hAnsi="Times New Roman"/>
        </w:rPr>
        <w:t>i)其他。</w:t>
      </w:r>
    </w:p>
    <w:p w14:paraId="60249E0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ascii="Times New Roman" w:hAnsi="Times New Roman"/>
        </w:rPr>
      </w:pPr>
      <w:bookmarkStart w:id="51"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bookmarkEnd w:id="49"/>
    <w:p w14:paraId="4A351C93">
      <w:pPr>
        <w:pStyle w:val="200"/>
        <w:rPr>
          <w:vanish w:val="0"/>
        </w:rPr>
      </w:pPr>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4B1F">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D762">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23FA">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F21E">
    <w:pPr>
      <w:pStyle w:val="54"/>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3D34">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CCD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692E">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6D26">
    <w:pPr>
      <w:pStyle w:val="63"/>
      <w:spacing w:after="0"/>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54DE">
    <w:pPr>
      <w:pStyle w:val="20"/>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24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pStyle w:val="241"/>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pStyle w:val="239"/>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24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26"/>
  </w:num>
  <w:num w:numId="11">
    <w:abstractNumId w:val="12"/>
  </w:num>
  <w:num w:numId="12">
    <w:abstractNumId w:val="13"/>
  </w:num>
  <w:num w:numId="13">
    <w:abstractNumId w:val="8"/>
  </w:num>
  <w:num w:numId="14">
    <w:abstractNumId w:val="20"/>
  </w:num>
  <w:num w:numId="15">
    <w:abstractNumId w:val="22"/>
  </w:num>
  <w:num w:numId="16">
    <w:abstractNumId w:val="18"/>
  </w:num>
  <w:num w:numId="17">
    <w:abstractNumId w:val="30"/>
  </w:num>
  <w:num w:numId="18">
    <w:abstractNumId w:val="16"/>
  </w:num>
  <w:num w:numId="19">
    <w:abstractNumId w:val="2"/>
  </w:num>
  <w:num w:numId="20">
    <w:abstractNumId w:val="11"/>
  </w:num>
  <w:num w:numId="21">
    <w:abstractNumId w:val="31"/>
  </w:num>
  <w:num w:numId="22">
    <w:abstractNumId w:val="21"/>
  </w:num>
  <w:num w:numId="23">
    <w:abstractNumId w:val="7"/>
  </w:num>
  <w:num w:numId="24">
    <w:abstractNumId w:val="27"/>
  </w:num>
  <w:num w:numId="25">
    <w:abstractNumId w:val="29"/>
  </w:num>
  <w:num w:numId="26">
    <w:abstractNumId w:val="3"/>
  </w:num>
  <w:num w:numId="27">
    <w:abstractNumId w:val="5"/>
  </w:num>
  <w:num w:numId="28">
    <w:abstractNumId w:val="15"/>
  </w:num>
  <w:num w:numId="29">
    <w:abstractNumId w:val="25"/>
  </w:num>
  <w:num w:numId="30">
    <w:abstractNumId w:val="23"/>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cAww/RLxTrFARBEmfuO+aPmQO9foMjbuoC4rSfQw1WHx9frofxm1dfM/p/bsp05HFyPqMejCCq3BIsfYzHwRDg==" w:salt="Cwdt4IyPG8KDEdEsiCyWU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NjM4NDU3ZGRlMmJkYzU3OWEzNWE4MjRiZDM2ODQifQ=="/>
  </w:docVars>
  <w:rsids>
    <w:rsidRoot w:val="00A17003"/>
    <w:rsid w:val="0000040A"/>
    <w:rsid w:val="00000A94"/>
    <w:rsid w:val="00001972"/>
    <w:rsid w:val="00001D9A"/>
    <w:rsid w:val="00007B3A"/>
    <w:rsid w:val="000107E0"/>
    <w:rsid w:val="00011FDE"/>
    <w:rsid w:val="00012FFD"/>
    <w:rsid w:val="0001347A"/>
    <w:rsid w:val="00014162"/>
    <w:rsid w:val="00014340"/>
    <w:rsid w:val="0001627A"/>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DF"/>
    <w:rsid w:val="00067F1E"/>
    <w:rsid w:val="00071CC0"/>
    <w:rsid w:val="0007201E"/>
    <w:rsid w:val="00073C8C"/>
    <w:rsid w:val="00077B64"/>
    <w:rsid w:val="00080A1C"/>
    <w:rsid w:val="00080AA0"/>
    <w:rsid w:val="00082317"/>
    <w:rsid w:val="00082A57"/>
    <w:rsid w:val="00083D2C"/>
    <w:rsid w:val="00086AA1"/>
    <w:rsid w:val="00087A77"/>
    <w:rsid w:val="00090CA6"/>
    <w:rsid w:val="00092B8A"/>
    <w:rsid w:val="00092FB0"/>
    <w:rsid w:val="000934C5"/>
    <w:rsid w:val="00093D25"/>
    <w:rsid w:val="00094D73"/>
    <w:rsid w:val="00096D63"/>
    <w:rsid w:val="000A0B60"/>
    <w:rsid w:val="000A0EB8"/>
    <w:rsid w:val="000A15F9"/>
    <w:rsid w:val="000A19FC"/>
    <w:rsid w:val="000A296B"/>
    <w:rsid w:val="000A3674"/>
    <w:rsid w:val="000A7311"/>
    <w:rsid w:val="000B060F"/>
    <w:rsid w:val="000B1592"/>
    <w:rsid w:val="000B1FF2"/>
    <w:rsid w:val="000B3CDA"/>
    <w:rsid w:val="000B6A0B"/>
    <w:rsid w:val="000C0F6C"/>
    <w:rsid w:val="000C11DB"/>
    <w:rsid w:val="000C2FBD"/>
    <w:rsid w:val="000C3E10"/>
    <w:rsid w:val="000C4B41"/>
    <w:rsid w:val="000C57D6"/>
    <w:rsid w:val="000C66AA"/>
    <w:rsid w:val="000C7666"/>
    <w:rsid w:val="000D0A9C"/>
    <w:rsid w:val="000D1795"/>
    <w:rsid w:val="000D329A"/>
    <w:rsid w:val="000D4B9C"/>
    <w:rsid w:val="000D4EB6"/>
    <w:rsid w:val="000D753B"/>
    <w:rsid w:val="000D7DB5"/>
    <w:rsid w:val="000E4C9E"/>
    <w:rsid w:val="000E6FD7"/>
    <w:rsid w:val="000F06E1"/>
    <w:rsid w:val="000F0E3C"/>
    <w:rsid w:val="000F19D5"/>
    <w:rsid w:val="000F2E41"/>
    <w:rsid w:val="000F4AEA"/>
    <w:rsid w:val="000F6501"/>
    <w:rsid w:val="000F67E9"/>
    <w:rsid w:val="001016A7"/>
    <w:rsid w:val="00101ACF"/>
    <w:rsid w:val="00104926"/>
    <w:rsid w:val="00113B1E"/>
    <w:rsid w:val="00113E1B"/>
    <w:rsid w:val="0011711C"/>
    <w:rsid w:val="00124E4F"/>
    <w:rsid w:val="001260B7"/>
    <w:rsid w:val="001265CB"/>
    <w:rsid w:val="00131E01"/>
    <w:rsid w:val="001321C6"/>
    <w:rsid w:val="001325C4"/>
    <w:rsid w:val="00133010"/>
    <w:rsid w:val="001337A1"/>
    <w:rsid w:val="001338EE"/>
    <w:rsid w:val="00133982"/>
    <w:rsid w:val="00133AAE"/>
    <w:rsid w:val="00135323"/>
    <w:rsid w:val="001356C4"/>
    <w:rsid w:val="00136139"/>
    <w:rsid w:val="00141114"/>
    <w:rsid w:val="001423CD"/>
    <w:rsid w:val="00142969"/>
    <w:rsid w:val="001457E7"/>
    <w:rsid w:val="00145D9D"/>
    <w:rsid w:val="00146388"/>
    <w:rsid w:val="0014727B"/>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B05"/>
    <w:rsid w:val="001813A6"/>
    <w:rsid w:val="001852C9"/>
    <w:rsid w:val="00190087"/>
    <w:rsid w:val="00190A40"/>
    <w:rsid w:val="001913C4"/>
    <w:rsid w:val="00191663"/>
    <w:rsid w:val="00191736"/>
    <w:rsid w:val="0019348F"/>
    <w:rsid w:val="00193A07"/>
    <w:rsid w:val="00194C95"/>
    <w:rsid w:val="00195C34"/>
    <w:rsid w:val="001A1A53"/>
    <w:rsid w:val="001A234A"/>
    <w:rsid w:val="001A2860"/>
    <w:rsid w:val="001A68B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5F9"/>
    <w:rsid w:val="001E1B6A"/>
    <w:rsid w:val="001E2484"/>
    <w:rsid w:val="001E3CC4"/>
    <w:rsid w:val="001E4882"/>
    <w:rsid w:val="001E73AB"/>
    <w:rsid w:val="001F092D"/>
    <w:rsid w:val="001F143A"/>
    <w:rsid w:val="001F1605"/>
    <w:rsid w:val="001F1F98"/>
    <w:rsid w:val="001F2508"/>
    <w:rsid w:val="001F4195"/>
    <w:rsid w:val="001F4816"/>
    <w:rsid w:val="001F69B4"/>
    <w:rsid w:val="001F77C7"/>
    <w:rsid w:val="00200183"/>
    <w:rsid w:val="0020107D"/>
    <w:rsid w:val="00202AA4"/>
    <w:rsid w:val="002031F7"/>
    <w:rsid w:val="002040E6"/>
    <w:rsid w:val="0020527B"/>
    <w:rsid w:val="00210B15"/>
    <w:rsid w:val="00212109"/>
    <w:rsid w:val="002142EA"/>
    <w:rsid w:val="00217D0D"/>
    <w:rsid w:val="002204BB"/>
    <w:rsid w:val="00221B79"/>
    <w:rsid w:val="00221C6B"/>
    <w:rsid w:val="002253A1"/>
    <w:rsid w:val="00225CF8"/>
    <w:rsid w:val="0022794E"/>
    <w:rsid w:val="0023234B"/>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1051"/>
    <w:rsid w:val="00272B08"/>
    <w:rsid w:val="00280144"/>
    <w:rsid w:val="00281BB8"/>
    <w:rsid w:val="00281E9E"/>
    <w:rsid w:val="00285170"/>
    <w:rsid w:val="00285361"/>
    <w:rsid w:val="002909B7"/>
    <w:rsid w:val="00292D60"/>
    <w:rsid w:val="00294D34"/>
    <w:rsid w:val="00294E3B"/>
    <w:rsid w:val="00296193"/>
    <w:rsid w:val="00296C66"/>
    <w:rsid w:val="00296EBE"/>
    <w:rsid w:val="002974E3"/>
    <w:rsid w:val="002A084B"/>
    <w:rsid w:val="002A0A4D"/>
    <w:rsid w:val="002A1260"/>
    <w:rsid w:val="002A1589"/>
    <w:rsid w:val="002A1608"/>
    <w:rsid w:val="002A25DC"/>
    <w:rsid w:val="002A3AAB"/>
    <w:rsid w:val="002A4664"/>
    <w:rsid w:val="002A4CEA"/>
    <w:rsid w:val="002A5977"/>
    <w:rsid w:val="002A5A13"/>
    <w:rsid w:val="002A7F44"/>
    <w:rsid w:val="002B0C40"/>
    <w:rsid w:val="002B1966"/>
    <w:rsid w:val="002B1E6A"/>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2604"/>
    <w:rsid w:val="002E4D5A"/>
    <w:rsid w:val="002E5424"/>
    <w:rsid w:val="002E6326"/>
    <w:rsid w:val="002E6413"/>
    <w:rsid w:val="002F30E0"/>
    <w:rsid w:val="002F35E4"/>
    <w:rsid w:val="002F3730"/>
    <w:rsid w:val="002F38E1"/>
    <w:rsid w:val="002F7AF6"/>
    <w:rsid w:val="00300E63"/>
    <w:rsid w:val="00302F5F"/>
    <w:rsid w:val="0030441D"/>
    <w:rsid w:val="00305BE3"/>
    <w:rsid w:val="00306063"/>
    <w:rsid w:val="00313B85"/>
    <w:rsid w:val="0031453B"/>
    <w:rsid w:val="00314BDF"/>
    <w:rsid w:val="00317988"/>
    <w:rsid w:val="00321A5B"/>
    <w:rsid w:val="003221B4"/>
    <w:rsid w:val="00322E62"/>
    <w:rsid w:val="00324EDD"/>
    <w:rsid w:val="00336C64"/>
    <w:rsid w:val="00337162"/>
    <w:rsid w:val="0034194F"/>
    <w:rsid w:val="00344605"/>
    <w:rsid w:val="003474AA"/>
    <w:rsid w:val="003501B2"/>
    <w:rsid w:val="00350D1D"/>
    <w:rsid w:val="00351FF0"/>
    <w:rsid w:val="00352C83"/>
    <w:rsid w:val="00357BDC"/>
    <w:rsid w:val="003615D2"/>
    <w:rsid w:val="0036429C"/>
    <w:rsid w:val="00364A53"/>
    <w:rsid w:val="003654CB"/>
    <w:rsid w:val="00365F86"/>
    <w:rsid w:val="00365F87"/>
    <w:rsid w:val="003705F4"/>
    <w:rsid w:val="00370D58"/>
    <w:rsid w:val="00371316"/>
    <w:rsid w:val="00375DCE"/>
    <w:rsid w:val="003761DA"/>
    <w:rsid w:val="00376713"/>
    <w:rsid w:val="00381815"/>
    <w:rsid w:val="003819AF"/>
    <w:rsid w:val="00381C3C"/>
    <w:rsid w:val="003820E9"/>
    <w:rsid w:val="00382DE7"/>
    <w:rsid w:val="00384FFC"/>
    <w:rsid w:val="003850D1"/>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C5C"/>
    <w:rsid w:val="003B1F18"/>
    <w:rsid w:val="003B5BF0"/>
    <w:rsid w:val="003B60BF"/>
    <w:rsid w:val="003B6BE3"/>
    <w:rsid w:val="003C010C"/>
    <w:rsid w:val="003C0A6C"/>
    <w:rsid w:val="003C4690"/>
    <w:rsid w:val="003C5650"/>
    <w:rsid w:val="003C5A43"/>
    <w:rsid w:val="003C7A72"/>
    <w:rsid w:val="003D0519"/>
    <w:rsid w:val="003D0FF6"/>
    <w:rsid w:val="003D262C"/>
    <w:rsid w:val="003D6D61"/>
    <w:rsid w:val="003E091D"/>
    <w:rsid w:val="003E1C53"/>
    <w:rsid w:val="003E2A69"/>
    <w:rsid w:val="003E2D49"/>
    <w:rsid w:val="003E2FD4"/>
    <w:rsid w:val="003E49F6"/>
    <w:rsid w:val="003F0841"/>
    <w:rsid w:val="003F0ECD"/>
    <w:rsid w:val="003F23D3"/>
    <w:rsid w:val="003F3F08"/>
    <w:rsid w:val="003F49F1"/>
    <w:rsid w:val="003F4C14"/>
    <w:rsid w:val="003F6272"/>
    <w:rsid w:val="00400E72"/>
    <w:rsid w:val="00401400"/>
    <w:rsid w:val="004015A5"/>
    <w:rsid w:val="00404869"/>
    <w:rsid w:val="00405884"/>
    <w:rsid w:val="00407D39"/>
    <w:rsid w:val="004114A4"/>
    <w:rsid w:val="00411CEB"/>
    <w:rsid w:val="0041477A"/>
    <w:rsid w:val="00414CAF"/>
    <w:rsid w:val="004167A3"/>
    <w:rsid w:val="00422DE9"/>
    <w:rsid w:val="00424F23"/>
    <w:rsid w:val="00432DAA"/>
    <w:rsid w:val="00434305"/>
    <w:rsid w:val="004347D3"/>
    <w:rsid w:val="00435DF7"/>
    <w:rsid w:val="0044083F"/>
    <w:rsid w:val="00441AE7"/>
    <w:rsid w:val="00445574"/>
    <w:rsid w:val="004467FB"/>
    <w:rsid w:val="00452D6B"/>
    <w:rsid w:val="00454484"/>
    <w:rsid w:val="0045517B"/>
    <w:rsid w:val="00463B77"/>
    <w:rsid w:val="00463C7B"/>
    <w:rsid w:val="00463D64"/>
    <w:rsid w:val="004644A6"/>
    <w:rsid w:val="004659BD"/>
    <w:rsid w:val="00467964"/>
    <w:rsid w:val="00470775"/>
    <w:rsid w:val="004746B1"/>
    <w:rsid w:val="0047583F"/>
    <w:rsid w:val="004820AF"/>
    <w:rsid w:val="00484936"/>
    <w:rsid w:val="00485C89"/>
    <w:rsid w:val="00486BE3"/>
    <w:rsid w:val="004905E4"/>
    <w:rsid w:val="00490A89"/>
    <w:rsid w:val="00490AB4"/>
    <w:rsid w:val="00492F02"/>
    <w:rsid w:val="004939AE"/>
    <w:rsid w:val="004951D3"/>
    <w:rsid w:val="004A12DF"/>
    <w:rsid w:val="004A1BA8"/>
    <w:rsid w:val="004A1D28"/>
    <w:rsid w:val="004A4552"/>
    <w:rsid w:val="004A4B57"/>
    <w:rsid w:val="004A5983"/>
    <w:rsid w:val="004A63FA"/>
    <w:rsid w:val="004B2701"/>
    <w:rsid w:val="004B2E1B"/>
    <w:rsid w:val="004B3E93"/>
    <w:rsid w:val="004C135E"/>
    <w:rsid w:val="004C1FBC"/>
    <w:rsid w:val="004C3F1D"/>
    <w:rsid w:val="004C458D"/>
    <w:rsid w:val="004C6736"/>
    <w:rsid w:val="004C7556"/>
    <w:rsid w:val="004C7E9D"/>
    <w:rsid w:val="004C7F67"/>
    <w:rsid w:val="004D076D"/>
    <w:rsid w:val="004D0EF1"/>
    <w:rsid w:val="004D2253"/>
    <w:rsid w:val="004D4406"/>
    <w:rsid w:val="004D6C2B"/>
    <w:rsid w:val="004D7C42"/>
    <w:rsid w:val="004E0465"/>
    <w:rsid w:val="004E127B"/>
    <w:rsid w:val="004E1C0A"/>
    <w:rsid w:val="004E30C5"/>
    <w:rsid w:val="004E4AA5"/>
    <w:rsid w:val="004E4AEE"/>
    <w:rsid w:val="004E59E3"/>
    <w:rsid w:val="004E616D"/>
    <w:rsid w:val="004E67C0"/>
    <w:rsid w:val="004F391A"/>
    <w:rsid w:val="004F3CFB"/>
    <w:rsid w:val="004F52C6"/>
    <w:rsid w:val="004F6456"/>
    <w:rsid w:val="004F696E"/>
    <w:rsid w:val="004F6C71"/>
    <w:rsid w:val="004F6D8F"/>
    <w:rsid w:val="00501139"/>
    <w:rsid w:val="0050363E"/>
    <w:rsid w:val="005039BC"/>
    <w:rsid w:val="005043BB"/>
    <w:rsid w:val="00504A3D"/>
    <w:rsid w:val="00505767"/>
    <w:rsid w:val="005073F0"/>
    <w:rsid w:val="00510A7B"/>
    <w:rsid w:val="005128B6"/>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586"/>
    <w:rsid w:val="00543BDA"/>
    <w:rsid w:val="005441CC"/>
    <w:rsid w:val="005479DA"/>
    <w:rsid w:val="00547BCC"/>
    <w:rsid w:val="0055013B"/>
    <w:rsid w:val="00551A5D"/>
    <w:rsid w:val="00551F6F"/>
    <w:rsid w:val="00555044"/>
    <w:rsid w:val="00561475"/>
    <w:rsid w:val="0056463E"/>
    <w:rsid w:val="0056487B"/>
    <w:rsid w:val="00564FB9"/>
    <w:rsid w:val="00573D9E"/>
    <w:rsid w:val="005801E3"/>
    <w:rsid w:val="00581802"/>
    <w:rsid w:val="00581E7B"/>
    <w:rsid w:val="005836A8"/>
    <w:rsid w:val="00584262"/>
    <w:rsid w:val="00586630"/>
    <w:rsid w:val="00587ADD"/>
    <w:rsid w:val="00596160"/>
    <w:rsid w:val="005966E2"/>
    <w:rsid w:val="00597007"/>
    <w:rsid w:val="005A0966"/>
    <w:rsid w:val="005A11B7"/>
    <w:rsid w:val="005A260B"/>
    <w:rsid w:val="005A4A1B"/>
    <w:rsid w:val="005A5EB8"/>
    <w:rsid w:val="005A7830"/>
    <w:rsid w:val="005A7FCE"/>
    <w:rsid w:val="005B0F3F"/>
    <w:rsid w:val="005B3ABD"/>
    <w:rsid w:val="005B4903"/>
    <w:rsid w:val="005B51CE"/>
    <w:rsid w:val="005B5885"/>
    <w:rsid w:val="005B5CD7"/>
    <w:rsid w:val="005B5FE9"/>
    <w:rsid w:val="005B6CF6"/>
    <w:rsid w:val="005B7422"/>
    <w:rsid w:val="005C29B8"/>
    <w:rsid w:val="005C3781"/>
    <w:rsid w:val="005C56F8"/>
    <w:rsid w:val="005C5F21"/>
    <w:rsid w:val="005C7156"/>
    <w:rsid w:val="005D0C75"/>
    <w:rsid w:val="005D1FD8"/>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4B01"/>
    <w:rsid w:val="00606419"/>
    <w:rsid w:val="00607D29"/>
    <w:rsid w:val="00612952"/>
    <w:rsid w:val="00614CC1"/>
    <w:rsid w:val="006150F2"/>
    <w:rsid w:val="00615A9D"/>
    <w:rsid w:val="006162BE"/>
    <w:rsid w:val="00616BBB"/>
    <w:rsid w:val="00616C52"/>
    <w:rsid w:val="00617387"/>
    <w:rsid w:val="006231C5"/>
    <w:rsid w:val="006252D8"/>
    <w:rsid w:val="006259BC"/>
    <w:rsid w:val="0062636B"/>
    <w:rsid w:val="00626922"/>
    <w:rsid w:val="00632182"/>
    <w:rsid w:val="00632AE0"/>
    <w:rsid w:val="006331E9"/>
    <w:rsid w:val="00633C17"/>
    <w:rsid w:val="00634214"/>
    <w:rsid w:val="006353AA"/>
    <w:rsid w:val="00636E3E"/>
    <w:rsid w:val="006379F7"/>
    <w:rsid w:val="00637E4D"/>
    <w:rsid w:val="00640620"/>
    <w:rsid w:val="00641A1F"/>
    <w:rsid w:val="00645904"/>
    <w:rsid w:val="0064606C"/>
    <w:rsid w:val="00651ACB"/>
    <w:rsid w:val="00651C47"/>
    <w:rsid w:val="00652AB2"/>
    <w:rsid w:val="00654EC0"/>
    <w:rsid w:val="0065525B"/>
    <w:rsid w:val="00655D4F"/>
    <w:rsid w:val="006640E5"/>
    <w:rsid w:val="006646F1"/>
    <w:rsid w:val="00664929"/>
    <w:rsid w:val="00664F62"/>
    <w:rsid w:val="006655E1"/>
    <w:rsid w:val="006703C8"/>
    <w:rsid w:val="00672060"/>
    <w:rsid w:val="006722F4"/>
    <w:rsid w:val="00672BFD"/>
    <w:rsid w:val="006770F4"/>
    <w:rsid w:val="00677A84"/>
    <w:rsid w:val="0068026D"/>
    <w:rsid w:val="00680A27"/>
    <w:rsid w:val="006816A4"/>
    <w:rsid w:val="006819B8"/>
    <w:rsid w:val="006840A6"/>
    <w:rsid w:val="006850CD"/>
    <w:rsid w:val="00685AAB"/>
    <w:rsid w:val="00687E0D"/>
    <w:rsid w:val="006A07AA"/>
    <w:rsid w:val="006A25E5"/>
    <w:rsid w:val="006A2B46"/>
    <w:rsid w:val="006A3108"/>
    <w:rsid w:val="006A336D"/>
    <w:rsid w:val="006A37B9"/>
    <w:rsid w:val="006A3ACD"/>
    <w:rsid w:val="006A5F0B"/>
    <w:rsid w:val="006B0EDB"/>
    <w:rsid w:val="006B2672"/>
    <w:rsid w:val="006B545E"/>
    <w:rsid w:val="006B54BF"/>
    <w:rsid w:val="006B5F44"/>
    <w:rsid w:val="006B5F77"/>
    <w:rsid w:val="006B5F90"/>
    <w:rsid w:val="006B62E4"/>
    <w:rsid w:val="006C1BBA"/>
    <w:rsid w:val="006C2079"/>
    <w:rsid w:val="006C5A62"/>
    <w:rsid w:val="006C5D68"/>
    <w:rsid w:val="006C6976"/>
    <w:rsid w:val="006C6DD0"/>
    <w:rsid w:val="006C7039"/>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17969"/>
    <w:rsid w:val="00722FBF"/>
    <w:rsid w:val="00722FC2"/>
    <w:rsid w:val="00725949"/>
    <w:rsid w:val="00727FA2"/>
    <w:rsid w:val="007322D9"/>
    <w:rsid w:val="00732BC0"/>
    <w:rsid w:val="007345ED"/>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2C66"/>
    <w:rsid w:val="0075307D"/>
    <w:rsid w:val="00755402"/>
    <w:rsid w:val="00756B26"/>
    <w:rsid w:val="00756EDF"/>
    <w:rsid w:val="00757D35"/>
    <w:rsid w:val="007609A2"/>
    <w:rsid w:val="0076476E"/>
    <w:rsid w:val="00765C43"/>
    <w:rsid w:val="00765EFB"/>
    <w:rsid w:val="007671CA"/>
    <w:rsid w:val="00767C61"/>
    <w:rsid w:val="0077008A"/>
    <w:rsid w:val="00773C1F"/>
    <w:rsid w:val="00774DA4"/>
    <w:rsid w:val="00776599"/>
    <w:rsid w:val="00777B6D"/>
    <w:rsid w:val="0078114B"/>
    <w:rsid w:val="00781DD2"/>
    <w:rsid w:val="00783ECF"/>
    <w:rsid w:val="0078413A"/>
    <w:rsid w:val="00785745"/>
    <w:rsid w:val="00790CA3"/>
    <w:rsid w:val="00790E01"/>
    <w:rsid w:val="00792BB2"/>
    <w:rsid w:val="007959E8"/>
    <w:rsid w:val="00795E9C"/>
    <w:rsid w:val="007A0521"/>
    <w:rsid w:val="007A061E"/>
    <w:rsid w:val="007A2E12"/>
    <w:rsid w:val="007A3475"/>
    <w:rsid w:val="007A360C"/>
    <w:rsid w:val="007A41C8"/>
    <w:rsid w:val="007A54CE"/>
    <w:rsid w:val="007A6118"/>
    <w:rsid w:val="007A7FFA"/>
    <w:rsid w:val="007B04EB"/>
    <w:rsid w:val="007B0D4F"/>
    <w:rsid w:val="007B5A3D"/>
    <w:rsid w:val="007B5B95"/>
    <w:rsid w:val="007B68EA"/>
    <w:rsid w:val="007C02DC"/>
    <w:rsid w:val="007C19E8"/>
    <w:rsid w:val="007C1BE5"/>
    <w:rsid w:val="007C2D89"/>
    <w:rsid w:val="007C4593"/>
    <w:rsid w:val="007C50B9"/>
    <w:rsid w:val="007C5309"/>
    <w:rsid w:val="007C6069"/>
    <w:rsid w:val="007D06C4"/>
    <w:rsid w:val="007D1352"/>
    <w:rsid w:val="007D2508"/>
    <w:rsid w:val="007D29ED"/>
    <w:rsid w:val="007D346A"/>
    <w:rsid w:val="007D6518"/>
    <w:rsid w:val="007D76BD"/>
    <w:rsid w:val="007E0BF1"/>
    <w:rsid w:val="007E1548"/>
    <w:rsid w:val="007E437E"/>
    <w:rsid w:val="007E72B7"/>
    <w:rsid w:val="007F0ED8"/>
    <w:rsid w:val="007F0F63"/>
    <w:rsid w:val="007F75CE"/>
    <w:rsid w:val="00800C2D"/>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6165"/>
    <w:rsid w:val="008373D3"/>
    <w:rsid w:val="00840617"/>
    <w:rsid w:val="00842A47"/>
    <w:rsid w:val="00843C13"/>
    <w:rsid w:val="008454F8"/>
    <w:rsid w:val="00851342"/>
    <w:rsid w:val="0085173A"/>
    <w:rsid w:val="008553DD"/>
    <w:rsid w:val="00856567"/>
    <w:rsid w:val="008603CE"/>
    <w:rsid w:val="008620FC"/>
    <w:rsid w:val="008627A5"/>
    <w:rsid w:val="00863E05"/>
    <w:rsid w:val="00865ACA"/>
    <w:rsid w:val="00865D28"/>
    <w:rsid w:val="00865F85"/>
    <w:rsid w:val="00867C10"/>
    <w:rsid w:val="00867EAC"/>
    <w:rsid w:val="00870439"/>
    <w:rsid w:val="00870DA1"/>
    <w:rsid w:val="008725D6"/>
    <w:rsid w:val="008806AC"/>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DF7"/>
    <w:rsid w:val="008C475E"/>
    <w:rsid w:val="008C619A"/>
    <w:rsid w:val="008D0CE8"/>
    <w:rsid w:val="008D2D1D"/>
    <w:rsid w:val="008D453D"/>
    <w:rsid w:val="008D53AD"/>
    <w:rsid w:val="008D562B"/>
    <w:rsid w:val="008D5733"/>
    <w:rsid w:val="008D622B"/>
    <w:rsid w:val="008D666C"/>
    <w:rsid w:val="008D6E9B"/>
    <w:rsid w:val="008D7B54"/>
    <w:rsid w:val="008E0C9D"/>
    <w:rsid w:val="008E1648"/>
    <w:rsid w:val="008E1769"/>
    <w:rsid w:val="008E1B3E"/>
    <w:rsid w:val="008E2319"/>
    <w:rsid w:val="008E4BB6"/>
    <w:rsid w:val="008E5518"/>
    <w:rsid w:val="008E6A84"/>
    <w:rsid w:val="008E7A3A"/>
    <w:rsid w:val="008F0CDC"/>
    <w:rsid w:val="008F17A3"/>
    <w:rsid w:val="008F1ED3"/>
    <w:rsid w:val="008F42F3"/>
    <w:rsid w:val="008F4C29"/>
    <w:rsid w:val="008F70BD"/>
    <w:rsid w:val="008F788F"/>
    <w:rsid w:val="008F7EA2"/>
    <w:rsid w:val="009013FF"/>
    <w:rsid w:val="00902722"/>
    <w:rsid w:val="009027BC"/>
    <w:rsid w:val="009062E6"/>
    <w:rsid w:val="009078B3"/>
    <w:rsid w:val="00911BE5"/>
    <w:rsid w:val="00913CA9"/>
    <w:rsid w:val="009145AE"/>
    <w:rsid w:val="009146CE"/>
    <w:rsid w:val="00914CA7"/>
    <w:rsid w:val="00915C3E"/>
    <w:rsid w:val="009161A8"/>
    <w:rsid w:val="0091673D"/>
    <w:rsid w:val="0092067D"/>
    <w:rsid w:val="0092096D"/>
    <w:rsid w:val="00921F59"/>
    <w:rsid w:val="009245F5"/>
    <w:rsid w:val="009249EC"/>
    <w:rsid w:val="00925D82"/>
    <w:rsid w:val="009273B3"/>
    <w:rsid w:val="009305B5"/>
    <w:rsid w:val="00934C12"/>
    <w:rsid w:val="009429D5"/>
    <w:rsid w:val="00942BF1"/>
    <w:rsid w:val="00944257"/>
    <w:rsid w:val="00945180"/>
    <w:rsid w:val="00945428"/>
    <w:rsid w:val="0094607B"/>
    <w:rsid w:val="00951456"/>
    <w:rsid w:val="00952C52"/>
    <w:rsid w:val="00953604"/>
    <w:rsid w:val="009610DC"/>
    <w:rsid w:val="00961490"/>
    <w:rsid w:val="0096381A"/>
    <w:rsid w:val="00963CB1"/>
    <w:rsid w:val="00965E04"/>
    <w:rsid w:val="0096734D"/>
    <w:rsid w:val="009674AD"/>
    <w:rsid w:val="0097094E"/>
    <w:rsid w:val="00970CDC"/>
    <w:rsid w:val="00977010"/>
    <w:rsid w:val="00977D02"/>
    <w:rsid w:val="009809BB"/>
    <w:rsid w:val="00982D22"/>
    <w:rsid w:val="0098364B"/>
    <w:rsid w:val="00983BF9"/>
    <w:rsid w:val="009873F1"/>
    <w:rsid w:val="009900CD"/>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2E88"/>
    <w:rsid w:val="009B6029"/>
    <w:rsid w:val="009B649A"/>
    <w:rsid w:val="009B6971"/>
    <w:rsid w:val="009C27F1"/>
    <w:rsid w:val="009C3152"/>
    <w:rsid w:val="009C4CFA"/>
    <w:rsid w:val="009C5070"/>
    <w:rsid w:val="009C6788"/>
    <w:rsid w:val="009C6D1B"/>
    <w:rsid w:val="009D112C"/>
    <w:rsid w:val="009D449C"/>
    <w:rsid w:val="009D47FA"/>
    <w:rsid w:val="009D50D2"/>
    <w:rsid w:val="009D6BCA"/>
    <w:rsid w:val="009D7D2C"/>
    <w:rsid w:val="009E0F62"/>
    <w:rsid w:val="009E273C"/>
    <w:rsid w:val="009E4A58"/>
    <w:rsid w:val="009E5A2D"/>
    <w:rsid w:val="009E5AB2"/>
    <w:rsid w:val="009E6219"/>
    <w:rsid w:val="009F03B3"/>
    <w:rsid w:val="009F31D4"/>
    <w:rsid w:val="00A01757"/>
    <w:rsid w:val="00A028C0"/>
    <w:rsid w:val="00A02BAE"/>
    <w:rsid w:val="00A06A6B"/>
    <w:rsid w:val="00A0718E"/>
    <w:rsid w:val="00A07E47"/>
    <w:rsid w:val="00A129D0"/>
    <w:rsid w:val="00A12C33"/>
    <w:rsid w:val="00A138BA"/>
    <w:rsid w:val="00A14C8E"/>
    <w:rsid w:val="00A153D9"/>
    <w:rsid w:val="00A15F09"/>
    <w:rsid w:val="00A169B6"/>
    <w:rsid w:val="00A17003"/>
    <w:rsid w:val="00A2271D"/>
    <w:rsid w:val="00A236E5"/>
    <w:rsid w:val="00A237D5"/>
    <w:rsid w:val="00A24F7B"/>
    <w:rsid w:val="00A273D9"/>
    <w:rsid w:val="00A30EFC"/>
    <w:rsid w:val="00A31984"/>
    <w:rsid w:val="00A32380"/>
    <w:rsid w:val="00A32D73"/>
    <w:rsid w:val="00A32ECE"/>
    <w:rsid w:val="00A3367B"/>
    <w:rsid w:val="00A3597D"/>
    <w:rsid w:val="00A35C36"/>
    <w:rsid w:val="00A40091"/>
    <w:rsid w:val="00A4030F"/>
    <w:rsid w:val="00A41C79"/>
    <w:rsid w:val="00A41CB5"/>
    <w:rsid w:val="00A42CDF"/>
    <w:rsid w:val="00A4452E"/>
    <w:rsid w:val="00A4472C"/>
    <w:rsid w:val="00A44E69"/>
    <w:rsid w:val="00A4661E"/>
    <w:rsid w:val="00A527CC"/>
    <w:rsid w:val="00A54970"/>
    <w:rsid w:val="00A55BD6"/>
    <w:rsid w:val="00A55D50"/>
    <w:rsid w:val="00A57142"/>
    <w:rsid w:val="00A648CD"/>
    <w:rsid w:val="00A6537A"/>
    <w:rsid w:val="00A67866"/>
    <w:rsid w:val="00A67CC9"/>
    <w:rsid w:val="00A70B07"/>
    <w:rsid w:val="00A723F8"/>
    <w:rsid w:val="00A73161"/>
    <w:rsid w:val="00A77CCB"/>
    <w:rsid w:val="00A83D8D"/>
    <w:rsid w:val="00A8446B"/>
    <w:rsid w:val="00A8473F"/>
    <w:rsid w:val="00A862D6"/>
    <w:rsid w:val="00A8715E"/>
    <w:rsid w:val="00A90BA5"/>
    <w:rsid w:val="00A9295B"/>
    <w:rsid w:val="00A93B09"/>
    <w:rsid w:val="00A952D7"/>
    <w:rsid w:val="00A95595"/>
    <w:rsid w:val="00A963F7"/>
    <w:rsid w:val="00A96AD8"/>
    <w:rsid w:val="00AA052C"/>
    <w:rsid w:val="00AA1E45"/>
    <w:rsid w:val="00AA2A24"/>
    <w:rsid w:val="00AA33EA"/>
    <w:rsid w:val="00AA4286"/>
    <w:rsid w:val="00AA456B"/>
    <w:rsid w:val="00AA57F5"/>
    <w:rsid w:val="00AA672E"/>
    <w:rsid w:val="00AA6EC9"/>
    <w:rsid w:val="00AB4487"/>
    <w:rsid w:val="00AB5A1B"/>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7404"/>
    <w:rsid w:val="00AE070A"/>
    <w:rsid w:val="00AE101C"/>
    <w:rsid w:val="00AE2245"/>
    <w:rsid w:val="00AF0C18"/>
    <w:rsid w:val="00AF47C5"/>
    <w:rsid w:val="00AF5398"/>
    <w:rsid w:val="00B03440"/>
    <w:rsid w:val="00B049AF"/>
    <w:rsid w:val="00B07242"/>
    <w:rsid w:val="00B10534"/>
    <w:rsid w:val="00B113DB"/>
    <w:rsid w:val="00B11D8A"/>
    <w:rsid w:val="00B12981"/>
    <w:rsid w:val="00B147DD"/>
    <w:rsid w:val="00B156FD"/>
    <w:rsid w:val="00B15E8E"/>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0120"/>
    <w:rsid w:val="00B72880"/>
    <w:rsid w:val="00B758BF"/>
    <w:rsid w:val="00B827A6"/>
    <w:rsid w:val="00B831CE"/>
    <w:rsid w:val="00B86677"/>
    <w:rsid w:val="00B87131"/>
    <w:rsid w:val="00B9127B"/>
    <w:rsid w:val="00B91566"/>
    <w:rsid w:val="00B9320C"/>
    <w:rsid w:val="00B939B1"/>
    <w:rsid w:val="00B958A1"/>
    <w:rsid w:val="00B96D40"/>
    <w:rsid w:val="00B97386"/>
    <w:rsid w:val="00BA263B"/>
    <w:rsid w:val="00BA2DA9"/>
    <w:rsid w:val="00BA42B2"/>
    <w:rsid w:val="00BA58D4"/>
    <w:rsid w:val="00BA5B9E"/>
    <w:rsid w:val="00BA7C9A"/>
    <w:rsid w:val="00BB5F8F"/>
    <w:rsid w:val="00BB657A"/>
    <w:rsid w:val="00BB6CDD"/>
    <w:rsid w:val="00BC1A4E"/>
    <w:rsid w:val="00BC5DC7"/>
    <w:rsid w:val="00BC6B8B"/>
    <w:rsid w:val="00BC73D8"/>
    <w:rsid w:val="00BD52D7"/>
    <w:rsid w:val="00BD5AD2"/>
    <w:rsid w:val="00BD6082"/>
    <w:rsid w:val="00BE1D95"/>
    <w:rsid w:val="00BE22F3"/>
    <w:rsid w:val="00BE3EB2"/>
    <w:rsid w:val="00BE49EE"/>
    <w:rsid w:val="00BE5B52"/>
    <w:rsid w:val="00BE7B8D"/>
    <w:rsid w:val="00BF0993"/>
    <w:rsid w:val="00BF10A9"/>
    <w:rsid w:val="00BF1703"/>
    <w:rsid w:val="00BF231C"/>
    <w:rsid w:val="00BF51E5"/>
    <w:rsid w:val="00BF74A6"/>
    <w:rsid w:val="00C013AD"/>
    <w:rsid w:val="00C04904"/>
    <w:rsid w:val="00C056B3"/>
    <w:rsid w:val="00C06293"/>
    <w:rsid w:val="00C103E5"/>
    <w:rsid w:val="00C13319"/>
    <w:rsid w:val="00C13EE9"/>
    <w:rsid w:val="00C14D87"/>
    <w:rsid w:val="00C21540"/>
    <w:rsid w:val="00C21906"/>
    <w:rsid w:val="00C21BFA"/>
    <w:rsid w:val="00C24C8D"/>
    <w:rsid w:val="00C25660"/>
    <w:rsid w:val="00C25FE2"/>
    <w:rsid w:val="00C26B53"/>
    <w:rsid w:val="00C279B2"/>
    <w:rsid w:val="00C30FC3"/>
    <w:rsid w:val="00C33E50"/>
    <w:rsid w:val="00C345D9"/>
    <w:rsid w:val="00C34C20"/>
    <w:rsid w:val="00C35A3E"/>
    <w:rsid w:val="00C36955"/>
    <w:rsid w:val="00C42130"/>
    <w:rsid w:val="00C423A4"/>
    <w:rsid w:val="00C44BF5"/>
    <w:rsid w:val="00C47F83"/>
    <w:rsid w:val="00C538D8"/>
    <w:rsid w:val="00C55232"/>
    <w:rsid w:val="00C553A4"/>
    <w:rsid w:val="00C55A06"/>
    <w:rsid w:val="00C55D03"/>
    <w:rsid w:val="00C56129"/>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0F36"/>
    <w:rsid w:val="00C92D03"/>
    <w:rsid w:val="00C9319C"/>
    <w:rsid w:val="00C9435D"/>
    <w:rsid w:val="00C94479"/>
    <w:rsid w:val="00C9517F"/>
    <w:rsid w:val="00C9535E"/>
    <w:rsid w:val="00C96741"/>
    <w:rsid w:val="00CA2D1B"/>
    <w:rsid w:val="00CA482B"/>
    <w:rsid w:val="00CA662A"/>
    <w:rsid w:val="00CA7AFD"/>
    <w:rsid w:val="00CA7C3C"/>
    <w:rsid w:val="00CB0189"/>
    <w:rsid w:val="00CB0BA2"/>
    <w:rsid w:val="00CB1A42"/>
    <w:rsid w:val="00CB1B0C"/>
    <w:rsid w:val="00CB2C0B"/>
    <w:rsid w:val="00CB517D"/>
    <w:rsid w:val="00CB5891"/>
    <w:rsid w:val="00CB7290"/>
    <w:rsid w:val="00CC038D"/>
    <w:rsid w:val="00CC202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F8"/>
    <w:rsid w:val="00CE0C4F"/>
    <w:rsid w:val="00CE30EA"/>
    <w:rsid w:val="00CE4277"/>
    <w:rsid w:val="00CE6CF5"/>
    <w:rsid w:val="00CE789F"/>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3434"/>
    <w:rsid w:val="00D352A2"/>
    <w:rsid w:val="00D357AD"/>
    <w:rsid w:val="00D364B7"/>
    <w:rsid w:val="00D40A83"/>
    <w:rsid w:val="00D4162B"/>
    <w:rsid w:val="00D4514F"/>
    <w:rsid w:val="00D451E2"/>
    <w:rsid w:val="00D4545E"/>
    <w:rsid w:val="00D45E89"/>
    <w:rsid w:val="00D45E8D"/>
    <w:rsid w:val="00D466AE"/>
    <w:rsid w:val="00D4734F"/>
    <w:rsid w:val="00D51BF3"/>
    <w:rsid w:val="00D63276"/>
    <w:rsid w:val="00D66846"/>
    <w:rsid w:val="00D675FB"/>
    <w:rsid w:val="00D67A0B"/>
    <w:rsid w:val="00D71F25"/>
    <w:rsid w:val="00D7342F"/>
    <w:rsid w:val="00D749AD"/>
    <w:rsid w:val="00D77031"/>
    <w:rsid w:val="00D80AD0"/>
    <w:rsid w:val="00D83AAA"/>
    <w:rsid w:val="00D84941"/>
    <w:rsid w:val="00D84FA1"/>
    <w:rsid w:val="00D851F0"/>
    <w:rsid w:val="00D858F5"/>
    <w:rsid w:val="00D86DB7"/>
    <w:rsid w:val="00D926D0"/>
    <w:rsid w:val="00D93030"/>
    <w:rsid w:val="00D9371C"/>
    <w:rsid w:val="00D940A9"/>
    <w:rsid w:val="00D950E1"/>
    <w:rsid w:val="00D952A6"/>
    <w:rsid w:val="00D97F99"/>
    <w:rsid w:val="00DA19E7"/>
    <w:rsid w:val="00DA1E08"/>
    <w:rsid w:val="00DA24F8"/>
    <w:rsid w:val="00DA28E8"/>
    <w:rsid w:val="00DA38D3"/>
    <w:rsid w:val="00DA3932"/>
    <w:rsid w:val="00DA64F8"/>
    <w:rsid w:val="00DA6683"/>
    <w:rsid w:val="00DA6C15"/>
    <w:rsid w:val="00DA7370"/>
    <w:rsid w:val="00DB2C93"/>
    <w:rsid w:val="00DB359E"/>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D6DB0"/>
    <w:rsid w:val="00DE0A4B"/>
    <w:rsid w:val="00DE2410"/>
    <w:rsid w:val="00DE2939"/>
    <w:rsid w:val="00DE51F0"/>
    <w:rsid w:val="00DE6E81"/>
    <w:rsid w:val="00DE703F"/>
    <w:rsid w:val="00DE7595"/>
    <w:rsid w:val="00DF15BE"/>
    <w:rsid w:val="00DF1961"/>
    <w:rsid w:val="00DF44DE"/>
    <w:rsid w:val="00E01138"/>
    <w:rsid w:val="00E0129C"/>
    <w:rsid w:val="00E02DFB"/>
    <w:rsid w:val="00E030F9"/>
    <w:rsid w:val="00E0311A"/>
    <w:rsid w:val="00E03138"/>
    <w:rsid w:val="00E06404"/>
    <w:rsid w:val="00E11A85"/>
    <w:rsid w:val="00E1231B"/>
    <w:rsid w:val="00E12495"/>
    <w:rsid w:val="00E15CCD"/>
    <w:rsid w:val="00E202EF"/>
    <w:rsid w:val="00E20878"/>
    <w:rsid w:val="00E210B5"/>
    <w:rsid w:val="00E23742"/>
    <w:rsid w:val="00E2552F"/>
    <w:rsid w:val="00E3137A"/>
    <w:rsid w:val="00E32CCF"/>
    <w:rsid w:val="00E34A98"/>
    <w:rsid w:val="00E35D1E"/>
    <w:rsid w:val="00E364F9"/>
    <w:rsid w:val="00E365FA"/>
    <w:rsid w:val="00E40C94"/>
    <w:rsid w:val="00E42907"/>
    <w:rsid w:val="00E44A83"/>
    <w:rsid w:val="00E4580C"/>
    <w:rsid w:val="00E466BE"/>
    <w:rsid w:val="00E502C1"/>
    <w:rsid w:val="00E502DD"/>
    <w:rsid w:val="00E50D3A"/>
    <w:rsid w:val="00E51387"/>
    <w:rsid w:val="00E51E68"/>
    <w:rsid w:val="00E52EFD"/>
    <w:rsid w:val="00E5349C"/>
    <w:rsid w:val="00E5408A"/>
    <w:rsid w:val="00E56800"/>
    <w:rsid w:val="00E60CD7"/>
    <w:rsid w:val="00E62FF9"/>
    <w:rsid w:val="00E635D6"/>
    <w:rsid w:val="00E639BC"/>
    <w:rsid w:val="00E65A9B"/>
    <w:rsid w:val="00E664CC"/>
    <w:rsid w:val="00E67404"/>
    <w:rsid w:val="00E70388"/>
    <w:rsid w:val="00E70F92"/>
    <w:rsid w:val="00E74C54"/>
    <w:rsid w:val="00E76D66"/>
    <w:rsid w:val="00E7748F"/>
    <w:rsid w:val="00E77A03"/>
    <w:rsid w:val="00E822E8"/>
    <w:rsid w:val="00E82554"/>
    <w:rsid w:val="00E82606"/>
    <w:rsid w:val="00E846C8"/>
    <w:rsid w:val="00E84957"/>
    <w:rsid w:val="00E84A55"/>
    <w:rsid w:val="00E85BFF"/>
    <w:rsid w:val="00E90391"/>
    <w:rsid w:val="00E906C2"/>
    <w:rsid w:val="00E912F3"/>
    <w:rsid w:val="00E9311F"/>
    <w:rsid w:val="00E934D1"/>
    <w:rsid w:val="00E946F8"/>
    <w:rsid w:val="00E94AF0"/>
    <w:rsid w:val="00E95D13"/>
    <w:rsid w:val="00E95DD3"/>
    <w:rsid w:val="00E969D5"/>
    <w:rsid w:val="00E977AD"/>
    <w:rsid w:val="00EA1679"/>
    <w:rsid w:val="00EA2624"/>
    <w:rsid w:val="00EA58D1"/>
    <w:rsid w:val="00EA61BC"/>
    <w:rsid w:val="00EA681A"/>
    <w:rsid w:val="00EA735B"/>
    <w:rsid w:val="00EB1E69"/>
    <w:rsid w:val="00EB2086"/>
    <w:rsid w:val="00EB5079"/>
    <w:rsid w:val="00EB5EDF"/>
    <w:rsid w:val="00EB60FE"/>
    <w:rsid w:val="00EB74DB"/>
    <w:rsid w:val="00EC5359"/>
    <w:rsid w:val="00EC562A"/>
    <w:rsid w:val="00ED067A"/>
    <w:rsid w:val="00ED2B50"/>
    <w:rsid w:val="00ED7C1D"/>
    <w:rsid w:val="00EE0350"/>
    <w:rsid w:val="00EE0719"/>
    <w:rsid w:val="00EE0E80"/>
    <w:rsid w:val="00EE613F"/>
    <w:rsid w:val="00EE7295"/>
    <w:rsid w:val="00EE7869"/>
    <w:rsid w:val="00EF054A"/>
    <w:rsid w:val="00EF3235"/>
    <w:rsid w:val="00EF6FB7"/>
    <w:rsid w:val="00EF7937"/>
    <w:rsid w:val="00EF7E72"/>
    <w:rsid w:val="00F06D37"/>
    <w:rsid w:val="00F07B9D"/>
    <w:rsid w:val="00F106C4"/>
    <w:rsid w:val="00F11586"/>
    <w:rsid w:val="00F1183B"/>
    <w:rsid w:val="00F11BAD"/>
    <w:rsid w:val="00F11C9F"/>
    <w:rsid w:val="00F12263"/>
    <w:rsid w:val="00F1409D"/>
    <w:rsid w:val="00F14214"/>
    <w:rsid w:val="00F146BD"/>
    <w:rsid w:val="00F157A9"/>
    <w:rsid w:val="00F25BB6"/>
    <w:rsid w:val="00F26B7E"/>
    <w:rsid w:val="00F27A3B"/>
    <w:rsid w:val="00F33801"/>
    <w:rsid w:val="00F33817"/>
    <w:rsid w:val="00F420D5"/>
    <w:rsid w:val="00F451EA"/>
    <w:rsid w:val="00F45447"/>
    <w:rsid w:val="00F456C6"/>
    <w:rsid w:val="00F4577B"/>
    <w:rsid w:val="00F46496"/>
    <w:rsid w:val="00F474D0"/>
    <w:rsid w:val="00F50179"/>
    <w:rsid w:val="00F506DB"/>
    <w:rsid w:val="00F56511"/>
    <w:rsid w:val="00F56F4C"/>
    <w:rsid w:val="00F6194E"/>
    <w:rsid w:val="00F623AC"/>
    <w:rsid w:val="00F634B0"/>
    <w:rsid w:val="00F6412A"/>
    <w:rsid w:val="00F641FD"/>
    <w:rsid w:val="00F65893"/>
    <w:rsid w:val="00F66A4A"/>
    <w:rsid w:val="00F71E22"/>
    <w:rsid w:val="00F72142"/>
    <w:rsid w:val="00F72AE7"/>
    <w:rsid w:val="00F84934"/>
    <w:rsid w:val="00F84FD0"/>
    <w:rsid w:val="00F8546F"/>
    <w:rsid w:val="00F859A8"/>
    <w:rsid w:val="00F9108B"/>
    <w:rsid w:val="00F91349"/>
    <w:rsid w:val="00F93A8A"/>
    <w:rsid w:val="00F95248"/>
    <w:rsid w:val="00F956A9"/>
    <w:rsid w:val="00F963ED"/>
    <w:rsid w:val="00F966CF"/>
    <w:rsid w:val="00F96CAE"/>
    <w:rsid w:val="00F97C99"/>
    <w:rsid w:val="00FA0B41"/>
    <w:rsid w:val="00FA662D"/>
    <w:rsid w:val="00FA73B1"/>
    <w:rsid w:val="00FB0CB9"/>
    <w:rsid w:val="00FB45F1"/>
    <w:rsid w:val="00FB4A72"/>
    <w:rsid w:val="00FB54E8"/>
    <w:rsid w:val="00FB7054"/>
    <w:rsid w:val="00FC1278"/>
    <w:rsid w:val="00FC17B7"/>
    <w:rsid w:val="00FC2593"/>
    <w:rsid w:val="00FC2CB7"/>
    <w:rsid w:val="00FC4090"/>
    <w:rsid w:val="00FC55B4"/>
    <w:rsid w:val="00FC6DA2"/>
    <w:rsid w:val="00FD00E6"/>
    <w:rsid w:val="00FD09A1"/>
    <w:rsid w:val="00FD2A7C"/>
    <w:rsid w:val="00FD59EB"/>
    <w:rsid w:val="00FD7299"/>
    <w:rsid w:val="00FE1FBE"/>
    <w:rsid w:val="00FE3901"/>
    <w:rsid w:val="00FE4BCE"/>
    <w:rsid w:val="00FE54AE"/>
    <w:rsid w:val="00FE576A"/>
    <w:rsid w:val="00FE61CF"/>
    <w:rsid w:val="00FE7E79"/>
    <w:rsid w:val="00FF24B1"/>
    <w:rsid w:val="00FF3E7D"/>
    <w:rsid w:val="00FF5B99"/>
    <w:rsid w:val="00FF6EBB"/>
    <w:rsid w:val="00FF730C"/>
    <w:rsid w:val="00FF73F4"/>
    <w:rsid w:val="00FF7CE4"/>
    <w:rsid w:val="00FF7E39"/>
    <w:rsid w:val="01141165"/>
    <w:rsid w:val="016A5B66"/>
    <w:rsid w:val="019127B6"/>
    <w:rsid w:val="01A16EC5"/>
    <w:rsid w:val="01E50D53"/>
    <w:rsid w:val="01F3521E"/>
    <w:rsid w:val="02532161"/>
    <w:rsid w:val="02906F11"/>
    <w:rsid w:val="029817AF"/>
    <w:rsid w:val="029D33DC"/>
    <w:rsid w:val="02BD0CBE"/>
    <w:rsid w:val="02E828A9"/>
    <w:rsid w:val="03463A74"/>
    <w:rsid w:val="03497EB4"/>
    <w:rsid w:val="03BE360A"/>
    <w:rsid w:val="0405748B"/>
    <w:rsid w:val="04247911"/>
    <w:rsid w:val="043438CC"/>
    <w:rsid w:val="043D4E77"/>
    <w:rsid w:val="04455AD9"/>
    <w:rsid w:val="04926F71"/>
    <w:rsid w:val="04B30C95"/>
    <w:rsid w:val="04BA2023"/>
    <w:rsid w:val="050D4849"/>
    <w:rsid w:val="051E626D"/>
    <w:rsid w:val="05420634"/>
    <w:rsid w:val="05575DE4"/>
    <w:rsid w:val="05975077"/>
    <w:rsid w:val="06071298"/>
    <w:rsid w:val="065A3ABE"/>
    <w:rsid w:val="067B1C86"/>
    <w:rsid w:val="06CB4FA1"/>
    <w:rsid w:val="06D108EA"/>
    <w:rsid w:val="075C3866"/>
    <w:rsid w:val="07724E37"/>
    <w:rsid w:val="07966D78"/>
    <w:rsid w:val="07972AF0"/>
    <w:rsid w:val="07E04497"/>
    <w:rsid w:val="08031F33"/>
    <w:rsid w:val="082A3964"/>
    <w:rsid w:val="082D6FB0"/>
    <w:rsid w:val="08C16076"/>
    <w:rsid w:val="08F71A98"/>
    <w:rsid w:val="090716A9"/>
    <w:rsid w:val="094D16B8"/>
    <w:rsid w:val="099F5C8C"/>
    <w:rsid w:val="09C33728"/>
    <w:rsid w:val="0A747118"/>
    <w:rsid w:val="0A8E1F88"/>
    <w:rsid w:val="0A981059"/>
    <w:rsid w:val="0B097861"/>
    <w:rsid w:val="0B0B0223"/>
    <w:rsid w:val="0BC140B0"/>
    <w:rsid w:val="0BF415C0"/>
    <w:rsid w:val="0BF422BF"/>
    <w:rsid w:val="0BF7590B"/>
    <w:rsid w:val="0C01678A"/>
    <w:rsid w:val="0C076B26"/>
    <w:rsid w:val="0C882A07"/>
    <w:rsid w:val="0C8C24F7"/>
    <w:rsid w:val="0C9D4705"/>
    <w:rsid w:val="0C9F6AEC"/>
    <w:rsid w:val="0CF66F6C"/>
    <w:rsid w:val="0D38267F"/>
    <w:rsid w:val="0D417786"/>
    <w:rsid w:val="0D4D6A15"/>
    <w:rsid w:val="0D7F02AE"/>
    <w:rsid w:val="0DA7097E"/>
    <w:rsid w:val="0DAB10A3"/>
    <w:rsid w:val="0E4F7C80"/>
    <w:rsid w:val="0E981627"/>
    <w:rsid w:val="0EAC0AC2"/>
    <w:rsid w:val="0EAD49A7"/>
    <w:rsid w:val="0ED168E7"/>
    <w:rsid w:val="0ED620E3"/>
    <w:rsid w:val="0F0767AD"/>
    <w:rsid w:val="0F537694"/>
    <w:rsid w:val="0F657030"/>
    <w:rsid w:val="0F9D4A1B"/>
    <w:rsid w:val="10A83678"/>
    <w:rsid w:val="10CD2F24"/>
    <w:rsid w:val="112757F5"/>
    <w:rsid w:val="113413B0"/>
    <w:rsid w:val="11366ED6"/>
    <w:rsid w:val="1164103E"/>
    <w:rsid w:val="11E26B3C"/>
    <w:rsid w:val="12A52565"/>
    <w:rsid w:val="12CA3D79"/>
    <w:rsid w:val="14641FAC"/>
    <w:rsid w:val="14E845D1"/>
    <w:rsid w:val="15054F9B"/>
    <w:rsid w:val="153048B2"/>
    <w:rsid w:val="15BF393E"/>
    <w:rsid w:val="15C543F3"/>
    <w:rsid w:val="15C90318"/>
    <w:rsid w:val="163F476C"/>
    <w:rsid w:val="16897AA8"/>
    <w:rsid w:val="16BC1C2B"/>
    <w:rsid w:val="16EB42BE"/>
    <w:rsid w:val="178169D1"/>
    <w:rsid w:val="178A6DBB"/>
    <w:rsid w:val="17A70B2D"/>
    <w:rsid w:val="17C236B8"/>
    <w:rsid w:val="17D0311D"/>
    <w:rsid w:val="17E21B65"/>
    <w:rsid w:val="181D7AAF"/>
    <w:rsid w:val="186E164B"/>
    <w:rsid w:val="18D019BE"/>
    <w:rsid w:val="18DB4966"/>
    <w:rsid w:val="18DC4807"/>
    <w:rsid w:val="19383D27"/>
    <w:rsid w:val="196B31F5"/>
    <w:rsid w:val="197E141A"/>
    <w:rsid w:val="19836A30"/>
    <w:rsid w:val="19B1359D"/>
    <w:rsid w:val="19CC03D7"/>
    <w:rsid w:val="1A5B175B"/>
    <w:rsid w:val="1A8C400A"/>
    <w:rsid w:val="1AF51BB0"/>
    <w:rsid w:val="1B227C79"/>
    <w:rsid w:val="1C055E22"/>
    <w:rsid w:val="1C4E77C9"/>
    <w:rsid w:val="1C534DE0"/>
    <w:rsid w:val="1C9176B6"/>
    <w:rsid w:val="1CB02232"/>
    <w:rsid w:val="1CC57360"/>
    <w:rsid w:val="1D187DD7"/>
    <w:rsid w:val="1D554B87"/>
    <w:rsid w:val="1D5B2612"/>
    <w:rsid w:val="1DED6B6E"/>
    <w:rsid w:val="1E546BED"/>
    <w:rsid w:val="1ECF0BC9"/>
    <w:rsid w:val="1F4D3D68"/>
    <w:rsid w:val="1F657087"/>
    <w:rsid w:val="1F752D3A"/>
    <w:rsid w:val="1FB02549"/>
    <w:rsid w:val="1FF22B62"/>
    <w:rsid w:val="20994D8B"/>
    <w:rsid w:val="20D504B9"/>
    <w:rsid w:val="20D52267"/>
    <w:rsid w:val="20FF13B2"/>
    <w:rsid w:val="210E5779"/>
    <w:rsid w:val="21115269"/>
    <w:rsid w:val="214D6B5B"/>
    <w:rsid w:val="21723F5A"/>
    <w:rsid w:val="21A8797C"/>
    <w:rsid w:val="21D01BB1"/>
    <w:rsid w:val="21EB7868"/>
    <w:rsid w:val="220F79FB"/>
    <w:rsid w:val="22715FC0"/>
    <w:rsid w:val="22BD2FB3"/>
    <w:rsid w:val="22F83FEB"/>
    <w:rsid w:val="233314C7"/>
    <w:rsid w:val="23621DAC"/>
    <w:rsid w:val="23641680"/>
    <w:rsid w:val="247C0C4C"/>
    <w:rsid w:val="24A85EE5"/>
    <w:rsid w:val="24E52E58"/>
    <w:rsid w:val="250273A3"/>
    <w:rsid w:val="25207829"/>
    <w:rsid w:val="25512802"/>
    <w:rsid w:val="259C76CA"/>
    <w:rsid w:val="25C64874"/>
    <w:rsid w:val="261750D0"/>
    <w:rsid w:val="26220F7D"/>
    <w:rsid w:val="26E1123A"/>
    <w:rsid w:val="271A039A"/>
    <w:rsid w:val="27421CD9"/>
    <w:rsid w:val="276274D0"/>
    <w:rsid w:val="27D36DD5"/>
    <w:rsid w:val="27FC27CF"/>
    <w:rsid w:val="28101DD7"/>
    <w:rsid w:val="286D7229"/>
    <w:rsid w:val="28A10C81"/>
    <w:rsid w:val="28AA60A7"/>
    <w:rsid w:val="28B27332"/>
    <w:rsid w:val="299F2DF9"/>
    <w:rsid w:val="29E51041"/>
    <w:rsid w:val="2A5341FD"/>
    <w:rsid w:val="2A8B3997"/>
    <w:rsid w:val="2A992557"/>
    <w:rsid w:val="2B762899"/>
    <w:rsid w:val="2BBD4024"/>
    <w:rsid w:val="2BC064B8"/>
    <w:rsid w:val="2C0D0672"/>
    <w:rsid w:val="2C4604BD"/>
    <w:rsid w:val="2C610E53"/>
    <w:rsid w:val="2CD47877"/>
    <w:rsid w:val="2CDA29B3"/>
    <w:rsid w:val="2DAE631A"/>
    <w:rsid w:val="2DDE5EB6"/>
    <w:rsid w:val="2E1662A0"/>
    <w:rsid w:val="2E782484"/>
    <w:rsid w:val="2E8C4181"/>
    <w:rsid w:val="2E9F5C62"/>
    <w:rsid w:val="2EC2522B"/>
    <w:rsid w:val="2ED00512"/>
    <w:rsid w:val="2EE11978"/>
    <w:rsid w:val="2F2820FC"/>
    <w:rsid w:val="2F302D5E"/>
    <w:rsid w:val="30062607"/>
    <w:rsid w:val="307E39A9"/>
    <w:rsid w:val="309F019C"/>
    <w:rsid w:val="30C916BD"/>
    <w:rsid w:val="30E3277E"/>
    <w:rsid w:val="31741628"/>
    <w:rsid w:val="322F3062"/>
    <w:rsid w:val="323F1C36"/>
    <w:rsid w:val="32485077"/>
    <w:rsid w:val="32E620B2"/>
    <w:rsid w:val="335A65FC"/>
    <w:rsid w:val="33661445"/>
    <w:rsid w:val="33FD0A67"/>
    <w:rsid w:val="344F1ED9"/>
    <w:rsid w:val="3491604D"/>
    <w:rsid w:val="34CB7535"/>
    <w:rsid w:val="34CE54F3"/>
    <w:rsid w:val="34F605A6"/>
    <w:rsid w:val="35316D9D"/>
    <w:rsid w:val="353752C8"/>
    <w:rsid w:val="35906305"/>
    <w:rsid w:val="362058DB"/>
    <w:rsid w:val="36415851"/>
    <w:rsid w:val="364D2448"/>
    <w:rsid w:val="36C767E4"/>
    <w:rsid w:val="36DB5CA6"/>
    <w:rsid w:val="36F17277"/>
    <w:rsid w:val="3796189E"/>
    <w:rsid w:val="37D41ABC"/>
    <w:rsid w:val="37F52D97"/>
    <w:rsid w:val="380D1E8F"/>
    <w:rsid w:val="381551E7"/>
    <w:rsid w:val="382B1748"/>
    <w:rsid w:val="384004B6"/>
    <w:rsid w:val="38591578"/>
    <w:rsid w:val="3885236D"/>
    <w:rsid w:val="38D315C7"/>
    <w:rsid w:val="38D34E86"/>
    <w:rsid w:val="393A4F06"/>
    <w:rsid w:val="39AE31FE"/>
    <w:rsid w:val="39ED4E59"/>
    <w:rsid w:val="3AB46F81"/>
    <w:rsid w:val="3AC23405"/>
    <w:rsid w:val="3B023801"/>
    <w:rsid w:val="3C0A2B23"/>
    <w:rsid w:val="3C480B3F"/>
    <w:rsid w:val="3C4B11D8"/>
    <w:rsid w:val="3CE21B3C"/>
    <w:rsid w:val="3D63216E"/>
    <w:rsid w:val="3DB3264D"/>
    <w:rsid w:val="3DFC4E7F"/>
    <w:rsid w:val="3E045AE2"/>
    <w:rsid w:val="3E6B2874"/>
    <w:rsid w:val="3E6D18D9"/>
    <w:rsid w:val="3E8B6203"/>
    <w:rsid w:val="3EAB2402"/>
    <w:rsid w:val="3EEF0540"/>
    <w:rsid w:val="3F00051C"/>
    <w:rsid w:val="3F136AFC"/>
    <w:rsid w:val="3F30107F"/>
    <w:rsid w:val="3F4D34B9"/>
    <w:rsid w:val="3FD020C9"/>
    <w:rsid w:val="3FE67B95"/>
    <w:rsid w:val="40423F2C"/>
    <w:rsid w:val="407451A1"/>
    <w:rsid w:val="40860A30"/>
    <w:rsid w:val="408F5EAA"/>
    <w:rsid w:val="40C477AB"/>
    <w:rsid w:val="40CD665F"/>
    <w:rsid w:val="417E6496"/>
    <w:rsid w:val="41A526BD"/>
    <w:rsid w:val="41B11ADD"/>
    <w:rsid w:val="41F374E8"/>
    <w:rsid w:val="420C765B"/>
    <w:rsid w:val="423435B8"/>
    <w:rsid w:val="427D5E63"/>
    <w:rsid w:val="42CF1434"/>
    <w:rsid w:val="43747266"/>
    <w:rsid w:val="438576C5"/>
    <w:rsid w:val="43E20674"/>
    <w:rsid w:val="43FA4CFA"/>
    <w:rsid w:val="44DC1567"/>
    <w:rsid w:val="44F05012"/>
    <w:rsid w:val="450E6EA6"/>
    <w:rsid w:val="451F3201"/>
    <w:rsid w:val="45CC15DB"/>
    <w:rsid w:val="45CC3389"/>
    <w:rsid w:val="45D61B06"/>
    <w:rsid w:val="4678706D"/>
    <w:rsid w:val="46B651A1"/>
    <w:rsid w:val="47857C94"/>
    <w:rsid w:val="47A45C40"/>
    <w:rsid w:val="47C3256A"/>
    <w:rsid w:val="47D33EDA"/>
    <w:rsid w:val="481D3B60"/>
    <w:rsid w:val="48EA3B26"/>
    <w:rsid w:val="495E079C"/>
    <w:rsid w:val="4B1C090F"/>
    <w:rsid w:val="4B524331"/>
    <w:rsid w:val="4B751DCD"/>
    <w:rsid w:val="4C107D48"/>
    <w:rsid w:val="4D4572C6"/>
    <w:rsid w:val="4D4B079F"/>
    <w:rsid w:val="4D73233C"/>
    <w:rsid w:val="4DA92202"/>
    <w:rsid w:val="4E3760C3"/>
    <w:rsid w:val="4FE47521"/>
    <w:rsid w:val="5052092F"/>
    <w:rsid w:val="507C775A"/>
    <w:rsid w:val="509251CF"/>
    <w:rsid w:val="51022355"/>
    <w:rsid w:val="514A5D72"/>
    <w:rsid w:val="516E1798"/>
    <w:rsid w:val="518A7661"/>
    <w:rsid w:val="51917235"/>
    <w:rsid w:val="524E3378"/>
    <w:rsid w:val="527E1EAF"/>
    <w:rsid w:val="530028C4"/>
    <w:rsid w:val="530323B4"/>
    <w:rsid w:val="5394300C"/>
    <w:rsid w:val="53A0797D"/>
    <w:rsid w:val="5406215C"/>
    <w:rsid w:val="5449029B"/>
    <w:rsid w:val="54754BEC"/>
    <w:rsid w:val="54877ACD"/>
    <w:rsid w:val="55810352"/>
    <w:rsid w:val="559E0172"/>
    <w:rsid w:val="55A57753"/>
    <w:rsid w:val="562B40FC"/>
    <w:rsid w:val="564B3E56"/>
    <w:rsid w:val="564F3020"/>
    <w:rsid w:val="56570A4D"/>
    <w:rsid w:val="566B4549"/>
    <w:rsid w:val="56B63AE3"/>
    <w:rsid w:val="56CA56C3"/>
    <w:rsid w:val="571A1A7B"/>
    <w:rsid w:val="574D00A2"/>
    <w:rsid w:val="575136EE"/>
    <w:rsid w:val="57727B09"/>
    <w:rsid w:val="57877110"/>
    <w:rsid w:val="57C739B1"/>
    <w:rsid w:val="57DB745C"/>
    <w:rsid w:val="580E15DF"/>
    <w:rsid w:val="5814471C"/>
    <w:rsid w:val="5889335C"/>
    <w:rsid w:val="589F0489"/>
    <w:rsid w:val="58A106A5"/>
    <w:rsid w:val="58A5013C"/>
    <w:rsid w:val="58D77C23"/>
    <w:rsid w:val="590B057A"/>
    <w:rsid w:val="593A7D42"/>
    <w:rsid w:val="594D6137"/>
    <w:rsid w:val="59E545C2"/>
    <w:rsid w:val="59F42A57"/>
    <w:rsid w:val="5A9105C6"/>
    <w:rsid w:val="5AD00DCE"/>
    <w:rsid w:val="5B1E7D8B"/>
    <w:rsid w:val="5BE07737"/>
    <w:rsid w:val="5C855BE8"/>
    <w:rsid w:val="5C950521"/>
    <w:rsid w:val="5CF10C74"/>
    <w:rsid w:val="5D1A4582"/>
    <w:rsid w:val="5D942F9B"/>
    <w:rsid w:val="5DB944DA"/>
    <w:rsid w:val="5DC32E6C"/>
    <w:rsid w:val="5E0C4813"/>
    <w:rsid w:val="5E4A70E9"/>
    <w:rsid w:val="5E53564E"/>
    <w:rsid w:val="5E7E688E"/>
    <w:rsid w:val="5ECB28DF"/>
    <w:rsid w:val="5FA770D9"/>
    <w:rsid w:val="60953A2C"/>
    <w:rsid w:val="619B6ADE"/>
    <w:rsid w:val="61CA13D9"/>
    <w:rsid w:val="62344338"/>
    <w:rsid w:val="62D07C7B"/>
    <w:rsid w:val="635307EE"/>
    <w:rsid w:val="637D1D0F"/>
    <w:rsid w:val="639130C5"/>
    <w:rsid w:val="63AB23D8"/>
    <w:rsid w:val="63AB4186"/>
    <w:rsid w:val="63D57455"/>
    <w:rsid w:val="640970FF"/>
    <w:rsid w:val="640D4E41"/>
    <w:rsid w:val="641A0840"/>
    <w:rsid w:val="64781A61"/>
    <w:rsid w:val="65240694"/>
    <w:rsid w:val="65DF6369"/>
    <w:rsid w:val="660A5ADC"/>
    <w:rsid w:val="666D5048"/>
    <w:rsid w:val="66763171"/>
    <w:rsid w:val="66B06F8E"/>
    <w:rsid w:val="66E04A8F"/>
    <w:rsid w:val="67010561"/>
    <w:rsid w:val="679F2254"/>
    <w:rsid w:val="6828049B"/>
    <w:rsid w:val="68324E76"/>
    <w:rsid w:val="68363783"/>
    <w:rsid w:val="685F6E9B"/>
    <w:rsid w:val="68E33322"/>
    <w:rsid w:val="68F50795"/>
    <w:rsid w:val="6A295C61"/>
    <w:rsid w:val="6B4A0729"/>
    <w:rsid w:val="6BA0659B"/>
    <w:rsid w:val="6BC06753"/>
    <w:rsid w:val="6C4F4D01"/>
    <w:rsid w:val="6C515AE7"/>
    <w:rsid w:val="6C561389"/>
    <w:rsid w:val="6C7D629A"/>
    <w:rsid w:val="6D203E37"/>
    <w:rsid w:val="6DA62B90"/>
    <w:rsid w:val="6DB93944"/>
    <w:rsid w:val="6DDD5884"/>
    <w:rsid w:val="6E8757F0"/>
    <w:rsid w:val="6EBD7464"/>
    <w:rsid w:val="6EC84D35"/>
    <w:rsid w:val="6F2B0871"/>
    <w:rsid w:val="6F5A4CB2"/>
    <w:rsid w:val="6F72024E"/>
    <w:rsid w:val="6FAF4FFE"/>
    <w:rsid w:val="700F0311"/>
    <w:rsid w:val="702F1F81"/>
    <w:rsid w:val="70455E0A"/>
    <w:rsid w:val="708F7D90"/>
    <w:rsid w:val="70A94143"/>
    <w:rsid w:val="714D3D36"/>
    <w:rsid w:val="71630796"/>
    <w:rsid w:val="71E82A49"/>
    <w:rsid w:val="72243DB7"/>
    <w:rsid w:val="73025D8D"/>
    <w:rsid w:val="73267CCD"/>
    <w:rsid w:val="73917324"/>
    <w:rsid w:val="73A17354"/>
    <w:rsid w:val="750103CA"/>
    <w:rsid w:val="755B7815"/>
    <w:rsid w:val="756179FE"/>
    <w:rsid w:val="75812F99"/>
    <w:rsid w:val="75E83018"/>
    <w:rsid w:val="76120323"/>
    <w:rsid w:val="768D2EED"/>
    <w:rsid w:val="76935D1A"/>
    <w:rsid w:val="769C4061"/>
    <w:rsid w:val="771D13E7"/>
    <w:rsid w:val="77543DD8"/>
    <w:rsid w:val="77B06F30"/>
    <w:rsid w:val="77DE2925"/>
    <w:rsid w:val="7826607A"/>
    <w:rsid w:val="782F05A2"/>
    <w:rsid w:val="784C3D32"/>
    <w:rsid w:val="78542BE7"/>
    <w:rsid w:val="788D5D25"/>
    <w:rsid w:val="78AF42C1"/>
    <w:rsid w:val="78B813C8"/>
    <w:rsid w:val="78E8667F"/>
    <w:rsid w:val="78EF15AF"/>
    <w:rsid w:val="791C739F"/>
    <w:rsid w:val="7931587B"/>
    <w:rsid w:val="797A7C8F"/>
    <w:rsid w:val="79915775"/>
    <w:rsid w:val="7A6E1402"/>
    <w:rsid w:val="7A7036F6"/>
    <w:rsid w:val="7AD24297"/>
    <w:rsid w:val="7AED2E7F"/>
    <w:rsid w:val="7B3459C8"/>
    <w:rsid w:val="7B3A65F9"/>
    <w:rsid w:val="7B3D3D0F"/>
    <w:rsid w:val="7BCE2CB0"/>
    <w:rsid w:val="7BD644A9"/>
    <w:rsid w:val="7BDC53CD"/>
    <w:rsid w:val="7C315907"/>
    <w:rsid w:val="7C721BAD"/>
    <w:rsid w:val="7C9F0755"/>
    <w:rsid w:val="7CC61BD9"/>
    <w:rsid w:val="7CF91FAF"/>
    <w:rsid w:val="7D40198C"/>
    <w:rsid w:val="7D9A5540"/>
    <w:rsid w:val="7E097FCF"/>
    <w:rsid w:val="7E0B46AE"/>
    <w:rsid w:val="7E437985"/>
    <w:rsid w:val="7E61605D"/>
    <w:rsid w:val="7E6D4A02"/>
    <w:rsid w:val="7EFC5B0D"/>
    <w:rsid w:val="7F741DC0"/>
    <w:rsid w:val="7FBB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3"/>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2"/>
    <w:link w:val="242"/>
    <w:qFormat/>
    <w:uiPriority w:val="0"/>
    <w:pPr>
      <w:spacing w:before="260" w:after="260" w:line="416" w:lineRule="auto"/>
      <w:outlineLvl w:val="2"/>
    </w:pPr>
    <w:rPr>
      <w:sz w:val="32"/>
      <w:szCs w:val="32"/>
    </w:rPr>
  </w:style>
  <w:style w:type="paragraph" w:styleId="7">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040"/>
        <w:tab w:val="left" w:pos="2400"/>
      </w:tabs>
      <w:spacing w:after="0" w:line="320" w:lineRule="exact"/>
      <w:ind w:firstLine="420" w:firstLineChars="200"/>
    </w:pPr>
    <w:rPr>
      <w:rFonts w:ascii="宋体" w:hAnsi="宋体"/>
    </w:rPr>
  </w:style>
  <w:style w:type="paragraph" w:styleId="4">
    <w:name w:val="Body Text"/>
    <w:basedOn w:val="1"/>
    <w:link w:val="88"/>
    <w:autoRedefine/>
    <w:qFormat/>
    <w:uiPriority w:val="0"/>
    <w:pPr>
      <w:spacing w:after="120"/>
    </w:p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Body Text Indent"/>
    <w:basedOn w:val="1"/>
    <w:qFormat/>
    <w:uiPriority w:val="0"/>
    <w:pPr>
      <w:spacing w:after="120"/>
      <w:ind w:left="420" w:leftChars="20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7"/>
    <w:autoRedefine/>
    <w:semiHidden/>
    <w:unhideWhenUsed/>
    <w:qFormat/>
    <w:uiPriority w:val="99"/>
    <w:rPr>
      <w:sz w:val="18"/>
      <w:szCs w:val="18"/>
    </w:rPr>
  </w:style>
  <w:style w:type="paragraph" w:styleId="19">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autoRedefine/>
    <w:qFormat/>
    <w:uiPriority w:val="0"/>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5"/>
    <w:qFormat/>
    <w:uiPriority w:val="0"/>
    <w:rPr>
      <w:rFonts w:ascii="Arial" w:hAnsi="Arial" w:eastAsia="黑体" w:cs="Times New Roman"/>
      <w:b/>
      <w:bCs/>
      <w:sz w:val="32"/>
      <w:szCs w:val="32"/>
    </w:rPr>
  </w:style>
  <w:style w:type="character" w:customStyle="1" w:styleId="38">
    <w:name w:val="标题 3 字符"/>
    <w:qFormat/>
    <w:uiPriority w:val="0"/>
    <w:rPr>
      <w:rFonts w:ascii="Times New Roman" w:hAnsi="Times New Roman" w:eastAsia="宋体" w:cs="Times New Roman"/>
      <w:b/>
      <w:bCs/>
      <w:sz w:val="32"/>
      <w:szCs w:val="32"/>
    </w:rPr>
  </w:style>
  <w:style w:type="character" w:customStyle="1" w:styleId="39">
    <w:name w:val="标题 4 Char"/>
    <w:link w:val="7"/>
    <w:qFormat/>
    <w:uiPriority w:val="0"/>
    <w:rPr>
      <w:rFonts w:ascii="Arial" w:hAnsi="Arial" w:eastAsia="黑体" w:cs="Times New Roman"/>
      <w:b/>
      <w:bCs/>
      <w:sz w:val="28"/>
      <w:szCs w:val="28"/>
    </w:rPr>
  </w:style>
  <w:style w:type="character" w:customStyle="1" w:styleId="40">
    <w:name w:val="标题 5 Char"/>
    <w:link w:val="8"/>
    <w:qFormat/>
    <w:uiPriority w:val="0"/>
    <w:rPr>
      <w:rFonts w:ascii="Times New Roman" w:hAnsi="Times New Roman" w:eastAsia="宋体" w:cs="Times New Roman"/>
      <w:b/>
      <w:bCs/>
      <w:sz w:val="28"/>
      <w:szCs w:val="28"/>
    </w:rPr>
  </w:style>
  <w:style w:type="character" w:customStyle="1" w:styleId="41">
    <w:name w:val="标题 6 Char"/>
    <w:link w:val="9"/>
    <w:qFormat/>
    <w:uiPriority w:val="0"/>
    <w:rPr>
      <w:rFonts w:ascii="Arial" w:hAnsi="Arial" w:eastAsia="黑体" w:cs="Times New Roman"/>
      <w:b/>
      <w:bCs/>
      <w:sz w:val="24"/>
      <w:szCs w:val="24"/>
    </w:rPr>
  </w:style>
  <w:style w:type="character" w:customStyle="1" w:styleId="42">
    <w:name w:val="标题 7 Char"/>
    <w:link w:val="10"/>
    <w:qFormat/>
    <w:uiPriority w:val="0"/>
    <w:rPr>
      <w:rFonts w:ascii="Times New Roman" w:hAnsi="Times New Roman" w:eastAsia="宋体" w:cs="Times New Roman"/>
      <w:b/>
      <w:bCs/>
      <w:sz w:val="24"/>
      <w:szCs w:val="24"/>
    </w:rPr>
  </w:style>
  <w:style w:type="character" w:customStyle="1" w:styleId="43">
    <w:name w:val="标题 8 Char"/>
    <w:link w:val="11"/>
    <w:autoRedefine/>
    <w:qFormat/>
    <w:uiPriority w:val="0"/>
    <w:rPr>
      <w:rFonts w:ascii="Arial" w:hAnsi="Arial" w:eastAsia="黑体" w:cs="Times New Roman"/>
      <w:sz w:val="24"/>
      <w:szCs w:val="24"/>
    </w:rPr>
  </w:style>
  <w:style w:type="character" w:customStyle="1" w:styleId="44">
    <w:name w:val="标题 9 Char"/>
    <w:link w:val="12"/>
    <w:autoRedefine/>
    <w:qFormat/>
    <w:uiPriority w:val="0"/>
    <w:rPr>
      <w:rFonts w:ascii="Arial" w:hAnsi="Arial" w:eastAsia="黑体" w:cs="Times New Roman"/>
      <w:szCs w:val="21"/>
    </w:rPr>
  </w:style>
  <w:style w:type="character" w:customStyle="1" w:styleId="45">
    <w:name w:val="页眉 Char"/>
    <w:link w:val="20"/>
    <w:autoRedefine/>
    <w:qFormat/>
    <w:uiPriority w:val="99"/>
    <w:rPr>
      <w:rFonts w:ascii="Times New Roman" w:hAnsi="Times New Roman" w:eastAsia="宋体" w:cs="Times New Roman"/>
      <w:sz w:val="18"/>
      <w:szCs w:val="18"/>
    </w:rPr>
  </w:style>
  <w:style w:type="character" w:customStyle="1" w:styleId="46">
    <w:name w:val="页脚 Char"/>
    <w:link w:val="19"/>
    <w:autoRedefine/>
    <w:qFormat/>
    <w:uiPriority w:val="99"/>
    <w:rPr>
      <w:rFonts w:ascii="宋体" w:hAnsi="Times New Roman" w:eastAsia="宋体" w:cs="Times New Roman"/>
      <w:sz w:val="18"/>
      <w:szCs w:val="18"/>
    </w:rPr>
  </w:style>
  <w:style w:type="character" w:customStyle="1" w:styleId="47">
    <w:name w:val="批注框文本 Char"/>
    <w:link w:val="18"/>
    <w:autoRedefine/>
    <w:semiHidden/>
    <w:qFormat/>
    <w:uiPriority w:val="99"/>
    <w:rPr>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rPr>
  </w:style>
  <w:style w:type="character" w:customStyle="1" w:styleId="50">
    <w:name w:val="标题 Char"/>
    <w:link w:val="27"/>
    <w:autoRedefine/>
    <w:qFormat/>
    <w:uiPriority w:val="0"/>
    <w:rPr>
      <w:rFonts w:ascii="Arial" w:hAnsi="Arial" w:eastAsia="宋体" w:cs="Arial"/>
      <w:b/>
      <w:bCs/>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4"/>
    <w:autoRedefine/>
    <w:qFormat/>
    <w:uiPriority w:val="0"/>
    <w:rPr>
      <w:rFonts w:ascii="Times New Roman" w:hAnsi="Times New Roman" w:eastAsia="宋体" w:cs="Times New Roman"/>
      <w:szCs w:val="20"/>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pPr>
  </w:style>
  <w:style w:type="paragraph" w:customStyle="1" w:styleId="93">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0"/>
      </w:numPr>
      <w:ind w:firstLine="200" w:firstLineChars="200"/>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不明显参考1"/>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0"/>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3"/>
    <w:autoRedefine/>
    <w:semiHidden/>
    <w:qFormat/>
    <w:uiPriority w:val="0"/>
    <w:rPr>
      <w:rFonts w:ascii="宋体" w:hAnsi="Times New Roman" w:eastAsia="宋体" w:cs="Times New Roman"/>
      <w:sz w:val="18"/>
      <w:szCs w:val="18"/>
    </w:rPr>
  </w:style>
  <w:style w:type="paragraph" w:customStyle="1" w:styleId="102">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1"/>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spacing w:before="312" w:beforeLines="100" w:after="312" w:afterLines="100"/>
      <w:jc w:val="both"/>
      <w:outlineLvl w:val="0"/>
    </w:pPr>
    <w:rPr>
      <w:rFonts w:ascii="Times New Roman"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2"/>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19"/>
      </w:numPr>
      <w:adjustRightInd/>
    </w:pPr>
    <w:rPr>
      <w:szCs w:val="24"/>
    </w:rPr>
  </w:style>
  <w:style w:type="paragraph" w:customStyle="1" w:styleId="161">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2"/>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3"/>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0"/>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4"/>
      </w:numPr>
      <w:adjustRightInd/>
      <w:spacing w:line="240" w:lineRule="auto"/>
      <w:ind w:left="783"/>
    </w:pPr>
    <w:rPr>
      <w:rFonts w:ascii="宋体" w:hAnsi="Times New Roman"/>
      <w:sz w:val="18"/>
      <w:szCs w:val="18"/>
    </w:rPr>
  </w:style>
  <w:style w:type="paragraph" w:customStyle="1" w:styleId="176">
    <w:name w:val="标准文件_字母编号列项（一级）"/>
    <w:autoRedefine/>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0"/>
      </w:numPr>
      <w:ind w:left="1271" w:hanging="420" w:firstLineChars="0"/>
    </w:pPr>
  </w:style>
  <w:style w:type="paragraph" w:customStyle="1" w:styleId="190">
    <w:name w:val="标准文件_三级项2"/>
    <w:basedOn w:val="58"/>
    <w:autoRedefine/>
    <w:qFormat/>
    <w:uiPriority w:val="0"/>
    <w:pPr>
      <w:numPr>
        <w:ilvl w:val="0"/>
        <w:numId w:val="29"/>
      </w:numPr>
      <w:spacing w:line="300" w:lineRule="exact"/>
      <w:ind w:left="1276" w:hanging="425" w:firstLineChars="0"/>
    </w:pPr>
    <w:rPr>
      <w:rFonts w:ascii="Times New Roman"/>
    </w:rPr>
  </w:style>
  <w:style w:type="paragraph" w:customStyle="1" w:styleId="191">
    <w:name w:val="标准文件_一级项2"/>
    <w:basedOn w:val="58"/>
    <w:autoRedefine/>
    <w:qFormat/>
    <w:uiPriority w:val="0"/>
    <w:pPr>
      <w:numPr>
        <w:ilvl w:val="0"/>
        <w:numId w:val="30"/>
      </w:numPr>
      <w:spacing w:line="300" w:lineRule="exact"/>
      <w:ind w:left="1271" w:hanging="420"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1">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link w:val="23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章标题"/>
    <w:next w:val="232"/>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4">
    <w:name w:val="一级条标题"/>
    <w:next w:val="232"/>
    <w:autoRedefine/>
    <w:qFormat/>
    <w:uiPriority w:val="0"/>
    <w:pPr>
      <w:outlineLvl w:val="2"/>
    </w:pPr>
    <w:rPr>
      <w:rFonts w:ascii="Times New Roman" w:hAnsi="Times New Roman" w:eastAsia="黑体" w:cs="Times New Roman"/>
      <w:kern w:val="2"/>
      <w:sz w:val="21"/>
      <w:szCs w:val="24"/>
      <w:lang w:val="en-US" w:eastAsia="zh-CN" w:bidi="ar-SA"/>
    </w:rPr>
  </w:style>
  <w:style w:type="paragraph" w:customStyle="1" w:styleId="235">
    <w:name w:val="二级条标题"/>
    <w:basedOn w:val="234"/>
    <w:next w:val="232"/>
    <w:autoRedefine/>
    <w:qFormat/>
    <w:uiPriority w:val="0"/>
    <w:pPr>
      <w:outlineLvl w:val="3"/>
    </w:pPr>
  </w:style>
  <w:style w:type="paragraph" w:customStyle="1" w:styleId="236">
    <w:name w:val="图表脚注"/>
    <w:next w:val="232"/>
    <w:autoRedefine/>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37">
    <w:name w:val="段 Char"/>
    <w:link w:val="232"/>
    <w:autoRedefine/>
    <w:qFormat/>
    <w:uiPriority w:val="0"/>
    <w:rPr>
      <w:rFonts w:ascii="宋体" w:hAnsi="Times New Roman"/>
      <w:sz w:val="21"/>
    </w:rPr>
  </w:style>
  <w:style w:type="paragraph" w:customStyle="1" w:styleId="238">
    <w:name w:val="正文公式编号制表符"/>
    <w:basedOn w:val="232"/>
    <w:next w:val="232"/>
    <w:autoRedefine/>
    <w:qFormat/>
    <w:uiPriority w:val="0"/>
    <w:pPr>
      <w:tabs>
        <w:tab w:val="center" w:pos="4201"/>
        <w:tab w:val="right" w:leader="dot" w:pos="9298"/>
      </w:tabs>
      <w:ind w:firstLine="0" w:firstLineChars="0"/>
    </w:pPr>
  </w:style>
  <w:style w:type="paragraph" w:customStyle="1" w:styleId="239">
    <w:name w:val="正文表标题"/>
    <w:next w:val="232"/>
    <w:autoRedefine/>
    <w:qFormat/>
    <w:uiPriority w:val="0"/>
    <w:pPr>
      <w:numPr>
        <w:ilvl w:val="0"/>
        <w:numId w:val="19"/>
      </w:numPr>
      <w:spacing w:before="156" w:beforeLines="50" w:after="156" w:afterLines="50"/>
      <w:jc w:val="center"/>
    </w:pPr>
    <w:rPr>
      <w:rFonts w:ascii="黑体" w:hAnsi="Times New Roman" w:eastAsia="黑体" w:cs="Times New Roman"/>
      <w:sz w:val="21"/>
      <w:lang w:val="en-US" w:eastAsia="zh-CN" w:bidi="ar-SA"/>
    </w:rPr>
  </w:style>
  <w:style w:type="paragraph" w:customStyle="1" w:styleId="240">
    <w:name w:val="字母编号列项（一级）"/>
    <w:autoRedefine/>
    <w:qFormat/>
    <w:uiPriority w:val="0"/>
    <w:pPr>
      <w:numPr>
        <w:ilvl w:val="0"/>
        <w:numId w:val="31"/>
      </w:numPr>
      <w:jc w:val="both"/>
    </w:pPr>
    <w:rPr>
      <w:rFonts w:ascii="宋体" w:hAnsi="Times New Roman" w:eastAsia="宋体" w:cs="Times New Roman"/>
      <w:sz w:val="21"/>
      <w:lang w:val="en-US" w:eastAsia="zh-CN" w:bidi="ar-SA"/>
    </w:rPr>
  </w:style>
  <w:style w:type="paragraph" w:customStyle="1" w:styleId="241">
    <w:name w:val="一级无"/>
    <w:basedOn w:val="234"/>
    <w:autoRedefine/>
    <w:qFormat/>
    <w:uiPriority w:val="0"/>
    <w:pPr>
      <w:numPr>
        <w:ilvl w:val="1"/>
        <w:numId w:val="1"/>
      </w:numPr>
    </w:pPr>
    <w:rPr>
      <w:rFonts w:ascii="宋体" w:eastAsia="宋体"/>
      <w:kern w:val="0"/>
      <w:szCs w:val="21"/>
    </w:rPr>
  </w:style>
  <w:style w:type="character" w:customStyle="1" w:styleId="242">
    <w:name w:val="标题 3 Char"/>
    <w:link w:val="6"/>
    <w:autoRedefine/>
    <w:qFormat/>
    <w:uiPriority w:val="0"/>
    <w:rPr>
      <w:rFonts w:ascii="宋体" w:hAnsi="Tahoma" w:eastAsia="宋体"/>
      <w:sz w:val="21"/>
      <w:lang w:val="en-US" w:eastAsia="zh-CN" w:bidi="ar-SA"/>
    </w:rPr>
  </w:style>
  <w:style w:type="table" w:customStyle="1" w:styleId="243">
    <w:name w:val="网格型1"/>
    <w:basedOn w:val="28"/>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4">
    <w:name w:val="附录图标题"/>
    <w:next w:val="232"/>
    <w:autoRedefine/>
    <w:qFormat/>
    <w:uiPriority w:val="0"/>
    <w:pPr>
      <w:numPr>
        <w:ilvl w:val="0"/>
        <w:numId w:val="32"/>
      </w:num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07CC62782B4DCEBAC68DE028C1A3C6"/>
        <w:style w:val=""/>
        <w:category>
          <w:name w:val="常规"/>
          <w:gallery w:val="placeholder"/>
        </w:category>
        <w:types>
          <w:type w:val="bbPlcHdr"/>
        </w:types>
        <w:behaviors>
          <w:behavior w:val="content"/>
        </w:behaviors>
        <w:description w:val=""/>
        <w:guid w:val="{5B499ED1-66E3-4A75-9E6C-30165EBD852E}"/>
      </w:docPartPr>
      <w:docPartBody>
        <w:p w14:paraId="5705E26A">
          <w:pPr>
            <w:pStyle w:val="5"/>
          </w:pPr>
          <w:r>
            <w:rPr>
              <w:rStyle w:val="4"/>
              <w:rFonts w:hint="eastAsia"/>
            </w:rPr>
            <w:t>单击或点击此处输入文字。</w:t>
          </w:r>
        </w:p>
      </w:docPartBody>
    </w:docPart>
    <w:docPart>
      <w:docPartPr>
        <w:name w:val="3406E0A7E16646F79A949867AD0E9A18"/>
        <w:style w:val=""/>
        <w:category>
          <w:name w:val="常规"/>
          <w:gallery w:val="placeholder"/>
        </w:category>
        <w:types>
          <w:type w:val="bbPlcHdr"/>
        </w:types>
        <w:behaviors>
          <w:behavior w:val="content"/>
        </w:behaviors>
        <w:description w:val=""/>
        <w:guid w:val="{7AA619DB-C3F3-4F11-90B4-7F2FD1C1F549}"/>
      </w:docPartPr>
      <w:docPartBody>
        <w:p w14:paraId="38322278">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2"/>
    <w:rsid w:val="00062380"/>
    <w:rsid w:val="000C1215"/>
    <w:rsid w:val="000E280D"/>
    <w:rsid w:val="00113957"/>
    <w:rsid w:val="00117D27"/>
    <w:rsid w:val="001565C5"/>
    <w:rsid w:val="00190E65"/>
    <w:rsid w:val="001C0F0A"/>
    <w:rsid w:val="003D0DA2"/>
    <w:rsid w:val="003F717B"/>
    <w:rsid w:val="00452037"/>
    <w:rsid w:val="004572D4"/>
    <w:rsid w:val="00573755"/>
    <w:rsid w:val="007C3A19"/>
    <w:rsid w:val="009349A9"/>
    <w:rsid w:val="009A11F2"/>
    <w:rsid w:val="009C3994"/>
    <w:rsid w:val="00A56591"/>
    <w:rsid w:val="00A75BF2"/>
    <w:rsid w:val="00DF09A1"/>
    <w:rsid w:val="00DF2144"/>
    <w:rsid w:val="00E626C4"/>
    <w:rsid w:val="00EF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F07CC62782B4DCEBAC68DE028C1A3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06E0A7E16646F79A949867AD0E9A1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2BBB37F0D54680A1804EBF48ABB2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2F7A1489F7E4829A1980CE22A643BE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9CA63-5AB4-4379-BC0E-9EEC67C51BE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8</Pages>
  <Words>2019</Words>
  <Characters>2593</Characters>
  <Lines>31</Lines>
  <Paragraphs>8</Paragraphs>
  <TotalTime>1</TotalTime>
  <ScaleCrop>false</ScaleCrop>
  <LinksUpToDate>false</LinksUpToDate>
  <CharactersWithSpaces>2744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2023-11-15T04:10:00Z</dcterms:created>
  <dc:creator>万思成</dc:creator>
  <dc:description>&lt;config cover="true" show_menu="true" version="1.0.0" doctype="SDKXY"&gt;_x000d_
&lt;/config&gt;</dc:description>
  <cp:lastModifiedBy>SHUSHU</cp:lastModifiedBy>
  <cp:lastPrinted>2024-06-03T02:52:00Z</cp:lastPrinted>
  <dcterms:modified xsi:type="dcterms:W3CDTF">2025-02-25T07:14:59Z</dcterms:modified>
  <dc:title>国家标准</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7682C312038947F9A85F9ABFD640CFE8_12</vt:lpwstr>
  </property>
  <property fmtid="{D5CDD505-2E9C-101B-9397-08002B2CF9AE}" pid="16" name="KSOTemplateDocerSaveRecord">
    <vt:lpwstr>eyJoZGlkIjoiMDBkNTRiYzk0YmU4OTRiZTE2MmI5MjcyNTZmMTcyM2QiLCJ1c2VySWQiOiI0Mjc1MDk1NTYifQ==</vt:lpwstr>
  </property>
</Properties>
</file>