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line="770" w:lineRule="exact"/>
        <w:rPr>
          <w:rFonts w:ascii="Times New Roman" w:hAnsi="Times New Roman" w:eastAsia="宋体"/>
          <w:sz w:val="52"/>
          <w:szCs w:val="52"/>
        </w:rPr>
      </w:pPr>
    </w:p>
    <w:p>
      <w:pPr>
        <w:pStyle w:val="8"/>
        <w:spacing w:before="0" w:line="770" w:lineRule="exact"/>
        <w:rPr>
          <w:rFonts w:ascii="Times New Roman" w:hAnsi="Times New Roman" w:eastAsia="宋体"/>
          <w:sz w:val="52"/>
          <w:szCs w:val="52"/>
        </w:rPr>
      </w:pPr>
    </w:p>
    <w:p>
      <w:pPr>
        <w:rPr>
          <w:rFonts w:ascii="Times New Roman" w:hAnsi="Times New Roman" w:eastAsia="宋体" w:cs="Times New Roman"/>
          <w:sz w:val="44"/>
          <w:szCs w:val="44"/>
        </w:rPr>
      </w:pPr>
    </w:p>
    <w:p>
      <w:pPr>
        <w:pStyle w:val="8"/>
        <w:spacing w:before="0" w:line="770" w:lineRule="exact"/>
        <w:rPr>
          <w:rFonts w:hint="eastAsia" w:ascii="黑体" w:hAnsi="宋体" w:eastAsia="黑体" w:cs="Times New Roman"/>
          <w:sz w:val="44"/>
          <w:szCs w:val="44"/>
        </w:rPr>
      </w:pPr>
      <w:r>
        <w:rPr>
          <w:rFonts w:hint="eastAsia" w:ascii="黑体" w:hAnsi="宋体" w:eastAsia="黑体" w:cs="Times New Roman"/>
          <w:sz w:val="44"/>
          <w:szCs w:val="44"/>
        </w:rPr>
        <w:t xml:space="preserve">稀土精矿化学分析方法 </w:t>
      </w:r>
    </w:p>
    <w:p>
      <w:pPr>
        <w:pStyle w:val="8"/>
        <w:spacing w:before="0" w:line="770" w:lineRule="exact"/>
        <w:rPr>
          <w:rFonts w:hint="eastAsia" w:ascii="黑体" w:hAnsi="宋体" w:eastAsia="黑体" w:cs="Times New Roman"/>
          <w:sz w:val="44"/>
          <w:szCs w:val="44"/>
        </w:rPr>
      </w:pPr>
      <w:r>
        <w:rPr>
          <w:rFonts w:hint="eastAsia" w:ascii="黑体" w:hAnsi="宋体" w:eastAsia="黑体" w:cs="Times New Roman"/>
          <w:sz w:val="44"/>
          <w:szCs w:val="44"/>
        </w:rPr>
        <w:t>第8部分：稀土氧化物量和配分量的测定</w:t>
      </w:r>
    </w:p>
    <w:p>
      <w:pPr>
        <w:pStyle w:val="8"/>
        <w:spacing w:before="0" w:line="770" w:lineRule="exact"/>
        <w:rPr>
          <w:rFonts w:hint="eastAsia" w:ascii="黑体" w:hAnsi="宋体" w:eastAsia="黑体" w:cs="Times New Roman"/>
          <w:sz w:val="44"/>
          <w:szCs w:val="44"/>
        </w:rPr>
      </w:pPr>
    </w:p>
    <w:p>
      <w:pPr>
        <w:pStyle w:val="8"/>
        <w:spacing w:before="0" w:line="770" w:lineRule="exact"/>
        <w:rPr>
          <w:rFonts w:hint="eastAsia" w:ascii="黑体" w:hAnsi="宋体" w:eastAsia="黑体" w:cs="Times New Roman"/>
          <w:sz w:val="44"/>
          <w:szCs w:val="44"/>
        </w:rPr>
      </w:pPr>
    </w:p>
    <w:p>
      <w:pPr>
        <w:pStyle w:val="8"/>
        <w:spacing w:before="0" w:line="770" w:lineRule="exact"/>
        <w:rPr>
          <w:rFonts w:hint="eastAsia" w:ascii="黑体" w:hAnsi="宋体" w:eastAsia="黑体" w:cs="Times New Roman"/>
          <w:sz w:val="44"/>
          <w:szCs w:val="44"/>
        </w:rPr>
      </w:pPr>
    </w:p>
    <w:p>
      <w:pPr>
        <w:pStyle w:val="8"/>
        <w:spacing w:before="0" w:line="770" w:lineRule="exact"/>
        <w:rPr>
          <w:rFonts w:hint="eastAsia" w:ascii="黑体" w:hAnsi="宋体" w:eastAsia="黑体" w:cs="Times New Roman"/>
          <w:sz w:val="44"/>
          <w:szCs w:val="44"/>
        </w:rPr>
      </w:pPr>
      <w:r>
        <w:rPr>
          <w:rFonts w:hint="eastAsia" w:ascii="黑体" w:hAnsi="宋体" w:eastAsia="黑体" w:cs="Times New Roman"/>
          <w:sz w:val="44"/>
          <w:szCs w:val="44"/>
        </w:rPr>
        <w:t>编制说明</w:t>
      </w:r>
    </w:p>
    <w:p>
      <w:pPr>
        <w:jc w:val="center"/>
        <w:rPr>
          <w:rFonts w:ascii="Times New Roman" w:hAnsi="Times New Roman" w:eastAsia="宋体"/>
          <w:sz w:val="32"/>
          <w:szCs w:val="32"/>
        </w:rPr>
      </w:pPr>
    </w:p>
    <w:p>
      <w:pPr>
        <w:rPr>
          <w:rFonts w:ascii="Times New Roman" w:hAnsi="Times New Roman" w:eastAsia="宋体"/>
          <w:sz w:val="32"/>
          <w:szCs w:val="32"/>
        </w:rPr>
      </w:pPr>
    </w:p>
    <w:p>
      <w:pPr>
        <w:rPr>
          <w:rFonts w:ascii="Times New Roman" w:hAnsi="Times New Roman" w:eastAsia="宋体"/>
          <w:sz w:val="32"/>
          <w:szCs w:val="32"/>
        </w:rPr>
      </w:pPr>
    </w:p>
    <w:p>
      <w:pPr>
        <w:jc w:val="center"/>
        <w:rPr>
          <w:rFonts w:ascii="Times New Roman" w:hAnsi="Times New Roman" w:eastAsia="宋体"/>
          <w:sz w:val="32"/>
          <w:szCs w:val="32"/>
        </w:rPr>
      </w:pPr>
    </w:p>
    <w:p>
      <w:pPr>
        <w:jc w:val="center"/>
        <w:rPr>
          <w:rFonts w:ascii="Times New Roman" w:hAnsi="Times New Roman" w:eastAsia="宋体"/>
          <w:sz w:val="32"/>
          <w:szCs w:val="32"/>
        </w:rPr>
      </w:pPr>
    </w:p>
    <w:p>
      <w:pPr>
        <w:jc w:val="center"/>
        <w:rPr>
          <w:rFonts w:ascii="Times New Roman" w:hAnsi="Times New Roman" w:eastAsia="宋体"/>
          <w:sz w:val="32"/>
          <w:szCs w:val="32"/>
        </w:rPr>
      </w:pPr>
    </w:p>
    <w:p>
      <w:pPr>
        <w:jc w:val="center"/>
        <w:rPr>
          <w:rFonts w:ascii="Times New Roman" w:hAnsi="Times New Roman" w:eastAsia="宋体"/>
          <w:sz w:val="32"/>
          <w:szCs w:val="32"/>
        </w:rPr>
      </w:pPr>
    </w:p>
    <w:p>
      <w:pPr>
        <w:jc w:val="center"/>
        <w:rPr>
          <w:rFonts w:ascii="Times New Roman" w:hAnsi="Times New Roman" w:eastAsia="宋体"/>
          <w:sz w:val="32"/>
          <w:szCs w:val="32"/>
        </w:rPr>
      </w:pPr>
    </w:p>
    <w:p>
      <w:pPr>
        <w:jc w:val="center"/>
        <w:rPr>
          <w:rFonts w:hint="eastAsia" w:ascii="黑体" w:hAnsi="宋体" w:eastAsia="黑体"/>
          <w:sz w:val="32"/>
          <w:szCs w:val="32"/>
          <w:lang w:val="en-US" w:eastAsia="zh-CN"/>
        </w:rPr>
      </w:pPr>
    </w:p>
    <w:p>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中国北方稀土高科技股份有限公司</w:t>
      </w:r>
    </w:p>
    <w:p>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包头稀土研究院</w:t>
      </w:r>
    </w:p>
    <w:p>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2024年8月</w:t>
      </w:r>
    </w:p>
    <w:p>
      <w:pPr>
        <w:rPr>
          <w:rFonts w:ascii="Times New Roman" w:hAnsi="Times New Roman" w:eastAsia="宋体"/>
          <w:sz w:val="24"/>
        </w:rPr>
      </w:pPr>
    </w:p>
    <w:p>
      <w:pPr>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《稀土精矿化学分析方法 第8部分：稀土氧化物量和配分量的测定</w:t>
      </w:r>
    </w:p>
    <w:p>
      <w:pPr>
        <w:jc w:val="center"/>
        <w:rPr>
          <w:rFonts w:hint="eastAsia" w:ascii="Times New Roman" w:hAnsi="Times New Roman" w:eastAsia="宋体"/>
          <w:sz w:val="30"/>
          <w:szCs w:val="30"/>
        </w:rPr>
      </w:pPr>
      <w:r>
        <w:rPr>
          <w:rFonts w:hint="eastAsia" w:ascii="Times New Roman" w:hAnsi="Times New Roman" w:eastAsia="黑体" w:cs="Times New Roman"/>
          <w:sz w:val="30"/>
          <w:szCs w:val="30"/>
          <w:lang w:val="en-US" w:eastAsia="zh-CN"/>
        </w:rPr>
        <w:t>编制说明（送审）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黑体" w:hAnsi="黑体" w:eastAsia="黑体" w:cs="黑体"/>
          <w:b w:val="0"/>
          <w:bCs w:val="0"/>
          <w:sz w:val="24"/>
          <w:szCs w:val="24"/>
          <w:lang w:val="en-US" w:eastAsia="zh-CN"/>
        </w:rPr>
        <w:t>一 工作简况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1 任务来源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default" w:ascii="Times New Roman" w:hAnsi="Times New Roman" w:cs="Times New Roman"/>
          <w:szCs w:val="21"/>
          <w:lang w:val="en-US" w:eastAsia="zh-CN"/>
        </w:rPr>
        <w:t>根据2024年2月4日全国稀土标准化技术委员会下发《关于印发&lt;稀土复合钇锆陶瓷粉&gt;等24项国家、行业标准计划任务落实会议纪要的通知》要求（稀土标委[2024]6号），国家标准《</w:t>
      </w:r>
      <w:r>
        <w:rPr>
          <w:rFonts w:hint="eastAsia" w:ascii="Times New Roman" w:hAnsi="Times New Roman" w:cs="Times New Roman"/>
          <w:szCs w:val="21"/>
          <w:lang w:val="en-US" w:eastAsia="zh-CN"/>
        </w:rPr>
        <w:t>稀土精矿化学分析方法 第8部分：稀土氧化物量和配分量的测定</w:t>
      </w:r>
      <w:r>
        <w:rPr>
          <w:rFonts w:hint="default" w:ascii="Times New Roman" w:hAnsi="Times New Roman" w:cs="Times New Roman"/>
          <w:szCs w:val="21"/>
          <w:lang w:val="en-US" w:eastAsia="zh-CN"/>
        </w:rPr>
        <w:t>》修订工作由全国稀土标准化技术委员会归口（项目计划编号：20231301-T-469），项目周期16个月。</w:t>
      </w:r>
      <w:r>
        <w:rPr>
          <w:szCs w:val="21"/>
        </w:rPr>
        <w:t>国家标准《</w:t>
      </w:r>
      <w:r>
        <w:rPr>
          <w:rFonts w:hint="eastAsia"/>
          <w:szCs w:val="20"/>
        </w:rPr>
        <w:t>稀土精矿化学分析方法 第8部分：稀土氧化物量和配分量的测定</w:t>
      </w:r>
      <w:r>
        <w:rPr>
          <w:rFonts w:hint="eastAsia"/>
          <w:szCs w:val="20"/>
          <w:lang w:val="en-US" w:eastAsia="zh-CN"/>
        </w:rPr>
        <w:t xml:space="preserve"> </w:t>
      </w:r>
      <w:r>
        <w:rPr>
          <w:rFonts w:hint="eastAsia"/>
          <w:szCs w:val="20"/>
        </w:rPr>
        <w:t>方法</w:t>
      </w:r>
      <w:r>
        <w:rPr>
          <w:rFonts w:hint="eastAsia"/>
          <w:szCs w:val="20"/>
          <w:lang w:val="en-US" w:eastAsia="zh-CN"/>
        </w:rPr>
        <w:t>1</w:t>
      </w:r>
      <w:r>
        <w:rPr>
          <w:rFonts w:hint="eastAsia"/>
          <w:szCs w:val="20"/>
        </w:rPr>
        <w:t>：十五个稀土元素氧化物配分量的测定 电感耦合等离子体原子发射光谱法</w:t>
      </w:r>
      <w:r>
        <w:rPr>
          <w:szCs w:val="21"/>
        </w:rPr>
        <w:t>》修订工作由</w:t>
      </w:r>
      <w:r>
        <w:rPr>
          <w:rFonts w:hint="eastAsia" w:ascii="宋体" w:hAnsi="宋体" w:cs="宋体"/>
        </w:rPr>
        <w:t>中国北方稀土高科技股份有限公司</w:t>
      </w:r>
      <w:r>
        <w:rPr>
          <w:szCs w:val="21"/>
        </w:rPr>
        <w:t>负责推进</w:t>
      </w:r>
      <w:r>
        <w:rPr>
          <w:rFonts w:hint="eastAsia"/>
          <w:szCs w:val="21"/>
          <w:lang w:eastAsia="zh-CN"/>
        </w:rPr>
        <w:t>，</w:t>
      </w:r>
      <w:r>
        <w:rPr>
          <w:rFonts w:hint="default" w:ascii="Times New Roman" w:hAnsi="Times New Roman" w:cs="Times New Roman"/>
          <w:szCs w:val="21"/>
          <w:lang w:val="en-US" w:eastAsia="zh-CN"/>
        </w:rPr>
        <w:t>国家标准《</w:t>
      </w:r>
      <w:r>
        <w:rPr>
          <w:rFonts w:hint="eastAsia" w:ascii="Times New Roman" w:hAnsi="Times New Roman" w:cs="Times New Roman"/>
          <w:szCs w:val="21"/>
          <w:lang w:val="en-US" w:eastAsia="zh-CN"/>
        </w:rPr>
        <w:t>稀土精矿化学分析方法 第8部分：稀土氧化物量和配分量的测定 方法2：稀土氧化物量的测定 X射线荧光光谱法</w:t>
      </w:r>
      <w:r>
        <w:rPr>
          <w:rFonts w:hint="default" w:ascii="Times New Roman" w:hAnsi="Times New Roman" w:cs="Times New Roman"/>
          <w:szCs w:val="21"/>
          <w:lang w:val="en-US" w:eastAsia="zh-CN"/>
        </w:rPr>
        <w:t>》修订工作由包头稀土研究院负责推进。基于项目论证期间专家建议及生产</w:t>
      </w:r>
      <w:r>
        <w:rPr>
          <w:rFonts w:hint="eastAsia" w:ascii="Times New Roman" w:hAnsi="Times New Roman" w:cs="Times New Roman"/>
          <w:szCs w:val="21"/>
          <w:lang w:val="en-US" w:eastAsia="zh-CN"/>
        </w:rPr>
        <w:t>、科研情况调研需求</w:t>
      </w:r>
      <w:r>
        <w:rPr>
          <w:rFonts w:hint="default" w:ascii="Times New Roman" w:hAnsi="Times New Roman" w:cs="Times New Roman"/>
          <w:szCs w:val="21"/>
          <w:lang w:val="en-US" w:eastAsia="zh-CN"/>
        </w:rPr>
        <w:t>，本次修订</w:t>
      </w:r>
      <w:r>
        <w:rPr>
          <w:rFonts w:hint="eastAsia" w:ascii="Times New Roman" w:hAnsi="Times New Roman" w:cs="Times New Roman"/>
          <w:szCs w:val="21"/>
          <w:lang w:val="en-US" w:eastAsia="zh-CN"/>
        </w:rPr>
        <w:t>增加了“</w:t>
      </w:r>
      <w:r>
        <w:rPr>
          <w:rFonts w:hint="default" w:ascii="Times New Roman" w:hAnsi="Times New Roman" w:cs="Times New Roman"/>
          <w:szCs w:val="21"/>
          <w:lang w:val="en-US" w:eastAsia="zh-CN"/>
        </w:rPr>
        <w:t>X射线荧光光谱法测定稀土氧化物量</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调整稀土氧化物量的测定范围，将氧化镨、氧化钕由1.00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%-10.00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%修改为1.00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%-20.00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%，氧化钐、氧化铕、氧化钆、氧化铽、氧化镝、氧化钬、氧化铒、氧化铥、氧化镱、氧化镥、氧化钇由0.10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%-10.00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%修改为0.050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%-10.00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项目编制组简况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Times New Roman" w:hAnsi="Times New Roman"/>
          <w:lang w:val="en-US" w:eastAsia="zh-CN"/>
        </w:rPr>
        <w:t>2.1 编制组成员单位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方法1编制组由中国北方稀土高科技股份有限公司、虔东稀土集团股份有限公司、湖南稀土金属材料研究院有限责任公司、厦门稀土材料研究室、国家钨与稀土质量检验检测中心、国标（北京）检验认证股份有限公司等6家单位组成。本项目组起草人员长期从事化学分析检测工作，多次参与国家、行业标准的制修订工作，能够保证本项目计划的顺利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pPr>
      <w:r>
        <w:rPr>
          <w:rFonts w:hint="eastAsia" w:ascii="Times New Roman" w:hAnsi="Times New Roman"/>
          <w:lang w:val="en-US" w:eastAsia="zh-CN"/>
        </w:rPr>
        <w:t>方法2编制组由</w:t>
      </w:r>
      <w:r>
        <w:rPr>
          <w:rFonts w:hint="eastAsia" w:ascii="Times New Roman" w:hAnsi="Times New Roman" w:eastAsia="宋体"/>
        </w:rPr>
        <w:t>包头稀土研究院、虔东稀土集团股份有限公司、湖南稀土金属材料研究院有限责任公司、</w:t>
      </w:r>
      <w:r>
        <w:rPr>
          <w:rFonts w:hint="eastAsia"/>
          <w:szCs w:val="21"/>
        </w:rPr>
        <w:t>赣州艾科锐检测技术有限公司</w:t>
      </w:r>
      <w:r>
        <w:rPr>
          <w:rFonts w:hint="eastAsia"/>
          <w:szCs w:val="21"/>
          <w:lang w:eastAsia="zh-CN"/>
        </w:rPr>
        <w:t>、</w:t>
      </w:r>
      <w:r>
        <w:rPr>
          <w:rFonts w:hint="eastAsia"/>
          <w:szCs w:val="21"/>
          <w:lang w:val="en-US" w:eastAsia="zh-CN"/>
        </w:rPr>
        <w:t>国家</w:t>
      </w:r>
      <w:r>
        <w:rPr>
          <w:rFonts w:hint="eastAsia"/>
          <w:szCs w:val="21"/>
        </w:rPr>
        <w:t>钨与稀土</w:t>
      </w:r>
      <w:r>
        <w:rPr>
          <w:rFonts w:hint="eastAsia" w:ascii="Times New Roman" w:hAnsi="Times New Roman"/>
          <w:lang w:val="en-US" w:eastAsia="zh-CN"/>
        </w:rPr>
        <w:t>质量检验检测中心</w:t>
      </w:r>
      <w:r>
        <w:rPr>
          <w:rFonts w:hint="eastAsia"/>
          <w:szCs w:val="21"/>
        </w:rPr>
        <w:t>、</w:t>
      </w:r>
      <w:r>
        <w:rPr>
          <w:rFonts w:hint="eastAsia" w:ascii="Times New Roman" w:hAnsi="Times New Roman" w:eastAsia="宋体"/>
        </w:rPr>
        <w:t>国标(北京)检验认证有限公司</w:t>
      </w:r>
      <w:r>
        <w:rPr>
          <w:rFonts w:hint="eastAsia" w:ascii="Times New Roman" w:hAnsi="Times New Roman" w:eastAsia="宋体"/>
          <w:lang w:eastAsia="zh-CN"/>
        </w:rPr>
        <w:t>、</w:t>
      </w:r>
      <w:r>
        <w:rPr>
          <w:rFonts w:hint="eastAsia"/>
          <w:szCs w:val="21"/>
          <w:lang w:val="en-US" w:eastAsia="zh-CN"/>
        </w:rPr>
        <w:t>国合通用（青岛）测试评价有限公司</w:t>
      </w:r>
      <w:r>
        <w:rPr>
          <w:rFonts w:hint="eastAsia"/>
        </w:rPr>
        <w:t>共</w:t>
      </w:r>
      <w:r>
        <w:rPr>
          <w:rFonts w:hint="eastAsia" w:ascii="Times New Roman" w:hAnsi="Times New Roman"/>
          <w:lang w:val="en-US" w:eastAsia="zh-CN"/>
        </w:rPr>
        <w:t>7</w:t>
      </w:r>
      <w:r>
        <w:t>家单位共同编制。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eastAsia" w:ascii="Times New Roman" w:hAnsi="Times New Roman"/>
          <w:lang w:val="en-US" w:eastAsia="zh-CN"/>
        </w:rPr>
        <w:t>2.2 成员单位基本情况</w:t>
      </w:r>
    </w:p>
    <w:p>
      <w:p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中国北方稀土高科技股份有限公司(以下</w:t>
      </w:r>
      <w:r>
        <w:rPr>
          <w:rFonts w:hint="default" w:ascii="Times New Roman" w:hAnsi="Times New Roman" w:cs="Times New Roman"/>
          <w:lang w:val="en-US" w:eastAsia="zh-CN"/>
        </w:rPr>
        <w:t>简称</w:t>
      </w:r>
      <w:r>
        <w:rPr>
          <w:rFonts w:hint="eastAsia" w:ascii="Times New Roman" w:hAnsi="Times New Roman" w:cs="Times New Roman"/>
          <w:lang w:val="en-US" w:eastAsia="zh-CN"/>
        </w:rPr>
        <w:t>北方稀土)：中国北方稀土（集团）高科技股份有限公司中初建 于1961年，是世界最大的稀土生产、科研和贸易基地，是我国稀土行业第一家上市公司。其“白云鄂博”牌商标、“物华”牌商标为国家驰名商标，并在美国、日本等国家完成注册。2012年被评为“内蒙古自治区主席质量奖”。公司主要生产经营稀土原料产品（稀土盐类、稀土氧化物及稀土金属）、稀土功能材料产品（稀土磁性材料、抛光材料、贮氢材料、发光材料、催化材料）和部分稀土应用产品（镍氢动力电池、稀土永磁磁共振仪、LED灯珠）。经过50多年的发展，北方稀土已拥有近40家包括直属厂（分公司）、全资、控股、参股公司，分布全国10个省（市）自治区，拥有稀土冶炼、功能材料、深加工应用产品的完整产业链，是跨地区、跨所有制、多领域的高科技企业集团。多年来，北方稀土坚持“做精做细稀土原料，做强做优稀土材料，做大下游终端应用产品”的发展思路，可生产各类稀土产品11个大类、50余种、近千个规格。目前，公司冶炼分离产能8万吨/年、稀土金属产能1万吨/年，稀土原料产能位居全球第一；稀土功能材料中磁性材料合金3万吨/年，产能居全球第一；抛光材料产能14000吨/年、贮氢合金3000吨/年，占据国内市场份额半数以上；发光材料1000吨/年。在稀土应用产品领域，已建成年产100台稀土永磁磁共振成像仪生产基地，混合汽车用圆形镍氢动力电池100万只/年能力，LED封装60亿颗/年。近年来，北方稀土下游产品销售收入占比逐年增加，稀土功能材料及其延伸产品的销售收入占比超过30%，产业结构不断优化，初步构建起由规模速度型粗放增长向质量效益型集约增长转变的企业发展新模式。</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虔东稀土集团股份有限公司</w:t>
      </w:r>
      <w:r>
        <w:rPr>
          <w:rFonts w:hint="eastAsia" w:ascii="Times New Roman" w:hAnsi="Times New Roman" w:cs="Times New Roman"/>
          <w:lang w:val="en-US" w:eastAsia="zh-CN"/>
        </w:rPr>
        <w:t>（</w:t>
      </w:r>
      <w:r>
        <w:rPr>
          <w:rFonts w:hint="default" w:ascii="Times New Roman" w:hAnsi="Times New Roman" w:cs="Times New Roman"/>
          <w:lang w:val="en-US" w:eastAsia="zh-CN"/>
        </w:rPr>
        <w:t>以下简称虔东集团</w:t>
      </w:r>
      <w:r>
        <w:rPr>
          <w:rFonts w:hint="eastAsia" w:ascii="Times New Roman" w:hAnsi="Times New Roman" w:cs="Times New Roman"/>
          <w:lang w:val="en-US" w:eastAsia="zh-CN"/>
        </w:rPr>
        <w:t>）</w:t>
      </w:r>
      <w:r>
        <w:rPr>
          <w:rFonts w:hint="default" w:ascii="Times New Roman" w:hAnsi="Times New Roman" w:cs="Times New Roman"/>
          <w:lang w:val="en-US" w:eastAsia="zh-CN"/>
        </w:rPr>
        <w:t>是</w:t>
      </w:r>
      <w:r>
        <w:rPr>
          <w:rFonts w:hint="eastAsia" w:ascii="Times New Roman" w:hAnsi="Times New Roman" w:cs="Times New Roman"/>
          <w:lang w:val="en-US" w:eastAsia="zh-CN"/>
        </w:rPr>
        <w:t>本项目</w:t>
      </w:r>
      <w:r>
        <w:rPr>
          <w:rFonts w:hint="default" w:ascii="Times New Roman" w:hAnsi="Times New Roman" w:cs="Times New Roman"/>
          <w:lang w:val="en-US" w:eastAsia="zh-CN"/>
        </w:rPr>
        <w:t>的一验单位。</w:t>
      </w:r>
      <w:r>
        <w:rPr>
          <w:rFonts w:hint="eastAsia" w:ascii="Times New Roman" w:hAnsi="Times New Roman" w:cs="Times New Roman"/>
          <w:lang w:val="en-US" w:eastAsia="zh-CN"/>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虔东稀土集团股份有限公司(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Pr>
          <w:rFonts w:hint="default" w:ascii="Times New Roman" w:hAnsi="Times New Roman" w:cs="Times New Roman"/>
          <w:lang w:val="en-US" w:eastAsia="zh-CN"/>
        </w:rPr>
        <w:t>在标准起草期间，该单位按照试验报告提供的方法对公共样品进行了分析，完成验证提供验证报告及意见，同时提供了精密度数据。</w:t>
      </w:r>
    </w:p>
    <w:p>
      <w:p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湖南稀土金属材料研究院有限责任公司</w:t>
      </w:r>
      <w:r>
        <w:rPr>
          <w:rFonts w:hint="default" w:ascii="Times New Roman" w:hAnsi="Times New Roman" w:cs="Times New Roman"/>
          <w:lang w:val="en-US" w:eastAsia="zh-CN"/>
        </w:rPr>
        <w:t>是</w:t>
      </w:r>
      <w:r>
        <w:rPr>
          <w:rFonts w:hint="eastAsia" w:ascii="Times New Roman" w:hAnsi="Times New Roman" w:cs="Times New Roman"/>
          <w:lang w:val="en-US" w:eastAsia="zh-CN"/>
        </w:rPr>
        <w:t>本项目</w:t>
      </w:r>
      <w:r>
        <w:rPr>
          <w:rFonts w:hint="default" w:ascii="Times New Roman" w:hAnsi="Times New Roman" w:cs="Times New Roman"/>
          <w:lang w:val="en-US" w:eastAsia="zh-CN"/>
        </w:rPr>
        <w:t>的一验单位。公司</w:t>
      </w:r>
      <w:r>
        <w:rPr>
          <w:rFonts w:hint="eastAsia" w:ascii="Times New Roman" w:hAnsi="Times New Roman" w:cs="Times New Roman"/>
          <w:lang w:val="en-US" w:eastAsia="zh-CN"/>
        </w:rPr>
        <w:t>创建于1958年，属国务院242家转制科研院所之一，是国家“专精特新”小巨人企业、国家技术创新示范企业。2000年下放到湖南省，2004年7月1日由事业单位转制为科技型企业，2021年4月完成公司制改革，现隶属湖南省高新创业投资集团有限公司。</w:t>
      </w:r>
      <w:r>
        <w:rPr>
          <w:rFonts w:hint="default" w:ascii="Times New Roman" w:hAnsi="Times New Roman" w:cs="Times New Roman"/>
          <w:lang w:val="en-US" w:eastAsia="zh-CN"/>
        </w:rPr>
        <w:t>是我国最早从事稀土材料应用研究开发的科研单位，同时也是有色军工稀土新材料研制开发的定点单位。公司在氧化钪与金属钪、铝钪中间合金，高纯中重稀土氧化物、稀土超细微粉、高纯稀土金属和合金型材(棒、片、粉、粒、丝、管、箔)、稀土储氢材料、六硼化镧阴极材料、稀土激光晶体材料、稀土磁致伸缩材料等方面研究处于国内领先水平。作为长期从事稀土材料开发应用单位</w:t>
      </w:r>
      <w:r>
        <w:rPr>
          <w:rFonts w:hint="eastAsia" w:ascii="Times New Roman" w:hAnsi="Times New Roman" w:cs="Times New Roman"/>
          <w:lang w:val="en-US" w:eastAsia="zh-CN"/>
        </w:rPr>
        <w:t>，自创建以来湖南稀土院累计获得科研成果400余项、省部级以上科技成果奖励300多项、国家授权发明专利56件，牵头或参与制定并颁布实施的国家/行业标准70项，</w:t>
      </w:r>
      <w:r>
        <w:rPr>
          <w:rFonts w:hint="default" w:ascii="Times New Roman" w:hAnsi="Times New Roman" w:cs="Times New Roman"/>
          <w:lang w:val="en-US" w:eastAsia="zh-CN"/>
        </w:rPr>
        <w:t>先后主持及参与了《六硼化镧化学分析方法》、《金属钪》、《氧化钪》、《六硼化镧》、《金属钇》、《铝钪中间合金》、《钕镁合金》、《氧化镨》、《钕镁合金化学分析方法》、《钇铝合金》、《独居石精矿》、《金属钇》、《镧铜合金》《稀土产品包装标志运输和贮存》等31项稀土标准的修制订工作。</w:t>
      </w:r>
      <w:r>
        <w:rPr>
          <w:rFonts w:hint="eastAsia" w:ascii="Times New Roman" w:hAnsi="Times New Roman" w:cs="Times New Roman"/>
          <w:lang w:val="en-US" w:eastAsia="zh-CN"/>
        </w:rPr>
        <w:t>建设有工业产品（稀土冶炼与加工品）质量控制和技术评价湖南实验室等2个国家级创新平台，以及稀土功能材料湖南省重点实验室等5个省部级创新平台；承担了多项国家及省部级课题。</w:t>
      </w:r>
      <w:r>
        <w:rPr>
          <w:rFonts w:hint="default" w:ascii="Times New Roman" w:hAnsi="Times New Roman" w:cs="Times New Roman"/>
          <w:lang w:val="en-US" w:eastAsia="zh-CN"/>
        </w:rPr>
        <w:t>在标准起草期间，该单位按照试验报告提供的方法对公共样品进行了分析，完成验证提供验证报告及意见，同时提供了精密度数据。</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厦门稀土材料研究室（以下简称厦门稀土）：厦门稀土材料研究所又称中国科学院海西研究院厦门稀土材料研究中心，是中国科学院海西研究院的二级机构，作为首批福建省新型研发机构，已建有福建省稀土工程研究中心、福建省清洁核能燃料系统与材料联合创新重点实验室、厦门稀土光电功能材料重点实验室和厦门市重大科技创新公共服务平台等多个平台。该所技术支撑中心先后获得中国科学院、福建省及厦门市多项经费支持，现有设备60余台套，原值6000万元，已经具备了较完备的科研服务能力。同时针对社会需求，成立的中国科学院福建物质结构研究所厦门检验检测中心已通过国家认监委审核，获得国家级CMA资质认证资格，面向全社会提供有法律效力的测试服务。</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国家钨与稀土质量检验检测中心（以下简称国家钨与稀土）：</w:t>
      </w:r>
    </w:p>
    <w:p>
      <w:p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国标（北京）检验认证股份有限公司：（以下简称国标检验）公司隶属于国合通用测试评价认证股份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ind w:firstLine="420" w:firstLineChars="200"/>
        <w:rPr>
          <w:rFonts w:hint="default" w:ascii="Times New Roman" w:hAnsi="Times New Roman" w:cs="Times New Roman"/>
          <w:lang w:val="en-US" w:eastAsia="zh-CN"/>
        </w:rPr>
      </w:pPr>
      <w:r>
        <w:rPr>
          <w:rFonts w:hint="eastAsia"/>
          <w:szCs w:val="21"/>
        </w:rPr>
        <w:t>赣州艾科锐检测技术有限公司</w:t>
      </w:r>
      <w:r>
        <w:rPr>
          <w:rFonts w:hint="eastAsia"/>
          <w:szCs w:val="21"/>
          <w:lang w:eastAsia="zh-CN"/>
        </w:rPr>
        <w:t>、</w:t>
      </w:r>
      <w:r>
        <w:rPr>
          <w:rFonts w:hint="eastAsia"/>
          <w:szCs w:val="21"/>
          <w:lang w:val="en-US" w:eastAsia="zh-CN"/>
        </w:rPr>
        <w:t>国家</w:t>
      </w:r>
      <w:r>
        <w:rPr>
          <w:rFonts w:hint="eastAsia"/>
          <w:szCs w:val="21"/>
        </w:rPr>
        <w:t>钨与稀土</w:t>
      </w:r>
      <w:r>
        <w:rPr>
          <w:rFonts w:hint="eastAsia" w:ascii="Times New Roman" w:hAnsi="Times New Roman"/>
          <w:lang w:val="en-US" w:eastAsia="zh-CN"/>
        </w:rPr>
        <w:t>质量检验检测中心</w:t>
      </w:r>
      <w:r>
        <w:rPr>
          <w:rFonts w:hint="eastAsia"/>
          <w:szCs w:val="21"/>
        </w:rPr>
        <w:t>、</w:t>
      </w:r>
      <w:r>
        <w:rPr>
          <w:rFonts w:hint="eastAsia" w:ascii="Times New Roman" w:hAnsi="Times New Roman" w:eastAsia="宋体"/>
        </w:rPr>
        <w:t>国标(北京)检验认证有限公司</w:t>
      </w:r>
      <w:r>
        <w:rPr>
          <w:rFonts w:hint="eastAsia" w:ascii="Times New Roman" w:hAnsi="Times New Roman" w:eastAsia="宋体"/>
          <w:lang w:eastAsia="zh-CN"/>
        </w:rPr>
        <w:t>、</w:t>
      </w:r>
      <w:r>
        <w:rPr>
          <w:rFonts w:hint="eastAsia"/>
          <w:szCs w:val="21"/>
          <w:lang w:val="en-US" w:eastAsia="zh-CN"/>
        </w:rPr>
        <w:t>国合通用（青岛）测试评价有限公司也</w:t>
      </w:r>
      <w:r>
        <w:rPr>
          <w:rFonts w:hint="default" w:ascii="Times New Roman" w:hAnsi="Times New Roman" w:cs="Times New Roman"/>
          <w:lang w:val="en-US" w:eastAsia="zh-CN"/>
        </w:rPr>
        <w:t>是</w:t>
      </w:r>
      <w:r>
        <w:rPr>
          <w:rFonts w:hint="eastAsia" w:ascii="Times New Roman" w:hAnsi="Times New Roman" w:cs="Times New Roman"/>
          <w:lang w:val="en-US" w:eastAsia="zh-CN"/>
        </w:rPr>
        <w:t>本项目</w:t>
      </w:r>
      <w:r>
        <w:rPr>
          <w:rFonts w:hint="default" w:ascii="Times New Roman" w:hAnsi="Times New Roman" w:cs="Times New Roman"/>
          <w:lang w:val="en-US" w:eastAsia="zh-CN"/>
        </w:rPr>
        <w:t>的</w:t>
      </w:r>
      <w:r>
        <w:rPr>
          <w:rFonts w:hint="eastAsia" w:ascii="Times New Roman" w:hAnsi="Times New Roman" w:cs="Times New Roman"/>
          <w:lang w:val="en-US" w:eastAsia="zh-CN"/>
        </w:rPr>
        <w:t>二验</w:t>
      </w:r>
      <w:r>
        <w:rPr>
          <w:rFonts w:hint="default" w:ascii="Times New Roman" w:hAnsi="Times New Roman" w:cs="Times New Roman"/>
          <w:lang w:val="en-US" w:eastAsia="zh-CN"/>
        </w:rPr>
        <w:t>单位。上述单位按照试验报告提供的方法对公共样品进行了分析，提供了精密度数据。</w:t>
      </w:r>
    </w:p>
    <w:p>
      <w:pPr>
        <w:rPr>
          <w:rFonts w:hint="eastAsia" w:cs="宋体"/>
        </w:rPr>
      </w:pPr>
      <w:r>
        <w:rPr>
          <w:rFonts w:hint="eastAsia" w:ascii="Times New Roman" w:hAnsi="Times New Roman"/>
          <w:lang w:val="en-US" w:eastAsia="zh-CN"/>
        </w:rPr>
        <w:t xml:space="preserve">2.3 </w:t>
      </w:r>
      <w:r>
        <w:rPr>
          <w:rFonts w:hint="eastAsia" w:cs="宋体"/>
        </w:rPr>
        <w:t>主要工作成员及承担工作情况</w:t>
      </w:r>
    </w:p>
    <w:p>
      <w:pPr>
        <w:ind w:firstLine="420" w:firstLineChars="200"/>
        <w:rPr>
          <w:rFonts w:hint="default" w:ascii="Times New Roman" w:hAnsi="Times New Roman" w:cs="宋体" w:eastAsiaTheme="minorEastAsia"/>
          <w:sz w:val="21"/>
          <w:lang w:val="en-US" w:eastAsia="zh-CN"/>
        </w:rPr>
      </w:pPr>
      <w:r>
        <w:rPr>
          <w:rFonts w:hint="eastAsia" w:ascii="Times New Roman" w:hAnsi="Times New Roman" w:cs="宋体" w:eastAsiaTheme="minorEastAsia"/>
          <w:sz w:val="21"/>
        </w:rPr>
        <w:t>本标准</w:t>
      </w:r>
      <w:r>
        <w:rPr>
          <w:rFonts w:hint="eastAsia" w:ascii="Times New Roman" w:hAnsi="Times New Roman" w:cs="宋体" w:eastAsiaTheme="minorEastAsia"/>
          <w:sz w:val="21"/>
          <w:lang w:val="en-US" w:eastAsia="zh-CN"/>
        </w:rPr>
        <w:t>方法1</w:t>
      </w:r>
      <w:r>
        <w:rPr>
          <w:rFonts w:hint="eastAsia" w:ascii="Times New Roman" w:hAnsi="Times New Roman" w:cs="宋体" w:eastAsiaTheme="minorEastAsia"/>
          <w:sz w:val="21"/>
        </w:rPr>
        <w:t>主要起草人及承担工作情况见表1。本标准</w:t>
      </w:r>
      <w:r>
        <w:rPr>
          <w:rFonts w:hint="eastAsia" w:ascii="Times New Roman" w:hAnsi="Times New Roman" w:cs="宋体" w:eastAsiaTheme="minorEastAsia"/>
          <w:sz w:val="21"/>
          <w:lang w:val="en-US" w:eastAsia="zh-CN"/>
        </w:rPr>
        <w:t>方法</w:t>
      </w:r>
      <w:r>
        <w:rPr>
          <w:rFonts w:hint="eastAsia" w:ascii="Times New Roman" w:hAnsi="Times New Roman" w:cs="宋体"/>
          <w:sz w:val="21"/>
          <w:lang w:val="en-US" w:eastAsia="zh-CN"/>
        </w:rPr>
        <w:t>2</w:t>
      </w:r>
      <w:r>
        <w:rPr>
          <w:rFonts w:hint="eastAsia" w:ascii="Times New Roman" w:hAnsi="Times New Roman" w:cs="宋体" w:eastAsiaTheme="minorEastAsia"/>
          <w:sz w:val="21"/>
        </w:rPr>
        <w:t>主要起草人及承担工作情况见表</w:t>
      </w:r>
      <w:r>
        <w:rPr>
          <w:rFonts w:hint="eastAsia" w:ascii="Times New Roman" w:hAnsi="Times New Roman" w:cs="宋体"/>
          <w:sz w:val="21"/>
          <w:lang w:val="en-US" w:eastAsia="zh-CN"/>
        </w:rPr>
        <w:t>2</w:t>
      </w:r>
      <w:r>
        <w:rPr>
          <w:rFonts w:hint="eastAsia" w:ascii="Times New Roman" w:hAnsi="Times New Roman" w:cs="宋体" w:eastAsiaTheme="minorEastAsia"/>
          <w:sz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表1 主要起草人及承担工作情况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8"/>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13" w:type="pct"/>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起草人</w:t>
            </w:r>
          </w:p>
        </w:tc>
        <w:tc>
          <w:tcPr>
            <w:tcW w:w="3387" w:type="pct"/>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13" w:type="pct"/>
            <w:vAlign w:val="center"/>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薛建萍、都业俭</w:t>
            </w:r>
          </w:p>
        </w:tc>
        <w:tc>
          <w:tcPr>
            <w:tcW w:w="3387" w:type="pct"/>
            <w:vAlign w:val="center"/>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负责方法的起草及相应方法研究报告撰写，各阶段标准文本、编制说明的编写、数据统计及组织协调。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13" w:type="pct"/>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姜玉娟、孙二凤、刘志宏</w:t>
            </w:r>
          </w:p>
        </w:tc>
        <w:tc>
          <w:tcPr>
            <w:tcW w:w="3387" w:type="pct"/>
            <w:vAlign w:val="center"/>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协助完成方法的起草，协助完成精密度实验数据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13" w:type="pct"/>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王贵超、陈燕群、温斌、江媛、张春兰</w:t>
            </w:r>
          </w:p>
        </w:tc>
        <w:tc>
          <w:tcPr>
            <w:tcW w:w="3387" w:type="pct"/>
            <w:vAlign w:val="center"/>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作为一验，对标准方法条件实验进行了验证，并完成精密度数据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13" w:type="pct"/>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胡梦桥、张其凯、任晟</w:t>
            </w:r>
          </w:p>
        </w:tc>
        <w:tc>
          <w:tcPr>
            <w:tcW w:w="3387" w:type="pct"/>
            <w:vAlign w:val="center"/>
          </w:tcPr>
          <w:p>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作为二验，提供验证方法的精密度数据</w:t>
            </w:r>
          </w:p>
        </w:tc>
      </w:tr>
    </w:tbl>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 主要起草人及承担工作情况</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86" w:type="pct"/>
            <w:vAlign w:val="center"/>
          </w:tcPr>
          <w:p>
            <w:pPr>
              <w:jc w:val="center"/>
              <w:rPr>
                <w:rFonts w:ascii="Times New Roman" w:hAnsi="Times New Roman" w:eastAsia="宋体" w:cs="宋体"/>
                <w:sz w:val="18"/>
                <w:szCs w:val="18"/>
              </w:rPr>
            </w:pPr>
            <w:r>
              <w:rPr>
                <w:rFonts w:hint="eastAsia" w:ascii="Times New Roman" w:hAnsi="Times New Roman" w:eastAsia="宋体" w:cs="宋体"/>
                <w:sz w:val="18"/>
                <w:szCs w:val="18"/>
              </w:rPr>
              <w:t>起草人</w:t>
            </w:r>
          </w:p>
        </w:tc>
        <w:tc>
          <w:tcPr>
            <w:tcW w:w="3113" w:type="pct"/>
            <w:vAlign w:val="center"/>
          </w:tcPr>
          <w:p>
            <w:pPr>
              <w:jc w:val="center"/>
              <w:rPr>
                <w:rFonts w:ascii="Times New Roman" w:hAnsi="Times New Roman" w:eastAsia="宋体" w:cs="宋体"/>
                <w:sz w:val="18"/>
                <w:szCs w:val="18"/>
              </w:rPr>
            </w:pPr>
            <w:r>
              <w:rPr>
                <w:rFonts w:hint="eastAsia" w:ascii="Times New Roman" w:hAnsi="Times New Roman" w:eastAsia="宋体" w:cs="宋体"/>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86" w:type="pct"/>
            <w:vAlign w:val="center"/>
          </w:tcPr>
          <w:p>
            <w:pPr>
              <w:jc w:val="center"/>
              <w:rPr>
                <w:rFonts w:ascii="Times New Roman" w:hAnsi="Times New Roman" w:eastAsia="宋体" w:cs="宋体"/>
                <w:color w:val="C00000"/>
                <w:sz w:val="18"/>
                <w:szCs w:val="18"/>
              </w:rPr>
            </w:pPr>
            <w:r>
              <w:rPr>
                <w:rFonts w:hint="eastAsia" w:ascii="Times New Roman" w:hAnsi="Times New Roman" w:eastAsia="宋体" w:cs="宋体"/>
                <w:sz w:val="18"/>
                <w:szCs w:val="18"/>
              </w:rPr>
              <w:t>吴文琪、聂成宏、任旭东</w:t>
            </w:r>
          </w:p>
        </w:tc>
        <w:tc>
          <w:tcPr>
            <w:tcW w:w="3113" w:type="pct"/>
            <w:vAlign w:val="center"/>
          </w:tcPr>
          <w:p>
            <w:pPr>
              <w:pStyle w:val="4"/>
              <w:adjustRightInd w:val="0"/>
              <w:snapToGrid w:val="0"/>
              <w:spacing w:before="0" w:beforeAutospacing="0" w:after="0" w:afterAutospacing="0"/>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分别负责稀土精矿化学分析方法 第8部分：稀土氧化物量和配分量的测定 方法</w:t>
            </w:r>
            <w:r>
              <w:rPr>
                <w:rFonts w:hint="eastAsia" w:ascii="Times New Roman" w:hAnsi="Times New Roman" w:eastAsia="宋体" w:cs="Times New Roman"/>
                <w:kern w:val="2"/>
                <w:sz w:val="18"/>
                <w:szCs w:val="18"/>
                <w:lang w:val="en-US" w:eastAsia="zh-CN"/>
              </w:rPr>
              <w:t>2</w:t>
            </w:r>
            <w:r>
              <w:rPr>
                <w:rFonts w:hint="eastAsia" w:ascii="Times New Roman" w:hAnsi="Times New Roman" w:eastAsia="宋体" w:cs="Times New Roman"/>
                <w:kern w:val="2"/>
                <w:sz w:val="18"/>
                <w:szCs w:val="18"/>
              </w:rPr>
              <w:t>：稀土氧化物量的测定 X射线荧光光谱法的起草及相应方法研究报告撰写、数据处理统计，推进各阶段标准文本、编制说明编写等工作。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6" w:type="pct"/>
            <w:vAlign w:val="center"/>
          </w:tcPr>
          <w:p>
            <w:pPr>
              <w:tabs>
                <w:tab w:val="left" w:pos="2070"/>
                <w:tab w:val="center" w:pos="4757"/>
              </w:tabs>
              <w:jc w:val="center"/>
              <w:rPr>
                <w:rFonts w:ascii="Times New Roman" w:hAnsi="Times New Roman" w:eastAsia="宋体" w:cs="宋体"/>
                <w:sz w:val="18"/>
                <w:szCs w:val="18"/>
              </w:rPr>
            </w:pPr>
            <w:r>
              <w:rPr>
                <w:rFonts w:hint="eastAsia" w:ascii="Times New Roman" w:hAnsi="Times New Roman" w:eastAsia="宋体" w:cs="宋体"/>
                <w:sz w:val="18"/>
                <w:szCs w:val="18"/>
              </w:rPr>
              <w:t>温斌、石雪峰、黄晓日</w:t>
            </w:r>
          </w:p>
        </w:tc>
        <w:tc>
          <w:tcPr>
            <w:tcW w:w="3113" w:type="pct"/>
            <w:vAlign w:val="center"/>
          </w:tcPr>
          <w:p>
            <w:pPr>
              <w:pStyle w:val="4"/>
              <w:adjustRightInd w:val="0"/>
              <w:snapToGrid w:val="0"/>
              <w:spacing w:before="0" w:beforeAutospacing="0" w:after="0" w:afterAutospacing="0"/>
              <w:rPr>
                <w:rFonts w:ascii="Times New Roman" w:hAnsi="Times New Roman" w:eastAsia="宋体" w:cs="Times New Roman"/>
                <w:kern w:val="2"/>
                <w:sz w:val="18"/>
                <w:szCs w:val="18"/>
              </w:rPr>
            </w:pPr>
            <w:r>
              <w:rPr>
                <w:rFonts w:hint="eastAsia" w:ascii="Times New Roman" w:hAnsi="Times New Roman" w:eastAsia="宋体" w:cs="Times New Roman"/>
                <w:sz w:val="18"/>
                <w:szCs w:val="18"/>
              </w:rPr>
              <w:t>作为一验</w:t>
            </w:r>
            <w:r>
              <w:rPr>
                <w:rFonts w:ascii="Times New Roman" w:hAnsi="Times New Roman" w:eastAsia="宋体" w:cs="Times New Roman"/>
                <w:sz w:val="18"/>
                <w:szCs w:val="18"/>
              </w:rPr>
              <w:t>，对</w:t>
            </w:r>
            <w:r>
              <w:rPr>
                <w:rFonts w:hint="eastAsia" w:ascii="Times New Roman" w:hAnsi="Times New Roman" w:eastAsia="宋体" w:cs="Times New Roman"/>
                <w:sz w:val="18"/>
                <w:szCs w:val="18"/>
              </w:rPr>
              <w:t>分析</w:t>
            </w:r>
            <w:r>
              <w:rPr>
                <w:rFonts w:hint="eastAsia" w:ascii="Times New Roman" w:hAnsi="Times New Roman" w:eastAsia="宋体" w:cs="Times New Roman"/>
                <w:kern w:val="2"/>
                <w:sz w:val="18"/>
                <w:szCs w:val="18"/>
              </w:rPr>
              <w:t>方法</w:t>
            </w:r>
            <w:r>
              <w:rPr>
                <w:rFonts w:ascii="Times New Roman" w:hAnsi="Times New Roman" w:eastAsia="宋体" w:cs="Times New Roman"/>
                <w:sz w:val="18"/>
                <w:szCs w:val="18"/>
              </w:rPr>
              <w:t>条件实验进行验证，完成</w:t>
            </w:r>
            <w:r>
              <w:rPr>
                <w:rFonts w:hint="eastAsia" w:ascii="Times New Roman" w:hAnsi="Times New Roman" w:eastAsia="宋体" w:cs="Times New Roman"/>
                <w:sz w:val="18"/>
                <w:szCs w:val="18"/>
              </w:rPr>
              <w:t>并提供</w:t>
            </w:r>
            <w:r>
              <w:rPr>
                <w:rFonts w:ascii="Times New Roman" w:hAnsi="Times New Roman" w:eastAsia="宋体" w:cs="Times New Roman"/>
                <w:sz w:val="18"/>
                <w:szCs w:val="18"/>
              </w:rPr>
              <w:t>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86" w:type="pct"/>
            <w:vAlign w:val="center"/>
          </w:tcPr>
          <w:p>
            <w:pPr>
              <w:jc w:val="center"/>
              <w:rPr>
                <w:rFonts w:hint="eastAsia" w:ascii="Times New Roman" w:hAnsi="Times New Roman" w:eastAsia="宋体" w:cs="宋体"/>
                <w:color w:val="C00000"/>
                <w:sz w:val="18"/>
                <w:szCs w:val="18"/>
                <w:lang w:val="en-US" w:eastAsia="zh-CN"/>
              </w:rPr>
            </w:pPr>
            <w:r>
              <w:rPr>
                <w:rFonts w:hint="eastAsia" w:ascii="Times New Roman" w:hAnsi="Times New Roman" w:eastAsia="宋体" w:cs="宋体"/>
                <w:sz w:val="18"/>
                <w:szCs w:val="18"/>
              </w:rPr>
              <w:t>于磊、</w:t>
            </w:r>
            <w:r>
              <w:rPr>
                <w:rFonts w:hint="eastAsia" w:ascii="Times New Roman" w:hAnsi="Times New Roman" w:eastAsia="宋体" w:cs="宋体"/>
                <w:sz w:val="18"/>
                <w:szCs w:val="18"/>
                <w:lang w:val="en-US" w:eastAsia="zh-CN"/>
              </w:rPr>
              <w:t>陈荣</w:t>
            </w:r>
          </w:p>
        </w:tc>
        <w:tc>
          <w:tcPr>
            <w:tcW w:w="3113" w:type="pct"/>
            <w:vAlign w:val="center"/>
          </w:tcPr>
          <w:p>
            <w:pPr>
              <w:pStyle w:val="4"/>
              <w:adjustRightInd w:val="0"/>
              <w:snapToGrid w:val="0"/>
              <w:spacing w:before="0" w:beforeAutospacing="0" w:after="0" w:afterAutospacing="0"/>
              <w:rPr>
                <w:rFonts w:ascii="Times New Roman" w:hAnsi="Times New Roman" w:eastAsia="宋体" w:cs="Times New Roman"/>
                <w:sz w:val="18"/>
                <w:szCs w:val="18"/>
              </w:rPr>
            </w:pPr>
            <w:r>
              <w:rPr>
                <w:rFonts w:ascii="Times New Roman" w:hAnsi="Times New Roman" w:eastAsia="宋体" w:cs="Times New Roman"/>
                <w:sz w:val="18"/>
                <w:szCs w:val="18"/>
              </w:rPr>
              <w:t>作为二验，提供</w:t>
            </w:r>
            <w:r>
              <w:rPr>
                <w:rFonts w:hint="eastAsia" w:ascii="Times New Roman" w:hAnsi="Times New Roman" w:eastAsia="宋体" w:cs="Times New Roman"/>
                <w:sz w:val="18"/>
                <w:szCs w:val="18"/>
              </w:rPr>
              <w:t>验证</w:t>
            </w:r>
            <w:r>
              <w:rPr>
                <w:rFonts w:ascii="Times New Roman" w:hAnsi="Times New Roman" w:eastAsia="宋体" w:cs="Times New Roman"/>
                <w:sz w:val="18"/>
                <w:szCs w:val="18"/>
              </w:rPr>
              <w:t>方法的精密度数据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项目背景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3.1 必要性简述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稀土元素氧化物配分量是稀土精矿生产、贸易中最重要的计价指标，根据国标委《2021年全国标准化工作要点》和十四五发展规划“关于战略性矿产开发与利用”重点工作的要求，为了更好适应稀土行业变化，完善稀土矿产品分析测试技术和标准体系，建议根据新的行业和市场需求修订GB/T 18114.8《稀土精矿化学分析方法 第8部分：十五个稀土元素氧化物配分量的测定》，为稀土精矿产品的选冶工艺控制、贸易提供更好的技术保障。GB/T 18114.8-2010《稀土精矿化学分析方法 第8部分 十五个稀土元素氧化物配分量的测定 电感耦合等离子体发射光谱法》于2008年开始修订，2011年1月14日发布，2011年11月1日开始实施，已经运行10年，在此期间XB/T 102-2017氟碳铈矿-独居石混合精矿、XB/T 103-2019氟碳铈镧矿精矿、XB/T 104-2015独居石精矿等产品标准已相继修订后发布实施，这些稀土精矿产品对稀土元素量和配分量仍然有严格的要求。随着分析检测技术的发展和标准物质（样品）体系的完善，X荧光光谱技术在稀土领域的应用不断进步，根据国标委《2021年全国标准化工作要点》和十四五发展规划“关于战略性矿产开发与利用”重点工作的要求，为了更好适应稀土行业变化，完善稀土矿产品分析测试技术和标准体系，根据新的行业和市场变化及需求，将旧标准中需要改进的地方进行修订。标准方法的修订将对稀土产品的市场行为提供产品质量参照，同时对国内、国外该类产品的质量提供一个可借鉴的标准参照。项目的研究具有一定的经济和广泛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3.2 可行性简述</w:t>
      </w:r>
    </w:p>
    <w:p>
      <w:pPr>
        <w:pStyle w:val="10"/>
        <w:ind w:firstLine="420"/>
        <w:rPr>
          <w:rFonts w:hint="default" w:ascii="Times New Roman" w:hAnsi="Times New Roman" w:cs="Times New Roman"/>
          <w:lang w:val="en-US" w:eastAsia="zh-CN"/>
        </w:rPr>
      </w:pPr>
      <w:r>
        <w:rPr>
          <w:rFonts w:hint="eastAsia" w:ascii="Times New Roman" w:hAnsi="Times New Roman" w:cs="Times New Roman" w:eastAsiaTheme="minorEastAsia"/>
          <w:color w:val="auto"/>
          <w:sz w:val="21"/>
          <w:lang w:val="en-US" w:eastAsia="zh-CN"/>
        </w:rPr>
        <w:t>方法1</w:t>
      </w:r>
      <w:r>
        <w:rPr>
          <w:rFonts w:ascii="Times New Roman" w:hAnsi="Times New Roman" w:cs="Times New Roman" w:eastAsiaTheme="minorEastAsia"/>
          <w:color w:val="auto"/>
          <w:sz w:val="21"/>
        </w:rPr>
        <w:t>电感耦合等离子体发射光谱法</w:t>
      </w:r>
      <w:r>
        <w:rPr>
          <w:rFonts w:hint="eastAsia" w:ascii="Times New Roman" w:hAnsi="Times New Roman" w:eastAsiaTheme="minorEastAsia"/>
          <w:color w:val="auto"/>
          <w:sz w:val="21"/>
        </w:rPr>
        <w:t>具有检出限低、操作简单、快速、准确等优势，在稀土行业中广泛运用、历史悠久，分析技术已非常成熟。有利于在各类检测机构推广应用，对于促进我国稀土产品的生产和贸易具有重要意义。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方法2中的</w:t>
      </w:r>
      <w:r>
        <w:rPr>
          <w:rFonts w:hint="default" w:ascii="Times New Roman" w:hAnsi="Times New Roman" w:cs="Times New Roman"/>
          <w:lang w:val="en-US" w:eastAsia="zh-CN"/>
        </w:rPr>
        <w:t>X荧光光谱法</w:t>
      </w:r>
      <w:r>
        <w:rPr>
          <w:rFonts w:hint="eastAsia" w:ascii="Times New Roman" w:hAnsi="Times New Roman" w:cs="Times New Roman"/>
          <w:lang w:val="en-US" w:eastAsia="zh-CN"/>
        </w:rPr>
        <w:t>具有</w:t>
      </w:r>
      <w:r>
        <w:rPr>
          <w:rFonts w:hint="default" w:ascii="Times New Roman" w:hAnsi="Times New Roman" w:cs="Times New Roman"/>
          <w:lang w:val="en-US" w:eastAsia="zh-CN"/>
        </w:rPr>
        <w:t>快捷、准确、稳定、可操作性强</w:t>
      </w:r>
      <w:r>
        <w:rPr>
          <w:rFonts w:hint="eastAsia" w:ascii="Times New Roman" w:hAnsi="Times New Roman" w:cs="Times New Roman"/>
          <w:lang w:val="en-US" w:eastAsia="zh-CN"/>
        </w:rPr>
        <w:t>的特点，在稀土产品检测领域应用广泛，具备作为稀土精矿中氧化物分析方法开发研究的条件；</w:t>
      </w:r>
      <w:r>
        <w:rPr>
          <w:rFonts w:hint="default" w:ascii="Times New Roman" w:hAnsi="Times New Roman" w:cs="Times New Roman"/>
          <w:lang w:val="en-US" w:eastAsia="zh-CN"/>
        </w:rPr>
        <w:t>X荧光光谱法</w:t>
      </w:r>
      <w:r>
        <w:rPr>
          <w:rFonts w:hint="eastAsia" w:ascii="Times New Roman" w:hAnsi="Times New Roman" w:cs="Times New Roman"/>
          <w:lang w:val="en-US" w:eastAsia="zh-CN"/>
        </w:rPr>
        <w:t>测定范围宽、准确度高，在稀土废料回收、稀土功能材料生产等领域已制定成为国家标准、行业标准分析方法指导生产、贸易，优化样品熔融条件是方法研究的重点。针对稀土精矿中氧化物量的测定，开展</w:t>
      </w:r>
      <w:r>
        <w:rPr>
          <w:rFonts w:hint="default" w:ascii="Times New Roman" w:hAnsi="Times New Roman" w:cs="Times New Roman"/>
          <w:lang w:val="en-US" w:eastAsia="zh-CN"/>
        </w:rPr>
        <w:t>X荧光光谱法</w:t>
      </w:r>
      <w:r>
        <w:rPr>
          <w:rFonts w:hint="eastAsia" w:ascii="Times New Roman" w:hAnsi="Times New Roman" w:cs="Times New Roman"/>
          <w:lang w:val="en-US" w:eastAsia="zh-CN"/>
        </w:rPr>
        <w:t>，即能拓展现有标准的适用范围，又可丰富稀土精矿中氧化物定量分析途径，对我国标准体系的完善具有重要意义。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黑体" w:hAnsi="黑体" w:eastAsia="黑体" w:cs="黑体"/>
          <w:lang w:val="en-US" w:eastAsia="zh-CN"/>
        </w:rPr>
        <w:t>4 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Cs w:val="21"/>
        </w:rPr>
      </w:pPr>
      <w:r>
        <w:rPr>
          <w:rFonts w:hint="eastAsia" w:ascii="Times New Roman" w:hAnsi="Times New Roman" w:cs="Times New Roman"/>
          <w:szCs w:val="21"/>
          <w:lang w:val="en-US" w:eastAsia="zh-CN"/>
        </w:rPr>
        <w:t>4.1 预研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针对稀土精矿中不同梯度的氧化物量，包头稀土研究院经文献检索、标准查阅，分别制定了X荧光光谱法、电感耦合等离子体发射光谱法的研究方案并开展相关实验，初步形成相应分析方法。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4.2 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2023年6月</w:t>
      </w:r>
      <w:r>
        <w:rPr>
          <w:rFonts w:hint="default" w:ascii="Times New Roman" w:hAnsi="Times New Roman" w:cs="Times New Roman"/>
          <w:szCs w:val="21"/>
          <w:lang w:val="en-US" w:eastAsia="zh-CN"/>
        </w:rPr>
        <w:t>，</w:t>
      </w:r>
      <w:r>
        <w:rPr>
          <w:rFonts w:hint="eastAsia" w:ascii="Times New Roman" w:hAnsi="Times New Roman" w:cs="Times New Roman"/>
          <w:lang w:val="en-US" w:eastAsia="zh-CN"/>
        </w:rPr>
        <w:t>中国北方稀土高科技股份有限公司和</w:t>
      </w:r>
      <w:r>
        <w:rPr>
          <w:rFonts w:hint="eastAsia" w:ascii="Times New Roman" w:hAnsi="Times New Roman" w:cs="Times New Roman"/>
          <w:szCs w:val="21"/>
          <w:lang w:val="en-US" w:eastAsia="zh-CN"/>
        </w:rPr>
        <w:t>包头稀土研究院向全国稀土标准化技术委员会秘书处</w:t>
      </w:r>
      <w:r>
        <w:rPr>
          <w:rFonts w:hint="default" w:ascii="Times New Roman" w:hAnsi="Times New Roman" w:cs="Times New Roman"/>
          <w:szCs w:val="21"/>
          <w:lang w:val="en-US" w:eastAsia="zh-CN"/>
        </w:rPr>
        <w:t>提交《</w:t>
      </w:r>
      <w:r>
        <w:rPr>
          <w:rFonts w:hint="eastAsia" w:ascii="Times New Roman" w:hAnsi="Times New Roman" w:cs="Times New Roman"/>
          <w:szCs w:val="21"/>
          <w:lang w:val="en-US" w:eastAsia="zh-CN"/>
        </w:rPr>
        <w:t>稀土精矿化学分析方法 第8部分：稀土氧化物量和配分量的测定</w:t>
      </w:r>
      <w:r>
        <w:rPr>
          <w:rFonts w:hint="default" w:ascii="Times New Roman" w:hAnsi="Times New Roman" w:cs="Times New Roman"/>
          <w:szCs w:val="21"/>
          <w:lang w:val="en-US" w:eastAsia="zh-CN"/>
        </w:rPr>
        <w:t>》国家标准项目建议书</w:t>
      </w:r>
      <w:r>
        <w:rPr>
          <w:rFonts w:hint="eastAsia" w:ascii="Times New Roman" w:hAnsi="Times New Roman" w:cs="Times New Roman"/>
          <w:szCs w:val="21"/>
          <w:lang w:val="en-US" w:eastAsia="zh-CN"/>
        </w:rPr>
        <w:t>、立项论证报告及草案等申报材料，经全国稀土标准化技术委员会专家论证成功立项并上报国标委备案。</w:t>
      </w:r>
    </w:p>
    <w:p>
      <w:pPr>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w:t>
      </w:r>
      <w:r>
        <w:rPr>
          <w:rFonts w:hint="eastAsia"/>
          <w:color w:val="000000" w:themeColor="text1"/>
          <w14:textFill>
            <w14:solidFill>
              <w14:schemeClr w14:val="tx1"/>
            </w14:solidFill>
          </w14:textFill>
        </w:rPr>
        <w:t>其中《</w:t>
      </w:r>
      <w:r>
        <w:rPr>
          <w:rFonts w:hint="eastAsia"/>
          <w:color w:val="000000" w:themeColor="text1"/>
          <w:szCs w:val="20"/>
          <w14:textFill>
            <w14:solidFill>
              <w14:schemeClr w14:val="tx1"/>
            </w14:solidFill>
          </w14:textFill>
        </w:rPr>
        <w:t>稀土精矿化学分析方法 第8部分：稀土氧化物量和配分</w:t>
      </w:r>
      <w:r>
        <w:rPr>
          <w:rFonts w:hint="eastAsia"/>
          <w:color w:val="000000" w:themeColor="text1"/>
          <w14:textFill>
            <w14:solidFill>
              <w14:schemeClr w14:val="tx1"/>
            </w14:solidFill>
          </w14:textFill>
        </w:rPr>
        <w:t>量的测定 方法</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：十五个稀土元素氧化物配分量的测定 电感耦合等离子体原子发射光谱法》由</w:t>
      </w:r>
      <w:r>
        <w:rPr>
          <w:rFonts w:hint="eastAsia" w:ascii="宋体" w:hAnsi="宋体" w:cs="宋体"/>
          <w:color w:val="000000" w:themeColor="text1"/>
          <w14:textFill>
            <w14:solidFill>
              <w14:schemeClr w14:val="tx1"/>
            </w14:solidFill>
          </w14:textFill>
        </w:rPr>
        <w:t>中国北方稀土高科技股份有限公司</w:t>
      </w:r>
      <w:r>
        <w:rPr>
          <w:rFonts w:hint="eastAsia"/>
          <w:color w:val="000000" w:themeColor="text1"/>
          <w14:textFill>
            <w14:solidFill>
              <w14:schemeClr w14:val="tx1"/>
            </w14:solidFill>
          </w14:textFill>
        </w:rPr>
        <w:t>负责起草单位，虔东稀土集团股份有限公司、湖南稀土金属材料研究院有限责任公司为一验单位，</w:t>
      </w:r>
      <w:r>
        <w:rPr>
          <w:rFonts w:hint="eastAsia" w:ascii="宋体" w:hAnsi="宋体" w:cs="宋体"/>
          <w:color w:val="000000" w:themeColor="text1"/>
          <w14:textFill>
            <w14:solidFill>
              <w14:schemeClr w14:val="tx1"/>
            </w14:solidFill>
          </w14:textFill>
        </w:rPr>
        <w:t>厦门稀土材料研究室、国家钨与稀土质量检验检测中心、国标（北京）检验认证股份有限公司</w:t>
      </w:r>
      <w:r>
        <w:rPr>
          <w:rFonts w:hint="eastAsia"/>
          <w:color w:val="000000" w:themeColor="text1"/>
          <w14:textFill>
            <w14:solidFill>
              <w14:schemeClr w14:val="tx1"/>
            </w14:solidFill>
          </w14:textFill>
        </w:rPr>
        <w:t>为二验单位。</w:t>
      </w:r>
      <w:r>
        <w:rPr>
          <w:rFonts w:hint="eastAsia" w:ascii="Times New Roman" w:hAnsi="Times New Roman" w:cs="Times New Roman"/>
          <w:szCs w:val="21"/>
          <w:lang w:val="en-US" w:eastAsia="zh-CN"/>
        </w:rPr>
        <w:t>《稀土精矿化学分析方法 第8部分：稀土氧化物量和配分量的测定 方法2：稀土氧化物量的测定 X射线荧光光谱法》由包头稀土研究院负责起草单位，虔东稀土集团股份有限公司、湖南稀土金属材料研究院有限责任公司为一验单位，</w:t>
      </w:r>
      <w:r>
        <w:rPr>
          <w:rFonts w:hint="eastAsia"/>
          <w:szCs w:val="21"/>
        </w:rPr>
        <w:t>赣州艾科锐检测技术有限公司</w:t>
      </w:r>
      <w:r>
        <w:rPr>
          <w:rFonts w:hint="eastAsia"/>
          <w:szCs w:val="21"/>
          <w:lang w:eastAsia="zh-CN"/>
        </w:rPr>
        <w:t>、</w:t>
      </w:r>
      <w:r>
        <w:rPr>
          <w:rFonts w:hint="eastAsia"/>
          <w:szCs w:val="21"/>
          <w:lang w:val="en-US" w:eastAsia="zh-CN"/>
        </w:rPr>
        <w:t>国家</w:t>
      </w:r>
      <w:r>
        <w:rPr>
          <w:rFonts w:hint="eastAsia"/>
          <w:szCs w:val="21"/>
        </w:rPr>
        <w:t>钨与稀土</w:t>
      </w:r>
      <w:r>
        <w:rPr>
          <w:rFonts w:hint="eastAsia" w:ascii="Times New Roman" w:hAnsi="Times New Roman"/>
          <w:lang w:val="en-US" w:eastAsia="zh-CN"/>
        </w:rPr>
        <w:t>质量检验检测中心</w:t>
      </w:r>
      <w:r>
        <w:rPr>
          <w:rFonts w:hint="eastAsia"/>
          <w:szCs w:val="21"/>
        </w:rPr>
        <w:t>、</w:t>
      </w:r>
      <w:r>
        <w:rPr>
          <w:rFonts w:hint="eastAsia" w:ascii="Times New Roman" w:hAnsi="Times New Roman" w:eastAsia="宋体"/>
        </w:rPr>
        <w:t>国标(北京)检验认证有限公司</w:t>
      </w:r>
      <w:r>
        <w:rPr>
          <w:rFonts w:hint="eastAsia" w:ascii="Times New Roman" w:hAnsi="Times New Roman" w:eastAsia="宋体"/>
          <w:lang w:eastAsia="zh-CN"/>
        </w:rPr>
        <w:t>、</w:t>
      </w:r>
      <w:r>
        <w:rPr>
          <w:rFonts w:hint="eastAsia"/>
          <w:szCs w:val="21"/>
          <w:lang w:val="en-US" w:eastAsia="zh-CN"/>
        </w:rPr>
        <w:t>国合通用（青岛）测试评价有限公司也</w:t>
      </w:r>
      <w:r>
        <w:rPr>
          <w:rFonts w:hint="default" w:ascii="Times New Roman" w:hAnsi="Times New Roman" w:cs="Times New Roman"/>
          <w:lang w:val="en-US" w:eastAsia="zh-CN"/>
        </w:rPr>
        <w:t>是</w:t>
      </w:r>
      <w:r>
        <w:rPr>
          <w:rFonts w:hint="eastAsia" w:ascii="Times New Roman" w:hAnsi="Times New Roman" w:cs="Times New Roman"/>
          <w:lang w:val="en-US" w:eastAsia="zh-CN"/>
        </w:rPr>
        <w:t>本项目</w:t>
      </w:r>
      <w:r>
        <w:rPr>
          <w:rFonts w:hint="default" w:ascii="Times New Roman" w:hAnsi="Times New Roman" w:cs="Times New Roman"/>
          <w:lang w:val="en-US" w:eastAsia="zh-CN"/>
        </w:rPr>
        <w:t>的</w:t>
      </w:r>
      <w:r>
        <w:rPr>
          <w:rFonts w:hint="eastAsia" w:ascii="Times New Roman" w:hAnsi="Times New Roman" w:cs="Times New Roman"/>
          <w:szCs w:val="21"/>
          <w:lang w:val="en-US" w:eastAsia="zh-CN"/>
        </w:rPr>
        <w:t>为二验单位。会议确定了项目的时间进度安排，2025年3月召开审定会。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 起草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4.3.1方法1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中国北方稀土高科技股份有限公司接受任务后，立即组织技术骨干成立了国家标准《稀土精矿化学分析方法 第8部分：稀土氧化物量和配分量的测定 方法1：十五个稀土元素氧化物配分量的测定 电感耦合等离子体原子发射光谱法》国家标准研发小组。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2024年3月1日前，完成统一样的筛选、合成。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2024年3月10日针对本方法进行了条件试验摸索，初步形成试验方法。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2024年3 月11日-4月10日，牵头起草单位准备好了试验用统一样品，开展了精密度、加标回收等试验，证明方法准确可靠。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2024年4 月11日-4月24日，牵头起草单位对实验数据进行整理，完成了分析方法研究报告的编写，并将样品和方法研究报告发给验证单位进行验证工作。同时邮寄稀土精矿统一样。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2024年4 月24日-6月10日，验证单位返回验证报告，研发小组汇总、处理验证数据，优化实验条件；期间，由于国标(北京)检验认证有限公司做不了独居石样品，因此在数据处理过程中研发小组未统计国标(北京)检验认证有限公司独居石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在验证过程中，各验证单位提出的技术意见见表3。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color w:val="000000" w:themeColor="text1"/>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表3 方法1电感耦合等离子体原子发射光谱验证单位意见汇总表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48"/>
        <w:gridCol w:w="1533"/>
        <w:gridCol w:w="92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序号</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意见内容</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提出单位</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处理意见</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统一样独居石两根钐线的结果有差异，Sm360.949比Sm428.078结果高0.3%左右，而Sm428.078线的结果与起草单位的结果一致，故建议增加谱线Sm428.078；</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虔东稀土集团股份有限公司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验证可用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因谱线Tb332.440无法寻找到合适的背景扣除位置，故建议不扣除背景，因此统一样独居石中的铽结果比起草单位偏高一点</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虔东稀土集团股份有限公司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重新调整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Ce和Nd元素的标准曲线上限不能覆盖样品测定的浓度，建议Ce和Nd标准曲线最高点增大配置浓度。</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国标（北京）检验认证有限公司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采</w:t>
            </w:r>
            <w:r>
              <w:rPr>
                <w:rFonts w:hint="default" w:ascii="Times New Roman" w:hAnsi="Times New Roman" w:cs="Times New Roman"/>
                <w:sz w:val="18"/>
                <w:szCs w:val="18"/>
                <w:lang w:val="en-US" w:eastAsia="zh-CN"/>
              </w:rPr>
              <w:t>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Ce</w:t>
            </w:r>
            <w:r>
              <w:rPr>
                <w:rFonts w:hint="default" w:ascii="Times New Roman" w:hAnsi="Times New Roman" w:cs="Times New Roman"/>
                <w:sz w:val="18"/>
                <w:szCs w:val="18"/>
                <w:lang w:val="en-US" w:eastAsia="zh-CN"/>
              </w:rPr>
              <w:t>增加</w:t>
            </w:r>
            <w:r>
              <w:rPr>
                <w:rFonts w:hint="eastAsia" w:ascii="Times New Roman" w:hAnsi="Times New Roman" w:cs="Times New Roman"/>
                <w:sz w:val="18"/>
                <w:szCs w:val="18"/>
                <w:lang w:val="en-US" w:eastAsia="zh-CN"/>
              </w:rPr>
              <w:t>60，Nd增加20，代</w:t>
            </w:r>
            <w:r>
              <w:rPr>
                <w:rFonts w:hint="default" w:ascii="Times New Roman" w:hAnsi="Times New Roman" w:cs="Times New Roman"/>
                <w:sz w:val="18"/>
                <w:szCs w:val="18"/>
                <w:lang w:val="en-US" w:eastAsia="zh-CN"/>
              </w:rPr>
              <w:t>替</w:t>
            </w:r>
            <w:r>
              <w:rPr>
                <w:rFonts w:hint="eastAsia" w:ascii="Times New Roman" w:hAnsi="Times New Roman" w:cs="Times New Roman"/>
                <w:sz w:val="18"/>
                <w:szCs w:val="18"/>
                <w:lang w:val="en-US" w:eastAsia="zh-CN"/>
              </w:rPr>
              <w:t>Ce50，Nd10，其他不变。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碱熔处理样品溶解滤渣按方法描述采用硝酸加高氯酸无法溶解滤渣，经试验用浓盐酸加高氯酸可以很好的溶解滤渣</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厦门稀土材料研究室</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在试验过程未出现不溶解情况。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在测试时用我们的设备测Pr时Nd会对410.070谱线产生较大干扰，我选用Pr440.021谱线，测试结果比较符合预期。</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厦门稀土材料研究室</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两条谱线做的结果不一样，谱峰与验证单位不相同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预审稿中5</w:t>
            </w:r>
            <w:r>
              <w:rPr>
                <w:rFonts w:hint="default" w:ascii="Times New Roman" w:hAnsi="Times New Roman" w:cs="Times New Roman"/>
                <w:sz w:val="18"/>
                <w:szCs w:val="18"/>
                <w:lang w:val="en-US" w:eastAsia="zh-CN"/>
              </w:rPr>
              <w:t>试剂和材料</w:t>
            </w:r>
            <w:r>
              <w:rPr>
                <w:rFonts w:hint="eastAsia" w:ascii="Times New Roman" w:hAnsi="Times New Roman" w:cs="Times New Roman"/>
                <w:sz w:val="18"/>
                <w:szCs w:val="18"/>
                <w:lang w:val="en-US" w:eastAsia="zh-CN"/>
              </w:rPr>
              <w:t xml:space="preserve"> “符合G</w:t>
            </w:r>
            <w:r>
              <w:rPr>
                <w:rFonts w:hint="default" w:ascii="Times New Roman" w:hAnsi="Times New Roman" w:cs="Times New Roman"/>
                <w:sz w:val="18"/>
                <w:szCs w:val="18"/>
                <w:lang w:val="en-US" w:eastAsia="zh-CN"/>
              </w:rPr>
              <w:t>B/T6682</w:t>
            </w:r>
            <w:r>
              <w:rPr>
                <w:rFonts w:hint="eastAsia" w:ascii="Times New Roman" w:hAnsi="Times New Roman" w:cs="Times New Roman"/>
                <w:sz w:val="18"/>
                <w:szCs w:val="18"/>
                <w:lang w:val="en-US" w:eastAsia="zh-CN"/>
              </w:rPr>
              <w:t>规定的三级及以上蒸馏水或去离子水或纯度相当的水”中的“三级”修改为“二级”</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虔东稀土集团股份有限公司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“三级”修改为“二级”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预审稿中7.1 “样品的粒度应研磨至通过0</w:t>
            </w:r>
            <w:r>
              <w:rPr>
                <w:rFonts w:hint="default" w:ascii="Times New Roman" w:hAnsi="Times New Roman" w:cs="Times New Roman"/>
                <w:sz w:val="18"/>
                <w:szCs w:val="18"/>
                <w:lang w:val="en-US" w:eastAsia="zh-CN"/>
              </w:rPr>
              <w:t>.074mm</w:t>
            </w:r>
            <w:r>
              <w:rPr>
                <w:rFonts w:hint="eastAsia" w:ascii="Times New Roman" w:hAnsi="Times New Roman" w:cs="Times New Roman"/>
                <w:sz w:val="18"/>
                <w:szCs w:val="18"/>
                <w:lang w:val="en-US" w:eastAsia="zh-CN"/>
              </w:rPr>
              <w:t>筛”建议修改为“样品的粒度应不大于0</w:t>
            </w:r>
            <w:r>
              <w:rPr>
                <w:rFonts w:hint="default" w:ascii="Times New Roman" w:hAnsi="Times New Roman" w:cs="Times New Roman"/>
                <w:sz w:val="18"/>
                <w:szCs w:val="18"/>
                <w:lang w:val="en-US" w:eastAsia="zh-CN"/>
              </w:rPr>
              <w:t>.074mm</w:t>
            </w:r>
            <w:r>
              <w:rPr>
                <w:rFonts w:hint="eastAsia" w:ascii="Times New Roman" w:hAnsi="Times New Roman" w:cs="Times New Roman"/>
                <w:sz w:val="18"/>
                <w:szCs w:val="18"/>
                <w:lang w:val="en-US" w:eastAsia="zh-CN"/>
              </w:rPr>
              <w:t>”</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虔东稀土集团股份有限公司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修改为“样品的粒度应不大于0</w:t>
            </w:r>
            <w:r>
              <w:rPr>
                <w:rFonts w:hint="default" w:ascii="Times New Roman" w:hAnsi="Times New Roman" w:cs="Times New Roman"/>
                <w:sz w:val="18"/>
                <w:szCs w:val="18"/>
                <w:lang w:val="en-US" w:eastAsia="zh-CN"/>
              </w:rPr>
              <w:t>.074mm</w:t>
            </w: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预审稿中 “8.1 试料“称取0.50g试样（7）碱溶用，称0.20g试样（7）酸溶用，精确至0.0001g。”建议“8.1.1称取0.50g试样（7）碱溶用，8.1.2称取0.20g试样（7）酸溶用，精确至0.0001g。”</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虔东稀土集团股份有限公司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改为：</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8.1.1碱溶用料</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称取0.50g试样（7），精确至0.0001g。</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8.1.2酸溶用料</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称取0.20g试样（7），精确至0.0001g。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预审稿6　仪器设备中“本方法中各元素的分析谱线没有大于500nm的”，建议删除“波长范围</w:t>
            </w:r>
            <w:r>
              <w:rPr>
                <w:rFonts w:hint="default" w:ascii="Times New Roman" w:hAnsi="Times New Roman" w:cs="Times New Roman"/>
                <w:sz w:val="18"/>
                <w:szCs w:val="18"/>
                <w:lang w:val="en-US" w:eastAsia="zh-CN"/>
              </w:rPr>
              <w:t>200 nm~800 nm</w:t>
            </w:r>
            <w:r>
              <w:rPr>
                <w:rFonts w:hint="eastAsia" w:ascii="Times New Roman" w:hAnsi="Times New Roman" w:cs="Times New Roman"/>
                <w:sz w:val="18"/>
                <w:szCs w:val="18"/>
                <w:lang w:val="en-US" w:eastAsia="zh-CN"/>
              </w:rPr>
              <w:t>”的要求。</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四川省乐山锐丰冶金有限公司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讨论</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预审稿8.1、8.4.1中“碱溶”应为“碱熔”。</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四川省乐山锐丰冶金有限公司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已将此部分用其他章节相同问题更改。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11</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预审稿两个表2，标题重复，数据不一致。保留哪一个？</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四川省乐山锐丰冶金有限公司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多余部分已删除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12</w:t>
            </w:r>
          </w:p>
        </w:tc>
        <w:tc>
          <w:tcPr>
            <w:tcW w:w="2091" w:type="pct"/>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预审稿9“结果保留两位有效数字”不合适。宜改为“</w:t>
            </w:r>
            <w:r>
              <w:rPr>
                <w:rFonts w:hint="default" w:ascii="Times New Roman" w:hAnsi="Times New Roman" w:cs="Times New Roman"/>
                <w:sz w:val="18"/>
                <w:szCs w:val="18"/>
                <w:lang w:val="en-US" w:eastAsia="zh-CN"/>
              </w:rPr>
              <w:t>当结果&lt;1.00 %时，保留两位有效数字；当结果≥1.00 %时，保留至小数点后两位</w:t>
            </w:r>
            <w:r>
              <w:rPr>
                <w:rFonts w:hint="eastAsia" w:ascii="Times New Roman" w:hAnsi="Times New Roman" w:cs="Times New Roman"/>
                <w:sz w:val="18"/>
                <w:szCs w:val="18"/>
                <w:lang w:val="en-US" w:eastAsia="zh-CN"/>
              </w:rPr>
              <w:t>”。</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四川省乐山锐丰冶金有限公司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按建议更改。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w:t>
            </w:r>
          </w:p>
        </w:tc>
        <w:tc>
          <w:tcPr>
            <w:tcW w:w="2091"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预审稿10“由</w:t>
            </w:r>
            <w:r>
              <w:rPr>
                <w:rFonts w:hint="default" w:ascii="Times New Roman" w:hAnsi="Times New Roman" w:cs="Times New Roman"/>
                <w:sz w:val="18"/>
                <w:szCs w:val="18"/>
                <w:lang w:val="en-US" w:eastAsia="zh-CN"/>
              </w:rPr>
              <w:t>6</w:t>
            </w:r>
            <w:r>
              <w:rPr>
                <w:rFonts w:hint="eastAsia" w:ascii="Times New Roman" w:hAnsi="Times New Roman" w:cs="Times New Roman"/>
                <w:sz w:val="18"/>
                <w:szCs w:val="18"/>
                <w:lang w:val="en-US" w:eastAsia="zh-CN"/>
              </w:rPr>
              <w:t>家实验室对</w:t>
            </w:r>
            <w:r>
              <w:rPr>
                <w:rFonts w:hint="default" w:ascii="Times New Roman" w:hAnsi="Times New Roman" w:cs="Times New Roman"/>
                <w:sz w:val="18"/>
                <w:szCs w:val="18"/>
                <w:lang w:val="en-US" w:eastAsia="zh-CN"/>
              </w:rPr>
              <w:t>50</w:t>
            </w:r>
            <w:r>
              <w:rPr>
                <w:rFonts w:hint="eastAsia" w:ascii="Times New Roman" w:hAnsi="Times New Roman" w:cs="Times New Roman"/>
                <w:sz w:val="18"/>
                <w:szCs w:val="18"/>
                <w:lang w:val="en-US" w:eastAsia="zh-CN"/>
              </w:rPr>
              <w:t>矿、包头矿、四川矿、独居石的</w:t>
            </w:r>
            <w:r>
              <w:rPr>
                <w:rFonts w:hint="default" w:ascii="Times New Roman" w:hAnsi="Times New Roman" w:cs="Times New Roman"/>
                <w:sz w:val="18"/>
                <w:szCs w:val="18"/>
                <w:lang w:val="en-US" w:eastAsia="zh-CN"/>
              </w:rPr>
              <w:t>4</w:t>
            </w:r>
            <w:r>
              <w:rPr>
                <w:rFonts w:hint="eastAsia" w:ascii="Times New Roman" w:hAnsi="Times New Roman" w:cs="Times New Roman"/>
                <w:sz w:val="18"/>
                <w:szCs w:val="18"/>
                <w:lang w:val="en-US" w:eastAsia="zh-CN"/>
              </w:rPr>
              <w:t>个不同水平样品”中“</w:t>
            </w:r>
            <w:r>
              <w:rPr>
                <w:rFonts w:hint="default" w:ascii="Times New Roman" w:hAnsi="Times New Roman" w:cs="Times New Roman"/>
                <w:sz w:val="18"/>
                <w:szCs w:val="18"/>
                <w:lang w:val="en-US" w:eastAsia="zh-CN"/>
              </w:rPr>
              <w:t>50</w:t>
            </w:r>
            <w:r>
              <w:rPr>
                <w:rFonts w:hint="eastAsia" w:ascii="Times New Roman" w:hAnsi="Times New Roman" w:cs="Times New Roman"/>
                <w:sz w:val="18"/>
                <w:szCs w:val="18"/>
                <w:lang w:val="en-US" w:eastAsia="zh-CN"/>
              </w:rPr>
              <w:t>矿、包头矿、四川矿”表达不准确，《稀土术语》中没有定义。建议修改为“由</w:t>
            </w:r>
            <w:r>
              <w:rPr>
                <w:rFonts w:hint="default" w:ascii="Times New Roman" w:hAnsi="Times New Roman" w:cs="Times New Roman"/>
                <w:sz w:val="18"/>
                <w:szCs w:val="18"/>
                <w:lang w:val="en-US" w:eastAsia="zh-CN"/>
              </w:rPr>
              <w:t>6</w:t>
            </w:r>
            <w:r>
              <w:rPr>
                <w:rFonts w:hint="eastAsia" w:ascii="Times New Roman" w:hAnsi="Times New Roman" w:cs="Times New Roman"/>
                <w:sz w:val="18"/>
                <w:szCs w:val="18"/>
                <w:lang w:val="en-US" w:eastAsia="zh-CN"/>
              </w:rPr>
              <w:t>家实验室对稀土精矿</w:t>
            </w:r>
            <w:r>
              <w:rPr>
                <w:rFonts w:hint="default" w:ascii="Times New Roman" w:hAnsi="Times New Roman" w:cs="Times New Roman"/>
                <w:sz w:val="18"/>
                <w:szCs w:val="18"/>
                <w:lang w:val="en-US" w:eastAsia="zh-CN"/>
              </w:rPr>
              <w:t>4</w:t>
            </w:r>
            <w:r>
              <w:rPr>
                <w:rFonts w:hint="eastAsia" w:ascii="Times New Roman" w:hAnsi="Times New Roman" w:cs="Times New Roman"/>
                <w:sz w:val="18"/>
                <w:szCs w:val="18"/>
                <w:lang w:val="en-US" w:eastAsia="zh-CN"/>
              </w:rPr>
              <w:t>个不同水平样品”</w:t>
            </w:r>
          </w:p>
        </w:tc>
        <w:tc>
          <w:tcPr>
            <w:tcW w:w="773"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四川省乐山锐丰冶金有限公司</w:t>
            </w:r>
          </w:p>
        </w:tc>
        <w:tc>
          <w:tcPr>
            <w:tcW w:w="46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tc>
        <w:tc>
          <w:tcPr>
            <w:tcW w:w="1220" w:type="pct"/>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按建议更改。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4.3.2方法2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根据稀标委标准研制进度安排，包头稀土研究院安排技术骨干人员成立《稀土精矿化学分析方法 第8部分：稀土氧化物量和配分量的测定 方法2：稀土氧化物量的测定 X射线荧光光谱法》国家标准研发小组。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2024年3月1日-3月31日，完成统一样的筛选、制备了包头矿、四川矿、独居石基体。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2024年4月1日-4月20日，完成了精密度、加标回收等试验，完成实验数据进行整理，完成方法研究报告，并发送至各验证单位，同时邮寄稀土精矿统一样。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6月20日开始，验证单位陆续返回验证报告，研发小组汇总、处理验证数据，优化实验条件；期间，由于国标(北京)检验认证有限公司做不了独居石样品，因此在数据处理过程中研发小组未统计国标(北京)检验认证有限公司独居石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lang w:val="en-US" w:eastAsia="zh-CN"/>
        </w:rPr>
        <w:t>各验证单位提出的技术意见及处理见表4。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color w:val="000000" w:themeColor="text1"/>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表4 稀土氧化物量的测定 X射线荧光光谱法验证单位意见汇总表</w:t>
      </w:r>
    </w:p>
    <w:tbl>
      <w:tblPr>
        <w:tblStyle w:val="6"/>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617"/>
        <w:gridCol w:w="1257"/>
        <w:gridCol w:w="96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序号</w:t>
            </w:r>
          </w:p>
        </w:tc>
        <w:tc>
          <w:tcPr>
            <w:tcW w:w="1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意见内容</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提出单位</w:t>
            </w:r>
          </w:p>
        </w:tc>
        <w:tc>
          <w:tcPr>
            <w:tcW w:w="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处理意见</w:t>
            </w:r>
          </w:p>
        </w:tc>
        <w:tc>
          <w:tcPr>
            <w:tcW w:w="172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1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独居石统一样的ICP-OES检测结果中Tb4O7、Dy2O3、Ho2O3、Er2O3含量在0.1%以上（Er2O3为0.091%），在建方法时没有将这些元素添加进来，方法有一定局限性。独居石的X射线荧光方法检测Eu2O3时结果与ICP-OES相比偏差较大，结果准确度不是很好。</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虔东稀土集团股份有限公司</w:t>
            </w:r>
          </w:p>
        </w:tc>
        <w:tc>
          <w:tcPr>
            <w:tcW w:w="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未采纳</w:t>
            </w:r>
          </w:p>
        </w:tc>
        <w:tc>
          <w:tcPr>
            <w:tcW w:w="172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ICP-OES检测采用分离富集的方法，可以得到较低的检测下限。XRF法灵敏度较差，谱线干扰严重，部分重稀土检测下限高于0.1%，同时测定误差较大。三种矿物以轻中稀土为主，重稀土含量较少，增加XRF方法主要用于提高轻稀土元素测定精密度及稳定性，故暂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1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由于没有测定基体中的元素，所以金属元素对系统元素的干扰其实是没有去除的</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本实验只是扣除了稀土元素之间的干扰，会不会对结果有所影响。</w:t>
            </w: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国标(北京)检验认证有限公司</w:t>
            </w:r>
          </w:p>
        </w:tc>
        <w:tc>
          <w:tcPr>
            <w:tcW w:w="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采纳</w:t>
            </w:r>
          </w:p>
        </w:tc>
        <w:tc>
          <w:tcPr>
            <w:tcW w:w="172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精矿中基体元素的含量与稀土元素量是相对应的。本方法采</w:t>
            </w:r>
            <w:r>
              <w:rPr>
                <w:rFonts w:hint="default" w:ascii="Times New Roman" w:hAnsi="Times New Roman" w:cs="Times New Roman"/>
                <w:color w:val="auto"/>
                <w:sz w:val="18"/>
                <w:szCs w:val="18"/>
                <w:lang w:val="en-US" w:eastAsia="zh-CN"/>
              </w:rPr>
              <w:t>用</w:t>
            </w:r>
            <w:r>
              <w:rPr>
                <w:rFonts w:hint="eastAsia" w:ascii="Times New Roman" w:hAnsi="Times New Roman" w:cs="Times New Roman"/>
                <w:color w:val="auto"/>
                <w:sz w:val="18"/>
                <w:szCs w:val="18"/>
                <w:lang w:val="en-US" w:eastAsia="zh-CN"/>
              </w:rPr>
              <w:t>没有谱线干扰的</w:t>
            </w:r>
            <w:r>
              <w:rPr>
                <w:rFonts w:hint="default" w:ascii="Times New Roman" w:hAnsi="Times New Roman" w:cs="Times New Roman"/>
                <w:color w:val="auto"/>
                <w:sz w:val="18"/>
                <w:szCs w:val="18"/>
                <w:lang w:val="en-US" w:eastAsia="zh-CN"/>
              </w:rPr>
              <w:t>La2O3</w:t>
            </w:r>
            <w:r>
              <w:rPr>
                <w:rFonts w:hint="eastAsia" w:ascii="Times New Roman" w:hAnsi="Times New Roman" w:cs="Times New Roman"/>
                <w:color w:val="auto"/>
                <w:sz w:val="18"/>
                <w:szCs w:val="18"/>
                <w:lang w:val="en-US" w:eastAsia="zh-CN"/>
              </w:rPr>
              <w:t>量</w:t>
            </w:r>
            <w:r>
              <w:rPr>
                <w:rFonts w:hint="default" w:ascii="Times New Roman" w:hAnsi="Times New Roman" w:cs="Times New Roman"/>
                <w:color w:val="auto"/>
                <w:sz w:val="18"/>
                <w:szCs w:val="18"/>
                <w:lang w:val="en-US" w:eastAsia="zh-CN"/>
              </w:rPr>
              <w:t>校正基体</w:t>
            </w:r>
            <w:r>
              <w:rPr>
                <w:rFonts w:hint="eastAsia" w:ascii="Times New Roman" w:hAnsi="Times New Roman" w:cs="Times New Roman"/>
                <w:color w:val="auto"/>
                <w:sz w:val="18"/>
                <w:szCs w:val="18"/>
                <w:lang w:val="en-US" w:eastAsia="zh-CN"/>
              </w:rPr>
              <w:t>效应，具备校正效果满足测定要求。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w:t>
            </w:r>
          </w:p>
        </w:tc>
        <w:tc>
          <w:tcPr>
            <w:tcW w:w="1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La的系列标样最高点是20%，但是四川矿的样品测定结果为26%，超出了线性范围，</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可适当增加La的线性范围。</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lang w:val="en-US" w:eastAsia="zh-CN"/>
              </w:rPr>
            </w:pPr>
          </w:p>
        </w:tc>
        <w:tc>
          <w:tcPr>
            <w:tcW w:w="63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国标(北京)检验认证有限公司</w:t>
            </w:r>
          </w:p>
        </w:tc>
        <w:tc>
          <w:tcPr>
            <w:tcW w:w="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采纳</w:t>
            </w:r>
          </w:p>
        </w:tc>
        <w:tc>
          <w:tcPr>
            <w:tcW w:w="172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预审会后增加高镧的标样，同时增加统一样品，补充测定范围。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 意见征求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4.4.1 意见征集情况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2024年8月，通过发函形式对</w:t>
      </w:r>
      <w:r>
        <w:rPr>
          <w:rFonts w:hint="default" w:ascii="Times New Roman" w:hAnsi="Times New Roman"/>
          <w:lang w:val="en-US" w:eastAsia="zh-CN"/>
        </w:rPr>
        <w:t>《</w:t>
      </w:r>
      <w:r>
        <w:rPr>
          <w:rFonts w:hint="eastAsia" w:ascii="Times New Roman" w:hAnsi="Times New Roman"/>
          <w:lang w:val="en-US" w:eastAsia="zh-CN"/>
        </w:rPr>
        <w:t>稀土精矿化学分析方法 第8部分：稀土氧化物量和配分量的测定 方法2：稀土氧化物量的测定 X射线荧光光谱法</w:t>
      </w:r>
      <w:r>
        <w:rPr>
          <w:rFonts w:hint="default" w:ascii="Times New Roman" w:hAnsi="Times New Roman"/>
          <w:lang w:val="en-US" w:eastAsia="zh-CN"/>
        </w:rPr>
        <w:t>》</w:t>
      </w:r>
      <w:r>
        <w:rPr>
          <w:rFonts w:hint="eastAsia" w:ascii="Times New Roman" w:hAnsi="Times New Roman"/>
          <w:lang w:val="en-US" w:eastAsia="zh-CN"/>
        </w:rPr>
        <w:t>（征求意见稿）进行意见征询，2024年08月26日，收集整理征求到的意见建议，逐一进行答复，采纳合理意见对标准稿进行修改，处理意见见《标准征求意见稿意见汇总处理表》。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方法1研究报告、征求意见稿、征求意见汇总处理表通过邮件、微信的形式，发送至湖南稀土金属材料研究院有限责任公司、厦门稀土材料研究所、国际（北京）检验认证有限公司、江西省钨与稀土产品质量监督检验中心、包头稀土研究院、江西理工大学、虔东稀土集团股份有限公司、四川省乐山锐丰冶金有限公司、甘肃稀土新材料股份有限公司、钢研钠克检测技术股份有限公司、江西金世纪新材料股份有限公司、江西理工大学、江阴加华新材料资源有限公司、宁波永久磁业有限公司、天津包钢稀土研究院有限责任公司、包头市宏博特科技有限责任公司等16单位进行意见征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截止到2024年8月31日，收到回复的单位数16个，回复并有建议或意见的单位数6个，详见《征求稿意见汇总处理表》。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4.4.2 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kern w:val="0"/>
          <w:szCs w:val="21"/>
          <w:lang w:val="en-US" w:eastAsia="zh-CN"/>
        </w:rPr>
        <w:t>2024年9月，在全国稀土标准化技术委员会在四川乐山组织召开的第六次稀土标准工作会议上，专家对</w:t>
      </w:r>
      <w:r>
        <w:rPr>
          <w:rFonts w:hint="default" w:ascii="Times New Roman" w:hAnsi="Times New Roman" w:cs="Times New Roman"/>
        </w:rPr>
        <w:t>《</w:t>
      </w:r>
      <w:r>
        <w:rPr>
          <w:rFonts w:hint="eastAsia" w:ascii="Times New Roman" w:hAnsi="Times New Roman" w:cs="Times New Roman"/>
          <w:kern w:val="0"/>
          <w:szCs w:val="21"/>
          <w:lang w:val="en-US" w:eastAsia="zh-CN"/>
        </w:rPr>
        <w:t xml:space="preserve">稀土精矿化学分析方法 </w:t>
      </w:r>
      <w:r>
        <w:rPr>
          <w:rFonts w:hint="eastAsia" w:ascii="Times New Roman" w:hAnsi="Times New Roman"/>
          <w:lang w:val="en-US" w:eastAsia="zh-CN"/>
        </w:rPr>
        <w:t>第8部分：稀土氧化物量和配分量的测定</w:t>
      </w:r>
      <w:r>
        <w:rPr>
          <w:rFonts w:hint="default" w:ascii="Times New Roman" w:hAnsi="Times New Roman" w:cs="Times New Roman"/>
        </w:rPr>
        <w:t>》</w:t>
      </w:r>
      <w:r>
        <w:rPr>
          <w:rFonts w:hint="eastAsia" w:ascii="Times New Roman" w:hAnsi="Times New Roman" w:cs="Times New Roman"/>
          <w:lang w:val="en-US" w:eastAsia="zh-CN"/>
        </w:rPr>
        <w:t>进行预审，形成会议纪要：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kern w:val="0"/>
          <w:szCs w:val="21"/>
          <w:lang w:val="en-US" w:eastAsia="zh-CN"/>
        </w:rPr>
        <w:t>4.4.2</w:t>
      </w:r>
      <w:r>
        <w:rPr>
          <w:rFonts w:hint="eastAsia" w:ascii="Times New Roman" w:hAnsi="Times New Roman" w:cs="Times New Roman"/>
          <w:kern w:val="0"/>
          <w:szCs w:val="21"/>
          <w:lang w:val="en-US" w:eastAsia="zh-CN"/>
        </w:rPr>
        <w:t>.1方法1</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建议增加4种不同矿物类型水平的样品，验证不同溶解方式的结果；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建议增加Sm的428.078谱线作为推荐谱线；</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kern w:val="0"/>
          <w:szCs w:val="21"/>
          <w:lang w:val="en-US" w:eastAsia="zh-CN"/>
        </w:rPr>
        <w:t>建议删除标准稿中6仪器设备中“波长范围200nm~800nm”的表述。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kern w:val="0"/>
          <w:szCs w:val="21"/>
          <w:lang w:val="en-US" w:eastAsia="zh-CN"/>
        </w:rPr>
        <w:t>4.4.2</w:t>
      </w:r>
      <w:r>
        <w:rPr>
          <w:rFonts w:hint="eastAsia" w:ascii="Times New Roman" w:hAnsi="Times New Roman" w:cs="Times New Roman"/>
          <w:kern w:val="0"/>
          <w:szCs w:val="21"/>
          <w:lang w:val="en-US" w:eastAsia="zh-CN"/>
        </w:rPr>
        <w:t>.2方法2</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eastAsia="宋体"/>
          <w:color w:val="auto"/>
          <w:lang w:val="en-US" w:eastAsia="zh-CN"/>
        </w:rPr>
        <w:t>建议增加验证单位，补充精密度数据，满足除起草单位外6家单位精密度数据量；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建议增加独居石矿物测定中铽、镝、钬、铒四个元素量的测定，其测定下限可适度提高；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建议XRF方法除测定绝对量外，增加配分量的计算；</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建议对方法1和方法2相同样品进行结果比对；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cs="Times New Roman"/>
          <w:kern w:val="0"/>
          <w:szCs w:val="21"/>
          <w:lang w:val="en-US" w:eastAsia="zh-CN"/>
        </w:rPr>
        <w:t>建议补充统一样品，涵盖方法规定的测定范围。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4.4.3 审定前意见征求</w:t>
      </w:r>
    </w:p>
    <w:p>
      <w:pPr>
        <w:ind w:firstLine="420"/>
        <w:rPr>
          <w:rFonts w:hint="eastAsia" w:hAnsi="宋体"/>
          <w:kern w:val="0"/>
          <w:szCs w:val="21"/>
        </w:rPr>
      </w:pPr>
      <w:r>
        <w:rPr>
          <w:rFonts w:hint="eastAsia" w:ascii="Times New Roman" w:hAnsi="Times New Roman"/>
          <w:lang w:val="en-US" w:eastAsia="zh-CN"/>
        </w:rPr>
        <w:t>2024年10月，</w:t>
      </w:r>
      <w:r>
        <w:rPr>
          <w:rFonts w:hint="eastAsia" w:hAnsi="宋体"/>
          <w:kern w:val="0"/>
          <w:szCs w:val="21"/>
        </w:rPr>
        <w:t>通过发函形式对</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 xml:space="preserve">化学分析方法 </w:t>
      </w:r>
      <w:r>
        <w:rPr>
          <w:rFonts w:hint="eastAsia" w:ascii="Times New Roman" w:hAnsi="Times New Roman"/>
          <w:lang w:val="en-US" w:eastAsia="zh-CN"/>
        </w:rPr>
        <w:t>第8部分：稀土氧化物量和配分量的测定</w:t>
      </w:r>
      <w:r>
        <w:rPr>
          <w:rFonts w:hint="default" w:ascii="Times New Roman" w:hAnsi="Times New Roman" w:cs="Times New Roman"/>
        </w:rPr>
        <w:t>》</w:t>
      </w:r>
      <w:r>
        <w:rPr>
          <w:rFonts w:hint="eastAsia" w:hAnsi="宋体"/>
          <w:kern w:val="0"/>
          <w:szCs w:val="21"/>
        </w:rPr>
        <w:t>（征求意见稿）</w:t>
      </w:r>
      <w:r>
        <w:rPr>
          <w:rFonts w:hint="eastAsia" w:hAnsi="宋体"/>
          <w:kern w:val="0"/>
          <w:szCs w:val="21"/>
          <w:lang w:val="en-US" w:eastAsia="zh-CN"/>
        </w:rPr>
        <w:t>进行</w:t>
      </w:r>
      <w:r>
        <w:rPr>
          <w:rFonts w:hint="eastAsia" w:hAnsi="宋体"/>
          <w:kern w:val="0"/>
          <w:szCs w:val="21"/>
        </w:rPr>
        <w:t>意见征询，发送至江西南方稀土高技术股份有限公司、湖南稀土金属材料研究院有限责任公司、江阴加华新材料资源有限公司、厦门稀土材料研究所、中稀（凉山）稀土有限公司、江西省钨与稀土产品质量监督检验中心、中稀天马新材料科技股份有限公司、赣州湛海新材料科技有限公司、江西中标检检测中心有限公司、中色南方稀土（新丰）有限公司、北矿技术检测有限公司、甘肃稀土新材料股份有限公司、龙岩稀土开发有限公司、江西理工大学、虔东稀土集团股份有限公司、赣州有色冶金研究所有限公司等16单位进行意见征集。</w:t>
      </w:r>
    </w:p>
    <w:p>
      <w:pPr>
        <w:ind w:firstLine="420"/>
        <w:rPr>
          <w:rFonts w:hint="eastAsia" w:hAnsi="宋体"/>
          <w:kern w:val="0"/>
          <w:szCs w:val="21"/>
        </w:rPr>
      </w:pPr>
      <w:r>
        <w:rPr>
          <w:rFonts w:hint="eastAsia" w:hAnsi="宋体"/>
          <w:kern w:val="0"/>
          <w:szCs w:val="21"/>
        </w:rPr>
        <w:t>截止到2024年10月31日，收到回复的单位数</w:t>
      </w:r>
      <w:r>
        <w:rPr>
          <w:rFonts w:hint="eastAsia" w:hAnsi="宋体"/>
          <w:kern w:val="0"/>
          <w:szCs w:val="21"/>
          <w:lang w:val="en-US" w:eastAsia="zh-CN"/>
        </w:rPr>
        <w:t>10</w:t>
      </w:r>
      <w:r>
        <w:rPr>
          <w:rFonts w:hint="eastAsia" w:hAnsi="宋体"/>
          <w:kern w:val="0"/>
          <w:szCs w:val="21"/>
        </w:rPr>
        <w:t>个，回复并有建议或意见的单位数</w:t>
      </w:r>
      <w:r>
        <w:rPr>
          <w:rFonts w:hint="eastAsia" w:hAnsi="宋体"/>
          <w:kern w:val="0"/>
          <w:szCs w:val="21"/>
          <w:lang w:val="en-US" w:eastAsia="zh-CN"/>
        </w:rPr>
        <w:t>7</w:t>
      </w:r>
      <w:r>
        <w:rPr>
          <w:rFonts w:hint="eastAsia" w:hAnsi="宋体"/>
          <w:kern w:val="0"/>
          <w:szCs w:val="21"/>
        </w:rPr>
        <w:t>个，详见《征求稿意见汇总处理表》。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4.5 审查</w:t>
      </w:r>
      <w:bookmarkStart w:id="15" w:name="_GoBack"/>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4.6 报批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 标准制定原则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本标准在起草过程中遵循以下原则：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1 规范性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default" w:ascii="Times New Roman" w:hAnsi="Times New Roman" w:cs="Times New Roman"/>
        </w:rPr>
        <w:t>本标准是根据GB/T</w:t>
      </w:r>
      <w:r>
        <w:rPr>
          <w:rFonts w:hint="default" w:ascii="Times New Roman" w:hAnsi="Times New Roman" w:cs="Times New Roman"/>
          <w:szCs w:val="21"/>
        </w:rPr>
        <w:t> </w:t>
      </w:r>
      <w:r>
        <w:rPr>
          <w:rFonts w:hint="default" w:ascii="Times New Roman" w:hAnsi="Times New Roman" w:cs="Times New Roman"/>
        </w:rPr>
        <w:t>1.1-2020《标准化工作导则 第1部分:标准化文件的结构和起草规则》</w:t>
      </w:r>
      <w:r>
        <w:rPr>
          <w:rFonts w:hint="eastAsia" w:ascii="Times New Roman" w:hAnsi="Times New Roman" w:cs="Times New Roman"/>
          <w:lang w:eastAsia="zh-CN"/>
        </w:rPr>
        <w:t>和</w:t>
      </w:r>
      <w:r>
        <w:rPr>
          <w:rFonts w:hint="default" w:ascii="Times New Roman" w:hAnsi="Times New Roman" w:cs="Times New Roman"/>
        </w:rPr>
        <w:t>GB/T</w:t>
      </w:r>
      <w:r>
        <w:rPr>
          <w:rFonts w:hint="default" w:ascii="Times New Roman" w:hAnsi="Times New Roman" w:cs="Times New Roman"/>
          <w:szCs w:val="21"/>
        </w:rPr>
        <w:t> </w:t>
      </w:r>
      <w:r>
        <w:rPr>
          <w:rFonts w:hint="default" w:ascii="Times New Roman" w:hAnsi="Times New Roman" w:cs="Times New Roman"/>
        </w:rPr>
        <w:t>20001.4-2015《标准编写规则 第4部分：试验方法标准》的要求进行编写的</w:t>
      </w:r>
      <w:r>
        <w:rPr>
          <w:rFonts w:hint="eastAsia"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先进性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rPr>
        <w:t>本次</w:t>
      </w:r>
      <w:r>
        <w:rPr>
          <w:rFonts w:hint="default" w:ascii="Times New Roman" w:hAnsi="Times New Roman" w:cs="Times New Roman"/>
        </w:rPr>
        <w:t>标准</w:t>
      </w:r>
      <w:r>
        <w:rPr>
          <w:rFonts w:hint="eastAsia" w:ascii="Times New Roman" w:hAnsi="Times New Roman" w:cs="Times New Roman"/>
        </w:rPr>
        <w:t>修订包含X射线荧光光谱法</w:t>
      </w:r>
      <w:r>
        <w:rPr>
          <w:rFonts w:hint="eastAsia" w:ascii="Times New Roman" w:hAnsi="Times New Roman" w:cs="Times New Roman"/>
          <w:lang w:val="en-US" w:eastAsia="zh-CN"/>
        </w:rPr>
        <w:t>、</w:t>
      </w:r>
      <w:r>
        <w:rPr>
          <w:rFonts w:hint="eastAsia" w:ascii="Times New Roman" w:hAnsi="Times New Roman" w:cs="Times New Roman"/>
        </w:rPr>
        <w:t>电感耦合等离子体原子发射光谱</w:t>
      </w:r>
      <w:r>
        <w:rPr>
          <w:rFonts w:hint="eastAsia" w:ascii="Times New Roman" w:hAnsi="Times New Roman" w:cs="Times New Roman"/>
          <w:lang w:val="en-US" w:eastAsia="zh-CN"/>
        </w:rPr>
        <w:t>法</w:t>
      </w:r>
      <w:r>
        <w:rPr>
          <w:rFonts w:hint="eastAsia" w:ascii="Times New Roman" w:hAnsi="Times New Roman" w:cs="Times New Roman"/>
        </w:rPr>
        <w:t>体现了检测技术的进步，这些方法不仅满足了多样化的检测需求，而且反映了检测技术的最新进展，适应了稀土产业的发展趋势。它们对推动国内稀土生产企业的技术进步及相关行业的技术提升，具有积极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适用性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rPr>
      </w:pPr>
      <w:r>
        <w:rPr>
          <w:rFonts w:hint="eastAsia" w:ascii="Times New Roman" w:hAnsi="Times New Roman" w:cs="Times New Roman"/>
        </w:rPr>
        <w:t>本标准遵循满足我国稀土产品实际检测需求的原则，旨在便于应用，并能满足企业的需求。根据现行稀土精矿产品标准指标要求结合稀土冶炼生产工艺，本标准制定过程中在不断优化电感耦合等离子体发射光谱法的前提下，增加了X射线荧光光谱法，进一步扩展了《稀土精矿化学分析方法 第8部分：稀土氧化物量和配分量的测定 方法</w:t>
      </w:r>
      <w:r>
        <w:rPr>
          <w:rFonts w:hint="eastAsia" w:ascii="Times New Roman" w:hAnsi="Times New Roman" w:cs="Times New Roman"/>
          <w:lang w:val="en-US" w:eastAsia="zh-CN"/>
        </w:rPr>
        <w:t>2</w:t>
      </w:r>
      <w:r>
        <w:rPr>
          <w:rFonts w:hint="eastAsia" w:ascii="Times New Roman" w:hAnsi="Times New Roman" w:cs="Times New Roman"/>
        </w:rPr>
        <w:t>：稀土氧化物量的测定 X射线荧光光谱法》方法，所制定的方法根据不同类型、不同稀土含量的稀土精矿，制备了包头矿、四川矿、独居石精矿基体，为不同类型稀土精矿检测工作提供了多种分析方法，具有广泛应用的潜力。本标准在制定时着重于准确、简单、快速、成本低的特点，能更好的满足客户及操作人员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2"/>
        </w:rPr>
      </w:pPr>
      <w:r>
        <w:rPr>
          <w:rFonts w:hint="eastAsia" w:ascii="黑体" w:hAnsi="黑体" w:eastAsia="黑体" w:cs="黑体"/>
          <w:b w:val="0"/>
          <w:bCs w:val="0"/>
          <w:sz w:val="24"/>
          <w:szCs w:val="24"/>
          <w:lang w:val="en-US" w:eastAsia="zh-CN"/>
        </w:rPr>
        <w:t xml:space="preserve">三 </w:t>
      </w:r>
      <w:r>
        <w:rPr>
          <w:rFonts w:hint="eastAsia" w:ascii="黑体" w:hAnsi="黑体" w:eastAsia="黑体" w:cs="黑体"/>
          <w:b w:val="0"/>
          <w:bCs w:val="0"/>
          <w:sz w:val="24"/>
          <w:szCs w:val="24"/>
        </w:rPr>
        <w:t>标准主要技术内容、确定的依据及主要试验和验证情况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 xml:space="preserve">1 </w:t>
      </w:r>
      <w:r>
        <w:rPr>
          <w:rFonts w:hint="default" w:ascii="Times New Roman" w:hAnsi="Times New Roman" w:eastAsia="黑体" w:cs="Times New Roman"/>
          <w:b w:val="0"/>
          <w:bCs w:val="0"/>
          <w:sz w:val="21"/>
          <w:szCs w:val="21"/>
        </w:rPr>
        <w:t>标准主要技术内容</w:t>
      </w:r>
      <w:r>
        <w:rPr>
          <w:rFonts w:hint="eastAsia"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确定的依据</w:t>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测定范围的确定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根据现行稀土精矿产品标准指标规定及稀土冶炼生产工艺要求，结合新增分析方法检出限实验，</w:t>
      </w:r>
      <w:r>
        <w:rPr>
          <w:rFonts w:hint="default" w:ascii="Times New Roman" w:hAnsi="Times New Roman" w:eastAsia="宋体" w:cs="Times New Roman"/>
          <w:b w:val="0"/>
          <w:bCs w:val="0"/>
          <w:sz w:val="21"/>
          <w:szCs w:val="21"/>
          <w:lang w:val="en-US" w:eastAsia="zh-CN"/>
        </w:rPr>
        <w:t>调整稀土氧化物量的测定范围，将氧化镨、氧化钕由1.00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%-10.00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%修改为1.00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%-20.00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%，氧化钐、氧化铕、氧化钆、氧化铽、氧化镝、氧化钬、氧化铒、氧化铥、氧化镱、氧化镥、氧化钇由0.10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%-10.00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%修改为0.050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%-10.00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w:t>
      </w:r>
    </w:p>
    <w:p>
      <w:pPr>
        <w:pStyle w:val="13"/>
        <w:tabs>
          <w:tab w:val="center" w:pos="4201"/>
          <w:tab w:val="right" w:leader="dot" w:pos="9298"/>
        </w:tabs>
        <w:adjustRightInd w:val="0"/>
        <w:snapToGrid w:val="0"/>
        <w:spacing w:line="320" w:lineRule="exact"/>
        <w:ind w:firstLine="409" w:firstLineChars="195"/>
        <w:rPr>
          <w:rFonts w:ascii="Times New Roman"/>
          <w:szCs w:val="22"/>
        </w:rPr>
      </w:pPr>
      <w:r>
        <w:rPr>
          <w:rFonts w:hint="eastAsia" w:ascii="Times New Roman"/>
          <w:szCs w:val="21"/>
          <w:lang w:val="de-DE"/>
        </w:rPr>
        <w:t>——</w:t>
      </w:r>
      <w:r>
        <w:rPr>
          <w:rFonts w:ascii="Times New Roman"/>
          <w:color w:val="000000"/>
          <w:szCs w:val="21"/>
        </w:rPr>
        <w:t>电感耦合等离子体发射光谱法</w:t>
      </w:r>
      <w:r>
        <w:rPr>
          <w:rFonts w:ascii="Times New Roman"/>
          <w:szCs w:val="22"/>
        </w:rPr>
        <w:t>增加盐酸、高氯酸溶解样品制备分析试液；</w:t>
      </w:r>
    </w:p>
    <w:p>
      <w:pPr>
        <w:pStyle w:val="13"/>
        <w:tabs>
          <w:tab w:val="center" w:pos="4201"/>
          <w:tab w:val="right" w:leader="dot" w:pos="9298"/>
        </w:tabs>
        <w:adjustRightInd w:val="0"/>
        <w:snapToGrid w:val="0"/>
        <w:spacing w:line="320" w:lineRule="exact"/>
        <w:ind w:firstLine="409" w:firstLineChars="195"/>
        <w:rPr>
          <w:rFonts w:ascii="Times New Roman"/>
          <w:szCs w:val="22"/>
        </w:rPr>
      </w:pPr>
      <w:r>
        <w:rPr>
          <w:rFonts w:hint="eastAsia" w:ascii="Times New Roman"/>
          <w:szCs w:val="22"/>
        </w:rPr>
        <w:t>——</w:t>
      </w:r>
      <w:r>
        <w:rPr>
          <w:rFonts w:ascii="Times New Roman"/>
          <w:szCs w:val="22"/>
        </w:rPr>
        <w:t>修改</w:t>
      </w:r>
      <w:r>
        <w:rPr>
          <w:rFonts w:ascii="Times New Roman"/>
          <w:color w:val="000000"/>
          <w:szCs w:val="21"/>
        </w:rPr>
        <w:t>电感耦合等离子体发射光谱法</w:t>
      </w:r>
      <w:r>
        <w:rPr>
          <w:rFonts w:ascii="Times New Roman"/>
          <w:szCs w:val="22"/>
        </w:rPr>
        <w:t>中“系列标准溶液的制备”；</w:t>
      </w:r>
    </w:p>
    <w:p>
      <w:pPr>
        <w:pStyle w:val="13"/>
        <w:tabs>
          <w:tab w:val="center" w:pos="4201"/>
          <w:tab w:val="right" w:leader="dot" w:pos="9298"/>
        </w:tabs>
        <w:adjustRightInd w:val="0"/>
        <w:snapToGrid w:val="0"/>
        <w:spacing w:line="320" w:lineRule="exact"/>
        <w:ind w:firstLine="409" w:firstLineChars="195"/>
        <w:rPr>
          <w:rFonts w:ascii="Times New Roman"/>
          <w:szCs w:val="22"/>
        </w:rPr>
      </w:pPr>
      <w:r>
        <w:rPr>
          <w:rFonts w:hint="eastAsia" w:ascii="Times New Roman"/>
          <w:szCs w:val="22"/>
        </w:rPr>
        <w:t>——</w:t>
      </w:r>
      <w:r>
        <w:rPr>
          <w:rFonts w:ascii="Times New Roman"/>
          <w:szCs w:val="22"/>
        </w:rPr>
        <w:t>修改</w:t>
      </w:r>
      <w:r>
        <w:rPr>
          <w:rFonts w:ascii="Times New Roman"/>
          <w:color w:val="000000"/>
          <w:szCs w:val="21"/>
        </w:rPr>
        <w:t>电感耦合等离子体发射光谱法</w:t>
      </w:r>
      <w:r>
        <w:rPr>
          <w:rFonts w:ascii="Times New Roman"/>
          <w:szCs w:val="22"/>
        </w:rPr>
        <w:t>“允许差”条款为“再现性”条款；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方法1电感耦合等离子体原子发射光谱测定范围见表5。</w:t>
      </w:r>
    </w:p>
    <w:p>
      <w:pPr>
        <w:jc w:val="center"/>
        <w:rPr>
          <w:szCs w:val="21"/>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表5 方法1电感耦合等离子体原子发射光谱各被测元素测定范围</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78"/>
        <w:gridCol w:w="3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5778" w:type="dxa"/>
            <w:tcBorders>
              <w:bottom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稀土氧化物</w:t>
            </w:r>
          </w:p>
        </w:tc>
        <w:tc>
          <w:tcPr>
            <w:tcW w:w="3792" w:type="dxa"/>
            <w:tcBorders>
              <w:bottom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测定范围（配分量）</w:t>
            </w:r>
          </w:p>
          <w:p>
            <w:pPr>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5778"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氧化镧、氧化铈</w:t>
            </w:r>
          </w:p>
        </w:tc>
        <w:tc>
          <w:tcPr>
            <w:tcW w:w="3792"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15.00～60.00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5778"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氧化镨、氧化钕</w:t>
            </w:r>
          </w:p>
        </w:tc>
        <w:tc>
          <w:tcPr>
            <w:tcW w:w="3792"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1.00～20.00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5778"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氧化钐、氧化铕、氧化钆、氧化铽、氧化镝、</w:t>
            </w:r>
          </w:p>
          <w:p>
            <w:pPr>
              <w:jc w:val="center"/>
              <w:rPr>
                <w:rFonts w:ascii="Times New Roman" w:hAnsi="Times New Roman"/>
                <w:color w:val="000000"/>
                <w:szCs w:val="21"/>
              </w:rPr>
            </w:pPr>
            <w:r>
              <w:rPr>
                <w:rFonts w:ascii="Times New Roman" w:hAnsi="Times New Roman"/>
                <w:color w:val="000000"/>
                <w:szCs w:val="21"/>
              </w:rPr>
              <w:t>氧化钬、氧化铒、氧化铥、氧化镱、氧化镥、氧化钇</w:t>
            </w:r>
          </w:p>
        </w:tc>
        <w:tc>
          <w:tcPr>
            <w:tcW w:w="3792" w:type="dxa"/>
            <w:tcBorders>
              <w:top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0.050～10.00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方法2电感耦合等离子体原子发射光谱测定范围见表6。</w:t>
      </w:r>
    </w:p>
    <w:p>
      <w:pPr>
        <w:jc w:val="center"/>
        <w:rPr>
          <w:szCs w:val="21"/>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表6 方法2 X射线荧光光谱法各被测元素测定范围</w:t>
      </w:r>
    </w:p>
    <w:tbl>
      <w:tblPr>
        <w:tblStyle w:val="5"/>
        <w:tblpPr w:leftFromText="180" w:rightFromText="180" w:vertAnchor="text" w:horzAnchor="margin" w:tblpY="6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0"/>
        <w:gridCol w:w="3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5820" w:type="dxa"/>
            <w:tcBorders>
              <w:bottom w:val="single" w:color="auto" w:sz="12" w:space="0"/>
            </w:tcBorders>
            <w:noWrap w:val="0"/>
            <w:vAlign w:val="top"/>
          </w:tcPr>
          <w:p>
            <w:pPr>
              <w:jc w:val="center"/>
              <w:rPr>
                <w:rFonts w:ascii="Times New Roman" w:hAnsi="Times New Roman"/>
                <w:color w:val="000000"/>
                <w:szCs w:val="21"/>
              </w:rPr>
            </w:pPr>
            <w:r>
              <w:rPr>
                <w:rFonts w:ascii="Times New Roman" w:hAnsi="Times New Roman"/>
                <w:color w:val="000000"/>
                <w:szCs w:val="21"/>
              </w:rPr>
              <w:t>稀土氧化物</w:t>
            </w:r>
          </w:p>
        </w:tc>
        <w:tc>
          <w:tcPr>
            <w:tcW w:w="3819" w:type="dxa"/>
            <w:tcBorders>
              <w:bottom w:val="single" w:color="auto" w:sz="12" w:space="0"/>
            </w:tcBorders>
            <w:noWrap w:val="0"/>
            <w:vAlign w:val="top"/>
          </w:tcPr>
          <w:p>
            <w:pPr>
              <w:jc w:val="center"/>
              <w:rPr>
                <w:rFonts w:ascii="Times New Roman" w:hAnsi="Times New Roman"/>
                <w:color w:val="000000"/>
                <w:szCs w:val="21"/>
              </w:rPr>
            </w:pPr>
            <w:r>
              <w:rPr>
                <w:rFonts w:ascii="Times New Roman" w:hAnsi="Times New Roman"/>
                <w:color w:val="000000"/>
                <w:szCs w:val="21"/>
              </w:rPr>
              <w:t>测定范围</w:t>
            </w:r>
            <w:r>
              <w:rPr>
                <w:rFonts w:hint="eastAsia" w:ascii="Times New Roman" w:hAnsi="Times New Roman"/>
                <w:color w:val="000000"/>
                <w:szCs w:val="21"/>
              </w:rPr>
              <w:t>/</w:t>
            </w: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氧化镧</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3.00～</w:t>
            </w:r>
            <w:r>
              <w:rPr>
                <w:rFonts w:hint="eastAsia" w:ascii="Times New Roman" w:hAnsi="Times New Roman"/>
                <w:color w:val="000000"/>
                <w:szCs w:val="21"/>
              </w:rPr>
              <w:t>3</w:t>
            </w:r>
            <w:r>
              <w:rPr>
                <w:rFonts w:ascii="Times New Roman" w:hAnsi="Times New Roman"/>
                <w:color w:val="000000"/>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氧化铈</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5.00～40.00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氧化镨</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1.00～5.00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氧化钕</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1.00～15.00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氧化钐、氧化铕、氧化钆、氧化钇</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0.</w:t>
            </w:r>
            <w:r>
              <w:rPr>
                <w:rFonts w:hint="eastAsia" w:ascii="Times New Roman" w:hAnsi="Times New Roman"/>
                <w:color w:val="000000"/>
                <w:szCs w:val="21"/>
              </w:rPr>
              <w:t>1</w:t>
            </w:r>
            <w:r>
              <w:rPr>
                <w:rFonts w:ascii="Times New Roman" w:hAnsi="Times New Roman"/>
                <w:color w:val="000000"/>
                <w:szCs w:val="21"/>
              </w:rPr>
              <w:t>0～</w:t>
            </w:r>
            <w:r>
              <w:rPr>
                <w:rFonts w:hint="eastAsia" w:ascii="Times New Roman" w:hAnsi="Times New Roman"/>
                <w:color w:val="000000"/>
                <w:szCs w:val="21"/>
              </w:rPr>
              <w:t>3</w:t>
            </w:r>
            <w:r>
              <w:rPr>
                <w:rFonts w:ascii="Times New Roman" w:hAnsi="Times New Roman"/>
                <w:color w:val="000000"/>
                <w:szCs w:val="21"/>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5820"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氧化</w:t>
            </w:r>
            <w:r>
              <w:rPr>
                <w:rFonts w:hint="eastAsia" w:ascii="Times New Roman" w:hAnsi="Times New Roman"/>
                <w:color w:val="000000"/>
                <w:szCs w:val="21"/>
              </w:rPr>
              <w:t>铽</w:t>
            </w:r>
            <w:r>
              <w:rPr>
                <w:rFonts w:ascii="Times New Roman" w:hAnsi="Times New Roman"/>
                <w:color w:val="000000"/>
                <w:szCs w:val="21"/>
              </w:rPr>
              <w:t>、氧化</w:t>
            </w:r>
            <w:r>
              <w:rPr>
                <w:rFonts w:hint="eastAsia" w:ascii="Times New Roman" w:hAnsi="Times New Roman"/>
                <w:color w:val="000000"/>
                <w:szCs w:val="21"/>
              </w:rPr>
              <w:t>镝、氧化钬、氧化铒</w:t>
            </w:r>
          </w:p>
        </w:tc>
        <w:tc>
          <w:tcPr>
            <w:tcW w:w="3819" w:type="dxa"/>
            <w:tcBorders>
              <w:top w:val="single" w:color="auto" w:sz="4" w:space="0"/>
            </w:tcBorders>
            <w:noWrap w:val="0"/>
            <w:vAlign w:val="top"/>
          </w:tcPr>
          <w:p>
            <w:pPr>
              <w:jc w:val="center"/>
              <w:rPr>
                <w:rFonts w:ascii="Times New Roman" w:hAnsi="Times New Roman"/>
                <w:color w:val="000000"/>
                <w:szCs w:val="21"/>
              </w:rPr>
            </w:pPr>
            <w:r>
              <w:rPr>
                <w:rFonts w:ascii="Times New Roman" w:hAnsi="Times New Roman"/>
                <w:color w:val="000000"/>
                <w:szCs w:val="21"/>
              </w:rPr>
              <w:t>0.</w:t>
            </w:r>
            <w:r>
              <w:rPr>
                <w:rFonts w:hint="eastAsia" w:ascii="Times New Roman" w:hAnsi="Times New Roman"/>
                <w:color w:val="000000"/>
                <w:szCs w:val="21"/>
              </w:rPr>
              <w:t>1</w:t>
            </w:r>
            <w:r>
              <w:rPr>
                <w:rFonts w:ascii="Times New Roman" w:hAnsi="Times New Roman"/>
                <w:color w:val="000000"/>
                <w:szCs w:val="21"/>
              </w:rPr>
              <w:t>0～</w:t>
            </w:r>
            <w:r>
              <w:rPr>
                <w:rFonts w:hint="eastAsia" w:ascii="Times New Roman" w:hAnsi="Times New Roman"/>
                <w:color w:val="000000"/>
                <w:szCs w:val="21"/>
              </w:rPr>
              <w:t>0.50</w:t>
            </w:r>
          </w:p>
        </w:tc>
      </w:tr>
    </w:tbl>
    <w:p>
      <w:pPr>
        <w:pStyle w:val="13"/>
        <w:tabs>
          <w:tab w:val="center" w:pos="4201"/>
          <w:tab w:val="right" w:leader="dot" w:pos="9298"/>
        </w:tabs>
        <w:adjustRightInd w:val="0"/>
        <w:snapToGrid w:val="0"/>
        <w:spacing w:line="320" w:lineRule="exact"/>
        <w:ind w:left="0" w:leftChars="0" w:firstLine="0" w:firstLineChars="0"/>
        <w:rPr>
          <w:rFonts w:ascii="Times New Roman"/>
          <w:szCs w:val="22"/>
        </w:rPr>
      </w:pP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测定方法的确定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szCs w:val="21"/>
        </w:rPr>
        <w:t>根据现行稀土精矿产品标准指标规定及稀土冶炼生产工艺要求，结合新增稀土精矿确定稀土氧化物分析方法。本次为修订方法，保留原标准中电感耦合等离子体发射光谱法，新增X射线荧光光谱法。两种方法均能满足稀土精矿中不同梯度稀土氧化物含量的测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主要试验和验证情况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2.1 </w:t>
      </w:r>
      <w:r>
        <w:rPr>
          <w:rFonts w:hint="eastAsia" w:ascii="Times New Roman" w:hAnsi="Times New Roman" w:eastAsia="宋体" w:cs="Times New Roman"/>
          <w:b w:val="0"/>
          <w:bCs w:val="0"/>
          <w:sz w:val="21"/>
          <w:szCs w:val="21"/>
          <w:lang w:val="en-US" w:eastAsia="zh-CN"/>
        </w:rPr>
        <w:t>实验内容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ascii="Times New Roman"/>
          <w:color w:val="000000"/>
          <w:szCs w:val="21"/>
        </w:rPr>
      </w:pPr>
      <w:r>
        <w:rPr>
          <w:rFonts w:hint="eastAsia" w:ascii="Times New Roman" w:hAnsi="Times New Roman" w:eastAsia="宋体" w:cs="Times New Roman"/>
          <w:b w:val="0"/>
          <w:bCs w:val="0"/>
          <w:sz w:val="21"/>
          <w:szCs w:val="21"/>
          <w:lang w:val="en-US" w:eastAsia="zh-CN"/>
        </w:rPr>
        <w:t xml:space="preserve">2.1.1 方法1 </w:t>
      </w:r>
      <w:r>
        <w:rPr>
          <w:rFonts w:ascii="Times New Roman"/>
          <w:color w:val="000000"/>
          <w:szCs w:val="21"/>
        </w:rPr>
        <w:t>电感耦合等离子体发射光谱法</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.1 方法原理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color w:val="000000"/>
          <w:szCs w:val="21"/>
        </w:rPr>
      </w:pPr>
      <w:r>
        <w:rPr>
          <w:color w:val="000000"/>
          <w:kern w:val="0"/>
          <w:szCs w:val="20"/>
        </w:rPr>
        <w:t>试料经碱熔，过滤后，</w:t>
      </w:r>
      <w:r>
        <w:rPr>
          <w:kern w:val="0"/>
          <w:szCs w:val="20"/>
        </w:rPr>
        <w:t>盐酸酸化或盐酸</w:t>
      </w:r>
      <w:r>
        <w:rPr>
          <w:color w:val="000000"/>
          <w:kern w:val="0"/>
          <w:szCs w:val="20"/>
        </w:rPr>
        <w:t>、高氯酸溶解，盐酸提取。在稀酸介质中，</w:t>
      </w:r>
      <w:r>
        <w:rPr>
          <w:kern w:val="0"/>
          <w:szCs w:val="20"/>
        </w:rPr>
        <w:t>直接以氩等离子体光源激发，进行光谱测定，测定结果进行归一化处理。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条件试验</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1分析谱线的选择</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bookmarkStart w:id="0" w:name="_Toc166512137"/>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 共存被测元素间的干扰</w:t>
      </w:r>
      <w:bookmarkEnd w:id="0"/>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bookmarkStart w:id="1" w:name="_Toc166512138"/>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r>
        <w:rPr>
          <w:rFonts w:ascii="Times New Roman" w:hAnsi="Times New Roman" w:eastAsia="宋体" w:cs="Times New Roman"/>
          <w:szCs w:val="21"/>
        </w:rPr>
        <w:t xml:space="preserve">.1 </w:t>
      </w:r>
      <w:r>
        <w:rPr>
          <w:rFonts w:hint="eastAsia" w:ascii="Times New Roman" w:hAnsi="Times New Roman" w:eastAsia="宋体" w:cs="Times New Roman"/>
          <w:szCs w:val="21"/>
        </w:rPr>
        <w:t>共存非稀土元素干扰试验</w:t>
      </w:r>
      <w:bookmarkEnd w:id="1"/>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r>
        <w:rPr>
          <w:rFonts w:ascii="Times New Roman" w:hAnsi="Times New Roman" w:eastAsia="宋体" w:cs="Times New Roman"/>
          <w:szCs w:val="21"/>
        </w:rPr>
        <w:t xml:space="preserve">.2 </w:t>
      </w:r>
      <w:r>
        <w:rPr>
          <w:rFonts w:hint="eastAsia" w:ascii="Times New Roman" w:hAnsi="Times New Roman" w:eastAsia="宋体" w:cs="Times New Roman"/>
          <w:szCs w:val="21"/>
        </w:rPr>
        <w:t>共存稀土元素干扰试验</w:t>
      </w:r>
    </w:p>
    <w:p>
      <w:pPr>
        <w:widowControl/>
        <w:autoSpaceDE w:val="0"/>
        <w:autoSpaceDN w:val="0"/>
        <w:ind w:firstLine="420" w:firstLineChars="200"/>
        <w:jc w:val="center"/>
        <w:rPr>
          <w:rFonts w:eastAsia="黑体"/>
          <w:szCs w:val="22"/>
        </w:rPr>
      </w:pPr>
      <w:r>
        <w:rPr>
          <w:kern w:val="0"/>
          <w:szCs w:val="20"/>
        </w:rPr>
        <w:t>表</w:t>
      </w:r>
      <w:r>
        <w:rPr>
          <w:rFonts w:hint="eastAsia"/>
          <w:kern w:val="0"/>
          <w:szCs w:val="20"/>
          <w:lang w:val="en-US" w:eastAsia="zh-CN"/>
        </w:rPr>
        <w:t>7</w:t>
      </w:r>
      <w:r>
        <w:rPr>
          <w:kern w:val="0"/>
          <w:szCs w:val="20"/>
        </w:rPr>
        <w:t xml:space="preserve"> </w:t>
      </w:r>
      <w:r>
        <w:rPr>
          <w:rFonts w:eastAsia="黑体"/>
          <w:szCs w:val="22"/>
        </w:rPr>
        <w:t>推荐分析线</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76"/>
        <w:gridCol w:w="2478"/>
        <w:gridCol w:w="2479"/>
        <w:gridCol w:w="2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tcBorders>
              <w:bottom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元素</w:t>
            </w:r>
          </w:p>
        </w:tc>
        <w:tc>
          <w:tcPr>
            <w:tcW w:w="1250" w:type="pct"/>
            <w:tcBorders>
              <w:bottom w:val="single" w:color="auto" w:sz="12" w:space="0"/>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 xml:space="preserve">分析线 </w:t>
            </w:r>
          </w:p>
          <w:p>
            <w:pPr>
              <w:jc w:val="center"/>
              <w:rPr>
                <w:rFonts w:ascii="Times New Roman" w:hAnsi="Times New Roman"/>
                <w:color w:val="000000"/>
                <w:szCs w:val="21"/>
              </w:rPr>
            </w:pPr>
            <w:r>
              <w:rPr>
                <w:rFonts w:ascii="Times New Roman" w:hAnsi="Times New Roman"/>
                <w:color w:val="000000"/>
                <w:szCs w:val="21"/>
              </w:rPr>
              <w:t>nm</w:t>
            </w:r>
          </w:p>
        </w:tc>
        <w:tc>
          <w:tcPr>
            <w:tcW w:w="1250" w:type="pct"/>
            <w:tcBorders>
              <w:left w:val="double" w:color="auto" w:sz="4" w:space="0"/>
              <w:bottom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元素</w:t>
            </w:r>
          </w:p>
        </w:tc>
        <w:tc>
          <w:tcPr>
            <w:tcW w:w="1250" w:type="pct"/>
            <w:tcBorders>
              <w:bottom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分析线</w:t>
            </w:r>
          </w:p>
          <w:p>
            <w:pPr>
              <w:jc w:val="center"/>
              <w:rPr>
                <w:rFonts w:ascii="Times New Roman" w:hAnsi="Times New Roman"/>
                <w:color w:val="000000"/>
                <w:szCs w:val="21"/>
              </w:rPr>
            </w:pPr>
            <w:r>
              <w:rPr>
                <w:rFonts w:ascii="Times New Roman" w:hAnsi="Times New Roman"/>
                <w:color w:val="000000"/>
                <w:szCs w:val="21"/>
              </w:rPr>
              <w:t>nm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249" w:type="pct"/>
            <w:tcBorders>
              <w:top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La</w:t>
            </w:r>
          </w:p>
        </w:tc>
        <w:tc>
          <w:tcPr>
            <w:tcW w:w="1250" w:type="pct"/>
            <w:tcBorders>
              <w:top w:val="single" w:color="auto" w:sz="12" w:space="0"/>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398.852</w:t>
            </w:r>
          </w:p>
        </w:tc>
        <w:tc>
          <w:tcPr>
            <w:tcW w:w="1250" w:type="pct"/>
            <w:tcBorders>
              <w:top w:val="single" w:color="auto" w:sz="12" w:space="0"/>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Dy</w:t>
            </w:r>
          </w:p>
        </w:tc>
        <w:tc>
          <w:tcPr>
            <w:tcW w:w="1250" w:type="pct"/>
            <w:tcBorders>
              <w:top w:val="single" w:color="auto" w:sz="12" w:space="0"/>
            </w:tcBorders>
            <w:vAlign w:val="center"/>
          </w:tcPr>
          <w:p>
            <w:pPr>
              <w:jc w:val="center"/>
              <w:rPr>
                <w:rFonts w:ascii="Times New Roman" w:hAnsi="Times New Roman"/>
                <w:color w:val="000000"/>
                <w:szCs w:val="21"/>
              </w:rPr>
            </w:pPr>
            <w:r>
              <w:rPr>
                <w:rFonts w:ascii="Times New Roman" w:hAnsi="Times New Roman"/>
                <w:color w:val="000000"/>
                <w:szCs w:val="21"/>
              </w:rPr>
              <w:t>353.170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vAlign w:val="center"/>
          </w:tcPr>
          <w:p>
            <w:pPr>
              <w:jc w:val="center"/>
              <w:rPr>
                <w:rFonts w:ascii="Times New Roman" w:hAnsi="Times New Roman"/>
                <w:color w:val="000000"/>
                <w:szCs w:val="21"/>
              </w:rPr>
            </w:pPr>
            <w:r>
              <w:rPr>
                <w:rFonts w:ascii="Times New Roman" w:hAnsi="Times New Roman"/>
                <w:color w:val="000000"/>
                <w:szCs w:val="21"/>
              </w:rPr>
              <w:t>Ce</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446.021</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Ho</w:t>
            </w:r>
          </w:p>
        </w:tc>
        <w:tc>
          <w:tcPr>
            <w:tcW w:w="1250" w:type="pct"/>
            <w:vAlign w:val="center"/>
          </w:tcPr>
          <w:p>
            <w:pPr>
              <w:jc w:val="center"/>
              <w:rPr>
                <w:rFonts w:ascii="Times New Roman" w:hAnsi="Times New Roman"/>
                <w:color w:val="000000"/>
                <w:szCs w:val="21"/>
              </w:rPr>
            </w:pPr>
            <w:r>
              <w:rPr>
                <w:rFonts w:hint="eastAsia" w:ascii="Times New Roman" w:hAnsi="Times New Roman"/>
                <w:color w:val="000000"/>
                <w:szCs w:val="21"/>
              </w:rPr>
              <w:t>345.600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vAlign w:val="center"/>
          </w:tcPr>
          <w:p>
            <w:pPr>
              <w:jc w:val="center"/>
              <w:rPr>
                <w:rFonts w:ascii="Times New Roman" w:hAnsi="Times New Roman"/>
                <w:color w:val="000000"/>
                <w:szCs w:val="21"/>
              </w:rPr>
            </w:pPr>
            <w:r>
              <w:rPr>
                <w:rFonts w:ascii="Times New Roman" w:hAnsi="Times New Roman"/>
                <w:color w:val="000000"/>
                <w:szCs w:val="21"/>
              </w:rPr>
              <w:t>Pr</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410.070</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Er</w:t>
            </w:r>
          </w:p>
        </w:tc>
        <w:tc>
          <w:tcPr>
            <w:tcW w:w="1250" w:type="pct"/>
            <w:vAlign w:val="center"/>
          </w:tcPr>
          <w:p>
            <w:pPr>
              <w:jc w:val="center"/>
              <w:rPr>
                <w:rFonts w:ascii="Times New Roman" w:hAnsi="Times New Roman"/>
                <w:color w:val="000000"/>
                <w:szCs w:val="21"/>
              </w:rPr>
            </w:pPr>
            <w:r>
              <w:rPr>
                <w:rFonts w:hint="eastAsia" w:ascii="Times New Roman" w:hAnsi="Times New Roman"/>
                <w:color w:val="000000"/>
                <w:szCs w:val="21"/>
              </w:rPr>
              <w:t>326.478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trPr>
        <w:tc>
          <w:tcPr>
            <w:tcW w:w="1249" w:type="pct"/>
            <w:vAlign w:val="center"/>
          </w:tcPr>
          <w:p>
            <w:pPr>
              <w:jc w:val="center"/>
              <w:rPr>
                <w:rFonts w:ascii="Times New Roman" w:hAnsi="Times New Roman"/>
                <w:color w:val="000000"/>
                <w:szCs w:val="21"/>
              </w:rPr>
            </w:pPr>
            <w:r>
              <w:rPr>
                <w:rFonts w:ascii="Times New Roman" w:hAnsi="Times New Roman"/>
                <w:color w:val="000000"/>
                <w:szCs w:val="21"/>
              </w:rPr>
              <w:t>Nd</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430.358</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Tm</w:t>
            </w:r>
          </w:p>
        </w:tc>
        <w:tc>
          <w:tcPr>
            <w:tcW w:w="1250" w:type="pct"/>
            <w:vAlign w:val="center"/>
          </w:tcPr>
          <w:p>
            <w:pPr>
              <w:jc w:val="center"/>
              <w:rPr>
                <w:rFonts w:ascii="Times New Roman" w:hAnsi="Times New Roman"/>
                <w:color w:val="000000"/>
                <w:szCs w:val="21"/>
              </w:rPr>
            </w:pPr>
            <w:r>
              <w:rPr>
                <w:rFonts w:ascii="Times New Roman" w:hAnsi="Times New Roman"/>
                <w:color w:val="000000"/>
                <w:szCs w:val="21"/>
              </w:rPr>
              <w:t>313.126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vAlign w:val="center"/>
          </w:tcPr>
          <w:p>
            <w:pPr>
              <w:jc w:val="center"/>
              <w:rPr>
                <w:rFonts w:ascii="Times New Roman" w:hAnsi="Times New Roman"/>
                <w:color w:val="000000"/>
                <w:szCs w:val="21"/>
              </w:rPr>
            </w:pPr>
            <w:r>
              <w:rPr>
                <w:rFonts w:ascii="Times New Roman" w:hAnsi="Times New Roman"/>
                <w:color w:val="000000"/>
                <w:szCs w:val="21"/>
              </w:rPr>
              <w:t>Sm</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360.949、</w:t>
            </w:r>
            <w:r>
              <w:rPr>
                <w:rFonts w:hint="eastAsia" w:ascii="Times New Roman" w:hAnsi="Times New Roman"/>
                <w:color w:val="000000"/>
                <w:szCs w:val="21"/>
              </w:rPr>
              <w:t>428.078</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Yb</w:t>
            </w:r>
          </w:p>
        </w:tc>
        <w:tc>
          <w:tcPr>
            <w:tcW w:w="1250" w:type="pct"/>
            <w:vAlign w:val="center"/>
          </w:tcPr>
          <w:p>
            <w:pPr>
              <w:jc w:val="center"/>
              <w:rPr>
                <w:rFonts w:ascii="Times New Roman" w:hAnsi="Times New Roman"/>
                <w:color w:val="000000"/>
                <w:szCs w:val="21"/>
              </w:rPr>
            </w:pPr>
            <w:r>
              <w:rPr>
                <w:rFonts w:ascii="Times New Roman" w:hAnsi="Times New Roman"/>
                <w:color w:val="000000"/>
                <w:szCs w:val="21"/>
              </w:rPr>
              <w:t>328.937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vAlign w:val="center"/>
          </w:tcPr>
          <w:p>
            <w:pPr>
              <w:jc w:val="center"/>
              <w:rPr>
                <w:rFonts w:ascii="Times New Roman" w:hAnsi="Times New Roman"/>
                <w:color w:val="000000"/>
                <w:szCs w:val="21"/>
              </w:rPr>
            </w:pPr>
            <w:r>
              <w:rPr>
                <w:rFonts w:ascii="Times New Roman" w:hAnsi="Times New Roman"/>
                <w:color w:val="000000"/>
                <w:szCs w:val="21"/>
              </w:rPr>
              <w:t>Eu</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272.778</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Lu</w:t>
            </w:r>
          </w:p>
        </w:tc>
        <w:tc>
          <w:tcPr>
            <w:tcW w:w="1250" w:type="pct"/>
            <w:vAlign w:val="center"/>
          </w:tcPr>
          <w:p>
            <w:pPr>
              <w:jc w:val="center"/>
              <w:rPr>
                <w:rFonts w:ascii="Times New Roman" w:hAnsi="Times New Roman"/>
                <w:color w:val="000000"/>
                <w:szCs w:val="21"/>
              </w:rPr>
            </w:pPr>
            <w:r>
              <w:rPr>
                <w:rFonts w:ascii="Times New Roman" w:hAnsi="Times New Roman"/>
                <w:color w:val="000000"/>
                <w:szCs w:val="21"/>
              </w:rPr>
              <w:t>261.542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1249" w:type="pct"/>
            <w:vAlign w:val="center"/>
          </w:tcPr>
          <w:p>
            <w:pPr>
              <w:jc w:val="center"/>
              <w:rPr>
                <w:rFonts w:ascii="Times New Roman" w:hAnsi="Times New Roman"/>
                <w:color w:val="000000"/>
                <w:szCs w:val="21"/>
              </w:rPr>
            </w:pPr>
            <w:r>
              <w:rPr>
                <w:rFonts w:ascii="Times New Roman" w:hAnsi="Times New Roman"/>
                <w:color w:val="000000"/>
                <w:szCs w:val="21"/>
              </w:rPr>
              <w:t>Gd</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310.050</w:t>
            </w:r>
          </w:p>
        </w:tc>
        <w:tc>
          <w:tcPr>
            <w:tcW w:w="1250" w:type="pct"/>
            <w:tcBorders>
              <w:lef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Y</w:t>
            </w:r>
          </w:p>
        </w:tc>
        <w:tc>
          <w:tcPr>
            <w:tcW w:w="1250" w:type="pct"/>
            <w:vAlign w:val="center"/>
          </w:tcPr>
          <w:p>
            <w:pPr>
              <w:jc w:val="center"/>
              <w:rPr>
                <w:rFonts w:ascii="Times New Roman" w:hAnsi="Times New Roman"/>
                <w:color w:val="000000"/>
                <w:szCs w:val="21"/>
              </w:rPr>
            </w:pPr>
            <w:r>
              <w:rPr>
                <w:rFonts w:ascii="Times New Roman" w:hAnsi="Times New Roman"/>
                <w:color w:val="000000"/>
                <w:szCs w:val="21"/>
              </w:rPr>
              <w:t>371.030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9" w:type="pct"/>
            <w:vAlign w:val="center"/>
          </w:tcPr>
          <w:p>
            <w:pPr>
              <w:jc w:val="center"/>
              <w:rPr>
                <w:rFonts w:ascii="Times New Roman" w:hAnsi="Times New Roman"/>
                <w:color w:val="000000"/>
                <w:szCs w:val="21"/>
              </w:rPr>
            </w:pPr>
            <w:r>
              <w:rPr>
                <w:rFonts w:ascii="Times New Roman" w:hAnsi="Times New Roman"/>
                <w:color w:val="000000"/>
                <w:szCs w:val="21"/>
              </w:rPr>
              <w:t>Tb</w:t>
            </w:r>
          </w:p>
        </w:tc>
        <w:tc>
          <w:tcPr>
            <w:tcW w:w="1250" w:type="pct"/>
            <w:tcBorders>
              <w:right w:val="doub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332.440</w:t>
            </w:r>
          </w:p>
        </w:tc>
        <w:tc>
          <w:tcPr>
            <w:tcW w:w="1250" w:type="pct"/>
            <w:tcBorders>
              <w:left w:val="double" w:color="auto" w:sz="4" w:space="0"/>
            </w:tcBorders>
            <w:vAlign w:val="center"/>
          </w:tcPr>
          <w:p>
            <w:pPr>
              <w:jc w:val="center"/>
              <w:rPr>
                <w:rFonts w:ascii="Times New Roman" w:hAnsi="Times New Roman"/>
                <w:color w:val="000000"/>
                <w:szCs w:val="21"/>
              </w:rPr>
            </w:pPr>
          </w:p>
        </w:tc>
        <w:tc>
          <w:tcPr>
            <w:tcW w:w="1250" w:type="pct"/>
            <w:vAlign w:val="center"/>
          </w:tcPr>
          <w:p>
            <w:pPr>
              <w:jc w:val="center"/>
              <w:rPr>
                <w:rFonts w:ascii="Times New Roman" w:hAnsi="Times New Roman"/>
                <w:color w:val="000000"/>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szCs w:val="21"/>
        </w:rPr>
      </w:pPr>
      <w:bookmarkStart w:id="2" w:name="_Toc166512140"/>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 待测溶液进样浓度的选择</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为确保实验方法具有较低的测定下限，同时满足《稀土矿》产品标准稀土杂质指标的要求，本实验选择0.2 mg/mL的基体浓度进行检测。</w:t>
      </w:r>
    </w:p>
    <w:p>
      <w:pPr>
        <w:spacing w:line="400" w:lineRule="atLeast"/>
        <w:jc w:val="left"/>
        <w:rPr>
          <w:rFonts w:ascii="宋体" w:hAnsi="宋体" w:cs="宋体"/>
          <w:b/>
          <w:bCs/>
          <w:szCs w:val="21"/>
        </w:rPr>
      </w:pPr>
      <w:bookmarkStart w:id="3" w:name="_Toc166512141"/>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2.4方法检出限</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确定测定下限：Pr、Nd为≤1.0 %； 其他杂质为≤0.05 %。</w:t>
      </w:r>
    </w:p>
    <w:p>
      <w:pPr>
        <w:spacing w:line="400" w:lineRule="atLeast"/>
        <w:jc w:val="left"/>
        <w:rPr>
          <w:rFonts w:ascii="宋体" w:hAnsi="宋体" w:cs="宋体"/>
          <w:b/>
          <w:bCs/>
          <w:szCs w:val="21"/>
        </w:rPr>
      </w:pPr>
      <w:bookmarkStart w:id="4" w:name="_Toc166512142"/>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2.5溶样方法的选择</w:t>
      </w:r>
      <w:bookmarkEnd w:id="4"/>
    </w:p>
    <w:p>
      <w:pPr>
        <w:spacing w:line="400" w:lineRule="atLeast"/>
        <w:jc w:val="left"/>
        <w:rPr>
          <w:rFonts w:ascii="宋体" w:hAnsi="宋体" w:cs="宋体"/>
          <w:bCs/>
          <w:szCs w:val="21"/>
        </w:rPr>
      </w:pPr>
      <w:bookmarkStart w:id="5" w:name="_Toc166512143"/>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1.2.5.1酸溶试验</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通过试验：盐酸+高氯酸（5+5）条件，样品没有完全溶解，有黑色不溶物，结果偏低。盐酸+高氯酸（5+10）和盐酸+高氯酸（5+15）样品能够溶解完，但考核成本节约。综合考虑采用盐酸+高氯酸（5+10）。</w:t>
      </w:r>
    </w:p>
    <w:p>
      <w:pPr>
        <w:spacing w:line="400" w:lineRule="atLeast"/>
        <w:jc w:val="left"/>
        <w:rPr>
          <w:rFonts w:ascii="宋体" w:hAnsi="宋体" w:cs="宋体"/>
          <w:bCs/>
          <w:szCs w:val="21"/>
        </w:rPr>
      </w:pPr>
      <w:bookmarkStart w:id="6" w:name="_Toc166512144"/>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5.2碱溶试验</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通过试验：碱溶与酸溶试验基本一致，因此碱溶过程与原标准一致。</w:t>
      </w:r>
    </w:p>
    <w:p>
      <w:pPr>
        <w:spacing w:line="400" w:lineRule="atLeast"/>
        <w:jc w:val="left"/>
        <w:rPr>
          <w:rFonts w:hint="eastAsia" w:ascii="Times New Roman" w:hAnsi="Times New Roman" w:eastAsia="宋体" w:cs="Times New Roman"/>
          <w:szCs w:val="21"/>
          <w:lang w:val="en-US" w:eastAsia="zh-CN"/>
        </w:rPr>
      </w:pPr>
      <w:bookmarkStart w:id="7" w:name="_Toc166512145"/>
      <w:r>
        <w:rPr>
          <w:rFonts w:hint="eastAsia" w:ascii="Times New Roman" w:hAnsi="Times New Roman" w:eastAsia="宋体" w:cs="Times New Roman"/>
          <w:szCs w:val="21"/>
          <w:lang w:val="en-US" w:eastAsia="zh-CN"/>
        </w:rPr>
        <w:t>2.1.1.2.6称样量试验</w:t>
      </w:r>
      <w:bookmarkEnd w:id="7"/>
    </w:p>
    <w:p>
      <w:pPr>
        <w:spacing w:line="400" w:lineRule="atLeast"/>
        <w:jc w:val="left"/>
        <w:rPr>
          <w:rFonts w:hint="eastAsia" w:ascii="Times New Roman" w:hAnsi="Times New Roman" w:eastAsia="宋体" w:cs="Times New Roman"/>
          <w:szCs w:val="21"/>
          <w:lang w:val="en-US" w:eastAsia="zh-CN"/>
        </w:rPr>
      </w:pPr>
      <w:bookmarkStart w:id="8" w:name="_Toc166512146"/>
      <w:r>
        <w:rPr>
          <w:rFonts w:hint="eastAsia" w:ascii="Times New Roman" w:hAnsi="Times New Roman" w:eastAsia="宋体" w:cs="Times New Roman"/>
          <w:szCs w:val="21"/>
          <w:lang w:val="en-US" w:eastAsia="zh-CN"/>
        </w:rPr>
        <w:t>2.1.1.2.6.1碱溶称样量试验</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本试验与原标准一致，碱溶选择称样量为0.5 g。</w:t>
      </w:r>
    </w:p>
    <w:p>
      <w:pPr>
        <w:spacing w:line="40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2.1.1.2.6.2酸溶称样量试验</w:t>
      </w:r>
    </w:p>
    <w:p>
      <w:pPr>
        <w:ind w:firstLine="420" w:firstLineChars="200"/>
        <w:rPr>
          <w:szCs w:val="21"/>
        </w:rPr>
      </w:pPr>
      <w:r>
        <w:rPr>
          <w:rFonts w:hint="eastAsia" w:ascii="Times New Roman" w:hAnsi="Times New Roman" w:eastAsia="宋体" w:cs="Times New Roman"/>
          <w:b w:val="0"/>
          <w:bCs w:val="0"/>
          <w:sz w:val="21"/>
          <w:szCs w:val="21"/>
          <w:lang w:val="en-US" w:eastAsia="zh-CN"/>
        </w:rPr>
        <w:t>称取不同质量的样品，按酸溶进行样品溶解，通过试验：本试验酸溶选择称样量为0.2 g。</w:t>
      </w:r>
    </w:p>
    <w:p>
      <w:pPr>
        <w:spacing w:line="400" w:lineRule="atLeast"/>
        <w:jc w:val="left"/>
        <w:rPr>
          <w:rFonts w:hint="eastAsia" w:ascii="Times New Roman" w:hAnsi="Times New Roman" w:eastAsia="宋体" w:cs="Times New Roman"/>
          <w:szCs w:val="21"/>
          <w:lang w:val="en-US" w:eastAsia="zh-CN"/>
        </w:rPr>
      </w:pPr>
      <w:bookmarkStart w:id="9" w:name="_Toc166512148"/>
      <w:r>
        <w:rPr>
          <w:rFonts w:hint="eastAsia" w:ascii="Times New Roman" w:hAnsi="Times New Roman" w:eastAsia="宋体" w:cs="Times New Roman"/>
          <w:szCs w:val="21"/>
          <w:lang w:val="en-US" w:eastAsia="zh-CN"/>
        </w:rPr>
        <w:t>2.1.1.2.7加标回收试验</w:t>
      </w:r>
      <w:bookmarkEnd w:id="9"/>
    </w:p>
    <w:p>
      <w:pPr>
        <w:spacing w:line="400" w:lineRule="atLeast"/>
        <w:jc w:val="left"/>
        <w:rPr>
          <w:rFonts w:hint="eastAsia" w:ascii="Times New Roman" w:hAnsi="Times New Roman" w:eastAsia="宋体" w:cs="Times New Roman"/>
          <w:szCs w:val="21"/>
          <w:lang w:val="en-US" w:eastAsia="zh-CN"/>
        </w:rPr>
      </w:pPr>
      <w:bookmarkStart w:id="10" w:name="_Toc166512149"/>
      <w:r>
        <w:rPr>
          <w:rFonts w:hint="eastAsia" w:ascii="Times New Roman" w:hAnsi="Times New Roman" w:eastAsia="宋体" w:cs="Times New Roman"/>
          <w:szCs w:val="21"/>
          <w:lang w:val="en-US" w:eastAsia="zh-CN"/>
        </w:rPr>
        <w:t>2.1.1.2.7.1碱溶加标回收试验</w:t>
      </w:r>
      <w:bookmarkEnd w:id="10"/>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通过加标试验，碱溶加标回收率均达到要求。</w:t>
      </w:r>
    </w:p>
    <w:p>
      <w:pPr>
        <w:spacing w:line="40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2.1.1.2.7.2酸溶加标回收试验</w:t>
      </w:r>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通过加标试验，酸溶加标回收率均达到要求。</w:t>
      </w:r>
    </w:p>
    <w:p>
      <w:pPr>
        <w:spacing w:line="400" w:lineRule="atLeast"/>
        <w:jc w:val="left"/>
        <w:rPr>
          <w:rFonts w:hint="eastAsia" w:ascii="Times New Roman" w:hAnsi="Times New Roman" w:eastAsia="宋体" w:cs="Times New Roman"/>
          <w:szCs w:val="21"/>
          <w:lang w:val="en-US" w:eastAsia="zh-CN"/>
        </w:rPr>
      </w:pPr>
      <w:bookmarkStart w:id="11" w:name="_Toc166512151"/>
      <w:r>
        <w:rPr>
          <w:rFonts w:hint="eastAsia" w:ascii="Times New Roman" w:hAnsi="Times New Roman" w:eastAsia="宋体" w:cs="Times New Roman"/>
          <w:szCs w:val="21"/>
          <w:lang w:val="en-US" w:eastAsia="zh-CN"/>
        </w:rPr>
        <w:t>2.1.1.2.8精密度试验</w:t>
      </w:r>
      <w:bookmarkEnd w:id="11"/>
    </w:p>
    <w:p>
      <w:pPr>
        <w:spacing w:line="400" w:lineRule="atLeast"/>
        <w:jc w:val="left"/>
        <w:rPr>
          <w:rFonts w:hint="eastAsia" w:ascii="Times New Roman" w:hAnsi="Times New Roman" w:eastAsia="宋体" w:cs="Times New Roman"/>
          <w:szCs w:val="21"/>
          <w:lang w:val="en-US" w:eastAsia="zh-CN"/>
        </w:rPr>
      </w:pPr>
      <w:bookmarkStart w:id="12" w:name="_Toc166512152"/>
      <w:r>
        <w:rPr>
          <w:rFonts w:hint="eastAsia" w:ascii="Times New Roman" w:hAnsi="Times New Roman" w:eastAsia="宋体" w:cs="Times New Roman"/>
          <w:szCs w:val="21"/>
          <w:lang w:val="en-US" w:eastAsia="zh-CN"/>
        </w:rPr>
        <w:t>2.1.1.2.81碱溶精密度试验</w:t>
      </w:r>
      <w:bookmarkEnd w:id="12"/>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通过精密度试验，碱溶精密度均达到要求。</w:t>
      </w:r>
    </w:p>
    <w:p>
      <w:pPr>
        <w:spacing w:line="400" w:lineRule="atLeast"/>
        <w:jc w:val="left"/>
        <w:rPr>
          <w:rFonts w:hint="eastAsia" w:ascii="Times New Roman" w:hAnsi="Times New Roman" w:eastAsia="宋体" w:cs="Times New Roman"/>
          <w:szCs w:val="21"/>
          <w:lang w:val="en-US" w:eastAsia="zh-CN"/>
        </w:rPr>
      </w:pPr>
      <w:bookmarkStart w:id="13" w:name="_Toc166512153"/>
      <w:r>
        <w:rPr>
          <w:rFonts w:hint="eastAsia" w:ascii="Times New Roman" w:hAnsi="Times New Roman" w:eastAsia="宋体" w:cs="Times New Roman"/>
          <w:szCs w:val="21"/>
          <w:lang w:val="en-US" w:eastAsia="zh-CN"/>
        </w:rPr>
        <w:t>2.1.1.2.8.2酸溶精密度试验</w:t>
      </w:r>
      <w:bookmarkEnd w:id="13"/>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通过精密度试验，酸溶精密度均达到要求。</w:t>
      </w:r>
    </w:p>
    <w:p>
      <w:pPr>
        <w:spacing w:line="400" w:lineRule="atLeast"/>
        <w:jc w:val="left"/>
        <w:rPr>
          <w:rFonts w:hint="eastAsia" w:ascii="Times New Roman" w:hAnsi="Times New Roman" w:eastAsia="宋体" w:cs="Times New Roman"/>
          <w:szCs w:val="21"/>
          <w:lang w:val="en-US" w:eastAsia="zh-CN"/>
        </w:rPr>
      </w:pPr>
      <w:bookmarkStart w:id="14" w:name="_Toc166512154"/>
      <w:r>
        <w:rPr>
          <w:rFonts w:hint="eastAsia" w:ascii="Times New Roman" w:hAnsi="Times New Roman" w:eastAsia="宋体" w:cs="Times New Roman"/>
          <w:szCs w:val="21"/>
          <w:lang w:val="en-US" w:eastAsia="zh-CN"/>
        </w:rPr>
        <w:t>2.1.1.3 结论</w:t>
      </w:r>
      <w:bookmarkEnd w:id="14"/>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通过试验，采用电感耦合等离子体原子发射光谱法可准确测定稀土矿中十五个稀土元素氧化物配分量，其精密度、准确度结果令人满意。</w:t>
      </w:r>
    </w:p>
    <w:p>
      <w:pPr>
        <w:spacing w:line="40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2.1.1.4补充试验</w:t>
      </w:r>
    </w:p>
    <w:p>
      <w:pPr>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根据预审提出的问题，进行相应补充试验。</w:t>
      </w:r>
    </w:p>
    <w:p>
      <w:pPr>
        <w:spacing w:line="40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2.1.1.4.1碱熔与酸溶对比试验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采用碱熔和酸溶方法对5个样品进行样品分解试验，对比结果表明，目前选用的50矿、包头矿、四川矿、独居石、美国矿，采取两种分解方法，得出的稀土总量结果相差不大。两种方法均可满足分解样品的要求。</w:t>
      </w:r>
    </w:p>
    <w:p>
      <w:pPr>
        <w:spacing w:line="40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2.1.1.4.2美国矿精密度结果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增加美国矿样品，采用本方法进行精密度试验，试验结果表明，两种碱熔和酸溶方法测定的结果，精密度均达到要求。分析数据按照2.2的要求处理。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ascii="Times New Roman" w:hAnsi="Times New Roman" w:eastAsia="宋体"/>
          <w:szCs w:val="21"/>
        </w:rPr>
      </w:pPr>
      <w:r>
        <w:rPr>
          <w:rFonts w:hint="eastAsia" w:ascii="Times New Roman" w:hAnsi="Times New Roman" w:eastAsia="宋体" w:cs="Times New Roman"/>
          <w:b w:val="0"/>
          <w:bCs w:val="0"/>
          <w:sz w:val="21"/>
          <w:szCs w:val="21"/>
          <w:lang w:val="en-US" w:eastAsia="zh-CN"/>
        </w:rPr>
        <w:t>2.1.2 方法2</w:t>
      </w:r>
      <w:r>
        <w:rPr>
          <w:rFonts w:hint="eastAsia" w:ascii="Times New Roman" w:hAnsi="Times New Roman" w:eastAsia="宋体" w:cs="Times New Roman"/>
          <w:szCs w:val="21"/>
        </w:rPr>
        <w:t xml:space="preserve"> </w:t>
      </w:r>
      <w:r>
        <w:rPr>
          <w:rFonts w:hint="eastAsia" w:ascii="Times New Roman" w:hAnsi="Times New Roman" w:eastAsia="宋体" w:cs="Times New Roman"/>
          <w:b w:val="0"/>
          <w:bCs w:val="0"/>
          <w:sz w:val="21"/>
          <w:szCs w:val="21"/>
          <w:lang w:val="en-US" w:eastAsia="zh-CN"/>
        </w:rPr>
        <w:t>稀土氧化物量的测定 X射线荧光光谱法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2.1.2.1 方法原理</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cs="宋体"/>
          <w:szCs w:val="21"/>
        </w:rPr>
      </w:pPr>
      <w:r>
        <w:rPr>
          <w:rFonts w:hint="eastAsia" w:ascii="Times New Roman" w:hAnsi="Times New Roman" w:eastAsia="宋体" w:cs="Times New Roman"/>
          <w:b w:val="0"/>
          <w:bCs w:val="0"/>
          <w:sz w:val="21"/>
          <w:szCs w:val="21"/>
          <w:lang w:val="en-US" w:eastAsia="zh-CN"/>
        </w:rPr>
        <w:t>试料经熔融法制成玻璃样片，通过X射线管产生初级X射线照射到样片表面上，产生特征X射线经晶体分光后，检测器在选择的特征波长相对应得2θ角处测定X射线荧光强度，根据工作曲线和测量的X射线荧光强度，计算出样品中各稀土氧化物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 实验条件优化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2.1.2.2.1 仪器工作曲线的确定</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用X荧光光谱法对30矿、40矿、50矿及统一样包头矿、四川矿、独居石用粉末压片法进行半定量测定，确定非稀土基体各元素大致含量。将半定量非稀土基体结果按氧化物（氟、磷、硫、氯除外)，归一到100%。这三种矿物基体差别大，包头矿钙、铁、磷、氟、碳含量高，四川矿氟、铁、钡、硅、碳、铝含量高，独居石磷、钍、硅、锆、钛、铁、铝含量高。根据含量和化合物的易购性配制包头矿基体（5.18）、 四川矿基体（5.19）、独居石基体（5.20）。配制原则：1.尽量用所含元素，采购难度大则用邻近元素（对X射线的基体吸收接近）代替。如钍、铀为放射性重元素，要用非放射性的重元素铅代替。2.两种元素均存在，则用两者的化合物添加。如包头矿的钙、氟都高，则先加氟化钙、其余钙加入氧化钙。3.对稀土有谱线干扰的元素不可用其它元素代替。如氧化钡难得，则以氯化钡代替。4..融片时易挥发的元素氟和碳，分别用氟化钠和碳酸锂代替。</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这三种基体分别与混合稀土氧化物各0.3 g制备三个样片（包头矿基体0.6 g、四川矿基体0.6 g、独居石基体0.6g），这三种基体分别与混合稀土氧化物各0.15 g制备三个样片（包头矿基体0.3 g、四川矿基体0.3 g、独居石基体0.3 g），测量后得到表8。</w:t>
      </w:r>
    </w:p>
    <w:tbl>
      <w:tblPr>
        <w:tblStyle w:val="5"/>
        <w:tblpPr w:leftFromText="180" w:rightFromText="180" w:vertAnchor="text" w:horzAnchor="page" w:tblpXSpec="center" w:tblpY="113"/>
        <w:tblOverlap w:val="never"/>
        <w:tblW w:w="9740" w:type="dxa"/>
        <w:jc w:val="center"/>
        <w:tblLayout w:type="fixed"/>
        <w:tblCellMar>
          <w:top w:w="0" w:type="dxa"/>
          <w:left w:w="108" w:type="dxa"/>
          <w:bottom w:w="0" w:type="dxa"/>
          <w:right w:w="108" w:type="dxa"/>
        </w:tblCellMar>
      </w:tblPr>
      <w:tblGrid>
        <w:gridCol w:w="800"/>
        <w:gridCol w:w="717"/>
        <w:gridCol w:w="1370"/>
        <w:gridCol w:w="1370"/>
        <w:gridCol w:w="1370"/>
        <w:gridCol w:w="1370"/>
        <w:gridCol w:w="1370"/>
        <w:gridCol w:w="1373"/>
      </w:tblGrid>
      <w:tr>
        <w:tblPrEx>
          <w:tblCellMar>
            <w:top w:w="0" w:type="dxa"/>
            <w:left w:w="108" w:type="dxa"/>
            <w:bottom w:w="0" w:type="dxa"/>
            <w:right w:w="108" w:type="dxa"/>
          </w:tblCellMar>
        </w:tblPrEx>
        <w:trPr>
          <w:trHeight w:val="330" w:hRule="atLeast"/>
          <w:jc w:val="center"/>
        </w:trPr>
        <w:tc>
          <w:tcPr>
            <w:tcW w:w="9740" w:type="dxa"/>
            <w:gridSpan w:val="8"/>
            <w:tcBorders>
              <w:bottom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lang w:val="en-US" w:eastAsia="zh-CN"/>
              </w:rPr>
              <w:t>8</w:t>
            </w:r>
            <w:r>
              <w:rPr>
                <w:rFonts w:ascii="Times New Roman" w:hAnsi="Times New Roman" w:eastAsia="宋体" w:cs="Times New Roman"/>
                <w:color w:val="000000"/>
                <w:kern w:val="0"/>
                <w:sz w:val="18"/>
                <w:szCs w:val="18"/>
              </w:rPr>
              <w:t xml:space="preserve"> 不同基体及稀释比下稀土元素净强度（kcps）</w:t>
            </w:r>
          </w:p>
        </w:tc>
      </w:tr>
      <w:tr>
        <w:tblPrEx>
          <w:tblCellMar>
            <w:top w:w="0" w:type="dxa"/>
            <w:left w:w="108" w:type="dxa"/>
            <w:bottom w:w="0" w:type="dxa"/>
            <w:right w:w="108" w:type="dxa"/>
          </w:tblCellMar>
        </w:tblPrEx>
        <w:trPr>
          <w:trHeight w:val="669"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元素</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谱线</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包头矿基体0.6g</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包头矿基体0.3g</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四川矿基体0.6g</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四川矿基体0.3g</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独居石基体0.6g</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独居石基体0.3g</w:t>
            </w:r>
          </w:p>
        </w:tc>
      </w:tr>
      <w:tr>
        <w:tblPrEx>
          <w:tblCellMar>
            <w:top w:w="0" w:type="dxa"/>
            <w:left w:w="108" w:type="dxa"/>
            <w:bottom w:w="0" w:type="dxa"/>
            <w:right w:w="108" w:type="dxa"/>
          </w:tblCellMar>
        </w:tblPrEx>
        <w:trPr>
          <w:trHeight w:val="347"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La</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LA</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71.624</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45.881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73.906</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46.907</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65.554</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43.455</w:t>
            </w:r>
          </w:p>
        </w:tc>
      </w:tr>
      <w:tr>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Ce</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120.781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78.958</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118.800</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77.481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109.941</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75.073</w:t>
            </w:r>
          </w:p>
        </w:tc>
      </w:tr>
      <w:tr>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Pr</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8.877</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6.164</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9.181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6.427</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8.102</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5.826</w:t>
            </w:r>
          </w:p>
        </w:tc>
      </w:tr>
      <w:tr>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Nd</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38.036</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26.449</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37.600</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26.360</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34.992</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25.008</w:t>
            </w:r>
          </w:p>
        </w:tc>
      </w:tr>
      <w:tr>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Sm</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2.083</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1.718</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2.075</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1.629</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1.855</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1.395</w:t>
            </w:r>
          </w:p>
        </w:tc>
      </w:tr>
      <w:tr>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Eu</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LB2</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1.987</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1.566</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1.971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1.527</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1.815</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1.457</w:t>
            </w:r>
          </w:p>
        </w:tc>
      </w:tr>
      <w:tr>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Gd</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0.862</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0.641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0.872</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0.674</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0.850</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0.628</w:t>
            </w:r>
          </w:p>
        </w:tc>
      </w:tr>
      <w:tr>
        <w:tblPrEx>
          <w:tblCellMar>
            <w:top w:w="0" w:type="dxa"/>
            <w:left w:w="108" w:type="dxa"/>
            <w:bottom w:w="0" w:type="dxa"/>
            <w:right w:w="108" w:type="dxa"/>
          </w:tblCellMar>
        </w:tblPrEx>
        <w:trPr>
          <w:trHeight w:val="347"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Y</w:t>
            </w:r>
          </w:p>
        </w:tc>
        <w:tc>
          <w:tcPr>
            <w:tcW w:w="7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KB1</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33.055</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26.490</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31.209</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24.544</w:t>
            </w:r>
          </w:p>
        </w:tc>
        <w:tc>
          <w:tcPr>
            <w:tcW w:w="13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3.299</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2.369</w:t>
            </w:r>
          </w:p>
        </w:tc>
      </w:tr>
    </w:tbl>
    <w:p>
      <w:pPr>
        <w:ind w:firstLine="420" w:firstLineChars="200"/>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ind w:firstLine="420"/>
        <w:jc w:val="both"/>
        <w:textAlignment w:val="auto"/>
        <w:rPr>
          <w:rFonts w:ascii="Times New Roman" w:hAnsi="Times New Roman" w:eastAsia="宋体" w:cs="Times New Roman"/>
          <w:bCs/>
          <w:szCs w:val="21"/>
        </w:rPr>
      </w:pPr>
      <w:r>
        <w:rPr>
          <w:rFonts w:hint="eastAsia" w:ascii="Times New Roman" w:hAnsi="Times New Roman" w:eastAsia="宋体" w:cs="Times New Roman"/>
          <w:b w:val="0"/>
          <w:bCs w:val="0"/>
          <w:sz w:val="21"/>
          <w:szCs w:val="21"/>
          <w:lang w:val="en-US" w:eastAsia="zh-CN"/>
        </w:rPr>
        <w:t>由表8可见，对于相同的稀土氧化物与不同的基体组合后得到的混合精矿，以不同的稀释比融片后X荧光净强度有明显差别，所以不能用一个工作曲线测定，应对不同基体设置不同分析曲线。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2.1.2.2.2 检测下限</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准确称取无水四硼酸锂和偏硼酸锂（质量比2：1）6.0000 g于铂黄坩埚中，均匀覆盖0.5000 g硝酸锂、加入基体0.3 g、La-Nd混合物REO 0.3 g（基体和混合物不可接触埚壁），均匀覆盖0.5000 g氧化硼，滴加0.5 mL溴化铵溶液。将坩埚放进预加热到1050 ℃的熔样机内熔融19 min，取出坩埚，置于水平耐火材料板上冷却至室温，将已成型样片与坩埚剥离、编号待测。每种基体样品各制备6片样片。熔样机在熔样过程中自动摇摆、转动坩埚，将气泡赶尽，使样片均匀。</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ascii="Times New Roman" w:hAnsi="Times New Roman" w:eastAsia="宋体" w:cs="Times New Roman"/>
          <w:sz w:val="21"/>
          <w:szCs w:val="21"/>
        </w:rPr>
      </w:pPr>
      <w:r>
        <w:rPr>
          <w:rFonts w:hint="eastAsia" w:ascii="Times New Roman" w:hAnsi="Times New Roman" w:eastAsia="宋体" w:cs="Times New Roman"/>
          <w:b w:val="0"/>
          <w:bCs w:val="0"/>
          <w:sz w:val="21"/>
          <w:szCs w:val="21"/>
          <w:lang w:val="en-US" w:eastAsia="zh-CN"/>
        </w:rPr>
        <w:t>将制备的样片放入样品杯，按仪器工作条件进行测定，得到氧化钐、氧化铕、氧化钆、氧化钇空白标准偏差见表9，独居石精矿方法氧化铽、氧化镝、氧化钬、氧化铒检测下限如表10。以空白样10倍标准偏差作为检测下限，得到检测下限不大于0.063 %。</w:t>
      </w:r>
    </w:p>
    <w:tbl>
      <w:tblPr>
        <w:tblStyle w:val="5"/>
        <w:tblW w:w="4993" w:type="pct"/>
        <w:jc w:val="center"/>
        <w:tblLayout w:type="autofit"/>
        <w:tblCellMar>
          <w:top w:w="0" w:type="dxa"/>
          <w:left w:w="108" w:type="dxa"/>
          <w:bottom w:w="0" w:type="dxa"/>
          <w:right w:w="108" w:type="dxa"/>
        </w:tblCellMar>
      </w:tblPr>
      <w:tblGrid>
        <w:gridCol w:w="2926"/>
        <w:gridCol w:w="1548"/>
        <w:gridCol w:w="2018"/>
        <w:gridCol w:w="1574"/>
        <w:gridCol w:w="1832"/>
      </w:tblGrid>
      <w:tr>
        <w:tblPrEx>
          <w:tblCellMar>
            <w:top w:w="0" w:type="dxa"/>
            <w:left w:w="108" w:type="dxa"/>
            <w:bottom w:w="0" w:type="dxa"/>
            <w:right w:w="108" w:type="dxa"/>
          </w:tblCellMar>
        </w:tblPrEx>
        <w:trPr>
          <w:trHeight w:val="228" w:hRule="atLeast"/>
          <w:jc w:val="center"/>
        </w:trPr>
        <w:tc>
          <w:tcPr>
            <w:tcW w:w="4074" w:type="pct"/>
            <w:gridSpan w:val="4"/>
            <w:tcBorders>
              <w:bottom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lang w:val="en-US" w:eastAsia="zh-CN"/>
              </w:rPr>
              <w:t>9</w:t>
            </w:r>
            <w:r>
              <w:rPr>
                <w:rFonts w:ascii="Times New Roman" w:hAnsi="Times New Roman" w:eastAsia="宋体" w:cs="Times New Roman"/>
                <w:color w:val="000000"/>
                <w:kern w:val="0"/>
                <w:sz w:val="18"/>
                <w:szCs w:val="18"/>
              </w:rPr>
              <w:t xml:space="preserve"> 氧化钐、氧化铕、氧化钆、氧化钇空白标准偏差</w:t>
            </w:r>
            <w:r>
              <w:rPr>
                <w:rFonts w:hint="eastAsia" w:ascii="Times New Roman" w:hAnsi="Times New Roman" w:eastAsia="宋体" w:cs="Times New Roman"/>
                <w:color w:val="000000"/>
                <w:kern w:val="0"/>
                <w:sz w:val="18"/>
                <w:szCs w:val="18"/>
              </w:rPr>
              <w:t xml:space="preserve">   </w:t>
            </w:r>
          </w:p>
        </w:tc>
        <w:tc>
          <w:tcPr>
            <w:tcW w:w="925" w:type="pct"/>
            <w:tcBorders>
              <w:bottom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m/m%</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编号</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Sm</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Eu</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Gd</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Y</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0.017</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0.027</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0.032</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0.019</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-0.019</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0.030</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-0.026</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0.033</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-0.023</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0.007</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0.024</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0.015</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-0.017</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0.021</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0.0038</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0.0053</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0.0047</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0.0019</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0.069</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0.066</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0.065</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0.009</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0.063</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0.056</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0.007</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0.034</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0.054</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0.035</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0.0057</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0.0059</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0.0058</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0.0018</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0.014</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0.009</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0.002</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0.000</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-0.002</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r>
      <w:tr>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tblPrEx>
          <w:tblCellMar>
            <w:top w:w="0" w:type="dxa"/>
            <w:left w:w="108" w:type="dxa"/>
            <w:bottom w:w="0" w:type="dxa"/>
            <w:right w:w="108" w:type="dxa"/>
          </w:tblCellMar>
        </w:tblPrEx>
        <w:trPr>
          <w:trHeight w:val="242"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0.0063</w:t>
            </w:r>
          </w:p>
        </w:tc>
        <w:tc>
          <w:tcPr>
            <w:tcW w:w="10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0.0045</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0.0039</w:t>
            </w:r>
          </w:p>
        </w:tc>
        <w:tc>
          <w:tcPr>
            <w:tcW w:w="9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0.0016</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rPr>
      </w:pPr>
    </w:p>
    <w:tbl>
      <w:tblPr>
        <w:tblStyle w:val="5"/>
        <w:tblW w:w="6920" w:type="dxa"/>
        <w:jc w:val="center"/>
        <w:tblLayout w:type="autofit"/>
        <w:tblCellMar>
          <w:top w:w="0" w:type="dxa"/>
          <w:left w:w="108" w:type="dxa"/>
          <w:bottom w:w="0" w:type="dxa"/>
          <w:right w:w="108" w:type="dxa"/>
        </w:tblCellMar>
      </w:tblPr>
      <w:tblGrid>
        <w:gridCol w:w="2551"/>
        <w:gridCol w:w="983"/>
        <w:gridCol w:w="983"/>
        <w:gridCol w:w="983"/>
        <w:gridCol w:w="1420"/>
      </w:tblGrid>
      <w:tr>
        <w:tblPrEx>
          <w:tblCellMar>
            <w:top w:w="0" w:type="dxa"/>
            <w:left w:w="108" w:type="dxa"/>
            <w:bottom w:w="0" w:type="dxa"/>
            <w:right w:w="108" w:type="dxa"/>
          </w:tblCellMar>
        </w:tblPrEx>
        <w:trPr>
          <w:trHeight w:val="270" w:hRule="atLeast"/>
          <w:jc w:val="center"/>
        </w:trPr>
        <w:tc>
          <w:tcPr>
            <w:tcW w:w="5500" w:type="dxa"/>
            <w:gridSpan w:val="4"/>
            <w:tcBorders>
              <w:top w:val="nil"/>
              <w:left w:val="nil"/>
              <w:bottom w:val="single" w:color="auto" w:sz="4" w:space="0"/>
              <w:right w:val="nil"/>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lang w:val="en-US" w:eastAsia="zh-CN"/>
              </w:rPr>
              <w:t>10</w:t>
            </w:r>
            <w:r>
              <w:rPr>
                <w:rFonts w:hint="eastAsia" w:ascii="Times New Roman" w:hAnsi="Times New Roman" w:eastAsia="宋体" w:cs="Times New Roman"/>
                <w:color w:val="000000"/>
                <w:kern w:val="0"/>
                <w:sz w:val="18"/>
                <w:szCs w:val="18"/>
              </w:rPr>
              <w:t xml:space="preserve"> 氧化铽、氧化镝、氧化钬、氧化铒空白</w:t>
            </w:r>
          </w:p>
        </w:tc>
        <w:tc>
          <w:tcPr>
            <w:tcW w:w="1420" w:type="dxa"/>
            <w:tcBorders>
              <w:top w:val="nil"/>
              <w:left w:val="nil"/>
              <w:bottom w:val="single" w:color="auto" w:sz="4" w:space="0"/>
              <w:right w:val="nil"/>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m/m%</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Tb4O7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Dy2O3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Ho2O3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Er2O3</w:t>
            </w:r>
          </w:p>
        </w:tc>
      </w:tr>
      <w:tr>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-0.008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-0.008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-0.016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-0.012 </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-0.008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-0.005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-0.018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-0.010 </w:t>
            </w:r>
          </w:p>
        </w:tc>
      </w:tr>
      <w:tr>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-0.004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-0.004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-0.018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-0.010 </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-0.011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-0.008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-0.017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-0.010 </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-0.013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-0.006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-0.016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-0.010 </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独居石Tb-Er空白</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-0.009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-0.008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-0.019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-0.009 </w:t>
            </w:r>
          </w:p>
        </w:tc>
      </w:tr>
      <w:tr>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平均值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-0.009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-0.007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-0.017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-0.010 </w:t>
            </w:r>
          </w:p>
        </w:tc>
      </w:tr>
      <w:tr>
        <w:tblPrEx>
          <w:tblCellMar>
            <w:top w:w="0" w:type="dxa"/>
            <w:left w:w="108" w:type="dxa"/>
            <w:bottom w:w="0" w:type="dxa"/>
            <w:right w:w="108" w:type="dxa"/>
          </w:tblCellMar>
        </w:tblPrEx>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标准偏差</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0.003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0.002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0.001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0.001 </w:t>
            </w:r>
          </w:p>
        </w:tc>
      </w:tr>
      <w:tr>
        <w:trPr>
          <w:trHeight w:val="270" w:hRule="atLeast"/>
          <w:jc w:val="center"/>
        </w:trPr>
        <w:tc>
          <w:tcPr>
            <w:tcW w:w="25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检测下限</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0.03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0.02 </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0.01 </w:t>
            </w:r>
          </w:p>
        </w:tc>
      </w:tr>
    </w:tbl>
    <w:p>
      <w:pPr>
        <w:widowControl/>
        <w:jc w:val="center"/>
        <w:textAlignment w:val="center"/>
        <w:rPr>
          <w:rFonts w:hint="eastAsia" w:ascii="Times New Roman" w:hAnsi="Times New Roman" w:eastAsia="宋体" w:cs="Times New Roman"/>
          <w:color w:val="000000"/>
          <w:kern w:val="0"/>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2.1.2.2.3 统一样精密度</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将9种统一样按实验条件制备6个样片，放入样品杯，按仪器工作条件进行测定，得到结果的平均值、标准偏差和RSD见表11、12、13。除氧化铕因为含量太低标准偏差为8.28 %、28.42 %、12.77 %、11.78 %、16.01%、6.28 %和9.00 %，其他的均小于3.30 %，说明此法精密度很好。</w:t>
      </w:r>
    </w:p>
    <w:p>
      <w:pPr>
        <w:spacing w:before="60" w:after="60"/>
        <w:ind w:firstLine="457" w:firstLineChars="218"/>
        <w:rPr>
          <w:rFonts w:ascii="Times New Roman" w:hAnsi="Times New Roman" w:eastAsia="宋体" w:cs="Times New Roman"/>
          <w:szCs w:val="21"/>
        </w:rPr>
      </w:pPr>
    </w:p>
    <w:tbl>
      <w:tblPr>
        <w:tblStyle w:val="5"/>
        <w:tblW w:w="5000" w:type="pct"/>
        <w:tblInd w:w="0" w:type="dxa"/>
        <w:tblLayout w:type="autofit"/>
        <w:tblCellMar>
          <w:top w:w="0" w:type="dxa"/>
          <w:left w:w="108" w:type="dxa"/>
          <w:bottom w:w="0" w:type="dxa"/>
          <w:right w:w="108" w:type="dxa"/>
        </w:tblCellMar>
      </w:tblPr>
      <w:tblGrid>
        <w:gridCol w:w="1691"/>
        <w:gridCol w:w="985"/>
        <w:gridCol w:w="827"/>
        <w:gridCol w:w="985"/>
        <w:gridCol w:w="985"/>
        <w:gridCol w:w="985"/>
        <w:gridCol w:w="827"/>
        <w:gridCol w:w="827"/>
        <w:gridCol w:w="827"/>
        <w:gridCol w:w="973"/>
      </w:tblGrid>
      <w:tr>
        <w:tblPrEx>
          <w:tblCellMar>
            <w:top w:w="0" w:type="dxa"/>
            <w:left w:w="108" w:type="dxa"/>
            <w:bottom w:w="0" w:type="dxa"/>
            <w:right w:w="108" w:type="dxa"/>
          </w:tblCellMar>
        </w:tblPrEx>
        <w:trPr>
          <w:trHeight w:val="270" w:hRule="atLeast"/>
        </w:trPr>
        <w:tc>
          <w:tcPr>
            <w:tcW w:w="4509" w:type="pct"/>
            <w:gridSpan w:val="9"/>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w:t>
            </w:r>
            <w:r>
              <w:rPr>
                <w:rFonts w:hint="eastAsia" w:ascii="Times New Roman" w:hAnsi="Times New Roman" w:eastAsia="宋体" w:cs="宋体"/>
                <w:color w:val="000000"/>
                <w:kern w:val="0"/>
                <w:sz w:val="18"/>
                <w:szCs w:val="18"/>
                <w:lang w:val="en-US" w:eastAsia="zh-CN"/>
              </w:rPr>
              <w:t>11</w:t>
            </w:r>
            <w:r>
              <w:rPr>
                <w:rFonts w:hint="eastAsia" w:ascii="Times New Roman" w:hAnsi="Times New Roman" w:eastAsia="宋体" w:cs="宋体"/>
                <w:color w:val="000000"/>
                <w:kern w:val="0"/>
                <w:sz w:val="18"/>
                <w:szCs w:val="18"/>
              </w:rPr>
              <w:t xml:space="preserve"> 包头矿精矿精密度</w:t>
            </w:r>
          </w:p>
        </w:tc>
        <w:tc>
          <w:tcPr>
            <w:tcW w:w="491"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m/m%</w:t>
            </w:r>
          </w:p>
        </w:tc>
      </w:tr>
      <w:tr>
        <w:tblPrEx>
          <w:tblCellMar>
            <w:top w:w="0" w:type="dxa"/>
            <w:left w:w="108" w:type="dxa"/>
            <w:bottom w:w="0" w:type="dxa"/>
            <w:right w:w="108" w:type="dxa"/>
          </w:tblCellMar>
        </w:tblPrEx>
        <w:trPr>
          <w:trHeight w:val="270" w:hRule="atLeast"/>
        </w:trPr>
        <w:tc>
          <w:tcPr>
            <w:tcW w:w="8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p>
        </w:tc>
        <w:tc>
          <w:tcPr>
            <w:tcW w:w="4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REO</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Y2O3</w:t>
            </w:r>
          </w:p>
        </w:tc>
        <w:tc>
          <w:tcPr>
            <w:tcW w:w="4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La2O3</w:t>
            </w:r>
          </w:p>
        </w:tc>
        <w:tc>
          <w:tcPr>
            <w:tcW w:w="4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CeO2</w:t>
            </w:r>
          </w:p>
        </w:tc>
        <w:tc>
          <w:tcPr>
            <w:tcW w:w="4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Pr6O11</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Nd2O3</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Sm2O3</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Eu2O3</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Gd2O3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53.110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15.011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27.289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2.427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7.255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0.598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0.239</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53.111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15.055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27.246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2.429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7.252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0.598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0.243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52.781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0.169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14.934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27.120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2.392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7.201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0.611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0.239</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53.326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15.085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27.377</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2.467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7.269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0.598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0.243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52.776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14.944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27.106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2.407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7.199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0.593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0.232</w:t>
            </w:r>
          </w:p>
        </w:tc>
      </w:tr>
      <w:tr>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包头矿1-6#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52.917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15.001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27.168</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2.406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7.219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0.602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0.235</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平均值</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53.004</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15.005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27.218</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2.421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7.233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0.600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0.239</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标准偏差</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0.217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0.060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0.106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0.030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0.004</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0.001</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RSD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0.49</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0.39</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1.09</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0.42</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1.02</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FF"/>
                <w:kern w:val="0"/>
                <w:sz w:val="18"/>
                <w:szCs w:val="18"/>
              </w:rPr>
              <w:t>3.30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39.444</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0.160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10.399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20.090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1.879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6.165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0.474</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0.098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0.179</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39.216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10.335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19.965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1.890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6.132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0.473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0.175</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39.237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0.160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10.337</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19.972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1.880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6.155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0.466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0.093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0.174</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39.182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10.336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19.930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1.893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6.131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0.466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0.087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0.180</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39.335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10.346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20.023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1.909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6.150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0.478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0.094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0.176</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包头矿2-6#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39.189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10.339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19.962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1.866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6.141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0.469</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0.077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0.176</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平均值</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39.267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10.349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19.990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1.886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6.146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0.471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0.089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0.177</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标准偏差</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0.103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0.057</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0.002</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RSD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0.78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22"/>
              </w:rPr>
              <w:t>8.28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1.32</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28.923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0.180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8.101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14.671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1.357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4.102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0.346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0.152</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28.965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0.180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8.113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14.672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1.357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4.121</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0.346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0.151</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28.900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0.180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8.099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14.643</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1.367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4.107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0.333</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包头矿3-4#</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28.990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8.141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14.682</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1.368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4.102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0.352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28.985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8.141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14.685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1.368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4.107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0.336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0.143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包头矿3-6#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28.937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0.179</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8.098</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14.665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1.372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4.110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0.337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0.153</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平均值</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28.950</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0.180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8.116</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14.670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1.365</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4.108</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0.342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0.151</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标准偏差</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0.036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0.020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0.015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0.004</w:t>
            </w:r>
          </w:p>
        </w:tc>
      </w:tr>
      <w:tr>
        <w:tblPrEx>
          <w:tblCellMar>
            <w:top w:w="0" w:type="dxa"/>
            <w:left w:w="108" w:type="dxa"/>
            <w:bottom w:w="0" w:type="dxa"/>
            <w:right w:w="108" w:type="dxa"/>
          </w:tblCellMar>
        </w:tblPrEx>
        <w:trPr>
          <w:trHeight w:val="270" w:hRule="atLeast"/>
        </w:trPr>
        <w:tc>
          <w:tcPr>
            <w:tcW w:w="8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RSD %</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0.12</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0.31</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0.25</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0.10</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0.46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2.16</w:t>
            </w: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22"/>
              </w:rPr>
              <w:t>28.42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2.60</w:t>
            </w:r>
          </w:p>
        </w:tc>
      </w:tr>
    </w:tbl>
    <w:p>
      <w:pPr>
        <w:ind w:firstLine="420" w:firstLineChars="200"/>
        <w:rPr>
          <w:rFonts w:ascii="Times New Roman" w:hAnsi="Times New Roman" w:eastAsia="宋体" w:cs="Times New Roman"/>
          <w:bCs/>
          <w:szCs w:val="21"/>
        </w:rPr>
      </w:pPr>
    </w:p>
    <w:tbl>
      <w:tblPr>
        <w:tblStyle w:val="5"/>
        <w:tblW w:w="5000" w:type="pct"/>
        <w:tblInd w:w="0" w:type="dxa"/>
        <w:tblLayout w:type="autofit"/>
        <w:tblCellMar>
          <w:top w:w="0" w:type="dxa"/>
          <w:left w:w="108" w:type="dxa"/>
          <w:bottom w:w="0" w:type="dxa"/>
          <w:right w:w="108" w:type="dxa"/>
        </w:tblCellMar>
      </w:tblPr>
      <w:tblGrid>
        <w:gridCol w:w="1661"/>
        <w:gridCol w:w="965"/>
        <w:gridCol w:w="812"/>
        <w:gridCol w:w="966"/>
        <w:gridCol w:w="966"/>
        <w:gridCol w:w="966"/>
        <w:gridCol w:w="813"/>
        <w:gridCol w:w="813"/>
        <w:gridCol w:w="976"/>
        <w:gridCol w:w="974"/>
      </w:tblGrid>
      <w:tr>
        <w:tblPrEx>
          <w:tblCellMar>
            <w:top w:w="0" w:type="dxa"/>
            <w:left w:w="108" w:type="dxa"/>
            <w:bottom w:w="0" w:type="dxa"/>
            <w:right w:w="108" w:type="dxa"/>
          </w:tblCellMar>
        </w:tblPrEx>
        <w:trPr>
          <w:trHeight w:val="270" w:hRule="atLeast"/>
        </w:trPr>
        <w:tc>
          <w:tcPr>
            <w:tcW w:w="4508" w:type="pct"/>
            <w:gridSpan w:val="9"/>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表</w:t>
            </w:r>
            <w:r>
              <w:rPr>
                <w:rFonts w:hint="eastAsia" w:ascii="Times New Roman" w:hAnsi="Times New Roman" w:eastAsia="宋体" w:cs="宋体"/>
                <w:color w:val="000000"/>
                <w:kern w:val="0"/>
                <w:sz w:val="18"/>
                <w:szCs w:val="22"/>
                <w:lang w:val="en-US" w:eastAsia="zh-CN"/>
              </w:rPr>
              <w:t>12</w:t>
            </w:r>
            <w:r>
              <w:rPr>
                <w:rFonts w:hint="eastAsia" w:ascii="Times New Roman" w:hAnsi="Times New Roman" w:eastAsia="宋体" w:cs="宋体"/>
                <w:color w:val="000000"/>
                <w:kern w:val="0"/>
                <w:sz w:val="18"/>
                <w:szCs w:val="22"/>
              </w:rPr>
              <w:t xml:space="preserve"> 四川矿精矿精密度</w:t>
            </w:r>
          </w:p>
        </w:tc>
        <w:tc>
          <w:tcPr>
            <w:tcW w:w="491"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m/m%</w:t>
            </w:r>
          </w:p>
        </w:tc>
      </w:tr>
      <w:tr>
        <w:tblPrEx>
          <w:tblCellMar>
            <w:top w:w="0" w:type="dxa"/>
            <w:left w:w="108" w:type="dxa"/>
            <w:bottom w:w="0" w:type="dxa"/>
            <w:right w:w="108" w:type="dxa"/>
          </w:tblCellMar>
        </w:tblPrEx>
        <w:trPr>
          <w:trHeight w:val="270" w:hRule="atLeast"/>
        </w:trPr>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4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REO</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Y2O3</w:t>
            </w:r>
          </w:p>
        </w:tc>
        <w:tc>
          <w:tcPr>
            <w:tcW w:w="4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La2O3</w:t>
            </w:r>
          </w:p>
        </w:tc>
        <w:tc>
          <w:tcPr>
            <w:tcW w:w="4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CeO2</w:t>
            </w:r>
          </w:p>
        </w:tc>
        <w:tc>
          <w:tcPr>
            <w:tcW w:w="4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Pr6O11</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Nd2O3</w:t>
            </w:r>
          </w:p>
        </w:tc>
        <w:tc>
          <w:tcPr>
            <w:tcW w:w="4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Sm2O3</w:t>
            </w:r>
          </w:p>
        </w:tc>
        <w:tc>
          <w:tcPr>
            <w:tcW w:w="4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Eu2O3</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Gd2O3</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71.245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26.069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34.823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0.550</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0.221</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71.371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0.088</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26.113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34.857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2.490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6.987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0.545</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0.222</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71.114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26.030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34.711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2.480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0.542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0.229</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25.993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34.839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6.971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0.547</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0.221</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71.264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26.059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34.779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2.500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6.977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0.552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71.510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0.088</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26.150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34.942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2.527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0.233</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平均值</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71.286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26.069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34.825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2.494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0.543</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0.226</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标准偏差</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0.138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0.077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0.011</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0.005</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RSD %</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1.397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0.766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0.142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2.004</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12.770</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2.236</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65.230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0.090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23.870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31.733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2.269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6.488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0.510</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65.461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0.090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23.970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31.810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65.141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23.850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31.644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2.234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0.538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0.071</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0.207</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65.216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23.882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31.698</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6.501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0.518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0.214</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65.411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23.939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31.784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2.256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6.525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0.516</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0.084</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65.395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23.956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31.782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6.507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0.529</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0.065</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0.209</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平均值</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65.309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23.911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31.742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2.257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6.508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0.523</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0.211</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标准偏差</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0.130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0.010</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0.004</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RSD %</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0.578</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0.651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1.966</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11.783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2.073</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59.235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21.600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28.685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6.075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0.488</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0.059</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0.193</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59.391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21.679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28.751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2.062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6.087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0.487</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0.191</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59.182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21.604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28.666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0.483</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0.184</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59.281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21.639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28.696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0.482</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0.046</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0.190</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59.131</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21.564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28.659</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6.058</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0.486</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0.048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0.182</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59.154</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21.574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28.665</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6.055</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0.489</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平均值</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59.229</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21.610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28.687</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6.072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0.486</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0.053</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0.188</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标准偏差</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0.096</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0.001</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0.043</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0.034</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0.010</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0.017</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0.003</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0.004</w:t>
            </w:r>
          </w:p>
        </w:tc>
      </w:tr>
      <w:tr>
        <w:tblPrEx>
          <w:tblCellMar>
            <w:top w:w="0" w:type="dxa"/>
            <w:left w:w="108" w:type="dxa"/>
            <w:bottom w:w="0" w:type="dxa"/>
            <w:right w:w="108" w:type="dxa"/>
          </w:tblCellMar>
        </w:tblPrEx>
        <w:trPr>
          <w:trHeight w:val="270" w:hRule="atLeast"/>
        </w:trPr>
        <w:tc>
          <w:tcPr>
            <w:tcW w:w="8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RSD %</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0.163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0.596</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0.198</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0.120</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0.512</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0.273</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0.574</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16.007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2.257</w:t>
            </w:r>
          </w:p>
        </w:tc>
      </w:tr>
    </w:tbl>
    <w:p>
      <w:pPr>
        <w:ind w:firstLine="420" w:firstLineChars="200"/>
        <w:rPr>
          <w:rFonts w:ascii="Times New Roman" w:hAnsi="Times New Roman" w:eastAsia="宋体" w:cs="Times New Roman"/>
          <w:bCs/>
          <w:szCs w:val="21"/>
        </w:rPr>
      </w:pPr>
    </w:p>
    <w:tbl>
      <w:tblPr>
        <w:tblStyle w:val="5"/>
        <w:tblW w:w="4999" w:type="pct"/>
        <w:jc w:val="center"/>
        <w:tblLayout w:type="autofit"/>
        <w:tblCellMar>
          <w:top w:w="0" w:type="dxa"/>
          <w:left w:w="108" w:type="dxa"/>
          <w:bottom w:w="0" w:type="dxa"/>
          <w:right w:w="108" w:type="dxa"/>
        </w:tblCellMar>
      </w:tblPr>
      <w:tblGrid>
        <w:gridCol w:w="1036"/>
        <w:gridCol w:w="665"/>
        <w:gridCol w:w="617"/>
        <w:gridCol w:w="670"/>
        <w:gridCol w:w="666"/>
        <w:gridCol w:w="724"/>
        <w:gridCol w:w="698"/>
        <w:gridCol w:w="716"/>
        <w:gridCol w:w="680"/>
        <w:gridCol w:w="698"/>
        <w:gridCol w:w="680"/>
        <w:gridCol w:w="698"/>
        <w:gridCol w:w="710"/>
        <w:gridCol w:w="652"/>
      </w:tblGrid>
      <w:tr>
        <w:tblPrEx>
          <w:tblCellMar>
            <w:top w:w="0" w:type="dxa"/>
            <w:left w:w="108" w:type="dxa"/>
            <w:bottom w:w="0" w:type="dxa"/>
            <w:right w:w="108" w:type="dxa"/>
          </w:tblCellMar>
        </w:tblPrEx>
        <w:trPr>
          <w:trHeight w:val="270" w:hRule="atLeast"/>
          <w:jc w:val="center"/>
        </w:trPr>
        <w:tc>
          <w:tcPr>
            <w:tcW w:w="4670" w:type="pct"/>
            <w:gridSpan w:val="13"/>
            <w:tcBorders>
              <w:top w:val="nil"/>
              <w:left w:val="nil"/>
              <w:bottom w:val="single" w:color="auto" w:sz="4" w:space="0"/>
              <w:right w:val="nil"/>
            </w:tcBorders>
            <w:shd w:val="clear" w:color="auto" w:fill="auto"/>
            <w:noWrap/>
            <w:vAlign w:val="center"/>
          </w:tcPr>
          <w:p>
            <w:pPr>
              <w:widowControl/>
              <w:jc w:val="center"/>
              <w:rPr>
                <w:rFonts w:hint="eastAsia"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表</w:t>
            </w:r>
            <w:r>
              <w:rPr>
                <w:rFonts w:hint="eastAsia" w:ascii="Times New Roman" w:hAnsi="Times New Roman" w:eastAsia="宋体" w:cs="宋体"/>
                <w:color w:val="000000"/>
                <w:kern w:val="0"/>
                <w:sz w:val="15"/>
                <w:szCs w:val="15"/>
                <w:lang w:val="en-US" w:eastAsia="zh-CN"/>
              </w:rPr>
              <w:t>13</w:t>
            </w:r>
            <w:r>
              <w:rPr>
                <w:rFonts w:hint="eastAsia" w:ascii="Times New Roman" w:hAnsi="Times New Roman" w:eastAsia="宋体" w:cs="宋体"/>
                <w:color w:val="000000"/>
                <w:kern w:val="0"/>
                <w:sz w:val="15"/>
                <w:szCs w:val="15"/>
              </w:rPr>
              <w:t xml:space="preserve"> 独居石精矿精密度</w:t>
            </w:r>
          </w:p>
        </w:tc>
        <w:tc>
          <w:tcPr>
            <w:tcW w:w="329" w:type="pct"/>
            <w:tcBorders>
              <w:top w:val="nil"/>
              <w:left w:val="nil"/>
              <w:bottom w:val="single" w:color="auto" w:sz="4" w:space="0"/>
              <w:right w:val="nil"/>
            </w:tcBorders>
            <w:shd w:val="clear" w:color="auto" w:fill="auto"/>
            <w:noWrap/>
            <w:vAlign w:val="center"/>
          </w:tcPr>
          <w:p>
            <w:pPr>
              <w:widowControl/>
              <w:jc w:val="center"/>
              <w:rPr>
                <w:rFonts w:hint="eastAsia"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m/m%</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REO</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Y2O3</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La2O3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CeO2</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Pr6O11</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Nd2O3</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Sm2O3</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Eu2O3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Gd2O3</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Tb4O7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Dy2O3</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Ho2O3</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Er2O3</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56.115</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1.496</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12.519</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26.142</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2.770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9.713</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1.388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0.315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1.050</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0.085</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0.114</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55.958</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1.496</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12.485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26.085</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2.770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9.699</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1.382</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0.266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0.081</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0.116</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55.985</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1.495</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12.482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26.080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2.788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9.700</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1.386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0.270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1.071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0.146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0.369</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0.115</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56.032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1.495</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12.511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26.106</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2.778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9.719</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1.389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0.275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0.148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0.080</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0.113</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56.030</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1.497</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12.520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26.120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2.787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9.686</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1.374</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0.280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0.149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0.084</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0.113</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独居石1-6#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56.106</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1.497</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12.527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26.140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2.754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9.734</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1.396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0.277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1.069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0.149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0.082</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0.111</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平均值</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56.038</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1.496</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12.507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26.112</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2.775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9.709</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1.386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0.281</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1.057</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0.083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0.114</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标准偏差</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0.063</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0.019</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0.027</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0.007</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0.010</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RSD %</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0.06</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0.18</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0.53</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6.28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0.98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1.73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0.17</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2.27</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1.54</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53.605</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2.439</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12.013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24.449</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2.540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8.667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1.280</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0.183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0.239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0.130</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0.158</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53.626</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12.013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24.494</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2.517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8.652</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0.183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0.238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0.462</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0.131</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0.156</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53.689</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2.443</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12.025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24.502</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2.524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8.667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0.205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1.044</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0.247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0.129</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0.156</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53.700</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12.040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24.506</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2.529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8.654</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0.221</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1.044</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0.245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0.459</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0.126</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0.155</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53.557</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2.437</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12.016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24.474</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2.512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8.637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1.271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0.176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0.242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0.127</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0.155</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独居石2-6#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53.552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2.442</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11.992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24.452</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2.509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8.663</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1.280</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0.184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0.239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0.458</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0.131</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0.157</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平均值</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53.622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12.017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24.480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2.522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8.657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1.281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1.047</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0.242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0.460</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0.129</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0.156</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标准偏差</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0.063</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0.025</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0.012</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0.017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0.003</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0.001</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RSD %</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0.09</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9.00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0.33</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1.63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0.75</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46.960</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1.574</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10.516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21.448</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2.265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8.060</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0.215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0.877</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0.375</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0.132</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46.930</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1.569</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10.542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21.420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2.283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8.064</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0.165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0.889</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0.191</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0.377</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0.132</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46.856</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10.501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21.377</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2.277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8.077</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1.190</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0.178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0.881</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0.377</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0.104</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0.131</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46.912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10.484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21.410</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2.283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8.060</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1.188</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0.229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0.877</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0.374</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0.107</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0.130</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46.863</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10.504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21.397</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2.269</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8.059</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1.184</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0.884</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0.190</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0.377</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0.106</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0.130</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独居石3-6#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46.811</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10.464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21.374</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2.286</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8.051</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0.185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0.886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0.192</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0.376</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0.129</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平均值</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46.889</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1.571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10.502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21.404</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2.277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8.062</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1.192</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0.882</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0.194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0.376</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0.104</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0.131</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标准偏差</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0.055</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0.027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0.028</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0.009</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0.024</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0.003</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0.001</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0.002</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0.001</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RSD %</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0.12</w:t>
            </w: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0.25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0.13</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0.37</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0.11</w:t>
            </w:r>
          </w:p>
        </w:tc>
        <w:tc>
          <w:tcPr>
            <w:tcW w:w="36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0.46</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12.28</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0.55</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1.75</w:t>
            </w:r>
          </w:p>
        </w:tc>
        <w:tc>
          <w:tcPr>
            <w:tcW w:w="3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0.34</w:t>
            </w:r>
          </w:p>
        </w:tc>
        <w:tc>
          <w:tcPr>
            <w:tcW w:w="35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1.68</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5"/>
                <w:szCs w:val="15"/>
              </w:rPr>
            </w:pPr>
            <w:r>
              <w:rPr>
                <w:rFonts w:hint="eastAsia" w:ascii="Times New Roman" w:hAnsi="Times New Roman" w:eastAsia="宋体" w:cs="宋体"/>
                <w:color w:val="000000"/>
                <w:kern w:val="0"/>
                <w:sz w:val="15"/>
                <w:szCs w:val="15"/>
              </w:rPr>
              <w:t>0.93</w:t>
            </w:r>
          </w:p>
        </w:tc>
      </w:tr>
    </w:tbl>
    <w:p>
      <w:pPr>
        <w:ind w:firstLine="420" w:firstLineChars="200"/>
        <w:rPr>
          <w:rFonts w:ascii="Times New Roman" w:hAnsi="Times New Roman" w:eastAsia="宋体" w:cs="Times New Roman"/>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2.1.2.2.4 标准加入实验</w:t>
      </w:r>
    </w:p>
    <w:p>
      <w:pPr>
        <w:snapToGrid w:val="0"/>
        <w:rPr>
          <w:rFonts w:ascii="Times New Roman" w:hAnsi="Times New Roman" w:eastAsia="宋体" w:cs="Times New Roman"/>
          <w:szCs w:val="21"/>
        </w:rPr>
      </w:pPr>
    </w:p>
    <w:tbl>
      <w:tblPr>
        <w:tblStyle w:val="5"/>
        <w:tblW w:w="0" w:type="auto"/>
        <w:tblInd w:w="0" w:type="dxa"/>
        <w:tblLayout w:type="autofit"/>
        <w:tblCellMar>
          <w:top w:w="0" w:type="dxa"/>
          <w:left w:w="108" w:type="dxa"/>
          <w:bottom w:w="0" w:type="dxa"/>
          <w:right w:w="108" w:type="dxa"/>
        </w:tblCellMar>
      </w:tblPr>
      <w:tblGrid>
        <w:gridCol w:w="1344"/>
        <w:gridCol w:w="1284"/>
        <w:gridCol w:w="809"/>
        <w:gridCol w:w="809"/>
        <w:gridCol w:w="824"/>
        <w:gridCol w:w="809"/>
        <w:gridCol w:w="809"/>
        <w:gridCol w:w="803"/>
        <w:gridCol w:w="809"/>
        <w:gridCol w:w="809"/>
        <w:gridCol w:w="803"/>
      </w:tblGrid>
      <w:tr>
        <w:tblPrEx>
          <w:tblCellMar>
            <w:top w:w="0" w:type="dxa"/>
            <w:left w:w="108" w:type="dxa"/>
            <w:bottom w:w="0" w:type="dxa"/>
            <w:right w:w="108" w:type="dxa"/>
          </w:tblCellMar>
        </w:tblPrEx>
        <w:trPr>
          <w:trHeight w:val="90" w:hRule="atLeast"/>
        </w:trPr>
        <w:tc>
          <w:tcPr>
            <w:tcW w:w="0" w:type="auto"/>
            <w:gridSpan w:val="11"/>
            <w:tcBorders>
              <w:top w:val="nil"/>
              <w:left w:val="nil"/>
              <w:bottom w:val="single" w:color="auto" w:sz="4" w:space="0"/>
              <w:right w:val="nil"/>
              <w:tl2br w:val="nil"/>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b w:val="0"/>
                <w:color w:val="000000"/>
                <w:kern w:val="0"/>
                <w:sz w:val="18"/>
                <w:szCs w:val="18"/>
              </w:rPr>
              <w:t>表</w:t>
            </w:r>
            <w:r>
              <w:rPr>
                <w:rFonts w:hint="eastAsia" w:ascii="Times New Roman" w:hAnsi="Times New Roman" w:eastAsia="宋体" w:cs="Times New Roman"/>
                <w:b w:val="0"/>
                <w:color w:val="000000"/>
                <w:kern w:val="0"/>
                <w:sz w:val="18"/>
                <w:szCs w:val="18"/>
                <w:lang w:val="en-US" w:eastAsia="zh-CN"/>
              </w:rPr>
              <w:t>14</w:t>
            </w:r>
            <w:r>
              <w:rPr>
                <w:rFonts w:ascii="Times New Roman" w:hAnsi="Times New Roman" w:eastAsia="宋体" w:cs="Times New Roman"/>
                <w:b w:val="0"/>
                <w:color w:val="000000"/>
                <w:kern w:val="0"/>
                <w:sz w:val="18"/>
                <w:szCs w:val="18"/>
              </w:rPr>
              <w:t xml:space="preserve"> </w:t>
            </w:r>
            <w:r>
              <w:rPr>
                <w:rFonts w:hint="eastAsia" w:ascii="Times New Roman" w:hAnsi="Times New Roman" w:eastAsia="宋体" w:cs="宋体"/>
                <w:b w:val="0"/>
                <w:color w:val="000000"/>
                <w:kern w:val="0"/>
                <w:sz w:val="20"/>
                <w:szCs w:val="20"/>
              </w:rPr>
              <w:t>标准加入回收率</w:t>
            </w:r>
          </w:p>
        </w:tc>
      </w:tr>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ascii="Times New Roman" w:hAnsi="Times New Roman" w:eastAsia="宋体" w:cs="宋体"/>
                <w:b w:val="0"/>
                <w:color w:val="000000"/>
                <w:sz w:val="20"/>
                <w:szCs w:val="20"/>
              </w:rPr>
            </w:pP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La</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CeO</w:t>
            </w:r>
            <w:r>
              <w:rPr>
                <w:rFonts w:ascii="Times New Roman" w:hAnsi="Times New Roman" w:eastAsia="宋体" w:cs="Times New Roman"/>
                <w:color w:val="000000"/>
                <w:kern w:val="0"/>
                <w:sz w:val="18"/>
                <w:szCs w:val="21"/>
                <w:vertAlign w:val="subscript"/>
              </w:rPr>
              <w:t>2</w:t>
            </w:r>
          </w:p>
        </w:tc>
        <w:tc>
          <w:tcPr>
            <w:tcW w:w="82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Pr</w:t>
            </w:r>
            <w:r>
              <w:rPr>
                <w:rFonts w:ascii="Times New Roman" w:hAnsi="Times New Roman" w:eastAsia="宋体" w:cs="Times New Roman"/>
                <w:color w:val="000000"/>
                <w:kern w:val="0"/>
                <w:sz w:val="18"/>
                <w:szCs w:val="21"/>
                <w:vertAlign w:val="subscript"/>
              </w:rPr>
              <w:t>6</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11</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Nd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Sm</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Eu</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Gd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Y</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Times New Roman" w:hAnsi="Times New Roman" w:eastAsia="宋体" w:cs="宋体"/>
                <w:b w:val="0"/>
                <w:color w:val="000000"/>
                <w:sz w:val="20"/>
                <w:szCs w:val="20"/>
              </w:rPr>
            </w:pPr>
            <w:r>
              <w:rPr>
                <w:rFonts w:hint="eastAsia" w:ascii="Times New Roman" w:hAnsi="Times New Roman" w:eastAsia="宋体" w:cs="宋体"/>
                <w:b w:val="0"/>
                <w:color w:val="000000"/>
                <w:kern w:val="0"/>
                <w:sz w:val="20"/>
                <w:szCs w:val="20"/>
              </w:rPr>
              <w:t>REO</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7.201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12.266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3.568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1.322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1.279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1.270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29.360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7.005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3.693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1.245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1.324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29.787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97.284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103.219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108.688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103.506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94.175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96.586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105.113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104.214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101.453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16.399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1.586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4.752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36.541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9.653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16.894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4.859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37.000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100.543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103.017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95.281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102.255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100.181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88.618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101.829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97.605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101.257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12.301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20.988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6.091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49.616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20.995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5.550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48.995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102.836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100.034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100.261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91.116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103.321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85.344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99.367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90.068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98.749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13.716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5.360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0.265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0.312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0.289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42.819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14.232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21.145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1.841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6.019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0.426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0.312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44.669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103.764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102.314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101.640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112.304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106.700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117.754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118.380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112.295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104.321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17.798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27.207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2.435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7.221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56.957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17.918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2.390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7.384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0.676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0.488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0.646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0.570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57.352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100.676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100.269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98.166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102.262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101.325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94.436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113.510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104.751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100.693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19.037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29.360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7.900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0.817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0.793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62.244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18.900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28.972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7.874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0.683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0.927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61.704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98.678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98.113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111.942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89.146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113.513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90.591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99.132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5.150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9.149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0.923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2.865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1.857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1.915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25.567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5.006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3.139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1.854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2.085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2.002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25.959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97.210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99.402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112.881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109.580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96.127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97.578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112.277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104.524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101.532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7.750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13.708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1.382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33.794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7.462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13.374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1.340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4.938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1.935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33.731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96.289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97.562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96.937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115.363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110.560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87.539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105.648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91.771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99.813 </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17.797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1.796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5.579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2.857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46.135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9.952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17.856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1.841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5.161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2.987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2.156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45.394 </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99.526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100.329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102.494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92.505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104.536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84.211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98.267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97.997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98.395 </w:t>
            </w:r>
          </w:p>
        </w:tc>
      </w:tr>
      <w:tr>
        <w:tblPrEx>
          <w:tblCellMar>
            <w:top w:w="0" w:type="dxa"/>
            <w:left w:w="108" w:type="dxa"/>
            <w:bottom w:w="0" w:type="dxa"/>
            <w:right w:w="108" w:type="dxa"/>
          </w:tblCellMar>
        </w:tblPrEx>
        <w:trPr>
          <w:trHeight w:val="270" w:hRule="atLeast"/>
        </w:trPr>
        <w:tc>
          <w:tcPr>
            <w:tcW w:w="0" w:type="auto"/>
            <w:gridSpan w:val="11"/>
            <w:tcBorders>
              <w:top w:val="single" w:color="auto" w:sz="4" w:space="0"/>
              <w:left w:val="nil"/>
              <w:bottom w:val="nil"/>
              <w:right w:val="nil"/>
            </w:tcBorders>
            <w:shd w:val="clear" w:color="auto" w:fill="FFFFFF"/>
            <w:noWrap/>
            <w:vAlign w:val="center"/>
          </w:tcPr>
          <w:p>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注：稀土元素氧化物理论值为（所在混合REO加入量</w:t>
            </w:r>
            <w:r>
              <w:rPr>
                <w:rFonts w:ascii="Times New Roman" w:hAnsi="Times New Roman" w:eastAsia="宋体" w:cs="Times New Roman"/>
                <w:b w:val="0"/>
                <w:color w:val="000000"/>
                <w:sz w:val="18"/>
                <w:szCs w:val="18"/>
              </w:rPr>
              <w:t>×</w:t>
            </w:r>
            <w:r>
              <w:rPr>
                <w:rFonts w:hint="eastAsia" w:ascii="Times New Roman" w:hAnsi="Times New Roman" w:eastAsia="宋体" w:cs="Times New Roman"/>
                <w:b w:val="0"/>
                <w:color w:val="000000"/>
                <w:sz w:val="18"/>
                <w:szCs w:val="18"/>
              </w:rPr>
              <w:t>所占份额+稀土精矿加入量</w:t>
            </w:r>
            <w:r>
              <w:rPr>
                <w:rFonts w:ascii="Times New Roman" w:hAnsi="Times New Roman" w:eastAsia="宋体" w:cs="Times New Roman"/>
                <w:b w:val="0"/>
                <w:color w:val="000000"/>
                <w:sz w:val="18"/>
                <w:szCs w:val="18"/>
              </w:rPr>
              <w:t>×</w:t>
            </w:r>
            <w:r>
              <w:rPr>
                <w:rFonts w:hint="eastAsia" w:ascii="Times New Roman" w:hAnsi="Times New Roman" w:eastAsia="宋体" w:cs="Times New Roman"/>
                <w:b w:val="0"/>
                <w:color w:val="000000"/>
                <w:sz w:val="18"/>
                <w:szCs w:val="18"/>
              </w:rPr>
              <w:t>精矿中该元素质量百分比/100）/0.6×100</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eastAsia="宋体" w:cs="Times New Roman"/>
          <w:bCs/>
        </w:rPr>
      </w:pPr>
      <w:r>
        <w:rPr>
          <w:rFonts w:ascii="Times New Roman" w:hAnsi="Times New Roman" w:eastAsia="宋体" w:cs="Times New Roman"/>
          <w:szCs w:val="21"/>
        </w:rPr>
        <w:t>由表</w:t>
      </w:r>
      <w:r>
        <w:rPr>
          <w:rFonts w:hint="eastAsia" w:ascii="Times New Roman" w:hAnsi="Times New Roman" w:eastAsia="宋体" w:cs="Times New Roman"/>
          <w:szCs w:val="21"/>
          <w:lang w:val="en-US" w:eastAsia="zh-CN"/>
        </w:rPr>
        <w:t>14</w:t>
      </w:r>
      <w:r>
        <w:rPr>
          <w:rFonts w:ascii="Times New Roman" w:hAnsi="Times New Roman" w:eastAsia="宋体" w:cs="Times New Roman"/>
          <w:szCs w:val="21"/>
        </w:rPr>
        <w:t>可见，回收率在84-120%之间，说明方法有较好的准确度。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2.1.2.2.5 与其他方法结果对照</w:t>
      </w:r>
    </w:p>
    <w:p>
      <w:pPr>
        <w:snapToGrid w:val="0"/>
        <w:rPr>
          <w:rFonts w:ascii="Times New Roman" w:hAnsi="Times New Roman" w:eastAsia="宋体" w:cs="Times New Roman"/>
          <w:szCs w:val="21"/>
        </w:rPr>
      </w:pPr>
    </w:p>
    <w:tbl>
      <w:tblPr>
        <w:tblStyle w:val="5"/>
        <w:tblW w:w="4999" w:type="pct"/>
        <w:tblInd w:w="0" w:type="dxa"/>
        <w:tblLayout w:type="autofit"/>
        <w:tblCellMar>
          <w:top w:w="0" w:type="dxa"/>
          <w:left w:w="108" w:type="dxa"/>
          <w:bottom w:w="0" w:type="dxa"/>
          <w:right w:w="108" w:type="dxa"/>
        </w:tblCellMar>
      </w:tblPr>
      <w:tblGrid>
        <w:gridCol w:w="931"/>
        <w:gridCol w:w="758"/>
        <w:gridCol w:w="646"/>
        <w:gridCol w:w="759"/>
        <w:gridCol w:w="759"/>
        <w:gridCol w:w="759"/>
        <w:gridCol w:w="759"/>
        <w:gridCol w:w="655"/>
        <w:gridCol w:w="646"/>
        <w:gridCol w:w="646"/>
        <w:gridCol w:w="646"/>
        <w:gridCol w:w="646"/>
        <w:gridCol w:w="664"/>
        <w:gridCol w:w="638"/>
      </w:tblGrid>
      <w:tr>
        <w:trPr>
          <w:trHeight w:val="270" w:hRule="atLeast"/>
        </w:trPr>
        <w:tc>
          <w:tcPr>
            <w:tcW w:w="4681" w:type="pct"/>
            <w:gridSpan w:val="13"/>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表</w:t>
            </w:r>
            <w:r>
              <w:rPr>
                <w:rFonts w:hint="eastAsia" w:ascii="Times New Roman" w:hAnsi="Times New Roman" w:eastAsia="宋体" w:cs="宋体"/>
                <w:color w:val="000000"/>
                <w:kern w:val="0"/>
                <w:sz w:val="18"/>
                <w:szCs w:val="22"/>
                <w:lang w:val="en-US" w:eastAsia="zh-CN"/>
              </w:rPr>
              <w:t>15</w:t>
            </w:r>
            <w:r>
              <w:rPr>
                <w:rFonts w:hint="eastAsia" w:ascii="Times New Roman" w:hAnsi="Times New Roman" w:eastAsia="宋体" w:cs="宋体"/>
                <w:color w:val="000000"/>
                <w:kern w:val="0"/>
                <w:sz w:val="18"/>
                <w:szCs w:val="22"/>
              </w:rPr>
              <w:t xml:space="preserve"> 与其它方法结果比对</w:t>
            </w:r>
          </w:p>
        </w:tc>
        <w:tc>
          <w:tcPr>
            <w:tcW w:w="318"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m/m%</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REO</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Y2O3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La2O3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CeO2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Pr6O11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Nd2O3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Sm2O3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Eu2O3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Gd2O3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Tb4O7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Dy2O3</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Ho2O3</w:t>
            </w:r>
          </w:p>
        </w:tc>
        <w:tc>
          <w:tcPr>
            <w:tcW w:w="3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Er2O3</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包头矿1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53.004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0.171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15.005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27.218</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2.421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7.233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0.118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0.239</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0.322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28.309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51.350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4.568</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13.645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1.132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0.450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53.970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28.210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50.810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14.190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0.400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包头矿2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39.267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0.159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10.349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19.990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1.886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6.146</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0.471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0.177</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0.406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26.355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50.909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4.803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15.651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1.199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0.450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39.780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0.250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26.700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50.790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5.140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15.320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0.400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包头矿3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28.950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8.116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14.670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1.365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4.108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0.342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0.020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0.151</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0.620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28.033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50.672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4.714</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14.191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1.180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0.521</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29.090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28.360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51.010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13.850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1.080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0.410</w:t>
            </w:r>
          </w:p>
        </w:tc>
        <w:tc>
          <w:tcPr>
            <w:tcW w:w="324"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71.286</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26.069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34.825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2.494</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6.975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0.543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0.226</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0.122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36.570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48.853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3.499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9.784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0.762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0.095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0.317</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71.270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36.700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48.170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3.740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10.190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0.700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65.309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23.911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31.742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2.257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6.508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0.523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0.069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0.211</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0.137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36.612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48.603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3.455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9.964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0.801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0.323</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65.180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36.830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47.930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3.750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10.200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0.200</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四川矿3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59.229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21.610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28.687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2.047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6.072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0.486</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0.053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0.188</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0.146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36.486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48.434</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3.455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10.252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0.820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0.317</w:t>
            </w:r>
          </w:p>
        </w:tc>
        <w:tc>
          <w:tcPr>
            <w:tcW w:w="324"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nil"/>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57.710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36.630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48.050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3.760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10.260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0.210</w:t>
            </w:r>
          </w:p>
        </w:tc>
        <w:tc>
          <w:tcPr>
            <w:tcW w:w="324"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6"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独居石1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56.038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1.496</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12.507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26.112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2.775</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9.709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1.386</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0.281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1.057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0.150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0.370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0.083</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0.114</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2.670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22.319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46.597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4.951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17.325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2.473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0.501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1.887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0.267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0.660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0.147</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0.203</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55.510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2.590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22.610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46.440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5.200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17.400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1.900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0.750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0.110</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0.140</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独居石2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53.622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12.017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24.480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2.522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8.657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1.281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1.047</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0.242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0.460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0.129</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0.156</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4.551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22.410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45.652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4.703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16.144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2.389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0.358</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1.952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0.451</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0.858</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0.241</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0.291</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53.700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4.440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22.830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45.840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4.990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16.000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2.290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&lt;0.10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1.870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0.870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0.160</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0.300</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独居石3</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46.889</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1.571</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10.502</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21.404</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2.277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8.062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1.192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0.882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0.194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0.376</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0.104</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0.131</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配分</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3.350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22.397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45.649</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4.857</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17.193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2.542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0.414</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1.882</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0.413</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0.802</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0.223</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0.279</w:t>
            </w:r>
          </w:p>
        </w:tc>
      </w:tr>
      <w:tr>
        <w:tblPrEx>
          <w:tblCellMar>
            <w:top w:w="0" w:type="dxa"/>
            <w:left w:w="108" w:type="dxa"/>
            <w:bottom w:w="0" w:type="dxa"/>
            <w:right w:w="108" w:type="dxa"/>
          </w:tblCellMar>
        </w:tblPrEx>
        <w:trPr>
          <w:trHeight w:val="270"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对照值</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47.160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3.290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22.980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46.460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5.130</w:t>
            </w:r>
          </w:p>
        </w:tc>
        <w:tc>
          <w:tcPr>
            <w:tcW w:w="3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16.600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2.380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1.850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0.100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0.710</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0.120</w:t>
            </w:r>
          </w:p>
        </w:tc>
        <w:tc>
          <w:tcPr>
            <w:tcW w:w="3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0.200</w:t>
            </w:r>
          </w:p>
        </w:tc>
      </w:tr>
      <w:tr>
        <w:tblPrEx>
          <w:tblCellMar>
            <w:top w:w="0" w:type="dxa"/>
            <w:left w:w="108" w:type="dxa"/>
            <w:bottom w:w="0" w:type="dxa"/>
            <w:right w:w="108" w:type="dxa"/>
          </w:tblCellMar>
        </w:tblPrEx>
        <w:trPr>
          <w:trHeight w:val="270" w:hRule="atLeast"/>
        </w:trPr>
        <w:tc>
          <w:tcPr>
            <w:tcW w:w="5000" w:type="pct"/>
            <w:gridSpan w:val="14"/>
            <w:tcBorders>
              <w:top w:val="single" w:color="auto" w:sz="4" w:space="0"/>
              <w:left w:val="nil"/>
              <w:bottom w:val="nil"/>
              <w:right w:val="nil"/>
            </w:tcBorders>
            <w:shd w:val="clear" w:color="auto" w:fill="auto"/>
            <w:noWrap/>
            <w:vAlign w:val="center"/>
          </w:tcPr>
          <w:p>
            <w:pPr>
              <w:widowControl/>
              <w:jc w:val="left"/>
              <w:rPr>
                <w:rFonts w:ascii="Times New Roman" w:hAnsi="Times New Roman" w:eastAsia="宋体" w:cs="宋体"/>
                <w:color w:val="000000"/>
                <w:kern w:val="0"/>
                <w:sz w:val="18"/>
                <w:szCs w:val="22"/>
              </w:rPr>
            </w:pPr>
            <w:r>
              <w:rPr>
                <w:rFonts w:hint="eastAsia" w:ascii="Times New Roman" w:hAnsi="Times New Roman" w:eastAsia="宋体" w:cs="宋体"/>
                <w:color w:val="000000"/>
                <w:kern w:val="0"/>
                <w:sz w:val="18"/>
                <w:szCs w:val="22"/>
              </w:rPr>
              <w:t>注：表中各稀土氧化物配分值为各元素氧化物的量除以稀土总量乘100。对照值REO为化学分析结果，各氧化物分量为ICP-OES分析的配分值。</w:t>
            </w:r>
          </w:p>
        </w:tc>
      </w:tr>
    </w:tbl>
    <w:p>
      <w:pPr>
        <w:snapToGrid w:val="0"/>
        <w:jc w:val="center"/>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rPr>
      </w:pPr>
      <w:r>
        <w:rPr>
          <w:rFonts w:hint="eastAsia" w:ascii="Times New Roman" w:hAnsi="Times New Roman" w:eastAsia="宋体" w:cs="Times New Roman"/>
          <w:szCs w:val="21"/>
        </w:rPr>
        <w:t xml:space="preserve">     从表中可见，大部分结果在误差范围内，也有个别结果超差。这是因为重元素稀土和轻元素为主的基体有30-70</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%的范围变化，对X射线荧光强度的影响较大。要得到更准确的结果，需根据实际生产情况减小基体变化范围。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2.1.2.13 结论</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采用X射线荧光光谱法测定稀土精矿中的稀土氧化物，能够准确测定样品中的氧化物量，满足生产、科研需要。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 验证数据结果分析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2.2.1 原始数据统计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eastAsia="zh-CN"/>
        </w:rPr>
      </w:pPr>
      <w:r>
        <w:rPr>
          <w:rFonts w:hint="eastAsia" w:ascii="Times New Roman" w:hAnsi="Times New Roman" w:cs="Times New Roman"/>
          <w:lang w:val="en-US" w:eastAsia="zh-CN"/>
        </w:rPr>
        <w:t>中国北方稀土高科技股份有限公司和</w:t>
      </w:r>
      <w:r>
        <w:rPr>
          <w:rFonts w:hint="eastAsia" w:ascii="宋体" w:hAnsi="宋体" w:cs="宋体"/>
          <w:lang w:val="en-US" w:eastAsia="zh-CN"/>
        </w:rPr>
        <w:t>包头稀土研究院</w:t>
      </w:r>
      <w:r>
        <w:rPr>
          <w:rFonts w:hint="eastAsia" w:ascii="宋体" w:hAnsi="宋体" w:cs="宋体"/>
        </w:rPr>
        <w:t>对各</w:t>
      </w:r>
      <w:r>
        <w:rPr>
          <w:rFonts w:hint="eastAsia" w:ascii="宋体" w:hAnsi="宋体" w:cs="宋体"/>
          <w:lang w:val="en-US" w:eastAsia="zh-CN"/>
        </w:rPr>
        <w:t>验证单位反馈</w:t>
      </w:r>
      <w:r>
        <w:rPr>
          <w:rFonts w:hint="eastAsia" w:ascii="宋体" w:hAnsi="宋体" w:cs="宋体"/>
        </w:rPr>
        <w:t>数据进行均值、标准偏差和相对标准偏差的统计，并进行格拉布斯检验</w:t>
      </w:r>
      <w:r>
        <w:rPr>
          <w:rFonts w:hint="eastAsia" w:ascii="宋体" w:hAnsi="宋体" w:cs="宋体"/>
          <w:lang w:eastAsia="zh-CN"/>
        </w:rPr>
        <w:t>、</w:t>
      </w:r>
      <w:r>
        <w:rPr>
          <w:rFonts w:hint="eastAsia" w:ascii="宋体" w:hAnsi="宋体" w:cs="宋体"/>
        </w:rPr>
        <w:t>等精度检验（柯克伦检验）。试验数据统计和检验结果见数据统计报告</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rPr>
      </w:pPr>
      <w:r>
        <w:rPr>
          <w:rFonts w:hint="default" w:ascii="Times New Roman" w:hAnsi="Times New Roman" w:cs="Times New Roman"/>
          <w:sz w:val="21"/>
          <w:szCs w:val="21"/>
          <w:vertAlign w:val="baseline"/>
          <w:lang w:val="en-US" w:eastAsia="zh-CN"/>
        </w:rPr>
        <w:t xml:space="preserve">2.2.2 </w:t>
      </w:r>
      <w:r>
        <w:rPr>
          <w:rFonts w:hint="eastAsia" w:ascii="Times New Roman" w:hAnsi="Times New Roman" w:cs="Times New Roman"/>
          <w:sz w:val="21"/>
          <w:szCs w:val="21"/>
          <w:vertAlign w:val="baseline"/>
          <w:lang w:val="en-US" w:eastAsia="zh-CN"/>
        </w:rPr>
        <w:t>对于岐离和离群数据的分析</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cs="Times New Roman"/>
          <w:szCs w:val="21"/>
        </w:rPr>
      </w:pPr>
      <w:r>
        <w:rPr>
          <w:rFonts w:hint="eastAsia" w:cs="宋体"/>
          <w:szCs w:val="21"/>
        </w:rPr>
        <w:t>试验数据取舍在统计学基础上还应符合化学分析特点，对于岐离和离群数据是否留用，试验采取的判断方式：</w:t>
      </w:r>
      <w:r>
        <w:rPr>
          <w:rFonts w:hint="default" w:ascii="Times New Roman" w:hAnsi="Times New Roman" w:cs="Times New Roman"/>
          <w:szCs w:val="21"/>
        </w:rPr>
        <w:t>参照GB/T 6379.2-2004</w:t>
      </w:r>
      <w:r>
        <w:rPr>
          <w:rFonts w:hint="eastAsia" w:ascii="Times New Roman" w:hAnsi="Times New Roman" w:cs="Times New Roman"/>
          <w:szCs w:val="21"/>
          <w:lang w:eastAsia="zh-CN"/>
        </w:rPr>
        <w:t>《</w:t>
      </w:r>
      <w:r>
        <w:rPr>
          <w:rFonts w:hint="default" w:ascii="Times New Roman" w:hAnsi="Times New Roman" w:cs="Times New Roman"/>
          <w:szCs w:val="21"/>
        </w:rPr>
        <w:t>测量方法与结果的准确度（正确度与精密度）第2部分：确定标准测量方法重复性与再现性的基本方法</w:t>
      </w:r>
      <w:r>
        <w:rPr>
          <w:rFonts w:hint="eastAsia" w:ascii="Times New Roman" w:hAnsi="Times New Roman" w:cs="Times New Roman"/>
          <w:szCs w:val="21"/>
          <w:lang w:eastAsia="zh-CN"/>
        </w:rPr>
        <w:t>》</w:t>
      </w:r>
      <w:r>
        <w:rPr>
          <w:rFonts w:hint="default" w:ascii="Times New Roman" w:hAnsi="Times New Roman" w:cs="Times New Roman"/>
          <w:szCs w:val="21"/>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szCs w:val="21"/>
        </w:rPr>
      </w:pPr>
      <w:r>
        <w:rPr>
          <w:rFonts w:hint="eastAsia"/>
          <w:sz w:val="18"/>
          <w:szCs w:val="18"/>
        </w:rPr>
        <w:t>注：实验室内格拉布斯检验和等精度检验（柯克伦检验）采用的平均值为该实验室平均值，实验室间均值格拉布斯检验采用的平均值为实验室均值平均值。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ascii="Times New Roman" w:hAnsi="Times New Roman" w:cs="Times New Roman"/>
          <w:lang w:val="en-US" w:eastAsia="zh-CN"/>
        </w:rPr>
        <w:t xml:space="preserve">2.2.3 </w:t>
      </w:r>
      <w:r>
        <w:rPr>
          <w:rFonts w:hint="eastAsia" w:ascii="宋体" w:hAnsi="宋体" w:cs="宋体"/>
        </w:rPr>
        <w:t>重复性限和再现性限计算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试验</w:t>
      </w:r>
      <w:r>
        <w:rPr>
          <w:rFonts w:hint="eastAsia" w:ascii="宋体" w:hAnsi="宋体" w:cs="宋体"/>
          <w:lang w:val="en-US" w:eastAsia="zh-CN"/>
        </w:rPr>
        <w:t>中</w:t>
      </w:r>
      <w:r>
        <w:rPr>
          <w:rFonts w:hint="eastAsia" w:ascii="Times New Roman" w:hAnsi="Times New Roman" w:eastAsia="宋体" w:cs="Times New Roman"/>
          <w:szCs w:val="20"/>
        </w:rPr>
        <w:t>X射线荧光光谱法</w:t>
      </w:r>
      <w:r>
        <w:rPr>
          <w:rFonts w:hint="eastAsia" w:ascii="Times New Roman" w:hAnsi="Times New Roman" w:cs="Times New Roman"/>
          <w:szCs w:val="21"/>
          <w:lang w:val="en-US" w:eastAsia="zh-CN"/>
        </w:rPr>
        <w:t>和</w:t>
      </w:r>
      <w:r>
        <w:rPr>
          <w:rFonts w:hint="eastAsia" w:ascii="Times New Roman" w:hAnsi="Times New Roman" w:eastAsia="宋体"/>
        </w:rPr>
        <w:t>电感耦合等离子体发射光谱法</w:t>
      </w:r>
      <w:r>
        <w:rPr>
          <w:rFonts w:hint="eastAsia" w:ascii="Times New Roman" w:hAnsi="Times New Roman" w:cs="Times New Roman"/>
          <w:szCs w:val="21"/>
          <w:lang w:val="en-US" w:eastAsia="zh-CN"/>
        </w:rPr>
        <w:t>分别</w:t>
      </w:r>
      <w:r>
        <w:rPr>
          <w:rFonts w:hint="eastAsia" w:ascii="宋体" w:hAnsi="宋体" w:cs="宋体"/>
        </w:rPr>
        <w:t>对</w:t>
      </w:r>
      <w:r>
        <w:rPr>
          <w:rFonts w:hint="eastAsia" w:ascii="宋体" w:hAnsi="宋体" w:cs="宋体"/>
          <w:lang w:val="en-US" w:eastAsia="zh-CN"/>
        </w:rPr>
        <w:t>多</w:t>
      </w:r>
      <w:r>
        <w:rPr>
          <w:rFonts w:hint="eastAsia" w:ascii="宋体" w:hAnsi="宋体" w:cs="宋体"/>
        </w:rPr>
        <w:t>个水平</w:t>
      </w:r>
      <w:r>
        <w:rPr>
          <w:rFonts w:hint="eastAsia" w:ascii="宋体" w:hAnsi="宋体" w:cs="宋体"/>
          <w:lang w:val="en-US" w:eastAsia="zh-CN"/>
        </w:rPr>
        <w:t>统一样的</w:t>
      </w:r>
      <w:r>
        <w:rPr>
          <w:rFonts w:hint="eastAsia" w:ascii="宋体" w:hAnsi="宋体" w:cs="宋体"/>
        </w:rPr>
        <w:t>所有保留数据进行了重复性限和再现性限计算，计算结果见数据统计报告。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四 </w:t>
      </w:r>
      <w:r>
        <w:rPr>
          <w:rFonts w:hint="eastAsia" w:ascii="黑体" w:hAnsi="黑体" w:eastAsia="黑体" w:cs="黑体"/>
          <w:sz w:val="24"/>
          <w:szCs w:val="24"/>
        </w:rPr>
        <w:t>标准中涉及专利的情况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本标准不涉及专利问题。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lang w:val="en-US" w:eastAsia="zh-CN"/>
        </w:rPr>
      </w:pPr>
      <w:r>
        <w:rPr>
          <w:rFonts w:hint="eastAsia" w:ascii="黑体" w:hAnsi="黑体" w:eastAsia="黑体" w:cs="黑体"/>
          <w:sz w:val="24"/>
          <w:szCs w:val="24"/>
          <w:lang w:val="en-US" w:eastAsia="zh-CN"/>
        </w:rPr>
        <w:t xml:space="preserve">五 </w:t>
      </w:r>
      <w:r>
        <w:rPr>
          <w:rFonts w:hint="eastAsia" w:ascii="黑体" w:hAnsi="黑体" w:eastAsia="黑体" w:cs="黑体"/>
          <w:sz w:val="24"/>
          <w:szCs w:val="24"/>
        </w:rPr>
        <w:t>效益</w:t>
      </w:r>
      <w:r>
        <w:rPr>
          <w:rFonts w:hint="eastAsia" w:ascii="黑体" w:hAnsi="黑体" w:eastAsia="黑体" w:cs="黑体"/>
          <w:sz w:val="24"/>
          <w:szCs w:val="24"/>
          <w:lang w:val="en-US" w:eastAsia="zh-CN"/>
        </w:rPr>
        <w:t>展望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本标准是在</w:t>
      </w:r>
      <w:r>
        <w:rPr>
          <w:rFonts w:hint="default" w:ascii="Times New Roman" w:hAnsi="Times New Roman" w:cs="Times New Roman"/>
          <w:lang w:val="en-US" w:eastAsia="zh-CN"/>
        </w:rPr>
        <w:t>GB/T 18114.8-2010</w:t>
      </w:r>
      <w:r>
        <w:rPr>
          <w:rFonts w:hint="eastAsia" w:ascii="宋体" w:hAnsi="宋体" w:cs="宋体"/>
          <w:lang w:val="en-US" w:eastAsia="zh-CN"/>
        </w:rPr>
        <w:t>标准的基础上进行修订，修订过程中进行了大量的试验及数据统计，对原标准部分技术内容进行修改，在电感耦合等离子体发射光谱法基础上，增加了</w:t>
      </w:r>
      <w:r>
        <w:rPr>
          <w:rFonts w:hint="default" w:ascii="Times New Roman" w:hAnsi="Times New Roman" w:cs="Times New Roman"/>
          <w:lang w:val="en-US" w:eastAsia="zh-CN"/>
        </w:rPr>
        <w:t>X</w:t>
      </w:r>
      <w:r>
        <w:rPr>
          <w:rFonts w:hint="eastAsia" w:ascii="宋体" w:hAnsi="宋体" w:cs="宋体"/>
          <w:lang w:val="en-US" w:eastAsia="zh-CN"/>
        </w:rPr>
        <w:t>射线荧光光谱法方法。修订后标准内容全面，条款清晰，测定范围广、可操作性强，能满足稀土精矿中稀土氧化物量和配分量检测要求，具有非常重要的现实意义。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标准实施后，将应用到整个稀土矿的质检、贸易等过程中，应用前景良好，并会产生较好的社会效益和经济效益：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val="en-US" w:eastAsia="zh-CN"/>
        </w:rPr>
      </w:pPr>
      <w:r>
        <w:rPr>
          <w:rFonts w:hint="default" w:ascii="Times New Roman" w:hAnsi="Times New Roman" w:cs="Times New Roman"/>
          <w:lang w:val="en-US" w:eastAsia="zh-CN"/>
        </w:rPr>
        <w:t>（1）</w:t>
      </w:r>
      <w:r>
        <w:rPr>
          <w:rFonts w:hint="eastAsia" w:ascii="宋体" w:hAnsi="宋体" w:cs="宋体"/>
          <w:lang w:val="en-US" w:eastAsia="zh-CN"/>
        </w:rPr>
        <w:t>标准的实施将为生产、使用、贸易三方提供最基本的技术依据，在本标准的基础之上使三方达成共识，有利于产品的质量控制和产品升级，使后续使用方高效率、低消耗地使用该产品；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val="en-US" w:eastAsia="zh-CN"/>
        </w:rPr>
      </w:pPr>
      <w:r>
        <w:rPr>
          <w:rFonts w:hint="default" w:ascii="Times New Roman" w:hAnsi="Times New Roman" w:cs="Times New Roman"/>
          <w:lang w:val="en-US" w:eastAsia="zh-CN"/>
        </w:rPr>
        <w:t>（2）</w:t>
      </w:r>
      <w:r>
        <w:rPr>
          <w:rFonts w:hint="eastAsia" w:ascii="宋体" w:hAnsi="宋体" w:cs="宋体"/>
          <w:lang w:val="en-US" w:eastAsia="zh-CN"/>
        </w:rPr>
        <w:t>标准的实施为稀土贸易提供仲裁的依据，有利于市场公平交易环境的形成，能够更好地促进市场的规范化。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val="en-US" w:eastAsia="zh-CN"/>
        </w:rPr>
      </w:pPr>
      <w:r>
        <w:rPr>
          <w:rFonts w:hint="default" w:ascii="Times New Roman" w:hAnsi="Times New Roman" w:cs="Times New Roman"/>
          <w:lang w:val="en-US" w:eastAsia="zh-CN"/>
        </w:rPr>
        <w:t>（3）</w:t>
      </w:r>
      <w:r>
        <w:rPr>
          <w:rFonts w:hint="eastAsia" w:ascii="宋体" w:hAnsi="宋体" w:cs="宋体"/>
          <w:lang w:val="en-US" w:eastAsia="zh-CN"/>
        </w:rPr>
        <w:t>标准的实施将进一步完善《稀土矿化学分析方法》的标准体系，与现行的《稀土矿中非稀土杂质化学分析方法》形成一套完整规范的国家标准系列，为推动中国稀土产业的规范有序稳步发展提供技术支撑。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六 </w:t>
      </w:r>
      <w:r>
        <w:rPr>
          <w:rFonts w:hint="eastAsia" w:ascii="黑体" w:hAnsi="黑体" w:eastAsia="黑体" w:cs="黑体"/>
          <w:sz w:val="24"/>
          <w:szCs w:val="24"/>
        </w:rPr>
        <w:t>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szCs w:val="21"/>
        </w:rPr>
      </w:pPr>
      <w:r>
        <w:rPr>
          <w:rFonts w:hint="eastAsia"/>
          <w:szCs w:val="21"/>
        </w:rPr>
        <w:t>经查，国外无相同类型的标准。本标准未采用（包括等同采用、修改采用及非等效采用）国际标准或国外先进标准。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七 </w:t>
      </w:r>
      <w:r>
        <w:rPr>
          <w:rFonts w:hint="eastAsia" w:ascii="黑体" w:hAnsi="黑体" w:eastAsia="黑体" w:cs="黑体"/>
          <w:sz w:val="24"/>
          <w:szCs w:val="24"/>
        </w:rPr>
        <w:t>与现行相关法律、法规、规章及相关标准，特别是强制性国家标准的协调配套情况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本标准属于稀土精矿的化学分析方法标准。本标准与现行相关法律、法规、规章及相关标准和强制性国家标准无冲突。本标准与现行标准及制定中的标准无重复交叉情况。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八 </w:t>
      </w:r>
      <w:r>
        <w:rPr>
          <w:rFonts w:hint="eastAsia" w:ascii="黑体" w:hAnsi="黑体" w:eastAsia="黑体" w:cs="黑体"/>
          <w:sz w:val="24"/>
          <w:szCs w:val="24"/>
        </w:rPr>
        <w:t>重大分歧意见的处理经过和依据</w:t>
      </w:r>
      <w:r>
        <w:rPr>
          <w:rFonts w:hint="eastAsia" w:ascii="黑体" w:hAnsi="黑体" w:eastAsia="黑体" w:cs="黑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无</w:t>
      </w:r>
      <w:r>
        <w:rPr>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九 </w:t>
      </w:r>
      <w:r>
        <w:rPr>
          <w:rFonts w:hint="eastAsia" w:ascii="黑体" w:hAnsi="黑体" w:eastAsia="黑体" w:cs="黑体"/>
          <w:sz w:val="24"/>
          <w:szCs w:val="24"/>
        </w:rPr>
        <w:t>标准性质的建议说明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szCs w:val="21"/>
        </w:rPr>
        <w:t>建议本标准的性质</w:t>
      </w:r>
      <w:r>
        <w:rPr>
          <w:rFonts w:hint="eastAsia"/>
          <w:szCs w:val="21"/>
        </w:rPr>
        <w:t>为</w:t>
      </w:r>
      <w:r>
        <w:rPr>
          <w:szCs w:val="21"/>
        </w:rPr>
        <w:t>推荐性国家标准。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十 </w:t>
      </w:r>
      <w:r>
        <w:rPr>
          <w:rFonts w:hint="eastAsia" w:ascii="黑体" w:hAnsi="黑体" w:eastAsia="黑体" w:cs="黑体"/>
          <w:sz w:val="24"/>
          <w:szCs w:val="24"/>
        </w:rPr>
        <w:t>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szCs w:val="21"/>
        </w:rPr>
      </w:pPr>
      <w:r>
        <w:rPr>
          <w:rFonts w:hint="eastAsia"/>
          <w:szCs w:val="21"/>
        </w:rPr>
        <w:t>本标准修订后</w:t>
      </w:r>
      <w:r>
        <w:rPr>
          <w:rFonts w:hint="eastAsia"/>
          <w:szCs w:val="21"/>
          <w:lang w:eastAsia="zh-CN"/>
        </w:rPr>
        <w:t>修改了</w:t>
      </w:r>
      <w:r>
        <w:rPr>
          <w:rFonts w:hint="eastAsia"/>
          <w:szCs w:val="21"/>
        </w:rPr>
        <w:t>了</w:t>
      </w:r>
      <w:r>
        <w:rPr>
          <w:rFonts w:hint="eastAsia" w:ascii="宋体" w:hAnsi="宋体" w:cs="宋体"/>
          <w:lang w:val="en-US" w:eastAsia="zh-CN"/>
        </w:rPr>
        <w:t>电感耦合等离子体发射光谱法并增加了</w:t>
      </w:r>
      <w:r>
        <w:rPr>
          <w:rFonts w:hint="default" w:ascii="Times New Roman" w:hAnsi="Times New Roman" w:cs="Times New Roman"/>
          <w:lang w:val="en-US" w:eastAsia="zh-CN"/>
        </w:rPr>
        <w:t>X</w:t>
      </w:r>
      <w:r>
        <w:rPr>
          <w:rFonts w:hint="eastAsia" w:ascii="宋体" w:hAnsi="宋体" w:cs="宋体"/>
          <w:lang w:val="en-US" w:eastAsia="zh-CN"/>
        </w:rPr>
        <w:t>射线荧光光谱法方法</w:t>
      </w:r>
      <w:r>
        <w:rPr>
          <w:rFonts w:hint="eastAsia"/>
          <w:szCs w:val="21"/>
        </w:rPr>
        <w:t>，适用于</w:t>
      </w:r>
      <w:r>
        <w:rPr>
          <w:rFonts w:hint="eastAsia"/>
          <w:szCs w:val="21"/>
          <w:lang w:val="en-US" w:eastAsia="zh-CN"/>
        </w:rPr>
        <w:t>稀土精矿中氟量</w:t>
      </w:r>
      <w:r>
        <w:rPr>
          <w:rFonts w:hint="eastAsia"/>
          <w:szCs w:val="21"/>
        </w:rPr>
        <w:t>的测定。建议相关生产单位和检测</w:t>
      </w:r>
      <w:r>
        <w:rPr>
          <w:rFonts w:hint="eastAsia"/>
          <w:szCs w:val="21"/>
          <w:lang w:val="en-US" w:eastAsia="zh-CN"/>
        </w:rPr>
        <w:t>机构</w:t>
      </w:r>
      <w:r>
        <w:rPr>
          <w:rFonts w:hint="eastAsia"/>
          <w:szCs w:val="21"/>
        </w:rPr>
        <w:t>积极组织</w:t>
      </w:r>
      <w:r>
        <w:rPr>
          <w:rFonts w:hint="eastAsia"/>
          <w:szCs w:val="21"/>
          <w:lang w:val="en-US" w:eastAsia="zh-CN"/>
        </w:rPr>
        <w:t>对修订</w:t>
      </w:r>
      <w:r>
        <w:rPr>
          <w:rFonts w:hint="eastAsia"/>
          <w:szCs w:val="21"/>
        </w:rPr>
        <w:t>标准的培训和宣贯，</w:t>
      </w:r>
      <w:r>
        <w:rPr>
          <w:rFonts w:hint="eastAsia"/>
          <w:szCs w:val="21"/>
          <w:lang w:val="en-US" w:eastAsia="zh-CN"/>
        </w:rPr>
        <w:t>同时</w:t>
      </w:r>
      <w:r>
        <w:rPr>
          <w:rFonts w:hint="eastAsia"/>
          <w:szCs w:val="21"/>
        </w:rPr>
        <w:t>可向企业、公司和科研院校推荐本标准。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十一 </w:t>
      </w:r>
      <w:r>
        <w:rPr>
          <w:rFonts w:hint="eastAsia" w:ascii="黑体" w:hAnsi="黑体" w:eastAsia="黑体" w:cs="黑体"/>
          <w:sz w:val="24"/>
          <w:szCs w:val="24"/>
        </w:rPr>
        <w:t>废止现行相关标准的建议</w:t>
      </w:r>
    </w:p>
    <w:p>
      <w:pPr>
        <w:keepNext w:val="0"/>
        <w:keepLines w:val="0"/>
        <w:pageBreakBefore w:val="0"/>
        <w:widowControl w:val="0"/>
        <w:kinsoku/>
        <w:wordWrap/>
        <w:overflowPunct/>
        <w:topLinePunct w:val="0"/>
        <w:autoSpaceDE/>
        <w:autoSpaceDN/>
        <w:bidi w:val="0"/>
        <w:adjustRightInd/>
        <w:snapToGrid/>
        <w:ind w:firstLine="437"/>
        <w:textAlignment w:val="auto"/>
        <w:rPr>
          <w:rFonts w:hint="default" w:ascii="Times New Roman" w:hAnsi="Times New Roman" w:cs="Times New Roman"/>
          <w:szCs w:val="21"/>
        </w:rPr>
      </w:pPr>
      <w:r>
        <w:rPr>
          <w:rFonts w:hint="eastAsia"/>
          <w:szCs w:val="21"/>
          <w:lang w:val="en-US" w:eastAsia="zh-CN"/>
        </w:rPr>
        <w:t>建议</w:t>
      </w:r>
      <w:r>
        <w:rPr>
          <w:rFonts w:hint="eastAsia"/>
          <w:szCs w:val="21"/>
        </w:rPr>
        <w:t>在</w:t>
      </w:r>
      <w:r>
        <w:rPr>
          <w:szCs w:val="21"/>
        </w:rPr>
        <w:t>本标准发布实施之日起</w:t>
      </w:r>
      <w:r>
        <w:rPr>
          <w:rFonts w:hint="default" w:ascii="Times New Roman" w:hAnsi="Times New Roman" w:cs="Times New Roman"/>
          <w:szCs w:val="21"/>
        </w:rPr>
        <w:t>，代替</w:t>
      </w:r>
      <w:r>
        <w:rPr>
          <w:rFonts w:ascii="Times New Roman" w:hAnsi="Times New Roman" w:eastAsia="宋体" w:cs="Times New Roman"/>
          <w:szCs w:val="21"/>
        </w:rPr>
        <w:t>GB/T 18114.11-2010《</w:t>
      </w:r>
      <w:r>
        <w:rPr>
          <w:rFonts w:hint="eastAsia" w:ascii="Times New Roman" w:hAnsi="Times New Roman" w:eastAsia="宋体" w:cs="Times New Roman"/>
          <w:szCs w:val="20"/>
        </w:rPr>
        <w:t>稀土精矿化学分析方法 第8部分：稀土氧化物量和配分量的测定</w:t>
      </w:r>
      <w:r>
        <w:rPr>
          <w:rFonts w:ascii="Times New Roman" w:hAnsi="Times New Roman" w:eastAsia="宋体" w:cs="Times New Roman"/>
          <w:szCs w:val="21"/>
        </w:rPr>
        <w:t>》</w:t>
      </w:r>
      <w:r>
        <w:rPr>
          <w:rFonts w:hint="default" w:ascii="Times New Roman" w:hAnsi="Times New Roman" w:cs="Times New Roman"/>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十二 </w:t>
      </w:r>
      <w:r>
        <w:rPr>
          <w:rFonts w:hint="eastAsia" w:ascii="黑体" w:hAnsi="黑体" w:eastAsia="黑体" w:cs="黑体"/>
          <w:sz w:val="24"/>
          <w:szCs w:val="24"/>
        </w:rPr>
        <w:t>其他应予说明的事项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无。</w:t>
      </w:r>
    </w:p>
    <w:p>
      <w:pPr>
        <w:rPr>
          <w:rFonts w:ascii="Times New Roman" w:hAnsi="Times New Roman" w:eastAsia="宋体" w:cs="Times New Roman"/>
          <w:szCs w:val="21"/>
        </w:rPr>
      </w:pPr>
    </w:p>
    <w:p>
      <w:pPr>
        <w:widowControl/>
        <w:adjustRightInd w:val="0"/>
        <w:snapToGrid w:val="0"/>
        <w:rPr>
          <w:rFonts w:hint="default" w:ascii="Times New Roman" w:hAnsi="Times New Roman" w:eastAsia="宋体"/>
          <w:bCs/>
          <w:sz w:val="24"/>
          <w:lang w:val="en-US" w:eastAsia="zh-CN"/>
        </w:rPr>
      </w:pPr>
      <w:r>
        <w:rPr>
          <w:rFonts w:ascii="Times New Roman" w:hAnsi="Times New Roman" w:eastAsia="宋体"/>
          <w:bCs/>
          <w:sz w:val="24"/>
        </w:rPr>
        <w:t>附件</w:t>
      </w:r>
      <w:r>
        <w:rPr>
          <w:rFonts w:hint="eastAsia" w:ascii="Times New Roman" w:hAnsi="Times New Roman" w:eastAsia="宋体"/>
          <w:bCs/>
          <w:sz w:val="24"/>
        </w:rPr>
        <w:t>A</w:t>
      </w:r>
      <w:r>
        <w:rPr>
          <w:rFonts w:ascii="Times New Roman" w:hAnsi="Times New Roman" w:eastAsia="宋体"/>
          <w:bCs/>
          <w:sz w:val="24"/>
        </w:rPr>
        <w:t>：</w:t>
      </w:r>
      <w:r>
        <w:rPr>
          <w:rFonts w:hint="eastAsia" w:ascii="Times New Roman" w:hAnsi="Times New Roman" w:eastAsia="宋体"/>
          <w:bCs/>
          <w:sz w:val="24"/>
        </w:rPr>
        <w:t>氧化镧</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B</w:t>
      </w:r>
      <w:r>
        <w:rPr>
          <w:rFonts w:ascii="Times New Roman" w:hAnsi="Times New Roman" w:eastAsia="宋体"/>
          <w:bCs/>
          <w:sz w:val="24"/>
        </w:rPr>
        <w:t>：</w:t>
      </w:r>
      <w:r>
        <w:rPr>
          <w:rFonts w:hint="eastAsia" w:ascii="Times New Roman" w:hAnsi="Times New Roman" w:eastAsia="宋体"/>
          <w:bCs/>
          <w:sz w:val="24"/>
        </w:rPr>
        <w:t>氧化铈</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widowControl/>
        <w:adjustRightInd w:val="0"/>
        <w:snapToGrid w:val="0"/>
        <w:rPr>
          <w:rFonts w:ascii="Times New Roman" w:hAnsi="Times New Roman" w:eastAsia="宋体"/>
          <w:sz w:val="24"/>
        </w:rPr>
      </w:pPr>
      <w:r>
        <w:rPr>
          <w:rFonts w:ascii="Times New Roman" w:hAnsi="Times New Roman" w:eastAsia="宋体"/>
          <w:bCs/>
          <w:sz w:val="24"/>
        </w:rPr>
        <w:t>附件</w:t>
      </w:r>
      <w:r>
        <w:rPr>
          <w:rFonts w:hint="eastAsia" w:ascii="Times New Roman" w:hAnsi="Times New Roman" w:eastAsia="宋体"/>
          <w:bCs/>
          <w:sz w:val="24"/>
        </w:rPr>
        <w:t>C</w:t>
      </w:r>
      <w:r>
        <w:rPr>
          <w:rFonts w:ascii="Times New Roman" w:hAnsi="Times New Roman" w:eastAsia="宋体"/>
          <w:bCs/>
          <w:sz w:val="24"/>
        </w:rPr>
        <w:t>：</w:t>
      </w:r>
      <w:r>
        <w:rPr>
          <w:rFonts w:hint="eastAsia" w:ascii="Times New Roman" w:hAnsi="Times New Roman" w:eastAsia="宋体"/>
          <w:bCs/>
          <w:sz w:val="24"/>
        </w:rPr>
        <w:t>氧化镨</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D</w:t>
      </w:r>
      <w:r>
        <w:rPr>
          <w:rFonts w:ascii="Times New Roman" w:hAnsi="Times New Roman" w:eastAsia="宋体"/>
          <w:bCs/>
          <w:sz w:val="24"/>
        </w:rPr>
        <w:t>：</w:t>
      </w:r>
      <w:r>
        <w:rPr>
          <w:rFonts w:hint="eastAsia" w:ascii="Times New Roman" w:hAnsi="Times New Roman" w:eastAsia="宋体"/>
          <w:bCs/>
          <w:sz w:val="24"/>
        </w:rPr>
        <w:t>氧化钕</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E</w:t>
      </w:r>
      <w:r>
        <w:rPr>
          <w:rFonts w:ascii="Times New Roman" w:hAnsi="Times New Roman" w:eastAsia="宋体"/>
          <w:bCs/>
          <w:sz w:val="24"/>
        </w:rPr>
        <w:t>：</w:t>
      </w:r>
      <w:r>
        <w:rPr>
          <w:rFonts w:hint="eastAsia" w:ascii="Times New Roman" w:hAnsi="Times New Roman" w:eastAsia="宋体"/>
          <w:bCs/>
          <w:sz w:val="24"/>
        </w:rPr>
        <w:t>氧化钐</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hint="eastAsia"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F</w:t>
      </w:r>
      <w:r>
        <w:rPr>
          <w:rFonts w:ascii="Times New Roman" w:hAnsi="Times New Roman" w:eastAsia="宋体"/>
          <w:bCs/>
          <w:sz w:val="24"/>
        </w:rPr>
        <w:t>：</w:t>
      </w:r>
      <w:r>
        <w:rPr>
          <w:rFonts w:hint="eastAsia" w:ascii="Times New Roman" w:hAnsi="Times New Roman" w:eastAsia="宋体"/>
          <w:bCs/>
          <w:sz w:val="24"/>
        </w:rPr>
        <w:t>氧化铕</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G</w:t>
      </w:r>
      <w:r>
        <w:rPr>
          <w:rFonts w:ascii="Times New Roman" w:hAnsi="Times New Roman" w:eastAsia="宋体"/>
          <w:bCs/>
          <w:sz w:val="24"/>
        </w:rPr>
        <w:t>：</w:t>
      </w:r>
      <w:r>
        <w:rPr>
          <w:rFonts w:hint="eastAsia" w:ascii="Times New Roman" w:hAnsi="Times New Roman" w:eastAsia="宋体"/>
          <w:bCs/>
          <w:sz w:val="24"/>
        </w:rPr>
        <w:t>氧化钆</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H</w:t>
      </w:r>
      <w:r>
        <w:rPr>
          <w:rFonts w:ascii="Times New Roman" w:hAnsi="Times New Roman" w:eastAsia="宋体"/>
          <w:bCs/>
          <w:sz w:val="24"/>
        </w:rPr>
        <w:t>：</w:t>
      </w:r>
      <w:r>
        <w:rPr>
          <w:rFonts w:hint="eastAsia" w:ascii="Times New Roman" w:hAnsi="Times New Roman" w:eastAsia="宋体"/>
          <w:bCs/>
          <w:sz w:val="24"/>
        </w:rPr>
        <w:t>氧化钇</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lang w:val="en-US" w:eastAsia="zh-CN"/>
        </w:rPr>
        <w:t>I</w:t>
      </w:r>
      <w:r>
        <w:rPr>
          <w:rFonts w:ascii="Times New Roman" w:hAnsi="Times New Roman" w:eastAsia="宋体"/>
          <w:bCs/>
          <w:sz w:val="24"/>
        </w:rPr>
        <w:t>：</w:t>
      </w:r>
      <w:r>
        <w:rPr>
          <w:rFonts w:hint="eastAsia" w:ascii="Times New Roman" w:hAnsi="Times New Roman" w:eastAsia="宋体"/>
          <w:bCs/>
          <w:sz w:val="24"/>
        </w:rPr>
        <w:t>氧化</w:t>
      </w:r>
      <w:r>
        <w:rPr>
          <w:rFonts w:hint="eastAsia" w:ascii="Times New Roman" w:hAnsi="Times New Roman" w:eastAsia="宋体"/>
          <w:bCs/>
          <w:sz w:val="24"/>
          <w:lang w:eastAsia="zh-CN"/>
        </w:rPr>
        <w:t>铽</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lang w:val="en-US" w:eastAsia="zh-CN"/>
        </w:rPr>
        <w:t>J</w:t>
      </w:r>
      <w:r>
        <w:rPr>
          <w:rFonts w:ascii="Times New Roman" w:hAnsi="Times New Roman" w:eastAsia="宋体"/>
          <w:bCs/>
          <w:sz w:val="24"/>
        </w:rPr>
        <w:t>：</w:t>
      </w:r>
      <w:r>
        <w:rPr>
          <w:rFonts w:hint="eastAsia" w:ascii="Times New Roman" w:hAnsi="Times New Roman" w:eastAsia="宋体"/>
          <w:bCs/>
          <w:sz w:val="24"/>
        </w:rPr>
        <w:t>氧化</w:t>
      </w:r>
      <w:r>
        <w:rPr>
          <w:rFonts w:hint="eastAsia" w:ascii="Times New Roman" w:hAnsi="Times New Roman" w:eastAsia="宋体"/>
          <w:bCs/>
          <w:sz w:val="24"/>
          <w:lang w:eastAsia="zh-CN"/>
        </w:rPr>
        <w:t>镝</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lang w:val="en-US" w:eastAsia="zh-CN"/>
        </w:rPr>
        <w:t>K</w:t>
      </w:r>
      <w:r>
        <w:rPr>
          <w:rFonts w:ascii="Times New Roman" w:hAnsi="Times New Roman" w:eastAsia="宋体"/>
          <w:bCs/>
          <w:sz w:val="24"/>
        </w:rPr>
        <w:t>：</w:t>
      </w:r>
      <w:r>
        <w:rPr>
          <w:rFonts w:hint="eastAsia" w:ascii="Times New Roman" w:hAnsi="Times New Roman" w:eastAsia="宋体"/>
          <w:bCs/>
          <w:sz w:val="24"/>
        </w:rPr>
        <w:t>氧化</w:t>
      </w:r>
      <w:r>
        <w:rPr>
          <w:rFonts w:hint="eastAsia" w:ascii="Times New Roman" w:hAnsi="Times New Roman" w:eastAsia="宋体"/>
          <w:bCs/>
          <w:sz w:val="24"/>
          <w:lang w:eastAsia="zh-CN"/>
        </w:rPr>
        <w:t>钬</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lang w:val="en-US" w:eastAsia="zh-CN"/>
        </w:rPr>
        <w:t>L</w:t>
      </w:r>
      <w:r>
        <w:rPr>
          <w:rFonts w:ascii="Times New Roman" w:hAnsi="Times New Roman" w:eastAsia="宋体"/>
          <w:bCs/>
          <w:sz w:val="24"/>
        </w:rPr>
        <w:t>：</w:t>
      </w:r>
      <w:r>
        <w:rPr>
          <w:rFonts w:hint="eastAsia" w:ascii="Times New Roman" w:hAnsi="Times New Roman" w:eastAsia="宋体"/>
          <w:bCs/>
          <w:sz w:val="24"/>
        </w:rPr>
        <w:t>氧化</w:t>
      </w:r>
      <w:r>
        <w:rPr>
          <w:rFonts w:hint="eastAsia" w:ascii="Times New Roman" w:hAnsi="Times New Roman" w:eastAsia="宋体"/>
          <w:bCs/>
          <w:sz w:val="24"/>
          <w:lang w:eastAsia="zh-CN"/>
        </w:rPr>
        <w:t>铒</w:t>
      </w:r>
      <w:r>
        <w:rPr>
          <w:rFonts w:ascii="Times New Roman" w:hAnsi="Times New Roman" w:eastAsia="宋体"/>
          <w:bCs/>
          <w:sz w:val="24"/>
        </w:rPr>
        <w:t>精密度数据统计</w:t>
      </w:r>
      <w:r>
        <w:rPr>
          <w:rFonts w:hint="eastAsia" w:ascii="Times New Roman" w:hAnsi="Times New Roman" w:eastAsia="宋体"/>
          <w:bCs/>
          <w:sz w:val="24"/>
          <w:lang w:eastAsia="zh-CN"/>
        </w:rPr>
        <w:t>（方法</w:t>
      </w:r>
      <w:r>
        <w:rPr>
          <w:rFonts w:hint="eastAsia" w:ascii="Times New Roman" w:hAnsi="Times New Roman" w:eastAsia="宋体"/>
          <w:bCs/>
          <w:sz w:val="24"/>
          <w:lang w:val="en-US" w:eastAsia="zh-CN"/>
        </w:rPr>
        <w:t>2）</w:t>
      </w:r>
    </w:p>
    <w:p>
      <w:pPr>
        <w:adjustRightInd w:val="0"/>
        <w:snapToGrid w:val="0"/>
        <w:spacing w:line="360" w:lineRule="auto"/>
        <w:rPr>
          <w:rFonts w:ascii="Times New Roman" w:hAnsi="Times New Roman" w:eastAsia="宋体"/>
          <w:bCs/>
          <w:sz w:val="24"/>
        </w:rPr>
      </w:pPr>
    </w:p>
    <w:p>
      <w:pPr>
        <w:adjustRightInd w:val="0"/>
        <w:snapToGrid w:val="0"/>
        <w:spacing w:line="360" w:lineRule="auto"/>
        <w:rPr>
          <w:rFonts w:hint="eastAsia" w:ascii="Times New Roman" w:hAnsi="Times New Roman" w:eastAsia="宋体"/>
          <w:bCs/>
          <w:sz w:val="24"/>
        </w:rPr>
      </w:pPr>
    </w:p>
    <w:p>
      <w:pPr>
        <w:adjustRightInd w:val="0"/>
        <w:snapToGrid w:val="0"/>
        <w:spacing w:line="360" w:lineRule="auto"/>
        <w:rPr>
          <w:rFonts w:ascii="Times New Roman" w:hAnsi="Times New Roman" w:eastAsia="宋体"/>
          <w:bCs/>
          <w:sz w:val="24"/>
        </w:rPr>
      </w:pPr>
    </w:p>
    <w:p>
      <w:pPr>
        <w:pStyle w:val="8"/>
        <w:adjustRightInd w:val="0"/>
        <w:snapToGrid w:val="0"/>
        <w:spacing w:before="0" w:line="360" w:lineRule="auto"/>
        <w:ind w:left="5250" w:leftChars="2500" w:firstLine="900" w:firstLineChars="300"/>
        <w:jc w:val="both"/>
        <w:rPr>
          <w:rFonts w:ascii="Times New Roman" w:hAnsi="Times New Roman" w:eastAsia="宋体"/>
          <w:sz w:val="21"/>
          <w:szCs w:val="21"/>
        </w:rPr>
      </w:pPr>
      <w:r>
        <w:rPr>
          <w:rFonts w:ascii="Times New Roman" w:hAnsi="Times New Roman" w:eastAsia="宋体"/>
          <w:sz w:val="30"/>
          <w:szCs w:val="30"/>
        </w:rPr>
        <w:t xml:space="preserve">   </w:t>
      </w:r>
      <w:r>
        <w:rPr>
          <w:rFonts w:ascii="Times New Roman" w:hAnsi="Times New Roman" w:eastAsia="宋体"/>
          <w:sz w:val="21"/>
          <w:szCs w:val="21"/>
        </w:rPr>
        <w:t xml:space="preserve"> 包头稀土研究院</w:t>
      </w:r>
    </w:p>
    <w:p>
      <w:pPr>
        <w:pStyle w:val="8"/>
        <w:adjustRightInd w:val="0"/>
        <w:snapToGrid w:val="0"/>
        <w:spacing w:before="0" w:line="360" w:lineRule="auto"/>
        <w:ind w:firstLine="6709" w:firstLineChars="3195"/>
        <w:jc w:val="both"/>
        <w:rPr>
          <w:rFonts w:ascii="Times New Roman" w:hAnsi="Times New Roman" w:eastAsia="宋体"/>
          <w:sz w:val="21"/>
          <w:szCs w:val="21"/>
        </w:rPr>
      </w:pPr>
      <w:r>
        <w:rPr>
          <w:rFonts w:ascii="Times New Roman" w:hAnsi="Times New Roman" w:eastAsia="宋体"/>
          <w:sz w:val="21"/>
          <w:szCs w:val="21"/>
        </w:rPr>
        <w:t>202</w:t>
      </w:r>
      <w:r>
        <w:rPr>
          <w:rFonts w:hint="eastAsia" w:ascii="Times New Roman" w:hAnsi="Times New Roman" w:eastAsia="宋体"/>
          <w:sz w:val="21"/>
          <w:szCs w:val="21"/>
        </w:rPr>
        <w:t>4</w:t>
      </w:r>
      <w:r>
        <w:rPr>
          <w:rFonts w:ascii="Times New Roman" w:hAnsi="Times New Roman" w:eastAsia="宋体"/>
          <w:sz w:val="21"/>
          <w:szCs w:val="21"/>
        </w:rPr>
        <w:t>年</w:t>
      </w:r>
      <w:r>
        <w:rPr>
          <w:rFonts w:hint="eastAsia"/>
          <w:sz w:val="21"/>
          <w:szCs w:val="21"/>
          <w:lang w:val="en-US" w:eastAsia="zh-CN"/>
        </w:rPr>
        <w:t>10</w:t>
      </w:r>
      <w:r>
        <w:rPr>
          <w:rFonts w:ascii="Times New Roman" w:hAnsi="Times New Roman" w:eastAsia="宋体"/>
          <w:sz w:val="21"/>
          <w:szCs w:val="21"/>
        </w:rPr>
        <w:t>月</w:t>
      </w:r>
      <w:r>
        <w:rPr>
          <w:rFonts w:hint="eastAsia"/>
          <w:sz w:val="21"/>
          <w:szCs w:val="21"/>
          <w:lang w:val="en-US" w:eastAsia="zh-CN"/>
        </w:rPr>
        <w:t>24</w:t>
      </w:r>
      <w:r>
        <w:rPr>
          <w:rFonts w:ascii="Times New Roman" w:hAnsi="Times New Roman" w:eastAsia="宋体"/>
          <w:sz w:val="21"/>
          <w:szCs w:val="21"/>
        </w:rPr>
        <w:t>日</w:t>
      </w:r>
    </w:p>
    <w:p>
      <w:pPr>
        <w:widowControl/>
        <w:jc w:val="left"/>
        <w:rPr>
          <w:rFonts w:ascii="Times New Roman" w:hAnsi="Times New Roman" w:eastAsia="宋体" w:cs="Times New Roman"/>
          <w:kern w:val="0"/>
          <w:szCs w:val="21"/>
        </w:rPr>
      </w:pPr>
      <w:r>
        <w:rPr>
          <w:rFonts w:ascii="Times New Roman" w:hAnsi="Times New Roman" w:eastAsia="宋体"/>
          <w:szCs w:val="21"/>
        </w:rPr>
        <w:br w:type="page"/>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附件A：氧化镧精密度数据统计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15.011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8.101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26.069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23.870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21.600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12.519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12.013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15.055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8.113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26.113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23.970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21.679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12.485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12.013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14.934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26.030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23.850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21.604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12.025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15.085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8.141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25.993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12.511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12.040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14.944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10.346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8.141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26.059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21.564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12.520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12.016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15.001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8.098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26.150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21.574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12.527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11.992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14.802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10.411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8.012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26.011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23.821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21.353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12.399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11.797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8.009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26.009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21.358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12.422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11.799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10.434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8.051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26.013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23.822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21.403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12.391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11.801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26.014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21.388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11.857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26.101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21.371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12.384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11.838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14.809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8.019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26.019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23.844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21.409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12.405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11.806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8.112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25.986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23.950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21.621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12.478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15.103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8.103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23.820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21.645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11.964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15.046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26.068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23.930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12.469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11.955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14.977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26.062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23.890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21.642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12.476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11.942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15.017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10.336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26.103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23.924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12.477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11.975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15.053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10.347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8.105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26.031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23.947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21.604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12.492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11.957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14.815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25.829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23.826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21.363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11.808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8.029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25.510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23.833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11.803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8.019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23.841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21.379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11.804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8.059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25.867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23.842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21.379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12.386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11.817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10.419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8.067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25.906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23.836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21.351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12.391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11.812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25.828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23.839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21.367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12.415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11.821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15.512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10.526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23.995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21.852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15.452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10.327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8.214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26.223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23.868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21.735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12.225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12.254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15.328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10.289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8.169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23.958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21.906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12.136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12.168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15.535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8.185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26.115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23.882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21.835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12.208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12.205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15.367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10.368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8.167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26.237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23.975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21.864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12.109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12.185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15.266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10.446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8.205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26.114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23.965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21.774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12.246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12.135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15.158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11.011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8.688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26.553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24.707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22.458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15.189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10.965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8.642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26.701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24.701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22.482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15.196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11.017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8.670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26.447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24.654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22.447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15.166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11.008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8.698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26.525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24.674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22.394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15.225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10.996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8.668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26.401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24.699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22.366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15.164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11.025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8.696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26.417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24.679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22.434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14.821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10.246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7.951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25.869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23.681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14.859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10.257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8.125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26.013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23.775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21.579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14.734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10.264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7.952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25.903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23.817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21.504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14.730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10.258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8.038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25.853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23.793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21.539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14.844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10.260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7.976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25.959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23.862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21.664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14.901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8.015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26.150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21.674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15.0050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10.3487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8.1155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26.0690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23.9112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21.6100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12.5073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12.0165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14.8208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10.3905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8.0245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26.0278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23.8310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21.3803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12.4063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11.8163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15.0297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10.3380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8.1188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26.0312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23.9102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21.6280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12.4790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11.9582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14.8253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10.4258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8.0410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25.7958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23.8362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21.3702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12.4148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11.8108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15.4100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10.4013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8.1827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26.1443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23.9405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21.8277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12.1748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12.1838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15.1830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11.0037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8.6770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26.5073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24.6857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22.4302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14.8148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10.2568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8.0095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25.9578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23.7967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21.5767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0.059521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0.024969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0.020472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0.056381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0.050066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0.042778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0.019169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0.015808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0.026716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0.013121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0.042321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0.015515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0.036002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0.010139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0.023355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0.019876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0.025057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0.052766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0.047740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0.005138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0.014063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0.060622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0.049122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0.015232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0.007642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0.010907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0.011962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0.0053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0.0052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0.0183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0.1432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0.0060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0.0120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0.0222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0.0072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0.1069</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0.0887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0.0229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0.0714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0.0524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0.0626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0.0583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0.0419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0.0255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0.0213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0.0213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0.1123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0.0203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0.0429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0.0693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0.0060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0.0664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0.1112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0.0657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0.0770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 xml:space="preserve">虔东稀土集团股份有限公司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0.106866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0.088724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0.066383 </w:t>
            </w:r>
          </w:p>
        </w:tc>
        <w:tc>
          <w:tcPr>
            <w:tcW w:w="1141"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0.143228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0.065735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0.077050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0.058321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0.041911 </w:t>
            </w:r>
          </w:p>
        </w:tc>
        <w:tc>
          <w:tcPr>
            <w:tcW w:w="1120"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0.052766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2.2890E-02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1.0828E-02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6.5817E-03</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5.8730E-02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1.2539E-02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1.4440E-02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4.7137E-03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2.8051E-03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5.7906E-03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0.4989</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0.7270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0.6695</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0.3493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0.3446</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0.4111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0.7216</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0.6262</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15.01267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10.45212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8.16700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26.07619</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23.98733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21.68900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12.39647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11.95713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10.43310</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2.2296E-01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2.4938E-01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2.3320E-01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2.1892E-01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3.1232E-01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3.6241E-01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1.3101E-01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1.5504E-01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5.5144E-02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15.4100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11.0037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8.6770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26.5073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24.6857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22.4302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12.5073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12.1838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10.5018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14.8148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10.2568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8.0095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25.7958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23.7967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21.3702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12.1748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11.8108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10.3725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1.782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2.212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2.187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1.969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2.236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2.045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0.846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1.462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1.246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0.887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0.783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0.675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1.281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0.610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0.880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1.692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0.944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1.099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15.013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10.452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8.167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26.076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23.987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21.689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12.396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11.957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10.433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630.532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438.989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343.014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1095.2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1007.468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910.938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371.894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358.714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312.993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9465.966739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4588.365289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2801.395338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28558.64381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24166.47074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19757.33428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4610.171575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4289.191127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3265.487268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1.1445E-01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5.4141E-02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3.2909E-02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2.9365E-01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6.2693E-02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7.2200E-02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2.3568E-02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1.4025E-02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2.8953E-02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0.003270067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0.00154689</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0.000940248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0.008389943</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0.001791219</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0.002062848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0.000942733</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0.000561013</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0.001158127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0.000545011</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0.000257815</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cs="Times New Roman"/>
                <w:color w:val="000000"/>
                <w:sz w:val="15"/>
                <w:szCs w:val="15"/>
              </w:rPr>
              <w:t>0.000156708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0.001398324</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0.000298537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0.000343808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0.000157122</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9.35022E-05</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0.000193021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0.003815078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0.001804706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0.001096956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0.009788267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0.002089756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0.002406656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0.001099856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0.000654516</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0.001351148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15.01266667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10.45211905</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8.167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26.07619048</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23.98733333</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21.689</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12.39646667</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11.95713333</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10.4331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0.057184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0.039331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0.030663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0.091597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0.042323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0.045419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0.030704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0.023686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0.034031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0.061766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0.042482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 xml:space="preserve">0.033120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0.098936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0.045714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0.049058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0.033164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0.025584 </w:t>
            </w:r>
          </w:p>
        </w:tc>
        <w:tc>
          <w:tcPr>
            <w:tcW w:w="1004"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 xml:space="preserve">0.036758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0.160117</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0.110125</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0.085858</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0.256471</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0.118504</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0.127172</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0.085971</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0.066320</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0.095288</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0.172946</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0.118949</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color w:val="000000"/>
                <w:sz w:val="15"/>
                <w:szCs w:val="15"/>
              </w:rPr>
              <w:t>0.092737</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0.277020</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0.127999</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0.137361</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0.092859</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0.071634</w:t>
            </w:r>
          </w:p>
        </w:tc>
        <w:tc>
          <w:tcPr>
            <w:tcW w:w="100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cs="Times New Roman"/>
                <w:color w:val="000000"/>
                <w:sz w:val="15"/>
                <w:szCs w:val="15"/>
              </w:rPr>
              <w:t>0.102922</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3"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附件B：氧化铈精密度数据统计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B</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27.289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20.090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14.671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31.733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26.142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24.449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27.246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14.672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34.857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31.810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28.751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26.085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24.494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19.972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14.643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34.711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31.644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28.666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26.080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24.502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27.377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19.930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14.682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34.839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31.698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28.696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24.506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20.023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34.779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31.784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28.659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26.120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24.474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27.168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34.942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31.782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26.140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24.452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19.819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34.689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31.573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27.861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26.287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27.114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19.791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14.399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34.672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31.592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27.911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26.266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24.424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27.204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19.699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34.683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27.922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24.469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27.109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19.807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14.415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34.681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31.573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27.899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26.301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24.503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14.427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34.677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31.527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27.887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26.283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24.416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27.110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31.552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27.906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26.311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24.507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27.112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20.018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14.689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34.853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31.739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28.691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26.074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24.378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27.263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19.982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14.678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35.062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28.645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26.097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24.369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27.202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20.012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14.687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33.856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31.824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28.657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26.087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19.967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14.696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34.925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28.661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24.392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27.289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19.971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14.691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34.881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31.698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28.647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26.113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24.379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27.103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20.032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34.907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28.643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26.109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24.365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27.118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19.798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14.481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34.699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31.555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27.923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26.277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24.479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19.816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14.501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34.677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31.581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27.854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26.308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24.507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27.208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14.473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34.692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31.553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27.798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26.299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24.441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19.734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14.435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34.616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31.556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27.824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24.403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14.456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34.678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31.571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27.833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26.301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24.424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27.121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19.811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14.434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34.671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31.576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27.844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26.275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24.462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26.914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14.558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34.953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28.325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26.625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24.158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26.725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19.954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14.606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35.023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31.747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28.445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26.598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24.255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26.956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19.753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14.543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35.134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31.635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28.362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26.634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24.249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26.832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19.952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14.584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34.992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31.678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28.397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26.642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24.168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26.814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19.862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14.619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34.985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28.432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26.618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24.178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26.903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19.729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14.615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35.096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31.765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28.348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26.637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24.246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21.624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27.703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20.360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34.192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31.841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29.032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20.197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14.775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34.169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31.813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28.862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27.716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20.652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14.854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34.236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31.772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28.988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27.714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20.118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14.840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34.038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32.197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28.939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27.782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20.392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14.824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34.269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31.891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29.244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27.694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20.369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14.875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34.256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31.875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28.991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27.436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20.190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14.763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31.733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27.439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20.183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14.843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34.857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31.810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28.767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27.378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20.212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14.748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34.711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31.644 </w:t>
            </w: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Times New Roman"/>
                <w:color w:val="000000"/>
                <w:sz w:val="18"/>
                <w:szCs w:val="18"/>
              </w:rPr>
              <w:t xml:space="preserve">28.638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14.730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10.258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8.038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25.853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23.793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21.539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14.844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10.260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7.976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25.959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23.862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21.664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14.901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10.256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8.015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26.150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23.852 </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 xml:space="preserve">21.674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22"/>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27.2177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19.9903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14.6697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34.8252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31.7418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28.6870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26.1122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24.4795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27.1268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19.7917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14.4135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34.6812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31.5697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27.8977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26.2872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24.4585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27.1823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19.9970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14.6860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34.7473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31.7673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28.6573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26.1020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24.3780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27.1373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19.7892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14.4633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34.6722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31.5653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27.8460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26.2908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24.4527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26.8573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19.8525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14.5875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35.0305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31.7070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28.3848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26.6257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24.2090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27.7258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20.3480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14.8322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34.1933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31.8982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29.0093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27.4155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20.1463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14.7807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34.8252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31.7418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28.6818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0.105597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0.057309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0.015016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0.077492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0.062624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0.034322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0.026596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0.025042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0.027948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0.038478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0.046745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0.010464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0.006014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0.026964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0.021445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0.016570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0.040352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0.035308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0.080993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0.027174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0.008000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0.442624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0.045614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0.017952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0.020513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0.009960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0.008019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0.0349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0.0305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0.0266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0.0294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0.0121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0.0423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0.0378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0.0837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0.0955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0.0315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0.0702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0.0492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0.0479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0.0161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0.0454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0.0327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0.1847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0.0339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0.0851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0.1525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0.1289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0.0934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0.0579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0.0689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0.0775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0.0626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sz w:val="18"/>
                <w:szCs w:val="18"/>
              </w:rPr>
              <w:t>0.0444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湖南稀土金属材料研究院有限责任公司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0.105597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0.184737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0.068931 </w:t>
            </w:r>
          </w:p>
        </w:tc>
        <w:tc>
          <w:tcPr>
            <w:tcW w:w="1141"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0.442624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0.152531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0.128862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0.026596 </w:t>
            </w:r>
          </w:p>
        </w:tc>
        <w:tc>
          <w:tcPr>
            <w:tcW w:w="968"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0.045449 </w:t>
            </w:r>
          </w:p>
        </w:tc>
        <w:tc>
          <w:tcPr>
            <w:tcW w:w="1120" w:type="dxa"/>
            <w:vAlign w:val="center"/>
          </w:tcPr>
          <w:p>
            <w:pPr>
              <w:keepNext w:val="0"/>
              <w:keepLines w:val="0"/>
              <w:widowControl/>
              <w:suppressLineNumbers w:val="0"/>
              <w:jc w:val="center"/>
              <w:textAlignment w:val="center"/>
              <w:rPr>
                <w:rFonts w:hint="eastAsia" w:ascii="Times New Roman" w:hAnsi="Times New Roman" w:eastAsia="Times New Roman" w:cstheme="minorBidi"/>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0.050926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3.7202E-02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5.3739E-02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8.0012E-03</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2.2099E-01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3.6484E-02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2.4621E-02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1.8488E-03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5.8517E-03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5.2098E-03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0.2997</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0.6351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0.5938</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0.8865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0.6377</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0.6745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0.3826</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0.3530</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27.23755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19.98786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14.63326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34.71069</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31.71302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28.45200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26.28357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24.39553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21.57433</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2.7092E-01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2.0461E-01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1.5528E-01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2.5815E-01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1.1640E-01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4.3586E-01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2.1180E-01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1.1111E-01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1.4024E-01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27.7258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20.3480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14.8322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35.0305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31.8982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29.0093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26.6257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24.4795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21.7307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26.8573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19.7892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14.4135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34.1933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31.5653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27.8460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26.1020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24.2090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21.4043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1.802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1.760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1.281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1.239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1.591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1.279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1.615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0.756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1.115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1.403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0.971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1.415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2.004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1.269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1.390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0.857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1.679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1.212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B</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27.238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19.988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14.633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34.711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31.713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28.452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26.284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24.396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21.574</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1143.977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839.49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614.597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1457.849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1331.947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1194.984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788.507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731.866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647.23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31159.12801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16779.60619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8993.558867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50602.9454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42240.06692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33999.68477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20724.7763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17854.2614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13963.55576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1.8601E-01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2.6869E-01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4.0006E-02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1.1050E+00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1.8242E-01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1.2310E-01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9.2438E-03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2.9258E-02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2.6049E-02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i w:val="0"/>
                <w:iCs w:val="0"/>
                <w:color w:val="000000"/>
                <w:kern w:val="0"/>
                <w:sz w:val="15"/>
                <w:szCs w:val="15"/>
                <w:u w:val="none"/>
                <w:lang w:val="en-US" w:eastAsia="zh-CN" w:bidi="ar"/>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0.005314643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0.007676981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0.001143024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0.031570043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0.005212014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0.003517248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0.000369753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0.001170333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0.00104196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0.000885774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0.001279497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0.000190504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0.005261674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0.000868669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0.000586208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6.16256E-05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0.000195056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0.00017366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0.006200417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0.008956478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0.001333528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0.036831717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0.006080683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0.004103456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0.000431379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0.001365389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0.00121562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27.23754762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19.98785714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14.6332619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34.71069048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31.71302381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28.452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26.28356667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24.39553333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21.57433333</w:t>
            </w:r>
          </w:p>
        </w:tc>
      </w:tr>
      <w:tr>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0.072902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0.087618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0.033809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0.177680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0.072194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0.059306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0.019229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0.034210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0.032279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0.078743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0.094639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0.036517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0.191916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0.077979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0.064058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0.020770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0.036951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0.034866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0.204124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0.245331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0.094664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0.497503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0.202144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0.166058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0.053841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0.095788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0.090382</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0.220480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0.264988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0.102249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0.537365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0.218340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0.179363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0.058155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0.103463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0.097624</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4"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附件C：氧化镨精密度数据统计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C</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包头稀土研究研究</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2.540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2.850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2.467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2.664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2.604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2.338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2.113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2.089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2.071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2.359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2.327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2.510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2.507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2.109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2.4213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1.8862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2.4942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2.7745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2.5788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1.8970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2.4982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2.4730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2.2547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2.5743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2.3303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2.5428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1.8155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2.1927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2.5935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2.4712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2.3418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1.8695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2.2723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0.026372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0.014689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0.006306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0.019104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0.014692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0.010483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0.012740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0.011583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0.004916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0.014199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0.007195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0.009020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0.012172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0.007148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0.011553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0.020829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0.004427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0.016428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0.004367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0.036000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0.014180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0.007737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0.008869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0.004676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0.0215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0.0461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0.0342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0.0208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0.0181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0.0373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0.0234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0.0243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0.0258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湖南稀土金属材料研究院有限责任公司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虔东稀土集团股份有限公司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0.046097</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0.033243</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0.007960</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0.036000</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0.020762</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0.022400</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0.037324</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0.021470</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0.030514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3.7214E-03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2.6293E-03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2.6950E-04</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3.7053E-03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1.1923E-03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1.1089E-03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1.8639E-03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1.1570E-03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1.4780E-03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0.5710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0.4203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0.2351</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0.3498</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0.3615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0.4525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0.7474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0.3984</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2.43983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1.86702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1.33079</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2.52338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2.31907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2.13452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2.76053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2.53057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2.25093</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1.1355E-01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2.9352E-02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4.2776E-02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1.4808E-01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1.3387E-01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1.0277E-01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1.0015E-01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3.8135E-02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8.9153E-02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2.5820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1.8970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1.3757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2.7658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2.6040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2.3418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2.8643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2.5743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2.3035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2.2862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1.8155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1.2460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2.2882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2.1927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2.0423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2.5935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2.4712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2.0923</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1.252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1.021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1.049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1.637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2.128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2.017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1.036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1.148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0.590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1.353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1.755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1.982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1.588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0.944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0.897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1.668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1.558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1.779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C</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2.440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1.867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1.331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2.135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2.761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2.531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2.251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102.473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78.415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55.893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105.982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97.401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89.65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82.816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75.917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67.528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250.0170412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146.402672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74.38160593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267.4329601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225.8798762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191.3600595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228.6163285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192.1130296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152.0010261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1.8607E-02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1.3147E-02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1.3475E-03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1.8527E-02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5.9615E-03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5.5447E-03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9.3197E-03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5.7852E-03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7.3900E-03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0.000531633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0.000375614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3.85E-05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0.000529333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0.000170329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0.000158419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0.000372787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0.000231407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0.0002956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8.86056E-05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6.26024E-05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6.41667E-06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8.82222E-05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2.83881E-05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2.64032E-05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6.21311E-05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3.85678E-05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4.92667E-05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0.000620239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0.000438217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4.49167E-05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0.000617556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0.000198717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0.000184822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0.000434918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0.000269974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0.000344867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2.439833333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1.86702381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1.330785714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2.523380952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2.319071429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2.13452381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2.760533333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2.530566667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2.250933333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0.023057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0.019381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0.006205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0.023007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0.013051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0.012586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0.019308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0.015212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0.017193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0.024905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0.020934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0.006702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0.024851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0.014097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0.013595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0.020855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0.016431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0.018571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0.064560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0.054266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0.017374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0.064420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0.036543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0.035242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0.054062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0.042594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0.048140</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0.069733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0.058614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0.018766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0.069582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0.039471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0.038066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0.058393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0.046007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0.051998</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5"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附件D：氧化钕精密度数据统计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D</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4.110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6.497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8.395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8.530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4.467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7.413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4.471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7.216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7.426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4.476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7.250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7.417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4.478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6.422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4.459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7.262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7.417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4.466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7.233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7.377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4.207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6.937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5.969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7.359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4.171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5.878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7.327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4.168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6.891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5.968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7.395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4.182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6.093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4.174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5.959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7.2325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6.9748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6.5075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6.0723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9.7085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8.6567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7.3070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6.0330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7.1803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6.4903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6.1325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9.6187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8.4930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7.3237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6.1497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6.9520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6.4950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6.0730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9.7287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8.6757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7.3092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6.0430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7.2018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6.4902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9.6088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8.4973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7.3507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6.2182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4.2203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6.9965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6.5117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9.2802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8.7132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7.4202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6.2487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7.2390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7.0720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6.4368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7.3392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6.2123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6.9075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6.4340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0.030052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0.013441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0.007026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0.009888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0.012661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0.016585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0.017026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0.011570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0.008565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0.015799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0.013491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0.009304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0.048866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0.013292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0.008620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0.020324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0.050275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0.034724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0.008165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0.011860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0.007705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0.057296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0.014014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0.011781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0.007062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0.008238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 xml:space="preserve">0.008377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0.0117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0.0059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0.0084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0.0107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0.0074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0.0092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0.0135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0.0376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0.0755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0.0490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0.0274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0.0341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0.0174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0.0326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0.0325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0.0052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0.0186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0.0070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0.0207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0.0040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0.0184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0.0526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0.0282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0.0141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0.0476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0.0285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0.0694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6"/>
                <w:szCs w:val="16"/>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湖南稀土金属材料研究院有限责任公司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 xml:space="preserve">虔东稀土集团股份有限公司 </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赣州艾科锐检测技术有限公司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0.075466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0.049028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0.027442 </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0.057296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0.028538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0.069396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0.032493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0.050275 </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0.038067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9.8457E-03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4.0848E-03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1.2675E-03</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9.7352E-03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1.7198E-03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6.7926E-03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1.9912E-03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4.3166E-03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3.6502E-03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0.5784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0.5885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0.5941</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0.3372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0.4735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0.7090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0.5302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0.5856</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7.32605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6.15007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4.18012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7.06457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6.57152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6.13969</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9.58897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8.60717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7.94857</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5.6334E-02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8.5073E-02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1.3758E-01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1.3705E-01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2.2216E-01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1.4511E-01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1.8058E-01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1.0425E-01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1.5835E-01</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7.4202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6.2487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4.4695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7.2390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7.0720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6.4368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9.7287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8.7132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8.0812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7.2325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6.0330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4.0812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6.9075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6.4340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5.9697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9.2802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8.4930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7.7728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1.671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1.159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2.103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1.273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2.253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2.048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0.774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1.017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0.837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1.661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1.376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0.719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1.146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0.619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1.172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1.710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1.095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1.110 </w:t>
            </w:r>
          </w:p>
        </w:tc>
      </w:tr>
      <w:tr>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D</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7.326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6.150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7.065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6.572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6.140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9.589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8.607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7.949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307.694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258.303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175.565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296.712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276.004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257.867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287.669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258.215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238.457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2254.180896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1588.5819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733.8826006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2096.143118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1813.766858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1583.223564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2758.448452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2222.499541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1895.391362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4.9229E-02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2.0424E-02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6.3375E-03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4.8676E-02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8.5990E-03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3.3963E-02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9.9558E-03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2.1583E-02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1.8251E-02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0.001406533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0.000583548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0.000181071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0.001390743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0.000245686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0.000970376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0.000398233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0.000863313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0.000730047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0.000234422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9.72579E-05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3.01786E-05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0.00023179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4.09476E-05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0.000161729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6.63722E-05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0.000143886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0.000121674</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0.001640956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0.000680806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0.00021125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0.001622533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0.000286633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0.001132106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0.000464606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0.001007199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0.000851721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7.326047619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6.150071429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4.180119048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7.064571429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6.57152381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6.139690476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9.588966667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8.607166667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7.948566667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0.037504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0.024157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0.013456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0.037293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0.015674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0.031151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0.019956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0.029382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0.027019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0.040509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0.026092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0.014534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0.040281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0.016930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0.033647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0.021555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0.031736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0.029184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0.105011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0.067639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0.037678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0.104419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0.043888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0.087222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0.055876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0.082270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0.075654</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0.113424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0.073058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0.040696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0.112786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0.047405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0.094211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0.060353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0.088862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0.081716</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6"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附件E：氧化钐精密度数据统计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E</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0.506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0.633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0.411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0.397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0.418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0.384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0.607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0.603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0.610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0.608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0.342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0.472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0.614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0.339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0.533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0.451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E</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0.4710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0.5430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1.3858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0.5883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0.4637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0.3585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0.5908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0.4757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1.3707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0.4718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0.5660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0.4700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0.3593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0.5448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0.4758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0.5420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0.5070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1.2757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0.6302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0.5523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0.4102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0.3860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0.4655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0.5388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0.4635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E</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0.006099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0.004817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0.007394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0.010881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0.010284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0.002787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0.007387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0.006178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0.003077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0.006282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0.011703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0.003430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0.003578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0.004506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0.010405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0.009331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0.005419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0.008287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0.006882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0.008864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0.005913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0.002160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0.002503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0.002160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0.0133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E</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E</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 xml:space="preserve">虔东稀土集团股份有限公司 </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 xml:space="preserve">虔东稀土集团股份有限公司 </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 xml:space="preserve">虔东稀土集团股份有限公司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0.013303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0.011057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0.011703 </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0.012849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0.010507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0.007782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0.010405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0.010013 </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0.024457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3.7000E-04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4.0583E-04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4.2927E-04</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6.1360E-04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3.9033E-04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1.9947E-04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2.9167E-04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3.1113E-04</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7.8853E-04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0.4783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0.3013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0.3191</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0.2691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0.2828</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0.3036</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0.3712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0.3223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E</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0.59338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0.48226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0.34981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0.54505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0.48648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0.43171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1.52407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1.29093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1.18173</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2.6158E-02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3.1244E-02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2.8294E-02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2.1788E-02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4.3142E-02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6.0805E-02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1.7384E-01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2.2357E-02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3.1096E-02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0.6302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0.5523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0.4102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0.5812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0.5232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0.4858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1.8035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1.3183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1.2298</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0.5448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0.4637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0.3238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0.5205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0.4030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0.3585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1.3707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1.2683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1.1512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1.406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2.243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2.133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1.658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0.850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0.890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1.607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1.226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1.547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1.856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0.595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0.918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1.127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1.935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1.204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0.882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1.011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0.983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0.593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0.482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0.350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0.545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0.432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1.291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1.182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24.922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20.255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14.692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22.892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20.432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18.132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45.722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38.728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35.452</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14.7882401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9.768214881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5.139401524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12.4772301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9.939681524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7.827843429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69.68337613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49.99526613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41.89481013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1.8500E-03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2.0292E-03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2.1463E-03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3.0680E-03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1.9517E-03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9.9733E-04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1.4583E-03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1.5557E-03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3.9427E-03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5.28571E-05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5.79762E-05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6.13238E-05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8.76571E-05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5.57619E-05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2.84952E-05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5.83333E-05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6.22267E-05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0.000157707</w:t>
            </w:r>
          </w:p>
        </w:tc>
      </w:tr>
      <w:tr>
        <w:tblPrEx>
          <w:tblCellMar>
            <w:top w:w="0" w:type="dxa"/>
            <w:left w:w="108" w:type="dxa"/>
            <w:bottom w:w="0" w:type="dxa"/>
            <w:right w:w="108"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8.80952E-06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9.6627E-06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1.02206E-05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1.46095E-05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9.29365E-06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4.74921E-06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9.72222E-06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1.03711E-05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2.62844E-05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6.16667E-05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6.76389E-05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7.15444E-05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0.000102267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6.50556E-05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3.32444E-05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6.80556E-05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7.25978E-05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0.000183991</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0.593380952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0.482261905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0.349809524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0.545047619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0.48647619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0.431714286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1.524066667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1.290933333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1.181733333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0.007270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0.007614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0.007831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0.009363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0.007467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0.005338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0.007638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0.007888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0.012558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0.007853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0.008224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0.008458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0.010113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0.008066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0.005766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0.008250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0.008520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0.013564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0.020357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0.021320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0.021927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0.026215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0.020909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0.014947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0.021385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0.022087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0.035163</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0.021988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0.023028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0.023684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0.028316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0.022584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0.016144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0.023099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0.023857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0.037980</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7"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附件F：氧化铕精密度数据统计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F</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0.306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F</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0.0687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0.2805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0.0287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0.0875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0.0762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0.0883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0.0193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F</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0.003899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0.007394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0.005636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0.008620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0.008091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0.008430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0.017627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0.017274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0.023853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0.002639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0.004676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0.001225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0.002483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0.002098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0.001862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0.003406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0.004215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0.002639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0.005753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0.005279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0.002683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0.010328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0.007146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0.008981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0.010450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0.0131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F</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F</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国标（北京）检验认证有限公司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 xml:space="preserve"> 湖南稀土金属材料研究院有限责任公司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包头稀土研究院</w:t>
            </w:r>
            <w:r>
              <w:rPr>
                <w:rFonts w:hint="eastAsia" w:ascii="Times New Roman" w:hAnsi="Times New Roman" w:eastAsia="宋体"/>
                <w:sz w:val="16"/>
                <w:szCs w:val="16"/>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0.009268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0.007394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0.005636 </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0.013096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0.010328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0.008430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0.017627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0.017274 </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0.023853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1.5907E-04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2.2970E-04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8.7100E-05</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3.3083E-04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2.6663E-04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2.6887E-04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5.3750E-04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5.0023E-04</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8.0000E-04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0.5400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0.2380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0.3647</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0.5184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0.4001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0.2643</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0.5780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0.5965</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F</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0.12014</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0.08760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0.02436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0.06779</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0.06136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0.04781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0.26117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0.15857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0.17793</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6.5908E-03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1.0217E-02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1.3162E-02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1.6942E-02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1.3464E-02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1.3489E-02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4.1654E-02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4.6351E-02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3.2310E-02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0.1300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0.1067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0.0542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0.1035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0.0715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0.0650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0.3023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0.2070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0.2135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0.1132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0.0762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0.0182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0.0485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0.0408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0.0287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0.2157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0.1075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0.1427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1.496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1.867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2.265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2.108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0.753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1.274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0.988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1.045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1.101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1.058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1.119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0.470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1.138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1.524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1.419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1.092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1.102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1.092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0.120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0.088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0.261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0.159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0.178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5.046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3.679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1.023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2.847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2.577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2.008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7.835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4.757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5.338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0.606240857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0.322262881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0.024917357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0.192985929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0.158117357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0.096001524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2.046240833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0.754301633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0.949808133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7.9533E-04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1.1485E-03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4.3550E-04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1.6542E-03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1.3332E-03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1.3443E-03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2.6875E-03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2.5012E-03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4.0000E-03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2.27238E-05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3.28143E-05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1.24429E-05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4.72619E-05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3.80905E-05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3.84095E-05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0.0001075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0.000100047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3.7873E-06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5.46905E-06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2.07381E-06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7.87698E-06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6.34841E-06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6.40159E-06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1.79167E-05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1.66744E-05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2.66667E-05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2.65111E-05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3.82833E-05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1.45167E-05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5.51389E-05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4.44389E-05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4.48111E-05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0.000125417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0.000116721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0.000186667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0.120142857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0.087595238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0.024357143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0.067785714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0.061357143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0.047809524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0.261166667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0.158566667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0.177933333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0.004767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0.005728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0.003527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0.006875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0.006172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0.006198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0.010368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0.010002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0.012649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0.005149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0.006187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0.003810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0.007426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0.006666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0.006694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0.011199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0.010804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0.013663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0.013347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0.016039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0.009877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0.019249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0.017281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0.017353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0.029031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0.028007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0.035418</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0.014417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0.017325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0.010668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0.020792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0.018665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0.018744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0.031357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0.030251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0.038255</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8"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附件G：氧化钆精密度数据统计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G</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1.116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0.258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0.223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1.0572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0.1633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0.1813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0.2097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0.1653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0.2008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0.1483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0.004370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0.002338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0.003920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0.005046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0.004367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0.004243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0.010342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0.002881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0.005037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0.005007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0.005441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0.003601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0.002927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0.004722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0.009571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0.009354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0.010602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0.002787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0.003559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0.003615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0.006229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0.005391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0.004290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0.004167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0.004082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0.0246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0.0301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赣州艾科锐检测技术有限公司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0.010252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0.006713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0.007092 </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0.006439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0.008841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0.007885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0.024617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0.030146 </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0.016947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1.9797E-04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1.3830E-04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1.5650E-04</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1.9397E-04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1.9150E-04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1.8480E-04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8.5303E-04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1.0676E-03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5.6753E-04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0.5309</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0.3259</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0.3214</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0.2138</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0.4082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0.3364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0.7104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0.8513</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0.23112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0.17202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0.14283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0.21788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0.18593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0.16076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1.02797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1.02177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0.87660</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1.3392E-02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7.4451E-03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1.2267E-02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1.6118E-02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3.0963E-02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4.0254E-02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4.1889E-02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5.4751E-02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1.3619E-02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0.2495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0.1813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0.1585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0.2390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0.2168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0.2008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1.0750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1.0940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0.8975</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0.2095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0.1633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0.1275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0.1968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0.1448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0.1055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0.9825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0.9655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0.8630</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1.373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1.250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1.277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1.310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0.998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0.995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1.123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1.319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1.535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1.614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1.167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1.250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1.306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1.327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1.373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1.085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1.028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0.999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G</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0.231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0.172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0.218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0.161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1.028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1.022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0.877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9.707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7.225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5.999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9.151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7.809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6.752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30.839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30.653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26.298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2.243472595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1.242872024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0.856857167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1.993828595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1.451916214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1.085464381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31.70146403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31.32021363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23.0528268</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9.8983E-04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6.9150E-04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7.8250E-04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9.6983E-04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9.5750E-04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9.2400E-04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4.2652E-03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5.3378E-03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2.8377E-03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2.8281E-05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1.97571E-05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2.23571E-05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2.77095E-05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2.73571E-05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0.0000264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0.000170607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0.000213513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0.000113507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4.71349E-06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3.29286E-06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3.72619E-06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4.61825E-06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4.55952E-06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4.4E-06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2.84344E-05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3.55856E-05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1.89178E-05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3.29944E-05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2.305E-05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2.60833E-05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3.23278E-05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3.19167E-05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0.000199041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0.000249099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0.000132424</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0.231119048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0.17202381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0.142833333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0.217880952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0.185928571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0.160761905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1.027966667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1.021766667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0.8766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0.005318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0.004445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0.004728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0.005264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0.005230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0.005138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0.013062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0.014612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0.010654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0.005744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0.004801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0.005107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0.005686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0.005649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0.005550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0.014108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0.015783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0.011508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0.014890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0.012446</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0.013239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0.014739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0.014645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0.014387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0.036573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0.040914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0.029831</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0.016083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0.013443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0.014300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0.015920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0.015819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0.015539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0.039503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0.044192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0.032221</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9"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附件H：氧化钇精密度数据统计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H</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015"/>
        <w:gridCol w:w="961"/>
        <w:gridCol w:w="961"/>
        <w:gridCol w:w="961"/>
        <w:gridCol w:w="961"/>
        <w:gridCol w:w="961"/>
        <w:gridCol w:w="961"/>
        <w:gridCol w:w="96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水平2</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水平4</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水平5</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水平8</w:t>
            </w:r>
          </w:p>
        </w:tc>
        <w:tc>
          <w:tcPr>
            <w:tcW w:w="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22"/>
                <w:u w:val="none"/>
              </w:rPr>
            </w:pPr>
            <w:r>
              <w:rPr>
                <w:rFonts w:hint="default" w:ascii="Times New Roman" w:hAnsi="Times New Roman" w:eastAsia="宋体" w:cs="Times New Roman"/>
                <w:i w:val="0"/>
                <w:iCs w:val="0"/>
                <w:color w:val="000000"/>
                <w:kern w:val="0"/>
                <w:sz w:val="18"/>
                <w:szCs w:val="22"/>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包头稀土研究院</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2.442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 xml:space="preserve">虔东稀土集团股份有限公司  </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1.451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2.400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湖南稀土金属材料研究院有限责任公司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2.379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赣州艾科锐检测技术有限公司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2.401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钨与稀土</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1.712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2.368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0.146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1.702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0.144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1.705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2.375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1.698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国标（北京）检验认证有限公司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0.118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0.056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20"/>
                <w:u w:val="none"/>
              </w:rPr>
            </w:pPr>
            <w:r>
              <w:rPr>
                <w:rFonts w:hint="eastAsia" w:ascii="Times New Roman" w:hAnsi="Times New Roman" w:eastAsia="宋体" w:cs="宋体"/>
                <w:i w:val="0"/>
                <w:iCs w:val="0"/>
                <w:color w:val="000000"/>
                <w:kern w:val="0"/>
                <w:sz w:val="18"/>
                <w:szCs w:val="20"/>
                <w:u w:val="none"/>
                <w:lang w:val="en-US" w:eastAsia="zh-CN" w:bidi="ar"/>
              </w:rPr>
              <w:t>国合通用（青岛）测试评价有限公司</w:t>
            </w: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0.177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0.168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0.164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0.161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0.160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0.181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0.163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20"/>
                <w:u w:val="none"/>
              </w:rPr>
            </w:pPr>
          </w:p>
        </w:tc>
        <w:tc>
          <w:tcPr>
            <w:tcW w:w="1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0.171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0.162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0.176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 </w:t>
            </w: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 </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6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H</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900"/>
        <w:gridCol w:w="900"/>
        <w:gridCol w:w="870"/>
        <w:gridCol w:w="900"/>
        <w:gridCol w:w="885"/>
        <w:gridCol w:w="900"/>
        <w:gridCol w:w="88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包头稀土研究院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0.0893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虔东稀土集团股份有限公司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0.1417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湖南稀土金属材料研究院有限责任公司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0.1587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0.1793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赣州艾科锐检测技术有限公司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0.1537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2.3900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钨与稀土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0.1522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0.1480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国标（北京）检验认证有限公司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sz w:val="18"/>
                <w:szCs w:val="18"/>
                <w:u w:val="none"/>
                <w:lang w:val="en-US" w:eastAsia="zh-CN"/>
              </w:rPr>
              <w:t>国合通用（青岛）测试评价有限公司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bl>
    <w:p>
      <w:pPr>
        <w:jc w:val="center"/>
        <w:rPr>
          <w:rFonts w:hint="eastAsia" w:ascii="Times New Roman" w:hAnsi="Times New Roman" w:eastAsia="宋体" w:cs="宋体"/>
          <w:i w:val="0"/>
          <w:iCs w:val="0"/>
          <w:color w:val="000000"/>
          <w:sz w:val="18"/>
          <w:szCs w:val="18"/>
          <w:u w:val="none"/>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H</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5"/>
        <w:gridCol w:w="891"/>
        <w:gridCol w:w="891"/>
        <w:gridCol w:w="891"/>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水平9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包头稀土研究院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0.000837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0.000516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0.000548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0.001211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0.000516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0.000516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0.000894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0.002137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虔东稀土集团股份有限公司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0.002944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0.006408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0.004183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0.005550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0.001033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0.002160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0.007167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0.009913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0.006346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 xml:space="preserve"> 湖南稀土金属材料研究院有限责任公司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0.001472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0.001033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0.001211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0.001414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0.000894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0.000816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0.001211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0.004021 </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0.002317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赣州艾科锐检测技术有限公司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钨与稀土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国标（北京）检验认证有限公司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国合通用（青岛）测试评价有限公司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r>
    </w:tbl>
    <w:p>
      <w:pPr>
        <w:keepNext w:val="0"/>
        <w:keepLines w:val="0"/>
        <w:widowControl/>
        <w:suppressLineNumbers w:val="0"/>
        <w:jc w:val="center"/>
        <w:textAlignment w:val="bottom"/>
        <w:rPr>
          <w:rFonts w:hint="eastAsia" w:ascii="Times New Roman" w:hAnsi="Times New Roman" w:eastAsia="宋体" w:cs="宋体"/>
          <w:i w:val="0"/>
          <w:iCs w:val="0"/>
          <w:color w:val="000000"/>
          <w:kern w:val="0"/>
          <w:sz w:val="18"/>
          <w:szCs w:val="18"/>
          <w:u w:val="none"/>
          <w:lang w:val="en-US" w:eastAsia="zh-CN" w:bidi="ar"/>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H</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H</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968"/>
        <w:gridCol w:w="968"/>
        <w:gridCol w:w="968"/>
        <w:gridCol w:w="1141"/>
        <w:gridCol w:w="968"/>
        <w:gridCol w:w="968"/>
        <w:gridCol w:w="968"/>
        <w:gridCol w:w="96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实验室i</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水平1</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水平2</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3</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4</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5</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6</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7</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水平</w:t>
            </w:r>
            <w:r>
              <w:rPr>
                <w:rFonts w:hint="eastAsia" w:ascii="Times New Roman" w:hAnsi="Times New Roman" w:eastAsia="宋体"/>
                <w:sz w:val="16"/>
                <w:szCs w:val="16"/>
                <w:lang w:val="en-US" w:eastAsia="zh-CN"/>
              </w:rPr>
              <w:t>8</w:t>
            </w:r>
          </w:p>
        </w:tc>
        <w:tc>
          <w:tcPr>
            <w:tcW w:w="0" w:type="auto"/>
            <w:vAlign w:val="center"/>
          </w:tcPr>
          <w:p>
            <w:pPr>
              <w:widowControl/>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lang w:val="en-US" w:eastAsia="zh-CN"/>
              </w:rPr>
              <w:t>水平9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Smax实验室</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 xml:space="preserve">虔东稀土集团股份有限公司 </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 xml:space="preserve">虔东稀土集团股份有限公司 </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default" w:ascii="Times New Roman" w:hAnsi="Times New Roman" w:eastAsia="宋体"/>
                <w:sz w:val="16"/>
                <w:szCs w:val="16"/>
                <w:vertAlign w:val="baseline"/>
                <w:lang w:val="en-US" w:eastAsia="zh-CN"/>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国合通用（青岛）测试评价有限公司</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rPr>
              <w:t>钨与稀土</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rPr>
            </w:pPr>
            <w:r>
              <w:rPr>
                <w:rFonts w:hint="eastAsia" w:ascii="Times New Roman" w:hAnsi="Times New Roman" w:eastAsia="宋体"/>
                <w:sz w:val="16"/>
                <w:szCs w:val="16"/>
                <w:vertAlign w:val="baseline"/>
                <w:lang w:val="en-US" w:eastAsia="zh-CN"/>
              </w:rPr>
              <w:t>赣州艾科锐检测技术有限公司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Smax值</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0.006555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0.006408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0.004412 </w:t>
            </w:r>
          </w:p>
        </w:tc>
        <w:tc>
          <w:tcPr>
            <w:tcW w:w="1141"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0.005550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0.003830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0.002881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0.009338 </w:t>
            </w:r>
          </w:p>
        </w:tc>
        <w:tc>
          <w:tcPr>
            <w:tcW w:w="968"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0.012410 </w:t>
            </w:r>
          </w:p>
        </w:tc>
        <w:tc>
          <w:tcPr>
            <w:tcW w:w="1120" w:type="dxa"/>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 xml:space="preserve">0.010405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∑S</w:t>
            </w:r>
            <w:r>
              <w:rPr>
                <w:rFonts w:ascii="Times New Roman" w:hAnsi="Times New Roman" w:eastAsia="宋体"/>
                <w:sz w:val="16"/>
                <w:szCs w:val="16"/>
                <w:vertAlign w:val="superscript"/>
              </w:rPr>
              <w:t>2</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6.5500E-05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7.6367E-05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5.9700E-05</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6.9767E-05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2.7133E-05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2.4500E-05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1.5350E-04</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3.3540E-04</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2.2937E-04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ascii="Times New Roman" w:hAnsi="Times New Roman" w:eastAsia="宋体"/>
                <w:sz w:val="16"/>
                <w:szCs w:val="16"/>
              </w:rPr>
              <w:t>C</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0.6560</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0.5378</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0.3261</w:t>
            </w:r>
          </w:p>
        </w:tc>
        <w:tc>
          <w:tcPr>
            <w:tcW w:w="114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0.4415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0.5405</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0.3388</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0.5681</w:t>
            </w:r>
          </w:p>
        </w:tc>
        <w:tc>
          <w:tcPr>
            <w:tcW w:w="968"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0.4592</w:t>
            </w:r>
          </w:p>
        </w:tc>
        <w:tc>
          <w:tcPr>
            <w:tcW w:w="1120"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16"/>
                <w:szCs w:val="16"/>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离群值（Y/N）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default"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歧离值（Y/N）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Y</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c>
          <w:tcPr>
            <w:tcW w:w="0" w:type="auto"/>
            <w:vAlign w:val="center"/>
          </w:tcPr>
          <w:p>
            <w:pPr>
              <w:adjustRightInd w:val="0"/>
              <w:snapToGrid w:val="0"/>
              <w:spacing w:line="360" w:lineRule="auto"/>
              <w:jc w:val="center"/>
              <w:rPr>
                <w:rFonts w:hint="eastAsia" w:ascii="Times New Roman" w:hAnsi="Times New Roman" w:eastAsia="宋体"/>
                <w:sz w:val="16"/>
                <w:szCs w:val="16"/>
                <w:vertAlign w:val="baseline"/>
                <w:lang w:val="en-US" w:eastAsia="zh-CN"/>
              </w:rPr>
            </w:pPr>
            <w:r>
              <w:rPr>
                <w:rFonts w:hint="eastAsia" w:ascii="Times New Roman" w:hAnsi="Times New Roman" w:eastAsia="宋体"/>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jc w:val="center"/>
              <w:rPr>
                <w:rFonts w:hint="eastAsia" w:ascii="Times New Roman" w:hAnsi="Times New Roman" w:eastAsia="宋体" w:cstheme="minorBidi"/>
                <w:kern w:val="2"/>
                <w:sz w:val="16"/>
                <w:szCs w:val="16"/>
                <w:lang w:val="en-US" w:eastAsia="zh-CN" w:bidi="ar-SA"/>
              </w:rPr>
            </w:pPr>
            <w:r>
              <w:rPr>
                <w:rFonts w:hint="eastAsia" w:ascii="Times New Roman" w:hAnsi="Times New Roman" w:eastAsia="宋体"/>
                <w:sz w:val="16"/>
                <w:szCs w:val="16"/>
              </w:rPr>
              <w:t>C临界</w:t>
            </w:r>
          </w:p>
        </w:tc>
        <w:tc>
          <w:tcPr>
            <w:tcW w:w="0" w:type="auto"/>
            <w:gridSpan w:val="9"/>
            <w:vAlign w:val="center"/>
          </w:tcPr>
          <w:p>
            <w:pPr>
              <w:adjustRightInd w:val="0"/>
              <w:snapToGrid w:val="0"/>
              <w:jc w:val="center"/>
              <w:rPr>
                <w:rFonts w:hint="eastAsia" w:ascii="Times New Roman" w:hAnsi="Times New Roman" w:eastAsia="宋体" w:cs="Times New Roman"/>
                <w:i w:val="0"/>
                <w:iCs w:val="0"/>
                <w:color w:val="000000"/>
                <w:kern w:val="0"/>
                <w:sz w:val="16"/>
                <w:szCs w:val="16"/>
                <w:u w:val="none"/>
                <w:lang w:val="en-US" w:eastAsia="zh-CN" w:bidi="ar"/>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default" w:ascii="Times New Roman" w:hAnsi="Times New Roman" w:eastAsia="宋体" w:cs="Times New Roman"/>
                <w:i w:val="0"/>
                <w:iCs w:val="0"/>
                <w:color w:val="000000"/>
                <w:kern w:val="0"/>
                <w:sz w:val="16"/>
                <w:szCs w:val="16"/>
                <w:u w:val="none"/>
                <w:lang w:val="en-US" w:eastAsia="zh-CN" w:bidi="ar"/>
              </w:rPr>
              <w:t>0.5875</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5</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0.5063</w:t>
            </w:r>
          </w:p>
          <w:p>
            <w:pPr>
              <w:adjustRightInd w:val="0"/>
              <w:snapToGrid w:val="0"/>
              <w:jc w:val="center"/>
              <w:rPr>
                <w:rFonts w:hint="eastAsia" w:ascii="Times New Roman" w:hAnsi="Times New Roman" w:eastAsia="宋体"/>
                <w:sz w:val="16"/>
                <w:szCs w:val="16"/>
                <w:vertAlign w:val="baseline"/>
                <w:lang w:eastAsia="zh-CN"/>
              </w:rPr>
            </w:pPr>
            <w:r>
              <w:rPr>
                <w:rFonts w:ascii="Times New Roman" w:hAnsi="Times New Roman" w:eastAsia="宋体"/>
                <w:color w:val="000000"/>
                <w:sz w:val="16"/>
                <w:szCs w:val="16"/>
              </w:rPr>
              <w:t>临界值C(0.01,</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0.4659</w:t>
            </w:r>
            <w:r>
              <w:rPr>
                <w:rFonts w:ascii="Times New Roman" w:hAnsi="Times New Roman" w:eastAsia="宋体"/>
                <w:color w:val="000000"/>
                <w:sz w:val="16"/>
                <w:szCs w:val="16"/>
              </w:rPr>
              <w:t xml:space="preserve"> 临界值C(0.05</w:t>
            </w:r>
            <w:r>
              <w:rPr>
                <w:rFonts w:hint="eastAsia" w:ascii="Times New Roman" w:hAnsi="Times New Roman" w:eastAsia="宋体"/>
                <w:color w:val="000000"/>
                <w:sz w:val="16"/>
                <w:szCs w:val="16"/>
              </w:rPr>
              <w:t>,</w:t>
            </w:r>
            <w:r>
              <w:rPr>
                <w:rFonts w:hint="eastAsia" w:ascii="Times New Roman" w:hAnsi="Times New Roman" w:eastAsia="宋体"/>
                <w:color w:val="000000"/>
                <w:sz w:val="16"/>
                <w:szCs w:val="16"/>
                <w:lang w:val="en-US" w:eastAsia="zh-CN"/>
              </w:rPr>
              <w:t>7</w:t>
            </w:r>
            <w:r>
              <w:rPr>
                <w:rFonts w:ascii="Times New Roman" w:hAnsi="Times New Roman" w:eastAsia="宋体"/>
                <w:color w:val="000000"/>
                <w:sz w:val="16"/>
                <w:szCs w:val="16"/>
              </w:rPr>
              <w:t>,</w:t>
            </w:r>
            <w:r>
              <w:rPr>
                <w:rFonts w:hint="eastAsia" w:ascii="Times New Roman" w:hAnsi="Times New Roman" w:eastAsia="宋体"/>
                <w:color w:val="000000"/>
                <w:sz w:val="16"/>
                <w:szCs w:val="16"/>
              </w:rPr>
              <w:t>6</w:t>
            </w:r>
            <w:r>
              <w:rPr>
                <w:rFonts w:ascii="Times New Roman" w:hAnsi="Times New Roman" w:eastAsia="宋体"/>
                <w:color w:val="000000"/>
                <w:sz w:val="16"/>
                <w:szCs w:val="16"/>
              </w:rPr>
              <w:t>)=</w:t>
            </w:r>
            <w:r>
              <w:rPr>
                <w:rFonts w:hint="eastAsia" w:ascii="Times New Roman" w:hAnsi="Times New Roman" w:eastAsia="宋体" w:cs="Times New Roman"/>
                <w:i w:val="0"/>
                <w:iCs w:val="0"/>
                <w:color w:val="000000"/>
                <w:kern w:val="0"/>
                <w:sz w:val="16"/>
                <w:szCs w:val="16"/>
                <w:u w:val="none"/>
                <w:lang w:val="en-US" w:eastAsia="zh-CN" w:bidi="ar"/>
              </w:rPr>
              <w:t>0.3972</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H</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0" w:type="auto"/>
        <w:tblInd w:w="0" w:type="dxa"/>
        <w:tblLayout w:type="autofit"/>
        <w:tblCellMar>
          <w:top w:w="0" w:type="dxa"/>
          <w:left w:w="108" w:type="dxa"/>
          <w:bottom w:w="0" w:type="dxa"/>
          <w:right w:w="108" w:type="dxa"/>
        </w:tblCellMar>
      </w:tblPr>
      <w:tblGrid>
        <w:gridCol w:w="1176"/>
        <w:gridCol w:w="968"/>
        <w:gridCol w:w="968"/>
        <w:gridCol w:w="968"/>
        <w:gridCol w:w="968"/>
        <w:gridCol w:w="968"/>
        <w:gridCol w:w="968"/>
        <w:gridCol w:w="968"/>
        <w:gridCol w:w="968"/>
        <w:gridCol w:w="968"/>
      </w:tblGrid>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统计量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olor w:val="000000"/>
                <w:sz w:val="16"/>
                <w:szCs w:val="16"/>
                <w:lang w:val="en-US" w:eastAsia="zh-CN"/>
              </w:rPr>
            </w:pPr>
            <w:r>
              <w:rPr>
                <w:rFonts w:hint="eastAsia" w:ascii="Times New Roman" w:hAnsi="Times New Roman" w:eastAsia="宋体"/>
                <w:color w:val="000000"/>
                <w:sz w:val="16"/>
                <w:szCs w:val="16"/>
              </w:rPr>
              <w:t>水平</w:t>
            </w:r>
            <w:r>
              <w:rPr>
                <w:rFonts w:hint="eastAsia" w:ascii="Times New Roman" w:hAnsi="Times New Roman" w:eastAsia="宋体"/>
                <w:color w:val="000000"/>
                <w:sz w:val="16"/>
                <w:szCs w:val="16"/>
                <w:lang w:val="en-US" w:eastAsia="zh-CN"/>
              </w:rPr>
              <w:t>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均值的平均值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0.15631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0.14721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0.15402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0.10131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0.07776</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0.07340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1.51143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2.39613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1.53617</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均值的标准差</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1.2790E-02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1.5968E-02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4.5206E-02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2.6230E-02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1.4089E-02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1.6203E-02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1.0802E-01</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2.5178E-02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3.3187E-02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最大均值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0.1705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0.1618</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0.1877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0.1480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0.0903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0.0882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1.6990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2.4402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1.5707</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最小均值</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0.1322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0.1167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0.0857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0.0717</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0.0603</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0.0555</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1.4382</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2.3770</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1.4852</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Gmax</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1.109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0.916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0.744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1.780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0.892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0.911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1.736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1.749 </w:t>
            </w:r>
          </w:p>
        </w:tc>
        <w:tc>
          <w:tcPr>
            <w:tcW w:w="9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1.040 </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16"/>
                <w:szCs w:val="16"/>
              </w:rPr>
            </w:pPr>
            <w:r>
              <w:rPr>
                <w:rFonts w:hint="eastAsia" w:ascii="Times New Roman" w:hAnsi="Times New Roman" w:eastAsia="宋体"/>
                <w:color w:val="000000"/>
                <w:sz w:val="16"/>
                <w:szCs w:val="16"/>
              </w:rPr>
              <w:t>Gmin</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1.888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1.913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1.512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1.130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1.237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1.105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0.678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0.760 </w:t>
            </w:r>
          </w:p>
        </w:tc>
        <w:tc>
          <w:tcPr>
            <w:tcW w:w="968"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i w:val="0"/>
                <w:iCs w:val="0"/>
                <w:color w:val="000000"/>
                <w:kern w:val="0"/>
                <w:sz w:val="16"/>
                <w:szCs w:val="16"/>
                <w:u w:val="none"/>
                <w:lang w:val="en-US" w:eastAsia="zh-CN" w:bidi="ar"/>
              </w:rPr>
              <w:t xml:space="preserve">1.537 </w:t>
            </w:r>
          </w:p>
        </w:tc>
      </w:tr>
      <w:tr>
        <w:tblPrEx>
          <w:tblCellMar>
            <w:top w:w="0" w:type="dxa"/>
            <w:left w:w="108" w:type="dxa"/>
            <w:bottom w:w="0" w:type="dxa"/>
            <w:right w:w="108" w:type="dxa"/>
          </w:tblCellMar>
        </w:tblPrEx>
        <w:trPr>
          <w:trHeight w:val="807"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16"/>
                <w:szCs w:val="16"/>
              </w:rPr>
            </w:pPr>
            <w:r>
              <w:rPr>
                <w:rFonts w:hint="eastAsia" w:ascii="Times New Roman" w:hAnsi="Times New Roman" w:eastAsia="宋体"/>
                <w:b w:val="0"/>
                <w:color w:val="000000"/>
                <w:sz w:val="16"/>
                <w:szCs w:val="16"/>
                <w:lang w:val="en-US" w:eastAsia="zh-CN"/>
              </w:rPr>
              <w:t>G</w:t>
            </w:r>
            <w:r>
              <w:rPr>
                <w:rFonts w:hint="eastAsia" w:ascii="Times New Roman" w:hAnsi="Times New Roman" w:eastAsia="宋体"/>
                <w:b w:val="0"/>
                <w:color w:val="000000"/>
                <w:sz w:val="16"/>
                <w:szCs w:val="16"/>
              </w:rPr>
              <w:t>临界</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16"/>
                <w:szCs w:val="16"/>
                <w:lang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1.764</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5</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1.715</w:t>
            </w:r>
            <w:r>
              <w:rPr>
                <w:rFonts w:hint="eastAsia" w:ascii="Times New Roman" w:hAnsi="Times New Roman" w:eastAsia="宋体"/>
                <w:b w:val="0"/>
                <w:color w:val="000000"/>
                <w:sz w:val="16"/>
                <w:szCs w:val="16"/>
                <w:lang w:val="en-US" w:eastAsia="zh-CN"/>
              </w:rPr>
              <w:t xml:space="preserve"> </w:t>
            </w:r>
          </w:p>
          <w:p>
            <w:pPr>
              <w:jc w:val="center"/>
              <w:rPr>
                <w:rFonts w:hint="default" w:ascii="Times New Roman" w:hAnsi="Times New Roman" w:eastAsia="宋体"/>
                <w:b w:val="0"/>
                <w:color w:val="000000"/>
                <w:sz w:val="16"/>
                <w:szCs w:val="16"/>
                <w:lang w:val="en-US" w:eastAsia="zh-CN"/>
              </w:rPr>
            </w:pPr>
            <w:r>
              <w:rPr>
                <w:rFonts w:hint="eastAsia" w:ascii="Times New Roman" w:hAnsi="Times New Roman" w:eastAsia="宋体"/>
                <w:b w:val="0"/>
                <w:color w:val="000000"/>
                <w:sz w:val="16"/>
                <w:szCs w:val="16"/>
              </w:rPr>
              <w:t>临界值G(0.01</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2.139</w:t>
            </w:r>
            <w:r>
              <w:rPr>
                <w:rFonts w:hint="eastAsia" w:ascii="Times New Roman" w:hAnsi="Times New Roman" w:eastAsia="宋体"/>
                <w:b w:val="0"/>
                <w:color w:val="000000"/>
                <w:sz w:val="16"/>
                <w:szCs w:val="16"/>
              </w:rPr>
              <w:t xml:space="preserve">  临界</w:t>
            </w:r>
            <w:r>
              <w:rPr>
                <w:rFonts w:ascii="Times New Roman" w:hAnsi="Times New Roman" w:eastAsia="宋体"/>
                <w:b w:val="0"/>
                <w:color w:val="000000"/>
                <w:sz w:val="16"/>
                <w:szCs w:val="16"/>
              </w:rPr>
              <w:t>值</w:t>
            </w:r>
            <w:r>
              <w:rPr>
                <w:rFonts w:hint="eastAsia" w:ascii="Times New Roman" w:hAnsi="Times New Roman" w:eastAsia="宋体"/>
                <w:b w:val="0"/>
                <w:color w:val="000000"/>
                <w:sz w:val="16"/>
                <w:szCs w:val="16"/>
              </w:rPr>
              <w:t>G(0.05</w:t>
            </w:r>
            <w:r>
              <w:rPr>
                <w:rFonts w:ascii="Times New Roman" w:hAnsi="Times New Roman" w:eastAsia="宋体"/>
                <w:b w:val="0"/>
                <w:color w:val="000000"/>
                <w:sz w:val="16"/>
                <w:szCs w:val="16"/>
              </w:rPr>
              <w:t>,</w:t>
            </w:r>
            <w:r>
              <w:rPr>
                <w:rFonts w:hint="eastAsia" w:ascii="Times New Roman" w:hAnsi="Times New Roman" w:eastAsia="宋体"/>
                <w:b w:val="0"/>
                <w:color w:val="000000"/>
                <w:sz w:val="16"/>
                <w:szCs w:val="16"/>
                <w:lang w:val="en-US" w:eastAsia="zh-CN"/>
              </w:rPr>
              <w:t>7</w:t>
            </w:r>
            <w:r>
              <w:rPr>
                <w:rFonts w:hint="eastAsia" w:ascii="Times New Roman" w:hAnsi="Times New Roman" w:eastAsia="宋体"/>
                <w:b w:val="0"/>
                <w:color w:val="000000"/>
                <w:sz w:val="16"/>
                <w:szCs w:val="16"/>
              </w:rPr>
              <w:t>)=</w:t>
            </w:r>
            <w:r>
              <w:rPr>
                <w:rFonts w:ascii="Times New Roman" w:hAnsi="Times New Roman" w:eastAsia="宋体"/>
                <w:b w:val="0"/>
                <w:color w:val="000000"/>
                <w:sz w:val="16"/>
                <w:szCs w:val="16"/>
              </w:rPr>
              <w:t xml:space="preserve"> </w:t>
            </w:r>
            <w:r>
              <w:rPr>
                <w:rFonts w:hint="eastAsia" w:ascii="Times New Roman" w:hAnsi="Times New Roman" w:eastAsia="宋体"/>
                <w:b w:val="0"/>
                <w:color w:val="000000"/>
                <w:sz w:val="16"/>
                <w:szCs w:val="16"/>
                <w:lang w:val="en-US" w:eastAsia="zh-CN"/>
              </w:rPr>
              <w:t>2.020</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0" w:type="auto"/>
        <w:jc w:val="center"/>
        <w:tblLayout w:type="autofit"/>
        <w:tblCellMar>
          <w:top w:w="0" w:type="dxa"/>
          <w:left w:w="108" w:type="dxa"/>
          <w:bottom w:w="0" w:type="dxa"/>
          <w:right w:w="108" w:type="dxa"/>
        </w:tblCellMar>
      </w:tblPr>
      <w:tblGrid>
        <w:gridCol w:w="816"/>
        <w:gridCol w:w="1004"/>
        <w:gridCol w:w="1004"/>
        <w:gridCol w:w="1004"/>
        <w:gridCol w:w="1004"/>
        <w:gridCol w:w="1004"/>
        <w:gridCol w:w="1004"/>
        <w:gridCol w:w="1004"/>
        <w:gridCol w:w="1004"/>
        <w:gridCol w:w="1004"/>
      </w:tblGrid>
      <w:tr>
        <w:tblPrEx>
          <w:tblCellMar>
            <w:top w:w="0" w:type="dxa"/>
            <w:left w:w="108" w:type="dxa"/>
            <w:bottom w:w="0" w:type="dxa"/>
            <w:right w:w="108" w:type="dxa"/>
          </w:tblCellMar>
        </w:tblPrEx>
        <w:trPr>
          <w:trHeight w:val="283"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水平3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eastAsia" w:ascii="Times New Roman" w:hAnsi="Times New Roman" w:eastAsia="宋体" w:cs="Times New Roman"/>
                <w:sz w:val="15"/>
                <w:szCs w:val="15"/>
                <w:lang w:val="en-US" w:eastAsia="zh-CN"/>
              </w:rPr>
            </w:pPr>
            <w:r>
              <w:rPr>
                <w:rFonts w:ascii="Times New Roman" w:hAnsi="Times New Roman" w:eastAsia="宋体" w:cs="Times New Roman"/>
                <w:sz w:val="15"/>
                <w:szCs w:val="15"/>
              </w:rPr>
              <w:t>水平</w:t>
            </w:r>
            <w:r>
              <w:rPr>
                <w:rFonts w:hint="eastAsia" w:ascii="Times New Roman" w:hAnsi="Times New Roman" w:eastAsia="宋体" w:cs="Times New Roman"/>
                <w:sz w:val="15"/>
                <w:szCs w:val="15"/>
                <w:lang w:val="en-US" w:eastAsia="zh-CN"/>
              </w:rPr>
              <w:t>9</w:t>
            </w:r>
          </w:p>
        </w:tc>
      </w:tr>
      <w:tr>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总平均值</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0.156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0.147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0.154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0.101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0.078</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0.073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1.511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2.396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1.536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6.565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6.183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6.469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4.255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3.266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3.083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45.343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71.884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46.085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1.026172024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0.910225929</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0.996380024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0.431072024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0.253970381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0.226306881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68.53292163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172.2436485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70.79424083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180</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T5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3.2750E-04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3.8183E-04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i w:val="0"/>
                <w:iCs w:val="0"/>
                <w:color w:val="000000"/>
                <w:kern w:val="0"/>
                <w:sz w:val="15"/>
                <w:szCs w:val="15"/>
                <w:u w:val="none"/>
                <w:lang w:val="en-US" w:eastAsia="zh-CN" w:bidi="ar"/>
              </w:rPr>
              <w:t>2.9850E-04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3.4883E-04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1.3567E-04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1.2250E-04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7.6750E-04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1.6770E-03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1.1468E-03</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hint="eastAsia" w:ascii="Times New Roman" w:hAnsi="Times New Roman" w:eastAsia="宋体" w:cs="Times New Roman"/>
                <w:sz w:val="15"/>
                <w:szCs w:val="15"/>
              </w:rPr>
              <w:t>P</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15"/>
                <w:szCs w:val="15"/>
                <w:lang w:val="en-US" w:eastAsia="zh-CN"/>
              </w:rPr>
            </w:pPr>
            <w:r>
              <w:rPr>
                <w:rFonts w:hint="eastAsia" w:ascii="Times New Roman" w:hAnsi="Times New Roman" w:eastAsia="宋体" w:cs="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olor w:val="000000"/>
                <w:sz w:val="15"/>
                <w:szCs w:val="15"/>
                <w:lang w:val="en-US" w:eastAsia="zh-CN"/>
              </w:rPr>
            </w:pPr>
            <w:r>
              <w:rPr>
                <w:rFonts w:hint="eastAsia" w:ascii="Times New Roman" w:hAnsi="Times New Roman" w:eastAsia="宋体"/>
                <w:color w:val="000000"/>
                <w:sz w:val="15"/>
                <w:szCs w:val="15"/>
                <w:lang w:val="en-US" w:eastAsia="zh-CN"/>
              </w:rPr>
              <w:t>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9.35714E-06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1.09095E-05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8.52857E-06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9.96667E-06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3.87619E-06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0.0000035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0.0000307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6.708E-05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4.58733E-05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L</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1.55952E-06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1.81825E-06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1.42143E-06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1.66111E-06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6.46032E-07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5.83333E-07</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5.11667E-06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1.118E-05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7.64556E-06</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r>
              <w:rPr>
                <w:rFonts w:ascii="Times New Roman" w:hAnsi="Times New Roman" w:eastAsia="宋体" w:cs="Times New Roman"/>
                <w:sz w:val="15"/>
                <w:szCs w:val="15"/>
                <w:vertAlign w:val="superscript"/>
              </w:rPr>
              <w:t>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1.09167E-05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1.27278E-05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9.95E-06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1.16278E-05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4.52222E-06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4.08333E-06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3.58167E-05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7.826E-05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5.35189E-05</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m</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0.156309524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0.147214286</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0.15402381</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0.101309524</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0.077761905</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0.073404762</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1.511433333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2.396133333</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1.536166667</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0.003059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0.003303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0.002920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0.003157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0.001969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0.001871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0.005541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0.008190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0.006773 </w:t>
            </w:r>
          </w:p>
        </w:tc>
      </w:tr>
      <w:tr>
        <w:tblPrEx>
          <w:tblCellMar>
            <w:top w:w="0" w:type="dxa"/>
            <w:left w:w="108" w:type="dxa"/>
            <w:bottom w:w="0" w:type="dxa"/>
            <w:right w:w="108" w:type="dxa"/>
          </w:tblCellMar>
        </w:tblPrEx>
        <w:trPr>
          <w:trHeight w:val="28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S</w:t>
            </w:r>
            <w:r>
              <w:rPr>
                <w:rFonts w:ascii="Times New Roman" w:hAnsi="Times New Roman" w:eastAsia="宋体" w:cs="Times New Roman"/>
                <w:sz w:val="15"/>
                <w:szCs w:val="15"/>
                <w:vertAlign w:val="subscript"/>
              </w:rPr>
              <w:t>R</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0.003304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0.003568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0.003154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0.003410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0.002127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0.002021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0.005985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0.008846 </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0.007316 </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0.008565</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0.009248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0.008177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0.008840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0.005513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0.005238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0.015514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0.022933</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0.018964</w:t>
            </w:r>
          </w:p>
        </w:tc>
      </w:tr>
      <w:tr>
        <w:tblPrEx>
          <w:tblCellMar>
            <w:top w:w="0" w:type="dxa"/>
            <w:left w:w="108" w:type="dxa"/>
            <w:bottom w:w="0" w:type="dxa"/>
            <w:right w:w="108" w:type="dxa"/>
          </w:tblCellMar>
        </w:tblPrEx>
        <w:trPr>
          <w:trHeight w:val="28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15"/>
                <w:szCs w:val="15"/>
              </w:rPr>
            </w:pPr>
            <w:r>
              <w:rPr>
                <w:rFonts w:ascii="Times New Roman" w:hAnsi="Times New Roman" w:eastAsia="宋体" w:cs="Times New Roman"/>
                <w:sz w:val="15"/>
                <w:szCs w:val="15"/>
              </w:rPr>
              <w:t>R</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0.009251</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0.009989</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0.008832</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0.009548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0.005954</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0.005658</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0.016757</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0.024770</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0.020484</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10"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hint="eastAsia" w:ascii="Times New Roman" w:hAnsi="Times New Roman" w:eastAsia="宋体"/>
          <w:b/>
          <w:bCs/>
          <w:sz w:val="21"/>
          <w:szCs w:val="21"/>
          <w:lang w:val="en-US" w:eastAsia="zh-CN"/>
        </w:rPr>
        <w:t>I</w:t>
      </w:r>
      <w:r>
        <w:rPr>
          <w:rFonts w:hint="eastAsia" w:ascii="Times New Roman" w:hAnsi="Times New Roman" w:eastAsia="宋体"/>
          <w:b/>
          <w:bCs/>
          <w:sz w:val="21"/>
          <w:szCs w:val="21"/>
        </w:rPr>
        <w:t>：氧化</w:t>
      </w:r>
      <w:r>
        <w:rPr>
          <w:rFonts w:hint="eastAsia" w:ascii="Times New Roman" w:hAnsi="Times New Roman" w:eastAsia="宋体"/>
          <w:b/>
          <w:bCs/>
          <w:sz w:val="21"/>
          <w:szCs w:val="21"/>
          <w:lang w:eastAsia="zh-CN"/>
        </w:rPr>
        <w:t>铽</w:t>
      </w:r>
      <w:r>
        <w:rPr>
          <w:rFonts w:hint="eastAsia" w:ascii="Times New Roman" w:hAnsi="Times New Roman" w:eastAsia="宋体"/>
          <w:b/>
          <w:bCs/>
          <w:sz w:val="21"/>
          <w:szCs w:val="21"/>
        </w:rPr>
        <w:t>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 xml:space="preserve">1 </w:t>
      </w:r>
      <w:r>
        <w:rPr>
          <w:rFonts w:hint="eastAsia" w:ascii="Times New Roman" w:hAnsi="Times New Roman" w:eastAsia="宋体"/>
          <w:b w:val="0"/>
          <w:bCs w:val="0"/>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I</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1"/>
        <w:gridCol w:w="2433"/>
        <w:gridCol w:w="23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w:t>
            </w:r>
          </w:p>
        </w:tc>
        <w:tc>
          <w:tcPr>
            <w:tcW w:w="11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包头稀土研究院</w:t>
            </w: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0.153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虔东稀土集团股份有限公司  </w:t>
            </w: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0.123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0.264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0.133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湖南稀土金属材料研究院有限责任公司</w:t>
            </w: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0.151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0.243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赣州艾科锐检测技术有限公司</w:t>
            </w: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0.121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0.250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0.131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0.120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0.259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0.135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0.247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钨与稀土</w:t>
            </w: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0.224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0.236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0.221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0.162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0.218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0.164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0.226 </w:t>
            </w:r>
          </w:p>
        </w:tc>
        <w:tc>
          <w:tcPr>
            <w:tcW w:w="1161" w:type="pct"/>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0.184 </w:t>
            </w: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2"/>
        <w:gridCol w:w="1406"/>
        <w:gridCol w:w="14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包头稀土研究院</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0.1495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0.2417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虔东稀土集团股份有限公司</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0.1310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0.2458</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湖南稀土金属材料研究院有限责任公司</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0.1477</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0.2450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赣州艾科锐检测技术有限公司</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0.1255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0.2480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钨与稀土</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0.1580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0.2272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0.1852</w:t>
            </w:r>
          </w:p>
        </w:tc>
      </w:tr>
    </w:tbl>
    <w:p>
      <w:pPr>
        <w:adjustRightInd w:val="0"/>
        <w:snapToGrid w:val="0"/>
        <w:spacing w:line="360" w:lineRule="auto"/>
        <w:rPr>
          <w:rFonts w:ascii="Times New Roman" w:hAnsi="Times New Roman" w:eastAsia="宋体"/>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8"/>
        <w:gridCol w:w="1550"/>
        <w:gridCol w:w="15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包头稀土研究院</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0.002588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0.003670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0.003391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0.005404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0.009621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0.007457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湖南稀土金属材料研究院有限责任公司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0.002160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0.002280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0.0061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0.0067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钨与稀土</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0.0044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0.0081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0.0061</w:t>
            </w:r>
          </w:p>
        </w:tc>
      </w:tr>
    </w:tbl>
    <w:p>
      <w:pPr>
        <w:adjustRightInd w:val="0"/>
        <w:snapToGrid w:val="0"/>
        <w:spacing w:line="360" w:lineRule="auto"/>
        <w:jc w:val="both"/>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tbl>
      <w:tblPr>
        <w:tblStyle w:val="6"/>
        <w:tblpPr w:leftFromText="180" w:rightFromText="180" w:vertAnchor="text" w:horzAnchor="page" w:tblpX="1052" w:tblpY="40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2904"/>
        <w:gridCol w:w="269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实验室i</w:t>
            </w:r>
          </w:p>
        </w:tc>
        <w:tc>
          <w:tcPr>
            <w:tcW w:w="1465"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水平1</w:t>
            </w:r>
          </w:p>
        </w:tc>
        <w:tc>
          <w:tcPr>
            <w:tcW w:w="1361"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水平2</w:t>
            </w:r>
          </w:p>
        </w:tc>
        <w:tc>
          <w:tcPr>
            <w:tcW w:w="1361"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w:t>
            </w:r>
            <w:r>
              <w:rPr>
                <w:rFonts w:hint="eastAsia" w:ascii="Times New Roman" w:hAnsi="Times New Roman" w:eastAsia="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Smax实验室</w:t>
            </w:r>
          </w:p>
        </w:tc>
        <w:tc>
          <w:tcPr>
            <w:tcW w:w="1465" w:type="pct"/>
            <w:vAlign w:val="center"/>
          </w:tcPr>
          <w:p>
            <w:pPr>
              <w:adjustRightInd w:val="0"/>
              <w:snapToGrid w:val="0"/>
              <w:spacing w:line="360" w:lineRule="auto"/>
              <w:jc w:val="center"/>
              <w:rPr>
                <w:rFonts w:hint="default" w:ascii="Times New Roman" w:hAnsi="Times New Roman" w:eastAsia="宋体"/>
                <w:sz w:val="20"/>
                <w:szCs w:val="20"/>
                <w:vertAlign w:val="baseline"/>
                <w:lang w:val="en-US" w:eastAsia="zh-CN"/>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Smax值</w:t>
            </w:r>
          </w:p>
        </w:tc>
        <w:tc>
          <w:tcPr>
            <w:tcW w:w="1465"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0"/>
              </w:rPr>
              <w:t>0.006091</w:t>
            </w:r>
          </w:p>
        </w:tc>
        <w:tc>
          <w:tcPr>
            <w:tcW w:w="1361"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0"/>
              </w:rPr>
              <w:t>0.009621</w:t>
            </w:r>
          </w:p>
        </w:tc>
        <w:tc>
          <w:tcPr>
            <w:tcW w:w="1361"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0"/>
              </w:rPr>
              <w:t>0.007457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w:t>
            </w:r>
            <w:r>
              <w:rPr>
                <w:rFonts w:ascii="Times New Roman" w:hAnsi="Times New Roman" w:eastAsia="宋体"/>
                <w:sz w:val="20"/>
                <w:szCs w:val="20"/>
                <w:vertAlign w:val="superscript"/>
              </w:rPr>
              <w:t>2</w:t>
            </w:r>
          </w:p>
        </w:tc>
        <w:tc>
          <w:tcPr>
            <w:tcW w:w="1465"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9.6867E-05</w:t>
            </w:r>
          </w:p>
        </w:tc>
        <w:tc>
          <w:tcPr>
            <w:tcW w:w="1361"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2.2180E-04</w:t>
            </w:r>
          </w:p>
        </w:tc>
        <w:tc>
          <w:tcPr>
            <w:tcW w:w="1361"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1.4610E-04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ascii="Times New Roman" w:hAnsi="Times New Roman" w:eastAsia="宋体"/>
                <w:sz w:val="20"/>
                <w:szCs w:val="20"/>
              </w:rPr>
              <w:t>C</w:t>
            </w:r>
          </w:p>
        </w:tc>
        <w:tc>
          <w:tcPr>
            <w:tcW w:w="1465"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0.3830</w:t>
            </w:r>
          </w:p>
        </w:tc>
        <w:tc>
          <w:tcPr>
            <w:tcW w:w="1361"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0.4173</w:t>
            </w:r>
          </w:p>
        </w:tc>
        <w:tc>
          <w:tcPr>
            <w:tcW w:w="1361"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0.3806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离群值（Y/N）</w:t>
            </w:r>
          </w:p>
        </w:tc>
        <w:tc>
          <w:tcPr>
            <w:tcW w:w="146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歧离值（Y/N）</w:t>
            </w:r>
          </w:p>
        </w:tc>
        <w:tc>
          <w:tcPr>
            <w:tcW w:w="146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361"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C临界</w:t>
            </w:r>
          </w:p>
        </w:tc>
        <w:tc>
          <w:tcPr>
            <w:tcW w:w="4187" w:type="pct"/>
            <w:gridSpan w:val="3"/>
            <w:vAlign w:val="center"/>
          </w:tcPr>
          <w:p>
            <w:pPr>
              <w:adjustRightInd w:val="0"/>
              <w:snapToGrid w:val="0"/>
              <w:jc w:val="center"/>
              <w:rPr>
                <w:rFonts w:ascii="Times New Roman" w:hAnsi="Times New Roman" w:eastAsia="宋体"/>
                <w:color w:val="000000"/>
                <w:sz w:val="20"/>
                <w:szCs w:val="20"/>
              </w:rPr>
            </w:pPr>
            <w:r>
              <w:rPr>
                <w:rFonts w:ascii="Times New Roman" w:hAnsi="Times New Roman" w:eastAsia="宋体"/>
                <w:color w:val="000000"/>
                <w:sz w:val="20"/>
                <w:szCs w:val="20"/>
              </w:rPr>
              <w:t>临界值C(0.01,</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default" w:ascii="Times New Roman" w:hAnsi="Times New Roman" w:eastAsia="宋体" w:cs="Times New Roman"/>
                <w:i w:val="0"/>
                <w:iCs w:val="0"/>
                <w:color w:val="000000"/>
                <w:kern w:val="0"/>
                <w:sz w:val="20"/>
                <w:szCs w:val="20"/>
                <w:u w:val="none"/>
                <w:lang w:val="en-US" w:eastAsia="zh-CN" w:bidi="ar"/>
              </w:rPr>
              <w:t>0.5875</w:t>
            </w:r>
            <w:r>
              <w:rPr>
                <w:rFonts w:ascii="Times New Roman" w:hAnsi="Times New Roman" w:eastAsia="宋体"/>
                <w:color w:val="000000"/>
                <w:sz w:val="20"/>
                <w:szCs w:val="20"/>
              </w:rPr>
              <w:t xml:space="preserve">  临界值C(0.05</w:t>
            </w: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eastAsia" w:ascii="Times New Roman" w:hAnsi="Times New Roman" w:eastAsia="宋体" w:cs="Times New Roman"/>
                <w:i w:val="0"/>
                <w:iCs w:val="0"/>
                <w:color w:val="000000"/>
                <w:kern w:val="0"/>
                <w:sz w:val="20"/>
                <w:szCs w:val="20"/>
                <w:u w:val="none"/>
                <w:lang w:val="en-US" w:eastAsia="zh-CN" w:bidi="ar"/>
              </w:rPr>
              <w:t>0.5063</w:t>
            </w:r>
          </w:p>
        </w:tc>
      </w:tr>
    </w:tbl>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4998" w:type="pct"/>
        <w:tblInd w:w="0" w:type="dxa"/>
        <w:tblLayout w:type="autofit"/>
        <w:tblCellMar>
          <w:top w:w="0" w:type="dxa"/>
          <w:left w:w="108" w:type="dxa"/>
          <w:bottom w:w="0" w:type="dxa"/>
          <w:right w:w="108" w:type="dxa"/>
        </w:tblCellMar>
      </w:tblPr>
      <w:tblGrid>
        <w:gridCol w:w="2855"/>
        <w:gridCol w:w="2351"/>
        <w:gridCol w:w="2351"/>
        <w:gridCol w:w="2351"/>
      </w:tblGrid>
      <w:tr>
        <w:tblPrEx>
          <w:tblCellMar>
            <w:top w:w="0" w:type="dxa"/>
            <w:left w:w="108" w:type="dxa"/>
            <w:bottom w:w="0" w:type="dxa"/>
            <w:right w:w="108" w:type="dxa"/>
          </w:tblCellMar>
        </w:tblPrEx>
        <w:trPr>
          <w:trHeight w:val="300" w:hRule="atLeas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统计量</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水平1</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水平2</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水平3</w:t>
            </w:r>
          </w:p>
        </w:tc>
      </w:tr>
      <w:tr>
        <w:tblPrEx>
          <w:tblCellMar>
            <w:top w:w="0" w:type="dxa"/>
            <w:left w:w="108" w:type="dxa"/>
            <w:bottom w:w="0" w:type="dxa"/>
            <w:right w:w="108" w:type="dxa"/>
          </w:tblCellMar>
        </w:tblPrEx>
        <w:trPr>
          <w:trHeight w:val="30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均值的平均值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0.14233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0.24153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0.19717</w:t>
            </w:r>
          </w:p>
        </w:tc>
      </w:tr>
      <w:tr>
        <w:tblPrEx>
          <w:tblCellMar>
            <w:top w:w="0" w:type="dxa"/>
            <w:left w:w="108" w:type="dxa"/>
            <w:bottom w:w="0" w:type="dxa"/>
            <w:right w:w="108" w:type="dxa"/>
          </w:tblCellMar>
        </w:tblPrEx>
        <w:trPr>
          <w:trHeight w:val="285"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均值的标准差</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1.3574E-02</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8.3478E-03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1.3114E-02</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最大均值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0.1580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0.2480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0.2150</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最小均值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0.1255</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0.2272</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0.1852</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Gmax</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1.154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0.775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1.360 </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Gmin</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1.240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1.721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rPr>
              <w:t xml:space="preserve">0.915 </w:t>
            </w:r>
          </w:p>
        </w:tc>
      </w:tr>
      <w:tr>
        <w:tblPrEx>
          <w:tblCellMar>
            <w:top w:w="0" w:type="dxa"/>
            <w:left w:w="108" w:type="dxa"/>
            <w:bottom w:w="0" w:type="dxa"/>
            <w:right w:w="108" w:type="dxa"/>
          </w:tblCellMar>
        </w:tblPrEx>
        <w:trPr>
          <w:trHeight w:val="357" w:hRule="atLeast"/>
        </w:trPr>
        <w:tc>
          <w:tcPr>
            <w:tcW w:w="1441"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C临界</w:t>
            </w:r>
          </w:p>
        </w:tc>
        <w:tc>
          <w:tcPr>
            <w:tcW w:w="35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临界值G(0.01</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1.764</w:t>
            </w:r>
            <w:r>
              <w:rPr>
                <w:rFonts w:hint="eastAsia" w:ascii="Times New Roman" w:hAnsi="Times New Roman" w:eastAsia="宋体"/>
                <w:b w:val="0"/>
                <w:color w:val="000000"/>
                <w:sz w:val="20"/>
                <w:szCs w:val="20"/>
              </w:rPr>
              <w:t xml:space="preserve">  临界</w:t>
            </w:r>
            <w:r>
              <w:rPr>
                <w:rFonts w:ascii="Times New Roman" w:hAnsi="Times New Roman" w:eastAsia="宋体"/>
                <w:b w:val="0"/>
                <w:color w:val="000000"/>
                <w:sz w:val="20"/>
                <w:szCs w:val="20"/>
              </w:rPr>
              <w:t>值</w:t>
            </w:r>
            <w:r>
              <w:rPr>
                <w:rFonts w:hint="eastAsia" w:ascii="Times New Roman" w:hAnsi="Times New Roman" w:eastAsia="宋体"/>
                <w:b w:val="0"/>
                <w:color w:val="000000"/>
                <w:sz w:val="20"/>
                <w:szCs w:val="20"/>
              </w:rPr>
              <w:t>G(0.05</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1.715</w:t>
            </w:r>
            <w:r>
              <w:rPr>
                <w:rFonts w:hint="eastAsia" w:ascii="Times New Roman" w:hAnsi="Times New Roman" w:eastAsia="宋体"/>
                <w:b w:val="0"/>
                <w:color w:val="000000"/>
                <w:sz w:val="20"/>
                <w:szCs w:val="20"/>
                <w:lang w:val="en-US" w:eastAsia="zh-CN"/>
              </w:rPr>
              <w:t xml:space="preserve"> </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I</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8" w:type="pct"/>
        <w:jc w:val="center"/>
        <w:tblLayout w:type="autofit"/>
        <w:tblCellMar>
          <w:top w:w="0" w:type="dxa"/>
          <w:left w:w="108" w:type="dxa"/>
          <w:bottom w:w="0" w:type="dxa"/>
          <w:right w:w="108" w:type="dxa"/>
        </w:tblCellMar>
      </w:tblPr>
      <w:tblGrid>
        <w:gridCol w:w="2111"/>
        <w:gridCol w:w="2599"/>
        <w:gridCol w:w="2599"/>
        <w:gridCol w:w="2599"/>
      </w:tblGrid>
      <w:tr>
        <w:tblPrEx>
          <w:tblCellMar>
            <w:top w:w="0" w:type="dxa"/>
            <w:left w:w="108" w:type="dxa"/>
            <w:bottom w:w="0" w:type="dxa"/>
            <w:right w:w="108" w:type="dxa"/>
          </w:tblCellMar>
        </w:tblPrEx>
        <w:trPr>
          <w:trHeight w:val="283" w:hRule="atLeast"/>
          <w:tblHeader/>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水平1</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水平2</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总平均值</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0.142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0.242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0.197</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T1</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4.27</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7.246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5.915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0.607763333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1.750150533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1.166240833</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4.8433E-04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1.1090E-03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7.3050E-04</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hint="eastAsia" w:ascii="Times New Roman" w:hAnsi="Times New Roman" w:eastAsia="宋体" w:cs="Times New Roman"/>
                <w:sz w:val="20"/>
                <w:szCs w:val="20"/>
              </w:rPr>
              <w:t>P</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1.93733E-05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0.00004436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0.00002922</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L</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3.22889E-06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7.39333E-06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cs="Times New Roman"/>
                <w:color w:val="000000"/>
                <w:sz w:val="20"/>
                <w:szCs w:val="24"/>
              </w:rPr>
              <w:t>4.87E-06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2.26022E-05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5.17533E-05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3.409E-05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m</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0.142333333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0.241533333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0.197166667</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0.004402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0.006660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0.005406 </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0.004754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0.007194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0.005839 </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0.012324</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0.018649</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0.015136</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0.013312</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0.020143</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0.016348</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11"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hint="eastAsia" w:ascii="Times New Roman" w:hAnsi="Times New Roman" w:eastAsia="宋体"/>
          <w:b/>
          <w:bCs/>
          <w:sz w:val="21"/>
          <w:szCs w:val="21"/>
          <w:lang w:val="en-US" w:eastAsia="zh-CN"/>
        </w:rPr>
        <w:t>J</w:t>
      </w:r>
      <w:r>
        <w:rPr>
          <w:rFonts w:hint="eastAsia" w:ascii="Times New Roman" w:hAnsi="Times New Roman" w:eastAsia="宋体"/>
          <w:b/>
          <w:bCs/>
          <w:sz w:val="21"/>
          <w:szCs w:val="21"/>
        </w:rPr>
        <w:t>：氧化</w:t>
      </w:r>
      <w:r>
        <w:rPr>
          <w:rFonts w:hint="eastAsia" w:ascii="Times New Roman" w:hAnsi="Times New Roman" w:eastAsia="宋体"/>
          <w:b/>
          <w:bCs/>
          <w:sz w:val="21"/>
          <w:szCs w:val="21"/>
          <w:lang w:eastAsia="zh-CN"/>
        </w:rPr>
        <w:t>镝</w:t>
      </w:r>
      <w:r>
        <w:rPr>
          <w:rFonts w:hint="eastAsia" w:ascii="Times New Roman" w:hAnsi="Times New Roman" w:eastAsia="宋体"/>
          <w:b/>
          <w:bCs/>
          <w:sz w:val="21"/>
          <w:szCs w:val="21"/>
        </w:rPr>
        <w:t>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 xml:space="preserve">1 </w:t>
      </w:r>
      <w:r>
        <w:rPr>
          <w:rFonts w:hint="eastAsia" w:ascii="Times New Roman" w:hAnsi="Times New Roman" w:eastAsia="宋体"/>
          <w:b w:val="0"/>
          <w:bCs w:val="0"/>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J</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1"/>
        <w:gridCol w:w="2433"/>
        <w:gridCol w:w="23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w:t>
            </w:r>
          </w:p>
        </w:tc>
        <w:tc>
          <w:tcPr>
            <w:tcW w:w="11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包头稀土研究院</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虔东稀土集团股份有限公司  </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0.391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0.487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湖南稀土金属材料研究院有限责任公司</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赣州艾科锐检测技术有限公司</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0.483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0.485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0.478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0.467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钨与稀土</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0.446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0.435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0.368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0.451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0.446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0.371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0.447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0.391 </w:t>
            </w: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2"/>
        <w:gridCol w:w="1406"/>
        <w:gridCol w:w="14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包头稀土研究院</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0.3700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0.4603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虔东稀土集团股份有限公司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0.3847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0.4758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湖南稀土金属材料研究院有限责任公司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0.3650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0.4553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赣州艾科锐检测技术有限公司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0.3815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0.4780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钨与稀土</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0.3693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0.4472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0.3838</w:t>
            </w:r>
          </w:p>
        </w:tc>
      </w:tr>
    </w:tbl>
    <w:p>
      <w:pPr>
        <w:adjustRightInd w:val="0"/>
        <w:snapToGrid w:val="0"/>
        <w:spacing w:line="360" w:lineRule="auto"/>
        <w:rPr>
          <w:rFonts w:ascii="Times New Roman" w:hAnsi="Times New Roman" w:eastAsia="宋体"/>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8"/>
        <w:gridCol w:w="1550"/>
        <w:gridCol w:w="15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包头稀土研究院</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0.000632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0.001506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0.004502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0.007731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0.007483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湖南稀土金属材料研究院有限责任公司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0.001414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0.002582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0.0048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0.0063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钨与稀土</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0.0075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0.0068</w:t>
            </w:r>
          </w:p>
        </w:tc>
      </w:tr>
    </w:tbl>
    <w:p>
      <w:pPr>
        <w:adjustRightInd w:val="0"/>
        <w:snapToGrid w:val="0"/>
        <w:spacing w:line="360" w:lineRule="auto"/>
        <w:jc w:val="both"/>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439"/>
        <w:gridCol w:w="326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实验室i</w:t>
            </w:r>
          </w:p>
        </w:tc>
        <w:tc>
          <w:tcPr>
            <w:tcW w:w="726"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水平1</w:t>
            </w:r>
          </w:p>
        </w:tc>
        <w:tc>
          <w:tcPr>
            <w:tcW w:w="1645"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水平2</w:t>
            </w:r>
          </w:p>
        </w:tc>
        <w:tc>
          <w:tcPr>
            <w:tcW w:w="1645"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w:t>
            </w:r>
            <w:r>
              <w:rPr>
                <w:rFonts w:hint="eastAsia" w:ascii="Times New Roman" w:hAnsi="Times New Roman" w:eastAsia="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Smax实验室</w:t>
            </w:r>
          </w:p>
        </w:tc>
        <w:tc>
          <w:tcPr>
            <w:tcW w:w="726" w:type="pct"/>
            <w:vAlign w:val="center"/>
          </w:tcPr>
          <w:p>
            <w:pPr>
              <w:adjustRightInd w:val="0"/>
              <w:snapToGrid w:val="0"/>
              <w:spacing w:line="360" w:lineRule="auto"/>
              <w:jc w:val="center"/>
              <w:rPr>
                <w:rFonts w:hint="default" w:ascii="Times New Roman" w:hAnsi="Times New Roman" w:eastAsia="宋体"/>
                <w:sz w:val="20"/>
                <w:szCs w:val="20"/>
                <w:vertAlign w:val="baseline"/>
                <w:lang w:val="en-US" w:eastAsia="zh-CN"/>
              </w:rPr>
            </w:pPr>
            <w:r>
              <w:rPr>
                <w:rFonts w:hint="default" w:ascii="Times New Roman" w:hAnsi="Times New Roman" w:eastAsia="宋体"/>
                <w:sz w:val="20"/>
                <w:szCs w:val="20"/>
                <w:vertAlign w:val="baseline"/>
                <w:lang w:val="en-US" w:eastAsia="zh-CN"/>
              </w:rPr>
              <w:t>钨与稀土</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Smax值</w:t>
            </w:r>
          </w:p>
        </w:tc>
        <w:tc>
          <w:tcPr>
            <w:tcW w:w="726"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0.005354 </w:t>
            </w:r>
          </w:p>
        </w:tc>
        <w:tc>
          <w:tcPr>
            <w:tcW w:w="1645"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0.007731 </w:t>
            </w:r>
          </w:p>
        </w:tc>
        <w:tc>
          <w:tcPr>
            <w:tcW w:w="1645"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0.007483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w:t>
            </w:r>
            <w:r>
              <w:rPr>
                <w:rFonts w:ascii="Times New Roman" w:hAnsi="Times New Roman" w:eastAsia="宋体"/>
                <w:sz w:val="20"/>
                <w:szCs w:val="20"/>
                <w:vertAlign w:val="superscript"/>
              </w:rPr>
              <w:t>2</w:t>
            </w:r>
          </w:p>
        </w:tc>
        <w:tc>
          <w:tcPr>
            <w:tcW w:w="726"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7.4033E-05</w:t>
            </w:r>
          </w:p>
        </w:tc>
        <w:tc>
          <w:tcPr>
            <w:tcW w:w="1645"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1.6527E-04</w:t>
            </w:r>
          </w:p>
        </w:tc>
        <w:tc>
          <w:tcPr>
            <w:tcW w:w="1645"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1.3197E-04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ascii="Times New Roman" w:hAnsi="Times New Roman" w:eastAsia="宋体"/>
                <w:sz w:val="20"/>
                <w:szCs w:val="20"/>
              </w:rPr>
              <w:t>C</w:t>
            </w:r>
          </w:p>
        </w:tc>
        <w:tc>
          <w:tcPr>
            <w:tcW w:w="726"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0.3872</w:t>
            </w:r>
          </w:p>
        </w:tc>
        <w:tc>
          <w:tcPr>
            <w:tcW w:w="1645"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0.3616</w:t>
            </w:r>
          </w:p>
        </w:tc>
        <w:tc>
          <w:tcPr>
            <w:tcW w:w="1645"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0.4243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离群值（Y/N）</w:t>
            </w:r>
          </w:p>
        </w:tc>
        <w:tc>
          <w:tcPr>
            <w:tcW w:w="726"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歧离值（Y/N）</w:t>
            </w:r>
          </w:p>
        </w:tc>
        <w:tc>
          <w:tcPr>
            <w:tcW w:w="726"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4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C临界</w:t>
            </w:r>
          </w:p>
        </w:tc>
        <w:tc>
          <w:tcPr>
            <w:tcW w:w="4018" w:type="pct"/>
            <w:gridSpan w:val="3"/>
            <w:vAlign w:val="center"/>
          </w:tcPr>
          <w:p>
            <w:pPr>
              <w:adjustRightInd w:val="0"/>
              <w:snapToGrid w:val="0"/>
              <w:jc w:val="center"/>
              <w:rPr>
                <w:rFonts w:ascii="Times New Roman" w:hAnsi="Times New Roman" w:eastAsia="宋体"/>
                <w:color w:val="000000"/>
                <w:sz w:val="20"/>
                <w:szCs w:val="20"/>
              </w:rPr>
            </w:pPr>
            <w:r>
              <w:rPr>
                <w:rFonts w:ascii="Times New Roman" w:hAnsi="Times New Roman" w:eastAsia="宋体"/>
                <w:color w:val="000000"/>
                <w:sz w:val="20"/>
                <w:szCs w:val="20"/>
              </w:rPr>
              <w:t>临界值C(0.01,</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default" w:ascii="Times New Roman" w:hAnsi="Times New Roman" w:eastAsia="宋体" w:cs="Times New Roman"/>
                <w:i w:val="0"/>
                <w:iCs w:val="0"/>
                <w:color w:val="000000"/>
                <w:kern w:val="0"/>
                <w:sz w:val="20"/>
                <w:szCs w:val="20"/>
                <w:u w:val="none"/>
                <w:lang w:val="en-US" w:eastAsia="zh-CN" w:bidi="ar"/>
              </w:rPr>
              <w:t>0.5875</w:t>
            </w:r>
            <w:r>
              <w:rPr>
                <w:rFonts w:ascii="Times New Roman" w:hAnsi="Times New Roman" w:eastAsia="宋体"/>
                <w:color w:val="000000"/>
                <w:sz w:val="20"/>
                <w:szCs w:val="20"/>
              </w:rPr>
              <w:t xml:space="preserve">  临界值C(0.05</w:t>
            </w: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eastAsia" w:ascii="Times New Roman" w:hAnsi="Times New Roman" w:eastAsia="宋体" w:cs="Times New Roman"/>
                <w:i w:val="0"/>
                <w:iCs w:val="0"/>
                <w:color w:val="000000"/>
                <w:kern w:val="0"/>
                <w:sz w:val="20"/>
                <w:szCs w:val="20"/>
                <w:u w:val="none"/>
                <w:lang w:val="en-US" w:eastAsia="zh-CN" w:bidi="ar"/>
              </w:rPr>
              <w:t>0.5063</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4998" w:type="pct"/>
        <w:tblInd w:w="0" w:type="dxa"/>
        <w:tblLayout w:type="autofit"/>
        <w:tblCellMar>
          <w:top w:w="0" w:type="dxa"/>
          <w:left w:w="108" w:type="dxa"/>
          <w:bottom w:w="0" w:type="dxa"/>
          <w:right w:w="108" w:type="dxa"/>
        </w:tblCellMar>
      </w:tblPr>
      <w:tblGrid>
        <w:gridCol w:w="2855"/>
        <w:gridCol w:w="2351"/>
        <w:gridCol w:w="2351"/>
        <w:gridCol w:w="2351"/>
      </w:tblGrid>
      <w:tr>
        <w:tblPrEx>
          <w:tblCellMar>
            <w:top w:w="0" w:type="dxa"/>
            <w:left w:w="108" w:type="dxa"/>
            <w:bottom w:w="0" w:type="dxa"/>
            <w:right w:w="108" w:type="dxa"/>
          </w:tblCellMar>
        </w:tblPrEx>
        <w:trPr>
          <w:trHeight w:val="300" w:hRule="atLeas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统计量</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水平1</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水平2</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水平3</w:t>
            </w:r>
          </w:p>
        </w:tc>
      </w:tr>
      <w:tr>
        <w:tblPrEx>
          <w:tblCellMar>
            <w:top w:w="0" w:type="dxa"/>
            <w:left w:w="108" w:type="dxa"/>
            <w:bottom w:w="0" w:type="dxa"/>
            <w:right w:w="108" w:type="dxa"/>
          </w:tblCellMar>
        </w:tblPrEx>
        <w:trPr>
          <w:trHeight w:val="30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均值的平均值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0.37410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0.46333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0.35357</w:t>
            </w:r>
          </w:p>
        </w:tc>
      </w:tr>
      <w:tr>
        <w:trPr>
          <w:trHeight w:val="285"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均值的标准差</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8.4964E-03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1.3283E-02</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3.0584E-02</w:t>
            </w:r>
          </w:p>
        </w:tc>
      </w:tr>
      <w:tr>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最大均值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0.3847</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0.4780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4"/>
              </w:rPr>
              <w:t>0.3838</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最小均值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0.3650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0.4472</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0.3200</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Gmax</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1.244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1.104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0.990 </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Gmin</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1.071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1.217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1.098 </w:t>
            </w:r>
          </w:p>
        </w:tc>
      </w:tr>
      <w:tr>
        <w:tblPrEx>
          <w:tblCellMar>
            <w:top w:w="0" w:type="dxa"/>
            <w:left w:w="108" w:type="dxa"/>
            <w:bottom w:w="0" w:type="dxa"/>
            <w:right w:w="108" w:type="dxa"/>
          </w:tblCellMar>
        </w:tblPrEx>
        <w:trPr>
          <w:trHeight w:val="357" w:hRule="atLeast"/>
        </w:trPr>
        <w:tc>
          <w:tcPr>
            <w:tcW w:w="1441"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C临界</w:t>
            </w:r>
          </w:p>
        </w:tc>
        <w:tc>
          <w:tcPr>
            <w:tcW w:w="35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临界值G(0.01</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1.764</w:t>
            </w:r>
            <w:r>
              <w:rPr>
                <w:rFonts w:hint="eastAsia" w:ascii="Times New Roman" w:hAnsi="Times New Roman" w:eastAsia="宋体"/>
                <w:b w:val="0"/>
                <w:color w:val="000000"/>
                <w:sz w:val="20"/>
                <w:szCs w:val="20"/>
              </w:rPr>
              <w:t xml:space="preserve">  临界</w:t>
            </w:r>
            <w:r>
              <w:rPr>
                <w:rFonts w:ascii="Times New Roman" w:hAnsi="Times New Roman" w:eastAsia="宋体"/>
                <w:b w:val="0"/>
                <w:color w:val="000000"/>
                <w:sz w:val="20"/>
                <w:szCs w:val="20"/>
              </w:rPr>
              <w:t>值</w:t>
            </w:r>
            <w:r>
              <w:rPr>
                <w:rFonts w:hint="eastAsia" w:ascii="Times New Roman" w:hAnsi="Times New Roman" w:eastAsia="宋体"/>
                <w:b w:val="0"/>
                <w:color w:val="000000"/>
                <w:sz w:val="20"/>
                <w:szCs w:val="20"/>
              </w:rPr>
              <w:t>G(0.05</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1.715</w:t>
            </w:r>
            <w:r>
              <w:rPr>
                <w:rFonts w:hint="eastAsia" w:ascii="Times New Roman" w:hAnsi="Times New Roman" w:eastAsia="宋体"/>
                <w:b w:val="0"/>
                <w:color w:val="000000"/>
                <w:sz w:val="20"/>
                <w:szCs w:val="20"/>
                <w:lang w:val="en-US" w:eastAsia="zh-CN"/>
              </w:rPr>
              <w:t xml:space="preserve"> </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J</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8" w:type="pct"/>
        <w:jc w:val="center"/>
        <w:tblLayout w:type="autofit"/>
        <w:tblCellMar>
          <w:top w:w="0" w:type="dxa"/>
          <w:left w:w="108" w:type="dxa"/>
          <w:bottom w:w="0" w:type="dxa"/>
          <w:right w:w="108" w:type="dxa"/>
        </w:tblCellMar>
      </w:tblPr>
      <w:tblGrid>
        <w:gridCol w:w="2111"/>
        <w:gridCol w:w="2599"/>
        <w:gridCol w:w="2599"/>
        <w:gridCol w:w="2599"/>
      </w:tblGrid>
      <w:tr>
        <w:tblPrEx>
          <w:tblCellMar>
            <w:top w:w="0" w:type="dxa"/>
            <w:left w:w="108" w:type="dxa"/>
            <w:bottom w:w="0" w:type="dxa"/>
            <w:right w:w="108" w:type="dxa"/>
          </w:tblCellMar>
        </w:tblPrEx>
        <w:trPr>
          <w:trHeight w:val="283" w:hRule="atLeast"/>
          <w:tblHeader/>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水平1</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水平2</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总平均值</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0.374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0.463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0.354</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T1</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11.223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13.9</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10.607</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4.1985243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6.440333333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3.750281633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3.7017E-04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8.2633E-04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6.5983E-04</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hint="eastAsia" w:ascii="Times New Roman" w:hAnsi="Times New Roman" w:eastAsia="宋体" w:cs="Times New Roman"/>
                <w:sz w:val="20"/>
                <w:szCs w:val="20"/>
              </w:rPr>
              <w:t>P</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1.48067E-05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3.30533E-05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2.63933E-05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L</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2.46778E-06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5.50889E-06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cs="Times New Roman"/>
                <w:color w:val="000000"/>
                <w:sz w:val="20"/>
                <w:szCs w:val="24"/>
              </w:rPr>
              <w:t>4.39889E-06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1.72744E-05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3.85622E-05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3.07922E-05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m</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0.3741</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0.463333333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0.353566667</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0.003848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0.005749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0.005137 </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0.004156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0.006210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0.005549 </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0.010774</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0.016098</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0.014385</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0.011638</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0.017388</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0.015537</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12"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hint="eastAsia" w:ascii="Times New Roman" w:hAnsi="Times New Roman" w:eastAsia="宋体"/>
          <w:b/>
          <w:bCs/>
          <w:sz w:val="21"/>
          <w:szCs w:val="21"/>
          <w:lang w:val="en-US" w:eastAsia="zh-CN"/>
        </w:rPr>
        <w:t>K</w:t>
      </w:r>
      <w:r>
        <w:rPr>
          <w:rFonts w:hint="eastAsia" w:ascii="Times New Roman" w:hAnsi="Times New Roman" w:eastAsia="宋体"/>
          <w:b/>
          <w:bCs/>
          <w:sz w:val="21"/>
          <w:szCs w:val="21"/>
        </w:rPr>
        <w:t>：氧化</w:t>
      </w:r>
      <w:r>
        <w:rPr>
          <w:rFonts w:hint="eastAsia" w:ascii="Times New Roman" w:hAnsi="Times New Roman" w:eastAsia="宋体"/>
          <w:b/>
          <w:bCs/>
          <w:sz w:val="21"/>
          <w:szCs w:val="21"/>
          <w:lang w:eastAsia="zh-CN"/>
        </w:rPr>
        <w:t>钬</w:t>
      </w:r>
      <w:r>
        <w:rPr>
          <w:rFonts w:hint="eastAsia" w:ascii="Times New Roman" w:hAnsi="Times New Roman" w:eastAsia="宋体"/>
          <w:b/>
          <w:bCs/>
          <w:sz w:val="21"/>
          <w:szCs w:val="21"/>
        </w:rPr>
        <w:t>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 xml:space="preserve">1 </w:t>
      </w:r>
      <w:r>
        <w:rPr>
          <w:rFonts w:hint="eastAsia" w:ascii="Times New Roman" w:hAnsi="Times New Roman" w:eastAsia="宋体"/>
          <w:b w:val="0"/>
          <w:bCs w:val="0"/>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K</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1"/>
        <w:gridCol w:w="2433"/>
        <w:gridCol w:w="23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w:t>
            </w:r>
          </w:p>
        </w:tc>
        <w:tc>
          <w:tcPr>
            <w:tcW w:w="11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包头稀土研究院</w:t>
            </w: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0.130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0.083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0.080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0.082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虔东稀土集团股份有限公司  </w:t>
            </w: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湖南稀土金属材料研究院有限责任公司</w:t>
            </w: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0.079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0.078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0.080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0.140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0.082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0.076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0.137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赣州艾科锐检测技术有限公司</w:t>
            </w: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0.133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0.093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0.135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0.129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0.083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钨与稀土</w:t>
            </w: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0.095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0.115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0.082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0.122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0.078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0.116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0.081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0.124 </w:t>
            </w:r>
          </w:p>
        </w:tc>
        <w:tc>
          <w:tcPr>
            <w:tcW w:w="23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0.108 </w:t>
            </w: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2"/>
        <w:gridCol w:w="1406"/>
        <w:gridCol w:w="14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包头稀土研究院</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0.0825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0.1290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虔东稀土集团股份有限公司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0.0925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0.1253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湖南稀土金属材料研究院有限责任公司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0.0793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0.1377</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赣州艾科锐检测技术有限公司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0.0877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0.1302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钨与稀土</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0.0847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0.1215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0.1098</w:t>
            </w:r>
          </w:p>
        </w:tc>
      </w:tr>
    </w:tbl>
    <w:p>
      <w:pPr>
        <w:adjustRightInd w:val="0"/>
        <w:snapToGrid w:val="0"/>
        <w:spacing w:line="360" w:lineRule="auto"/>
        <w:rPr>
          <w:rFonts w:ascii="Times New Roman" w:hAnsi="Times New Roman" w:eastAsia="宋体"/>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8"/>
        <w:gridCol w:w="1550"/>
        <w:gridCol w:w="15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包头稀土研究院</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0.001871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0.002098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0.004370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0.005317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0.004775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湖南稀土金属材料研究院有限责任公司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0.002160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0.001751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钨与稀土</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0.0050</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0.0053</w:t>
            </w:r>
          </w:p>
        </w:tc>
      </w:tr>
    </w:tbl>
    <w:p>
      <w:pPr>
        <w:adjustRightInd w:val="0"/>
        <w:snapToGrid w:val="0"/>
        <w:spacing w:line="360" w:lineRule="auto"/>
        <w:jc w:val="both"/>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764"/>
        <w:gridCol w:w="399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实验室i</w:t>
            </w:r>
          </w:p>
        </w:tc>
        <w:tc>
          <w:tcPr>
            <w:tcW w:w="890"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水平1</w:t>
            </w:r>
          </w:p>
        </w:tc>
        <w:tc>
          <w:tcPr>
            <w:tcW w:w="2016"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水平2</w:t>
            </w:r>
          </w:p>
        </w:tc>
        <w:tc>
          <w:tcPr>
            <w:tcW w:w="890"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w:t>
            </w:r>
            <w:r>
              <w:rPr>
                <w:rFonts w:hint="eastAsia" w:ascii="Times New Roman" w:hAnsi="Times New Roman" w:eastAsia="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Smax实验室</w:t>
            </w:r>
          </w:p>
        </w:tc>
        <w:tc>
          <w:tcPr>
            <w:tcW w:w="890" w:type="pct"/>
            <w:vAlign w:val="center"/>
          </w:tcPr>
          <w:p>
            <w:pPr>
              <w:adjustRightInd w:val="0"/>
              <w:snapToGrid w:val="0"/>
              <w:spacing w:line="360" w:lineRule="auto"/>
              <w:jc w:val="center"/>
              <w:rPr>
                <w:rFonts w:hint="default" w:ascii="Times New Roman" w:hAnsi="Times New Roman" w:eastAsia="宋体"/>
                <w:sz w:val="20"/>
                <w:szCs w:val="20"/>
                <w:vertAlign w:val="baseline"/>
                <w:lang w:val="en-US" w:eastAsia="zh-CN"/>
              </w:rPr>
            </w:pPr>
            <w:r>
              <w:rPr>
                <w:rFonts w:hint="default" w:ascii="Times New Roman" w:hAnsi="Times New Roman" w:eastAsia="宋体"/>
                <w:sz w:val="20"/>
                <w:szCs w:val="20"/>
                <w:vertAlign w:val="baseline"/>
                <w:lang w:val="en-US" w:eastAsia="zh-CN"/>
              </w:rPr>
              <w:t>钨与稀土</w:t>
            </w:r>
          </w:p>
        </w:tc>
        <w:tc>
          <w:tcPr>
            <w:tcW w:w="2016"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890"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sz w:val="20"/>
                <w:szCs w:val="20"/>
                <w:vertAlign w:val="baseline"/>
              </w:rPr>
              <w:t>钨与稀土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Smax值</w:t>
            </w:r>
          </w:p>
        </w:tc>
        <w:tc>
          <w:tcPr>
            <w:tcW w:w="890"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0.005922 </w:t>
            </w:r>
          </w:p>
        </w:tc>
        <w:tc>
          <w:tcPr>
            <w:tcW w:w="2016"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0.005317 </w:t>
            </w:r>
          </w:p>
        </w:tc>
        <w:tc>
          <w:tcPr>
            <w:tcW w:w="890" w:type="pct"/>
            <w:vAlign w:val="top"/>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 xml:space="preserve">0.005307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w:t>
            </w:r>
            <w:r>
              <w:rPr>
                <w:rFonts w:ascii="Times New Roman" w:hAnsi="Times New Roman" w:eastAsia="宋体"/>
                <w:sz w:val="20"/>
                <w:szCs w:val="20"/>
                <w:vertAlign w:val="superscript"/>
              </w:rPr>
              <w:t>2</w:t>
            </w:r>
          </w:p>
        </w:tc>
        <w:tc>
          <w:tcPr>
            <w:tcW w:w="890"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7.6600E-05</w:t>
            </w:r>
          </w:p>
        </w:tc>
        <w:tc>
          <w:tcPr>
            <w:tcW w:w="2016"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7.4200E-05</w:t>
            </w:r>
          </w:p>
        </w:tc>
        <w:tc>
          <w:tcPr>
            <w:tcW w:w="890"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6.7000E-05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ascii="Times New Roman" w:hAnsi="Times New Roman" w:eastAsia="宋体"/>
                <w:sz w:val="20"/>
                <w:szCs w:val="20"/>
              </w:rPr>
              <w:t>C</w:t>
            </w:r>
          </w:p>
        </w:tc>
        <w:tc>
          <w:tcPr>
            <w:tcW w:w="890"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0.4578</w:t>
            </w:r>
          </w:p>
        </w:tc>
        <w:tc>
          <w:tcPr>
            <w:tcW w:w="2016"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0.3810</w:t>
            </w:r>
          </w:p>
        </w:tc>
        <w:tc>
          <w:tcPr>
            <w:tcW w:w="890" w:type="pct"/>
            <w:vAlign w:val="top"/>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离群值（Y/N）</w:t>
            </w:r>
          </w:p>
        </w:tc>
        <w:tc>
          <w:tcPr>
            <w:tcW w:w="890"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2016"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890"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歧离值（Y/N）</w:t>
            </w:r>
          </w:p>
        </w:tc>
        <w:tc>
          <w:tcPr>
            <w:tcW w:w="890"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2016"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890"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C临界</w:t>
            </w:r>
          </w:p>
        </w:tc>
        <w:tc>
          <w:tcPr>
            <w:tcW w:w="3796" w:type="pct"/>
            <w:gridSpan w:val="3"/>
            <w:vAlign w:val="center"/>
          </w:tcPr>
          <w:p>
            <w:pPr>
              <w:adjustRightInd w:val="0"/>
              <w:snapToGrid w:val="0"/>
              <w:jc w:val="center"/>
              <w:rPr>
                <w:rFonts w:ascii="Times New Roman" w:hAnsi="Times New Roman" w:eastAsia="宋体"/>
                <w:color w:val="000000"/>
                <w:sz w:val="20"/>
                <w:szCs w:val="20"/>
              </w:rPr>
            </w:pPr>
            <w:r>
              <w:rPr>
                <w:rFonts w:ascii="Times New Roman" w:hAnsi="Times New Roman" w:eastAsia="宋体"/>
                <w:color w:val="000000"/>
                <w:sz w:val="20"/>
                <w:szCs w:val="20"/>
              </w:rPr>
              <w:t>临界值C(0.01,</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default" w:ascii="Times New Roman" w:hAnsi="Times New Roman" w:eastAsia="宋体" w:cs="Times New Roman"/>
                <w:i w:val="0"/>
                <w:iCs w:val="0"/>
                <w:color w:val="000000"/>
                <w:kern w:val="0"/>
                <w:sz w:val="20"/>
                <w:szCs w:val="20"/>
                <w:u w:val="none"/>
                <w:lang w:val="en-US" w:eastAsia="zh-CN" w:bidi="ar"/>
              </w:rPr>
              <w:t>0.5875</w:t>
            </w:r>
            <w:r>
              <w:rPr>
                <w:rFonts w:ascii="Times New Roman" w:hAnsi="Times New Roman" w:eastAsia="宋体"/>
                <w:color w:val="000000"/>
                <w:sz w:val="20"/>
                <w:szCs w:val="20"/>
              </w:rPr>
              <w:t xml:space="preserve">  临界值C(0.05</w:t>
            </w: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eastAsia" w:ascii="Times New Roman" w:hAnsi="Times New Roman" w:eastAsia="宋体" w:cs="Times New Roman"/>
                <w:i w:val="0"/>
                <w:iCs w:val="0"/>
                <w:color w:val="000000"/>
                <w:kern w:val="0"/>
                <w:sz w:val="20"/>
                <w:szCs w:val="20"/>
                <w:u w:val="none"/>
                <w:lang w:val="en-US" w:eastAsia="zh-CN" w:bidi="ar"/>
              </w:rPr>
              <w:t>0.5063</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4998" w:type="pct"/>
        <w:tblInd w:w="0" w:type="dxa"/>
        <w:tblLayout w:type="autofit"/>
        <w:tblCellMar>
          <w:top w:w="0" w:type="dxa"/>
          <w:left w:w="108" w:type="dxa"/>
          <w:bottom w:w="0" w:type="dxa"/>
          <w:right w:w="108" w:type="dxa"/>
        </w:tblCellMar>
      </w:tblPr>
      <w:tblGrid>
        <w:gridCol w:w="2855"/>
        <w:gridCol w:w="2351"/>
        <w:gridCol w:w="2351"/>
        <w:gridCol w:w="2351"/>
      </w:tblGrid>
      <w:tr>
        <w:tblPrEx>
          <w:tblCellMar>
            <w:top w:w="0" w:type="dxa"/>
            <w:left w:w="108" w:type="dxa"/>
            <w:bottom w:w="0" w:type="dxa"/>
            <w:right w:w="108" w:type="dxa"/>
          </w:tblCellMar>
        </w:tblPrEx>
        <w:trPr>
          <w:trHeight w:val="300" w:hRule="atLeas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统计量</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水平1</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水平2</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水平3</w:t>
            </w:r>
          </w:p>
        </w:tc>
      </w:tr>
      <w:tr>
        <w:tblPrEx>
          <w:tblCellMar>
            <w:top w:w="0" w:type="dxa"/>
            <w:left w:w="108" w:type="dxa"/>
            <w:bottom w:w="0" w:type="dxa"/>
            <w:right w:w="108" w:type="dxa"/>
          </w:tblCellMar>
        </w:tblPrEx>
        <w:trPr>
          <w:trHeight w:val="30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均值的平均值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0.08533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0.12873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0.10920</w:t>
            </w:r>
          </w:p>
        </w:tc>
      </w:tr>
      <w:tr>
        <w:tblPrEx>
          <w:tblCellMar>
            <w:top w:w="0" w:type="dxa"/>
            <w:left w:w="108" w:type="dxa"/>
            <w:bottom w:w="0" w:type="dxa"/>
            <w:right w:w="108" w:type="dxa"/>
          </w:tblCellMar>
        </w:tblPrEx>
        <w:trPr>
          <w:trHeight w:val="285"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均值的标准差</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5.0318E-03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6.0376E-03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2.7973E-03</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最大均值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0.0925</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0.1377</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4"/>
              </w:rPr>
              <w:t>0.1115</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最小均值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0.0793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0.1215</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0.1043</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Gmax</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1.424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1.480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0.822 </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Gmin</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1.192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1.198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1.740 </w:t>
            </w:r>
          </w:p>
        </w:tc>
      </w:tr>
      <w:tr>
        <w:tblPrEx>
          <w:tblCellMar>
            <w:top w:w="0" w:type="dxa"/>
            <w:left w:w="108" w:type="dxa"/>
            <w:bottom w:w="0" w:type="dxa"/>
            <w:right w:w="108" w:type="dxa"/>
          </w:tblCellMar>
        </w:tblPrEx>
        <w:trPr>
          <w:trHeight w:val="357" w:hRule="atLeast"/>
        </w:trPr>
        <w:tc>
          <w:tcPr>
            <w:tcW w:w="1441"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C临界</w:t>
            </w:r>
          </w:p>
        </w:tc>
        <w:tc>
          <w:tcPr>
            <w:tcW w:w="35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临界值G(0.01</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1.764</w:t>
            </w:r>
            <w:r>
              <w:rPr>
                <w:rFonts w:hint="eastAsia" w:ascii="Times New Roman" w:hAnsi="Times New Roman" w:eastAsia="宋体"/>
                <w:b w:val="0"/>
                <w:color w:val="000000"/>
                <w:sz w:val="20"/>
                <w:szCs w:val="20"/>
              </w:rPr>
              <w:t xml:space="preserve">  临界</w:t>
            </w:r>
            <w:r>
              <w:rPr>
                <w:rFonts w:ascii="Times New Roman" w:hAnsi="Times New Roman" w:eastAsia="宋体"/>
                <w:b w:val="0"/>
                <w:color w:val="000000"/>
                <w:sz w:val="20"/>
                <w:szCs w:val="20"/>
              </w:rPr>
              <w:t>值</w:t>
            </w:r>
            <w:r>
              <w:rPr>
                <w:rFonts w:hint="eastAsia" w:ascii="Times New Roman" w:hAnsi="Times New Roman" w:eastAsia="宋体"/>
                <w:b w:val="0"/>
                <w:color w:val="000000"/>
                <w:sz w:val="20"/>
                <w:szCs w:val="20"/>
              </w:rPr>
              <w:t>G(0.05</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1.715</w:t>
            </w:r>
            <w:r>
              <w:rPr>
                <w:rFonts w:hint="eastAsia" w:ascii="Times New Roman" w:hAnsi="Times New Roman" w:eastAsia="宋体"/>
                <w:b w:val="0"/>
                <w:color w:val="000000"/>
                <w:sz w:val="20"/>
                <w:szCs w:val="20"/>
                <w:lang w:val="en-US" w:eastAsia="zh-CN"/>
              </w:rPr>
              <w:t xml:space="preserve"> </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K</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8" w:type="pct"/>
        <w:jc w:val="center"/>
        <w:tblLayout w:type="autofit"/>
        <w:tblCellMar>
          <w:top w:w="0" w:type="dxa"/>
          <w:left w:w="108" w:type="dxa"/>
          <w:bottom w:w="0" w:type="dxa"/>
          <w:right w:w="108" w:type="dxa"/>
        </w:tblCellMar>
      </w:tblPr>
      <w:tblGrid>
        <w:gridCol w:w="2111"/>
        <w:gridCol w:w="2599"/>
        <w:gridCol w:w="2599"/>
        <w:gridCol w:w="2599"/>
      </w:tblGrid>
      <w:tr>
        <w:tblPrEx>
          <w:tblCellMar>
            <w:top w:w="0" w:type="dxa"/>
            <w:left w:w="108" w:type="dxa"/>
            <w:bottom w:w="0" w:type="dxa"/>
            <w:right w:w="108" w:type="dxa"/>
          </w:tblCellMar>
        </w:tblPrEx>
        <w:trPr>
          <w:trHeight w:val="283" w:hRule="atLeast"/>
          <w:tblHeader/>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水平1</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水平2</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总平均值</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0.085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0.129</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0.109</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T1</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2.56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3.862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3.276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0.218453333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0.497168133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0.3577392</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3.8300E-04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3.7100E-04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3.3500E-04</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hint="eastAsia" w:ascii="Times New Roman" w:hAnsi="Times New Roman" w:eastAsia="宋体" w:cs="Times New Roman"/>
                <w:sz w:val="20"/>
                <w:szCs w:val="20"/>
              </w:rPr>
              <w:t>P</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0.00001532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0.00001484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0.0000134</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L</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2.55333E-06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2.47333E-06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cs="Times New Roman"/>
                <w:color w:val="000000"/>
                <w:sz w:val="20"/>
                <w:szCs w:val="24"/>
              </w:rPr>
              <w:t>2.23333E-06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1.78733E-05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1.73133E-05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1.56333E-05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m</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0.085333333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0.128733333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0.1092</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0.003914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0.003852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0.003661 </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0.004228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0.004161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0.003954 </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0.010959</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0.010786</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0.010250</w:t>
            </w:r>
          </w:p>
        </w:tc>
      </w:tr>
      <w:tr>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0.011838</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0.011651</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0.011071</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13"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hint="eastAsia" w:ascii="Times New Roman" w:hAnsi="Times New Roman" w:eastAsia="宋体"/>
          <w:b/>
          <w:bCs/>
          <w:sz w:val="21"/>
          <w:szCs w:val="21"/>
          <w:lang w:val="en-US" w:eastAsia="zh-CN"/>
        </w:rPr>
        <w:t>L</w:t>
      </w:r>
      <w:r>
        <w:rPr>
          <w:rFonts w:hint="eastAsia" w:ascii="Times New Roman" w:hAnsi="Times New Roman" w:eastAsia="宋体"/>
          <w:b/>
          <w:bCs/>
          <w:sz w:val="21"/>
          <w:szCs w:val="21"/>
        </w:rPr>
        <w:t>：氧化</w:t>
      </w:r>
      <w:r>
        <w:rPr>
          <w:rFonts w:hint="eastAsia" w:ascii="Times New Roman" w:hAnsi="Times New Roman" w:eastAsia="宋体"/>
          <w:b/>
          <w:bCs/>
          <w:sz w:val="21"/>
          <w:szCs w:val="21"/>
          <w:lang w:eastAsia="zh-CN"/>
        </w:rPr>
        <w:t>铒</w:t>
      </w:r>
      <w:r>
        <w:rPr>
          <w:rFonts w:hint="eastAsia" w:ascii="Times New Roman" w:hAnsi="Times New Roman" w:eastAsia="宋体"/>
          <w:b/>
          <w:bCs/>
          <w:sz w:val="21"/>
          <w:szCs w:val="21"/>
        </w:rPr>
        <w:t>精密度数据统计</w:t>
      </w:r>
      <w:r>
        <w:rPr>
          <w:rFonts w:hint="eastAsia" w:ascii="Times New Roman" w:hAnsi="Times New Roman" w:eastAsia="宋体"/>
          <w:b/>
          <w:bCs/>
          <w:sz w:val="21"/>
          <w:szCs w:val="21"/>
          <w:lang w:eastAsia="zh-CN"/>
        </w:rPr>
        <w:t>（方法</w:t>
      </w:r>
      <w:r>
        <w:rPr>
          <w:rFonts w:hint="eastAsia" w:ascii="Times New Roman" w:hAnsi="Times New Roman" w:eastAsia="宋体"/>
          <w:b/>
          <w:bCs/>
          <w:sz w:val="21"/>
          <w:szCs w:val="21"/>
          <w:lang w:val="en-US" w:eastAsia="zh-CN"/>
        </w:rPr>
        <w:t>2）</w:t>
      </w:r>
    </w:p>
    <w:p>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 xml:space="preserve">1 </w:t>
      </w:r>
      <w:r>
        <w:rPr>
          <w:rFonts w:hint="eastAsia" w:ascii="Times New Roman" w:hAnsi="Times New Roman" w:eastAsia="宋体"/>
          <w:b w:val="0"/>
          <w:bCs w:val="0"/>
          <w:sz w:val="21"/>
          <w:szCs w:val="21"/>
        </w:rPr>
        <w:t>各实验室实验数据</w:t>
      </w:r>
    </w:p>
    <w:p>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表</w:t>
      </w:r>
      <w:r>
        <w:rPr>
          <w:rFonts w:hint="eastAsia" w:ascii="Times New Roman" w:hAnsi="Times New Roman" w:eastAsia="宋体"/>
          <w:b w:val="0"/>
          <w:bCs/>
          <w:sz w:val="21"/>
          <w:szCs w:val="21"/>
          <w:lang w:val="en-US" w:eastAsia="zh-CN"/>
        </w:rPr>
        <w:t>L</w:t>
      </w:r>
      <w:r>
        <w:rPr>
          <w:rFonts w:hint="eastAsia" w:ascii="Times New Roman" w:hAnsi="Times New Roman" w:eastAsia="宋体"/>
          <w:b w:val="0"/>
          <w:bCs/>
          <w:sz w:val="21"/>
          <w:szCs w:val="21"/>
        </w:rPr>
        <w:t xml:space="preserve">.1 </w:t>
      </w:r>
      <w:r>
        <w:rPr>
          <w:rFonts w:ascii="Times New Roman" w:hAnsi="Times New Roman" w:eastAsia="宋体"/>
          <w:b w:val="0"/>
          <w:bCs/>
          <w:sz w:val="21"/>
          <w:szCs w:val="21"/>
        </w:rPr>
        <w:t>各实验室实验数据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1"/>
        <w:gridCol w:w="2433"/>
        <w:gridCol w:w="23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w:t>
            </w:r>
          </w:p>
        </w:tc>
        <w:tc>
          <w:tcPr>
            <w:tcW w:w="116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包头稀土研究院</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虔东稀土集团股份有限公司  </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湖南稀土金属材料研究院有限责任公司</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0.110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0.164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赣州艾科锐检测技术有限公司</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0.101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0.177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0.183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钨与稀土</w:t>
            </w: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0.132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0.145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0.128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0.152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3"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0.126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0.149 </w:t>
            </w:r>
          </w:p>
        </w:tc>
        <w:tc>
          <w:tcPr>
            <w:tcW w:w="2302" w:type="dxa"/>
            <w:tcBorders>
              <w:top w:val="single" w:color="000000" w:sz="4" w:space="0"/>
              <w:left w:val="nil"/>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Times New Roman"/>
                <w:color w:val="000000"/>
                <w:sz w:val="20"/>
                <w:szCs w:val="20"/>
              </w:rPr>
              <w:t xml:space="preserve">0.121 </w:t>
            </w:r>
          </w:p>
        </w:tc>
      </w:tr>
    </w:tbl>
    <w:p>
      <w:pPr>
        <w:widowControl/>
        <w:adjustRightInd w:val="0"/>
        <w:snapToGrid w:val="0"/>
        <w:spacing w:line="360" w:lineRule="auto"/>
        <w:rPr>
          <w:rFonts w:ascii="Times New Roman" w:hAnsi="Times New Roman" w:eastAsia="宋体"/>
          <w:b/>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2"/>
        <w:gridCol w:w="1406"/>
        <w:gridCol w:w="14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包头稀土研究院</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0.1137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0.1562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虔东稀土集团股份有限公司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0.1098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0.1860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湖南稀土金属材料研究院有限责任公司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0.1090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0.1632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赣州艾科锐检测技术有限公司</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0.1090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0.1792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sz w:val="20"/>
                <w:szCs w:val="20"/>
                <w:u w:val="none"/>
                <w:lang w:val="en-US" w:eastAsia="zh-CN"/>
              </w:rPr>
              <w:t>钨与稀土</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0.1263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0.1503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0.1207</w:t>
            </w:r>
          </w:p>
        </w:tc>
      </w:tr>
    </w:tbl>
    <w:p>
      <w:pPr>
        <w:adjustRightInd w:val="0"/>
        <w:snapToGrid w:val="0"/>
        <w:spacing w:line="360" w:lineRule="auto"/>
        <w:rPr>
          <w:rFonts w:ascii="Times New Roman" w:hAnsi="Times New Roman" w:eastAsia="宋体"/>
          <w:sz w:val="21"/>
          <w:szCs w:val="21"/>
        </w:rPr>
      </w:pP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8"/>
        <w:gridCol w:w="1550"/>
        <w:gridCol w:w="155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20"/>
                <w:szCs w:val="20"/>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水平3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包头稀土研究院</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0.001751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0.001169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0.002317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0.004690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0.002639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湖南稀土金属材料研究院有限责任公司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0.001414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0.001472 </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 xml:space="preserve">0.001049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钨与稀土</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0.0043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0.0038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4"/>
              </w:rPr>
              <w:t>0.0051</w:t>
            </w:r>
          </w:p>
        </w:tc>
      </w:tr>
    </w:tbl>
    <w:p>
      <w:pPr>
        <w:adjustRightInd w:val="0"/>
        <w:snapToGrid w:val="0"/>
        <w:spacing w:line="360" w:lineRule="auto"/>
        <w:jc w:val="both"/>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pPr>
        <w:adjustRightInd w:val="0"/>
        <w:snapToGrid w:val="0"/>
        <w:spacing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按柯克伦检验统计量计算结果如表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w:t>
      </w:r>
    </w:p>
    <w:p>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3425"/>
        <w:gridCol w:w="3181"/>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实验室i</w:t>
            </w:r>
          </w:p>
        </w:tc>
        <w:tc>
          <w:tcPr>
            <w:tcW w:w="1728"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水平1</w:t>
            </w:r>
          </w:p>
        </w:tc>
        <w:tc>
          <w:tcPr>
            <w:tcW w:w="1605"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水平2</w:t>
            </w:r>
          </w:p>
        </w:tc>
        <w:tc>
          <w:tcPr>
            <w:tcW w:w="708" w:type="pct"/>
            <w:vAlign w:val="center"/>
          </w:tcPr>
          <w:p>
            <w:pPr>
              <w:widowControl/>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水平</w:t>
            </w:r>
            <w:r>
              <w:rPr>
                <w:rFonts w:hint="eastAsia" w:ascii="Times New Roman" w:hAnsi="Times New Roman" w:eastAsia="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Smax实验室</w:t>
            </w:r>
          </w:p>
        </w:tc>
        <w:tc>
          <w:tcPr>
            <w:tcW w:w="1728" w:type="pct"/>
            <w:vAlign w:val="center"/>
          </w:tcPr>
          <w:p>
            <w:pPr>
              <w:adjustRightInd w:val="0"/>
              <w:snapToGrid w:val="0"/>
              <w:spacing w:line="360" w:lineRule="auto"/>
              <w:jc w:val="center"/>
              <w:rPr>
                <w:rFonts w:hint="default" w:ascii="Times New Roman" w:hAnsi="Times New Roman" w:eastAsia="宋体"/>
                <w:sz w:val="20"/>
                <w:szCs w:val="20"/>
                <w:vertAlign w:val="baseline"/>
                <w:lang w:val="en-US" w:eastAsia="zh-CN"/>
              </w:rPr>
            </w:pPr>
            <w:r>
              <w:rPr>
                <w:rFonts w:hint="eastAsia" w:ascii="Times New Roman" w:hAnsi="Times New Roman" w:eastAsia="宋体" w:cs="宋体"/>
                <w:i w:val="0"/>
                <w:iCs w:val="0"/>
                <w:color w:val="000000"/>
                <w:kern w:val="0"/>
                <w:sz w:val="20"/>
                <w:szCs w:val="20"/>
                <w:u w:val="none"/>
                <w:lang w:val="en-US" w:eastAsia="zh-CN" w:bidi="ar"/>
              </w:rPr>
              <w:t>赣州艾科锐检测技术有限公司</w:t>
            </w:r>
          </w:p>
        </w:tc>
        <w:tc>
          <w:tcPr>
            <w:tcW w:w="1605"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cs="宋体"/>
                <w:i w:val="0"/>
                <w:iCs w:val="0"/>
                <w:color w:val="000000"/>
                <w:kern w:val="0"/>
                <w:sz w:val="20"/>
                <w:szCs w:val="20"/>
                <w:u w:val="none"/>
                <w:lang w:val="en-US" w:eastAsia="zh-CN" w:bidi="ar"/>
              </w:rPr>
              <w:t>虔东稀土集团股份有限公司</w:t>
            </w:r>
          </w:p>
        </w:tc>
        <w:tc>
          <w:tcPr>
            <w:tcW w:w="708" w:type="pct"/>
            <w:vAlign w:val="center"/>
          </w:tcPr>
          <w:p>
            <w:pPr>
              <w:adjustRightInd w:val="0"/>
              <w:snapToGrid w:val="0"/>
              <w:spacing w:line="360" w:lineRule="auto"/>
              <w:jc w:val="center"/>
              <w:rPr>
                <w:rFonts w:hint="eastAsia" w:ascii="Times New Roman" w:hAnsi="Times New Roman" w:eastAsia="宋体"/>
                <w:sz w:val="20"/>
                <w:szCs w:val="20"/>
                <w:vertAlign w:val="baseline"/>
              </w:rPr>
            </w:pPr>
            <w:r>
              <w:rPr>
                <w:rFonts w:hint="eastAsia" w:ascii="Times New Roman" w:hAnsi="Times New Roman" w:eastAsia="宋体"/>
                <w:sz w:val="20"/>
                <w:szCs w:val="20"/>
                <w:vertAlign w:val="baseline"/>
              </w:rPr>
              <w:t>钨与稀土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Smax值</w:t>
            </w:r>
          </w:p>
        </w:tc>
        <w:tc>
          <w:tcPr>
            <w:tcW w:w="1728"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0.005254</w:t>
            </w:r>
          </w:p>
        </w:tc>
        <w:tc>
          <w:tcPr>
            <w:tcW w:w="1605"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0.004690</w:t>
            </w:r>
          </w:p>
        </w:tc>
        <w:tc>
          <w:tcPr>
            <w:tcW w:w="708" w:type="pct"/>
            <w:vAlign w:val="center"/>
          </w:tcPr>
          <w:p>
            <w:pPr>
              <w:spacing w:beforeLines="0" w:afterLines="0"/>
              <w:jc w:val="center"/>
              <w:rPr>
                <w:rFonts w:hint="eastAsia" w:ascii="Times New Roman" w:hAnsi="Times New Roman" w:eastAsia="Times New Roman" w:cstheme="minorBidi"/>
                <w:color w:val="000000"/>
                <w:kern w:val="2"/>
                <w:sz w:val="20"/>
                <w:szCs w:val="20"/>
                <w:lang w:val="en-US" w:eastAsia="zh-CN" w:bidi="ar-SA"/>
              </w:rPr>
            </w:pPr>
            <w:r>
              <w:rPr>
                <w:rFonts w:hint="eastAsia" w:ascii="Times New Roman" w:hAnsi="Times New Roman" w:eastAsia="Times New Roman"/>
                <w:color w:val="000000"/>
                <w:sz w:val="20"/>
                <w:szCs w:val="24"/>
              </w:rPr>
              <w:t>0.005125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∑S</w:t>
            </w:r>
            <w:r>
              <w:rPr>
                <w:rFonts w:ascii="Times New Roman" w:hAnsi="Times New Roman" w:eastAsia="宋体"/>
                <w:sz w:val="20"/>
                <w:szCs w:val="20"/>
                <w:vertAlign w:val="superscript"/>
              </w:rPr>
              <w:t>2</w:t>
            </w:r>
          </w:p>
        </w:tc>
        <w:tc>
          <w:tcPr>
            <w:tcW w:w="1728"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5.6700E-05</w:t>
            </w:r>
          </w:p>
        </w:tc>
        <w:tc>
          <w:tcPr>
            <w:tcW w:w="1605"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5.0767E-05</w:t>
            </w:r>
          </w:p>
        </w:tc>
        <w:tc>
          <w:tcPr>
            <w:tcW w:w="708"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4.6867E-05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ascii="Times New Roman" w:hAnsi="Times New Roman" w:eastAsia="宋体"/>
                <w:sz w:val="20"/>
                <w:szCs w:val="20"/>
              </w:rPr>
              <w:t>C</w:t>
            </w:r>
          </w:p>
        </w:tc>
        <w:tc>
          <w:tcPr>
            <w:tcW w:w="1728"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0.4868</w:t>
            </w:r>
          </w:p>
        </w:tc>
        <w:tc>
          <w:tcPr>
            <w:tcW w:w="1605"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0.4334</w:t>
            </w:r>
          </w:p>
        </w:tc>
        <w:tc>
          <w:tcPr>
            <w:tcW w:w="708" w:type="pct"/>
            <w:vAlign w:val="center"/>
          </w:tcPr>
          <w:p>
            <w:pPr>
              <w:spacing w:beforeLines="0" w:afterLines="0"/>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4"/>
              </w:rPr>
              <w:t>0.5605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离群值（Y/N）</w:t>
            </w:r>
          </w:p>
        </w:tc>
        <w:tc>
          <w:tcPr>
            <w:tcW w:w="1728"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0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708"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歧离值（Y/N）</w:t>
            </w:r>
          </w:p>
        </w:tc>
        <w:tc>
          <w:tcPr>
            <w:tcW w:w="1728"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1605"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N</w:t>
            </w:r>
          </w:p>
        </w:tc>
        <w:tc>
          <w:tcPr>
            <w:tcW w:w="708" w:type="pct"/>
            <w:vAlign w:val="center"/>
          </w:tcPr>
          <w:p>
            <w:pPr>
              <w:adjustRightInd w:val="0"/>
              <w:snapToGrid w:val="0"/>
              <w:spacing w:line="360" w:lineRule="auto"/>
              <w:jc w:val="center"/>
              <w:rPr>
                <w:rFonts w:hint="eastAsia" w:ascii="Times New Roman" w:hAnsi="Times New Roman" w:eastAsia="宋体"/>
                <w:sz w:val="20"/>
                <w:szCs w:val="20"/>
                <w:vertAlign w:val="baseline"/>
                <w:lang w:val="en-US" w:eastAsia="zh-CN"/>
              </w:rPr>
            </w:pPr>
            <w:r>
              <w:rPr>
                <w:rFonts w:hint="eastAsia" w:ascii="Times New Roman" w:hAnsi="Times New Roman" w:eastAsia="宋体"/>
                <w:sz w:val="20"/>
                <w:szCs w:val="20"/>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vAlign w:val="center"/>
          </w:tcPr>
          <w:p>
            <w:pPr>
              <w:adjustRightInd w:val="0"/>
              <w:snapToGrid w:val="0"/>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eastAsia="宋体"/>
                <w:sz w:val="20"/>
                <w:szCs w:val="20"/>
              </w:rPr>
              <w:t>C临界</w:t>
            </w:r>
          </w:p>
        </w:tc>
        <w:tc>
          <w:tcPr>
            <w:tcW w:w="4042" w:type="pct"/>
            <w:gridSpan w:val="3"/>
            <w:vAlign w:val="center"/>
          </w:tcPr>
          <w:p>
            <w:pPr>
              <w:adjustRightInd w:val="0"/>
              <w:snapToGrid w:val="0"/>
              <w:jc w:val="center"/>
              <w:rPr>
                <w:rFonts w:ascii="Times New Roman" w:hAnsi="Times New Roman" w:eastAsia="宋体"/>
                <w:color w:val="000000"/>
                <w:sz w:val="20"/>
                <w:szCs w:val="20"/>
              </w:rPr>
            </w:pPr>
            <w:r>
              <w:rPr>
                <w:rFonts w:ascii="Times New Roman" w:hAnsi="Times New Roman" w:eastAsia="宋体"/>
                <w:color w:val="000000"/>
                <w:sz w:val="20"/>
                <w:szCs w:val="20"/>
              </w:rPr>
              <w:t>临界值C(0.01,</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default" w:ascii="Times New Roman" w:hAnsi="Times New Roman" w:eastAsia="宋体" w:cs="Times New Roman"/>
                <w:i w:val="0"/>
                <w:iCs w:val="0"/>
                <w:color w:val="000000"/>
                <w:kern w:val="0"/>
                <w:sz w:val="20"/>
                <w:szCs w:val="20"/>
                <w:u w:val="none"/>
                <w:lang w:val="en-US" w:eastAsia="zh-CN" w:bidi="ar"/>
              </w:rPr>
              <w:t>0.5875</w:t>
            </w:r>
            <w:r>
              <w:rPr>
                <w:rFonts w:ascii="Times New Roman" w:hAnsi="Times New Roman" w:eastAsia="宋体"/>
                <w:color w:val="000000"/>
                <w:sz w:val="20"/>
                <w:szCs w:val="20"/>
              </w:rPr>
              <w:t xml:space="preserve">  临界值C(0.05</w:t>
            </w: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val="en-US" w:eastAsia="zh-CN"/>
              </w:rPr>
              <w:t>5</w:t>
            </w:r>
            <w:r>
              <w:rPr>
                <w:rFonts w:ascii="Times New Roman" w:hAnsi="Times New Roman" w:eastAsia="宋体"/>
                <w:color w:val="000000"/>
                <w:sz w:val="20"/>
                <w:szCs w:val="20"/>
              </w:rPr>
              <w:t>,</w:t>
            </w:r>
            <w:r>
              <w:rPr>
                <w:rFonts w:hint="eastAsia" w:ascii="Times New Roman" w:hAnsi="Times New Roman" w:eastAsia="宋体"/>
                <w:color w:val="000000"/>
                <w:sz w:val="20"/>
                <w:szCs w:val="20"/>
              </w:rPr>
              <w:t>6</w:t>
            </w:r>
            <w:r>
              <w:rPr>
                <w:rFonts w:ascii="Times New Roman" w:hAnsi="Times New Roman" w:eastAsia="宋体"/>
                <w:color w:val="000000"/>
                <w:sz w:val="20"/>
                <w:szCs w:val="20"/>
              </w:rPr>
              <w:t>)=</w:t>
            </w:r>
            <w:r>
              <w:rPr>
                <w:rFonts w:hint="eastAsia" w:ascii="Times New Roman" w:hAnsi="Times New Roman" w:eastAsia="宋体" w:cs="Times New Roman"/>
                <w:i w:val="0"/>
                <w:iCs w:val="0"/>
                <w:color w:val="000000"/>
                <w:kern w:val="0"/>
                <w:sz w:val="20"/>
                <w:szCs w:val="20"/>
                <w:u w:val="none"/>
                <w:lang w:val="en-US" w:eastAsia="zh-CN" w:bidi="ar"/>
              </w:rPr>
              <w:t>0.5063</w:t>
            </w:r>
          </w:p>
        </w:tc>
      </w:tr>
    </w:tbl>
    <w:p>
      <w:pPr>
        <w:adjustRightInd w:val="0"/>
        <w:snapToGrid w:val="0"/>
        <w:spacing w:line="360" w:lineRule="auto"/>
        <w:ind w:firstLine="420" w:firstLineChars="200"/>
        <w:rPr>
          <w:rFonts w:hint="eastAsia" w:ascii="Times New Roman" w:hAnsi="Times New Roman" w:eastAsia="宋体"/>
          <w:sz w:val="21"/>
          <w:szCs w:val="21"/>
        </w:rPr>
      </w:pPr>
    </w:p>
    <w:p>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4998" w:type="pct"/>
        <w:tblInd w:w="0" w:type="dxa"/>
        <w:tblLayout w:type="autofit"/>
        <w:tblCellMar>
          <w:top w:w="0" w:type="dxa"/>
          <w:left w:w="108" w:type="dxa"/>
          <w:bottom w:w="0" w:type="dxa"/>
          <w:right w:w="108" w:type="dxa"/>
        </w:tblCellMar>
      </w:tblPr>
      <w:tblGrid>
        <w:gridCol w:w="2855"/>
        <w:gridCol w:w="2351"/>
        <w:gridCol w:w="2351"/>
        <w:gridCol w:w="2351"/>
      </w:tblGrid>
      <w:tr>
        <w:tblPrEx>
          <w:tblCellMar>
            <w:top w:w="0" w:type="dxa"/>
            <w:left w:w="108" w:type="dxa"/>
            <w:bottom w:w="0" w:type="dxa"/>
            <w:right w:w="108" w:type="dxa"/>
          </w:tblCellMar>
        </w:tblPrEx>
        <w:trPr>
          <w:trHeight w:val="300" w:hRule="atLeast"/>
        </w:trPr>
        <w:tc>
          <w:tcPr>
            <w:tcW w:w="144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统计量</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水平1</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水平2</w:t>
            </w:r>
          </w:p>
        </w:tc>
        <w:tc>
          <w:tcPr>
            <w:tcW w:w="118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水平3</w:t>
            </w:r>
          </w:p>
        </w:tc>
      </w:tr>
      <w:tr>
        <w:tblPrEx>
          <w:tblCellMar>
            <w:top w:w="0" w:type="dxa"/>
            <w:left w:w="108" w:type="dxa"/>
            <w:bottom w:w="0" w:type="dxa"/>
            <w:right w:w="108" w:type="dxa"/>
          </w:tblCellMar>
        </w:tblPrEx>
        <w:trPr>
          <w:trHeight w:val="30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均值的平均值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0.11357</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0.16697</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0.12300</w:t>
            </w:r>
          </w:p>
        </w:tc>
      </w:tr>
      <w:tr>
        <w:tblPrEx>
          <w:tblCellMar>
            <w:top w:w="0" w:type="dxa"/>
            <w:left w:w="108" w:type="dxa"/>
            <w:bottom w:w="0" w:type="dxa"/>
            <w:right w:w="108" w:type="dxa"/>
          </w:tblCellMar>
        </w:tblPrEx>
        <w:trPr>
          <w:trHeight w:val="285"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均值的标准差</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7.3933E-03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1.5156E-02</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1.1999E-02</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最大均值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0.1263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0.1860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4"/>
              </w:rPr>
              <w:t>0.1395</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最小均值</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0.1090</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0.1503</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0.1113</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Gmax</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1.727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1.256 </w:t>
            </w:r>
          </w:p>
        </w:tc>
        <w:tc>
          <w:tcPr>
            <w:tcW w:w="235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1.375 </w:t>
            </w:r>
          </w:p>
        </w:tc>
      </w:tr>
      <w:tr>
        <w:tblPrEx>
          <w:tblCellMar>
            <w:top w:w="0" w:type="dxa"/>
            <w:left w:w="108" w:type="dxa"/>
            <w:bottom w:w="0" w:type="dxa"/>
            <w:right w:w="108" w:type="dxa"/>
          </w:tblCellMar>
        </w:tblPrEx>
        <w:trPr>
          <w:trHeight w:val="270" w:hRule="atLeast"/>
        </w:trPr>
        <w:tc>
          <w:tcPr>
            <w:tcW w:w="1441" w:type="pct"/>
            <w:tcBorders>
              <w:top w:val="nil"/>
              <w:left w:val="single" w:color="auto" w:sz="4" w:space="0"/>
              <w:bottom w:val="nil"/>
              <w:right w:val="single" w:color="auto" w:sz="4" w:space="0"/>
            </w:tcBorders>
            <w:shd w:val="clear" w:color="auto" w:fill="auto"/>
            <w:noWrap/>
            <w:vAlign w:val="center"/>
          </w:tcPr>
          <w:p>
            <w:pPr>
              <w:jc w:val="center"/>
              <w:rPr>
                <w:rFonts w:ascii="Times New Roman" w:hAnsi="Times New Roman" w:eastAsia="宋体" w:cs="宋体"/>
                <w:color w:val="000000"/>
                <w:sz w:val="20"/>
                <w:szCs w:val="20"/>
              </w:rPr>
            </w:pPr>
            <w:r>
              <w:rPr>
                <w:rFonts w:hint="eastAsia" w:ascii="Times New Roman" w:hAnsi="Times New Roman" w:eastAsia="宋体"/>
                <w:color w:val="000000"/>
                <w:sz w:val="20"/>
                <w:szCs w:val="20"/>
              </w:rPr>
              <w:t>Gmin</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0.618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1.097 </w:t>
            </w:r>
          </w:p>
        </w:tc>
        <w:tc>
          <w:tcPr>
            <w:tcW w:w="2351" w:type="dxa"/>
            <w:tcBorders>
              <w:top w:val="nil"/>
              <w:left w:val="nil"/>
              <w:bottom w:val="nil"/>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4"/>
              </w:rPr>
              <w:t xml:space="preserve">0.972 </w:t>
            </w:r>
          </w:p>
        </w:tc>
      </w:tr>
      <w:tr>
        <w:tblPrEx>
          <w:tblCellMar>
            <w:top w:w="0" w:type="dxa"/>
            <w:left w:w="108" w:type="dxa"/>
            <w:bottom w:w="0" w:type="dxa"/>
            <w:right w:w="108" w:type="dxa"/>
          </w:tblCellMar>
        </w:tblPrEx>
        <w:trPr>
          <w:trHeight w:val="357" w:hRule="atLeast"/>
        </w:trPr>
        <w:tc>
          <w:tcPr>
            <w:tcW w:w="1441"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C临界</w:t>
            </w:r>
          </w:p>
        </w:tc>
        <w:tc>
          <w:tcPr>
            <w:tcW w:w="35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b w:val="0"/>
                <w:color w:val="000000"/>
                <w:sz w:val="20"/>
                <w:szCs w:val="20"/>
              </w:rPr>
            </w:pPr>
            <w:r>
              <w:rPr>
                <w:rFonts w:hint="eastAsia" w:ascii="Times New Roman" w:hAnsi="Times New Roman" w:eastAsia="宋体"/>
                <w:b w:val="0"/>
                <w:color w:val="000000"/>
                <w:sz w:val="20"/>
                <w:szCs w:val="20"/>
              </w:rPr>
              <w:t>临界值G(0.01</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1.764</w:t>
            </w:r>
            <w:r>
              <w:rPr>
                <w:rFonts w:hint="eastAsia" w:ascii="Times New Roman" w:hAnsi="Times New Roman" w:eastAsia="宋体"/>
                <w:b w:val="0"/>
                <w:color w:val="000000"/>
                <w:sz w:val="20"/>
                <w:szCs w:val="20"/>
              </w:rPr>
              <w:t xml:space="preserve">  临界</w:t>
            </w:r>
            <w:r>
              <w:rPr>
                <w:rFonts w:ascii="Times New Roman" w:hAnsi="Times New Roman" w:eastAsia="宋体"/>
                <w:b w:val="0"/>
                <w:color w:val="000000"/>
                <w:sz w:val="20"/>
                <w:szCs w:val="20"/>
              </w:rPr>
              <w:t>值</w:t>
            </w:r>
            <w:r>
              <w:rPr>
                <w:rFonts w:hint="eastAsia" w:ascii="Times New Roman" w:hAnsi="Times New Roman" w:eastAsia="宋体"/>
                <w:b w:val="0"/>
                <w:color w:val="000000"/>
                <w:sz w:val="20"/>
                <w:szCs w:val="20"/>
              </w:rPr>
              <w:t>G(0.05</w:t>
            </w:r>
            <w:r>
              <w:rPr>
                <w:rFonts w:ascii="Times New Roman" w:hAnsi="Times New Roman" w:eastAsia="宋体"/>
                <w:b w:val="0"/>
                <w:color w:val="000000"/>
                <w:sz w:val="20"/>
                <w:szCs w:val="20"/>
              </w:rPr>
              <w:t>,</w:t>
            </w:r>
            <w:r>
              <w:rPr>
                <w:rFonts w:hint="eastAsia" w:ascii="Times New Roman" w:hAnsi="Times New Roman" w:eastAsia="宋体"/>
                <w:b w:val="0"/>
                <w:color w:val="000000"/>
                <w:sz w:val="20"/>
                <w:szCs w:val="20"/>
                <w:lang w:val="en-US" w:eastAsia="zh-CN"/>
              </w:rPr>
              <w:t>5</w:t>
            </w:r>
            <w:r>
              <w:rPr>
                <w:rFonts w:hint="eastAsia" w:ascii="Times New Roman" w:hAnsi="Times New Roman" w:eastAsia="宋体"/>
                <w:b w:val="0"/>
                <w:color w:val="000000"/>
                <w:sz w:val="20"/>
                <w:szCs w:val="20"/>
              </w:rPr>
              <w:t>)=</w:t>
            </w:r>
            <w:r>
              <w:rPr>
                <w:rFonts w:ascii="Times New Roman" w:hAnsi="Times New Roman" w:eastAsia="宋体"/>
                <w:b w:val="0"/>
                <w:color w:val="000000"/>
                <w:sz w:val="20"/>
                <w:szCs w:val="20"/>
              </w:rPr>
              <w:t xml:space="preserve"> 1.715</w:t>
            </w:r>
            <w:r>
              <w:rPr>
                <w:rFonts w:hint="eastAsia" w:ascii="Times New Roman" w:hAnsi="Times New Roman" w:eastAsia="宋体"/>
                <w:b w:val="0"/>
                <w:color w:val="000000"/>
                <w:sz w:val="20"/>
                <w:szCs w:val="20"/>
                <w:lang w:val="en-US" w:eastAsia="zh-CN"/>
              </w:rPr>
              <w:t xml:space="preserve"> </w:t>
            </w:r>
          </w:p>
        </w:tc>
      </w:tr>
    </w:tbl>
    <w:p>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w:t>
      </w:r>
      <w:r>
        <w:rPr>
          <w:rFonts w:hint="eastAsia" w:ascii="Times New Roman" w:hAnsi="Times New Roman" w:eastAsia="宋体"/>
          <w:sz w:val="21"/>
          <w:szCs w:val="21"/>
          <w:lang w:val="en-US" w:eastAsia="zh-CN"/>
        </w:rPr>
        <w:t>L</w:t>
      </w:r>
      <w:r>
        <w:rPr>
          <w:rFonts w:hint="eastAsia" w:ascii="Times New Roman" w:hAnsi="Times New Roman" w:eastAsia="宋体"/>
          <w:sz w:val="21"/>
          <w:szCs w:val="21"/>
        </w:rPr>
        <w:t>.</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8" w:type="pct"/>
        <w:jc w:val="center"/>
        <w:tblLayout w:type="autofit"/>
        <w:tblCellMar>
          <w:top w:w="0" w:type="dxa"/>
          <w:left w:w="108" w:type="dxa"/>
          <w:bottom w:w="0" w:type="dxa"/>
          <w:right w:w="108" w:type="dxa"/>
        </w:tblCellMar>
      </w:tblPr>
      <w:tblGrid>
        <w:gridCol w:w="2111"/>
        <w:gridCol w:w="2599"/>
        <w:gridCol w:w="2599"/>
        <w:gridCol w:w="2599"/>
      </w:tblGrid>
      <w:tr>
        <w:tblPrEx>
          <w:tblCellMar>
            <w:top w:w="0" w:type="dxa"/>
            <w:left w:w="108" w:type="dxa"/>
            <w:bottom w:w="0" w:type="dxa"/>
            <w:right w:w="108" w:type="dxa"/>
          </w:tblCellMar>
        </w:tblPrEx>
        <w:trPr>
          <w:trHeight w:val="283" w:hRule="atLeast"/>
          <w:tblHeader/>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水平1</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水平2</w:t>
            </w:r>
          </w:p>
        </w:tc>
        <w:tc>
          <w:tcPr>
            <w:tcW w:w="131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水平3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总平均值</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0.114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0.167</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0.123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T1</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3.407</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5.009</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3.69</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0.386921633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0.836336033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0.45387</w:t>
            </w:r>
          </w:p>
        </w:tc>
      </w:tr>
      <w:tr>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T3</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30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180</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T5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2.8350E-04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2.5383E-04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4"/>
              </w:rPr>
              <w:t>2.3433E-04</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hint="eastAsia" w:ascii="Times New Roman" w:hAnsi="Times New Roman" w:eastAsia="宋体" w:cs="Times New Roman"/>
                <w:sz w:val="20"/>
                <w:szCs w:val="20"/>
              </w:rPr>
              <w:t>P</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c>
          <w:tcPr>
            <w:tcW w:w="1311"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eastAsia="宋体" w:cs="宋体"/>
                <w:color w:val="000000"/>
                <w:sz w:val="20"/>
                <w:szCs w:val="20"/>
                <w:lang w:val="en-US" w:eastAsia="zh-CN"/>
              </w:rPr>
              <w:t>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0.00001134</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1.01533E-05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9.37333E-06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L</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1.89E-06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1.69222E-06</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cs="Times New Roman"/>
                <w:color w:val="000000"/>
                <w:sz w:val="20"/>
                <w:szCs w:val="24"/>
              </w:rPr>
              <w:t>1.56222E-06</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r>
              <w:rPr>
                <w:rFonts w:ascii="Times New Roman" w:hAnsi="Times New Roman" w:eastAsia="宋体" w:cs="Times New Roman"/>
                <w:sz w:val="20"/>
                <w:szCs w:val="20"/>
                <w:vertAlign w:val="superscript"/>
              </w:rPr>
              <w:t>2</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1.323E-05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1.18456E-05</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1.09356E-05</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m</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0.113566667</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0.166966667</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0.123</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0.003367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0.003186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0.003062 </w:t>
            </w:r>
          </w:p>
        </w:tc>
      </w:tr>
      <w:tr>
        <w:tblPrEx>
          <w:tblCellMar>
            <w:top w:w="0" w:type="dxa"/>
            <w:left w:w="108" w:type="dxa"/>
            <w:bottom w:w="0" w:type="dxa"/>
            <w:right w:w="108" w:type="dxa"/>
          </w:tblCellMar>
        </w:tblPrEx>
        <w:trPr>
          <w:trHeight w:val="283" w:hRule="atLeast"/>
          <w:jc w:val="center"/>
        </w:trPr>
        <w:tc>
          <w:tcPr>
            <w:tcW w:w="1065"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S</w:t>
            </w:r>
            <w:r>
              <w:rPr>
                <w:rFonts w:ascii="Times New Roman" w:hAnsi="Times New Roman" w:eastAsia="宋体" w:cs="Times New Roman"/>
                <w:sz w:val="20"/>
                <w:szCs w:val="20"/>
                <w:vertAlign w:val="subscript"/>
              </w:rPr>
              <w:t>R</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0.003637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0.003442 </w:t>
            </w:r>
          </w:p>
        </w:tc>
        <w:tc>
          <w:tcPr>
            <w:tcW w:w="2599"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 xml:space="preserve">0.003307 </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0.009429</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0.008922</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0.008572</w:t>
            </w:r>
          </w:p>
        </w:tc>
      </w:tr>
      <w:tr>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宋体"/>
                <w:sz w:val="20"/>
                <w:szCs w:val="20"/>
              </w:rPr>
            </w:pPr>
            <w:r>
              <w:rPr>
                <w:rFonts w:ascii="Times New Roman" w:hAnsi="Times New Roman" w:eastAsia="宋体" w:cs="Times New Roman"/>
                <w:sz w:val="20"/>
                <w:szCs w:val="20"/>
              </w:rPr>
              <w:t>R</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0.010184</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0.009637</w:t>
            </w:r>
          </w:p>
        </w:tc>
        <w:tc>
          <w:tcPr>
            <w:tcW w:w="2599"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4"/>
              </w:rPr>
              <w:t>0.009259</w:t>
            </w:r>
          </w:p>
        </w:tc>
      </w:tr>
    </w:tbl>
    <w:p>
      <w:pPr>
        <w:widowControl/>
        <w:adjustRightInd w:val="0"/>
        <w:snapToGrid w:val="0"/>
        <w:spacing w:line="360" w:lineRule="auto"/>
        <w:rPr>
          <w:rFonts w:hint="default" w:ascii="Times New Roman" w:hAnsi="Times New Roman" w:eastAsia="宋体"/>
          <w:sz w:val="21"/>
          <w:szCs w:val="21"/>
          <w:lang w:val="en-US" w:eastAsia="zh-CN"/>
        </w:rPr>
        <w:sectPr>
          <w:headerReference r:id="rId14"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pPr>
        <w:pStyle w:val="8"/>
        <w:adjustRightInd w:val="0"/>
        <w:snapToGrid w:val="0"/>
        <w:spacing w:before="0" w:line="360" w:lineRule="auto"/>
        <w:jc w:val="both"/>
        <w:rPr>
          <w:rFonts w:ascii="Times New Roman" w:hAnsi="Times New Roman" w:eastAsia="宋体"/>
          <w:sz w:val="20"/>
          <w:szCs w:val="21"/>
        </w:rPr>
      </w:pPr>
    </w:p>
    <w:sectPr>
      <w:headerReference r:id="rId15" w:type="default"/>
      <w:pgSz w:w="11906" w:h="16838"/>
      <w:pgMar w:top="1134" w:right="1077" w:bottom="1213"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9BE8"/>
    <w:multiLevelType w:val="singleLevel"/>
    <w:tmpl w:val="B0DA9BE8"/>
    <w:lvl w:ilvl="0" w:tentative="0">
      <w:start w:val="1"/>
      <w:numFmt w:val="decimal"/>
      <w:suff w:val="nothing"/>
      <w:lvlText w:val="（%1）"/>
      <w:lvlJc w:val="left"/>
    </w:lvl>
  </w:abstractNum>
  <w:abstractNum w:abstractNumId="1">
    <w:nsid w:val="39246A1E"/>
    <w:multiLevelType w:val="multilevel"/>
    <w:tmpl w:val="39246A1E"/>
    <w:lvl w:ilvl="0" w:tentative="0">
      <w:start w:val="6"/>
      <w:numFmt w:val="decimal"/>
      <w:pStyle w:val="12"/>
      <w:lvlText w:val="%1"/>
      <w:lvlJc w:val="left"/>
      <w:pPr>
        <w:tabs>
          <w:tab w:val="left" w:pos="360"/>
        </w:tabs>
        <w:ind w:left="4980" w:hanging="360"/>
      </w:pPr>
      <w:rPr>
        <w:rFonts w:hint="default"/>
      </w:rPr>
    </w:lvl>
    <w:lvl w:ilvl="1" w:tentative="0">
      <w:start w:val="1"/>
      <w:numFmt w:val="decimal"/>
      <w:isLgl/>
      <w:lvlText w:val="%1.%2"/>
      <w:lvlJc w:val="left"/>
      <w:pPr>
        <w:tabs>
          <w:tab w:val="left" w:pos="360"/>
        </w:tabs>
        <w:ind w:left="4980" w:hanging="360"/>
      </w:pPr>
      <w:rPr>
        <w:rFonts w:hint="default"/>
      </w:rPr>
    </w:lvl>
    <w:lvl w:ilvl="2" w:tentative="0">
      <w:start w:val="1"/>
      <w:numFmt w:val="decimal"/>
      <w:isLgl/>
      <w:lvlText w:val="%1.%2.%3"/>
      <w:lvlJc w:val="left"/>
      <w:pPr>
        <w:tabs>
          <w:tab w:val="left" w:pos="720"/>
        </w:tabs>
        <w:ind w:left="5340" w:hanging="720"/>
      </w:pPr>
      <w:rPr>
        <w:rFonts w:hint="default"/>
      </w:rPr>
    </w:lvl>
    <w:lvl w:ilvl="3" w:tentative="0">
      <w:start w:val="1"/>
      <w:numFmt w:val="decimal"/>
      <w:isLgl/>
      <w:lvlText w:val="%1.%2.%3.%4"/>
      <w:lvlJc w:val="left"/>
      <w:pPr>
        <w:tabs>
          <w:tab w:val="left" w:pos="1080"/>
        </w:tabs>
        <w:ind w:left="5700" w:hanging="1080"/>
      </w:pPr>
      <w:rPr>
        <w:rFonts w:hint="default"/>
      </w:rPr>
    </w:lvl>
    <w:lvl w:ilvl="4" w:tentative="0">
      <w:start w:val="1"/>
      <w:numFmt w:val="decimal"/>
      <w:isLgl/>
      <w:lvlText w:val="%1.%2.%3.%4.%5"/>
      <w:lvlJc w:val="left"/>
      <w:pPr>
        <w:tabs>
          <w:tab w:val="left" w:pos="1080"/>
        </w:tabs>
        <w:ind w:left="5700" w:hanging="1080"/>
      </w:pPr>
      <w:rPr>
        <w:rFonts w:hint="default"/>
      </w:rPr>
    </w:lvl>
    <w:lvl w:ilvl="5" w:tentative="0">
      <w:start w:val="1"/>
      <w:numFmt w:val="decimal"/>
      <w:isLgl/>
      <w:lvlText w:val="%1.%2.%3.%4.%5.%6"/>
      <w:lvlJc w:val="left"/>
      <w:pPr>
        <w:tabs>
          <w:tab w:val="left" w:pos="1440"/>
        </w:tabs>
        <w:ind w:left="6060" w:hanging="1440"/>
      </w:pPr>
      <w:rPr>
        <w:rFonts w:hint="default"/>
      </w:rPr>
    </w:lvl>
    <w:lvl w:ilvl="6" w:tentative="0">
      <w:start w:val="1"/>
      <w:numFmt w:val="decimal"/>
      <w:isLgl/>
      <w:lvlText w:val="%1.%2.%3.%4.%5.%6.%7"/>
      <w:lvlJc w:val="left"/>
      <w:pPr>
        <w:tabs>
          <w:tab w:val="left" w:pos="1440"/>
        </w:tabs>
        <w:ind w:left="6060" w:hanging="1440"/>
      </w:pPr>
      <w:rPr>
        <w:rFonts w:hint="default"/>
      </w:rPr>
    </w:lvl>
    <w:lvl w:ilvl="7" w:tentative="0">
      <w:start w:val="1"/>
      <w:numFmt w:val="decimal"/>
      <w:isLgl/>
      <w:lvlText w:val="%1.%2.%3.%4.%5.%6.%7.%8"/>
      <w:lvlJc w:val="left"/>
      <w:pPr>
        <w:tabs>
          <w:tab w:val="left" w:pos="1800"/>
        </w:tabs>
        <w:ind w:left="6420" w:hanging="1800"/>
      </w:pPr>
      <w:rPr>
        <w:rFonts w:hint="default"/>
      </w:rPr>
    </w:lvl>
    <w:lvl w:ilvl="8" w:tentative="0">
      <w:start w:val="1"/>
      <w:numFmt w:val="decimal"/>
      <w:isLgl/>
      <w:lvlText w:val="%1.%2.%3.%4.%5.%6.%7.%8.%9"/>
      <w:lvlJc w:val="left"/>
      <w:pPr>
        <w:tabs>
          <w:tab w:val="left" w:pos="1800"/>
        </w:tabs>
        <w:ind w:left="6420" w:hanging="1800"/>
      </w:pPr>
      <w:rPr>
        <w:rFonts w:hint="default"/>
      </w:rPr>
    </w:lvl>
  </w:abstractNum>
  <w:abstractNum w:abstractNumId="2">
    <w:nsid w:val="7E2A2C4D"/>
    <w:multiLevelType w:val="multilevel"/>
    <w:tmpl w:val="7E2A2C4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NTgwMTg2M2U2MzdlMDg1OWYzYWZiMWFlMzFkYmQifQ=="/>
  </w:docVars>
  <w:rsids>
    <w:rsidRoot w:val="00172A27"/>
    <w:rsid w:val="00044A73"/>
    <w:rsid w:val="000D373C"/>
    <w:rsid w:val="00105B37"/>
    <w:rsid w:val="001D5775"/>
    <w:rsid w:val="00360726"/>
    <w:rsid w:val="0049308F"/>
    <w:rsid w:val="0054200D"/>
    <w:rsid w:val="005516A5"/>
    <w:rsid w:val="005537C6"/>
    <w:rsid w:val="00587642"/>
    <w:rsid w:val="005B1BAE"/>
    <w:rsid w:val="005C2102"/>
    <w:rsid w:val="006367FC"/>
    <w:rsid w:val="0072208A"/>
    <w:rsid w:val="007326D0"/>
    <w:rsid w:val="007F2328"/>
    <w:rsid w:val="00880BE3"/>
    <w:rsid w:val="00951697"/>
    <w:rsid w:val="0099219E"/>
    <w:rsid w:val="009B2145"/>
    <w:rsid w:val="009F3895"/>
    <w:rsid w:val="00A4263E"/>
    <w:rsid w:val="00BF26FF"/>
    <w:rsid w:val="00C0627E"/>
    <w:rsid w:val="00C7711E"/>
    <w:rsid w:val="00CF4040"/>
    <w:rsid w:val="00E036B0"/>
    <w:rsid w:val="00EB59D2"/>
    <w:rsid w:val="00EC29E7"/>
    <w:rsid w:val="01305811"/>
    <w:rsid w:val="01372F6B"/>
    <w:rsid w:val="01580044"/>
    <w:rsid w:val="015D0EBB"/>
    <w:rsid w:val="01F634AD"/>
    <w:rsid w:val="02A470B4"/>
    <w:rsid w:val="02BF653E"/>
    <w:rsid w:val="02DC57FB"/>
    <w:rsid w:val="030B0811"/>
    <w:rsid w:val="031E51F0"/>
    <w:rsid w:val="03514610"/>
    <w:rsid w:val="03687D05"/>
    <w:rsid w:val="03DF0321"/>
    <w:rsid w:val="03E160D1"/>
    <w:rsid w:val="044B1342"/>
    <w:rsid w:val="04BF3660"/>
    <w:rsid w:val="04CC3B1B"/>
    <w:rsid w:val="05DD503E"/>
    <w:rsid w:val="05EE7E65"/>
    <w:rsid w:val="062A50CE"/>
    <w:rsid w:val="06AC39E1"/>
    <w:rsid w:val="06CB53EC"/>
    <w:rsid w:val="070A373D"/>
    <w:rsid w:val="07267138"/>
    <w:rsid w:val="07727A23"/>
    <w:rsid w:val="07D51B8B"/>
    <w:rsid w:val="07E25180"/>
    <w:rsid w:val="07E27722"/>
    <w:rsid w:val="080F5D86"/>
    <w:rsid w:val="08346591"/>
    <w:rsid w:val="083561C5"/>
    <w:rsid w:val="08752207"/>
    <w:rsid w:val="08976FF0"/>
    <w:rsid w:val="08B553DA"/>
    <w:rsid w:val="08BF180D"/>
    <w:rsid w:val="08C15F82"/>
    <w:rsid w:val="0989174C"/>
    <w:rsid w:val="0A5B2512"/>
    <w:rsid w:val="0A764D52"/>
    <w:rsid w:val="0B3B6B4B"/>
    <w:rsid w:val="0BE978FB"/>
    <w:rsid w:val="0C52032C"/>
    <w:rsid w:val="0C9E6CF0"/>
    <w:rsid w:val="0D4A543B"/>
    <w:rsid w:val="0E2A6640"/>
    <w:rsid w:val="0E522F05"/>
    <w:rsid w:val="0E960DA4"/>
    <w:rsid w:val="0EB477CE"/>
    <w:rsid w:val="0EEA46DB"/>
    <w:rsid w:val="0F634E1C"/>
    <w:rsid w:val="0F7131BB"/>
    <w:rsid w:val="0FB02ADA"/>
    <w:rsid w:val="0FD12ED3"/>
    <w:rsid w:val="0FDD6C65"/>
    <w:rsid w:val="104D56D4"/>
    <w:rsid w:val="10B93AD7"/>
    <w:rsid w:val="10F80740"/>
    <w:rsid w:val="114D4C49"/>
    <w:rsid w:val="1231466D"/>
    <w:rsid w:val="123D0CDA"/>
    <w:rsid w:val="12A54313"/>
    <w:rsid w:val="1332768B"/>
    <w:rsid w:val="137C45E2"/>
    <w:rsid w:val="13A46D56"/>
    <w:rsid w:val="13B25CE8"/>
    <w:rsid w:val="13CA18F8"/>
    <w:rsid w:val="146A3EB3"/>
    <w:rsid w:val="147A6194"/>
    <w:rsid w:val="14A37D7D"/>
    <w:rsid w:val="14EC3E06"/>
    <w:rsid w:val="15746899"/>
    <w:rsid w:val="1592397C"/>
    <w:rsid w:val="162C08A7"/>
    <w:rsid w:val="16332C16"/>
    <w:rsid w:val="165A7400"/>
    <w:rsid w:val="170519EB"/>
    <w:rsid w:val="171A3645"/>
    <w:rsid w:val="17623409"/>
    <w:rsid w:val="17D344F7"/>
    <w:rsid w:val="17F764C1"/>
    <w:rsid w:val="180B6B9A"/>
    <w:rsid w:val="18375373"/>
    <w:rsid w:val="185665E6"/>
    <w:rsid w:val="189B7FE2"/>
    <w:rsid w:val="18BF4571"/>
    <w:rsid w:val="18D832E3"/>
    <w:rsid w:val="18DD28E3"/>
    <w:rsid w:val="18DF1F01"/>
    <w:rsid w:val="18FD09C1"/>
    <w:rsid w:val="191B523D"/>
    <w:rsid w:val="196D36B1"/>
    <w:rsid w:val="19F37903"/>
    <w:rsid w:val="1A0E3F55"/>
    <w:rsid w:val="1A30640F"/>
    <w:rsid w:val="1A812DAB"/>
    <w:rsid w:val="1A846F04"/>
    <w:rsid w:val="1ACC15EA"/>
    <w:rsid w:val="1AF14FEF"/>
    <w:rsid w:val="1B152FFB"/>
    <w:rsid w:val="1B2E7440"/>
    <w:rsid w:val="1B303FF0"/>
    <w:rsid w:val="1B377F98"/>
    <w:rsid w:val="1B577D2D"/>
    <w:rsid w:val="1B58202B"/>
    <w:rsid w:val="1B5C587F"/>
    <w:rsid w:val="1B793E5A"/>
    <w:rsid w:val="1B8F3DB2"/>
    <w:rsid w:val="1B904D56"/>
    <w:rsid w:val="1BA921A5"/>
    <w:rsid w:val="1BAB0E67"/>
    <w:rsid w:val="1BBC061B"/>
    <w:rsid w:val="1C603A71"/>
    <w:rsid w:val="1CA40E87"/>
    <w:rsid w:val="1CBD0FD8"/>
    <w:rsid w:val="1CDE6539"/>
    <w:rsid w:val="1E3B1FCF"/>
    <w:rsid w:val="1E696B3C"/>
    <w:rsid w:val="1E806E2E"/>
    <w:rsid w:val="1F820871"/>
    <w:rsid w:val="1F9F20EA"/>
    <w:rsid w:val="1FB27477"/>
    <w:rsid w:val="1FDA3852"/>
    <w:rsid w:val="1FE2130C"/>
    <w:rsid w:val="202C1C1C"/>
    <w:rsid w:val="2044446C"/>
    <w:rsid w:val="20C7699B"/>
    <w:rsid w:val="20FB77F4"/>
    <w:rsid w:val="211634CF"/>
    <w:rsid w:val="215D509E"/>
    <w:rsid w:val="21974E3E"/>
    <w:rsid w:val="22087FF3"/>
    <w:rsid w:val="22295E3B"/>
    <w:rsid w:val="22A60EC3"/>
    <w:rsid w:val="22CC2DF4"/>
    <w:rsid w:val="233600AA"/>
    <w:rsid w:val="235F429E"/>
    <w:rsid w:val="23773744"/>
    <w:rsid w:val="239D4B92"/>
    <w:rsid w:val="23A1158C"/>
    <w:rsid w:val="23AF4128"/>
    <w:rsid w:val="23E26B91"/>
    <w:rsid w:val="24092ADD"/>
    <w:rsid w:val="243F6030"/>
    <w:rsid w:val="245F3575"/>
    <w:rsid w:val="2489179F"/>
    <w:rsid w:val="24895C77"/>
    <w:rsid w:val="24AD6656"/>
    <w:rsid w:val="25135B0D"/>
    <w:rsid w:val="252A63A4"/>
    <w:rsid w:val="252A68AC"/>
    <w:rsid w:val="25682393"/>
    <w:rsid w:val="25D40D9D"/>
    <w:rsid w:val="26206851"/>
    <w:rsid w:val="26422D9C"/>
    <w:rsid w:val="26763ED2"/>
    <w:rsid w:val="26995AE5"/>
    <w:rsid w:val="26A45516"/>
    <w:rsid w:val="26CE7A27"/>
    <w:rsid w:val="27080982"/>
    <w:rsid w:val="27BC430E"/>
    <w:rsid w:val="28B46663"/>
    <w:rsid w:val="28B60BD0"/>
    <w:rsid w:val="290563CB"/>
    <w:rsid w:val="2919115F"/>
    <w:rsid w:val="292A336C"/>
    <w:rsid w:val="2A001B59"/>
    <w:rsid w:val="2AA9129D"/>
    <w:rsid w:val="2AB021EA"/>
    <w:rsid w:val="2B1B2F6C"/>
    <w:rsid w:val="2B9B11EF"/>
    <w:rsid w:val="2BEB54C4"/>
    <w:rsid w:val="2C1A3FBD"/>
    <w:rsid w:val="2C1B50BA"/>
    <w:rsid w:val="2C536736"/>
    <w:rsid w:val="2C5A3F68"/>
    <w:rsid w:val="2C8E5021"/>
    <w:rsid w:val="2CCF2915"/>
    <w:rsid w:val="2CF35FF0"/>
    <w:rsid w:val="2CF96A1C"/>
    <w:rsid w:val="2D4F300A"/>
    <w:rsid w:val="2D4F3EC7"/>
    <w:rsid w:val="2D746BC0"/>
    <w:rsid w:val="2D8506CE"/>
    <w:rsid w:val="2D98042B"/>
    <w:rsid w:val="2DA05AC3"/>
    <w:rsid w:val="2DD12F2B"/>
    <w:rsid w:val="2EA05CCA"/>
    <w:rsid w:val="2EBD6CC4"/>
    <w:rsid w:val="2F0F0ABC"/>
    <w:rsid w:val="2F15606C"/>
    <w:rsid w:val="2F4377C5"/>
    <w:rsid w:val="2F4525C3"/>
    <w:rsid w:val="2F70065F"/>
    <w:rsid w:val="2FF862FB"/>
    <w:rsid w:val="301E59C1"/>
    <w:rsid w:val="3027122A"/>
    <w:rsid w:val="310E2468"/>
    <w:rsid w:val="313504F9"/>
    <w:rsid w:val="315715E4"/>
    <w:rsid w:val="31995F6D"/>
    <w:rsid w:val="319F0250"/>
    <w:rsid w:val="327870CA"/>
    <w:rsid w:val="33340204"/>
    <w:rsid w:val="333D014B"/>
    <w:rsid w:val="334731A2"/>
    <w:rsid w:val="33B42BA9"/>
    <w:rsid w:val="34534FE6"/>
    <w:rsid w:val="34AA055B"/>
    <w:rsid w:val="357F0FC8"/>
    <w:rsid w:val="35AF26E6"/>
    <w:rsid w:val="35C1345A"/>
    <w:rsid w:val="35C93A61"/>
    <w:rsid w:val="35F60C88"/>
    <w:rsid w:val="365C0884"/>
    <w:rsid w:val="365E6B34"/>
    <w:rsid w:val="36D32A95"/>
    <w:rsid w:val="37571B7A"/>
    <w:rsid w:val="37B52C9A"/>
    <w:rsid w:val="37E02ED1"/>
    <w:rsid w:val="380F7A07"/>
    <w:rsid w:val="382D3D95"/>
    <w:rsid w:val="38501825"/>
    <w:rsid w:val="38675A43"/>
    <w:rsid w:val="399824FF"/>
    <w:rsid w:val="39FF7E1A"/>
    <w:rsid w:val="3A872B9C"/>
    <w:rsid w:val="3ABF377B"/>
    <w:rsid w:val="3AEA64B7"/>
    <w:rsid w:val="3AF570B5"/>
    <w:rsid w:val="3AF95CDE"/>
    <w:rsid w:val="3B696552"/>
    <w:rsid w:val="3B8D45DF"/>
    <w:rsid w:val="3BA50AE5"/>
    <w:rsid w:val="3BBF192C"/>
    <w:rsid w:val="3BF011E4"/>
    <w:rsid w:val="3BF82D4D"/>
    <w:rsid w:val="3BFB49E9"/>
    <w:rsid w:val="3C3F3E8E"/>
    <w:rsid w:val="3C4F2F49"/>
    <w:rsid w:val="3C85475A"/>
    <w:rsid w:val="3CFD13D1"/>
    <w:rsid w:val="3D913C2B"/>
    <w:rsid w:val="3E317BA0"/>
    <w:rsid w:val="3E466B4F"/>
    <w:rsid w:val="3EB61B81"/>
    <w:rsid w:val="3EE3373D"/>
    <w:rsid w:val="3EEC42AC"/>
    <w:rsid w:val="3F0A529D"/>
    <w:rsid w:val="3F445651"/>
    <w:rsid w:val="3F6A20B2"/>
    <w:rsid w:val="3FA43256"/>
    <w:rsid w:val="400B206C"/>
    <w:rsid w:val="402C6A41"/>
    <w:rsid w:val="403206C8"/>
    <w:rsid w:val="404D4719"/>
    <w:rsid w:val="40521AD4"/>
    <w:rsid w:val="40743C2F"/>
    <w:rsid w:val="40980764"/>
    <w:rsid w:val="40AD23D7"/>
    <w:rsid w:val="40AD48E9"/>
    <w:rsid w:val="40BC1A69"/>
    <w:rsid w:val="40F667D4"/>
    <w:rsid w:val="43BA3041"/>
    <w:rsid w:val="43C32F1A"/>
    <w:rsid w:val="43D60AF3"/>
    <w:rsid w:val="44B344A5"/>
    <w:rsid w:val="44F07163"/>
    <w:rsid w:val="45062F7D"/>
    <w:rsid w:val="4515676C"/>
    <w:rsid w:val="454B143A"/>
    <w:rsid w:val="45C476C3"/>
    <w:rsid w:val="46752171"/>
    <w:rsid w:val="46A522F4"/>
    <w:rsid w:val="46B65361"/>
    <w:rsid w:val="46F54B62"/>
    <w:rsid w:val="47387EA8"/>
    <w:rsid w:val="476C063E"/>
    <w:rsid w:val="478F1A37"/>
    <w:rsid w:val="47C63F50"/>
    <w:rsid w:val="483038D7"/>
    <w:rsid w:val="489D4C3B"/>
    <w:rsid w:val="48B124D9"/>
    <w:rsid w:val="48D81B3F"/>
    <w:rsid w:val="48E704DA"/>
    <w:rsid w:val="49297CB1"/>
    <w:rsid w:val="493778DE"/>
    <w:rsid w:val="494B26E8"/>
    <w:rsid w:val="49880C90"/>
    <w:rsid w:val="499410ED"/>
    <w:rsid w:val="49FF20E2"/>
    <w:rsid w:val="4A6A6722"/>
    <w:rsid w:val="4A8F58FB"/>
    <w:rsid w:val="4A906F71"/>
    <w:rsid w:val="4AC0649E"/>
    <w:rsid w:val="4AC970F8"/>
    <w:rsid w:val="4AD9792D"/>
    <w:rsid w:val="4B0F4B96"/>
    <w:rsid w:val="4B763FE4"/>
    <w:rsid w:val="4C467A9E"/>
    <w:rsid w:val="4CCB2F69"/>
    <w:rsid w:val="4CE15F62"/>
    <w:rsid w:val="4D640F36"/>
    <w:rsid w:val="4DE13892"/>
    <w:rsid w:val="4E38145B"/>
    <w:rsid w:val="4E5E2DC1"/>
    <w:rsid w:val="4E750AD3"/>
    <w:rsid w:val="4EAB280B"/>
    <w:rsid w:val="4EC92A5C"/>
    <w:rsid w:val="4EF77A84"/>
    <w:rsid w:val="4EFF0922"/>
    <w:rsid w:val="4F3B5A0B"/>
    <w:rsid w:val="4F3C750B"/>
    <w:rsid w:val="4F6964E2"/>
    <w:rsid w:val="4FA9337C"/>
    <w:rsid w:val="50771E27"/>
    <w:rsid w:val="507F3B94"/>
    <w:rsid w:val="508879AE"/>
    <w:rsid w:val="50BB4DF1"/>
    <w:rsid w:val="50C61F5B"/>
    <w:rsid w:val="50CE4A5A"/>
    <w:rsid w:val="51283F24"/>
    <w:rsid w:val="516C2947"/>
    <w:rsid w:val="521E5532"/>
    <w:rsid w:val="521F1B88"/>
    <w:rsid w:val="523F2023"/>
    <w:rsid w:val="52E22421"/>
    <w:rsid w:val="530B7837"/>
    <w:rsid w:val="5315790A"/>
    <w:rsid w:val="536008FB"/>
    <w:rsid w:val="53F306B2"/>
    <w:rsid w:val="54040518"/>
    <w:rsid w:val="545C1CC4"/>
    <w:rsid w:val="546A650F"/>
    <w:rsid w:val="54911B66"/>
    <w:rsid w:val="54A8265B"/>
    <w:rsid w:val="54CF4DC4"/>
    <w:rsid w:val="54D65DCA"/>
    <w:rsid w:val="55BA0109"/>
    <w:rsid w:val="55CF3F22"/>
    <w:rsid w:val="55DB7CF4"/>
    <w:rsid w:val="560F6C62"/>
    <w:rsid w:val="56210E90"/>
    <w:rsid w:val="56404CD3"/>
    <w:rsid w:val="566D3B8E"/>
    <w:rsid w:val="56B063AF"/>
    <w:rsid w:val="56BA5598"/>
    <w:rsid w:val="57395CDF"/>
    <w:rsid w:val="57E94E70"/>
    <w:rsid w:val="57EC4993"/>
    <w:rsid w:val="58A96189"/>
    <w:rsid w:val="58DF3E78"/>
    <w:rsid w:val="58F40AB8"/>
    <w:rsid w:val="58F76517"/>
    <w:rsid w:val="59311AFD"/>
    <w:rsid w:val="599F75B2"/>
    <w:rsid w:val="59A2384D"/>
    <w:rsid w:val="59A7632E"/>
    <w:rsid w:val="59C02DAD"/>
    <w:rsid w:val="59E740FC"/>
    <w:rsid w:val="5A5F27C9"/>
    <w:rsid w:val="5A86619D"/>
    <w:rsid w:val="5AEF6D32"/>
    <w:rsid w:val="5B690D31"/>
    <w:rsid w:val="5B8F3186"/>
    <w:rsid w:val="5BA15457"/>
    <w:rsid w:val="5BB36BB7"/>
    <w:rsid w:val="5BC874BE"/>
    <w:rsid w:val="5BF0749C"/>
    <w:rsid w:val="5C2A2760"/>
    <w:rsid w:val="5C5360EE"/>
    <w:rsid w:val="5CAB38A1"/>
    <w:rsid w:val="5CF023D6"/>
    <w:rsid w:val="5D031686"/>
    <w:rsid w:val="5D1136DA"/>
    <w:rsid w:val="5DD04B9C"/>
    <w:rsid w:val="5DDB2980"/>
    <w:rsid w:val="5E115430"/>
    <w:rsid w:val="5E195C20"/>
    <w:rsid w:val="5E316028"/>
    <w:rsid w:val="5F500ADA"/>
    <w:rsid w:val="5F5050F3"/>
    <w:rsid w:val="5FFF4E4E"/>
    <w:rsid w:val="601F47AD"/>
    <w:rsid w:val="602120CC"/>
    <w:rsid w:val="609C64FE"/>
    <w:rsid w:val="60EB0CCD"/>
    <w:rsid w:val="611B4D6D"/>
    <w:rsid w:val="61720F77"/>
    <w:rsid w:val="61E444CB"/>
    <w:rsid w:val="62633C2E"/>
    <w:rsid w:val="62890F6A"/>
    <w:rsid w:val="62BC7329"/>
    <w:rsid w:val="62D2583B"/>
    <w:rsid w:val="63185A08"/>
    <w:rsid w:val="631A16A8"/>
    <w:rsid w:val="633C4F84"/>
    <w:rsid w:val="633D2BD8"/>
    <w:rsid w:val="637C7132"/>
    <w:rsid w:val="639A01CB"/>
    <w:rsid w:val="63BD1AE0"/>
    <w:rsid w:val="63E707EC"/>
    <w:rsid w:val="64505292"/>
    <w:rsid w:val="64EA3B7B"/>
    <w:rsid w:val="64EA65BC"/>
    <w:rsid w:val="653A6935"/>
    <w:rsid w:val="657B402C"/>
    <w:rsid w:val="65851CF7"/>
    <w:rsid w:val="65897BE0"/>
    <w:rsid w:val="6599621E"/>
    <w:rsid w:val="65BA0056"/>
    <w:rsid w:val="65BD516E"/>
    <w:rsid w:val="65D1387D"/>
    <w:rsid w:val="66801701"/>
    <w:rsid w:val="668A1278"/>
    <w:rsid w:val="669363DC"/>
    <w:rsid w:val="66EC40A1"/>
    <w:rsid w:val="66F35AF0"/>
    <w:rsid w:val="672229B1"/>
    <w:rsid w:val="672B6B02"/>
    <w:rsid w:val="673B2979"/>
    <w:rsid w:val="673E5874"/>
    <w:rsid w:val="674371ED"/>
    <w:rsid w:val="675D13F2"/>
    <w:rsid w:val="67F23F12"/>
    <w:rsid w:val="680D5108"/>
    <w:rsid w:val="681707D7"/>
    <w:rsid w:val="683A58DF"/>
    <w:rsid w:val="68971684"/>
    <w:rsid w:val="689A2A1B"/>
    <w:rsid w:val="68AA0334"/>
    <w:rsid w:val="68B126E1"/>
    <w:rsid w:val="68DC4DE2"/>
    <w:rsid w:val="690540D6"/>
    <w:rsid w:val="69351EB9"/>
    <w:rsid w:val="697162A6"/>
    <w:rsid w:val="697A4EF2"/>
    <w:rsid w:val="69B44217"/>
    <w:rsid w:val="6A1B1AB1"/>
    <w:rsid w:val="6A3E279B"/>
    <w:rsid w:val="6A5C267E"/>
    <w:rsid w:val="6AA656A7"/>
    <w:rsid w:val="6AAB4D80"/>
    <w:rsid w:val="6AD45926"/>
    <w:rsid w:val="6B1F3895"/>
    <w:rsid w:val="6B366560"/>
    <w:rsid w:val="6B8124F3"/>
    <w:rsid w:val="6BCA0825"/>
    <w:rsid w:val="6BF612A2"/>
    <w:rsid w:val="6C08348F"/>
    <w:rsid w:val="6C3318CB"/>
    <w:rsid w:val="6C3F3D03"/>
    <w:rsid w:val="6C813304"/>
    <w:rsid w:val="6CBB565A"/>
    <w:rsid w:val="6CC72636"/>
    <w:rsid w:val="6CD0178A"/>
    <w:rsid w:val="6D0672EC"/>
    <w:rsid w:val="6DAF0294"/>
    <w:rsid w:val="6DD56FBD"/>
    <w:rsid w:val="6DE457F5"/>
    <w:rsid w:val="6DEC5AC7"/>
    <w:rsid w:val="6E297D18"/>
    <w:rsid w:val="6E4E2352"/>
    <w:rsid w:val="6E6573A7"/>
    <w:rsid w:val="6ED82582"/>
    <w:rsid w:val="6F174DC6"/>
    <w:rsid w:val="6F307625"/>
    <w:rsid w:val="6F6F6C4A"/>
    <w:rsid w:val="6F787DEC"/>
    <w:rsid w:val="6FA81C5D"/>
    <w:rsid w:val="70046BA3"/>
    <w:rsid w:val="700F19BA"/>
    <w:rsid w:val="70241BAC"/>
    <w:rsid w:val="70616CFB"/>
    <w:rsid w:val="70624C25"/>
    <w:rsid w:val="707251E2"/>
    <w:rsid w:val="71122145"/>
    <w:rsid w:val="71F20C8D"/>
    <w:rsid w:val="721C373B"/>
    <w:rsid w:val="727D2CA2"/>
    <w:rsid w:val="7298446F"/>
    <w:rsid w:val="72D12B59"/>
    <w:rsid w:val="72E90F43"/>
    <w:rsid w:val="72F86BB4"/>
    <w:rsid w:val="73C03C7E"/>
    <w:rsid w:val="753328B9"/>
    <w:rsid w:val="757A4300"/>
    <w:rsid w:val="76111995"/>
    <w:rsid w:val="768371E5"/>
    <w:rsid w:val="76AE0EAE"/>
    <w:rsid w:val="76C60B18"/>
    <w:rsid w:val="770D76F1"/>
    <w:rsid w:val="773226E3"/>
    <w:rsid w:val="778B79BB"/>
    <w:rsid w:val="77BC7B81"/>
    <w:rsid w:val="78393AD3"/>
    <w:rsid w:val="78D84CCD"/>
    <w:rsid w:val="790E5DB1"/>
    <w:rsid w:val="79825F6B"/>
    <w:rsid w:val="79860F16"/>
    <w:rsid w:val="79AE2466"/>
    <w:rsid w:val="79B34A42"/>
    <w:rsid w:val="79CC5F7A"/>
    <w:rsid w:val="7A0559C3"/>
    <w:rsid w:val="7A0B3A2D"/>
    <w:rsid w:val="7A6335B5"/>
    <w:rsid w:val="7AC141C7"/>
    <w:rsid w:val="7AC310B2"/>
    <w:rsid w:val="7BB44499"/>
    <w:rsid w:val="7BCC7DA0"/>
    <w:rsid w:val="7BD31613"/>
    <w:rsid w:val="7C12235D"/>
    <w:rsid w:val="7C4B2553"/>
    <w:rsid w:val="7CA846A8"/>
    <w:rsid w:val="7CD13FB2"/>
    <w:rsid w:val="7D364EA5"/>
    <w:rsid w:val="7D8B7038"/>
    <w:rsid w:val="7DEF235B"/>
    <w:rsid w:val="7DFB7D26"/>
    <w:rsid w:val="7E7F36EE"/>
    <w:rsid w:val="7E9F7F7E"/>
    <w:rsid w:val="7F0D1B73"/>
    <w:rsid w:val="7F0F7285"/>
    <w:rsid w:val="7F350893"/>
    <w:rsid w:val="7F4D3431"/>
    <w:rsid w:val="7F5F51D1"/>
    <w:rsid w:val="7F6B2CFE"/>
    <w:rsid w:val="7FF4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9">
    <w:name w:val="List Paragraph"/>
    <w:basedOn w:val="1"/>
    <w:qFormat/>
    <w:uiPriority w:val="99"/>
    <w:pPr>
      <w:ind w:firstLine="420" w:firstLineChars="200"/>
    </w:pPr>
  </w:style>
  <w:style w:type="paragraph" w:customStyle="1" w:styleId="10">
    <w:name w:val="编制-正文"/>
    <w:basedOn w:val="1"/>
    <w:qFormat/>
    <w:uiPriority w:val="0"/>
    <w:pPr>
      <w:ind w:firstLine="200" w:firstLineChars="200"/>
    </w:pPr>
    <w:rPr>
      <w:rFonts w:cs="宋体"/>
      <w:szCs w:val="21"/>
    </w:rPr>
  </w:style>
  <w:style w:type="paragraph" w:customStyle="1" w:styleId="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
    <w:name w:val="正文表标题"/>
    <w:next w:val="1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Char"/>
    <w:basedOn w:val="7"/>
    <w:link w:val="3"/>
    <w:qFormat/>
    <w:uiPriority w:val="0"/>
    <w:rPr>
      <w:kern w:val="2"/>
      <w:sz w:val="18"/>
      <w:szCs w:val="18"/>
    </w:rPr>
  </w:style>
  <w:style w:type="character" w:customStyle="1" w:styleId="15">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33131</Words>
  <Characters>75112</Characters>
  <Lines>171</Lines>
  <Paragraphs>72</Paragraphs>
  <TotalTime>3</TotalTime>
  <ScaleCrop>false</ScaleCrop>
  <LinksUpToDate>false</LinksUpToDate>
  <CharactersWithSpaces>79677</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yuyon</cp:lastModifiedBy>
  <dcterms:modified xsi:type="dcterms:W3CDTF">2024-10-31T05:48:46Z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1D3F66D338724C7EB7182CA250686F85_13</vt:lpwstr>
  </property>
</Properties>
</file>