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CA3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80A59A">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4E40332">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29.045</w:t>
            </w:r>
            <w:r>
              <w:rPr>
                <w:rFonts w:ascii="黑体" w:hAnsi="黑体" w:eastAsia="黑体"/>
                <w:sz w:val="21"/>
                <w:szCs w:val="21"/>
              </w:rPr>
              <w:fldChar w:fldCharType="end"/>
            </w:r>
            <w:bookmarkEnd w:id="0"/>
          </w:p>
        </w:tc>
      </w:tr>
      <w:tr w14:paraId="0C79F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FD57DA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D100FF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H 83</w:t>
            </w:r>
            <w:r>
              <w:rPr>
                <w:rFonts w:ascii="黑体" w:hAnsi="黑体" w:eastAsia="黑体"/>
                <w:sz w:val="21"/>
                <w:szCs w:val="21"/>
              </w:rPr>
              <w:fldChar w:fldCharType="end"/>
            </w:r>
            <w:bookmarkEnd w:id="1"/>
          </w:p>
        </w:tc>
      </w:tr>
    </w:tbl>
    <w:tbl>
      <w:tblPr>
        <w:tblStyle w:val="29"/>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328A024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51AC61AE">
            <w:pPr>
              <w:pStyle w:val="51"/>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val="en-US" w:eastAsia="zh-CN"/>
              </w:rPr>
              <w:t>YS</w:t>
            </w:r>
            <w:r>
              <w:fldChar w:fldCharType="end"/>
            </w:r>
            <w:bookmarkEnd w:id="3"/>
          </w:p>
        </w:tc>
      </w:tr>
    </w:tbl>
    <w:p w14:paraId="5DE6C3FC">
      <w:pPr>
        <w:pStyle w:val="52"/>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lang w:eastAsia="zh-CN"/>
        </w:rPr>
        <w:t>有色金属</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4E3C6556">
      <w:pPr>
        <w:pStyle w:val="197"/>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YS</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EC2987C">
      <w:pPr>
        <w:pStyle w:val="198"/>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14:paraId="0B8B9131">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30AAD9F">
      <w:pPr>
        <w:pStyle w:val="52"/>
        <w:framePr w:w="9639" w:h="6976" w:hRule="exact" w:hSpace="0" w:vSpace="0" w:wrap="around" w:hAnchor="page" w:y="6408"/>
        <w:jc w:val="center"/>
        <w:rPr>
          <w:rFonts w:ascii="黑体" w:hAnsi="黑体" w:eastAsia="黑体"/>
          <w:b w:val="0"/>
          <w:bCs w:val="0"/>
          <w:w w:val="100"/>
          <w:lang w:val="fr-FR"/>
        </w:rPr>
      </w:pPr>
    </w:p>
    <w:p w14:paraId="69BE95F5">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半导体材料掺杂用扩散膜</w:t>
      </w:r>
      <w:r>
        <w:fldChar w:fldCharType="end"/>
      </w:r>
      <w:bookmarkEnd w:id="9"/>
    </w:p>
    <w:p w14:paraId="4AB2C9DA">
      <w:pPr>
        <w:framePr w:w="9639" w:h="6974" w:hRule="exact" w:wrap="around" w:vAnchor="page" w:hAnchor="page" w:x="1419" w:y="6408" w:anchorLock="1"/>
        <w:ind w:left="-1418"/>
      </w:pPr>
    </w:p>
    <w:p w14:paraId="4BA273A8">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Diffusion film for semiconductor material doping</w:t>
      </w:r>
      <w:r>
        <w:rPr>
          <w:rFonts w:eastAsia="黑体"/>
          <w:szCs w:val="28"/>
        </w:rPr>
        <w:fldChar w:fldCharType="end"/>
      </w:r>
      <w:bookmarkEnd w:id="10"/>
    </w:p>
    <w:p w14:paraId="6925A852">
      <w:pPr>
        <w:framePr w:w="9639" w:h="6974" w:hRule="exact" w:wrap="around" w:vAnchor="page" w:hAnchor="page" w:x="1419" w:y="6408" w:anchorLock="1"/>
        <w:spacing w:line="760" w:lineRule="exact"/>
        <w:ind w:left="-1418"/>
      </w:pPr>
    </w:p>
    <w:p w14:paraId="07CBA40D">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14:paraId="71860F0C">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6C65008C">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06787241">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7B7AE50D">
      <w:pPr>
        <w:pStyle w:val="195"/>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675F4012">
      <w:pPr>
        <w:pStyle w:val="196"/>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6DD9D634">
      <w:pPr>
        <w:pStyle w:val="15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w:t>
      </w:r>
      <w:r>
        <w:rPr>
          <w:rFonts w:hAnsi="黑体"/>
          <w:w w:val="100"/>
          <w:sz w:val="28"/>
        </w:rPr>
        <w:t>人民共和国工业和信息化部</w:t>
      </w:r>
      <w:r>
        <w:rPr>
          <w:rFonts w:hAnsi="黑体"/>
          <w:w w:val="100"/>
          <w:sz w:val="28"/>
        </w:rPr>
        <w:fldChar w:fldCharType="end"/>
      </w:r>
      <w:bookmarkEnd w:id="21"/>
      <w:r>
        <w:rPr>
          <w:rFonts w:ascii="Times New Roman"/>
          <w:w w:val="100"/>
          <w:sz w:val="28"/>
          <w:szCs w:val="28"/>
        </w:rPr>
        <w:t>  </w:t>
      </w:r>
      <w:r>
        <w:rPr>
          <w:rStyle w:val="231"/>
          <w:rFonts w:hint="eastAsia" w:hAnsi="黑体"/>
          <w:position w:val="0"/>
        </w:rPr>
        <w:t>发</w:t>
      </w:r>
      <w:r>
        <w:rPr>
          <w:rStyle w:val="231"/>
          <w:rFonts w:hint="eastAsia" w:hAnsi="黑体"/>
          <w:spacing w:val="0"/>
          <w:position w:val="0"/>
        </w:rPr>
        <w:t>布</w:t>
      </w:r>
    </w:p>
    <w:p w14:paraId="476D3894">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0CEBE02">
      <w:pPr>
        <w:pStyle w:val="91"/>
        <w:spacing w:before="900" w:after="360"/>
      </w:pPr>
      <w:bookmarkStart w:id="22" w:name="BookMark2"/>
      <w:r>
        <w:rPr>
          <w:spacing w:val="320"/>
        </w:rPr>
        <w:t>前</w:t>
      </w:r>
      <w:r>
        <w:t>言</w:t>
      </w:r>
    </w:p>
    <w:p w14:paraId="6817C9C2">
      <w:pPr>
        <w:pStyle w:val="58"/>
        <w:ind w:firstLine="420"/>
        <w:rPr>
          <w:rFonts w:hint="eastAsia"/>
        </w:rPr>
      </w:pPr>
      <w:r>
        <w:rPr>
          <w:rFonts w:hint="eastAsia"/>
        </w:rPr>
        <w:t>本文件按照GB/T 1.1—2020《标准化工作导则  第1部分：标准化文件的结构和起草规则》的规定起草。</w:t>
      </w:r>
    </w:p>
    <w:p w14:paraId="3A1764B0">
      <w:pPr>
        <w:pStyle w:val="58"/>
        <w:ind w:firstLine="420"/>
      </w:pPr>
      <w:r>
        <w:rPr>
          <w:rFonts w:hint="eastAsia"/>
        </w:rPr>
        <w:t>请注意本文件的某些内容可能涉及专利。本文件的发布机构不承担识别专利的责任。</w:t>
      </w:r>
    </w:p>
    <w:p w14:paraId="6E64014C">
      <w:pPr>
        <w:pStyle w:val="58"/>
        <w:ind w:firstLine="420"/>
        <w:rPr>
          <w:rFonts w:hint="eastAsia"/>
        </w:rPr>
      </w:pPr>
      <w:r>
        <w:rPr>
          <w:rFonts w:hint="eastAsia"/>
        </w:rPr>
        <w:t>本文件由全国有色金属标准化技术委员会（TC2</w:t>
      </w:r>
      <w:r>
        <w:rPr>
          <w:rFonts w:hint="eastAsia"/>
          <w:lang w:val="en-US" w:eastAsia="zh-CN"/>
        </w:rPr>
        <w:t>4</w:t>
      </w:r>
      <w:r>
        <w:rPr>
          <w:rFonts w:hint="eastAsia"/>
        </w:rPr>
        <w:t>3）与全国半导体设备和材料标准化技术委员会材料分技术委员会（SAC/TC203/SC2）共同提出并归口。</w:t>
      </w:r>
    </w:p>
    <w:p w14:paraId="2806C1BD">
      <w:pPr>
        <w:pStyle w:val="58"/>
        <w:ind w:firstLine="420"/>
        <w:rPr>
          <w:rFonts w:hint="eastAsia"/>
        </w:rPr>
      </w:pPr>
      <w:r>
        <w:rPr>
          <w:rFonts w:hint="eastAsia"/>
        </w:rPr>
        <w:t>本文件起草单位：</w:t>
      </w:r>
    </w:p>
    <w:p w14:paraId="4325E1B3">
      <w:pPr>
        <w:pStyle w:val="58"/>
        <w:ind w:firstLine="420"/>
        <w:rPr>
          <w:rFonts w:hint="eastAsia"/>
        </w:rPr>
      </w:pPr>
      <w:r>
        <w:rPr>
          <w:rFonts w:hint="eastAsia"/>
        </w:rPr>
        <w:t>本文件主要起草人：</w:t>
      </w:r>
    </w:p>
    <w:p w14:paraId="4C8706A1">
      <w:pPr>
        <w:pStyle w:val="58"/>
        <w:ind w:firstLine="420"/>
      </w:pPr>
    </w:p>
    <w:p w14:paraId="567ED959">
      <w:pPr>
        <w:pStyle w:val="58"/>
        <w:ind w:firstLine="420"/>
        <w:sectPr>
          <w:headerReference r:id="rId9" w:type="default"/>
          <w:footerReference r:id="rId11" w:type="default"/>
          <w:headerReference r:id="rId10"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p>
    <w:bookmarkEnd w:id="22"/>
    <w:p w14:paraId="6C2CFB80">
      <w:pPr>
        <w:spacing w:line="20" w:lineRule="exact"/>
        <w:jc w:val="center"/>
        <w:rPr>
          <w:rFonts w:ascii="黑体" w:hAnsi="黑体" w:eastAsia="黑体"/>
          <w:sz w:val="32"/>
          <w:szCs w:val="32"/>
        </w:rPr>
      </w:pPr>
      <w:bookmarkStart w:id="23" w:name="BookMark4"/>
    </w:p>
    <w:p w14:paraId="4ACCC603">
      <w:pPr>
        <w:spacing w:line="20" w:lineRule="exact"/>
        <w:jc w:val="center"/>
        <w:rPr>
          <w:rFonts w:ascii="黑体" w:hAnsi="黑体" w:eastAsia="黑体"/>
          <w:sz w:val="32"/>
          <w:szCs w:val="32"/>
        </w:rPr>
      </w:pPr>
    </w:p>
    <w:sdt>
      <w:sdtPr>
        <w:tag w:val="NEW_STAND_NAME"/>
        <w:id w:val="595910757"/>
        <w:lock w:val="sdtLocked"/>
        <w:placeholder>
          <w:docPart w:val="19B386549CB446DE893311BC852E0704"/>
        </w:placeholder>
      </w:sdtPr>
      <w:sdtContent>
        <w:p w14:paraId="380BE542">
          <w:pPr>
            <w:pStyle w:val="179"/>
            <w:spacing w:before="2" w:beforeLines="1" w:after="528" w:afterLines="220"/>
          </w:pPr>
          <w:bookmarkStart w:id="24" w:name="NEW_STAND_NAME"/>
          <w:r>
            <w:rPr>
              <w:rFonts w:hint="eastAsia"/>
            </w:rPr>
            <w:t>半导体材料掺杂用扩散膜</w:t>
          </w:r>
        </w:p>
      </w:sdtContent>
    </w:sdt>
    <w:bookmarkEnd w:id="24"/>
    <w:p w14:paraId="7D8F38CA">
      <w:pPr>
        <w:pStyle w:val="106"/>
        <w:spacing w:before="240" w:after="240"/>
      </w:pPr>
      <w:bookmarkStart w:id="25" w:name="_Toc26648465"/>
      <w:bookmarkStart w:id="26" w:name="_Toc26986530"/>
      <w:bookmarkStart w:id="27" w:name="_Toc24884211"/>
      <w:bookmarkStart w:id="28" w:name="_Toc17233333"/>
      <w:bookmarkStart w:id="29" w:name="_Toc26986771"/>
      <w:bookmarkStart w:id="30" w:name="_Toc26718930"/>
      <w:bookmarkStart w:id="31" w:name="_Toc17233325"/>
      <w:bookmarkStart w:id="32" w:name="_Toc97195091"/>
      <w:bookmarkStart w:id="33" w:name="_Toc24884218"/>
      <w:r>
        <w:rPr>
          <w:rFonts w:hint="eastAsia"/>
        </w:rPr>
        <w:t>范围</w:t>
      </w:r>
      <w:bookmarkEnd w:id="25"/>
      <w:bookmarkEnd w:id="26"/>
      <w:bookmarkEnd w:id="27"/>
      <w:bookmarkEnd w:id="28"/>
      <w:bookmarkEnd w:id="29"/>
      <w:bookmarkEnd w:id="30"/>
      <w:bookmarkEnd w:id="31"/>
      <w:bookmarkEnd w:id="32"/>
      <w:bookmarkEnd w:id="33"/>
    </w:p>
    <w:p w14:paraId="71E96CB8">
      <w:pPr>
        <w:pStyle w:val="58"/>
        <w:ind w:firstLine="420"/>
      </w:pPr>
      <w:bookmarkStart w:id="34" w:name="_Toc24884212"/>
      <w:bookmarkStart w:id="35" w:name="_Toc24884219"/>
      <w:bookmarkStart w:id="36" w:name="_Toc17233326"/>
      <w:bookmarkStart w:id="37" w:name="_Toc17233334"/>
      <w:bookmarkStart w:id="38" w:name="_Toc26648466"/>
      <w:r>
        <w:rPr>
          <w:rFonts w:hint="eastAsia"/>
        </w:rPr>
        <w:t>本文件</w:t>
      </w:r>
      <w:r>
        <w:rPr>
          <w:rFonts w:hint="eastAsia"/>
          <w:lang w:val="en-US" w:eastAsia="zh-CN"/>
        </w:rPr>
        <w:t>界定了</w:t>
      </w:r>
      <w:r>
        <w:rPr>
          <w:rFonts w:hint="eastAsia"/>
        </w:rPr>
        <w:t>半导体材料掺杂用扩散膜（以下简称“扩散膜”）</w:t>
      </w:r>
      <w:r>
        <w:rPr>
          <w:rFonts w:hint="eastAsia"/>
          <w:lang w:val="en-US" w:eastAsia="zh-CN"/>
        </w:rPr>
        <w:t>的术语和定义，</w:t>
      </w:r>
      <w:r>
        <w:rPr>
          <w:rFonts w:hint="eastAsia"/>
        </w:rPr>
        <w:t>规定了</w:t>
      </w:r>
      <w:r>
        <w:rPr>
          <w:rFonts w:hint="eastAsia"/>
          <w:lang w:val="en-US" w:eastAsia="zh-CN"/>
        </w:rPr>
        <w:t>分类</w:t>
      </w:r>
      <w:r>
        <w:rPr>
          <w:rFonts w:hint="eastAsia"/>
          <w:lang w:eastAsia="zh-CN"/>
        </w:rPr>
        <w:t>、</w:t>
      </w:r>
      <w:r>
        <w:rPr>
          <w:rFonts w:hint="eastAsia"/>
        </w:rPr>
        <w:t>技术要求、检验规则、标志、包装、运输、贮存、随行文件及订货单内容</w:t>
      </w:r>
      <w:r>
        <w:rPr>
          <w:rFonts w:hint="eastAsia"/>
          <w:lang w:eastAsia="zh-CN"/>
        </w:rPr>
        <w:t>，描述了相应的试验方法</w:t>
      </w:r>
      <w:r>
        <w:rPr>
          <w:rFonts w:hint="eastAsia"/>
        </w:rPr>
        <w:t>。</w:t>
      </w:r>
    </w:p>
    <w:p w14:paraId="321CEAE8">
      <w:pPr>
        <w:pStyle w:val="58"/>
        <w:ind w:firstLine="420"/>
        <w:rPr>
          <w:rFonts w:hint="eastAsia"/>
        </w:rPr>
      </w:pPr>
      <w:r>
        <w:rPr>
          <w:rFonts w:hint="eastAsia"/>
        </w:rPr>
        <w:t>本文件适用于半导体材料掺杂用扩散膜的制造。</w:t>
      </w:r>
    </w:p>
    <w:p w14:paraId="16E6896B">
      <w:pPr>
        <w:pStyle w:val="106"/>
        <w:spacing w:before="240" w:after="240"/>
      </w:pPr>
      <w:bookmarkStart w:id="39" w:name="_Toc26986772"/>
      <w:bookmarkStart w:id="40" w:name="_Toc97195092"/>
      <w:bookmarkStart w:id="41" w:name="_Toc26718931"/>
      <w:bookmarkStart w:id="42" w:name="_Toc269865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4DEDA4E7FCA64BAEB3EF7ED76CDFE7A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7D70ED9">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BEB610F">
      <w:pPr>
        <w:pStyle w:val="233"/>
        <w:ind w:firstLine="440"/>
        <w:rPr>
          <w:rFonts w:hint="eastAsia" w:hAnsi="宋体"/>
          <w:color w:val="000000"/>
          <w:sz w:val="21"/>
          <w:szCs w:val="21"/>
          <w:highlight w:val="none"/>
        </w:rPr>
      </w:pPr>
      <w:r>
        <w:rPr>
          <w:rFonts w:hint="eastAsia" w:hAnsi="宋体"/>
          <w:color w:val="000000"/>
          <w:sz w:val="21"/>
          <w:szCs w:val="21"/>
          <w:highlight w:val="none"/>
        </w:rPr>
        <w:t>GB/T 2828.1  计数抽样检验程序 第1部分：按接收质量限(AQL)检索的逐批检验抽样计划</w:t>
      </w:r>
    </w:p>
    <w:p w14:paraId="77176CE0">
      <w:pPr>
        <w:pStyle w:val="233"/>
        <w:ind w:firstLine="440"/>
        <w:rPr>
          <w:rFonts w:hint="eastAsia" w:hAnsi="宋体"/>
          <w:color w:val="000000"/>
          <w:sz w:val="21"/>
          <w:szCs w:val="21"/>
          <w:highlight w:val="none"/>
        </w:rPr>
      </w:pPr>
      <w:r>
        <w:rPr>
          <w:rFonts w:hint="eastAsia" w:hAnsi="宋体"/>
          <w:color w:val="000000"/>
          <w:sz w:val="21"/>
          <w:szCs w:val="21"/>
          <w:highlight w:val="none"/>
        </w:rPr>
        <w:t>GB/T 14264  半导体材料</w:t>
      </w:r>
      <w:r>
        <w:rPr>
          <w:rFonts w:hint="eastAsia" w:hAnsi="宋体"/>
          <w:color w:val="000000"/>
          <w:sz w:val="21"/>
          <w:szCs w:val="21"/>
          <w:highlight w:val="none"/>
          <w:lang w:val="en-US" w:eastAsia="zh-CN"/>
        </w:rPr>
        <w:t xml:space="preserve">  </w:t>
      </w:r>
      <w:r>
        <w:rPr>
          <w:rFonts w:hint="eastAsia" w:hAnsi="宋体"/>
          <w:color w:val="000000"/>
          <w:sz w:val="21"/>
          <w:szCs w:val="21"/>
          <w:highlight w:val="none"/>
        </w:rPr>
        <w:t>术语</w:t>
      </w:r>
    </w:p>
    <w:p w14:paraId="277EC4ED">
      <w:pPr>
        <w:pStyle w:val="233"/>
        <w:ind w:firstLine="440"/>
        <w:rPr>
          <w:rFonts w:hint="eastAsia" w:hAnsi="宋体"/>
          <w:color w:val="000000"/>
          <w:sz w:val="21"/>
          <w:szCs w:val="21"/>
          <w:highlight w:val="none"/>
          <w:lang w:val="en-US" w:eastAsia="zh-CN"/>
        </w:rPr>
      </w:pPr>
      <w:r>
        <w:rPr>
          <w:rFonts w:hint="eastAsia" w:hAnsi="宋体"/>
          <w:color w:val="000000"/>
          <w:sz w:val="21"/>
          <w:szCs w:val="21"/>
          <w:highlight w:val="none"/>
          <w:lang w:val="en-US" w:eastAsia="zh-CN"/>
        </w:rPr>
        <w:t>JY/T 0567—2020  电感耦合等离子体发射光谱分析方法通则</w:t>
      </w:r>
    </w:p>
    <w:p w14:paraId="700C04F3">
      <w:pPr>
        <w:pStyle w:val="106"/>
        <w:spacing w:before="240" w:after="240"/>
      </w:pPr>
      <w:bookmarkStart w:id="43" w:name="_Toc97195093"/>
      <w:r>
        <w:rPr>
          <w:rFonts w:hint="eastAsia"/>
          <w:szCs w:val="21"/>
        </w:rPr>
        <w:t>术语和定义</w:t>
      </w:r>
      <w:bookmarkEnd w:id="43"/>
    </w:p>
    <w:sdt>
      <w:sdtPr>
        <w:rPr>
          <w:rFonts w:hAnsi="宋体"/>
          <w:color w:val="000000"/>
          <w:sz w:val="21"/>
          <w:szCs w:val="21"/>
        </w:rPr>
        <w:id w:val="-1909835108"/>
        <w:placeholder>
          <w:docPart w:val="C59DA63F9D5B455385A2DFF869D5F44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color w:val="000000"/>
          <w:sz w:val="22"/>
          <w:szCs w:val="22"/>
        </w:rPr>
      </w:sdtEndPr>
      <w:sdtContent>
        <w:p w14:paraId="1B29DE45">
          <w:pPr>
            <w:pStyle w:val="58"/>
            <w:ind w:firstLine="440"/>
            <w:rPr>
              <w:rFonts w:hint="eastAsia" w:hAnsi="宋体"/>
              <w:color w:val="000000"/>
              <w:sz w:val="22"/>
              <w:szCs w:val="22"/>
            </w:rPr>
          </w:pPr>
          <w:bookmarkStart w:id="44" w:name="_Toc26986532"/>
          <w:bookmarkEnd w:id="44"/>
          <w:r>
            <w:rPr>
              <w:rFonts w:hAnsi="宋体"/>
              <w:color w:val="000000"/>
              <w:sz w:val="21"/>
              <w:szCs w:val="21"/>
            </w:rPr>
            <w:t>GB/T 14264界定的以及下列术语和定义适用于本文件。</w:t>
          </w:r>
        </w:p>
      </w:sdtContent>
    </w:sdt>
    <w:p w14:paraId="36C12047">
      <w:pPr>
        <w:pStyle w:val="107"/>
        <w:spacing w:before="120" w:after="120"/>
        <w:rPr>
          <w:rFonts w:hint="eastAsia"/>
        </w:rPr>
      </w:pPr>
    </w:p>
    <w:p w14:paraId="05BDF884">
      <w:pPr>
        <w:pStyle w:val="107"/>
        <w:numPr>
          <w:ilvl w:val="2"/>
          <w:numId w:val="0"/>
        </w:numPr>
        <w:spacing w:before="120" w:after="120"/>
        <w:ind w:leftChars="0" w:firstLine="420" w:firstLineChars="200"/>
        <w:rPr>
          <w:rFonts w:hint="eastAsia"/>
        </w:rPr>
      </w:pPr>
      <w:r>
        <w:rPr>
          <w:rFonts w:hint="eastAsia"/>
          <w:lang w:val="en-US" w:eastAsia="zh-CN"/>
        </w:rPr>
        <w:t>扩散膜  diffusion film</w:t>
      </w:r>
    </w:p>
    <w:p w14:paraId="4748899E">
      <w:pPr>
        <w:pStyle w:val="58"/>
        <w:ind w:firstLine="420"/>
        <w:rPr>
          <w:rFonts w:hint="eastAsia"/>
        </w:rPr>
      </w:pPr>
      <w:r>
        <w:rPr>
          <w:rFonts w:hint="eastAsia"/>
        </w:rPr>
        <w:t>用沉淀、挂膜等方法制成的把杂质元素扩散到半导体材料的膜。</w:t>
      </w:r>
    </w:p>
    <w:p w14:paraId="5296DC7E">
      <w:pPr>
        <w:pStyle w:val="107"/>
        <w:spacing w:before="120" w:after="120"/>
        <w:rPr>
          <w:rFonts w:hint="eastAsia"/>
          <w:lang w:val="en-US" w:eastAsia="zh-CN"/>
        </w:rPr>
      </w:pPr>
    </w:p>
    <w:p w14:paraId="5B2CD8E3">
      <w:pPr>
        <w:pStyle w:val="107"/>
        <w:numPr>
          <w:ilvl w:val="2"/>
          <w:numId w:val="0"/>
        </w:numPr>
        <w:spacing w:before="120" w:after="120"/>
        <w:ind w:leftChars="0" w:firstLine="420" w:firstLineChars="200"/>
        <w:rPr>
          <w:rFonts w:hint="eastAsia"/>
          <w:lang w:val="en-US" w:eastAsia="zh-CN"/>
        </w:rPr>
      </w:pPr>
      <w:r>
        <w:rPr>
          <w:rFonts w:hint="eastAsia"/>
          <w:lang w:val="en-US" w:eastAsia="zh-CN"/>
        </w:rPr>
        <w:t>磷扩散膜  Phosphorus diffusion film</w:t>
      </w:r>
    </w:p>
    <w:p w14:paraId="236703A4">
      <w:pPr>
        <w:pStyle w:val="58"/>
        <w:ind w:firstLine="420"/>
        <w:rPr>
          <w:rFonts w:hint="default"/>
          <w:lang w:val="en-US" w:eastAsia="zh-CN"/>
        </w:rPr>
      </w:pPr>
      <w:r>
        <w:rPr>
          <w:rFonts w:hint="eastAsia"/>
          <w:lang w:val="en-US" w:eastAsia="zh-CN"/>
        </w:rPr>
        <w:t>掺杂主元素以磷为主的扩散膜。</w:t>
      </w:r>
    </w:p>
    <w:p w14:paraId="0C163016">
      <w:pPr>
        <w:pStyle w:val="107"/>
        <w:spacing w:before="120" w:after="120"/>
        <w:rPr>
          <w:rFonts w:hint="default"/>
          <w:lang w:val="en-US" w:eastAsia="zh-CN"/>
        </w:rPr>
      </w:pPr>
    </w:p>
    <w:p w14:paraId="3166576E">
      <w:pPr>
        <w:pStyle w:val="107"/>
        <w:numPr>
          <w:ilvl w:val="2"/>
          <w:numId w:val="0"/>
        </w:numPr>
        <w:spacing w:before="120" w:after="120"/>
        <w:ind w:leftChars="0" w:firstLine="420" w:firstLineChars="200"/>
        <w:rPr>
          <w:rFonts w:hint="default"/>
          <w:lang w:val="en-US" w:eastAsia="zh-CN"/>
        </w:rPr>
      </w:pPr>
      <w:r>
        <w:rPr>
          <w:rFonts w:hint="eastAsia"/>
          <w:lang w:val="en-US" w:eastAsia="zh-CN"/>
        </w:rPr>
        <w:t>硼扩散膜  Boron diffusion film</w:t>
      </w:r>
    </w:p>
    <w:p w14:paraId="082DA1F1">
      <w:pPr>
        <w:pStyle w:val="58"/>
        <w:ind w:firstLine="420"/>
        <w:rPr>
          <w:rFonts w:hint="eastAsia"/>
          <w:lang w:val="en-US" w:eastAsia="zh-CN"/>
        </w:rPr>
      </w:pPr>
      <w:r>
        <w:rPr>
          <w:rFonts w:hint="eastAsia"/>
          <w:lang w:val="en-US" w:eastAsia="zh-CN"/>
        </w:rPr>
        <w:t>掺杂主元素以硼为主的扩散膜。</w:t>
      </w:r>
    </w:p>
    <w:p w14:paraId="1756770A">
      <w:pPr>
        <w:pStyle w:val="107"/>
        <w:spacing w:before="120" w:after="120"/>
        <w:rPr>
          <w:rFonts w:hint="eastAsia"/>
          <w:lang w:val="en-US" w:eastAsia="zh-CN"/>
        </w:rPr>
      </w:pPr>
    </w:p>
    <w:p w14:paraId="5C40C4E3">
      <w:pPr>
        <w:pStyle w:val="107"/>
        <w:numPr>
          <w:ilvl w:val="2"/>
          <w:numId w:val="0"/>
        </w:numPr>
        <w:spacing w:before="120" w:after="120"/>
        <w:ind w:leftChars="0" w:firstLine="420" w:firstLineChars="200"/>
        <w:rPr>
          <w:rFonts w:hint="default"/>
          <w:lang w:val="en-US" w:eastAsia="zh-CN"/>
        </w:rPr>
      </w:pPr>
      <w:r>
        <w:rPr>
          <w:rFonts w:hint="eastAsia"/>
          <w:lang w:val="en-US" w:eastAsia="zh-CN"/>
        </w:rPr>
        <w:t>扩散膜主元素  Main elements of diffusion film</w:t>
      </w:r>
    </w:p>
    <w:p w14:paraId="273748C6">
      <w:pPr>
        <w:pStyle w:val="58"/>
        <w:rPr>
          <w:rFonts w:hint="default"/>
          <w:lang w:val="en-US" w:eastAsia="zh-CN"/>
        </w:rPr>
      </w:pPr>
      <w:r>
        <w:rPr>
          <w:rFonts w:hint="eastAsia"/>
          <w:lang w:val="en-US" w:eastAsia="zh-CN"/>
        </w:rPr>
        <w:t>扩散膜中含有的主要元素。</w:t>
      </w:r>
    </w:p>
    <w:p w14:paraId="7473A4FE">
      <w:pPr>
        <w:pStyle w:val="106"/>
        <w:spacing w:before="240" w:after="240"/>
      </w:pPr>
      <w:r>
        <w:rPr>
          <w:rFonts w:hint="eastAsia"/>
        </w:rPr>
        <w:t>分类</w:t>
      </w:r>
    </w:p>
    <w:p w14:paraId="6C0FD9C9">
      <w:pPr>
        <w:pStyle w:val="107"/>
        <w:spacing w:before="120" w:after="120"/>
        <w:rPr>
          <w:rFonts w:hint="eastAsia"/>
          <w:lang w:val="en-US" w:eastAsia="zh-CN"/>
        </w:rPr>
      </w:pPr>
      <w:r>
        <w:rPr>
          <w:rFonts w:hint="eastAsia"/>
          <w:lang w:val="en-US" w:eastAsia="zh-CN"/>
        </w:rPr>
        <w:t>按掺杂元素分类</w:t>
      </w:r>
    </w:p>
    <w:p w14:paraId="72D8E0C8">
      <w:pPr>
        <w:pStyle w:val="10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color w:val="auto"/>
          <w:highlight w:val="none"/>
        </w:rPr>
      </w:pPr>
      <w:r>
        <w:rPr>
          <w:rFonts w:hint="eastAsia" w:ascii="宋体" w:hAnsi="宋体" w:eastAsia="宋体" w:cs="宋体"/>
        </w:rPr>
        <w:t>扩散膜按掺杂</w:t>
      </w:r>
      <w:r>
        <w:rPr>
          <w:rFonts w:hint="eastAsia" w:ascii="宋体" w:hAnsi="宋体" w:eastAsia="宋体" w:cs="宋体"/>
          <w:lang w:val="en-US" w:eastAsia="zh-CN"/>
        </w:rPr>
        <w:t>元素</w:t>
      </w:r>
      <w:r>
        <w:rPr>
          <w:rFonts w:hint="eastAsia" w:ascii="宋体" w:hAnsi="宋体" w:eastAsia="宋体" w:cs="宋体"/>
        </w:rPr>
        <w:t>分为</w:t>
      </w:r>
      <w:r>
        <w:rPr>
          <w:rFonts w:hint="eastAsia" w:ascii="宋体" w:hAnsi="宋体" w:eastAsia="宋体" w:cs="宋体"/>
          <w:lang w:val="en-US" w:eastAsia="zh-CN"/>
        </w:rPr>
        <w:t>两类，分别是磷扩散膜和硼扩散膜</w:t>
      </w:r>
      <w:r>
        <w:rPr>
          <w:rFonts w:hint="eastAsia" w:ascii="宋体" w:hAnsi="宋体" w:eastAsia="宋体" w:cs="宋体"/>
          <w:color w:val="auto"/>
          <w:highlight w:val="none"/>
        </w:rPr>
        <w:t>。</w:t>
      </w:r>
    </w:p>
    <w:p w14:paraId="72683A49">
      <w:pPr>
        <w:pStyle w:val="107"/>
        <w:spacing w:before="120" w:after="120"/>
        <w:rPr>
          <w:rFonts w:hint="eastAsia"/>
          <w:lang w:val="en-US" w:eastAsia="zh-CN"/>
        </w:rPr>
      </w:pPr>
      <w:r>
        <w:rPr>
          <w:rFonts w:hint="eastAsia"/>
          <w:lang w:val="en-US" w:eastAsia="zh-CN"/>
        </w:rPr>
        <w:t>系列代号</w:t>
      </w:r>
    </w:p>
    <w:p w14:paraId="43FFCDC9">
      <w:pPr>
        <w:pStyle w:val="167"/>
        <w:rPr>
          <w:rFonts w:hint="eastAsia"/>
          <w:lang w:val="en-US" w:eastAsia="zh-CN"/>
        </w:rPr>
      </w:pPr>
      <w:r>
        <w:rPr>
          <w:rFonts w:hint="eastAsia"/>
          <w:lang w:val="en-US" w:eastAsia="zh-CN"/>
        </w:rPr>
        <w:t>磷扩散膜：（磷）。</w:t>
      </w:r>
    </w:p>
    <w:p w14:paraId="39571EDA">
      <w:pPr>
        <w:pStyle w:val="167"/>
        <w:rPr>
          <w:rFonts w:hint="eastAsia"/>
          <w:lang w:val="en-US" w:eastAsia="zh-CN"/>
        </w:rPr>
      </w:pPr>
      <w:r>
        <w:rPr>
          <w:rFonts w:hint="eastAsia"/>
          <w:lang w:val="en-US" w:eastAsia="zh-CN"/>
        </w:rPr>
        <w:t>硼扩散膜：（硼）。</w:t>
      </w:r>
    </w:p>
    <w:p w14:paraId="0E820C6F">
      <w:pPr>
        <w:pStyle w:val="107"/>
        <w:spacing w:before="120" w:after="120"/>
        <w:rPr>
          <w:rFonts w:hint="eastAsia"/>
          <w:lang w:val="en-US" w:eastAsia="zh-CN"/>
        </w:rPr>
      </w:pPr>
      <w:bookmarkStart w:id="45" w:name="_Toc19297"/>
      <w:r>
        <w:rPr>
          <w:rFonts w:hint="eastAsia"/>
          <w:lang w:val="en-US" w:eastAsia="zh-CN"/>
        </w:rPr>
        <w:t>产品表示方法</w:t>
      </w:r>
      <w:bookmarkEnd w:id="45"/>
    </w:p>
    <w:p w14:paraId="5AFBABE1">
      <w:pPr>
        <w:pStyle w:val="26"/>
        <w:widowControl/>
        <w:autoSpaceDE w:val="0"/>
        <w:autoSpaceDN w:val="0"/>
        <w:ind w:firstLine="420" w:firstLineChars="200"/>
        <w:rPr>
          <w:rFonts w:hint="eastAsia" w:ascii="宋体" w:hAnsi="宋体" w:cs="宋体"/>
          <w:kern w:val="0"/>
          <w:sz w:val="21"/>
          <w:szCs w:val="21"/>
          <w:lang w:bidi="ar"/>
        </w:rPr>
      </w:pPr>
      <w:r>
        <w:rPr>
          <w:rFonts w:hint="eastAsia" w:ascii="宋体" w:hAnsi="宋体" w:cs="宋体"/>
          <w:kern w:val="0"/>
          <w:sz w:val="21"/>
          <w:szCs w:val="21"/>
          <w:lang w:bidi="ar"/>
        </w:rPr>
        <w:t>产品型号及执行标准编号表示。</w:t>
      </w:r>
    </w:p>
    <w:p w14:paraId="1D3AB02A">
      <w:pPr>
        <w:pStyle w:val="167"/>
        <w:numPr>
          <w:ilvl w:val="3"/>
          <w:numId w:val="0"/>
        </w:numPr>
        <w:ind w:leftChars="0" w:firstLine="420" w:firstLineChars="200"/>
        <w:jc w:val="both"/>
        <w:rPr>
          <w:rFonts w:hint="default" w:eastAsia="宋体"/>
          <w:lang w:val="en-US" w:eastAsia="zh-CN"/>
        </w:rPr>
      </w:pPr>
      <w:r>
        <w:rPr>
          <w:rFonts w:hint="eastAsia"/>
          <w:lang w:val="en-US" w:eastAsia="zh-CN"/>
        </w:rPr>
        <w:t xml:space="preserve">                 X       X       YS/T XXXX—XXXX</w:t>
      </w:r>
    </w:p>
    <w:p w14:paraId="6301A895">
      <w:pPr>
        <w:pStyle w:val="167"/>
        <w:numPr>
          <w:ilvl w:val="3"/>
          <w:numId w:val="0"/>
        </w:numPr>
        <w:ind w:leftChars="0" w:firstLine="420" w:firstLineChars="200"/>
        <w:jc w:val="center"/>
      </w:pPr>
      <w:r>
        <w:drawing>
          <wp:inline distT="0" distB="0" distL="114300" distR="114300">
            <wp:extent cx="3568065" cy="1607185"/>
            <wp:effectExtent l="0" t="0" r="63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3568065" cy="1607185"/>
                    </a:xfrm>
                    <a:prstGeom prst="rect">
                      <a:avLst/>
                    </a:prstGeom>
                    <a:noFill/>
                    <a:ln>
                      <a:noFill/>
                    </a:ln>
                  </pic:spPr>
                </pic:pic>
              </a:graphicData>
            </a:graphic>
          </wp:inline>
        </w:drawing>
      </w:r>
    </w:p>
    <w:p w14:paraId="160B8951">
      <w:pPr>
        <w:pStyle w:val="167"/>
        <w:numPr>
          <w:ilvl w:val="3"/>
          <w:numId w:val="0"/>
        </w:numPr>
        <w:ind w:leftChars="0" w:firstLine="360" w:firstLineChars="200"/>
        <w:rPr>
          <w:rFonts w:hint="default" w:ascii="宋体" w:hAnsi="宋体" w:eastAsia="宋体" w:cs="宋体"/>
          <w:kern w:val="0"/>
          <w:sz w:val="18"/>
          <w:szCs w:val="18"/>
          <w:highlight w:val="none"/>
          <w:lang w:val="en-US" w:eastAsia="zh-CN" w:bidi="ar"/>
        </w:rPr>
      </w:pPr>
      <w:r>
        <w:rPr>
          <w:rFonts w:hint="eastAsia" w:ascii="黑体" w:hAnsi="黑体" w:eastAsia="黑体" w:cs="黑体"/>
          <w:kern w:val="0"/>
          <w:sz w:val="18"/>
          <w:szCs w:val="18"/>
          <w:highlight w:val="none"/>
          <w:lang w:val="en-US" w:eastAsia="zh-CN" w:bidi="ar"/>
        </w:rPr>
        <w:t>示例：</w:t>
      </w:r>
      <w:r>
        <w:rPr>
          <w:rFonts w:hint="eastAsia" w:ascii="宋体" w:hAnsi="宋体" w:cs="宋体"/>
          <w:kern w:val="0"/>
          <w:sz w:val="18"/>
          <w:szCs w:val="18"/>
          <w:highlight w:val="none"/>
          <w:lang w:val="en-US" w:eastAsia="zh-CN" w:bidi="ar"/>
        </w:rPr>
        <w:t>磷扩散膜，</w:t>
      </w:r>
      <w:r>
        <w:rPr>
          <w:rFonts w:hint="eastAsia" w:hAnsi="宋体" w:cs="宋体"/>
          <w:kern w:val="0"/>
          <w:sz w:val="18"/>
          <w:szCs w:val="18"/>
          <w:highlight w:val="none"/>
          <w:lang w:val="en-US" w:eastAsia="zh-CN" w:bidi="ar"/>
        </w:rPr>
        <w:t>浓度</w:t>
      </w:r>
      <w:r>
        <w:rPr>
          <w:rFonts w:hint="eastAsia" w:ascii="宋体" w:hAnsi="宋体" w:cs="宋体"/>
          <w:kern w:val="0"/>
          <w:sz w:val="18"/>
          <w:szCs w:val="18"/>
          <w:highlight w:val="none"/>
          <w:lang w:val="en-US" w:eastAsia="zh-CN" w:bidi="ar"/>
        </w:rPr>
        <w:t>为2.30*10</w:t>
      </w:r>
      <w:r>
        <w:rPr>
          <w:rFonts w:hint="eastAsia" w:ascii="宋体" w:hAnsi="宋体" w:cs="宋体"/>
          <w:kern w:val="0"/>
          <w:sz w:val="18"/>
          <w:szCs w:val="18"/>
          <w:highlight w:val="none"/>
          <w:vertAlign w:val="superscript"/>
          <w:lang w:val="en-US" w:eastAsia="zh-CN" w:bidi="ar"/>
        </w:rPr>
        <w:t>21</w:t>
      </w:r>
      <w:r>
        <w:rPr>
          <w:rFonts w:hint="eastAsia" w:hAnsi="宋体" w:cs="宋体"/>
          <w:kern w:val="0"/>
          <w:sz w:val="18"/>
          <w:szCs w:val="18"/>
          <w:highlight w:val="none"/>
          <w:vertAlign w:val="baseline"/>
          <w:lang w:val="en-US" w:eastAsia="zh-CN" w:bidi="ar"/>
        </w:rPr>
        <w:t>个/</w:t>
      </w:r>
      <w:r>
        <w:rPr>
          <w:rFonts w:hint="eastAsia" w:hAnsi="宋体"/>
          <w:color w:val="000000" w:themeColor="text1"/>
          <w:sz w:val="18"/>
          <w:szCs w:val="16"/>
          <w:highlight w:val="none"/>
          <w:lang w:val="en-US" w:eastAsia="zh-CN"/>
          <w14:textFill>
            <w14:solidFill>
              <w14:schemeClr w14:val="tx1"/>
            </w14:solidFill>
          </w14:textFill>
        </w:rPr>
        <w:t>cm</w:t>
      </w:r>
      <w:r>
        <w:rPr>
          <w:rFonts w:hint="eastAsia" w:hAnsi="宋体"/>
          <w:color w:val="000000" w:themeColor="text1"/>
          <w:sz w:val="18"/>
          <w:szCs w:val="16"/>
          <w:highlight w:val="none"/>
          <w:vertAlign w:val="superscript"/>
          <w:lang w:val="en-US" w:eastAsia="zh-CN"/>
          <w14:textFill>
            <w14:solidFill>
              <w14:schemeClr w14:val="tx1"/>
            </w14:solidFill>
          </w14:textFill>
        </w:rPr>
        <w:t>3</w:t>
      </w:r>
      <w:r>
        <w:rPr>
          <w:rFonts w:hint="eastAsia" w:ascii="宋体" w:hAnsi="宋体" w:cs="宋体"/>
          <w:kern w:val="0"/>
          <w:sz w:val="18"/>
          <w:szCs w:val="18"/>
          <w:highlight w:val="none"/>
          <w:lang w:bidi="ar"/>
        </w:rPr>
        <w:t>，表示为：</w:t>
      </w:r>
      <w:r>
        <w:rPr>
          <w:rFonts w:hint="eastAsia" w:hAnsi="宋体" w:cs="宋体"/>
          <w:kern w:val="0"/>
          <w:sz w:val="18"/>
          <w:szCs w:val="18"/>
          <w:highlight w:val="none"/>
          <w:lang w:val="en-US" w:eastAsia="zh-CN" w:bidi="ar"/>
        </w:rPr>
        <w:t>（磷）P40</w:t>
      </w:r>
      <w:r>
        <w:rPr>
          <w:rFonts w:hint="eastAsia" w:ascii="宋体" w:hAnsi="宋体" w:cs="宋体"/>
          <w:kern w:val="0"/>
          <w:sz w:val="18"/>
          <w:szCs w:val="18"/>
          <w:highlight w:val="none"/>
          <w:lang w:val="en-US" w:eastAsia="zh-CN" w:bidi="ar"/>
        </w:rPr>
        <w:t xml:space="preserve"> YS/T XXXX—XXXX。</w:t>
      </w:r>
    </w:p>
    <w:p w14:paraId="75AD69D8">
      <w:pPr>
        <w:pStyle w:val="106"/>
        <w:spacing w:before="240" w:after="240"/>
        <w:rPr>
          <w:rFonts w:hint="eastAsia"/>
        </w:rPr>
      </w:pPr>
      <w:r>
        <w:rPr>
          <w:rFonts w:hint="eastAsia"/>
        </w:rPr>
        <w:t>技术要求</w:t>
      </w:r>
    </w:p>
    <w:p w14:paraId="7897EB8F">
      <w:pPr>
        <w:pStyle w:val="107"/>
        <w:spacing w:before="120" w:after="120"/>
        <w:rPr>
          <w:rFonts w:hint="eastAsia"/>
        </w:rPr>
      </w:pPr>
      <w:r>
        <w:rPr>
          <w:rFonts w:hint="eastAsia"/>
          <w:lang w:val="en-US" w:eastAsia="zh-CN"/>
        </w:rPr>
        <w:t>表面质量</w:t>
      </w:r>
    </w:p>
    <w:p w14:paraId="060BDBA2">
      <w:pPr>
        <w:pStyle w:val="58"/>
        <w:ind w:firstLine="420"/>
        <w:rPr>
          <w:rFonts w:hint="default" w:ascii="宋体" w:hAnsi="宋体" w:eastAsia="宋体" w:cs="宋体"/>
          <w:lang w:val="en-US" w:eastAsia="zh-CN"/>
        </w:rPr>
      </w:pPr>
      <w:r>
        <w:rPr>
          <w:rFonts w:hint="eastAsia" w:ascii="宋体" w:hAnsi="宋体" w:eastAsia="宋体" w:cs="宋体"/>
          <w:lang w:val="en-US" w:eastAsia="zh-CN"/>
        </w:rPr>
        <w:t>表面</w:t>
      </w:r>
      <w:r>
        <w:rPr>
          <w:rFonts w:hint="eastAsia" w:ascii="宋体" w:hAnsi="宋体" w:eastAsia="宋体" w:cs="宋体"/>
        </w:rPr>
        <w:t>应无裂纹、夹杂、凹坑、孔洞、缺边、沾污等。</w:t>
      </w:r>
    </w:p>
    <w:p w14:paraId="05CCFC97">
      <w:pPr>
        <w:pStyle w:val="107"/>
        <w:spacing w:before="120" w:after="120"/>
        <w:rPr>
          <w:rFonts w:hint="eastAsia"/>
        </w:rPr>
      </w:pPr>
      <w:r>
        <w:rPr>
          <w:rFonts w:hint="eastAsia"/>
        </w:rPr>
        <w:t>颜色</w:t>
      </w:r>
    </w:p>
    <w:p w14:paraId="4C6F0F77">
      <w:pPr>
        <w:pStyle w:val="58"/>
        <w:ind w:firstLine="420"/>
        <w:rPr>
          <w:rFonts w:hint="eastAsia"/>
        </w:rPr>
      </w:pPr>
      <w:r>
        <w:rPr>
          <w:rFonts w:hint="eastAsia"/>
        </w:rPr>
        <w:t>磷</w:t>
      </w:r>
      <w:r>
        <w:rPr>
          <w:rFonts w:hint="eastAsia"/>
          <w:lang w:val="en-US" w:eastAsia="zh-CN"/>
        </w:rPr>
        <w:t>膜</w:t>
      </w:r>
      <w:r>
        <w:rPr>
          <w:rFonts w:hint="eastAsia"/>
        </w:rPr>
        <w:t>：粉色或红色</w:t>
      </w:r>
      <w:r>
        <w:rPr>
          <w:rFonts w:hint="eastAsia"/>
          <w:lang w:eastAsia="zh-CN"/>
        </w:rPr>
        <w:t>；</w:t>
      </w:r>
      <w:r>
        <w:rPr>
          <w:rFonts w:hint="eastAsia"/>
        </w:rPr>
        <w:t>硼</w:t>
      </w:r>
      <w:r>
        <w:rPr>
          <w:rFonts w:hint="eastAsia"/>
          <w:lang w:val="en-US" w:eastAsia="zh-CN"/>
        </w:rPr>
        <w:t>膜</w:t>
      </w:r>
      <w:r>
        <w:rPr>
          <w:rFonts w:hint="eastAsia"/>
        </w:rPr>
        <w:t>白色或蓝色或灰色。也可双方约定，并在订单中说明。</w:t>
      </w:r>
    </w:p>
    <w:p w14:paraId="1023E284">
      <w:pPr>
        <w:pStyle w:val="107"/>
        <w:spacing w:before="120" w:after="120"/>
        <w:rPr>
          <w:rFonts w:hint="eastAsia"/>
        </w:rPr>
      </w:pPr>
      <w:r>
        <w:rPr>
          <w:rFonts w:hint="eastAsia"/>
        </w:rPr>
        <w:t>尺寸</w:t>
      </w:r>
      <w:r>
        <w:rPr>
          <w:rFonts w:hint="eastAsia"/>
          <w:lang w:val="en-US" w:eastAsia="zh-CN"/>
        </w:rPr>
        <w:t>偏差</w:t>
      </w:r>
    </w:p>
    <w:p w14:paraId="1653AC52">
      <w:pPr>
        <w:pStyle w:val="167"/>
        <w:numPr>
          <w:ilvl w:val="3"/>
          <w:numId w:val="0"/>
        </w:numPr>
        <w:ind w:leftChars="0" w:firstLine="420" w:firstLineChars="200"/>
        <w:rPr>
          <w:rFonts w:hint="eastAsia" w:hAnsi="宋体"/>
          <w:color w:val="000000" w:themeColor="text1"/>
          <w:sz w:val="22"/>
          <w:szCs w:val="22"/>
          <w14:textFill>
            <w14:solidFill>
              <w14:schemeClr w14:val="tx1"/>
            </w14:solidFill>
          </w14:textFill>
        </w:rPr>
      </w:pPr>
      <w:r>
        <w:rPr>
          <w:rFonts w:hint="eastAsia"/>
          <w:color w:val="000000" w:themeColor="text1"/>
          <w:lang w:val="en-US" w:eastAsia="zh-CN"/>
          <w14:textFill>
            <w14:solidFill>
              <w14:schemeClr w14:val="tx1"/>
            </w14:solidFill>
          </w14:textFill>
        </w:rPr>
        <w:t>尺寸</w:t>
      </w:r>
      <w:r>
        <w:rPr>
          <w:rFonts w:hint="eastAsia"/>
          <w:color w:val="000000" w:themeColor="text1"/>
          <w14:textFill>
            <w14:solidFill>
              <w14:schemeClr w14:val="tx1"/>
            </w14:solidFill>
          </w14:textFill>
        </w:rPr>
        <w:t>允许偏差</w:t>
      </w:r>
      <w:r>
        <w:rPr>
          <w:rFonts w:hint="eastAsia"/>
          <w:color w:val="000000" w:themeColor="text1"/>
          <w:lang w:val="en-US" w:eastAsia="zh-CN"/>
          <w14:textFill>
            <w14:solidFill>
              <w14:schemeClr w14:val="tx1"/>
            </w14:solidFill>
          </w14:textFill>
        </w:rPr>
        <w:t>不</w:t>
      </w:r>
      <w:r>
        <w:rPr>
          <w:rFonts w:hint="eastAsia"/>
          <w:color w:val="000000" w:themeColor="text1"/>
          <w14:textFill>
            <w14:solidFill>
              <w14:schemeClr w14:val="tx1"/>
            </w14:solidFill>
          </w14:textFill>
        </w:rPr>
        <w:t>应</w:t>
      </w:r>
      <w:r>
        <w:rPr>
          <w:rFonts w:hint="eastAsia"/>
          <w:color w:val="000000" w:themeColor="text1"/>
          <w:lang w:val="en-US" w:eastAsia="zh-CN"/>
          <w14:textFill>
            <w14:solidFill>
              <w14:schemeClr w14:val="tx1"/>
            </w14:solidFill>
          </w14:textFill>
        </w:rPr>
        <w:t>大于1mm</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客户若有特殊需求，</w:t>
      </w:r>
      <w:r>
        <w:rPr>
          <w:rFonts w:hint="eastAsia"/>
          <w:color w:val="000000" w:themeColor="text1"/>
          <w14:textFill>
            <w14:solidFill>
              <w14:schemeClr w14:val="tx1"/>
            </w14:solidFill>
          </w14:textFill>
        </w:rPr>
        <w:t>则由供需双方协商确定并在订货单中注明。</w:t>
      </w:r>
    </w:p>
    <w:p w14:paraId="215495A0">
      <w:pPr>
        <w:pStyle w:val="107"/>
        <w:spacing w:before="120" w:after="120"/>
        <w:rPr>
          <w:rFonts w:hint="eastAsia"/>
        </w:rPr>
      </w:pPr>
      <w:r>
        <w:rPr>
          <w:rFonts w:hint="eastAsia"/>
          <w:lang w:val="en-US" w:eastAsia="zh-CN"/>
        </w:rPr>
        <w:t>扩散膜主元素浓度</w:t>
      </w:r>
    </w:p>
    <w:p w14:paraId="6E110C9C">
      <w:pPr>
        <w:pStyle w:val="58"/>
        <w:ind w:firstLine="420"/>
        <w:rPr>
          <w:rFonts w:hint="eastAsia"/>
          <w:szCs w:val="21"/>
          <w:lang w:val="en-US" w:eastAsia="zh-CN"/>
        </w:rPr>
      </w:pPr>
      <w:r>
        <w:rPr>
          <w:rFonts w:hint="eastAsia"/>
          <w:szCs w:val="21"/>
          <w:lang w:val="en-US" w:eastAsia="zh-CN"/>
        </w:rPr>
        <w:t>磷膜主元素浓度应符合表1的要求，硼膜主元素浓度应符合表2的要求。</w:t>
      </w:r>
    </w:p>
    <w:p w14:paraId="4E2220CF">
      <w:pPr>
        <w:pStyle w:val="58"/>
        <w:ind w:firstLine="420"/>
        <w:rPr>
          <w:rFonts w:hint="eastAsia"/>
          <w:szCs w:val="21"/>
        </w:rPr>
      </w:pPr>
      <w:r>
        <w:rPr>
          <w:rFonts w:hint="eastAsia"/>
          <w:color w:val="000000" w:themeColor="text1"/>
          <w:lang w:val="en-US" w:eastAsia="zh-CN"/>
          <w14:textFill>
            <w14:solidFill>
              <w14:schemeClr w14:val="tx1"/>
            </w14:solidFill>
          </w14:textFill>
        </w:rPr>
        <w:t>客户若有特殊需求，</w:t>
      </w:r>
      <w:r>
        <w:rPr>
          <w:rFonts w:hint="eastAsia"/>
          <w:color w:val="000000" w:themeColor="text1"/>
          <w14:textFill>
            <w14:solidFill>
              <w14:schemeClr w14:val="tx1"/>
            </w14:solidFill>
          </w14:textFill>
        </w:rPr>
        <w:t>则由供需双方协商确定并在订货单中注明</w:t>
      </w:r>
      <w:r>
        <w:rPr>
          <w:rFonts w:hint="eastAsia"/>
          <w:szCs w:val="21"/>
        </w:rPr>
        <w:t>。</w:t>
      </w:r>
    </w:p>
    <w:p w14:paraId="3DDCA1FF">
      <w:pPr>
        <w:pStyle w:val="114"/>
        <w:spacing w:before="120" w:after="120"/>
        <w:rPr>
          <w:rFonts w:hint="eastAsia"/>
        </w:rPr>
      </w:pPr>
      <w:r>
        <w:rPr>
          <w:rFonts w:hint="eastAsia"/>
        </w:rPr>
        <w:t>磷</w:t>
      </w:r>
      <w:r>
        <w:rPr>
          <w:rFonts w:hint="eastAsia"/>
          <w:lang w:val="en-US" w:eastAsia="zh-CN"/>
        </w:rPr>
        <w:t>膜主元素浓度要求</w:t>
      </w:r>
    </w:p>
    <w:tbl>
      <w:tblPr>
        <w:tblStyle w:val="29"/>
        <w:tblW w:w="93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99"/>
        <w:gridCol w:w="2440"/>
        <w:gridCol w:w="1873"/>
        <w:gridCol w:w="1873"/>
        <w:gridCol w:w="1874"/>
      </w:tblGrid>
      <w:tr w14:paraId="2A94D9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299" w:type="dxa"/>
            <w:vMerge w:val="restart"/>
            <w:tcBorders>
              <w:tl2br w:val="nil"/>
              <w:tr2bl w:val="nil"/>
            </w:tcBorders>
            <w:shd w:val="clear" w:color="auto" w:fill="auto"/>
            <w:vAlign w:val="center"/>
          </w:tcPr>
          <w:p w14:paraId="3A1F9B77">
            <w:pPr>
              <w:pStyle w:val="180"/>
              <w:spacing w:line="240" w:lineRule="auto"/>
              <w:jc w:val="center"/>
              <w:rPr>
                <w:rFonts w:hint="eastAsia"/>
                <w:color w:val="000000" w:themeColor="text1"/>
                <w14:textFill>
                  <w14:solidFill>
                    <w14:schemeClr w14:val="tx1"/>
                  </w14:solidFill>
                </w14:textFill>
              </w:rPr>
            </w:pPr>
            <w:r>
              <w:rPr>
                <w:rFonts w:hint="eastAsia" w:hAnsi="宋体"/>
                <w:color w:val="000000" w:themeColor="text1"/>
                <w:lang w:val="en-US" w:eastAsia="zh-CN"/>
                <w14:textFill>
                  <w14:solidFill>
                    <w14:schemeClr w14:val="tx1"/>
                  </w14:solidFill>
                </w14:textFill>
              </w:rPr>
              <w:t>牌</w:t>
            </w:r>
            <w:r>
              <w:rPr>
                <w:rFonts w:hint="eastAsia" w:hAnsi="宋体"/>
                <w:color w:val="000000" w:themeColor="text1"/>
                <w14:textFill>
                  <w14:solidFill>
                    <w14:schemeClr w14:val="tx1"/>
                  </w14:solidFill>
                </w14:textFill>
              </w:rPr>
              <w:t>号</w:t>
            </w:r>
          </w:p>
        </w:tc>
        <w:tc>
          <w:tcPr>
            <w:tcW w:w="2440" w:type="dxa"/>
            <w:vMerge w:val="restart"/>
            <w:tcBorders>
              <w:tl2br w:val="nil"/>
              <w:tr2bl w:val="nil"/>
            </w:tcBorders>
            <w:shd w:val="clear" w:color="auto" w:fill="auto"/>
            <w:vAlign w:val="center"/>
          </w:tcPr>
          <w:p w14:paraId="06E5D1C1">
            <w:pPr>
              <w:pStyle w:val="180"/>
              <w:spacing w:line="240" w:lineRule="auto"/>
              <w:rPr>
                <w:rFonts w:hint="eastAsia" w:hAnsi="宋体"/>
                <w:color w:val="000000" w:themeColor="text1"/>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P原子浓度平均值</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lang w:val="en-US" w:eastAsia="zh-CN"/>
                <w14:textFill>
                  <w14:solidFill>
                    <w14:schemeClr w14:val="tx1"/>
                  </w14:solidFill>
                </w14:textFill>
              </w:rPr>
              <w:t>个/cm</w:t>
            </w:r>
            <w:r>
              <w:rPr>
                <w:rFonts w:hint="eastAsia" w:hAnsi="宋体"/>
                <w:color w:val="000000" w:themeColor="text1"/>
                <w:highlight w:val="none"/>
                <w:vertAlign w:val="superscript"/>
                <w:lang w:val="en-US" w:eastAsia="zh-CN"/>
                <w14:textFill>
                  <w14:solidFill>
                    <w14:schemeClr w14:val="tx1"/>
                  </w14:solidFill>
                </w14:textFill>
              </w:rPr>
              <w:t>3</w:t>
            </w:r>
            <w:r>
              <w:rPr>
                <w:rFonts w:hint="eastAsia" w:hAnsi="宋体"/>
                <w:color w:val="000000" w:themeColor="text1"/>
                <w:highlight w:val="none"/>
                <w:lang w:eastAsia="zh-CN"/>
                <w14:textFill>
                  <w14:solidFill>
                    <w14:schemeClr w14:val="tx1"/>
                  </w14:solidFill>
                </w14:textFill>
              </w:rPr>
              <w:t>）</w:t>
            </w:r>
          </w:p>
        </w:tc>
        <w:tc>
          <w:tcPr>
            <w:tcW w:w="5620" w:type="dxa"/>
            <w:gridSpan w:val="3"/>
            <w:tcBorders>
              <w:tl2br w:val="nil"/>
              <w:tr2bl w:val="nil"/>
            </w:tcBorders>
            <w:shd w:val="clear" w:color="auto" w:fill="auto"/>
            <w:vAlign w:val="center"/>
          </w:tcPr>
          <w:p w14:paraId="399FF532">
            <w:pPr>
              <w:pStyle w:val="180"/>
              <w:spacing w:line="240" w:lineRule="auto"/>
              <w:ind w:firstLine="0" w:firstLineChars="0"/>
              <w:rPr>
                <w:rFonts w:hint="default"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浓度均匀度误差</w:t>
            </w:r>
          </w:p>
        </w:tc>
      </w:tr>
      <w:tr w14:paraId="20858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299" w:type="dxa"/>
            <w:vMerge w:val="continue"/>
            <w:tcBorders>
              <w:tl2br w:val="nil"/>
              <w:tr2bl w:val="nil"/>
            </w:tcBorders>
            <w:shd w:val="clear" w:color="auto" w:fill="auto"/>
            <w:vAlign w:val="center"/>
          </w:tcPr>
          <w:p w14:paraId="4904E755">
            <w:pPr>
              <w:pStyle w:val="180"/>
              <w:spacing w:line="240" w:lineRule="auto"/>
              <w:jc w:val="center"/>
              <w:rPr>
                <w:rFonts w:hint="eastAsia"/>
                <w:color w:val="000000" w:themeColor="text1"/>
                <w14:textFill>
                  <w14:solidFill>
                    <w14:schemeClr w14:val="tx1"/>
                  </w14:solidFill>
                </w14:textFill>
              </w:rPr>
            </w:pPr>
          </w:p>
        </w:tc>
        <w:tc>
          <w:tcPr>
            <w:tcW w:w="2440" w:type="dxa"/>
            <w:vMerge w:val="continue"/>
            <w:tcBorders>
              <w:tl2br w:val="nil"/>
              <w:tr2bl w:val="nil"/>
            </w:tcBorders>
            <w:shd w:val="clear" w:color="auto" w:fill="auto"/>
            <w:vAlign w:val="center"/>
          </w:tcPr>
          <w:p w14:paraId="105BAF53">
            <w:pPr>
              <w:pStyle w:val="180"/>
              <w:spacing w:line="240" w:lineRule="auto"/>
              <w:rPr>
                <w:rFonts w:hint="eastAsia" w:hAnsi="宋体"/>
                <w:color w:val="000000" w:themeColor="text1"/>
                <w14:textFill>
                  <w14:solidFill>
                    <w14:schemeClr w14:val="tx1"/>
                  </w14:solidFill>
                </w14:textFill>
              </w:rPr>
            </w:pPr>
          </w:p>
        </w:tc>
        <w:tc>
          <w:tcPr>
            <w:tcW w:w="1873" w:type="dxa"/>
            <w:tcBorders>
              <w:tl2br w:val="nil"/>
              <w:tr2bl w:val="nil"/>
            </w:tcBorders>
            <w:shd w:val="clear" w:color="auto" w:fill="auto"/>
            <w:vAlign w:val="center"/>
          </w:tcPr>
          <w:p w14:paraId="11DFCE3B">
            <w:pPr>
              <w:pStyle w:val="180"/>
              <w:spacing w:line="240" w:lineRule="auto"/>
              <w:rPr>
                <w:rFonts w:hint="eastAsia"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A级品</w:t>
            </w:r>
          </w:p>
        </w:tc>
        <w:tc>
          <w:tcPr>
            <w:tcW w:w="1873" w:type="dxa"/>
            <w:tcBorders>
              <w:tl2br w:val="nil"/>
              <w:tr2bl w:val="nil"/>
            </w:tcBorders>
            <w:shd w:val="clear" w:color="auto" w:fill="auto"/>
            <w:vAlign w:val="center"/>
          </w:tcPr>
          <w:p w14:paraId="47DED23E">
            <w:pPr>
              <w:pStyle w:val="180"/>
              <w:spacing w:line="240" w:lineRule="auto"/>
              <w:ind w:firstLine="0" w:firstLineChars="0"/>
              <w:rPr>
                <w:rFonts w:hint="eastAsia"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B级品</w:t>
            </w:r>
          </w:p>
        </w:tc>
        <w:tc>
          <w:tcPr>
            <w:tcW w:w="1874" w:type="dxa"/>
            <w:tcBorders>
              <w:tl2br w:val="nil"/>
              <w:tr2bl w:val="nil"/>
            </w:tcBorders>
            <w:shd w:val="clear" w:color="auto" w:fill="auto"/>
            <w:vAlign w:val="center"/>
          </w:tcPr>
          <w:p w14:paraId="585FEC3B">
            <w:pPr>
              <w:pStyle w:val="180"/>
              <w:spacing w:line="240" w:lineRule="auto"/>
              <w:ind w:firstLine="0" w:firstLineChars="0"/>
              <w:rPr>
                <w:rFonts w:hint="eastAsia"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C级品</w:t>
            </w:r>
          </w:p>
        </w:tc>
      </w:tr>
      <w:tr w14:paraId="135B5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299" w:type="dxa"/>
            <w:tcBorders>
              <w:tl2br w:val="nil"/>
              <w:tr2bl w:val="nil"/>
            </w:tcBorders>
            <w:shd w:val="clear" w:color="auto" w:fill="auto"/>
            <w:vAlign w:val="center"/>
          </w:tcPr>
          <w:p w14:paraId="41435CE7">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18"/>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18"/>
                <w:szCs w:val="20"/>
                <w:lang w:val="en-US" w:eastAsia="zh-CN" w:bidi="ar-SA"/>
                <w14:textFill>
                  <w14:solidFill>
                    <w14:schemeClr w14:val="tx1"/>
                  </w14:solidFill>
                </w14:textFill>
              </w:rPr>
              <w:t>P40</w:t>
            </w:r>
          </w:p>
        </w:tc>
        <w:tc>
          <w:tcPr>
            <w:tcW w:w="2440" w:type="dxa"/>
            <w:tcBorders>
              <w:tl2br w:val="nil"/>
              <w:tr2bl w:val="nil"/>
            </w:tcBorders>
            <w:shd w:val="clear" w:color="auto" w:fill="auto"/>
            <w:vAlign w:val="center"/>
          </w:tcPr>
          <w:p w14:paraId="6B7B8FCD">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spacing w:val="0"/>
                <w:position w:val="0"/>
                <w:sz w:val="18"/>
                <w:szCs w:val="18"/>
                <w:highlight w:val="none"/>
                <w:vertAlign w:val="baseline"/>
                <w:lang w:val="en-US" w:eastAsia="zh-CN"/>
              </w:rPr>
              <w:t>2.</w:t>
            </w:r>
            <w:r>
              <w:rPr>
                <w:rFonts w:hint="eastAsia" w:ascii="宋体" w:hAnsi="宋体" w:cs="宋体"/>
                <w:spacing w:val="0"/>
                <w:position w:val="0"/>
                <w:sz w:val="18"/>
                <w:szCs w:val="18"/>
                <w:highlight w:val="none"/>
                <w:vertAlign w:val="baseline"/>
                <w:lang w:val="en-US" w:eastAsia="zh-CN"/>
              </w:rPr>
              <w:t>30</w:t>
            </w:r>
            <w:r>
              <w:rPr>
                <w:rFonts w:hint="eastAsia" w:ascii="宋体" w:hAnsi="宋体" w:eastAsia="宋体" w:cs="宋体"/>
                <w:spacing w:val="0"/>
                <w:position w:val="0"/>
                <w:sz w:val="18"/>
                <w:szCs w:val="18"/>
                <w:highlight w:val="none"/>
                <w:vertAlign w:val="baseline"/>
                <w:lang w:val="en-US" w:eastAsia="zh-CN"/>
              </w:rPr>
              <w:t>*10</w:t>
            </w:r>
            <w:r>
              <w:rPr>
                <w:rFonts w:hint="eastAsia" w:ascii="宋体" w:hAnsi="宋体" w:eastAsia="宋体" w:cs="宋体"/>
                <w:spacing w:val="0"/>
                <w:position w:val="0"/>
                <w:sz w:val="18"/>
                <w:szCs w:val="18"/>
                <w:highlight w:val="none"/>
                <w:vertAlign w:val="superscript"/>
                <w:lang w:val="en-US" w:eastAsia="zh-CN"/>
              </w:rPr>
              <w:t>21</w:t>
            </w:r>
          </w:p>
        </w:tc>
        <w:tc>
          <w:tcPr>
            <w:tcW w:w="1873" w:type="dxa"/>
            <w:vMerge w:val="restart"/>
            <w:tcBorders>
              <w:tl2br w:val="nil"/>
              <w:tr2bl w:val="nil"/>
            </w:tcBorders>
            <w:shd w:val="clear" w:color="auto" w:fill="auto"/>
            <w:vAlign w:val="center"/>
          </w:tcPr>
          <w:p w14:paraId="7B68C123">
            <w:pPr>
              <w:pStyle w:val="180"/>
              <w:spacing w:line="240" w:lineRule="auto"/>
              <w:ind w:firstLine="0" w:firstLineChars="0"/>
              <w:rPr>
                <w:rFonts w:hint="default"/>
                <w:color w:val="auto"/>
                <w:highlight w:val="none"/>
                <w:lang w:val="en-US" w:eastAsia="zh-CN"/>
              </w:rPr>
            </w:pPr>
            <w:r>
              <w:rPr>
                <w:rFonts w:hint="eastAsia"/>
                <w:color w:val="auto"/>
                <w:highlight w:val="none"/>
                <w:lang w:val="en-US" w:eastAsia="zh-CN"/>
              </w:rPr>
              <w:t>±5 %</w:t>
            </w:r>
          </w:p>
        </w:tc>
        <w:tc>
          <w:tcPr>
            <w:tcW w:w="1873" w:type="dxa"/>
            <w:vMerge w:val="restart"/>
            <w:tcBorders>
              <w:tl2br w:val="nil"/>
              <w:tr2bl w:val="nil"/>
            </w:tcBorders>
            <w:shd w:val="clear" w:color="auto" w:fill="auto"/>
            <w:vAlign w:val="center"/>
          </w:tcPr>
          <w:p w14:paraId="1C142B67">
            <w:pPr>
              <w:pStyle w:val="180"/>
              <w:spacing w:line="240" w:lineRule="auto"/>
              <w:ind w:firstLine="0" w:firstLineChars="0"/>
              <w:rPr>
                <w:rFonts w:hint="default"/>
                <w:color w:val="auto"/>
                <w:highlight w:val="none"/>
                <w:lang w:val="en-US" w:eastAsia="zh-CN"/>
              </w:rPr>
            </w:pPr>
            <w:r>
              <w:rPr>
                <w:rFonts w:hint="eastAsia"/>
                <w:color w:val="auto"/>
                <w:highlight w:val="none"/>
                <w:lang w:val="en-US" w:eastAsia="zh-CN"/>
              </w:rPr>
              <w:t>±6 %</w:t>
            </w:r>
          </w:p>
        </w:tc>
        <w:tc>
          <w:tcPr>
            <w:tcW w:w="1874" w:type="dxa"/>
            <w:vMerge w:val="restart"/>
            <w:tcBorders>
              <w:tl2br w:val="nil"/>
              <w:tr2bl w:val="nil"/>
            </w:tcBorders>
            <w:shd w:val="clear" w:color="auto" w:fill="auto"/>
            <w:vAlign w:val="center"/>
          </w:tcPr>
          <w:p w14:paraId="299B930F">
            <w:pPr>
              <w:pStyle w:val="180"/>
              <w:spacing w:line="240" w:lineRule="auto"/>
              <w:ind w:firstLine="0" w:firstLineChars="0"/>
              <w:rPr>
                <w:rFonts w:hint="default"/>
                <w:color w:val="auto"/>
                <w:highlight w:val="none"/>
                <w:lang w:val="en-US" w:eastAsia="zh-CN"/>
              </w:rPr>
            </w:pPr>
            <w:r>
              <w:rPr>
                <w:rFonts w:hint="eastAsia"/>
                <w:color w:val="auto"/>
                <w:highlight w:val="none"/>
                <w:lang w:val="en-US" w:eastAsia="zh-CN"/>
              </w:rPr>
              <w:t>±10 %</w:t>
            </w:r>
          </w:p>
        </w:tc>
      </w:tr>
      <w:tr w14:paraId="58A1D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299" w:type="dxa"/>
            <w:tcBorders>
              <w:tl2br w:val="nil"/>
              <w:tr2bl w:val="nil"/>
            </w:tcBorders>
            <w:shd w:val="clear" w:color="auto" w:fill="auto"/>
            <w:vAlign w:val="center"/>
          </w:tcPr>
          <w:p w14:paraId="7D8FA13F">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18"/>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18"/>
                <w:szCs w:val="20"/>
                <w:lang w:val="en-US" w:eastAsia="zh-CN" w:bidi="ar-SA"/>
                <w14:textFill>
                  <w14:solidFill>
                    <w14:schemeClr w14:val="tx1"/>
                  </w14:solidFill>
                </w14:textFill>
              </w:rPr>
              <w:t>P50</w:t>
            </w:r>
          </w:p>
        </w:tc>
        <w:tc>
          <w:tcPr>
            <w:tcW w:w="2440" w:type="dxa"/>
            <w:tcBorders>
              <w:tl2br w:val="nil"/>
              <w:tr2bl w:val="nil"/>
            </w:tcBorders>
            <w:shd w:val="clear" w:color="auto" w:fill="auto"/>
            <w:vAlign w:val="center"/>
          </w:tcPr>
          <w:p w14:paraId="6AEB5004">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spacing w:val="0"/>
                <w:position w:val="0"/>
                <w:sz w:val="18"/>
                <w:szCs w:val="18"/>
                <w:highlight w:val="none"/>
                <w:vertAlign w:val="baseline"/>
                <w:lang w:val="en-US" w:eastAsia="zh-CN"/>
              </w:rPr>
              <w:t>2.</w:t>
            </w:r>
            <w:r>
              <w:rPr>
                <w:rFonts w:hint="eastAsia" w:ascii="宋体" w:hAnsi="宋体" w:cs="宋体"/>
                <w:spacing w:val="0"/>
                <w:position w:val="0"/>
                <w:sz w:val="18"/>
                <w:szCs w:val="18"/>
                <w:highlight w:val="none"/>
                <w:vertAlign w:val="baseline"/>
                <w:lang w:val="en-US" w:eastAsia="zh-CN"/>
              </w:rPr>
              <w:t>77</w:t>
            </w:r>
            <w:r>
              <w:rPr>
                <w:rFonts w:hint="eastAsia" w:ascii="宋体" w:hAnsi="宋体" w:eastAsia="宋体" w:cs="宋体"/>
                <w:spacing w:val="0"/>
                <w:position w:val="0"/>
                <w:sz w:val="18"/>
                <w:szCs w:val="18"/>
                <w:highlight w:val="none"/>
                <w:vertAlign w:val="baseline"/>
                <w:lang w:val="en-US" w:eastAsia="zh-CN"/>
              </w:rPr>
              <w:t>*10</w:t>
            </w:r>
            <w:r>
              <w:rPr>
                <w:rFonts w:hint="eastAsia" w:ascii="宋体" w:hAnsi="宋体" w:eastAsia="宋体" w:cs="宋体"/>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14:paraId="486EB23D">
            <w:pPr>
              <w:pStyle w:val="180"/>
              <w:spacing w:line="240" w:lineRule="auto"/>
              <w:ind w:firstLine="0" w:firstLineChars="0"/>
              <w:rPr>
                <w:rFonts w:hint="eastAsia"/>
                <w:color w:val="auto"/>
                <w:highlight w:val="none"/>
              </w:rPr>
            </w:pPr>
          </w:p>
        </w:tc>
        <w:tc>
          <w:tcPr>
            <w:tcW w:w="1873" w:type="dxa"/>
            <w:vMerge w:val="continue"/>
            <w:tcBorders>
              <w:tl2br w:val="nil"/>
              <w:tr2bl w:val="nil"/>
            </w:tcBorders>
            <w:shd w:val="clear" w:color="auto" w:fill="auto"/>
            <w:vAlign w:val="center"/>
          </w:tcPr>
          <w:p w14:paraId="3B6B64BD">
            <w:pPr>
              <w:pStyle w:val="180"/>
              <w:spacing w:line="240" w:lineRule="auto"/>
              <w:ind w:firstLine="0" w:firstLineChars="0"/>
              <w:rPr>
                <w:rFonts w:hint="eastAsia"/>
                <w:color w:val="auto"/>
                <w:highlight w:val="none"/>
              </w:rPr>
            </w:pPr>
          </w:p>
        </w:tc>
        <w:tc>
          <w:tcPr>
            <w:tcW w:w="1874" w:type="dxa"/>
            <w:vMerge w:val="continue"/>
            <w:tcBorders>
              <w:tl2br w:val="nil"/>
              <w:tr2bl w:val="nil"/>
            </w:tcBorders>
            <w:shd w:val="clear" w:color="auto" w:fill="auto"/>
            <w:vAlign w:val="center"/>
          </w:tcPr>
          <w:p w14:paraId="42CA5231">
            <w:pPr>
              <w:pStyle w:val="180"/>
              <w:spacing w:line="240" w:lineRule="auto"/>
              <w:ind w:firstLine="0" w:firstLineChars="0"/>
              <w:rPr>
                <w:rFonts w:hint="eastAsia"/>
                <w:color w:val="auto"/>
                <w:highlight w:val="none"/>
              </w:rPr>
            </w:pPr>
          </w:p>
        </w:tc>
      </w:tr>
      <w:tr w14:paraId="3E845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299" w:type="dxa"/>
            <w:tcBorders>
              <w:tl2br w:val="nil"/>
              <w:tr2bl w:val="nil"/>
            </w:tcBorders>
            <w:shd w:val="clear" w:color="auto" w:fill="auto"/>
            <w:vAlign w:val="center"/>
          </w:tcPr>
          <w:p w14:paraId="1A33DA9E">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18"/>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18"/>
                <w:szCs w:val="20"/>
                <w:lang w:val="en-US" w:eastAsia="zh-CN" w:bidi="ar-SA"/>
                <w14:textFill>
                  <w14:solidFill>
                    <w14:schemeClr w14:val="tx1"/>
                  </w14:solidFill>
                </w14:textFill>
              </w:rPr>
              <w:t>P60</w:t>
            </w:r>
          </w:p>
        </w:tc>
        <w:tc>
          <w:tcPr>
            <w:tcW w:w="2440" w:type="dxa"/>
            <w:tcBorders>
              <w:tl2br w:val="nil"/>
              <w:tr2bl w:val="nil"/>
            </w:tcBorders>
            <w:shd w:val="clear" w:color="auto" w:fill="auto"/>
            <w:vAlign w:val="center"/>
          </w:tcPr>
          <w:p w14:paraId="5AF63F9D">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spacing w:val="0"/>
                <w:position w:val="0"/>
                <w:sz w:val="18"/>
                <w:szCs w:val="18"/>
                <w:highlight w:val="none"/>
                <w:vertAlign w:val="baseline"/>
                <w:lang w:val="en-US" w:eastAsia="zh-CN"/>
              </w:rPr>
              <w:t>2.</w:t>
            </w:r>
            <w:r>
              <w:rPr>
                <w:rFonts w:hint="eastAsia" w:ascii="宋体" w:hAnsi="宋体" w:cs="宋体"/>
                <w:spacing w:val="0"/>
                <w:position w:val="0"/>
                <w:sz w:val="18"/>
                <w:szCs w:val="18"/>
                <w:highlight w:val="none"/>
                <w:vertAlign w:val="baseline"/>
                <w:lang w:val="en-US" w:eastAsia="zh-CN"/>
              </w:rPr>
              <w:t>59</w:t>
            </w:r>
            <w:r>
              <w:rPr>
                <w:rFonts w:hint="eastAsia" w:ascii="宋体" w:hAnsi="宋体" w:eastAsia="宋体" w:cs="宋体"/>
                <w:spacing w:val="0"/>
                <w:position w:val="0"/>
                <w:sz w:val="18"/>
                <w:szCs w:val="18"/>
                <w:highlight w:val="none"/>
                <w:vertAlign w:val="baseline"/>
                <w:lang w:val="en-US" w:eastAsia="zh-CN"/>
              </w:rPr>
              <w:t>*10</w:t>
            </w:r>
            <w:r>
              <w:rPr>
                <w:rFonts w:hint="eastAsia" w:ascii="宋体" w:hAnsi="宋体" w:eastAsia="宋体" w:cs="宋体"/>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14:paraId="1FD5845A">
            <w:pPr>
              <w:pStyle w:val="180"/>
              <w:spacing w:line="240" w:lineRule="auto"/>
              <w:ind w:firstLine="0" w:firstLineChars="0"/>
              <w:rPr>
                <w:rFonts w:hint="eastAsia"/>
                <w:color w:val="auto"/>
                <w:highlight w:val="none"/>
                <w:lang w:val="en-US" w:eastAsia="zh-CN"/>
              </w:rPr>
            </w:pPr>
          </w:p>
        </w:tc>
        <w:tc>
          <w:tcPr>
            <w:tcW w:w="1873" w:type="dxa"/>
            <w:vMerge w:val="continue"/>
            <w:tcBorders>
              <w:tl2br w:val="nil"/>
              <w:tr2bl w:val="nil"/>
            </w:tcBorders>
            <w:shd w:val="clear" w:color="auto" w:fill="auto"/>
            <w:vAlign w:val="center"/>
          </w:tcPr>
          <w:p w14:paraId="0D57C698">
            <w:pPr>
              <w:pStyle w:val="180"/>
              <w:spacing w:line="240" w:lineRule="auto"/>
              <w:ind w:firstLine="0" w:firstLineChars="0"/>
              <w:rPr>
                <w:rFonts w:hint="eastAsia"/>
                <w:color w:val="auto"/>
                <w:highlight w:val="none"/>
                <w:lang w:val="en-US" w:eastAsia="zh-CN"/>
              </w:rPr>
            </w:pPr>
          </w:p>
        </w:tc>
        <w:tc>
          <w:tcPr>
            <w:tcW w:w="1874" w:type="dxa"/>
            <w:vMerge w:val="continue"/>
            <w:tcBorders>
              <w:tl2br w:val="nil"/>
              <w:tr2bl w:val="nil"/>
            </w:tcBorders>
            <w:shd w:val="clear" w:color="auto" w:fill="auto"/>
            <w:vAlign w:val="center"/>
          </w:tcPr>
          <w:p w14:paraId="17E80D14">
            <w:pPr>
              <w:pStyle w:val="180"/>
              <w:spacing w:line="240" w:lineRule="auto"/>
              <w:ind w:firstLine="0" w:firstLineChars="0"/>
              <w:rPr>
                <w:rFonts w:hint="eastAsia"/>
                <w:color w:val="auto"/>
                <w:highlight w:val="none"/>
                <w:lang w:val="en-US" w:eastAsia="zh-CN"/>
              </w:rPr>
            </w:pPr>
          </w:p>
        </w:tc>
      </w:tr>
      <w:tr w14:paraId="213E1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299" w:type="dxa"/>
            <w:tcBorders>
              <w:tl2br w:val="nil"/>
              <w:tr2bl w:val="nil"/>
            </w:tcBorders>
            <w:shd w:val="clear" w:color="auto" w:fill="auto"/>
            <w:vAlign w:val="center"/>
          </w:tcPr>
          <w:p w14:paraId="2CEE02E1">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18"/>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18"/>
                <w:szCs w:val="20"/>
                <w:lang w:val="en-US" w:eastAsia="zh-CN" w:bidi="ar-SA"/>
                <w14:textFill>
                  <w14:solidFill>
                    <w14:schemeClr w14:val="tx1"/>
                  </w14:solidFill>
                </w14:textFill>
              </w:rPr>
              <w:t>P70-1</w:t>
            </w:r>
          </w:p>
        </w:tc>
        <w:tc>
          <w:tcPr>
            <w:tcW w:w="2440" w:type="dxa"/>
            <w:tcBorders>
              <w:tl2br w:val="nil"/>
              <w:tr2bl w:val="nil"/>
            </w:tcBorders>
            <w:shd w:val="clear" w:color="auto" w:fill="auto"/>
            <w:vAlign w:val="center"/>
          </w:tcPr>
          <w:p w14:paraId="6F51570B">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spacing w:val="0"/>
                <w:position w:val="0"/>
                <w:sz w:val="18"/>
                <w:szCs w:val="18"/>
                <w:highlight w:val="none"/>
                <w:vertAlign w:val="baseline"/>
                <w:lang w:val="en-US" w:eastAsia="zh-CN"/>
              </w:rPr>
              <w:t>2.</w:t>
            </w:r>
            <w:r>
              <w:rPr>
                <w:rFonts w:hint="eastAsia" w:ascii="宋体" w:hAnsi="宋体" w:cs="宋体"/>
                <w:spacing w:val="0"/>
                <w:position w:val="0"/>
                <w:sz w:val="18"/>
                <w:szCs w:val="18"/>
                <w:highlight w:val="none"/>
                <w:vertAlign w:val="baseline"/>
                <w:lang w:val="en-US" w:eastAsia="zh-CN"/>
              </w:rPr>
              <w:t>97</w:t>
            </w:r>
            <w:r>
              <w:rPr>
                <w:rFonts w:hint="eastAsia" w:ascii="宋体" w:hAnsi="宋体" w:eastAsia="宋体" w:cs="宋体"/>
                <w:spacing w:val="0"/>
                <w:position w:val="0"/>
                <w:sz w:val="18"/>
                <w:szCs w:val="18"/>
                <w:highlight w:val="none"/>
                <w:vertAlign w:val="baseline"/>
                <w:lang w:val="en-US" w:eastAsia="zh-CN"/>
              </w:rPr>
              <w:t>*10</w:t>
            </w:r>
            <w:r>
              <w:rPr>
                <w:rFonts w:hint="eastAsia" w:ascii="宋体" w:hAnsi="宋体" w:eastAsia="宋体" w:cs="宋体"/>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14:paraId="2FA3CD9A">
            <w:pPr>
              <w:pStyle w:val="180"/>
              <w:spacing w:line="240" w:lineRule="auto"/>
              <w:ind w:firstLine="0" w:firstLineChars="0"/>
              <w:rPr>
                <w:rFonts w:hint="eastAsia"/>
                <w:color w:val="auto"/>
                <w:highlight w:val="none"/>
                <w:lang w:val="en-US" w:eastAsia="zh-CN"/>
              </w:rPr>
            </w:pPr>
          </w:p>
        </w:tc>
        <w:tc>
          <w:tcPr>
            <w:tcW w:w="1873" w:type="dxa"/>
            <w:vMerge w:val="continue"/>
            <w:tcBorders>
              <w:tl2br w:val="nil"/>
              <w:tr2bl w:val="nil"/>
            </w:tcBorders>
            <w:shd w:val="clear" w:color="auto" w:fill="auto"/>
            <w:vAlign w:val="center"/>
          </w:tcPr>
          <w:p w14:paraId="0025A159">
            <w:pPr>
              <w:pStyle w:val="180"/>
              <w:spacing w:line="240" w:lineRule="auto"/>
              <w:ind w:firstLine="0" w:firstLineChars="0"/>
              <w:rPr>
                <w:rFonts w:hint="eastAsia"/>
                <w:color w:val="auto"/>
                <w:highlight w:val="none"/>
                <w:lang w:val="en-US" w:eastAsia="zh-CN"/>
              </w:rPr>
            </w:pPr>
          </w:p>
        </w:tc>
        <w:tc>
          <w:tcPr>
            <w:tcW w:w="1874" w:type="dxa"/>
            <w:vMerge w:val="continue"/>
            <w:tcBorders>
              <w:tl2br w:val="nil"/>
              <w:tr2bl w:val="nil"/>
            </w:tcBorders>
            <w:shd w:val="clear" w:color="auto" w:fill="auto"/>
            <w:vAlign w:val="center"/>
          </w:tcPr>
          <w:p w14:paraId="48B632D1">
            <w:pPr>
              <w:pStyle w:val="180"/>
              <w:spacing w:line="240" w:lineRule="auto"/>
              <w:ind w:firstLine="0" w:firstLineChars="0"/>
              <w:rPr>
                <w:rFonts w:hint="eastAsia"/>
                <w:color w:val="auto"/>
                <w:highlight w:val="none"/>
                <w:lang w:val="en-US" w:eastAsia="zh-CN"/>
              </w:rPr>
            </w:pPr>
          </w:p>
        </w:tc>
      </w:tr>
      <w:tr w14:paraId="2FCF87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99" w:type="dxa"/>
            <w:tcBorders>
              <w:tl2br w:val="nil"/>
              <w:tr2bl w:val="nil"/>
            </w:tcBorders>
            <w:shd w:val="clear" w:color="auto" w:fill="auto"/>
            <w:vAlign w:val="center"/>
          </w:tcPr>
          <w:p w14:paraId="290E6DD0">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18"/>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18"/>
                <w:szCs w:val="20"/>
                <w:lang w:val="en-US" w:eastAsia="zh-CN" w:bidi="ar-SA"/>
                <w14:textFill>
                  <w14:solidFill>
                    <w14:schemeClr w14:val="tx1"/>
                  </w14:solidFill>
                </w14:textFill>
              </w:rPr>
              <w:t>P70-2</w:t>
            </w:r>
          </w:p>
        </w:tc>
        <w:tc>
          <w:tcPr>
            <w:tcW w:w="2440" w:type="dxa"/>
            <w:tcBorders>
              <w:tl2br w:val="nil"/>
              <w:tr2bl w:val="nil"/>
            </w:tcBorders>
            <w:shd w:val="clear" w:color="auto" w:fill="auto"/>
            <w:vAlign w:val="center"/>
          </w:tcPr>
          <w:p w14:paraId="6B2C7A1E">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spacing w:val="0"/>
                <w:position w:val="0"/>
                <w:sz w:val="18"/>
                <w:szCs w:val="18"/>
                <w:highlight w:val="none"/>
                <w:vertAlign w:val="baseline"/>
                <w:lang w:val="en-US" w:eastAsia="zh-CN"/>
              </w:rPr>
              <w:t>2.</w:t>
            </w:r>
            <w:r>
              <w:rPr>
                <w:rFonts w:hint="eastAsia" w:ascii="宋体" w:hAnsi="宋体" w:cs="宋体"/>
                <w:spacing w:val="0"/>
                <w:position w:val="0"/>
                <w:sz w:val="18"/>
                <w:szCs w:val="18"/>
                <w:highlight w:val="none"/>
                <w:vertAlign w:val="baseline"/>
                <w:lang w:val="en-US" w:eastAsia="zh-CN"/>
              </w:rPr>
              <w:t>8</w:t>
            </w:r>
            <w:r>
              <w:rPr>
                <w:rFonts w:hint="eastAsia" w:ascii="宋体" w:hAnsi="宋体" w:eastAsia="宋体" w:cs="宋体"/>
                <w:spacing w:val="0"/>
                <w:position w:val="0"/>
                <w:sz w:val="18"/>
                <w:szCs w:val="18"/>
                <w:highlight w:val="none"/>
                <w:vertAlign w:val="baseline"/>
                <w:lang w:val="en-US" w:eastAsia="zh-CN"/>
              </w:rPr>
              <w:t>7*10</w:t>
            </w:r>
            <w:r>
              <w:rPr>
                <w:rFonts w:hint="eastAsia" w:ascii="宋体" w:hAnsi="宋体" w:eastAsia="宋体" w:cs="宋体"/>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14:paraId="585F8EF2">
            <w:pPr>
              <w:pStyle w:val="180"/>
              <w:spacing w:line="240" w:lineRule="auto"/>
              <w:rPr>
                <w:rFonts w:hint="eastAsia"/>
                <w:color w:val="000000" w:themeColor="text1"/>
                <w14:textFill>
                  <w14:solidFill>
                    <w14:schemeClr w14:val="tx1"/>
                  </w14:solidFill>
                </w14:textFill>
              </w:rPr>
            </w:pPr>
          </w:p>
        </w:tc>
        <w:tc>
          <w:tcPr>
            <w:tcW w:w="1873" w:type="dxa"/>
            <w:vMerge w:val="continue"/>
            <w:tcBorders>
              <w:tl2br w:val="nil"/>
              <w:tr2bl w:val="nil"/>
            </w:tcBorders>
            <w:shd w:val="clear" w:color="auto" w:fill="auto"/>
            <w:vAlign w:val="center"/>
          </w:tcPr>
          <w:p w14:paraId="3BCF074F">
            <w:pPr>
              <w:pStyle w:val="180"/>
              <w:spacing w:line="240" w:lineRule="auto"/>
              <w:rPr>
                <w:rFonts w:hint="eastAsia"/>
                <w:color w:val="000000" w:themeColor="text1"/>
                <w14:textFill>
                  <w14:solidFill>
                    <w14:schemeClr w14:val="tx1"/>
                  </w14:solidFill>
                </w14:textFill>
              </w:rPr>
            </w:pPr>
          </w:p>
        </w:tc>
        <w:tc>
          <w:tcPr>
            <w:tcW w:w="1874" w:type="dxa"/>
            <w:vMerge w:val="continue"/>
            <w:tcBorders>
              <w:tl2br w:val="nil"/>
              <w:tr2bl w:val="nil"/>
            </w:tcBorders>
            <w:shd w:val="clear" w:color="auto" w:fill="auto"/>
            <w:vAlign w:val="center"/>
          </w:tcPr>
          <w:p w14:paraId="63CA261E">
            <w:pPr>
              <w:pStyle w:val="180"/>
              <w:spacing w:line="240" w:lineRule="auto"/>
              <w:rPr>
                <w:rFonts w:hint="eastAsia"/>
                <w:color w:val="000000" w:themeColor="text1"/>
                <w14:textFill>
                  <w14:solidFill>
                    <w14:schemeClr w14:val="tx1"/>
                  </w14:solidFill>
                </w14:textFill>
              </w:rPr>
            </w:pPr>
          </w:p>
        </w:tc>
      </w:tr>
      <w:tr w14:paraId="56033E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99" w:type="dxa"/>
            <w:tcBorders>
              <w:tl2br w:val="nil"/>
              <w:tr2bl w:val="nil"/>
            </w:tcBorders>
            <w:shd w:val="clear" w:color="auto" w:fill="auto"/>
            <w:vAlign w:val="center"/>
          </w:tcPr>
          <w:p w14:paraId="45AC622B">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18"/>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18"/>
                <w:szCs w:val="20"/>
                <w:lang w:val="en-US" w:eastAsia="zh-CN" w:bidi="ar-SA"/>
                <w14:textFill>
                  <w14:solidFill>
                    <w14:schemeClr w14:val="tx1"/>
                  </w14:solidFill>
                </w14:textFill>
              </w:rPr>
              <w:t>P75</w:t>
            </w:r>
          </w:p>
        </w:tc>
        <w:tc>
          <w:tcPr>
            <w:tcW w:w="2440" w:type="dxa"/>
            <w:tcBorders>
              <w:tl2br w:val="nil"/>
              <w:tr2bl w:val="nil"/>
            </w:tcBorders>
            <w:shd w:val="clear" w:color="auto" w:fill="auto"/>
            <w:vAlign w:val="center"/>
          </w:tcPr>
          <w:p w14:paraId="048430FA">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spacing w:val="0"/>
                <w:position w:val="0"/>
                <w:sz w:val="18"/>
                <w:szCs w:val="18"/>
                <w:highlight w:val="none"/>
                <w:vertAlign w:val="baseline"/>
                <w:lang w:val="en-US" w:eastAsia="zh-CN"/>
              </w:rPr>
              <w:t>2.</w:t>
            </w:r>
            <w:r>
              <w:rPr>
                <w:rFonts w:hint="eastAsia" w:ascii="宋体" w:hAnsi="宋体" w:cs="宋体"/>
                <w:spacing w:val="0"/>
                <w:position w:val="0"/>
                <w:sz w:val="18"/>
                <w:szCs w:val="18"/>
                <w:highlight w:val="none"/>
                <w:vertAlign w:val="baseline"/>
                <w:lang w:val="en-US" w:eastAsia="zh-CN"/>
              </w:rPr>
              <w:t>85</w:t>
            </w:r>
            <w:r>
              <w:rPr>
                <w:rFonts w:hint="eastAsia" w:ascii="宋体" w:hAnsi="宋体" w:eastAsia="宋体" w:cs="宋体"/>
                <w:spacing w:val="0"/>
                <w:position w:val="0"/>
                <w:sz w:val="18"/>
                <w:szCs w:val="18"/>
                <w:highlight w:val="none"/>
                <w:vertAlign w:val="baseline"/>
                <w:lang w:val="en-US" w:eastAsia="zh-CN"/>
              </w:rPr>
              <w:t>*10</w:t>
            </w:r>
            <w:r>
              <w:rPr>
                <w:rFonts w:hint="eastAsia" w:ascii="宋体" w:hAnsi="宋体" w:eastAsia="宋体" w:cs="宋体"/>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14:paraId="3E13A311">
            <w:pPr>
              <w:pStyle w:val="180"/>
              <w:spacing w:line="240" w:lineRule="auto"/>
              <w:rPr>
                <w:rFonts w:hint="eastAsia"/>
                <w:color w:val="000000" w:themeColor="text1"/>
                <w14:textFill>
                  <w14:solidFill>
                    <w14:schemeClr w14:val="tx1"/>
                  </w14:solidFill>
                </w14:textFill>
              </w:rPr>
            </w:pPr>
          </w:p>
        </w:tc>
        <w:tc>
          <w:tcPr>
            <w:tcW w:w="1873" w:type="dxa"/>
            <w:vMerge w:val="continue"/>
            <w:tcBorders>
              <w:tl2br w:val="nil"/>
              <w:tr2bl w:val="nil"/>
            </w:tcBorders>
            <w:shd w:val="clear" w:color="auto" w:fill="auto"/>
            <w:vAlign w:val="center"/>
          </w:tcPr>
          <w:p w14:paraId="71A829F6">
            <w:pPr>
              <w:pStyle w:val="180"/>
              <w:spacing w:line="240" w:lineRule="auto"/>
              <w:rPr>
                <w:rFonts w:hint="eastAsia"/>
                <w:color w:val="000000" w:themeColor="text1"/>
                <w14:textFill>
                  <w14:solidFill>
                    <w14:schemeClr w14:val="tx1"/>
                  </w14:solidFill>
                </w14:textFill>
              </w:rPr>
            </w:pPr>
          </w:p>
        </w:tc>
        <w:tc>
          <w:tcPr>
            <w:tcW w:w="1874" w:type="dxa"/>
            <w:vMerge w:val="continue"/>
            <w:tcBorders>
              <w:tl2br w:val="nil"/>
              <w:tr2bl w:val="nil"/>
            </w:tcBorders>
            <w:shd w:val="clear" w:color="auto" w:fill="auto"/>
            <w:vAlign w:val="center"/>
          </w:tcPr>
          <w:p w14:paraId="0B26C2C8">
            <w:pPr>
              <w:pStyle w:val="180"/>
              <w:spacing w:line="240" w:lineRule="auto"/>
              <w:rPr>
                <w:rFonts w:hint="eastAsia"/>
                <w:color w:val="000000" w:themeColor="text1"/>
                <w14:textFill>
                  <w14:solidFill>
                    <w14:schemeClr w14:val="tx1"/>
                  </w14:solidFill>
                </w14:textFill>
              </w:rPr>
            </w:pPr>
          </w:p>
        </w:tc>
      </w:tr>
    </w:tbl>
    <w:p w14:paraId="4306D0BD">
      <w:pPr>
        <w:pStyle w:val="114"/>
        <w:spacing w:before="120" w:after="120"/>
        <w:rPr>
          <w:rFonts w:hint="eastAsia"/>
        </w:rPr>
      </w:pPr>
      <w:r>
        <w:rPr>
          <w:rFonts w:hint="eastAsia"/>
        </w:rPr>
        <w:t>硼膜</w:t>
      </w:r>
      <w:r>
        <w:rPr>
          <w:rFonts w:hint="eastAsia"/>
          <w:lang w:val="en-US" w:eastAsia="zh-CN"/>
        </w:rPr>
        <w:t>主元素浓度要求</w:t>
      </w:r>
    </w:p>
    <w:tbl>
      <w:tblPr>
        <w:tblStyle w:val="29"/>
        <w:tblW w:w="93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10"/>
        <w:gridCol w:w="2433"/>
        <w:gridCol w:w="1872"/>
        <w:gridCol w:w="1872"/>
        <w:gridCol w:w="1872"/>
      </w:tblGrid>
      <w:tr w14:paraId="2009D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310" w:type="dxa"/>
            <w:vMerge w:val="restart"/>
            <w:tcBorders>
              <w:tl2br w:val="nil"/>
              <w:tr2bl w:val="nil"/>
            </w:tcBorders>
            <w:shd w:val="clear" w:color="auto" w:fill="auto"/>
            <w:vAlign w:val="center"/>
          </w:tcPr>
          <w:p w14:paraId="7DC6D1B2">
            <w:pPr>
              <w:pStyle w:val="180"/>
              <w:spacing w:line="240" w:lineRule="auto"/>
              <w:rPr>
                <w:rFonts w:hint="eastAsia"/>
                <w:color w:val="000000" w:themeColor="text1"/>
                <w14:textFill>
                  <w14:solidFill>
                    <w14:schemeClr w14:val="tx1"/>
                  </w14:solidFill>
                </w14:textFill>
              </w:rPr>
            </w:pPr>
            <w:r>
              <w:rPr>
                <w:rFonts w:hint="eastAsia" w:hAnsi="宋体"/>
                <w:color w:val="000000" w:themeColor="text1"/>
                <w:lang w:val="en-US" w:eastAsia="zh-CN"/>
                <w14:textFill>
                  <w14:solidFill>
                    <w14:schemeClr w14:val="tx1"/>
                  </w14:solidFill>
                </w14:textFill>
              </w:rPr>
              <w:t>牌</w:t>
            </w:r>
            <w:r>
              <w:rPr>
                <w:rFonts w:hint="eastAsia" w:hAnsi="宋体"/>
                <w:color w:val="000000" w:themeColor="text1"/>
                <w14:textFill>
                  <w14:solidFill>
                    <w14:schemeClr w14:val="tx1"/>
                  </w14:solidFill>
                </w14:textFill>
              </w:rPr>
              <w:t>号</w:t>
            </w:r>
          </w:p>
        </w:tc>
        <w:tc>
          <w:tcPr>
            <w:tcW w:w="2433" w:type="dxa"/>
            <w:vMerge w:val="restart"/>
            <w:tcBorders>
              <w:tl2br w:val="nil"/>
              <w:tr2bl w:val="nil"/>
            </w:tcBorders>
            <w:shd w:val="clear" w:color="auto" w:fill="auto"/>
            <w:vAlign w:val="center"/>
          </w:tcPr>
          <w:p w14:paraId="7A5BC627">
            <w:pPr>
              <w:pStyle w:val="180"/>
              <w:spacing w:line="240" w:lineRule="auto"/>
              <w:rPr>
                <w:rFonts w:hint="eastAsia" w:eastAsia="宋体"/>
                <w:color w:val="000000" w:themeColor="text1"/>
                <w:lang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B原子浓度平均值</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lang w:val="en-US" w:eastAsia="zh-CN"/>
                <w14:textFill>
                  <w14:solidFill>
                    <w14:schemeClr w14:val="tx1"/>
                  </w14:solidFill>
                </w14:textFill>
              </w:rPr>
              <w:t>个/cm</w:t>
            </w:r>
            <w:r>
              <w:rPr>
                <w:rFonts w:hint="eastAsia" w:hAnsi="宋体"/>
                <w:color w:val="000000" w:themeColor="text1"/>
                <w:highlight w:val="none"/>
                <w:vertAlign w:val="superscript"/>
                <w:lang w:val="en-US" w:eastAsia="zh-CN"/>
                <w14:textFill>
                  <w14:solidFill>
                    <w14:schemeClr w14:val="tx1"/>
                  </w14:solidFill>
                </w14:textFill>
              </w:rPr>
              <w:t>3</w:t>
            </w:r>
            <w:r>
              <w:rPr>
                <w:rFonts w:hint="eastAsia" w:hAnsi="宋体"/>
                <w:color w:val="000000" w:themeColor="text1"/>
                <w:highlight w:val="none"/>
                <w:lang w:eastAsia="zh-CN"/>
                <w14:textFill>
                  <w14:solidFill>
                    <w14:schemeClr w14:val="tx1"/>
                  </w14:solidFill>
                </w14:textFill>
              </w:rPr>
              <w:t>）</w:t>
            </w:r>
          </w:p>
        </w:tc>
        <w:tc>
          <w:tcPr>
            <w:tcW w:w="5616" w:type="dxa"/>
            <w:gridSpan w:val="3"/>
            <w:tcBorders>
              <w:tl2br w:val="nil"/>
              <w:tr2bl w:val="nil"/>
            </w:tcBorders>
            <w:shd w:val="clear" w:color="auto" w:fill="auto"/>
            <w:vAlign w:val="center"/>
          </w:tcPr>
          <w:p w14:paraId="59144616">
            <w:pPr>
              <w:pStyle w:val="180"/>
              <w:spacing w:line="240" w:lineRule="auto"/>
              <w:ind w:firstLine="0" w:firstLineChars="0"/>
              <w:rPr>
                <w:rFonts w:hint="eastAsia"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浓度均匀度误差</w:t>
            </w:r>
          </w:p>
        </w:tc>
      </w:tr>
      <w:tr w14:paraId="6B14A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310" w:type="dxa"/>
            <w:vMerge w:val="continue"/>
            <w:tcBorders>
              <w:tl2br w:val="nil"/>
              <w:tr2bl w:val="nil"/>
            </w:tcBorders>
            <w:shd w:val="clear" w:color="auto" w:fill="auto"/>
            <w:vAlign w:val="center"/>
          </w:tcPr>
          <w:p w14:paraId="12033F30">
            <w:pPr>
              <w:pStyle w:val="180"/>
              <w:spacing w:line="240" w:lineRule="auto"/>
              <w:rPr>
                <w:rFonts w:hint="eastAsia"/>
                <w:color w:val="000000" w:themeColor="text1"/>
                <w14:textFill>
                  <w14:solidFill>
                    <w14:schemeClr w14:val="tx1"/>
                  </w14:solidFill>
                </w14:textFill>
              </w:rPr>
            </w:pPr>
          </w:p>
        </w:tc>
        <w:tc>
          <w:tcPr>
            <w:tcW w:w="2433" w:type="dxa"/>
            <w:vMerge w:val="continue"/>
            <w:tcBorders>
              <w:tl2br w:val="nil"/>
              <w:tr2bl w:val="nil"/>
            </w:tcBorders>
            <w:shd w:val="clear" w:color="auto" w:fill="auto"/>
            <w:vAlign w:val="center"/>
          </w:tcPr>
          <w:p w14:paraId="4A168C6E">
            <w:pPr>
              <w:pStyle w:val="180"/>
              <w:spacing w:line="240" w:lineRule="auto"/>
              <w:rPr>
                <w:rFonts w:hint="eastAsia" w:eastAsia="宋体"/>
                <w:color w:val="000000" w:themeColor="text1"/>
                <w:lang w:eastAsia="zh-CN"/>
                <w14:textFill>
                  <w14:solidFill>
                    <w14:schemeClr w14:val="tx1"/>
                  </w14:solidFill>
                </w14:textFill>
              </w:rPr>
            </w:pPr>
          </w:p>
        </w:tc>
        <w:tc>
          <w:tcPr>
            <w:tcW w:w="1872" w:type="dxa"/>
            <w:tcBorders>
              <w:tl2br w:val="nil"/>
              <w:tr2bl w:val="nil"/>
            </w:tcBorders>
            <w:shd w:val="clear" w:color="auto" w:fill="auto"/>
            <w:vAlign w:val="center"/>
          </w:tcPr>
          <w:p w14:paraId="1EED8BF9">
            <w:pPr>
              <w:pStyle w:val="180"/>
              <w:spacing w:line="240" w:lineRule="auto"/>
              <w:ind w:firstLine="0" w:firstLineChars="0"/>
              <w:rPr>
                <w:rFonts w:hint="eastAsia" w:ascii="宋体" w:hAnsi="宋体" w:eastAsia="宋体" w:cs="Times New Roman"/>
                <w:color w:val="000000" w:themeColor="text1"/>
                <w:sz w:val="18"/>
                <w:lang w:val="en-US" w:eastAsia="zh-CN" w:bidi="ar-SA"/>
                <w14:textFill>
                  <w14:solidFill>
                    <w14:schemeClr w14:val="tx1"/>
                  </w14:solidFill>
                </w14:textFill>
              </w:rPr>
            </w:pPr>
            <w:r>
              <w:rPr>
                <w:rFonts w:hint="eastAsia" w:hAnsi="宋体"/>
                <w:color w:val="000000" w:themeColor="text1"/>
                <w:lang w:val="en-US" w:eastAsia="zh-CN"/>
                <w14:textFill>
                  <w14:solidFill>
                    <w14:schemeClr w14:val="tx1"/>
                  </w14:solidFill>
                </w14:textFill>
              </w:rPr>
              <w:t>A级品</w:t>
            </w:r>
          </w:p>
        </w:tc>
        <w:tc>
          <w:tcPr>
            <w:tcW w:w="1872" w:type="dxa"/>
            <w:tcBorders>
              <w:tl2br w:val="nil"/>
              <w:tr2bl w:val="nil"/>
            </w:tcBorders>
            <w:shd w:val="clear" w:color="auto" w:fill="auto"/>
            <w:vAlign w:val="center"/>
          </w:tcPr>
          <w:p w14:paraId="00EDBCB8">
            <w:pPr>
              <w:pStyle w:val="180"/>
              <w:spacing w:line="240" w:lineRule="auto"/>
              <w:ind w:firstLine="0" w:firstLineChars="0"/>
              <w:rPr>
                <w:rFonts w:hint="eastAsia" w:ascii="宋体" w:hAnsi="宋体" w:eastAsia="宋体" w:cs="Times New Roman"/>
                <w:color w:val="000000" w:themeColor="text1"/>
                <w:sz w:val="18"/>
                <w:lang w:val="en-US" w:eastAsia="zh-CN" w:bidi="ar-SA"/>
                <w14:textFill>
                  <w14:solidFill>
                    <w14:schemeClr w14:val="tx1"/>
                  </w14:solidFill>
                </w14:textFill>
              </w:rPr>
            </w:pPr>
            <w:r>
              <w:rPr>
                <w:rFonts w:hint="eastAsia" w:hAnsi="宋体"/>
                <w:color w:val="000000" w:themeColor="text1"/>
                <w:lang w:val="en-US" w:eastAsia="zh-CN"/>
                <w14:textFill>
                  <w14:solidFill>
                    <w14:schemeClr w14:val="tx1"/>
                  </w14:solidFill>
                </w14:textFill>
              </w:rPr>
              <w:t>B级品</w:t>
            </w:r>
          </w:p>
        </w:tc>
        <w:tc>
          <w:tcPr>
            <w:tcW w:w="1872" w:type="dxa"/>
            <w:tcBorders>
              <w:tl2br w:val="nil"/>
              <w:tr2bl w:val="nil"/>
            </w:tcBorders>
            <w:shd w:val="clear" w:color="auto" w:fill="auto"/>
            <w:vAlign w:val="center"/>
          </w:tcPr>
          <w:p w14:paraId="7F00D404">
            <w:pPr>
              <w:pStyle w:val="180"/>
              <w:spacing w:line="240" w:lineRule="auto"/>
              <w:ind w:firstLine="0" w:firstLineChars="0"/>
              <w:rPr>
                <w:rFonts w:hint="eastAsia" w:ascii="宋体" w:hAnsi="宋体" w:eastAsia="宋体" w:cs="Times New Roman"/>
                <w:color w:val="000000" w:themeColor="text1"/>
                <w:sz w:val="18"/>
                <w:lang w:val="en-US" w:eastAsia="zh-CN" w:bidi="ar-SA"/>
                <w14:textFill>
                  <w14:solidFill>
                    <w14:schemeClr w14:val="tx1"/>
                  </w14:solidFill>
                </w14:textFill>
              </w:rPr>
            </w:pPr>
            <w:r>
              <w:rPr>
                <w:rFonts w:hint="eastAsia" w:hAnsi="宋体"/>
                <w:color w:val="000000" w:themeColor="text1"/>
                <w:lang w:val="en-US" w:eastAsia="zh-CN"/>
                <w14:textFill>
                  <w14:solidFill>
                    <w14:schemeClr w14:val="tx1"/>
                  </w14:solidFill>
                </w14:textFill>
              </w:rPr>
              <w:t>C级品</w:t>
            </w:r>
          </w:p>
        </w:tc>
      </w:tr>
      <w:tr w14:paraId="400E9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10" w:type="dxa"/>
            <w:tcBorders>
              <w:tl2br w:val="nil"/>
              <w:tr2bl w:val="nil"/>
            </w:tcBorders>
            <w:shd w:val="clear" w:color="auto" w:fill="auto"/>
            <w:vAlign w:val="center"/>
          </w:tcPr>
          <w:p w14:paraId="54156A3C">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t xml:space="preserve">B10 </w:t>
            </w:r>
          </w:p>
        </w:tc>
        <w:tc>
          <w:tcPr>
            <w:tcW w:w="2433" w:type="dxa"/>
            <w:tcBorders>
              <w:tl2br w:val="nil"/>
              <w:tr2bl w:val="nil"/>
            </w:tcBorders>
            <w:shd w:val="clear" w:color="auto" w:fill="auto"/>
            <w:vAlign w:val="center"/>
          </w:tcPr>
          <w:p w14:paraId="3D55F92D">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spacing w:val="0"/>
                <w:position w:val="0"/>
                <w:sz w:val="18"/>
                <w:szCs w:val="18"/>
                <w:highlight w:val="none"/>
                <w:vertAlign w:val="baseline"/>
                <w:lang w:val="en-US" w:eastAsia="zh-CN"/>
              </w:rPr>
              <w:t>1.6</w:t>
            </w:r>
            <w:r>
              <w:rPr>
                <w:rFonts w:hint="eastAsia" w:ascii="宋体" w:hAnsi="宋体" w:cs="宋体"/>
                <w:spacing w:val="0"/>
                <w:position w:val="0"/>
                <w:sz w:val="18"/>
                <w:szCs w:val="18"/>
                <w:highlight w:val="none"/>
                <w:vertAlign w:val="baseline"/>
                <w:lang w:val="en-US" w:eastAsia="zh-CN"/>
              </w:rPr>
              <w:t>0</w:t>
            </w:r>
            <w:r>
              <w:rPr>
                <w:rFonts w:hint="eastAsia" w:ascii="宋体" w:hAnsi="宋体" w:eastAsia="宋体" w:cs="宋体"/>
                <w:spacing w:val="0"/>
                <w:position w:val="0"/>
                <w:sz w:val="18"/>
                <w:szCs w:val="18"/>
                <w:highlight w:val="none"/>
                <w:vertAlign w:val="baseline"/>
                <w:lang w:val="en-US" w:eastAsia="zh-CN"/>
              </w:rPr>
              <w:t>*10</w:t>
            </w:r>
            <w:r>
              <w:rPr>
                <w:rFonts w:hint="eastAsia" w:ascii="宋体" w:hAnsi="宋体" w:eastAsia="宋体" w:cs="宋体"/>
                <w:spacing w:val="0"/>
                <w:position w:val="0"/>
                <w:sz w:val="18"/>
                <w:szCs w:val="18"/>
                <w:highlight w:val="none"/>
                <w:vertAlign w:val="superscript"/>
                <w:lang w:val="en-US" w:eastAsia="zh-CN"/>
              </w:rPr>
              <w:t>21</w:t>
            </w:r>
          </w:p>
        </w:tc>
        <w:tc>
          <w:tcPr>
            <w:tcW w:w="1872" w:type="dxa"/>
            <w:vMerge w:val="restart"/>
            <w:tcBorders>
              <w:tl2br w:val="nil"/>
              <w:tr2bl w:val="nil"/>
            </w:tcBorders>
            <w:shd w:val="clear" w:color="auto" w:fill="auto"/>
            <w:vAlign w:val="center"/>
          </w:tcPr>
          <w:p w14:paraId="52B97F1D">
            <w:pPr>
              <w:pStyle w:val="180"/>
              <w:spacing w:line="240" w:lineRule="auto"/>
              <w:rPr>
                <w:rFonts w:hint="eastAsia"/>
                <w:color w:val="000000" w:themeColor="text1"/>
                <w14:textFill>
                  <w14:solidFill>
                    <w14:schemeClr w14:val="tx1"/>
                  </w14:solidFill>
                </w14:textFill>
              </w:rPr>
            </w:pPr>
            <w:r>
              <w:rPr>
                <w:rFonts w:hint="eastAsia"/>
                <w:color w:val="auto"/>
                <w:highlight w:val="none"/>
                <w:lang w:val="en-US" w:eastAsia="zh-CN"/>
              </w:rPr>
              <w:t>±5 %</w:t>
            </w:r>
          </w:p>
        </w:tc>
        <w:tc>
          <w:tcPr>
            <w:tcW w:w="1872" w:type="dxa"/>
            <w:vMerge w:val="restart"/>
            <w:tcBorders>
              <w:tl2br w:val="nil"/>
              <w:tr2bl w:val="nil"/>
            </w:tcBorders>
            <w:shd w:val="clear" w:color="auto" w:fill="auto"/>
            <w:vAlign w:val="center"/>
          </w:tcPr>
          <w:p w14:paraId="084818C6">
            <w:pPr>
              <w:pStyle w:val="180"/>
              <w:spacing w:line="240" w:lineRule="auto"/>
              <w:rPr>
                <w:rFonts w:hint="eastAsia"/>
                <w:color w:val="000000" w:themeColor="text1"/>
                <w14:textFill>
                  <w14:solidFill>
                    <w14:schemeClr w14:val="tx1"/>
                  </w14:solidFill>
                </w14:textFill>
              </w:rPr>
            </w:pPr>
            <w:r>
              <w:rPr>
                <w:rFonts w:hint="eastAsia"/>
                <w:color w:val="auto"/>
                <w:highlight w:val="none"/>
                <w:lang w:val="en-US" w:eastAsia="zh-CN"/>
              </w:rPr>
              <w:t>±6 %</w:t>
            </w:r>
          </w:p>
        </w:tc>
        <w:tc>
          <w:tcPr>
            <w:tcW w:w="1872" w:type="dxa"/>
            <w:vMerge w:val="restart"/>
            <w:tcBorders>
              <w:tl2br w:val="nil"/>
              <w:tr2bl w:val="nil"/>
            </w:tcBorders>
            <w:shd w:val="clear" w:color="auto" w:fill="auto"/>
            <w:vAlign w:val="center"/>
          </w:tcPr>
          <w:p w14:paraId="5F7097BA">
            <w:pPr>
              <w:pStyle w:val="180"/>
              <w:spacing w:line="240" w:lineRule="auto"/>
              <w:rPr>
                <w:rFonts w:hint="eastAsia"/>
                <w:color w:val="000000" w:themeColor="text1"/>
                <w14:textFill>
                  <w14:solidFill>
                    <w14:schemeClr w14:val="tx1"/>
                  </w14:solidFill>
                </w14:textFill>
              </w:rPr>
            </w:pPr>
            <w:r>
              <w:rPr>
                <w:rFonts w:hint="eastAsia"/>
                <w:color w:val="auto"/>
                <w:highlight w:val="none"/>
                <w:lang w:val="en-US" w:eastAsia="zh-CN"/>
              </w:rPr>
              <w:t>±10 %</w:t>
            </w:r>
          </w:p>
        </w:tc>
      </w:tr>
      <w:tr w14:paraId="41259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10" w:type="dxa"/>
            <w:tcBorders>
              <w:tl2br w:val="nil"/>
              <w:tr2bl w:val="nil"/>
            </w:tcBorders>
            <w:shd w:val="clear" w:color="auto" w:fill="auto"/>
            <w:vAlign w:val="center"/>
          </w:tcPr>
          <w:p w14:paraId="6E921AEF">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t>B20</w:t>
            </w:r>
          </w:p>
        </w:tc>
        <w:tc>
          <w:tcPr>
            <w:tcW w:w="2433" w:type="dxa"/>
            <w:tcBorders>
              <w:tl2br w:val="nil"/>
              <w:tr2bl w:val="nil"/>
            </w:tcBorders>
            <w:shd w:val="clear" w:color="auto" w:fill="auto"/>
            <w:vAlign w:val="center"/>
          </w:tcPr>
          <w:p w14:paraId="232329B8">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cs="宋体"/>
                <w:spacing w:val="0"/>
                <w:position w:val="0"/>
                <w:sz w:val="18"/>
                <w:szCs w:val="18"/>
                <w:highlight w:val="none"/>
                <w:vertAlign w:val="baseline"/>
                <w:lang w:val="en-US" w:eastAsia="zh-CN"/>
              </w:rPr>
              <w:t>2.0</w:t>
            </w:r>
            <w:r>
              <w:rPr>
                <w:rFonts w:hint="eastAsia" w:ascii="宋体" w:hAnsi="宋体" w:eastAsia="宋体" w:cs="宋体"/>
                <w:spacing w:val="0"/>
                <w:position w:val="0"/>
                <w:sz w:val="18"/>
                <w:szCs w:val="18"/>
                <w:highlight w:val="none"/>
                <w:vertAlign w:val="baseline"/>
                <w:lang w:val="en-US" w:eastAsia="zh-CN"/>
              </w:rPr>
              <w:t>4*10</w:t>
            </w:r>
            <w:r>
              <w:rPr>
                <w:rFonts w:hint="eastAsia" w:ascii="宋体" w:hAnsi="宋体" w:eastAsia="宋体" w:cs="宋体"/>
                <w:spacing w:val="0"/>
                <w:position w:val="0"/>
                <w:sz w:val="18"/>
                <w:szCs w:val="18"/>
                <w:highlight w:val="none"/>
                <w:vertAlign w:val="superscript"/>
                <w:lang w:val="en-US" w:eastAsia="zh-CN"/>
              </w:rPr>
              <w:t>21</w:t>
            </w:r>
          </w:p>
        </w:tc>
        <w:tc>
          <w:tcPr>
            <w:tcW w:w="1872" w:type="dxa"/>
            <w:vMerge w:val="continue"/>
            <w:tcBorders>
              <w:tl2br w:val="nil"/>
              <w:tr2bl w:val="nil"/>
            </w:tcBorders>
            <w:shd w:val="clear" w:color="auto" w:fill="auto"/>
            <w:vAlign w:val="center"/>
          </w:tcPr>
          <w:p w14:paraId="3F983719">
            <w:pPr>
              <w:pStyle w:val="180"/>
              <w:spacing w:line="240" w:lineRule="auto"/>
              <w:rPr>
                <w:rFonts w:hint="eastAsia"/>
                <w:color w:val="000000" w:themeColor="text1"/>
                <w14:textFill>
                  <w14:solidFill>
                    <w14:schemeClr w14:val="tx1"/>
                  </w14:solidFill>
                </w14:textFill>
              </w:rPr>
            </w:pPr>
          </w:p>
        </w:tc>
        <w:tc>
          <w:tcPr>
            <w:tcW w:w="1872" w:type="dxa"/>
            <w:vMerge w:val="continue"/>
            <w:tcBorders>
              <w:tl2br w:val="nil"/>
              <w:tr2bl w:val="nil"/>
            </w:tcBorders>
            <w:shd w:val="clear" w:color="auto" w:fill="auto"/>
            <w:vAlign w:val="center"/>
          </w:tcPr>
          <w:p w14:paraId="696B4138">
            <w:pPr>
              <w:pStyle w:val="180"/>
              <w:spacing w:line="240" w:lineRule="auto"/>
              <w:rPr>
                <w:rFonts w:hint="eastAsia"/>
                <w:color w:val="000000" w:themeColor="text1"/>
                <w14:textFill>
                  <w14:solidFill>
                    <w14:schemeClr w14:val="tx1"/>
                  </w14:solidFill>
                </w14:textFill>
              </w:rPr>
            </w:pPr>
          </w:p>
        </w:tc>
        <w:tc>
          <w:tcPr>
            <w:tcW w:w="1872" w:type="dxa"/>
            <w:vMerge w:val="continue"/>
            <w:tcBorders>
              <w:tl2br w:val="nil"/>
              <w:tr2bl w:val="nil"/>
            </w:tcBorders>
            <w:shd w:val="clear" w:color="auto" w:fill="auto"/>
            <w:vAlign w:val="center"/>
          </w:tcPr>
          <w:p w14:paraId="183CCE27">
            <w:pPr>
              <w:pStyle w:val="180"/>
              <w:spacing w:line="240" w:lineRule="auto"/>
              <w:rPr>
                <w:rFonts w:hint="eastAsia"/>
                <w:color w:val="000000" w:themeColor="text1"/>
                <w14:textFill>
                  <w14:solidFill>
                    <w14:schemeClr w14:val="tx1"/>
                  </w14:solidFill>
                </w14:textFill>
              </w:rPr>
            </w:pPr>
          </w:p>
        </w:tc>
      </w:tr>
      <w:tr w14:paraId="1C0651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10" w:type="dxa"/>
            <w:tcBorders>
              <w:tl2br w:val="nil"/>
              <w:tr2bl w:val="nil"/>
            </w:tcBorders>
            <w:shd w:val="clear" w:color="auto" w:fill="auto"/>
            <w:vAlign w:val="center"/>
          </w:tcPr>
          <w:p w14:paraId="0A527CD1">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t>B30</w:t>
            </w:r>
          </w:p>
        </w:tc>
        <w:tc>
          <w:tcPr>
            <w:tcW w:w="2433" w:type="dxa"/>
            <w:tcBorders>
              <w:tl2br w:val="nil"/>
              <w:tr2bl w:val="nil"/>
            </w:tcBorders>
            <w:shd w:val="clear" w:color="auto" w:fill="auto"/>
            <w:vAlign w:val="center"/>
          </w:tcPr>
          <w:p w14:paraId="719E416D">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spacing w:val="0"/>
                <w:position w:val="0"/>
                <w:sz w:val="18"/>
                <w:szCs w:val="18"/>
                <w:highlight w:val="none"/>
                <w:vertAlign w:val="baseline"/>
                <w:lang w:val="en-US" w:eastAsia="zh-CN"/>
              </w:rPr>
              <w:t>3.0</w:t>
            </w:r>
            <w:r>
              <w:rPr>
                <w:rFonts w:hint="eastAsia" w:ascii="宋体" w:hAnsi="宋体" w:cs="宋体"/>
                <w:spacing w:val="0"/>
                <w:position w:val="0"/>
                <w:sz w:val="18"/>
                <w:szCs w:val="18"/>
                <w:highlight w:val="none"/>
                <w:vertAlign w:val="baseline"/>
                <w:lang w:val="en-US" w:eastAsia="zh-CN"/>
              </w:rPr>
              <w:t>8</w:t>
            </w:r>
            <w:r>
              <w:rPr>
                <w:rFonts w:hint="eastAsia" w:ascii="宋体" w:hAnsi="宋体" w:eastAsia="宋体" w:cs="宋体"/>
                <w:spacing w:val="0"/>
                <w:position w:val="0"/>
                <w:sz w:val="18"/>
                <w:szCs w:val="18"/>
                <w:highlight w:val="none"/>
                <w:vertAlign w:val="baseline"/>
                <w:lang w:val="en-US" w:eastAsia="zh-CN"/>
              </w:rPr>
              <w:t>*10</w:t>
            </w:r>
            <w:r>
              <w:rPr>
                <w:rFonts w:hint="eastAsia" w:ascii="宋体" w:hAnsi="宋体" w:eastAsia="宋体" w:cs="宋体"/>
                <w:spacing w:val="0"/>
                <w:position w:val="0"/>
                <w:sz w:val="18"/>
                <w:szCs w:val="18"/>
                <w:highlight w:val="none"/>
                <w:vertAlign w:val="superscript"/>
                <w:lang w:val="en-US" w:eastAsia="zh-CN"/>
              </w:rPr>
              <w:t>21</w:t>
            </w:r>
          </w:p>
        </w:tc>
        <w:tc>
          <w:tcPr>
            <w:tcW w:w="1872" w:type="dxa"/>
            <w:vMerge w:val="continue"/>
            <w:tcBorders>
              <w:tl2br w:val="nil"/>
              <w:tr2bl w:val="nil"/>
            </w:tcBorders>
            <w:shd w:val="clear" w:color="auto" w:fill="auto"/>
            <w:vAlign w:val="center"/>
          </w:tcPr>
          <w:p w14:paraId="12B78996">
            <w:pPr>
              <w:pStyle w:val="180"/>
              <w:spacing w:line="240" w:lineRule="auto"/>
              <w:rPr>
                <w:rFonts w:hint="eastAsia"/>
                <w:color w:val="000000" w:themeColor="text1"/>
                <w14:textFill>
                  <w14:solidFill>
                    <w14:schemeClr w14:val="tx1"/>
                  </w14:solidFill>
                </w14:textFill>
              </w:rPr>
            </w:pPr>
          </w:p>
        </w:tc>
        <w:tc>
          <w:tcPr>
            <w:tcW w:w="1872" w:type="dxa"/>
            <w:vMerge w:val="continue"/>
            <w:tcBorders>
              <w:tl2br w:val="nil"/>
              <w:tr2bl w:val="nil"/>
            </w:tcBorders>
            <w:shd w:val="clear" w:color="auto" w:fill="auto"/>
            <w:vAlign w:val="center"/>
          </w:tcPr>
          <w:p w14:paraId="235DD52F">
            <w:pPr>
              <w:pStyle w:val="180"/>
              <w:spacing w:line="240" w:lineRule="auto"/>
              <w:rPr>
                <w:rFonts w:hint="eastAsia"/>
                <w:color w:val="000000" w:themeColor="text1"/>
                <w14:textFill>
                  <w14:solidFill>
                    <w14:schemeClr w14:val="tx1"/>
                  </w14:solidFill>
                </w14:textFill>
              </w:rPr>
            </w:pPr>
          </w:p>
        </w:tc>
        <w:tc>
          <w:tcPr>
            <w:tcW w:w="1872" w:type="dxa"/>
            <w:vMerge w:val="continue"/>
            <w:tcBorders>
              <w:tl2br w:val="nil"/>
              <w:tr2bl w:val="nil"/>
            </w:tcBorders>
            <w:shd w:val="clear" w:color="auto" w:fill="auto"/>
            <w:vAlign w:val="center"/>
          </w:tcPr>
          <w:p w14:paraId="5C21EEC2">
            <w:pPr>
              <w:pStyle w:val="180"/>
              <w:spacing w:line="240" w:lineRule="auto"/>
              <w:rPr>
                <w:rFonts w:hint="eastAsia"/>
                <w:color w:val="000000" w:themeColor="text1"/>
                <w14:textFill>
                  <w14:solidFill>
                    <w14:schemeClr w14:val="tx1"/>
                  </w14:solidFill>
                </w14:textFill>
              </w:rPr>
            </w:pPr>
          </w:p>
        </w:tc>
      </w:tr>
      <w:tr w14:paraId="329A4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10" w:type="dxa"/>
            <w:tcBorders>
              <w:tl2br w:val="nil"/>
              <w:tr2bl w:val="nil"/>
            </w:tcBorders>
            <w:shd w:val="clear" w:color="auto" w:fill="auto"/>
            <w:vAlign w:val="center"/>
          </w:tcPr>
          <w:p w14:paraId="3851C426">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t>B40</w:t>
            </w:r>
          </w:p>
        </w:tc>
        <w:tc>
          <w:tcPr>
            <w:tcW w:w="2433" w:type="dxa"/>
            <w:tcBorders>
              <w:tl2br w:val="nil"/>
              <w:tr2bl w:val="nil"/>
            </w:tcBorders>
            <w:shd w:val="clear" w:color="auto" w:fill="auto"/>
            <w:vAlign w:val="center"/>
          </w:tcPr>
          <w:p w14:paraId="4FD3860E">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spacing w:val="0"/>
                <w:position w:val="0"/>
                <w:sz w:val="18"/>
                <w:szCs w:val="18"/>
                <w:highlight w:val="none"/>
                <w:vertAlign w:val="baseline"/>
                <w:lang w:val="en-US" w:eastAsia="zh-CN"/>
              </w:rPr>
              <w:t>4.</w:t>
            </w:r>
            <w:r>
              <w:rPr>
                <w:rFonts w:hint="eastAsia" w:ascii="宋体" w:hAnsi="宋体" w:cs="宋体"/>
                <w:spacing w:val="0"/>
                <w:position w:val="0"/>
                <w:sz w:val="18"/>
                <w:szCs w:val="18"/>
                <w:highlight w:val="none"/>
                <w:vertAlign w:val="baseline"/>
                <w:lang w:val="en-US" w:eastAsia="zh-CN"/>
              </w:rPr>
              <w:t>55</w:t>
            </w:r>
            <w:r>
              <w:rPr>
                <w:rFonts w:hint="eastAsia" w:ascii="宋体" w:hAnsi="宋体" w:eastAsia="宋体" w:cs="宋体"/>
                <w:spacing w:val="0"/>
                <w:position w:val="0"/>
                <w:sz w:val="18"/>
                <w:szCs w:val="18"/>
                <w:highlight w:val="none"/>
                <w:vertAlign w:val="baseline"/>
                <w:lang w:val="en-US" w:eastAsia="zh-CN"/>
              </w:rPr>
              <w:t>*10</w:t>
            </w:r>
            <w:r>
              <w:rPr>
                <w:rFonts w:hint="eastAsia" w:ascii="宋体" w:hAnsi="宋体" w:eastAsia="宋体" w:cs="宋体"/>
                <w:spacing w:val="0"/>
                <w:position w:val="0"/>
                <w:sz w:val="18"/>
                <w:szCs w:val="18"/>
                <w:highlight w:val="none"/>
                <w:vertAlign w:val="superscript"/>
                <w:lang w:val="en-US" w:eastAsia="zh-CN"/>
              </w:rPr>
              <w:t>21</w:t>
            </w:r>
          </w:p>
        </w:tc>
        <w:tc>
          <w:tcPr>
            <w:tcW w:w="1872" w:type="dxa"/>
            <w:vMerge w:val="continue"/>
            <w:tcBorders>
              <w:tl2br w:val="nil"/>
              <w:tr2bl w:val="nil"/>
            </w:tcBorders>
            <w:shd w:val="clear" w:color="auto" w:fill="auto"/>
            <w:vAlign w:val="center"/>
          </w:tcPr>
          <w:p w14:paraId="03D67536">
            <w:pPr>
              <w:pStyle w:val="180"/>
              <w:spacing w:line="240" w:lineRule="auto"/>
              <w:rPr>
                <w:rFonts w:hint="eastAsia"/>
                <w:color w:val="000000" w:themeColor="text1"/>
                <w14:textFill>
                  <w14:solidFill>
                    <w14:schemeClr w14:val="tx1"/>
                  </w14:solidFill>
                </w14:textFill>
              </w:rPr>
            </w:pPr>
          </w:p>
        </w:tc>
        <w:tc>
          <w:tcPr>
            <w:tcW w:w="1872" w:type="dxa"/>
            <w:vMerge w:val="continue"/>
            <w:tcBorders>
              <w:tl2br w:val="nil"/>
              <w:tr2bl w:val="nil"/>
            </w:tcBorders>
            <w:shd w:val="clear" w:color="auto" w:fill="auto"/>
            <w:vAlign w:val="center"/>
          </w:tcPr>
          <w:p w14:paraId="616F88EF">
            <w:pPr>
              <w:pStyle w:val="180"/>
              <w:spacing w:line="240" w:lineRule="auto"/>
              <w:rPr>
                <w:rFonts w:hint="eastAsia"/>
                <w:color w:val="000000" w:themeColor="text1"/>
                <w14:textFill>
                  <w14:solidFill>
                    <w14:schemeClr w14:val="tx1"/>
                  </w14:solidFill>
                </w14:textFill>
              </w:rPr>
            </w:pPr>
          </w:p>
        </w:tc>
        <w:tc>
          <w:tcPr>
            <w:tcW w:w="1872" w:type="dxa"/>
            <w:vMerge w:val="continue"/>
            <w:tcBorders>
              <w:tl2br w:val="nil"/>
              <w:tr2bl w:val="nil"/>
            </w:tcBorders>
            <w:shd w:val="clear" w:color="auto" w:fill="auto"/>
            <w:vAlign w:val="center"/>
          </w:tcPr>
          <w:p w14:paraId="21827F03">
            <w:pPr>
              <w:pStyle w:val="180"/>
              <w:spacing w:line="240" w:lineRule="auto"/>
              <w:rPr>
                <w:rFonts w:hint="eastAsia"/>
                <w:color w:val="000000" w:themeColor="text1"/>
                <w14:textFill>
                  <w14:solidFill>
                    <w14:schemeClr w14:val="tx1"/>
                  </w14:solidFill>
                </w14:textFill>
              </w:rPr>
            </w:pPr>
          </w:p>
        </w:tc>
      </w:tr>
    </w:tbl>
    <w:p w14:paraId="4EC0FEBB">
      <w:pPr>
        <w:pStyle w:val="107"/>
        <w:spacing w:before="120" w:after="120"/>
      </w:pPr>
      <w:r>
        <w:rPr>
          <w:rFonts w:hint="eastAsia"/>
        </w:rPr>
        <w:t>浓度分布均匀度</w:t>
      </w:r>
    </w:p>
    <w:p w14:paraId="7DAB86D2">
      <w:pPr>
        <w:pStyle w:val="58"/>
        <w:ind w:firstLine="420"/>
        <w:rPr>
          <w:rFonts w:hint="eastAsia"/>
        </w:rPr>
      </w:pPr>
      <w:r>
        <w:rPr>
          <w:rFonts w:hint="eastAsia"/>
        </w:rPr>
        <w:t>扩散膜浓度</w:t>
      </w:r>
      <w:r>
        <w:rPr>
          <w:rFonts w:hint="eastAsia"/>
          <w:lang w:eastAsia="zh-CN"/>
        </w:rPr>
        <w:t>分布</w:t>
      </w:r>
      <w:r>
        <w:rPr>
          <w:rFonts w:hint="eastAsia"/>
        </w:rPr>
        <w:t>均匀性误差</w:t>
      </w:r>
      <w:r>
        <w:rPr>
          <w:rFonts w:hint="eastAsia"/>
          <w:lang w:val="en-US" w:eastAsia="zh-CN"/>
        </w:rPr>
        <w:t>应</w:t>
      </w:r>
      <w:r>
        <w:rPr>
          <w:rFonts w:hint="eastAsia"/>
        </w:rPr>
        <w:t>小于15</w:t>
      </w:r>
      <w:r>
        <w:rPr>
          <w:rFonts w:hint="eastAsia"/>
          <w:lang w:val="en-US" w:eastAsia="zh-CN"/>
        </w:rPr>
        <w:t xml:space="preserve"> </w:t>
      </w:r>
      <w:r>
        <w:rPr>
          <w:rFonts w:hint="eastAsia"/>
        </w:rPr>
        <w:t>%。更高均匀度的要求，由供需双方协商确定并在订货单中注明。</w:t>
      </w:r>
    </w:p>
    <w:p w14:paraId="2ADC0874">
      <w:pPr>
        <w:pStyle w:val="106"/>
        <w:spacing w:before="240" w:after="240"/>
        <w:rPr>
          <w:rFonts w:hint="eastAsia"/>
        </w:rPr>
      </w:pPr>
      <w:r>
        <w:rPr>
          <w:rFonts w:hint="eastAsia"/>
        </w:rPr>
        <w:t>试验方法</w:t>
      </w:r>
    </w:p>
    <w:p w14:paraId="56D6A6E6">
      <w:pPr>
        <w:pStyle w:val="107"/>
        <w:spacing w:before="120" w:after="120"/>
        <w:rPr>
          <w:rFonts w:hint="eastAsia"/>
        </w:rPr>
      </w:pPr>
      <w:r>
        <w:rPr>
          <w:rFonts w:hint="eastAsia"/>
          <w:lang w:val="en-US" w:eastAsia="zh-CN"/>
        </w:rPr>
        <w:t>表面质量</w:t>
      </w:r>
    </w:p>
    <w:p w14:paraId="21C18760">
      <w:pPr>
        <w:pStyle w:val="58"/>
        <w:ind w:firstLine="420"/>
        <w:rPr>
          <w:rFonts w:hint="eastAsia"/>
          <w:lang w:val="en-US" w:eastAsia="zh-CN"/>
        </w:rPr>
      </w:pPr>
      <w:r>
        <w:rPr>
          <w:rFonts w:hint="eastAsia"/>
          <w:lang w:val="en-US" w:eastAsia="zh-CN"/>
        </w:rPr>
        <w:t>自然光下目视检查。</w:t>
      </w:r>
    </w:p>
    <w:p w14:paraId="37CF08BC">
      <w:pPr>
        <w:pStyle w:val="107"/>
        <w:spacing w:before="120" w:after="120"/>
        <w:rPr>
          <w:rFonts w:hint="eastAsia"/>
        </w:rPr>
      </w:pPr>
      <w:r>
        <w:rPr>
          <w:rFonts w:hint="eastAsia"/>
          <w:lang w:val="en-US" w:eastAsia="zh-CN"/>
        </w:rPr>
        <w:t>颜色</w:t>
      </w:r>
    </w:p>
    <w:p w14:paraId="67851B53">
      <w:pPr>
        <w:pStyle w:val="58"/>
        <w:ind w:firstLine="420"/>
        <w:rPr>
          <w:rFonts w:hint="eastAsia"/>
          <w:lang w:val="en-US" w:eastAsia="zh-CN"/>
        </w:rPr>
      </w:pPr>
      <w:r>
        <w:rPr>
          <w:rFonts w:hint="eastAsia"/>
          <w:lang w:val="en-US" w:eastAsia="zh-CN"/>
        </w:rPr>
        <w:t>自然光下目视检查。</w:t>
      </w:r>
    </w:p>
    <w:p w14:paraId="4EB5F8FE">
      <w:pPr>
        <w:pStyle w:val="107"/>
        <w:spacing w:before="120" w:after="120"/>
        <w:rPr>
          <w:rFonts w:hint="eastAsia"/>
        </w:rPr>
      </w:pPr>
      <w:r>
        <w:rPr>
          <w:rFonts w:hint="eastAsia"/>
          <w:lang w:val="en-US" w:eastAsia="zh-CN"/>
        </w:rPr>
        <w:t>尺寸偏差</w:t>
      </w:r>
    </w:p>
    <w:p w14:paraId="54D4E68D">
      <w:pPr>
        <w:pStyle w:val="58"/>
        <w:ind w:firstLine="420"/>
        <w:rPr>
          <w:rFonts w:hint="eastAsia"/>
        </w:rPr>
      </w:pPr>
      <w:r>
        <w:rPr>
          <w:rFonts w:hint="eastAsia"/>
        </w:rPr>
        <w:t>用分度值为0.5</w:t>
      </w:r>
      <w:r>
        <w:rPr>
          <w:rFonts w:hint="eastAsia"/>
          <w:lang w:val="en-US" w:eastAsia="zh-CN"/>
        </w:rPr>
        <w:t xml:space="preserve"> </w:t>
      </w:r>
      <w:r>
        <w:rPr>
          <w:rFonts w:hint="eastAsia"/>
        </w:rPr>
        <w:t>mm的直尺测量。</w:t>
      </w:r>
    </w:p>
    <w:p w14:paraId="6CD92DC6">
      <w:pPr>
        <w:pStyle w:val="107"/>
        <w:spacing w:before="120" w:after="120"/>
        <w:rPr>
          <w:rFonts w:hint="eastAsia"/>
          <w:highlight w:val="none"/>
        </w:rPr>
      </w:pPr>
      <w:r>
        <w:rPr>
          <w:rFonts w:hint="eastAsia"/>
          <w:highlight w:val="none"/>
          <w:lang w:val="en-US" w:eastAsia="zh-CN"/>
        </w:rPr>
        <w:t>扩散膜主元素浓度</w:t>
      </w:r>
    </w:p>
    <w:p w14:paraId="279F64CB">
      <w:pPr>
        <w:pStyle w:val="167"/>
        <w:numPr>
          <w:ilvl w:val="3"/>
          <w:numId w:val="0"/>
        </w:numPr>
        <w:ind w:leftChars="0" w:firstLine="420" w:firstLineChars="200"/>
      </w:pPr>
      <w:r>
        <w:rPr>
          <w:rFonts w:hint="eastAsia"/>
          <w:lang w:val="en-US" w:eastAsia="zh-CN"/>
        </w:rPr>
        <w:t>使用</w:t>
      </w:r>
      <w:r>
        <w:t>电子分析天平</w:t>
      </w:r>
      <w:r>
        <w:rPr>
          <w:rFonts w:hint="eastAsia" w:hAnsi="宋体" w:cs="宋体"/>
        </w:rPr>
        <w:t>准确</w:t>
      </w:r>
      <w:r>
        <w:rPr>
          <w:rFonts w:hint="eastAsia" w:hAnsi="宋体" w:cs="宋体"/>
          <w:lang w:val="en-US" w:eastAsia="zh-CN"/>
        </w:rPr>
        <w:t>测量扩散膜试样（以下简称试样）质量（m）</w:t>
      </w:r>
      <w:r>
        <w:rPr>
          <w:rFonts w:hint="eastAsia" w:hAnsi="宋体" w:cs="宋体"/>
        </w:rPr>
        <w:t>（精确到0.</w:t>
      </w:r>
      <w:r>
        <w:rPr>
          <w:rFonts w:hint="eastAsia" w:hAnsi="宋体" w:cs="宋体"/>
          <w:lang w:val="en-US" w:eastAsia="zh-CN"/>
        </w:rPr>
        <w:t>0</w:t>
      </w:r>
      <w:r>
        <w:rPr>
          <w:rFonts w:hint="eastAsia" w:hAnsi="宋体" w:cs="宋体"/>
        </w:rPr>
        <w:t>1 g）</w:t>
      </w:r>
      <w:r>
        <w:rPr>
          <w:rFonts w:hint="eastAsia" w:hAnsi="宋体" w:cs="宋体"/>
          <w:lang w:eastAsia="zh-CN"/>
        </w:rPr>
        <w:t>，</w:t>
      </w:r>
      <w:r>
        <w:rPr>
          <w:rFonts w:hint="eastAsia" w:hAnsi="宋体" w:cs="宋体"/>
          <w:lang w:val="en-US" w:eastAsia="zh-CN"/>
        </w:rPr>
        <w:t>使用直尺测量试样直径（d）（精确到0.01cm）和厚度（T）（精确到0.001cm），按照</w:t>
      </w:r>
      <w:r>
        <w:rPr>
          <w:rFonts w:hint="eastAsia" w:hAnsi="宋体"/>
          <w:color w:val="000000"/>
          <w:sz w:val="21"/>
          <w:szCs w:val="21"/>
          <w:highlight w:val="none"/>
          <w:lang w:val="en-US" w:eastAsia="zh-CN"/>
        </w:rPr>
        <w:t>JY/T 0567—2020的中规定的方法测量试样中主元素质量百分比浓度（C）</w:t>
      </w:r>
      <w:r>
        <w:rPr>
          <w:rFonts w:hint="eastAsia"/>
        </w:rPr>
        <w:t>，</w:t>
      </w:r>
      <w:r>
        <w:rPr>
          <w:rFonts w:hint="eastAsia"/>
          <w:lang w:val="en-US" w:eastAsia="zh-CN"/>
        </w:rPr>
        <w:t>试样中主元素原子浓度（X）以个每立方厘米（个/cm</w:t>
      </w:r>
      <w:r>
        <w:rPr>
          <w:rFonts w:hint="eastAsia"/>
          <w:vertAlign w:val="superscript"/>
          <w:lang w:val="en-US" w:eastAsia="zh-CN"/>
        </w:rPr>
        <w:t>3</w:t>
      </w:r>
      <w:r>
        <w:rPr>
          <w:rFonts w:hint="eastAsia"/>
          <w:lang w:val="en-US" w:eastAsia="zh-CN"/>
        </w:rPr>
        <w:t>）表示，</w:t>
      </w:r>
      <w:r>
        <w:rPr>
          <w:rFonts w:hint="eastAsia"/>
        </w:rPr>
        <w:t>按式（1）计算：</w:t>
      </w:r>
    </w:p>
    <w:p w14:paraId="53BDED3F">
      <w:pPr>
        <w:pStyle w:val="58"/>
        <w:ind w:firstLine="420"/>
        <w:rPr>
          <w:rFonts w:ascii="Times New Roman"/>
        </w:rPr>
      </w:pPr>
    </w:p>
    <w:p w14:paraId="69326187">
      <w:pPr>
        <w:pStyle w:val="115"/>
      </w:pPr>
      <w:r>
        <w:tab/>
      </w:r>
      <m:oMath>
        <m:r>
          <m:rPr>
            <m:sty m:val="p"/>
          </m:rPr>
          <w:rPr>
            <w:rFonts w:ascii="Cambria Math" w:hAnsi="Cambria Math"/>
            <w:sz w:val="24"/>
            <w:szCs w:val="24"/>
          </w:rPr>
          <m:t>X=</m:t>
        </m:r>
        <m:f>
          <m:fPr>
            <m:ctrlPr>
              <w:rPr>
                <w:rFonts w:ascii="Cambria Math" w:hAnsi="Cambria Math"/>
                <w:sz w:val="24"/>
                <w:szCs w:val="24"/>
              </w:rPr>
            </m:ctrlPr>
          </m:fPr>
          <m:num>
            <m:r>
              <m:rPr/>
              <w:rPr>
                <w:rFonts w:hint="default" w:ascii="Cambria Math" w:hAnsi="Cambria Math"/>
                <w:sz w:val="24"/>
                <w:szCs w:val="24"/>
                <w:lang w:val="en-US" w:eastAsia="zh-CN"/>
              </w:rPr>
              <m:t>m</m:t>
            </m:r>
            <m:r>
              <m:rPr/>
              <w:rPr>
                <w:rFonts w:ascii="Cambria Math" w:hAnsi="Cambria Math"/>
                <w:sz w:val="24"/>
                <w:szCs w:val="24"/>
              </w:rPr>
              <m:t>×</m:t>
            </m:r>
            <m:r>
              <m:rPr/>
              <w:rPr>
                <w:rFonts w:hint="default" w:ascii="Cambria Math" w:hAnsi="Cambria Math"/>
                <w:sz w:val="24"/>
                <w:szCs w:val="24"/>
                <w:lang w:val="en-US" w:eastAsia="zh-CN"/>
              </w:rPr>
              <m:t>C</m:t>
            </m:r>
            <m:r>
              <m:rPr/>
              <w:rPr>
                <w:rFonts w:ascii="Cambria Math" w:hAnsi="Cambria Math"/>
                <w:sz w:val="24"/>
                <w:szCs w:val="24"/>
              </w:rPr>
              <m:t>×</m:t>
            </m:r>
            <m:r>
              <m:rPr/>
              <w:rPr>
                <w:rFonts w:hint="default" w:ascii="Cambria Math" w:hAnsi="Cambria Math"/>
                <w:sz w:val="24"/>
                <w:szCs w:val="24"/>
                <w:lang w:val="en-US" w:eastAsia="zh-CN"/>
              </w:rPr>
              <m:t>n</m:t>
            </m:r>
            <m:ctrlPr>
              <w:rPr>
                <w:rFonts w:ascii="Cambria Math" w:hAnsi="Cambria Math"/>
                <w:sz w:val="24"/>
                <w:szCs w:val="24"/>
              </w:rPr>
            </m:ctrlPr>
          </m:num>
          <m:den>
            <m:r>
              <m:rPr/>
              <w:rPr>
                <w:rFonts w:hint="default" w:ascii="Cambria Math" w:hAnsi="Cambria Math" w:cs="Cambria Math"/>
                <w:sz w:val="24"/>
                <w:szCs w:val="24"/>
              </w:rPr>
              <m:t>π</m:t>
            </m:r>
            <m:sSup>
              <m:sSupPr>
                <m:ctrlPr>
                  <w:rPr>
                    <w:rFonts w:hint="default" w:ascii="Cambria Math" w:hAnsi="Cambria Math" w:eastAsia="宋体" w:cs="Cambria Math"/>
                    <w:i/>
                    <w:sz w:val="24"/>
                    <w:szCs w:val="24"/>
                    <w:lang w:val="en-US" w:eastAsia="zh-CN"/>
                  </w:rPr>
                </m:ctrlPr>
              </m:sSupPr>
              <m:e>
                <m:r>
                  <m:rPr/>
                  <w:rPr>
                    <w:rFonts w:hint="default" w:ascii="Cambria Math" w:hAnsi="Cambria Math" w:eastAsia="宋体" w:cs="Cambria Math"/>
                    <w:sz w:val="24"/>
                    <w:szCs w:val="24"/>
                    <w:lang w:val="en-US" w:eastAsia="zh-CN"/>
                  </w:rPr>
                  <m:t>(</m:t>
                </m:r>
                <m:f>
                  <m:fPr>
                    <m:ctrlPr>
                      <w:rPr>
                        <w:rFonts w:hint="default" w:ascii="Cambria Math" w:hAnsi="Cambria Math" w:cs="Cambria Math"/>
                        <w:i/>
                        <w:sz w:val="24"/>
                        <w:szCs w:val="24"/>
                        <w:lang w:val="en-US" w:eastAsia="zh-CN"/>
                      </w:rPr>
                    </m:ctrlPr>
                  </m:fPr>
                  <m:num>
                    <m:r>
                      <m:rPr/>
                      <w:rPr>
                        <w:rFonts w:hint="default" w:ascii="Cambria Math" w:hAnsi="Cambria Math" w:cs="Cambria Math"/>
                        <w:sz w:val="24"/>
                        <w:szCs w:val="24"/>
                        <w:lang w:val="en-US" w:eastAsia="zh-CN"/>
                      </w:rPr>
                      <m:t>1</m:t>
                    </m:r>
                    <m:ctrlPr>
                      <w:rPr>
                        <w:rFonts w:hint="default" w:ascii="Cambria Math" w:hAnsi="Cambria Math" w:cs="Cambria Math"/>
                        <w:i/>
                        <w:sz w:val="24"/>
                        <w:szCs w:val="24"/>
                        <w:lang w:val="en-US" w:eastAsia="zh-CN"/>
                      </w:rPr>
                    </m:ctrlPr>
                  </m:num>
                  <m:den>
                    <m:r>
                      <m:rPr/>
                      <w:rPr>
                        <w:rFonts w:hint="default" w:ascii="Cambria Math" w:hAnsi="Cambria Math" w:cs="Cambria Math"/>
                        <w:sz w:val="24"/>
                        <w:szCs w:val="24"/>
                        <w:lang w:val="en-US" w:eastAsia="zh-CN"/>
                      </w:rPr>
                      <m:t>2</m:t>
                    </m:r>
                    <m:ctrlPr>
                      <w:rPr>
                        <w:rFonts w:hint="default" w:ascii="Cambria Math" w:hAnsi="Cambria Math" w:cs="Cambria Math"/>
                        <w:i/>
                        <w:sz w:val="24"/>
                        <w:szCs w:val="24"/>
                        <w:lang w:val="en-US" w:eastAsia="zh-CN"/>
                      </w:rPr>
                    </m:ctrlPr>
                  </m:den>
                </m:f>
                <m:r>
                  <m:rPr/>
                  <w:rPr>
                    <w:rFonts w:hint="eastAsia" w:ascii="Cambria Math" w:hAnsi="Cambria Math" w:cs="Cambria Math"/>
                    <w:sz w:val="24"/>
                    <w:szCs w:val="24"/>
                    <w:lang w:val="en-US" w:eastAsia="zh-CN"/>
                  </w:rPr>
                  <m:t>×</m:t>
                </m:r>
                <m:r>
                  <m:rPr/>
                  <w:rPr>
                    <w:rFonts w:hint="default" w:ascii="Cambria Math" w:hAnsi="Cambria Math" w:cs="Cambria Math"/>
                    <w:sz w:val="24"/>
                    <w:szCs w:val="24"/>
                    <w:lang w:val="en-US" w:eastAsia="zh-CN"/>
                  </w:rPr>
                  <m:t>d</m:t>
                </m:r>
                <m:r>
                  <m:rPr/>
                  <w:rPr>
                    <w:rFonts w:hint="default" w:ascii="Cambria Math" w:hAnsi="Cambria Math" w:eastAsia="宋体" w:cs="Cambria Math"/>
                    <w:sz w:val="24"/>
                    <w:szCs w:val="24"/>
                    <w:lang w:val="en-US" w:eastAsia="zh-CN"/>
                  </w:rPr>
                  <m:t>)</m:t>
                </m:r>
                <m:ctrlPr>
                  <w:rPr>
                    <w:rFonts w:hint="default" w:ascii="Cambria Math" w:hAnsi="Cambria Math" w:eastAsia="宋体" w:cs="Cambria Math"/>
                    <w:i/>
                    <w:sz w:val="24"/>
                    <w:szCs w:val="24"/>
                    <w:lang w:val="en-US" w:eastAsia="zh-CN"/>
                  </w:rPr>
                </m:ctrlPr>
              </m:e>
              <m:sup>
                <m:r>
                  <m:rPr/>
                  <w:rPr>
                    <w:rFonts w:hint="default" w:ascii="Cambria Math" w:hAnsi="Cambria Math" w:eastAsia="宋体" w:cs="Cambria Math"/>
                    <w:sz w:val="24"/>
                    <w:szCs w:val="24"/>
                    <w:lang w:val="en-US" w:eastAsia="zh-CN"/>
                  </w:rPr>
                  <m:t>2</m:t>
                </m:r>
                <m:ctrlPr>
                  <w:rPr>
                    <w:rFonts w:hint="default" w:ascii="Cambria Math" w:hAnsi="Cambria Math" w:eastAsia="宋体" w:cs="Cambria Math"/>
                    <w:i/>
                    <w:sz w:val="24"/>
                    <w:szCs w:val="24"/>
                    <w:lang w:val="en-US" w:eastAsia="zh-CN"/>
                  </w:rPr>
                </m:ctrlPr>
              </m:sup>
            </m:sSup>
            <m:r>
              <m:rPr/>
              <w:rPr>
                <w:rFonts w:hint="eastAsia" w:ascii="Cambria Math" w:hAnsi="Cambria Math"/>
                <w:sz w:val="24"/>
                <w:szCs w:val="24"/>
                <w:lang w:val="en-US" w:eastAsia="zh-CN"/>
              </w:rPr>
              <m:t>×</m:t>
            </m:r>
            <m:r>
              <m:rPr/>
              <w:rPr>
                <w:rFonts w:hint="default" w:ascii="Cambria Math" w:hAnsi="Cambria Math"/>
                <w:sz w:val="24"/>
                <w:szCs w:val="24"/>
                <w:lang w:val="en-US" w:eastAsia="zh-CN"/>
              </w:rPr>
              <m:t>T</m:t>
            </m:r>
            <m:r>
              <m:rPr/>
              <w:rPr>
                <w:rFonts w:hint="eastAsia" w:ascii="Cambria Math" w:hAnsi="Cambria Math"/>
                <w:sz w:val="24"/>
                <w:szCs w:val="24"/>
                <w:lang w:val="en-US" w:eastAsia="zh-CN"/>
              </w:rPr>
              <m:t>×</m:t>
            </m:r>
            <m:r>
              <m:rPr/>
              <w:rPr>
                <w:rFonts w:hint="default" w:ascii="Cambria Math" w:hAnsi="Cambria Math"/>
                <w:sz w:val="24"/>
                <w:szCs w:val="24"/>
                <w:lang w:val="en-US" w:eastAsia="zh-CN"/>
              </w:rPr>
              <m:t>M</m:t>
            </m:r>
            <m:ctrlPr>
              <w:rPr>
                <w:rFonts w:ascii="Cambria Math" w:hAnsi="Cambria Math"/>
                <w:sz w:val="24"/>
                <w:szCs w:val="24"/>
              </w:rPr>
            </m:ctrlPr>
          </m:den>
        </m:f>
      </m:oMath>
      <w:r>
        <w:rPr>
          <w:rFonts w:ascii="微软雅黑" w:eastAsia="微软雅黑"/>
          <w:sz w:val="24"/>
          <w:szCs w:val="24"/>
        </w:rPr>
        <w:tab/>
      </w:r>
      <w:r>
        <w:t>(</w:t>
      </w:r>
      <w:r>
        <w:fldChar w:fldCharType="begin"/>
      </w:r>
      <w:r>
        <w:instrText xml:space="preserve"> AUTONUM </w:instrText>
      </w:r>
      <w:r>
        <w:fldChar w:fldCharType="end"/>
      </w:r>
      <w:r>
        <w:t>)</w:t>
      </w:r>
    </w:p>
    <w:p w14:paraId="3921573B">
      <w:pPr>
        <w:pStyle w:val="58"/>
        <w:ind w:firstLine="420"/>
        <w:rPr>
          <w:rFonts w:hint="eastAsia" w:ascii="宋体" w:hAnsi="宋体" w:eastAsia="宋体" w:cs="宋体"/>
        </w:rPr>
      </w:pPr>
      <w:r>
        <w:rPr>
          <w:rFonts w:hint="eastAsia" w:ascii="宋体" w:hAnsi="宋体" w:eastAsia="宋体" w:cs="宋体"/>
        </w:rPr>
        <w:t>式中：</w:t>
      </w:r>
    </w:p>
    <w:p w14:paraId="26B4B54A">
      <w:pPr>
        <w:pStyle w:val="58"/>
        <w:ind w:firstLine="420"/>
        <w:rPr>
          <w:rFonts w:hint="eastAsia" w:ascii="宋体" w:hAnsi="宋体" w:eastAsia="宋体" w:cs="宋体"/>
          <w:i w:val="0"/>
          <w:iCs/>
          <w:highlight w:val="green"/>
        </w:rPr>
      </w:pPr>
      <w:r>
        <w:rPr>
          <w:rFonts w:hint="eastAsia" w:ascii="宋体" w:hAnsi="宋体" w:eastAsia="宋体" w:cs="宋体"/>
          <w:i w:val="0"/>
          <w:iCs/>
        </w:rPr>
        <w:t>X——试样</w:t>
      </w:r>
      <w:r>
        <w:rPr>
          <w:rFonts w:hint="eastAsia" w:ascii="宋体" w:hAnsi="宋体" w:eastAsia="宋体" w:cs="宋体"/>
          <w:i w:val="0"/>
          <w:iCs/>
          <w:lang w:val="en-US" w:eastAsia="zh-CN"/>
        </w:rPr>
        <w:t>主元素原子浓度</w:t>
      </w:r>
      <w:r>
        <w:rPr>
          <w:rFonts w:hint="eastAsia" w:ascii="宋体" w:hAnsi="宋体" w:eastAsia="宋体" w:cs="宋体"/>
          <w:i w:val="0"/>
          <w:iCs/>
        </w:rPr>
        <w:t>，单位为</w:t>
      </w:r>
      <w:r>
        <w:rPr>
          <w:rFonts w:hint="eastAsia" w:ascii="宋体" w:hAnsi="宋体" w:eastAsia="宋体" w:cs="宋体"/>
          <w:i w:val="0"/>
          <w:iCs/>
          <w:lang w:val="en-US" w:eastAsia="zh-CN"/>
        </w:rPr>
        <w:t>个每立方厘米（个/cm</w:t>
      </w:r>
      <w:r>
        <w:rPr>
          <w:rFonts w:hint="eastAsia" w:ascii="宋体" w:hAnsi="宋体" w:eastAsia="宋体" w:cs="宋体"/>
          <w:i w:val="0"/>
          <w:iCs/>
          <w:vertAlign w:val="superscript"/>
          <w:lang w:val="en-US" w:eastAsia="zh-CN"/>
        </w:rPr>
        <w:t>3</w:t>
      </w:r>
      <w:r>
        <w:rPr>
          <w:rFonts w:hint="eastAsia" w:ascii="宋体" w:hAnsi="宋体" w:eastAsia="宋体" w:cs="宋体"/>
          <w:i w:val="0"/>
          <w:iCs/>
          <w:lang w:val="en-US" w:eastAsia="zh-CN"/>
        </w:rPr>
        <w:t>）</w:t>
      </w:r>
      <w:r>
        <w:rPr>
          <w:rFonts w:hint="eastAsia" w:ascii="宋体" w:hAnsi="宋体" w:eastAsia="宋体" w:cs="宋体"/>
          <w:i w:val="0"/>
          <w:iCs/>
        </w:rPr>
        <w:t>；</w:t>
      </w:r>
    </w:p>
    <w:p w14:paraId="4E5C7271">
      <w:pPr>
        <w:pStyle w:val="58"/>
        <w:ind w:firstLine="420"/>
        <w:rPr>
          <w:rFonts w:hint="eastAsia" w:ascii="宋体" w:hAnsi="宋体" w:eastAsia="宋体" w:cs="宋体"/>
          <w:i w:val="0"/>
          <w:iCs/>
          <w:lang w:eastAsia="zh-CN"/>
        </w:rPr>
      </w:pPr>
      <w:r>
        <w:rPr>
          <w:rFonts w:hint="eastAsia" w:ascii="宋体" w:hAnsi="宋体" w:eastAsia="宋体" w:cs="宋体"/>
          <w:i w:val="0"/>
          <w:iCs/>
        </w:rPr>
        <w:t>m——试样质量，单位为克（g）</w:t>
      </w:r>
      <w:r>
        <w:rPr>
          <w:rFonts w:hint="eastAsia" w:ascii="宋体" w:hAnsi="宋体" w:eastAsia="宋体" w:cs="宋体"/>
          <w:i w:val="0"/>
          <w:iCs/>
          <w:lang w:eastAsia="zh-CN"/>
        </w:rPr>
        <w:t>；</w:t>
      </w:r>
    </w:p>
    <w:p w14:paraId="4D67AD00">
      <w:pPr>
        <w:pStyle w:val="58"/>
        <w:ind w:firstLine="420"/>
        <w:rPr>
          <w:rFonts w:hint="eastAsia" w:ascii="宋体" w:hAnsi="宋体" w:eastAsia="宋体" w:cs="宋体"/>
          <w:i w:val="0"/>
          <w:iCs/>
        </w:rPr>
      </w:pPr>
      <w:r>
        <w:rPr>
          <w:rFonts w:hint="eastAsia" w:ascii="宋体" w:hAnsi="宋体" w:eastAsia="宋体" w:cs="宋体"/>
          <w:i w:val="0"/>
          <w:iCs/>
          <w:lang w:val="en-US" w:eastAsia="zh-CN"/>
        </w:rPr>
        <w:t>C</w:t>
      </w:r>
      <w:r>
        <w:rPr>
          <w:rFonts w:hint="eastAsia" w:ascii="宋体" w:hAnsi="宋体" w:eastAsia="宋体" w:cs="宋体"/>
          <w:i w:val="0"/>
          <w:iCs/>
        </w:rPr>
        <w:t>——</w:t>
      </w:r>
      <w:r>
        <w:rPr>
          <w:rFonts w:hint="eastAsia" w:ascii="宋体" w:hAnsi="宋体" w:eastAsia="宋体" w:cs="宋体"/>
          <w:i w:val="0"/>
          <w:iCs/>
          <w:color w:val="000000"/>
          <w:sz w:val="21"/>
          <w:szCs w:val="21"/>
          <w:highlight w:val="none"/>
          <w:lang w:val="en-US" w:eastAsia="zh-CN"/>
        </w:rPr>
        <w:t>试样中主元素质量百分比浓度；</w:t>
      </w:r>
    </w:p>
    <w:p w14:paraId="4A9F0A9A">
      <w:pPr>
        <w:pStyle w:val="58"/>
        <w:ind w:firstLine="420"/>
        <w:rPr>
          <w:rFonts w:hint="eastAsia" w:ascii="宋体" w:hAnsi="宋体" w:eastAsia="宋体" w:cs="宋体"/>
          <w:i w:val="0"/>
          <w:iCs/>
        </w:rPr>
      </w:pPr>
      <w:r>
        <w:rPr>
          <w:rFonts w:hint="eastAsia" w:ascii="宋体" w:hAnsi="宋体" w:eastAsia="宋体" w:cs="宋体"/>
          <w:i w:val="0"/>
          <w:iCs/>
          <w:lang w:val="en-US" w:eastAsia="zh-CN"/>
        </w:rPr>
        <w:t>d</w:t>
      </w:r>
      <w:r>
        <w:rPr>
          <w:rFonts w:hint="eastAsia" w:ascii="宋体" w:hAnsi="宋体" w:eastAsia="宋体" w:cs="宋体"/>
          <w:i w:val="0"/>
          <w:iCs/>
        </w:rPr>
        <w:t>——</w:t>
      </w:r>
      <w:r>
        <w:rPr>
          <w:rFonts w:hint="eastAsia" w:ascii="宋体" w:hAnsi="宋体" w:eastAsia="宋体" w:cs="宋体"/>
          <w:i w:val="0"/>
          <w:iCs/>
          <w:lang w:val="en-US" w:eastAsia="zh-CN"/>
        </w:rPr>
        <w:t>试样的直径，单位为厘米（cm）</w:t>
      </w:r>
      <w:r>
        <w:rPr>
          <w:rFonts w:hint="eastAsia" w:ascii="宋体" w:hAnsi="宋体" w:eastAsia="宋体" w:cs="宋体"/>
          <w:i w:val="0"/>
          <w:iCs/>
        </w:rPr>
        <w:t>；</w:t>
      </w:r>
    </w:p>
    <w:p w14:paraId="3D76534A">
      <w:pPr>
        <w:pStyle w:val="58"/>
        <w:ind w:firstLine="420"/>
        <w:rPr>
          <w:rFonts w:hint="eastAsia" w:ascii="宋体" w:hAnsi="宋体" w:eastAsia="宋体" w:cs="宋体"/>
          <w:i w:val="0"/>
          <w:iCs/>
        </w:rPr>
      </w:pPr>
      <w:r>
        <w:rPr>
          <w:rFonts w:hint="eastAsia" w:ascii="宋体" w:hAnsi="宋体" w:eastAsia="宋体" w:cs="宋体"/>
          <w:i w:val="0"/>
          <w:iCs/>
          <w:lang w:val="en-US" w:eastAsia="zh-CN"/>
        </w:rPr>
        <w:t>T</w:t>
      </w:r>
      <w:r>
        <w:rPr>
          <w:rFonts w:hint="eastAsia" w:ascii="宋体" w:hAnsi="宋体" w:eastAsia="宋体" w:cs="宋体"/>
          <w:i w:val="0"/>
          <w:iCs/>
        </w:rPr>
        <w:t>——</w:t>
      </w:r>
      <w:r>
        <w:rPr>
          <w:rFonts w:hint="eastAsia" w:ascii="宋体" w:hAnsi="宋体" w:eastAsia="宋体" w:cs="宋体"/>
          <w:i w:val="0"/>
          <w:iCs/>
          <w:lang w:val="en-US" w:eastAsia="zh-CN"/>
        </w:rPr>
        <w:t>试样的厚度，单位为厘米（cm）</w:t>
      </w:r>
      <w:r>
        <w:rPr>
          <w:rFonts w:hint="eastAsia" w:ascii="宋体" w:hAnsi="宋体" w:eastAsia="宋体" w:cs="宋体"/>
          <w:i w:val="0"/>
          <w:iCs/>
        </w:rPr>
        <w:t>；</w:t>
      </w:r>
    </w:p>
    <w:p w14:paraId="7454302C">
      <w:pPr>
        <w:pStyle w:val="58"/>
        <w:ind w:firstLine="420"/>
        <w:rPr>
          <w:rFonts w:hint="eastAsia" w:ascii="宋体" w:hAnsi="宋体" w:eastAsia="宋体" w:cs="宋体"/>
          <w:i w:val="0"/>
          <w:iCs/>
        </w:rPr>
      </w:pPr>
      <w:r>
        <w:rPr>
          <w:rFonts w:hint="eastAsia" w:ascii="宋体" w:hAnsi="宋体" w:eastAsia="宋体" w:cs="宋体"/>
          <w:i w:val="0"/>
          <w:iCs/>
          <w:lang w:val="en-US" w:eastAsia="zh-CN"/>
        </w:rPr>
        <w:t>M</w:t>
      </w:r>
      <w:r>
        <w:rPr>
          <w:rFonts w:hint="eastAsia" w:ascii="宋体" w:hAnsi="宋体" w:eastAsia="宋体" w:cs="宋体"/>
          <w:i w:val="0"/>
          <w:iCs/>
        </w:rPr>
        <w:t>——</w:t>
      </w:r>
      <w:r>
        <w:rPr>
          <w:rFonts w:hint="eastAsia" w:ascii="宋体" w:hAnsi="宋体" w:eastAsia="宋体" w:cs="宋体"/>
          <w:i w:val="0"/>
          <w:iCs/>
          <w:lang w:val="en-US" w:eastAsia="zh-CN"/>
        </w:rPr>
        <w:t>主元素的摩尔质量，单位为克每摩尔（g/mol）</w:t>
      </w:r>
      <w:r>
        <w:rPr>
          <w:rFonts w:hint="eastAsia" w:ascii="宋体" w:hAnsi="宋体" w:eastAsia="宋体" w:cs="宋体"/>
          <w:i w:val="0"/>
          <w:iCs/>
        </w:rPr>
        <w:t>；</w:t>
      </w:r>
    </w:p>
    <w:p w14:paraId="4A615142">
      <w:pPr>
        <w:pStyle w:val="58"/>
        <w:ind w:firstLine="420"/>
        <w:rPr>
          <w:rFonts w:hint="eastAsia" w:ascii="宋体" w:hAnsi="宋体" w:eastAsia="宋体" w:cs="宋体"/>
          <w:i w:val="0"/>
          <w:iCs/>
        </w:rPr>
      </w:pPr>
      <w:r>
        <w:rPr>
          <w:rFonts w:hint="eastAsia" w:ascii="宋体" w:hAnsi="宋体" w:eastAsia="宋体" w:cs="宋体"/>
          <w:i w:val="0"/>
          <w:iCs/>
          <w:lang w:val="en-US" w:eastAsia="zh-CN"/>
        </w:rPr>
        <w:t>n</w:t>
      </w:r>
      <w:r>
        <w:rPr>
          <w:rFonts w:hint="eastAsia" w:ascii="宋体" w:hAnsi="宋体" w:eastAsia="宋体" w:cs="宋体"/>
          <w:i w:val="0"/>
          <w:iCs/>
        </w:rPr>
        <w:t>——</w:t>
      </w:r>
      <w:r>
        <w:rPr>
          <w:rFonts w:hint="eastAsia" w:ascii="宋体" w:hAnsi="宋体" w:eastAsia="宋体" w:cs="宋体"/>
          <w:i w:val="0"/>
          <w:iCs/>
          <w:lang w:val="en-US" w:eastAsia="zh-CN"/>
        </w:rPr>
        <w:t>摩尔数为6.02*10</w:t>
      </w:r>
      <w:r>
        <w:rPr>
          <w:rFonts w:hint="eastAsia" w:ascii="宋体" w:hAnsi="宋体" w:eastAsia="宋体" w:cs="宋体"/>
          <w:i w:val="0"/>
          <w:iCs/>
          <w:vertAlign w:val="superscript"/>
          <w:lang w:val="en-US" w:eastAsia="zh-CN"/>
        </w:rPr>
        <w:t>23</w:t>
      </w:r>
      <w:r>
        <w:rPr>
          <w:rFonts w:hint="eastAsia" w:ascii="宋体" w:hAnsi="宋体" w:eastAsia="宋体" w:cs="宋体"/>
          <w:i w:val="0"/>
          <w:iCs/>
          <w:lang w:val="en-US" w:eastAsia="zh-CN"/>
        </w:rPr>
        <w:t>（个/mol）</w:t>
      </w:r>
      <w:r>
        <w:rPr>
          <w:rFonts w:hint="eastAsia" w:ascii="宋体" w:hAnsi="宋体" w:eastAsia="宋体" w:cs="宋体"/>
          <w:i w:val="0"/>
          <w:iCs/>
        </w:rPr>
        <w:t>。</w:t>
      </w:r>
    </w:p>
    <w:p w14:paraId="752F12C5">
      <w:pPr>
        <w:pStyle w:val="107"/>
        <w:spacing w:before="120" w:after="120"/>
        <w:rPr>
          <w:highlight w:val="none"/>
        </w:rPr>
      </w:pPr>
      <w:r>
        <w:rPr>
          <w:rFonts w:hint="eastAsia"/>
          <w:highlight w:val="none"/>
        </w:rPr>
        <w:t>浓度分布均匀度</w:t>
      </w:r>
    </w:p>
    <w:p w14:paraId="66A42FF8">
      <w:pPr>
        <w:pStyle w:val="167"/>
        <w:numPr>
          <w:ilvl w:val="3"/>
          <w:numId w:val="0"/>
        </w:numPr>
        <w:ind w:leftChars="0" w:firstLine="420" w:firstLineChars="200"/>
        <w:rPr>
          <w:rFonts w:hint="eastAsia"/>
          <w:highlight w:val="none"/>
          <w:lang w:val="en-US" w:eastAsia="zh-CN"/>
        </w:rPr>
      </w:pPr>
      <w:r>
        <w:rPr>
          <w:rFonts w:hint="eastAsia"/>
          <w:highlight w:val="none"/>
          <w:lang w:val="en-US" w:eastAsia="zh-CN"/>
        </w:rPr>
        <w:t>把扩散膜以直径等分为3等分，分别为中心区、1/2半径区，边缘区，如图1所示。按照6.4中规定的方法，分别测量三个区域的主元素原子浓度</w:t>
      </w:r>
      <w:r>
        <w:rPr>
          <w:rFonts w:hint="eastAsia"/>
          <w:i w:val="0"/>
          <w:iCs w:val="0"/>
          <w:highlight w:val="none"/>
          <w:lang w:val="en-US" w:eastAsia="zh-CN"/>
        </w:rPr>
        <w:t>X1、X2、X3</w:t>
      </w:r>
      <w:r>
        <w:rPr>
          <w:rFonts w:hint="eastAsia"/>
          <w:highlight w:val="none"/>
          <w:lang w:val="en-US" w:eastAsia="zh-CN"/>
        </w:rPr>
        <w:t>，按式（2）分别计算</w:t>
      </w:r>
      <w:r>
        <w:rPr>
          <w:rFonts w:hint="eastAsia"/>
        </w:rPr>
        <w:t>浓度</w:t>
      </w:r>
      <w:r>
        <w:rPr>
          <w:rFonts w:hint="eastAsia"/>
          <w:lang w:eastAsia="zh-CN"/>
        </w:rPr>
        <w:t>分布</w:t>
      </w:r>
      <w:r>
        <w:rPr>
          <w:rFonts w:hint="eastAsia"/>
        </w:rPr>
        <w:t>均匀性误差</w:t>
      </w:r>
      <w:r>
        <w:rPr>
          <w:rFonts w:hint="eastAsia" w:ascii="宋体" w:hAnsi="宋体" w:eastAsia="宋体" w:cs="宋体"/>
          <w:lang w:val="en-US" w:eastAsia="zh-CN"/>
        </w:rPr>
        <w:t>ƒ</w:t>
      </w:r>
      <w:r>
        <w:rPr>
          <w:rFonts w:hint="eastAsia" w:hAnsi="宋体" w:cs="宋体"/>
          <w:lang w:val="en-US" w:eastAsia="zh-CN"/>
        </w:rPr>
        <w:t>1、</w:t>
      </w:r>
      <w:r>
        <w:rPr>
          <w:rFonts w:hint="eastAsia" w:ascii="宋体" w:hAnsi="宋体" w:eastAsia="宋体" w:cs="宋体"/>
          <w:lang w:val="en-US" w:eastAsia="zh-CN"/>
        </w:rPr>
        <w:t>ƒ</w:t>
      </w:r>
      <w:r>
        <w:rPr>
          <w:rFonts w:hint="eastAsia" w:hAnsi="宋体" w:cs="宋体"/>
          <w:lang w:val="en-US" w:eastAsia="zh-CN"/>
        </w:rPr>
        <w:t>2、</w:t>
      </w:r>
      <w:r>
        <w:rPr>
          <w:rFonts w:hint="eastAsia" w:ascii="宋体" w:hAnsi="宋体" w:eastAsia="宋体" w:cs="宋体"/>
          <w:lang w:val="en-US" w:eastAsia="zh-CN"/>
        </w:rPr>
        <w:t>ƒ</w:t>
      </w:r>
      <w:r>
        <w:rPr>
          <w:rFonts w:hint="eastAsia" w:hAnsi="宋体" w:cs="宋体"/>
          <w:lang w:val="en-US" w:eastAsia="zh-CN"/>
        </w:rPr>
        <w:t>3，三个区域的</w:t>
      </w:r>
      <w:r>
        <w:rPr>
          <w:rFonts w:hint="eastAsia"/>
        </w:rPr>
        <w:t>浓度</w:t>
      </w:r>
      <w:r>
        <w:rPr>
          <w:rFonts w:hint="eastAsia"/>
          <w:lang w:eastAsia="zh-CN"/>
        </w:rPr>
        <w:t>分布</w:t>
      </w:r>
      <w:r>
        <w:rPr>
          <w:rFonts w:hint="eastAsia"/>
        </w:rPr>
        <w:t>均匀性误差</w:t>
      </w:r>
      <w:r>
        <w:rPr>
          <w:rFonts w:hint="eastAsia"/>
          <w:lang w:val="en-US" w:eastAsia="zh-CN"/>
        </w:rPr>
        <w:t>均应符合5.5的要求</w:t>
      </w:r>
      <w:r>
        <w:rPr>
          <w:rFonts w:hint="eastAsia"/>
          <w:highlight w:val="none"/>
          <w:lang w:val="en-US" w:eastAsia="zh-CN"/>
        </w:rPr>
        <w:t>。</w:t>
      </w:r>
    </w:p>
    <w:p w14:paraId="3A8AA950">
      <w:pPr>
        <w:pStyle w:val="167"/>
        <w:numPr>
          <w:ilvl w:val="3"/>
          <w:numId w:val="0"/>
        </w:numPr>
        <w:jc w:val="center"/>
      </w:pPr>
      <w:r>
        <w:drawing>
          <wp:inline distT="0" distB="0" distL="114300" distR="114300">
            <wp:extent cx="2164080" cy="2079625"/>
            <wp:effectExtent l="0" t="0" r="7620" b="317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4"/>
                    <a:stretch>
                      <a:fillRect/>
                    </a:stretch>
                  </pic:blipFill>
                  <pic:spPr>
                    <a:xfrm>
                      <a:off x="0" y="0"/>
                      <a:ext cx="2164080" cy="2079625"/>
                    </a:xfrm>
                    <a:prstGeom prst="rect">
                      <a:avLst/>
                    </a:prstGeom>
                    <a:noFill/>
                    <a:ln>
                      <a:noFill/>
                    </a:ln>
                  </pic:spPr>
                </pic:pic>
              </a:graphicData>
            </a:graphic>
          </wp:inline>
        </w:drawing>
      </w:r>
      <w:bookmarkStart w:id="47" w:name="_GoBack"/>
      <w:bookmarkEnd w:id="47"/>
    </w:p>
    <w:p w14:paraId="00728B1F">
      <w:pPr>
        <w:pStyle w:val="114"/>
        <w:numPr>
          <w:ilvl w:val="0"/>
          <w:numId w:val="0"/>
        </w:numPr>
        <w:spacing w:before="120" w:after="120"/>
        <w:jc w:val="center"/>
        <w:rPr>
          <w:rFonts w:hint="eastAsia"/>
          <w:lang w:val="en-US" w:eastAsia="zh-CN"/>
        </w:rPr>
      </w:pPr>
      <w:r>
        <w:rPr>
          <w:rFonts w:hint="eastAsia"/>
          <w:lang w:val="en-US" w:eastAsia="zh-CN"/>
        </w:rPr>
        <w:t>图1 直径等分为3等分示意图</w:t>
      </w:r>
    </w:p>
    <w:p w14:paraId="3DF12CC7">
      <w:pPr>
        <w:pStyle w:val="58"/>
        <w:ind w:firstLine="420"/>
        <w:jc w:val="right"/>
        <w:rPr>
          <w:rFonts w:hint="default" w:ascii="宋体" w:hAnsi="宋体" w:eastAsia="宋体" w:cs="宋体"/>
          <w:lang w:val="en-US" w:eastAsia="zh-CN"/>
        </w:rPr>
      </w:pPr>
      <w:r>
        <w:rPr>
          <w:rFonts w:hint="eastAsia" w:ascii="宋体" w:hAnsi="宋体" w:eastAsia="宋体" w:cs="宋体"/>
          <w:lang w:val="en-US" w:eastAsia="zh-CN"/>
        </w:rPr>
        <w:t>ƒ</w:t>
      </w:r>
      <w:r>
        <w:rPr>
          <w:rFonts w:hint="eastAsia" w:hAnsi="宋体" w:cs="宋体"/>
          <w:lang w:val="en-US" w:eastAsia="zh-CN"/>
        </w:rPr>
        <w:t>=</w:t>
      </w:r>
      <m:oMath>
        <m:f>
          <m:fPr>
            <m:ctrlPr>
              <w:rPr>
                <w:rFonts w:ascii="Cambria Math" w:hAnsi="Cambria Math" w:cs="宋体"/>
                <w:i/>
              </w:rPr>
            </m:ctrlPr>
          </m:fPr>
          <m:num>
            <m:r>
              <m:rPr/>
              <w:rPr>
                <w:rFonts w:hint="default" w:ascii="Cambria Math" w:hAnsi="Cambria Math" w:cs="宋体"/>
                <w:lang w:val="en-US" w:eastAsia="zh-CN"/>
              </w:rPr>
              <m:t>|X−Y|</m:t>
            </m:r>
            <m:ctrlPr>
              <w:rPr>
                <w:rFonts w:ascii="Cambria Math" w:hAnsi="Cambria Math" w:cs="宋体"/>
                <w:i/>
              </w:rPr>
            </m:ctrlPr>
          </m:num>
          <m:den>
            <m:r>
              <m:rPr/>
              <w:rPr>
                <w:rFonts w:hint="default" w:ascii="Cambria Math" w:hAnsi="Cambria Math" w:cs="宋体"/>
                <w:lang w:val="en-US" w:eastAsia="zh-CN"/>
              </w:rPr>
              <m:t>Y</m:t>
            </m:r>
            <m:ctrlPr>
              <w:rPr>
                <w:rFonts w:ascii="Cambria Math" w:hAnsi="Cambria Math" w:cs="宋体"/>
                <w:i/>
              </w:rPr>
            </m:ctrlPr>
          </m:den>
        </m:f>
        <m:r>
          <m:rPr/>
          <w:rPr>
            <w:rFonts w:hint="eastAsia" w:ascii="Cambria Math" w:hAnsi="Cambria Math" w:cs="宋体"/>
            <w:lang w:val="en-US" w:eastAsia="zh-CN"/>
          </w:rPr>
          <m:t>×</m:t>
        </m:r>
        <m:r>
          <m:rPr/>
          <w:rPr>
            <w:rFonts w:hint="default" w:ascii="Cambria Math" w:hAnsi="Cambria Math" w:cs="宋体"/>
            <w:lang w:val="en-US" w:eastAsia="zh-CN"/>
          </w:rPr>
          <m:t>100%</m:t>
        </m:r>
      </m:oMath>
      <w:r>
        <w:rPr>
          <w:rFonts w:hint="eastAsia" w:hAnsi="Cambria Math" w:cs="宋体"/>
          <w:i w:val="0"/>
          <w:sz w:val="16"/>
          <w:szCs w:val="15"/>
          <w:lang w:val="en-US" w:eastAsia="zh-CN"/>
        </w:rPr>
        <w:t>………………………………………………………………</w:t>
      </w:r>
      <w:r>
        <w:rPr>
          <w:rFonts w:hint="eastAsia" w:hAnsi="Cambria Math" w:cs="宋体"/>
          <w:i w:val="0"/>
          <w:lang w:val="en-US" w:eastAsia="zh-CN"/>
        </w:rPr>
        <w:t>（2）</w:t>
      </w:r>
    </w:p>
    <w:p w14:paraId="3EF0DD71">
      <w:pPr>
        <w:pStyle w:val="58"/>
        <w:ind w:firstLine="420"/>
        <w:rPr>
          <w:rFonts w:hint="eastAsia" w:ascii="宋体" w:hAnsi="宋体" w:eastAsia="宋体" w:cs="宋体"/>
        </w:rPr>
      </w:pPr>
      <w:r>
        <w:rPr>
          <w:rFonts w:hint="eastAsia" w:ascii="宋体" w:hAnsi="宋体" w:eastAsia="宋体" w:cs="宋体"/>
        </w:rPr>
        <w:t>式中：</w:t>
      </w:r>
    </w:p>
    <w:p w14:paraId="25CDE727">
      <w:pPr>
        <w:pStyle w:val="58"/>
        <w:ind w:firstLine="420"/>
        <w:rPr>
          <w:rFonts w:hint="eastAsia" w:ascii="宋体" w:hAnsi="宋体" w:eastAsia="宋体" w:cs="宋体"/>
          <w:i w:val="0"/>
          <w:iCs/>
          <w:highlight w:val="green"/>
        </w:rPr>
      </w:pPr>
      <w:r>
        <w:rPr>
          <w:rFonts w:hint="eastAsia" w:ascii="宋体" w:hAnsi="宋体" w:eastAsia="宋体" w:cs="宋体"/>
          <w:lang w:val="en-US" w:eastAsia="zh-CN"/>
        </w:rPr>
        <w:t>ƒ</w:t>
      </w:r>
      <w:r>
        <w:rPr>
          <w:rFonts w:hint="eastAsia" w:ascii="宋体" w:hAnsi="宋体" w:eastAsia="宋体" w:cs="宋体"/>
          <w:i w:val="0"/>
          <w:iCs/>
        </w:rPr>
        <w:t>——浓度</w:t>
      </w:r>
      <w:r>
        <w:rPr>
          <w:rFonts w:hint="eastAsia" w:hAnsi="宋体" w:cs="宋体"/>
          <w:i w:val="0"/>
          <w:iCs/>
          <w:lang w:val="en-US" w:eastAsia="zh-CN"/>
        </w:rPr>
        <w:t>分布</w:t>
      </w:r>
      <w:r>
        <w:rPr>
          <w:rFonts w:hint="eastAsia" w:ascii="宋体" w:hAnsi="宋体" w:eastAsia="宋体" w:cs="宋体"/>
          <w:i w:val="0"/>
          <w:iCs/>
        </w:rPr>
        <w:t>均匀性误差；</w:t>
      </w:r>
    </w:p>
    <w:p w14:paraId="0E89AA3E">
      <w:pPr>
        <w:pStyle w:val="58"/>
        <w:ind w:firstLine="420"/>
        <w:rPr>
          <w:rFonts w:hint="eastAsia" w:ascii="宋体" w:hAnsi="宋体" w:eastAsia="宋体" w:cs="宋体"/>
          <w:i w:val="0"/>
          <w:iCs/>
          <w:lang w:eastAsia="zh-CN"/>
        </w:rPr>
      </w:pPr>
      <w:r>
        <w:rPr>
          <w:rFonts w:hint="eastAsia" w:ascii="宋体" w:hAnsi="宋体" w:eastAsia="宋体" w:cs="宋体"/>
          <w:i w:val="0"/>
          <w:iCs/>
        </w:rPr>
        <w:t>X——试样</w:t>
      </w:r>
      <w:r>
        <w:rPr>
          <w:rFonts w:hint="eastAsia" w:ascii="宋体" w:hAnsi="宋体" w:eastAsia="宋体" w:cs="宋体"/>
          <w:i w:val="0"/>
          <w:iCs/>
          <w:lang w:val="en-US" w:eastAsia="zh-CN"/>
        </w:rPr>
        <w:t>主元素原子浓度</w:t>
      </w:r>
      <w:r>
        <w:rPr>
          <w:rFonts w:hint="eastAsia" w:ascii="宋体" w:hAnsi="宋体" w:eastAsia="宋体" w:cs="宋体"/>
          <w:i w:val="0"/>
          <w:iCs/>
        </w:rPr>
        <w:t>，单位为</w:t>
      </w:r>
      <w:r>
        <w:rPr>
          <w:rFonts w:hint="eastAsia" w:ascii="宋体" w:hAnsi="宋体" w:eastAsia="宋体" w:cs="宋体"/>
          <w:i w:val="0"/>
          <w:iCs/>
          <w:lang w:val="en-US" w:eastAsia="zh-CN"/>
        </w:rPr>
        <w:t>个每立方厘米（个/cm</w:t>
      </w:r>
      <w:r>
        <w:rPr>
          <w:rFonts w:hint="eastAsia" w:ascii="宋体" w:hAnsi="宋体" w:eastAsia="宋体" w:cs="宋体"/>
          <w:i w:val="0"/>
          <w:iCs/>
          <w:vertAlign w:val="superscript"/>
          <w:lang w:val="en-US" w:eastAsia="zh-CN"/>
        </w:rPr>
        <w:t>3</w:t>
      </w:r>
      <w:r>
        <w:rPr>
          <w:rFonts w:hint="eastAsia" w:ascii="宋体" w:hAnsi="宋体" w:eastAsia="宋体" w:cs="宋体"/>
          <w:i w:val="0"/>
          <w:iCs/>
          <w:lang w:val="en-US" w:eastAsia="zh-CN"/>
        </w:rPr>
        <w:t>）</w:t>
      </w:r>
      <w:r>
        <w:rPr>
          <w:rFonts w:hint="eastAsia" w:ascii="宋体" w:hAnsi="宋体" w:eastAsia="宋体" w:cs="宋体"/>
          <w:i w:val="0"/>
          <w:iCs/>
          <w:lang w:eastAsia="zh-CN"/>
        </w:rPr>
        <w:t>；</w:t>
      </w:r>
    </w:p>
    <w:p w14:paraId="3B885566">
      <w:pPr>
        <w:pStyle w:val="58"/>
        <w:ind w:firstLine="420"/>
        <w:rPr>
          <w:rFonts w:hint="eastAsia" w:ascii="宋体" w:hAnsi="宋体" w:eastAsia="宋体" w:cs="宋体"/>
          <w:i w:val="0"/>
          <w:iCs/>
        </w:rPr>
      </w:pPr>
      <w:r>
        <w:rPr>
          <w:rFonts w:hint="eastAsia" w:hAnsi="宋体" w:cs="宋体"/>
          <w:i w:val="0"/>
          <w:iCs/>
          <w:color w:val="000000"/>
          <w:sz w:val="21"/>
          <w:szCs w:val="21"/>
          <w:highlight w:val="none"/>
          <w:lang w:val="en-US" w:eastAsia="zh-CN"/>
        </w:rPr>
        <w:t>Y——</w:t>
      </w:r>
      <w:r>
        <w:rPr>
          <w:rFonts w:hint="eastAsia" w:ascii="宋体" w:hAnsi="宋体" w:eastAsia="宋体" w:cs="宋体"/>
          <w:i w:val="0"/>
          <w:iCs/>
        </w:rPr>
        <w:t>试样</w:t>
      </w:r>
      <w:r>
        <w:rPr>
          <w:rFonts w:hint="eastAsia" w:ascii="宋体" w:hAnsi="宋体" w:eastAsia="宋体" w:cs="宋体"/>
          <w:i w:val="0"/>
          <w:iCs/>
          <w:lang w:val="en-US" w:eastAsia="zh-CN"/>
        </w:rPr>
        <w:t>主元素</w:t>
      </w:r>
      <w:r>
        <w:rPr>
          <w:rFonts w:hint="eastAsia" w:hAnsi="宋体"/>
          <w:color w:val="000000" w:themeColor="text1"/>
          <w:highlight w:val="none"/>
          <w:lang w:val="en-US" w:eastAsia="zh-CN"/>
          <w14:textFill>
            <w14:solidFill>
              <w14:schemeClr w14:val="tx1"/>
            </w14:solidFill>
          </w14:textFill>
        </w:rPr>
        <w:t>原子浓度平均值</w:t>
      </w:r>
      <w:r>
        <w:rPr>
          <w:rFonts w:hint="eastAsia" w:ascii="宋体" w:hAnsi="宋体" w:eastAsia="宋体" w:cs="宋体"/>
          <w:i w:val="0"/>
          <w:iCs/>
        </w:rPr>
        <w:t>，单位为</w:t>
      </w:r>
      <w:r>
        <w:rPr>
          <w:rFonts w:hint="eastAsia" w:ascii="宋体" w:hAnsi="宋体" w:eastAsia="宋体" w:cs="宋体"/>
          <w:i w:val="0"/>
          <w:iCs/>
          <w:lang w:val="en-US" w:eastAsia="zh-CN"/>
        </w:rPr>
        <w:t>个每立方厘米（个/cm</w:t>
      </w:r>
      <w:r>
        <w:rPr>
          <w:rFonts w:hint="eastAsia" w:ascii="宋体" w:hAnsi="宋体" w:eastAsia="宋体" w:cs="宋体"/>
          <w:i w:val="0"/>
          <w:iCs/>
          <w:vertAlign w:val="superscript"/>
          <w:lang w:val="en-US" w:eastAsia="zh-CN"/>
        </w:rPr>
        <w:t>3</w:t>
      </w:r>
      <w:r>
        <w:rPr>
          <w:rFonts w:hint="eastAsia" w:ascii="宋体" w:hAnsi="宋体" w:eastAsia="宋体" w:cs="宋体"/>
          <w:i w:val="0"/>
          <w:iCs/>
          <w:lang w:val="en-US" w:eastAsia="zh-CN"/>
        </w:rPr>
        <w:t>）</w:t>
      </w:r>
      <w:r>
        <w:rPr>
          <w:rFonts w:hint="eastAsia" w:ascii="宋体" w:hAnsi="宋体" w:eastAsia="宋体" w:cs="宋体"/>
          <w:i w:val="0"/>
          <w:iCs/>
        </w:rPr>
        <w:t>。</w:t>
      </w:r>
    </w:p>
    <w:p w14:paraId="54315B36">
      <w:pPr>
        <w:pStyle w:val="58"/>
        <w:ind w:firstLine="420"/>
        <w:rPr>
          <w:rFonts w:hint="eastAsia"/>
          <w:sz w:val="18"/>
          <w:szCs w:val="18"/>
        </w:rPr>
      </w:pPr>
      <w:r>
        <w:rPr>
          <w:rFonts w:hint="eastAsia" w:ascii="黑体" w:hAnsi="黑体" w:eastAsia="黑体" w:cs="黑体"/>
          <w:i w:val="0"/>
          <w:iCs/>
          <w:sz w:val="18"/>
          <w:szCs w:val="16"/>
          <w:lang w:val="en-US" w:eastAsia="zh-CN"/>
        </w:rPr>
        <w:t>注：</w:t>
      </w:r>
      <w:r>
        <w:rPr>
          <w:rFonts w:hint="eastAsia" w:ascii="宋体" w:hAnsi="宋体" w:eastAsia="宋体" w:cs="宋体"/>
          <w:i w:val="0"/>
          <w:iCs/>
          <w:sz w:val="18"/>
          <w:szCs w:val="16"/>
        </w:rPr>
        <w:t>试样</w:t>
      </w:r>
      <w:r>
        <w:rPr>
          <w:rFonts w:hint="eastAsia" w:ascii="宋体" w:hAnsi="宋体" w:eastAsia="宋体" w:cs="宋体"/>
          <w:i w:val="0"/>
          <w:iCs/>
          <w:sz w:val="18"/>
          <w:szCs w:val="16"/>
          <w:lang w:val="en-US" w:eastAsia="zh-CN"/>
        </w:rPr>
        <w:t>主元素</w:t>
      </w:r>
      <w:r>
        <w:rPr>
          <w:rFonts w:hint="eastAsia" w:hAnsi="宋体"/>
          <w:color w:val="000000" w:themeColor="text1"/>
          <w:sz w:val="18"/>
          <w:szCs w:val="16"/>
          <w:highlight w:val="none"/>
          <w:lang w:val="en-US" w:eastAsia="zh-CN"/>
          <w14:textFill>
            <w14:solidFill>
              <w14:schemeClr w14:val="tx1"/>
            </w14:solidFill>
          </w14:textFill>
        </w:rPr>
        <w:t>原子浓度平均值分别见表1和表2，</w:t>
      </w:r>
      <w:r>
        <w:rPr>
          <w:rFonts w:hint="eastAsia"/>
          <w:color w:val="000000" w:themeColor="text1"/>
          <w:sz w:val="18"/>
          <w:szCs w:val="16"/>
          <w:lang w:val="en-US" w:eastAsia="zh-CN"/>
          <w14:textFill>
            <w14:solidFill>
              <w14:schemeClr w14:val="tx1"/>
            </w14:solidFill>
          </w14:textFill>
        </w:rPr>
        <w:t>客户若有特殊需求，</w:t>
      </w:r>
      <w:r>
        <w:rPr>
          <w:rFonts w:hint="eastAsia"/>
          <w:color w:val="000000" w:themeColor="text1"/>
          <w:sz w:val="18"/>
          <w:szCs w:val="16"/>
          <w14:textFill>
            <w14:solidFill>
              <w14:schemeClr w14:val="tx1"/>
            </w14:solidFill>
          </w14:textFill>
        </w:rPr>
        <w:t>则由供需双方协商确定并在订货单中注明</w:t>
      </w:r>
      <w:r>
        <w:rPr>
          <w:rFonts w:hint="eastAsia"/>
          <w:sz w:val="18"/>
          <w:szCs w:val="18"/>
        </w:rPr>
        <w:t>。</w:t>
      </w:r>
    </w:p>
    <w:p w14:paraId="0D713825">
      <w:pPr>
        <w:pStyle w:val="106"/>
        <w:spacing w:before="240" w:after="240"/>
        <w:rPr>
          <w:rFonts w:hint="eastAsia"/>
          <w:highlight w:val="none"/>
        </w:rPr>
      </w:pPr>
      <w:r>
        <w:rPr>
          <w:rFonts w:hint="eastAsia"/>
          <w:highlight w:val="none"/>
        </w:rPr>
        <w:t>检验规则</w:t>
      </w:r>
    </w:p>
    <w:p w14:paraId="783BE6DC">
      <w:pPr>
        <w:pStyle w:val="107"/>
        <w:spacing w:before="120" w:after="120"/>
        <w:rPr>
          <w:rFonts w:hint="eastAsia"/>
        </w:rPr>
      </w:pPr>
      <w:r>
        <w:rPr>
          <w:rFonts w:hint="eastAsia"/>
        </w:rPr>
        <w:t>检查和验收</w:t>
      </w:r>
    </w:p>
    <w:p w14:paraId="7817C376">
      <w:pPr>
        <w:pStyle w:val="167"/>
        <w:rPr>
          <w:rFonts w:hint="eastAsia"/>
        </w:rPr>
      </w:pPr>
      <w:r>
        <w:rPr>
          <w:rFonts w:hint="eastAsia"/>
          <w:lang w:val="en-US" w:eastAsia="zh-CN"/>
        </w:rPr>
        <w:t xml:space="preserve">产品应由供方或第三方进行检验，保证产品质量符合本文件及订货单的规定。 </w:t>
      </w:r>
    </w:p>
    <w:p w14:paraId="58ACF694">
      <w:pPr>
        <w:pStyle w:val="167"/>
      </w:pPr>
      <w:r>
        <w:rPr>
          <w:rFonts w:hint="eastAsia"/>
        </w:rPr>
        <w:t>需方可对收到的产品按照本文件的规定进行</w:t>
      </w:r>
      <w:r>
        <w:rPr>
          <w:rFonts w:hint="eastAsia"/>
          <w:color w:val="000000"/>
        </w:rPr>
        <w:t>检验。如检验</w:t>
      </w:r>
      <w:r>
        <w:rPr>
          <w:rFonts w:hint="eastAsia"/>
        </w:rPr>
        <w:t>结果与本文件或订货单的规定不符，应以书面形式向供方提出，由供需双方协商解决。属于外形尺寸或表面质量的异议，应在收到产品之日起1个月内提出，属于其他性能的异议，应在收到产品之日起3个月内提出。如需仲裁，仲裁取样应由供需双方共同进行。</w:t>
      </w:r>
    </w:p>
    <w:p w14:paraId="3BF3E7D8">
      <w:pPr>
        <w:pStyle w:val="107"/>
        <w:spacing w:before="120" w:after="120"/>
      </w:pPr>
      <w:r>
        <w:rPr>
          <w:rFonts w:hint="eastAsia"/>
        </w:rPr>
        <w:t>组批</w:t>
      </w:r>
    </w:p>
    <w:p w14:paraId="62AF658C">
      <w:pPr>
        <w:pStyle w:val="233"/>
        <w:rPr>
          <w:rFonts w:hint="eastAsia" w:ascii="Times New Roman" w:hAnsi="Times New Roman"/>
        </w:rPr>
      </w:pPr>
      <w:r>
        <w:rPr>
          <w:rFonts w:hint="eastAsia" w:hAnsi="宋体"/>
        </w:rPr>
        <w:t>产品应成批提交验收，每批应由供需双方一致确认的相同技术指标的</w:t>
      </w:r>
      <w:r>
        <w:rPr>
          <w:rFonts w:hint="eastAsia" w:hAnsi="宋体"/>
          <w:lang w:val="en-US" w:eastAsia="zh-CN"/>
        </w:rPr>
        <w:t>扩散膜</w:t>
      </w:r>
      <w:r>
        <w:rPr>
          <w:rFonts w:hint="eastAsia" w:hAnsi="宋体"/>
        </w:rPr>
        <w:t>组成。</w:t>
      </w:r>
    </w:p>
    <w:p w14:paraId="1168ADB6">
      <w:pPr>
        <w:pStyle w:val="107"/>
        <w:spacing w:before="120" w:after="120"/>
      </w:pPr>
      <w:r>
        <w:rPr>
          <w:rFonts w:hint="eastAsia"/>
        </w:rPr>
        <w:t>检验项目</w:t>
      </w:r>
    </w:p>
    <w:p w14:paraId="1890DF90">
      <w:pPr>
        <w:pStyle w:val="58"/>
        <w:ind w:firstLine="420"/>
        <w:rPr>
          <w:rFonts w:hint="eastAsia" w:ascii="Times New Roman"/>
          <w:color w:val="000000"/>
        </w:rPr>
      </w:pPr>
      <w:r>
        <w:rPr>
          <w:rFonts w:hint="eastAsia"/>
        </w:rPr>
        <w:t>每批扩散膜应对表面质量、</w:t>
      </w:r>
      <w:r>
        <w:rPr>
          <w:rFonts w:hint="eastAsia"/>
          <w:lang w:val="en-US" w:eastAsia="zh-CN"/>
        </w:rPr>
        <w:t>颜色、尺寸偏差、燃烧残留、掺杂主元素浓度和浓度分布均匀度</w:t>
      </w:r>
      <w:r>
        <w:rPr>
          <w:rFonts w:hint="eastAsia"/>
        </w:rPr>
        <w:t>进行检验。</w:t>
      </w:r>
    </w:p>
    <w:p w14:paraId="41AB4EE5">
      <w:pPr>
        <w:pStyle w:val="107"/>
        <w:spacing w:before="120" w:after="120"/>
      </w:pPr>
      <w:r>
        <w:rPr>
          <w:rFonts w:hint="eastAsia"/>
        </w:rPr>
        <w:t>取样</w:t>
      </w:r>
    </w:p>
    <w:p w14:paraId="6EC4301C">
      <w:pPr>
        <w:pStyle w:val="58"/>
        <w:ind w:firstLine="420"/>
        <w:rPr>
          <w:rFonts w:hint="eastAsia" w:ascii="Times New Roman"/>
        </w:rPr>
      </w:pPr>
      <w:r>
        <w:rPr>
          <w:rFonts w:hint="eastAsia"/>
        </w:rPr>
        <w:t>每批</w:t>
      </w:r>
      <w:r>
        <w:rPr>
          <w:rFonts w:hint="eastAsia"/>
          <w:lang w:val="en-US" w:eastAsia="zh-CN"/>
        </w:rPr>
        <w:t>扩散膜</w:t>
      </w:r>
      <w:r>
        <w:rPr>
          <w:rFonts w:hint="eastAsia"/>
        </w:rPr>
        <w:t>的检验按照GB/T 2828.1抽样检查，或按供需双方商定的方法抽样。如需对其他项目进行检验，可由供需双方协商确定并在订货单中注明。</w:t>
      </w:r>
    </w:p>
    <w:p w14:paraId="23D6AC71">
      <w:pPr>
        <w:pStyle w:val="107"/>
        <w:spacing w:before="120" w:after="120"/>
        <w:rPr>
          <w:rFonts w:hint="eastAsia"/>
          <w:szCs w:val="21"/>
        </w:rPr>
      </w:pPr>
      <w:r>
        <w:rPr>
          <w:rFonts w:hint="eastAsia"/>
        </w:rPr>
        <w:t>检验结果的判定</w:t>
      </w:r>
    </w:p>
    <w:p w14:paraId="32F565F1">
      <w:pPr>
        <w:pStyle w:val="167"/>
        <w:numPr>
          <w:ilvl w:val="3"/>
          <w:numId w:val="0"/>
        </w:numPr>
        <w:ind w:leftChars="0" w:firstLine="420" w:firstLineChars="200"/>
        <w:rPr>
          <w:rFonts w:hint="eastAsia"/>
        </w:rPr>
      </w:pPr>
      <w:r>
        <w:rPr>
          <w:rFonts w:hint="eastAsia"/>
        </w:rPr>
        <w:t>如需方抽检有任一</w:t>
      </w:r>
      <w:r>
        <w:rPr>
          <w:rFonts w:hint="eastAsia"/>
          <w:lang w:val="en-US" w:eastAsia="zh-CN"/>
        </w:rPr>
        <w:t>指标</w:t>
      </w:r>
      <w:r>
        <w:rPr>
          <w:rFonts w:hint="eastAsia"/>
        </w:rPr>
        <w:t>不合格，判该批产品为不合格。</w:t>
      </w:r>
    </w:p>
    <w:p w14:paraId="32199DFC">
      <w:pPr>
        <w:pStyle w:val="106"/>
        <w:spacing w:before="240" w:after="240"/>
        <w:rPr>
          <w:rFonts w:hint="eastAsia" w:hAnsi="黑体"/>
        </w:rPr>
      </w:pPr>
      <w:r>
        <w:rPr>
          <w:rFonts w:hint="eastAsia"/>
        </w:rPr>
        <w:t>标志、包装、运输、贮存和随行文件</w:t>
      </w:r>
    </w:p>
    <w:p w14:paraId="0BB8B7BF">
      <w:pPr>
        <w:pStyle w:val="107"/>
        <w:spacing w:before="120" w:after="120"/>
        <w:rPr>
          <w:rFonts w:hint="eastAsia"/>
        </w:rPr>
      </w:pPr>
      <w:r>
        <w:rPr>
          <w:rFonts w:hint="eastAsia"/>
        </w:rPr>
        <w:t>标志</w:t>
      </w:r>
    </w:p>
    <w:p w14:paraId="24B29194">
      <w:pPr>
        <w:pStyle w:val="58"/>
        <w:ind w:firstLine="420"/>
        <w:rPr>
          <w:rFonts w:hint="eastAsia" w:ascii="Times New Roman"/>
        </w:rPr>
      </w:pPr>
      <w:r>
        <w:rPr>
          <w:rFonts w:hint="eastAsia"/>
        </w:rPr>
        <w:t>每个扩散膜包装盒上都有标签，标签上注明公司名称、公司地址及联系电话、产品名称、保存条件、保质期、扩散膜批号、型号、尺寸、数量。</w:t>
      </w:r>
    </w:p>
    <w:p w14:paraId="69E9FED1">
      <w:pPr>
        <w:pStyle w:val="107"/>
        <w:spacing w:before="120" w:after="120"/>
      </w:pPr>
      <w:r>
        <w:rPr>
          <w:rFonts w:hint="eastAsia"/>
        </w:rPr>
        <w:t>包装</w:t>
      </w:r>
    </w:p>
    <w:p w14:paraId="76AD2779">
      <w:pPr>
        <w:pStyle w:val="58"/>
        <w:ind w:firstLine="420"/>
        <w:rPr>
          <w:rFonts w:hint="eastAsia" w:ascii="Times New Roman"/>
        </w:rPr>
      </w:pPr>
      <w:r>
        <w:rPr>
          <w:rFonts w:hint="eastAsia"/>
        </w:rPr>
        <w:t>每批次检验合格的扩散膜，装入包装袋后密封，再装入适当的包装盒内，四周衬上软性材料，以免损伤，再将包装盒装入包装箱内，附上随行文件。</w:t>
      </w:r>
    </w:p>
    <w:p w14:paraId="4BC942D8">
      <w:pPr>
        <w:pStyle w:val="107"/>
        <w:spacing w:before="120" w:after="120"/>
      </w:pPr>
      <w:r>
        <w:rPr>
          <w:rFonts w:hint="eastAsia"/>
        </w:rPr>
        <w:t>运输</w:t>
      </w:r>
    </w:p>
    <w:p w14:paraId="520AEC36">
      <w:pPr>
        <w:pStyle w:val="58"/>
        <w:ind w:firstLine="420"/>
        <w:rPr>
          <w:rFonts w:hint="eastAsia" w:ascii="Times New Roman"/>
        </w:rPr>
      </w:pPr>
      <w:r>
        <w:rPr>
          <w:rFonts w:hint="eastAsia"/>
        </w:rPr>
        <w:t>产品在运输过程中应轻装轻卸、勿挤勿压，并有防震措施。</w:t>
      </w:r>
    </w:p>
    <w:p w14:paraId="0BCFE0F3">
      <w:pPr>
        <w:pStyle w:val="107"/>
        <w:spacing w:before="120" w:after="120"/>
        <w:rPr>
          <w:rFonts w:ascii="Times New Roman" w:eastAsia="宋体"/>
        </w:rPr>
      </w:pPr>
      <w:r>
        <w:rPr>
          <w:rFonts w:hint="eastAsia"/>
        </w:rPr>
        <w:t>贮存</w:t>
      </w:r>
    </w:p>
    <w:p w14:paraId="5D69F458">
      <w:pPr>
        <w:pStyle w:val="167"/>
        <w:rPr>
          <w:rFonts w:ascii="Times New Roman"/>
        </w:rPr>
      </w:pPr>
      <w:r>
        <w:rPr>
          <w:rFonts w:hint="eastAsia"/>
        </w:rPr>
        <w:t>磷扩散膜室温</w:t>
      </w:r>
      <w:r>
        <w:rPr>
          <w:rFonts w:ascii="Times New Roman"/>
        </w:rPr>
        <w:t>(50</w:t>
      </w:r>
      <w:r>
        <w:rPr>
          <w:rFonts w:hint="eastAsia" w:ascii="Times New Roman"/>
          <w:lang w:val="en-US" w:eastAsia="zh-CN"/>
        </w:rPr>
        <w:t xml:space="preserve"> </w:t>
      </w:r>
      <w:r>
        <w:rPr>
          <w:rFonts w:hint="eastAsia"/>
        </w:rPr>
        <w:t>℃以下</w:t>
      </w:r>
      <w:r>
        <w:rPr>
          <w:rFonts w:ascii="Times New Roman"/>
        </w:rPr>
        <w:t>)</w:t>
      </w:r>
      <w:r>
        <w:rPr>
          <w:rFonts w:hint="eastAsia"/>
        </w:rPr>
        <w:t>密封保存，存放于干燥环境中，避免紫外线辐射。</w:t>
      </w:r>
    </w:p>
    <w:p w14:paraId="5C49A229">
      <w:pPr>
        <w:pStyle w:val="167"/>
        <w:rPr>
          <w:rFonts w:ascii="Times New Roman"/>
        </w:rPr>
      </w:pPr>
      <w:r>
        <w:rPr>
          <w:rFonts w:hint="eastAsia"/>
        </w:rPr>
        <w:t>硼</w:t>
      </w:r>
      <w:r>
        <w:rPr>
          <w:rFonts w:hint="eastAsia"/>
          <w:lang w:val="en-US" w:eastAsia="zh-CN"/>
        </w:rPr>
        <w:t>扩散</w:t>
      </w:r>
      <w:r>
        <w:rPr>
          <w:rFonts w:hint="eastAsia"/>
        </w:rPr>
        <w:t>膜（包括硼铝</w:t>
      </w:r>
      <w:r>
        <w:rPr>
          <w:rFonts w:hint="eastAsia"/>
          <w:lang w:val="en-US" w:eastAsia="zh-CN"/>
        </w:rPr>
        <w:t>扩散膜</w:t>
      </w:r>
      <w:r>
        <w:rPr>
          <w:rFonts w:hint="eastAsia"/>
        </w:rPr>
        <w:t>）密封，长期储存需冷藏保存，保存温度</w:t>
      </w:r>
      <w:r>
        <w:rPr>
          <w:rFonts w:hint="eastAsia" w:ascii="Times New Roman"/>
        </w:rPr>
        <w:t>-10</w:t>
      </w:r>
      <w:r>
        <w:rPr>
          <w:rFonts w:hint="eastAsia" w:ascii="Times New Roman"/>
          <w:lang w:val="en-US" w:eastAsia="zh-CN"/>
        </w:rPr>
        <w:t>～</w:t>
      </w:r>
      <w:r>
        <w:rPr>
          <w:rFonts w:hint="eastAsia" w:ascii="Times New Roman"/>
        </w:rPr>
        <w:t>10</w:t>
      </w:r>
      <w:r>
        <w:rPr>
          <w:rFonts w:hint="eastAsia"/>
        </w:rPr>
        <w:t>℃，短期存放（</w:t>
      </w:r>
      <w:r>
        <w:rPr>
          <w:rFonts w:hint="eastAsia" w:ascii="Times New Roman"/>
        </w:rPr>
        <w:t>2</w:t>
      </w:r>
      <w:r>
        <w:rPr>
          <w:rFonts w:hint="eastAsia"/>
        </w:rPr>
        <w:t>周以内）温度</w:t>
      </w:r>
      <w:r>
        <w:rPr>
          <w:rFonts w:hint="eastAsia" w:ascii="Times New Roman"/>
        </w:rPr>
        <w:t>3</w:t>
      </w:r>
      <w:r>
        <w:rPr>
          <w:rFonts w:ascii="Times New Roman"/>
        </w:rPr>
        <w:t>0</w:t>
      </w:r>
      <w:r>
        <w:rPr>
          <w:rFonts w:hint="eastAsia"/>
        </w:rPr>
        <w:t>℃以下。避免紫外线辐射。</w:t>
      </w:r>
    </w:p>
    <w:p w14:paraId="24295D1B">
      <w:pPr>
        <w:pStyle w:val="107"/>
        <w:spacing w:before="120" w:after="120"/>
      </w:pPr>
      <w:r>
        <w:rPr>
          <w:rFonts w:hint="eastAsia"/>
        </w:rPr>
        <w:t>随行文件</w:t>
      </w:r>
    </w:p>
    <w:p w14:paraId="0845F979">
      <w:pPr>
        <w:pStyle w:val="58"/>
        <w:ind w:firstLine="420"/>
        <w:rPr>
          <w:rFonts w:hint="eastAsia"/>
        </w:rPr>
      </w:pPr>
      <w:r>
        <w:rPr>
          <w:rFonts w:hint="eastAsia"/>
        </w:rPr>
        <w:t>每批扩散膜发货均附有本批次产品的检验合格证和送货单。</w:t>
      </w:r>
    </w:p>
    <w:p w14:paraId="49513014">
      <w:pPr>
        <w:pStyle w:val="106"/>
        <w:spacing w:before="240" w:after="240"/>
        <w:rPr>
          <w:rFonts w:hint="eastAsia"/>
        </w:rPr>
      </w:pPr>
      <w:r>
        <w:rPr>
          <w:rFonts w:hint="eastAsia"/>
        </w:rPr>
        <w:t>订货单内容</w:t>
      </w:r>
    </w:p>
    <w:p w14:paraId="5A6157B5">
      <w:pPr>
        <w:pStyle w:val="58"/>
        <w:ind w:firstLine="420"/>
        <w:rPr>
          <w:rFonts w:hint="eastAsia" w:ascii="Times New Roman"/>
        </w:rPr>
      </w:pPr>
      <w:r>
        <w:rPr>
          <w:rFonts w:hint="eastAsia"/>
        </w:rPr>
        <w:t>需方可根据自身的需要，在订购本公司</w:t>
      </w:r>
      <w:r>
        <w:t>所列</w:t>
      </w:r>
      <w:r>
        <w:rPr>
          <w:rFonts w:hint="eastAsia"/>
        </w:rPr>
        <w:t>产品</w:t>
      </w:r>
      <w:r>
        <w:t>的订货单</w:t>
      </w:r>
      <w:r>
        <w:rPr>
          <w:rFonts w:hint="eastAsia"/>
        </w:rPr>
        <w:t>内，列出以下</w:t>
      </w:r>
      <w:r>
        <w:t>内容：</w:t>
      </w:r>
      <w:r>
        <w:rPr>
          <w:rFonts w:ascii="Times New Roman"/>
        </w:rPr>
        <w:t xml:space="preserve"> </w:t>
      </w:r>
    </w:p>
    <w:p w14:paraId="710420A6">
      <w:pPr>
        <w:pStyle w:val="58"/>
        <w:numPr>
          <w:ilvl w:val="1"/>
          <w:numId w:val="32"/>
        </w:numPr>
        <w:ind w:left="840" w:leftChars="0" w:hanging="420" w:firstLineChars="0"/>
        <w:rPr>
          <w:sz w:val="21"/>
          <w:szCs w:val="21"/>
        </w:rPr>
      </w:pPr>
      <w:r>
        <w:rPr>
          <w:rFonts w:hint="eastAsia"/>
          <w:sz w:val="21"/>
          <w:szCs w:val="21"/>
        </w:rPr>
        <w:t>名称；</w:t>
      </w:r>
    </w:p>
    <w:p w14:paraId="72424959">
      <w:pPr>
        <w:pStyle w:val="58"/>
        <w:numPr>
          <w:ilvl w:val="1"/>
          <w:numId w:val="32"/>
        </w:numPr>
        <w:ind w:left="840" w:leftChars="0" w:hanging="420" w:firstLineChars="0"/>
        <w:rPr>
          <w:rFonts w:hint="eastAsia" w:hAnsi="Calibri"/>
          <w:sz w:val="21"/>
          <w:szCs w:val="21"/>
        </w:rPr>
      </w:pPr>
      <w:r>
        <w:rPr>
          <w:rFonts w:hint="eastAsia"/>
          <w:sz w:val="21"/>
          <w:szCs w:val="21"/>
        </w:rPr>
        <w:t>型号；</w:t>
      </w:r>
    </w:p>
    <w:p w14:paraId="1193BA87">
      <w:pPr>
        <w:pStyle w:val="58"/>
        <w:numPr>
          <w:ilvl w:val="1"/>
          <w:numId w:val="32"/>
        </w:numPr>
        <w:ind w:left="840" w:leftChars="0" w:hanging="420" w:firstLineChars="0"/>
        <w:rPr>
          <w:rFonts w:hint="eastAsia"/>
          <w:sz w:val="21"/>
          <w:szCs w:val="21"/>
        </w:rPr>
      </w:pPr>
      <w:r>
        <w:rPr>
          <w:rFonts w:hint="eastAsia"/>
          <w:sz w:val="21"/>
          <w:szCs w:val="21"/>
        </w:rPr>
        <w:t>尺寸；</w:t>
      </w:r>
    </w:p>
    <w:p w14:paraId="13A3BF21">
      <w:pPr>
        <w:pStyle w:val="58"/>
        <w:numPr>
          <w:ilvl w:val="1"/>
          <w:numId w:val="32"/>
        </w:numPr>
        <w:ind w:left="840" w:leftChars="0" w:hanging="420" w:firstLineChars="0"/>
        <w:rPr>
          <w:rFonts w:hint="eastAsia"/>
          <w:sz w:val="21"/>
          <w:szCs w:val="21"/>
        </w:rPr>
      </w:pPr>
      <w:r>
        <w:rPr>
          <w:rFonts w:hint="eastAsia"/>
          <w:sz w:val="21"/>
          <w:szCs w:val="21"/>
        </w:rPr>
        <w:t>数量；</w:t>
      </w:r>
    </w:p>
    <w:p w14:paraId="7824DAD4">
      <w:pPr>
        <w:pStyle w:val="58"/>
        <w:numPr>
          <w:ilvl w:val="1"/>
          <w:numId w:val="32"/>
        </w:numPr>
        <w:ind w:left="840" w:leftChars="0" w:hanging="420" w:firstLineChars="0"/>
        <w:rPr>
          <w:rFonts w:hint="eastAsia"/>
          <w:sz w:val="21"/>
          <w:szCs w:val="21"/>
          <w:lang w:eastAsia="zh-CN"/>
        </w:rPr>
      </w:pPr>
      <w:r>
        <w:rPr>
          <w:rFonts w:hint="eastAsia"/>
          <w:sz w:val="21"/>
          <w:szCs w:val="21"/>
        </w:rPr>
        <w:t>交期</w:t>
      </w:r>
      <w:r>
        <w:rPr>
          <w:rFonts w:hint="eastAsia"/>
          <w:sz w:val="21"/>
          <w:szCs w:val="21"/>
          <w:lang w:eastAsia="zh-CN"/>
        </w:rPr>
        <w:t>；</w:t>
      </w:r>
    </w:p>
    <w:p w14:paraId="04D688E2">
      <w:pPr>
        <w:pStyle w:val="58"/>
        <w:numPr>
          <w:ilvl w:val="1"/>
          <w:numId w:val="32"/>
        </w:numPr>
        <w:ind w:left="840" w:leftChars="0" w:hanging="420" w:firstLineChars="0"/>
        <w:rPr>
          <w:rFonts w:hint="eastAsia"/>
          <w:sz w:val="21"/>
          <w:szCs w:val="21"/>
          <w:highlight w:val="none"/>
        </w:rPr>
      </w:pPr>
      <w:r>
        <w:rPr>
          <w:rFonts w:hint="eastAsia"/>
          <w:sz w:val="21"/>
          <w:szCs w:val="21"/>
          <w:highlight w:val="none"/>
          <w:lang w:val="en-US" w:eastAsia="zh-CN"/>
        </w:rPr>
        <w:t>本文件编号</w:t>
      </w:r>
      <w:r>
        <w:rPr>
          <w:rFonts w:hint="eastAsia"/>
          <w:sz w:val="21"/>
          <w:szCs w:val="21"/>
          <w:highlight w:val="none"/>
        </w:rPr>
        <w:t>；</w:t>
      </w:r>
    </w:p>
    <w:p w14:paraId="5EA678B5">
      <w:pPr>
        <w:pStyle w:val="58"/>
        <w:numPr>
          <w:ilvl w:val="1"/>
          <w:numId w:val="32"/>
        </w:numPr>
        <w:ind w:left="840" w:leftChars="0" w:hanging="420" w:firstLineChars="0"/>
        <w:rPr>
          <w:rFonts w:hint="eastAsia"/>
          <w:sz w:val="21"/>
          <w:szCs w:val="21"/>
        </w:rPr>
      </w:pPr>
      <w:r>
        <w:rPr>
          <w:rFonts w:hint="eastAsia"/>
          <w:sz w:val="21"/>
          <w:szCs w:val="21"/>
        </w:rPr>
        <w:t>其他。</w:t>
      </w:r>
    </w:p>
    <w:p w14:paraId="7EAFB732">
      <w:pPr>
        <w:pStyle w:val="58"/>
        <w:ind w:firstLine="420"/>
      </w:pPr>
    </w:p>
    <w:bookmarkEnd w:id="23"/>
    <w:p w14:paraId="04C4C003">
      <w:pPr>
        <w:pStyle w:val="58"/>
        <w:ind w:firstLine="0" w:firstLineChars="0"/>
        <w:jc w:val="center"/>
      </w:pPr>
      <w:bookmarkStart w:id="46"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stretch>
                      <a:fillRect/>
                    </a:stretch>
                  </pic:blipFill>
                  <pic:spPr>
                    <a:xfrm>
                      <a:off x="0" y="0"/>
                      <a:ext cx="1485900" cy="317500"/>
                    </a:xfrm>
                    <a:prstGeom prst="rect">
                      <a:avLst/>
                    </a:prstGeom>
                  </pic:spPr>
                </pic:pic>
              </a:graphicData>
            </a:graphic>
          </wp:inline>
        </w:drawing>
      </w:r>
      <w:bookmarkEnd w:id="46"/>
    </w:p>
    <w:sectPr>
      <w:pgSz w:w="11906" w:h="16838"/>
      <w:pgMar w:top="1928" w:right="1134" w:bottom="1134" w:left="1134" w:header="1418" w:footer="1134" w:gutter="284"/>
      <w:pgBorders>
        <w:top w:val="none" w:sz="0" w:space="0"/>
        <w:left w:val="none" w:sz="0" w:space="0"/>
        <w:bottom w:val="none" w:sz="0" w:space="0"/>
        <w:right w:val="none" w:sz="0" w:space="0"/>
      </w:pgBorders>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F38FA">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46F84">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BD327">
    <w:pPr>
      <w:pStyle w:val="5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4D27B">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15899">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79D64">
    <w:pPr>
      <w:pStyle w:val="63"/>
    </w:pPr>
    <w:r>
      <w:fldChar w:fldCharType="begin"/>
    </w:r>
    <w:r>
      <w:instrText xml:space="preserve"> STYLEREF  标准文件_文件编号  \* MERGEFORMAT </w:instrText>
    </w:r>
    <w:r>
      <w:fldChar w:fldCharType="separate"/>
    </w:r>
    <w:r>
      <w:t>YS/T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D95F6">
    <w:pPr>
      <w:pStyle w:val="18"/>
      <w:jc w:val="right"/>
    </w:pPr>
    <w:r>
      <w:fldChar w:fldCharType="begin"/>
    </w:r>
    <w:r>
      <w:instrText xml:space="preserve"> STYLEREF  标准文件_文件编号  \* MERGEFORMAT </w:instrText>
    </w:r>
    <w:r>
      <w:fldChar w:fldCharType="separate"/>
    </w:r>
    <w:r>
      <w:t>YS/T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2701"/>
        </w:tabs>
        <w:ind w:left="2701" w:hanging="648"/>
      </w:pPr>
    </w:lvl>
    <w:lvl w:ilvl="1" w:tentative="0">
      <w:start w:val="1"/>
      <w:numFmt w:val="lowerLetter"/>
      <w:lvlText w:val="%2)"/>
      <w:lvlJc w:val="left"/>
      <w:pPr>
        <w:tabs>
          <w:tab w:val="left" w:pos="2893"/>
        </w:tabs>
        <w:ind w:left="2893" w:hanging="420"/>
      </w:pPr>
    </w:lvl>
    <w:lvl w:ilvl="2" w:tentative="0">
      <w:start w:val="1"/>
      <w:numFmt w:val="lowerRoman"/>
      <w:lvlText w:val="%3."/>
      <w:lvlJc w:val="right"/>
      <w:pPr>
        <w:tabs>
          <w:tab w:val="left" w:pos="3313"/>
        </w:tabs>
        <w:ind w:left="3313" w:hanging="420"/>
      </w:pPr>
    </w:lvl>
    <w:lvl w:ilvl="3" w:tentative="0">
      <w:start w:val="1"/>
      <w:numFmt w:val="decimal"/>
      <w:lvlText w:val="%4."/>
      <w:lvlJc w:val="left"/>
      <w:pPr>
        <w:tabs>
          <w:tab w:val="left" w:pos="3733"/>
        </w:tabs>
        <w:ind w:left="3733" w:hanging="420"/>
      </w:pPr>
    </w:lvl>
    <w:lvl w:ilvl="4" w:tentative="0">
      <w:start w:val="1"/>
      <w:numFmt w:val="lowerLetter"/>
      <w:lvlText w:val="%5)"/>
      <w:lvlJc w:val="left"/>
      <w:pPr>
        <w:tabs>
          <w:tab w:val="left" w:pos="4153"/>
        </w:tabs>
        <w:ind w:left="4153" w:hanging="420"/>
      </w:pPr>
    </w:lvl>
    <w:lvl w:ilvl="5" w:tentative="0">
      <w:start w:val="1"/>
      <w:numFmt w:val="lowerRoman"/>
      <w:lvlText w:val="%6."/>
      <w:lvlJc w:val="right"/>
      <w:pPr>
        <w:tabs>
          <w:tab w:val="left" w:pos="4573"/>
        </w:tabs>
        <w:ind w:left="4573" w:hanging="420"/>
      </w:pPr>
    </w:lvl>
    <w:lvl w:ilvl="6" w:tentative="0">
      <w:start w:val="1"/>
      <w:numFmt w:val="decimal"/>
      <w:lvlText w:val="%7."/>
      <w:lvlJc w:val="left"/>
      <w:pPr>
        <w:tabs>
          <w:tab w:val="left" w:pos="4993"/>
        </w:tabs>
        <w:ind w:left="4993" w:hanging="420"/>
      </w:pPr>
    </w:lvl>
    <w:lvl w:ilvl="7" w:tentative="0">
      <w:start w:val="1"/>
      <w:numFmt w:val="lowerLetter"/>
      <w:lvlText w:val="%8)"/>
      <w:lvlJc w:val="left"/>
      <w:pPr>
        <w:tabs>
          <w:tab w:val="left" w:pos="5413"/>
        </w:tabs>
        <w:ind w:left="5413" w:hanging="420"/>
      </w:pPr>
    </w:lvl>
    <w:lvl w:ilvl="8" w:tentative="0">
      <w:start w:val="1"/>
      <w:numFmt w:val="lowerRoman"/>
      <w:lvlText w:val="%9."/>
      <w:lvlJc w:val="right"/>
      <w:pPr>
        <w:tabs>
          <w:tab w:val="left" w:pos="5833"/>
        </w:tabs>
        <w:ind w:left="5833"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2EE57C08"/>
    <w:multiLevelType w:val="multilevel"/>
    <w:tmpl w:val="2EE57C08"/>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241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1" w:cryptProviderType="rsaAES" w:cryptAlgorithmClass="hash" w:cryptAlgorithmType="typeAny" w:cryptAlgorithmSid="14" w:cryptSpinCount="100000" w:hash="F5HoA4CMcLOJpE2ersFN2CYQTiWQVa2Tg3wBx+7VfjxDmCVwybyNt2jP8RMiWOPORj42iU9cw86t5znvI3PRYg==" w:salt="kZHaRE+PPoGx8BFfwfONH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MDJiNDYyMTkxZDI4YmFhNTAyMzJjOTJjNWRjMmUifQ=="/>
  </w:docVars>
  <w:rsids>
    <w:rsidRoot w:val="00172A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60DF"/>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4B7"/>
    <w:rsid w:val="003B1F18"/>
    <w:rsid w:val="003B5BF0"/>
    <w:rsid w:val="003B60BF"/>
    <w:rsid w:val="003B6BE3"/>
    <w:rsid w:val="003C010C"/>
    <w:rsid w:val="003C0A6C"/>
    <w:rsid w:val="003C2859"/>
    <w:rsid w:val="003C5A43"/>
    <w:rsid w:val="003D0519"/>
    <w:rsid w:val="003D0FF6"/>
    <w:rsid w:val="003D262C"/>
    <w:rsid w:val="003D31B2"/>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86D88"/>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1C01"/>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B"/>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9F2E6D"/>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35D3"/>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5E17"/>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397B"/>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D0A"/>
    <w:rsid w:val="00FF3E7D"/>
    <w:rsid w:val="00FF5B99"/>
    <w:rsid w:val="00FF730C"/>
    <w:rsid w:val="00FF73F4"/>
    <w:rsid w:val="00FF7CE4"/>
    <w:rsid w:val="00FF7E39"/>
    <w:rsid w:val="018E781B"/>
    <w:rsid w:val="01D51F90"/>
    <w:rsid w:val="0273635F"/>
    <w:rsid w:val="04256C64"/>
    <w:rsid w:val="04402271"/>
    <w:rsid w:val="0580326D"/>
    <w:rsid w:val="060774EA"/>
    <w:rsid w:val="06C93B9C"/>
    <w:rsid w:val="070168AA"/>
    <w:rsid w:val="08406515"/>
    <w:rsid w:val="0977247A"/>
    <w:rsid w:val="09A908B8"/>
    <w:rsid w:val="0AE41BA8"/>
    <w:rsid w:val="0BD74384"/>
    <w:rsid w:val="0D676AC1"/>
    <w:rsid w:val="0F621C35"/>
    <w:rsid w:val="0F783F3B"/>
    <w:rsid w:val="0FB87AA7"/>
    <w:rsid w:val="10354C54"/>
    <w:rsid w:val="10645539"/>
    <w:rsid w:val="11CC3396"/>
    <w:rsid w:val="124473D0"/>
    <w:rsid w:val="12CA1FCB"/>
    <w:rsid w:val="14290F74"/>
    <w:rsid w:val="156D6C3E"/>
    <w:rsid w:val="17457E73"/>
    <w:rsid w:val="179B584A"/>
    <w:rsid w:val="18EE5668"/>
    <w:rsid w:val="1A134258"/>
    <w:rsid w:val="1ABA17AB"/>
    <w:rsid w:val="1B6034CD"/>
    <w:rsid w:val="1DDD721A"/>
    <w:rsid w:val="1F4629DA"/>
    <w:rsid w:val="211C7E96"/>
    <w:rsid w:val="217A6BD0"/>
    <w:rsid w:val="229D5917"/>
    <w:rsid w:val="22F37752"/>
    <w:rsid w:val="23243032"/>
    <w:rsid w:val="23AB3753"/>
    <w:rsid w:val="24E15EF2"/>
    <w:rsid w:val="24E707BB"/>
    <w:rsid w:val="25A14E0E"/>
    <w:rsid w:val="25C24D84"/>
    <w:rsid w:val="27313F6F"/>
    <w:rsid w:val="27CD76E6"/>
    <w:rsid w:val="284E28FF"/>
    <w:rsid w:val="294A328B"/>
    <w:rsid w:val="298F1421"/>
    <w:rsid w:val="2B125E66"/>
    <w:rsid w:val="2B6366C1"/>
    <w:rsid w:val="2CD94E8D"/>
    <w:rsid w:val="2D2F0F51"/>
    <w:rsid w:val="2ED44965"/>
    <w:rsid w:val="2F135899"/>
    <w:rsid w:val="2F603644"/>
    <w:rsid w:val="2FAA2B11"/>
    <w:rsid w:val="2FC5794B"/>
    <w:rsid w:val="306C6018"/>
    <w:rsid w:val="31003F58"/>
    <w:rsid w:val="320A5AE9"/>
    <w:rsid w:val="3310712F"/>
    <w:rsid w:val="33C61EE3"/>
    <w:rsid w:val="347B0F20"/>
    <w:rsid w:val="36394BEF"/>
    <w:rsid w:val="36CB0427"/>
    <w:rsid w:val="374455F9"/>
    <w:rsid w:val="380134EA"/>
    <w:rsid w:val="383A6A9F"/>
    <w:rsid w:val="38A1115E"/>
    <w:rsid w:val="38F8063F"/>
    <w:rsid w:val="39100AD4"/>
    <w:rsid w:val="3A8F1281"/>
    <w:rsid w:val="3ACA22B9"/>
    <w:rsid w:val="3B5B5607"/>
    <w:rsid w:val="3CCF4271"/>
    <w:rsid w:val="3D3C5A02"/>
    <w:rsid w:val="3DAA47D2"/>
    <w:rsid w:val="3ECB6600"/>
    <w:rsid w:val="3F88629F"/>
    <w:rsid w:val="3F8A5554"/>
    <w:rsid w:val="407209E5"/>
    <w:rsid w:val="40827192"/>
    <w:rsid w:val="40992121"/>
    <w:rsid w:val="41E86553"/>
    <w:rsid w:val="43025284"/>
    <w:rsid w:val="430420E0"/>
    <w:rsid w:val="43A37B4B"/>
    <w:rsid w:val="43DB36F4"/>
    <w:rsid w:val="4473751E"/>
    <w:rsid w:val="47215957"/>
    <w:rsid w:val="478A430A"/>
    <w:rsid w:val="47C85DD2"/>
    <w:rsid w:val="48030BB8"/>
    <w:rsid w:val="48EC3A55"/>
    <w:rsid w:val="4A095422"/>
    <w:rsid w:val="4BC845F3"/>
    <w:rsid w:val="4BED5E07"/>
    <w:rsid w:val="4D333CEE"/>
    <w:rsid w:val="4DF416CF"/>
    <w:rsid w:val="4E2875CB"/>
    <w:rsid w:val="4EA3352B"/>
    <w:rsid w:val="4FC94E2D"/>
    <w:rsid w:val="4FE87012"/>
    <w:rsid w:val="50757EB0"/>
    <w:rsid w:val="527A7E91"/>
    <w:rsid w:val="533407C0"/>
    <w:rsid w:val="57AF48B9"/>
    <w:rsid w:val="58FC3B2E"/>
    <w:rsid w:val="5A81253D"/>
    <w:rsid w:val="5B0D5733"/>
    <w:rsid w:val="5BB65F6A"/>
    <w:rsid w:val="5C403D31"/>
    <w:rsid w:val="5C7A5495"/>
    <w:rsid w:val="5C9A5B38"/>
    <w:rsid w:val="62E93375"/>
    <w:rsid w:val="62F11732"/>
    <w:rsid w:val="63402869"/>
    <w:rsid w:val="63973498"/>
    <w:rsid w:val="63B20A10"/>
    <w:rsid w:val="6410048D"/>
    <w:rsid w:val="6861575B"/>
    <w:rsid w:val="691174A4"/>
    <w:rsid w:val="69F148BD"/>
    <w:rsid w:val="6A4914CC"/>
    <w:rsid w:val="6ACB3360"/>
    <w:rsid w:val="6EFC61DE"/>
    <w:rsid w:val="6F3C482C"/>
    <w:rsid w:val="7169742F"/>
    <w:rsid w:val="720F447A"/>
    <w:rsid w:val="72807126"/>
    <w:rsid w:val="73463ECB"/>
    <w:rsid w:val="73B01345"/>
    <w:rsid w:val="77505319"/>
    <w:rsid w:val="77A967D7"/>
    <w:rsid w:val="787D77E6"/>
    <w:rsid w:val="79D12015"/>
    <w:rsid w:val="7A37631C"/>
    <w:rsid w:val="7A9E2C28"/>
    <w:rsid w:val="7B4D7666"/>
    <w:rsid w:val="7C605FFE"/>
    <w:rsid w:val="7CA37C99"/>
    <w:rsid w:val="7CA81753"/>
    <w:rsid w:val="7D2C7C8E"/>
    <w:rsid w:val="7DB304E8"/>
    <w:rsid w:val="7E383A7F"/>
    <w:rsid w:val="7F052E8D"/>
    <w:rsid w:val="7FE63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6"/>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autoRedefine/>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38"/>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9"/>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8"/>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7"/>
    <w:autoRedefine/>
    <w:semiHidden/>
    <w:unhideWhenUsed/>
    <w:qFormat/>
    <w:uiPriority w:val="99"/>
    <w:rPr>
      <w:sz w:val="18"/>
      <w:szCs w:val="18"/>
    </w:rPr>
  </w:style>
  <w:style w:type="paragraph" w:styleId="17">
    <w:name w:val="footer"/>
    <w:basedOn w:val="1"/>
    <w:link w:val="46"/>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5"/>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1"/>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Body Text 2"/>
    <w:basedOn w:val="1"/>
    <w:link w:val="232"/>
    <w:autoRedefine/>
    <w:unhideWhenUsed/>
    <w:qFormat/>
    <w:uiPriority w:val="99"/>
    <w:pPr>
      <w:adjustRightInd/>
      <w:spacing w:line="240" w:lineRule="auto"/>
      <w:jc w:val="left"/>
    </w:pPr>
    <w:rPr>
      <w:rFonts w:ascii="Times New Roman" w:hAnsi="Times New Roman"/>
      <w:sz w:val="24"/>
      <w:szCs w:val="24"/>
    </w:rPr>
  </w:style>
  <w:style w:type="paragraph" w:styleId="26">
    <w:name w:val="Normal (Web)"/>
    <w:basedOn w:val="1"/>
    <w:autoRedefine/>
    <w:qFormat/>
    <w:uiPriority w:val="0"/>
    <w:rPr>
      <w:sz w:val="24"/>
    </w:rPr>
  </w:style>
  <w:style w:type="paragraph" w:styleId="27">
    <w:name w:val="Title"/>
    <w:basedOn w:val="1"/>
    <w:link w:val="50"/>
    <w:autoRedefine/>
    <w:qFormat/>
    <w:uiPriority w:val="0"/>
    <w:pPr>
      <w:spacing w:before="240" w:after="60"/>
      <w:jc w:val="center"/>
      <w:outlineLvl w:val="0"/>
    </w:pPr>
    <w:rPr>
      <w:rFonts w:ascii="Arial" w:hAnsi="Arial" w:cs="Arial"/>
      <w:b/>
      <w:bCs/>
      <w:sz w:val="32"/>
      <w:szCs w:val="32"/>
    </w:rPr>
  </w:style>
  <w:style w:type="table" w:styleId="29">
    <w:name w:val="Table Grid"/>
    <w:basedOn w:val="2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footnote reference"/>
    <w:autoRedefine/>
    <w:semiHidden/>
    <w:qFormat/>
    <w:uiPriority w:val="0"/>
    <w:rPr>
      <w:rFonts w:ascii="宋体" w:hAnsi="宋体" w:eastAsia="宋体" w:cs="Times New Roman"/>
      <w:spacing w:val="0"/>
      <w:sz w:val="18"/>
      <w:vertAlign w:val="superscript"/>
    </w:rPr>
  </w:style>
  <w:style w:type="character" w:customStyle="1" w:styleId="36">
    <w:name w:val="标题 1 Char"/>
    <w:link w:val="3"/>
    <w:autoRedefine/>
    <w:qFormat/>
    <w:uiPriority w:val="0"/>
    <w:rPr>
      <w:b/>
      <w:bCs/>
      <w:kern w:val="44"/>
      <w:sz w:val="44"/>
      <w:szCs w:val="44"/>
    </w:rPr>
  </w:style>
  <w:style w:type="character" w:customStyle="1" w:styleId="37">
    <w:name w:val="标题 2 Char"/>
    <w:link w:val="4"/>
    <w:autoRedefine/>
    <w:qFormat/>
    <w:uiPriority w:val="0"/>
    <w:rPr>
      <w:rFonts w:ascii="Arial" w:hAnsi="Arial" w:eastAsia="黑体"/>
      <w:b/>
      <w:bCs/>
      <w:kern w:val="2"/>
      <w:sz w:val="32"/>
      <w:szCs w:val="32"/>
    </w:rPr>
  </w:style>
  <w:style w:type="character" w:customStyle="1" w:styleId="38">
    <w:name w:val="标题 3 Char"/>
    <w:link w:val="2"/>
    <w:autoRedefine/>
    <w:qFormat/>
    <w:uiPriority w:val="0"/>
    <w:rPr>
      <w:b/>
      <w:bCs/>
      <w:kern w:val="2"/>
      <w:sz w:val="32"/>
      <w:szCs w:val="32"/>
    </w:rPr>
  </w:style>
  <w:style w:type="character" w:customStyle="1" w:styleId="39">
    <w:name w:val="标题 4 Char"/>
    <w:link w:val="5"/>
    <w:autoRedefine/>
    <w:qFormat/>
    <w:uiPriority w:val="0"/>
    <w:rPr>
      <w:rFonts w:ascii="Arial" w:hAnsi="Arial" w:eastAsia="黑体"/>
      <w:b/>
      <w:bCs/>
      <w:kern w:val="2"/>
      <w:sz w:val="28"/>
      <w:szCs w:val="28"/>
    </w:rPr>
  </w:style>
  <w:style w:type="character" w:customStyle="1" w:styleId="40">
    <w:name w:val="标题 5 Char"/>
    <w:link w:val="6"/>
    <w:autoRedefine/>
    <w:qFormat/>
    <w:uiPriority w:val="0"/>
    <w:rPr>
      <w:b/>
      <w:bCs/>
      <w:kern w:val="2"/>
      <w:sz w:val="28"/>
      <w:szCs w:val="28"/>
    </w:rPr>
  </w:style>
  <w:style w:type="character" w:customStyle="1" w:styleId="41">
    <w:name w:val="标题 6 Char"/>
    <w:link w:val="7"/>
    <w:autoRedefine/>
    <w:qFormat/>
    <w:uiPriority w:val="0"/>
    <w:rPr>
      <w:rFonts w:ascii="Arial" w:hAnsi="Arial" w:eastAsia="黑体"/>
      <w:b/>
      <w:bCs/>
      <w:kern w:val="2"/>
      <w:sz w:val="24"/>
      <w:szCs w:val="24"/>
    </w:rPr>
  </w:style>
  <w:style w:type="character" w:customStyle="1" w:styleId="42">
    <w:name w:val="标题 7 Char"/>
    <w:link w:val="8"/>
    <w:autoRedefine/>
    <w:qFormat/>
    <w:uiPriority w:val="0"/>
    <w:rPr>
      <w:b/>
      <w:bCs/>
      <w:kern w:val="2"/>
      <w:sz w:val="24"/>
      <w:szCs w:val="24"/>
    </w:rPr>
  </w:style>
  <w:style w:type="character" w:customStyle="1" w:styleId="43">
    <w:name w:val="标题 8 Char"/>
    <w:link w:val="9"/>
    <w:autoRedefine/>
    <w:qFormat/>
    <w:uiPriority w:val="0"/>
    <w:rPr>
      <w:rFonts w:ascii="Arial" w:hAnsi="Arial" w:eastAsia="黑体"/>
      <w:kern w:val="2"/>
      <w:sz w:val="24"/>
      <w:szCs w:val="24"/>
    </w:rPr>
  </w:style>
  <w:style w:type="character" w:customStyle="1" w:styleId="44">
    <w:name w:val="标题 9 Char"/>
    <w:link w:val="10"/>
    <w:autoRedefine/>
    <w:qFormat/>
    <w:uiPriority w:val="0"/>
    <w:rPr>
      <w:rFonts w:ascii="Arial" w:hAnsi="Arial" w:eastAsia="黑体"/>
      <w:kern w:val="2"/>
      <w:sz w:val="21"/>
      <w:szCs w:val="21"/>
    </w:rPr>
  </w:style>
  <w:style w:type="character" w:customStyle="1" w:styleId="45">
    <w:name w:val="页眉 Char"/>
    <w:link w:val="18"/>
    <w:autoRedefine/>
    <w:qFormat/>
    <w:uiPriority w:val="99"/>
    <w:rPr>
      <w:kern w:val="2"/>
      <w:sz w:val="18"/>
      <w:szCs w:val="18"/>
    </w:rPr>
  </w:style>
  <w:style w:type="character" w:customStyle="1" w:styleId="46">
    <w:name w:val="页脚 Char"/>
    <w:link w:val="17"/>
    <w:autoRedefine/>
    <w:qFormat/>
    <w:uiPriority w:val="99"/>
    <w:rPr>
      <w:rFonts w:ascii="宋体"/>
      <w:kern w:val="2"/>
      <w:sz w:val="18"/>
      <w:szCs w:val="18"/>
    </w:rPr>
  </w:style>
  <w:style w:type="character" w:customStyle="1" w:styleId="47">
    <w:name w:val="批注框文本 Char"/>
    <w:link w:val="16"/>
    <w:autoRedefine/>
    <w:semiHidden/>
    <w:qFormat/>
    <w:uiPriority w:val="99"/>
    <w:rPr>
      <w:kern w:val="2"/>
      <w:sz w:val="18"/>
      <w:szCs w:val="18"/>
    </w:rPr>
  </w:style>
  <w:style w:type="paragraph" w:styleId="48">
    <w:name w:val="Quote"/>
    <w:basedOn w:val="1"/>
    <w:next w:val="1"/>
    <w:link w:val="49"/>
    <w:autoRedefine/>
    <w:qFormat/>
    <w:uiPriority w:val="29"/>
    <w:rPr>
      <w:i/>
      <w:iCs/>
      <w:color w:val="000000"/>
    </w:rPr>
  </w:style>
  <w:style w:type="character" w:customStyle="1" w:styleId="49">
    <w:name w:val="引用 Char"/>
    <w:link w:val="48"/>
    <w:autoRedefine/>
    <w:qFormat/>
    <w:uiPriority w:val="29"/>
    <w:rPr>
      <w:i/>
      <w:iCs/>
      <w:color w:val="000000"/>
      <w:kern w:val="2"/>
      <w:sz w:val="21"/>
      <w:szCs w:val="21"/>
    </w:rPr>
  </w:style>
  <w:style w:type="character" w:customStyle="1" w:styleId="50">
    <w:name w:val="标题 Char"/>
    <w:link w:val="27"/>
    <w:autoRedefine/>
    <w:qFormat/>
    <w:uiPriority w:val="0"/>
    <w:rPr>
      <w:rFonts w:ascii="Arial" w:hAnsi="Arial" w:cs="Arial"/>
      <w:b/>
      <w:bCs/>
      <w:kern w:val="2"/>
      <w:sz w:val="32"/>
      <w:szCs w:val="32"/>
    </w:rPr>
  </w:style>
  <w:style w:type="paragraph" w:customStyle="1" w:styleId="5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autoRedefine/>
    <w:qFormat/>
    <w:uiPriority w:val="0"/>
    <w:pPr>
      <w:spacing w:line="0" w:lineRule="atLeast"/>
    </w:pPr>
    <w:rPr>
      <w:rFonts w:ascii="黑体" w:hAnsi="宋体" w:eastAsia="黑体"/>
    </w:rPr>
  </w:style>
  <w:style w:type="paragraph" w:customStyle="1" w:styleId="57">
    <w:name w:val="标准文件_标准正文"/>
    <w:basedOn w:val="1"/>
    <w:next w:val="58"/>
    <w:autoRedefine/>
    <w:qFormat/>
    <w:uiPriority w:val="0"/>
    <w:pPr>
      <w:snapToGrid w:val="0"/>
      <w:ind w:firstLine="200" w:firstLineChars="200"/>
    </w:pPr>
    <w:rPr>
      <w:kern w:val="0"/>
    </w:rPr>
  </w:style>
  <w:style w:type="paragraph" w:customStyle="1" w:styleId="58">
    <w:name w:val="标准文件_段"/>
    <w:link w:val="18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autoRedefine/>
    <w:qFormat/>
    <w:uiPriority w:val="0"/>
    <w:pPr>
      <w:adjustRightInd/>
      <w:snapToGrid/>
      <w:ind w:firstLine="0" w:firstLineChars="0"/>
    </w:pPr>
    <w:rPr>
      <w:rFonts w:ascii="宋体" w:hAnsi="宋体"/>
      <w:kern w:val="2"/>
    </w:rPr>
  </w:style>
  <w:style w:type="paragraph" w:customStyle="1" w:styleId="60">
    <w:name w:val="标准文件_标准部门"/>
    <w:basedOn w:val="1"/>
    <w:autoRedefine/>
    <w:qFormat/>
    <w:uiPriority w:val="0"/>
    <w:pPr>
      <w:jc w:val="center"/>
    </w:pPr>
    <w:rPr>
      <w:rFonts w:ascii="黑体" w:eastAsia="黑体"/>
      <w:kern w:val="0"/>
      <w:sz w:val="44"/>
    </w:rPr>
  </w:style>
  <w:style w:type="paragraph" w:customStyle="1" w:styleId="61">
    <w:name w:val="标准文件_标准代替"/>
    <w:basedOn w:val="1"/>
    <w:next w:val="1"/>
    <w:autoRedefine/>
    <w:qFormat/>
    <w:uiPriority w:val="0"/>
    <w:pPr>
      <w:spacing w:line="310" w:lineRule="exact"/>
      <w:jc w:val="right"/>
    </w:pPr>
    <w:rPr>
      <w:rFonts w:ascii="宋体" w:hAnsi="宋体"/>
      <w:kern w:val="0"/>
    </w:rPr>
  </w:style>
  <w:style w:type="paragraph" w:customStyle="1" w:styleId="62">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autoRedefine/>
    <w:qFormat/>
    <w:uiPriority w:val="0"/>
    <w:pPr>
      <w:jc w:val="left"/>
    </w:pPr>
  </w:style>
  <w:style w:type="paragraph" w:customStyle="1" w:styleId="65">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6">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8">
    <w:name w:val="标准文件_发布"/>
    <w:autoRedefine/>
    <w:qFormat/>
    <w:uiPriority w:val="0"/>
    <w:rPr>
      <w:rFonts w:ascii="黑体" w:eastAsia="黑体"/>
      <w:spacing w:val="0"/>
      <w:w w:val="100"/>
      <w:position w:val="3"/>
      <w:sz w:val="28"/>
    </w:rPr>
  </w:style>
  <w:style w:type="paragraph" w:customStyle="1" w:styleId="69">
    <w:name w:val="标准文件_方框数字列项"/>
    <w:basedOn w:val="58"/>
    <w:autoRedefine/>
    <w:qFormat/>
    <w:uiPriority w:val="0"/>
    <w:pPr>
      <w:numPr>
        <w:ilvl w:val="0"/>
        <w:numId w:val="3"/>
      </w:numPr>
      <w:ind w:firstLine="0" w:firstLineChars="0"/>
    </w:pPr>
  </w:style>
  <w:style w:type="paragraph" w:customStyle="1" w:styleId="70">
    <w:name w:val="标准文件_封面标准编号"/>
    <w:basedOn w:val="1"/>
    <w:next w:val="61"/>
    <w:autoRedefine/>
    <w:qFormat/>
    <w:uiPriority w:val="0"/>
    <w:pPr>
      <w:spacing w:line="310" w:lineRule="exact"/>
      <w:jc w:val="right"/>
    </w:pPr>
    <w:rPr>
      <w:rFonts w:ascii="黑体" w:eastAsia="黑体"/>
      <w:kern w:val="0"/>
      <w:sz w:val="28"/>
    </w:rPr>
  </w:style>
  <w:style w:type="paragraph" w:customStyle="1" w:styleId="71">
    <w:name w:val="标准文件_封面标准分类号"/>
    <w:basedOn w:val="1"/>
    <w:autoRedefine/>
    <w:qFormat/>
    <w:uiPriority w:val="0"/>
    <w:rPr>
      <w:rFonts w:ascii="黑体" w:eastAsia="黑体"/>
      <w:b/>
      <w:kern w:val="0"/>
      <w:sz w:val="28"/>
    </w:rPr>
  </w:style>
  <w:style w:type="paragraph" w:customStyle="1" w:styleId="72">
    <w:name w:val="标准文件_封面标准名称"/>
    <w:basedOn w:val="1"/>
    <w:autoRedefine/>
    <w:qFormat/>
    <w:uiPriority w:val="0"/>
    <w:pPr>
      <w:spacing w:line="240" w:lineRule="auto"/>
      <w:jc w:val="center"/>
    </w:pPr>
    <w:rPr>
      <w:rFonts w:ascii="黑体" w:eastAsia="黑体"/>
      <w:kern w:val="0"/>
      <w:sz w:val="52"/>
    </w:rPr>
  </w:style>
  <w:style w:type="paragraph" w:customStyle="1" w:styleId="73">
    <w:name w:val="标准文件_封面标准英文名称"/>
    <w:basedOn w:val="1"/>
    <w:autoRedefine/>
    <w:qFormat/>
    <w:uiPriority w:val="0"/>
    <w:pPr>
      <w:spacing w:line="240" w:lineRule="auto"/>
      <w:jc w:val="center"/>
    </w:pPr>
    <w:rPr>
      <w:rFonts w:ascii="黑体" w:eastAsia="黑体"/>
      <w:b/>
      <w:sz w:val="28"/>
    </w:rPr>
  </w:style>
  <w:style w:type="paragraph" w:customStyle="1" w:styleId="74">
    <w:name w:val="标准文件_封面发布日期"/>
    <w:basedOn w:val="1"/>
    <w:autoRedefine/>
    <w:qFormat/>
    <w:uiPriority w:val="0"/>
    <w:pPr>
      <w:spacing w:line="310" w:lineRule="exact"/>
    </w:pPr>
    <w:rPr>
      <w:rFonts w:ascii="黑体" w:eastAsia="黑体"/>
      <w:kern w:val="0"/>
      <w:sz w:val="28"/>
    </w:rPr>
  </w:style>
  <w:style w:type="paragraph" w:customStyle="1" w:styleId="75">
    <w:name w:val="标准文件_封面密级"/>
    <w:basedOn w:val="1"/>
    <w:autoRedefine/>
    <w:qFormat/>
    <w:uiPriority w:val="0"/>
    <w:rPr>
      <w:rFonts w:eastAsia="黑体"/>
      <w:sz w:val="32"/>
    </w:rPr>
  </w:style>
  <w:style w:type="paragraph" w:customStyle="1" w:styleId="76">
    <w:name w:val="标准文件_封面实施日期"/>
    <w:basedOn w:val="1"/>
    <w:autoRedefine/>
    <w:qFormat/>
    <w:uiPriority w:val="0"/>
    <w:pPr>
      <w:spacing w:line="310" w:lineRule="exact"/>
      <w:jc w:val="right"/>
    </w:pPr>
    <w:rPr>
      <w:rFonts w:ascii="黑体" w:eastAsia="黑体"/>
      <w:sz w:val="28"/>
    </w:rPr>
  </w:style>
  <w:style w:type="paragraph" w:customStyle="1" w:styleId="77">
    <w:name w:val="标准文件_封面抬头"/>
    <w:basedOn w:val="58"/>
    <w:autoRedefine/>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autoRedefine/>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3"/>
    <w:autoRedefine/>
    <w:qFormat/>
    <w:uiPriority w:val="0"/>
    <w:rPr>
      <w:kern w:val="2"/>
      <w:sz w:val="21"/>
      <w:szCs w:val="21"/>
    </w:rPr>
  </w:style>
  <w:style w:type="paragraph" w:customStyle="1" w:styleId="89">
    <w:name w:val="标准文件_附录章标题"/>
    <w:next w:val="58"/>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autoRedefine/>
    <w:qFormat/>
    <w:uiPriority w:val="0"/>
    <w:pPr>
      <w:ind w:left="488" w:leftChars="200" w:hanging="289" w:hangingChars="290"/>
    </w:pPr>
  </w:style>
  <w:style w:type="paragraph" w:customStyle="1" w:styleId="91">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autoRedefine/>
    <w:qFormat/>
    <w:uiPriority w:val="0"/>
    <w:pPr>
      <w:spacing w:line="460" w:lineRule="exact"/>
      <w:ind w:left="0" w:firstLine="0"/>
    </w:pPr>
  </w:style>
  <w:style w:type="paragraph" w:customStyle="1" w:styleId="93">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4">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autoRedefine/>
    <w:qFormat/>
    <w:uiPriority w:val="0"/>
    <w:pPr>
      <w:numPr>
        <w:numId w:val="10"/>
      </w:numPr>
    </w:pPr>
  </w:style>
  <w:style w:type="paragraph" w:customStyle="1" w:styleId="96">
    <w:name w:val="标准文件_三级条标题"/>
    <w:basedOn w:val="67"/>
    <w:next w:val="58"/>
    <w:autoRedefine/>
    <w:qFormat/>
    <w:uiPriority w:val="0"/>
    <w:pPr>
      <w:widowControl/>
      <w:numPr>
        <w:ilvl w:val="4"/>
      </w:numPr>
      <w:outlineLvl w:val="3"/>
    </w:pPr>
  </w:style>
  <w:style w:type="character" w:customStyle="1" w:styleId="97">
    <w:name w:val="Subtle Reference"/>
    <w:autoRedefine/>
    <w:qFormat/>
    <w:uiPriority w:val="31"/>
    <w:rPr>
      <w:smallCaps/>
      <w:color w:val="C0504D"/>
      <w:u w:val="single"/>
    </w:rPr>
  </w:style>
  <w:style w:type="paragraph" w:customStyle="1" w:styleId="98">
    <w:name w:val="标准文件_示例后续"/>
    <w:basedOn w:val="1"/>
    <w:autoRedefine/>
    <w:qFormat/>
    <w:uiPriority w:val="0"/>
    <w:pPr>
      <w:adjustRightInd/>
      <w:spacing w:line="240" w:lineRule="auto"/>
      <w:ind w:firstLine="200" w:firstLineChars="200"/>
    </w:pPr>
    <w:rPr>
      <w:sz w:val="18"/>
      <w:szCs w:val="24"/>
    </w:rPr>
  </w:style>
  <w:style w:type="paragraph" w:customStyle="1" w:styleId="99">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1"/>
    <w:autoRedefine/>
    <w:semiHidden/>
    <w:qFormat/>
    <w:uiPriority w:val="0"/>
    <w:rPr>
      <w:rFonts w:ascii="宋体"/>
      <w:kern w:val="2"/>
      <w:sz w:val="18"/>
      <w:szCs w:val="18"/>
    </w:rPr>
  </w:style>
  <w:style w:type="paragraph" w:customStyle="1" w:styleId="102">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autoRedefine/>
    <w:qFormat/>
    <w:uiPriority w:val="0"/>
    <w:pPr>
      <w:numPr>
        <w:ilvl w:val="0"/>
        <w:numId w:val="12"/>
      </w:numPr>
      <w:spacing w:line="240" w:lineRule="auto"/>
      <w:jc w:val="left"/>
    </w:pPr>
    <w:rPr>
      <w:rFonts w:ascii="宋体" w:hAnsi="宋体"/>
      <w:sz w:val="18"/>
    </w:rPr>
  </w:style>
  <w:style w:type="character" w:customStyle="1" w:styleId="104">
    <w:name w:val="标准文件_图表脚注内容"/>
    <w:autoRedefine/>
    <w:qFormat/>
    <w:uiPriority w:val="0"/>
    <w:rPr>
      <w:rFonts w:ascii="宋体" w:hAnsi="宋体" w:eastAsia="宋体" w:cs="Times New Roman"/>
      <w:spacing w:val="0"/>
      <w:sz w:val="18"/>
      <w:vertAlign w:val="superscript"/>
    </w:rPr>
  </w:style>
  <w:style w:type="paragraph" w:customStyle="1" w:styleId="105">
    <w:name w:val="标准文件_五级条标题"/>
    <w:next w:val="58"/>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autoRedefine/>
    <w:qFormat/>
    <w:uiPriority w:val="0"/>
    <w:pPr>
      <w:numPr>
        <w:ilvl w:val="2"/>
      </w:numPr>
      <w:spacing w:before="50" w:beforeLines="50" w:after="50" w:afterLines="50"/>
      <w:outlineLvl w:val="1"/>
    </w:pPr>
  </w:style>
  <w:style w:type="paragraph" w:customStyle="1" w:styleId="108">
    <w:name w:val="标准文件_一致程度"/>
    <w:basedOn w:val="1"/>
    <w:autoRedefine/>
    <w:qFormat/>
    <w:uiPriority w:val="0"/>
    <w:pPr>
      <w:spacing w:line="440" w:lineRule="exact"/>
      <w:jc w:val="center"/>
    </w:pPr>
    <w:rPr>
      <w:sz w:val="28"/>
    </w:rPr>
  </w:style>
  <w:style w:type="paragraph" w:customStyle="1" w:styleId="109">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autoRedefine/>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autoRedefine/>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1">
    <w:name w:val="发布部门"/>
    <w:next w:val="5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autoRedefine/>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autoRedefine/>
    <w:qFormat/>
    <w:uiPriority w:val="0"/>
    <w:pPr>
      <w:outlineLvl w:val="4"/>
    </w:pPr>
  </w:style>
  <w:style w:type="paragraph" w:customStyle="1" w:styleId="132">
    <w:name w:val="附录四级无标题条"/>
    <w:basedOn w:val="131"/>
    <w:next w:val="58"/>
    <w:autoRedefine/>
    <w:qFormat/>
    <w:uiPriority w:val="0"/>
    <w:pPr>
      <w:outlineLvl w:val="5"/>
    </w:pPr>
  </w:style>
  <w:style w:type="paragraph" w:customStyle="1" w:styleId="133">
    <w:name w:val="附录图"/>
    <w:next w:val="58"/>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autoRedefine/>
    <w:qFormat/>
    <w:uiPriority w:val="0"/>
    <w:pPr>
      <w:outlineLvl w:val="6"/>
    </w:pPr>
  </w:style>
  <w:style w:type="paragraph" w:customStyle="1" w:styleId="136">
    <w:name w:val="附录性质"/>
    <w:basedOn w:val="1"/>
    <w:autoRedefine/>
    <w:qFormat/>
    <w:uiPriority w:val="0"/>
    <w:pPr>
      <w:widowControl/>
      <w:adjustRightInd/>
      <w:jc w:val="center"/>
    </w:pPr>
    <w:rPr>
      <w:rFonts w:ascii="黑体" w:eastAsia="黑体"/>
    </w:rPr>
  </w:style>
  <w:style w:type="paragraph" w:customStyle="1" w:styleId="137">
    <w:name w:val="附录一级无标题条"/>
    <w:basedOn w:val="89"/>
    <w:next w:val="58"/>
    <w:autoRedefine/>
    <w:qFormat/>
    <w:uiPriority w:val="0"/>
    <w:pPr>
      <w:autoSpaceDN w:val="0"/>
      <w:outlineLvl w:val="2"/>
    </w:pPr>
    <w:rPr>
      <w:rFonts w:ascii="宋体" w:hAnsi="宋体" w:eastAsia="宋体"/>
    </w:rPr>
  </w:style>
  <w:style w:type="character" w:customStyle="1" w:styleId="138">
    <w:name w:val="个人答复风格"/>
    <w:autoRedefine/>
    <w:qFormat/>
    <w:uiPriority w:val="0"/>
    <w:rPr>
      <w:rFonts w:ascii="Arial" w:hAnsi="Arial" w:eastAsia="宋体" w:cs="Arial"/>
      <w:color w:val="auto"/>
      <w:spacing w:val="0"/>
      <w:sz w:val="20"/>
    </w:rPr>
  </w:style>
  <w:style w:type="character" w:customStyle="1" w:styleId="139">
    <w:name w:val="个人撰写风格"/>
    <w:autoRedefine/>
    <w:qFormat/>
    <w:uiPriority w:val="0"/>
    <w:rPr>
      <w:rFonts w:ascii="Arial" w:hAnsi="Arial" w:eastAsia="宋体" w:cs="Arial"/>
      <w:color w:val="auto"/>
      <w:spacing w:val="0"/>
      <w:sz w:val="20"/>
    </w:rPr>
  </w:style>
  <w:style w:type="paragraph" w:customStyle="1" w:styleId="140">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autoRedefine/>
    <w:qFormat/>
    <w:uiPriority w:val="0"/>
    <w:pPr>
      <w:tabs>
        <w:tab w:val="left" w:pos="840"/>
      </w:tabs>
    </w:pPr>
  </w:style>
  <w:style w:type="paragraph" w:customStyle="1" w:styleId="14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autoRedefine/>
    <w:qFormat/>
    <w:uiPriority w:val="0"/>
    <w:pPr>
      <w:framePr w:wrap="around"/>
      <w:spacing w:line="0" w:lineRule="atLeast"/>
    </w:pPr>
    <w:rPr>
      <w:rFonts w:ascii="黑体" w:eastAsia="黑体"/>
      <w:b w:val="0"/>
    </w:rPr>
  </w:style>
  <w:style w:type="paragraph" w:customStyle="1" w:styleId="154">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6">
    <w:name w:val="实施日期"/>
    <w:basedOn w:val="122"/>
    <w:autoRedefine/>
    <w:qFormat/>
    <w:uiPriority w:val="0"/>
    <w:pPr>
      <w:framePr w:hSpace="0" w:wrap="around" w:xAlign="right"/>
      <w:jc w:val="right"/>
    </w:pPr>
  </w:style>
  <w:style w:type="paragraph" w:customStyle="1" w:styleId="157">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autoRedefine/>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autoRedefine/>
    <w:qFormat/>
    <w:uiPriority w:val="0"/>
    <w:pPr>
      <w:numPr>
        <w:ilvl w:val="6"/>
        <w:numId w:val="20"/>
      </w:numPr>
      <w:adjustRightInd/>
    </w:pPr>
    <w:rPr>
      <w:szCs w:val="24"/>
    </w:rPr>
  </w:style>
  <w:style w:type="paragraph" w:customStyle="1" w:styleId="161">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2">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autoRedefine/>
    <w:qFormat/>
    <w:uiPriority w:val="0"/>
    <w:pPr>
      <w:ind w:left="1406" w:leftChars="0" w:hanging="499" w:firstLineChars="0"/>
    </w:pPr>
  </w:style>
  <w:style w:type="paragraph" w:customStyle="1" w:styleId="164">
    <w:name w:val="标准文件_一级无标题"/>
    <w:basedOn w:val="107"/>
    <w:autoRedefine/>
    <w:qFormat/>
    <w:uiPriority w:val="0"/>
    <w:pPr>
      <w:spacing w:before="0" w:beforeLines="0" w:after="0" w:afterLines="0"/>
      <w:outlineLvl w:val="9"/>
    </w:pPr>
    <w:rPr>
      <w:rFonts w:ascii="宋体" w:eastAsia="宋体"/>
    </w:rPr>
  </w:style>
  <w:style w:type="paragraph" w:customStyle="1" w:styleId="165">
    <w:name w:val="标准文件_五级无标题"/>
    <w:basedOn w:val="105"/>
    <w:autoRedefine/>
    <w:qFormat/>
    <w:uiPriority w:val="0"/>
    <w:pPr>
      <w:spacing w:before="0" w:beforeLines="0" w:after="0" w:afterLines="0"/>
      <w:outlineLvl w:val="9"/>
    </w:pPr>
    <w:rPr>
      <w:rFonts w:ascii="宋体" w:eastAsia="宋体"/>
    </w:rPr>
  </w:style>
  <w:style w:type="paragraph" w:customStyle="1" w:styleId="166">
    <w:name w:val="标准文件_三级无标题"/>
    <w:basedOn w:val="96"/>
    <w:autoRedefine/>
    <w:qFormat/>
    <w:uiPriority w:val="0"/>
    <w:pPr>
      <w:spacing w:before="0" w:beforeLines="0" w:after="0" w:afterLines="0"/>
      <w:outlineLvl w:val="9"/>
    </w:pPr>
    <w:rPr>
      <w:rFonts w:ascii="宋体" w:eastAsia="宋体"/>
    </w:rPr>
  </w:style>
  <w:style w:type="paragraph" w:customStyle="1" w:styleId="167">
    <w:name w:val="标准文件_二级无标题"/>
    <w:basedOn w:val="67"/>
    <w:autoRedefine/>
    <w:qFormat/>
    <w:uiPriority w:val="0"/>
    <w:pPr>
      <w:spacing w:before="0" w:beforeLines="0" w:after="0" w:afterLines="0"/>
      <w:outlineLvl w:val="9"/>
    </w:pPr>
    <w:rPr>
      <w:rFonts w:ascii="宋体" w:eastAsia="宋体"/>
    </w:rPr>
  </w:style>
  <w:style w:type="paragraph" w:customStyle="1" w:styleId="168">
    <w:name w:val="标准_四级无标题"/>
    <w:basedOn w:val="100"/>
    <w:next w:val="58"/>
    <w:autoRedefine/>
    <w:qFormat/>
    <w:uiPriority w:val="0"/>
    <w:rPr>
      <w:rFonts w:eastAsia="宋体"/>
    </w:rPr>
  </w:style>
  <w:style w:type="paragraph" w:customStyle="1" w:styleId="169">
    <w:name w:val="标准文件_四级无标题"/>
    <w:basedOn w:val="100"/>
    <w:autoRedefine/>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autoRedefine/>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autoRedefine/>
    <w:qFormat/>
    <w:uiPriority w:val="0"/>
    <w:pPr>
      <w:numPr>
        <w:ilvl w:val="0"/>
        <w:numId w:val="24"/>
      </w:numPr>
      <w:ind w:firstLine="0" w:firstLineChars="0"/>
    </w:pPr>
    <w:rPr>
      <w:rFonts w:cs="Arial"/>
      <w:szCs w:val="28"/>
    </w:rPr>
  </w:style>
  <w:style w:type="paragraph" w:customStyle="1" w:styleId="172">
    <w:name w:val="标准文件_附录标题"/>
    <w:basedOn w:val="78"/>
    <w:autoRedefine/>
    <w:qFormat/>
    <w:uiPriority w:val="0"/>
    <w:pPr>
      <w:numPr>
        <w:numId w:val="0"/>
      </w:numPr>
      <w:spacing w:after="280"/>
      <w:outlineLvl w:val="9"/>
    </w:pPr>
  </w:style>
  <w:style w:type="paragraph" w:customStyle="1" w:styleId="173">
    <w:name w:val="标准文件_二级项"/>
    <w:autoRedefine/>
    <w:qFormat/>
    <w:uiPriority w:val="0"/>
    <w:rPr>
      <w:rFonts w:ascii="宋体" w:hAnsi="Times New Roman" w:eastAsia="宋体" w:cs="Times New Roman"/>
      <w:sz w:val="21"/>
      <w:lang w:val="en-US" w:eastAsia="zh-CN" w:bidi="ar-SA"/>
    </w:rPr>
  </w:style>
  <w:style w:type="paragraph" w:customStyle="1" w:styleId="174">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autoRedefine/>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autoRedefine/>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autoRedefine/>
    <w:qFormat/>
    <w:uiPriority w:val="0"/>
    <w:pPr>
      <w:ind w:firstLine="0" w:firstLineChars="0"/>
      <w:jc w:val="center"/>
    </w:pPr>
    <w:rPr>
      <w:sz w:val="18"/>
    </w:rPr>
  </w:style>
  <w:style w:type="paragraph" w:customStyle="1" w:styleId="181">
    <w:name w:val="标准文件_注："/>
    <w:next w:val="58"/>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autoRedefine/>
    <w:qFormat/>
    <w:uiPriority w:val="0"/>
    <w:pPr>
      <w:ind w:firstLine="420"/>
    </w:pPr>
    <w:rPr>
      <w:sz w:val="18"/>
    </w:rPr>
  </w:style>
  <w:style w:type="paragraph" w:customStyle="1" w:styleId="185">
    <w:name w:val="标准文件_示例×："/>
    <w:basedOn w:val="1"/>
    <w:next w:val="184"/>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autoRedefine/>
    <w:qFormat/>
    <w:uiPriority w:val="0"/>
    <w:rPr>
      <w:rFonts w:ascii="宋体" w:hAnsi="Times New Roman"/>
      <w:sz w:val="21"/>
    </w:rPr>
  </w:style>
  <w:style w:type="paragraph" w:customStyle="1" w:styleId="187">
    <w:name w:val="标准文件_表格续"/>
    <w:basedOn w:val="58"/>
    <w:next w:val="58"/>
    <w:autoRedefine/>
    <w:qFormat/>
    <w:uiPriority w:val="0"/>
    <w:pPr>
      <w:jc w:val="center"/>
    </w:pPr>
    <w:rPr>
      <w:rFonts w:ascii="黑体" w:hAnsi="黑体" w:eastAsia="黑体"/>
    </w:rPr>
  </w:style>
  <w:style w:type="character" w:styleId="188">
    <w:name w:val="Placeholder Text"/>
    <w:basedOn w:val="30"/>
    <w:autoRedefine/>
    <w:semiHidden/>
    <w:qFormat/>
    <w:uiPriority w:val="99"/>
    <w:rPr>
      <w:color w:val="808080"/>
    </w:rPr>
  </w:style>
  <w:style w:type="paragraph" w:customStyle="1" w:styleId="189">
    <w:name w:val="标准文件_二级项2"/>
    <w:basedOn w:val="58"/>
    <w:autoRedefine/>
    <w:qFormat/>
    <w:uiPriority w:val="0"/>
    <w:pPr>
      <w:numPr>
        <w:ilvl w:val="1"/>
        <w:numId w:val="21"/>
      </w:numPr>
      <w:ind w:firstLine="0" w:firstLineChars="0"/>
    </w:pPr>
  </w:style>
  <w:style w:type="paragraph" w:customStyle="1" w:styleId="190">
    <w:name w:val="标准文件_三级项2"/>
    <w:basedOn w:val="58"/>
    <w:autoRedefine/>
    <w:qFormat/>
    <w:uiPriority w:val="0"/>
    <w:pPr>
      <w:numPr>
        <w:ilvl w:val="0"/>
        <w:numId w:val="30"/>
      </w:numPr>
      <w:spacing w:line="300" w:lineRule="exact"/>
      <w:ind w:firstLineChars="0"/>
    </w:pPr>
    <w:rPr>
      <w:rFonts w:ascii="Times New Roman"/>
    </w:rPr>
  </w:style>
  <w:style w:type="paragraph" w:customStyle="1" w:styleId="191">
    <w:name w:val="标准文件_一级项2"/>
    <w:basedOn w:val="58"/>
    <w:autoRedefine/>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autoRedefine/>
    <w:qFormat/>
    <w:uiPriority w:val="0"/>
    <w:pPr>
      <w:ind w:firstLine="420"/>
    </w:pPr>
    <w:rPr>
      <w:rFonts w:ascii="黑体" w:eastAsia="黑体"/>
    </w:rPr>
  </w:style>
  <w:style w:type="character" w:customStyle="1" w:styleId="193">
    <w:name w:val="标准文件_来源"/>
    <w:basedOn w:val="30"/>
    <w:autoRedefine/>
    <w:qFormat/>
    <w:uiPriority w:val="1"/>
    <w:rPr>
      <w:rFonts w:eastAsia="宋体"/>
      <w:sz w:val="21"/>
    </w:rPr>
  </w:style>
  <w:style w:type="paragraph" w:customStyle="1" w:styleId="194">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autoRedefine/>
    <w:qFormat/>
    <w:uiPriority w:val="0"/>
    <w:pPr>
      <w:framePr w:w="3997" w:h="471" w:hRule="exact" w:hSpace="0" w:vSpace="181" w:wrap="around" w:vAnchor="page" w:hAnchor="page" w:x="1419" w:y="14097"/>
    </w:pPr>
  </w:style>
  <w:style w:type="paragraph" w:customStyle="1" w:styleId="196">
    <w:name w:val="其他实施日期"/>
    <w:basedOn w:val="156"/>
    <w:autoRedefine/>
    <w:qFormat/>
    <w:uiPriority w:val="0"/>
    <w:pPr>
      <w:framePr w:w="3997" w:h="471" w:hRule="exact" w:vSpace="181" w:wrap="around" w:vAnchor="page" w:hAnchor="page" w:x="7089" w:y="14097"/>
    </w:pPr>
  </w:style>
  <w:style w:type="paragraph" w:customStyle="1" w:styleId="197">
    <w:name w:val="标准文件_文件编号"/>
    <w:basedOn w:val="58"/>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autoRedefine/>
    <w:qFormat/>
    <w:uiPriority w:val="0"/>
    <w:pPr>
      <w:spacing w:before="57"/>
    </w:pPr>
    <w:rPr>
      <w:sz w:val="21"/>
    </w:rPr>
  </w:style>
  <w:style w:type="paragraph" w:customStyle="1" w:styleId="199">
    <w:name w:val="标准文件_文件名称"/>
    <w:basedOn w:val="58"/>
    <w:next w:val="58"/>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autoRedefine/>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autoRedefine/>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autoRedefine/>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autoRedefine/>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autoRedefine/>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autoRedefine/>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autoRedefine/>
    <w:qFormat/>
    <w:uiPriority w:val="0"/>
    <w:pPr>
      <w:ind w:left="811" w:firstLine="0" w:firstLineChars="0"/>
    </w:pPr>
    <w:rPr>
      <w:sz w:val="18"/>
    </w:rPr>
  </w:style>
  <w:style w:type="paragraph" w:customStyle="1" w:styleId="208">
    <w:name w:val="标准文件_注X后"/>
    <w:basedOn w:val="58"/>
    <w:autoRedefine/>
    <w:qFormat/>
    <w:uiPriority w:val="0"/>
    <w:pPr>
      <w:ind w:left="811" w:firstLine="0" w:firstLineChars="0"/>
    </w:pPr>
    <w:rPr>
      <w:sz w:val="18"/>
    </w:rPr>
  </w:style>
  <w:style w:type="paragraph" w:customStyle="1" w:styleId="209">
    <w:name w:val="标准文件_示例后"/>
    <w:basedOn w:val="58"/>
    <w:autoRedefine/>
    <w:qFormat/>
    <w:uiPriority w:val="0"/>
    <w:pPr>
      <w:ind w:left="964" w:firstLine="0" w:firstLineChars="0"/>
    </w:pPr>
    <w:rPr>
      <w:sz w:val="18"/>
    </w:rPr>
  </w:style>
  <w:style w:type="paragraph" w:customStyle="1" w:styleId="210">
    <w:name w:val="标准文件_示例X后"/>
    <w:basedOn w:val="58"/>
    <w:link w:val="211"/>
    <w:autoRedefine/>
    <w:qFormat/>
    <w:uiPriority w:val="0"/>
    <w:pPr>
      <w:ind w:left="1049" w:firstLine="0" w:firstLineChars="0"/>
    </w:pPr>
    <w:rPr>
      <w:sz w:val="18"/>
    </w:rPr>
  </w:style>
  <w:style w:type="character" w:customStyle="1" w:styleId="211">
    <w:name w:val="标准文件_示例X后 字符"/>
    <w:basedOn w:val="186"/>
    <w:link w:val="210"/>
    <w:autoRedefine/>
    <w:qFormat/>
    <w:uiPriority w:val="0"/>
    <w:rPr>
      <w:rFonts w:ascii="宋体" w:hAnsi="Times New Roman"/>
      <w:sz w:val="18"/>
    </w:rPr>
  </w:style>
  <w:style w:type="paragraph" w:customStyle="1" w:styleId="212">
    <w:name w:val="标准文件_索引项"/>
    <w:basedOn w:val="58"/>
    <w:next w:val="58"/>
    <w:autoRedefine/>
    <w:qFormat/>
    <w:uiPriority w:val="0"/>
    <w:pPr>
      <w:tabs>
        <w:tab w:val="right" w:leader="dot" w:pos="9356"/>
      </w:tabs>
      <w:ind w:left="210" w:hanging="210" w:firstLineChars="0"/>
      <w:jc w:val="left"/>
    </w:pPr>
  </w:style>
  <w:style w:type="paragraph" w:customStyle="1" w:styleId="213">
    <w:name w:val="标准文件_附录一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autoRedefine/>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autoRedefine/>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autoRedefine/>
    <w:qFormat/>
    <w:uiPriority w:val="0"/>
    <w:pPr>
      <w:spacing w:before="0" w:beforeLines="0" w:after="0" w:afterLines="0" w:line="276" w:lineRule="auto"/>
    </w:pPr>
    <w:rPr>
      <w:rFonts w:ascii="宋体" w:eastAsia="宋体"/>
    </w:rPr>
  </w:style>
  <w:style w:type="paragraph" w:customStyle="1" w:styleId="220">
    <w:name w:val="标准文件_引言三级无标题"/>
    <w:basedOn w:val="204"/>
    <w:autoRedefine/>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autoRedefine/>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autoRedefine/>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autoRedefine/>
    <w:qFormat/>
    <w:uiPriority w:val="0"/>
    <w:rPr>
      <w:rFonts w:hAnsi="黑体"/>
    </w:rPr>
  </w:style>
  <w:style w:type="paragraph" w:customStyle="1" w:styleId="224">
    <w:name w:val="标准文件_脚注内容"/>
    <w:basedOn w:val="58"/>
    <w:autoRedefine/>
    <w:qFormat/>
    <w:uiPriority w:val="0"/>
    <w:pPr>
      <w:ind w:left="400" w:leftChars="200" w:hanging="200" w:hangingChars="200"/>
    </w:pPr>
    <w:rPr>
      <w:sz w:val="15"/>
    </w:rPr>
  </w:style>
  <w:style w:type="paragraph" w:customStyle="1" w:styleId="225">
    <w:name w:val="标准文件_术语条一"/>
    <w:basedOn w:val="164"/>
    <w:next w:val="58"/>
    <w:autoRedefine/>
    <w:qFormat/>
    <w:uiPriority w:val="0"/>
  </w:style>
  <w:style w:type="paragraph" w:customStyle="1" w:styleId="226">
    <w:name w:val="标准文件_术语条二"/>
    <w:basedOn w:val="167"/>
    <w:next w:val="58"/>
    <w:autoRedefine/>
    <w:qFormat/>
    <w:uiPriority w:val="0"/>
  </w:style>
  <w:style w:type="paragraph" w:customStyle="1" w:styleId="227">
    <w:name w:val="标准文件_术语条三"/>
    <w:basedOn w:val="166"/>
    <w:next w:val="58"/>
    <w:autoRedefine/>
    <w:qFormat/>
    <w:uiPriority w:val="0"/>
  </w:style>
  <w:style w:type="paragraph" w:customStyle="1" w:styleId="228">
    <w:name w:val="标准文件_术语条四"/>
    <w:basedOn w:val="169"/>
    <w:next w:val="58"/>
    <w:autoRedefine/>
    <w:qFormat/>
    <w:uiPriority w:val="0"/>
  </w:style>
  <w:style w:type="paragraph" w:customStyle="1" w:styleId="229">
    <w:name w:val="标准文件_术语条五"/>
    <w:basedOn w:val="165"/>
    <w:next w:val="58"/>
    <w:autoRedefine/>
    <w:qFormat/>
    <w:uiPriority w:val="0"/>
  </w:style>
  <w:style w:type="paragraph" w:customStyle="1" w:styleId="2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autoRedefine/>
    <w:qFormat/>
    <w:uiPriority w:val="0"/>
    <w:rPr>
      <w:rFonts w:ascii="黑体" w:eastAsia="黑体"/>
      <w:spacing w:val="85"/>
      <w:w w:val="100"/>
      <w:position w:val="3"/>
      <w:sz w:val="28"/>
      <w:szCs w:val="28"/>
    </w:rPr>
  </w:style>
  <w:style w:type="character" w:customStyle="1" w:styleId="232">
    <w:name w:val="正文文本 2 Char"/>
    <w:basedOn w:val="30"/>
    <w:link w:val="25"/>
    <w:autoRedefine/>
    <w:qFormat/>
    <w:uiPriority w:val="99"/>
    <w:rPr>
      <w:rFonts w:ascii="Times New Roman" w:hAnsi="Times New Roman"/>
      <w:kern w:val="2"/>
      <w:sz w:val="24"/>
      <w:szCs w:val="24"/>
    </w:rPr>
  </w:style>
  <w:style w:type="paragraph" w:customStyle="1" w:styleId="233">
    <w:name w:val="段"/>
    <w:basedOn w:val="1"/>
    <w:autoRedefine/>
    <w:qFormat/>
    <w:uiPriority w:val="0"/>
    <w:pPr>
      <w:widowControl/>
      <w:autoSpaceDE w:val="0"/>
      <w:autoSpaceDN w:val="0"/>
      <w:adjustRightInd/>
      <w:spacing w:line="240" w:lineRule="auto"/>
      <w:ind w:firstLine="420" w:firstLineChars="200"/>
    </w:pPr>
    <w:rPr>
      <w:rFonts w:ascii="宋体"/>
    </w:rPr>
  </w:style>
  <w:style w:type="paragraph" w:customStyle="1" w:styleId="234">
    <w:name w:val="章标题"/>
    <w:basedOn w:val="1"/>
    <w:next w:val="233"/>
    <w:autoRedefine/>
    <w:qFormat/>
    <w:uiPriority w:val="0"/>
    <w:pPr>
      <w:widowControl/>
      <w:adjustRightInd/>
      <w:spacing w:beforeLines="100" w:afterLines="100" w:line="240" w:lineRule="auto"/>
      <w:ind w:left="840" w:hanging="408"/>
      <w:outlineLvl w:val="1"/>
    </w:pPr>
    <w:rPr>
      <w:rFonts w:ascii="黑体" w:hAnsi="Times New Roman" w:eastAsia="黑体"/>
      <w:kern w:val="0"/>
    </w:rPr>
  </w:style>
  <w:style w:type="paragraph" w:customStyle="1" w:styleId="235">
    <w:name w:val="List Paragraph"/>
    <w:basedOn w:val="1"/>
    <w:autoRedefine/>
    <w:qFormat/>
    <w:uiPriority w:val="0"/>
    <w:pPr>
      <w:adjustRightInd/>
      <w:spacing w:line="240" w:lineRule="auto"/>
      <w:ind w:firstLine="420" w:firstLineChars="200"/>
    </w:pPr>
    <w:rPr>
      <w:rFonts w:ascii="Times New Roman" w:hAnsi="Times New Roman"/>
    </w:rPr>
  </w:style>
  <w:style w:type="paragraph" w:customStyle="1" w:styleId="236">
    <w:name w:val="一级条标题"/>
    <w:basedOn w:val="1"/>
    <w:next w:val="233"/>
    <w:autoRedefine/>
    <w:qFormat/>
    <w:uiPriority w:val="0"/>
    <w:pPr>
      <w:widowControl/>
      <w:adjustRightInd/>
      <w:spacing w:beforeLines="50" w:afterLines="50" w:line="240" w:lineRule="auto"/>
      <w:ind w:left="1264" w:hanging="413"/>
      <w:jc w:val="left"/>
      <w:outlineLvl w:val="2"/>
    </w:pPr>
    <w:rPr>
      <w:rFonts w:ascii="黑体" w:hAnsi="Times New Roman"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em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9B386549CB446DE893311BC852E0704"/>
        <w:style w:val=""/>
        <w:category>
          <w:name w:val="常规"/>
          <w:gallery w:val="placeholder"/>
        </w:category>
        <w:types>
          <w:type w:val="bbPlcHdr"/>
        </w:types>
        <w:behaviors>
          <w:behavior w:val="content"/>
        </w:behaviors>
        <w:description w:val=""/>
        <w:guid w:val="{7C029565-A650-48F0-8256-D46D01F76C55}"/>
      </w:docPartPr>
      <w:docPartBody>
        <w:p w14:paraId="5D75EF8A">
          <w:pPr>
            <w:pStyle w:val="5"/>
          </w:pPr>
          <w:r>
            <w:rPr>
              <w:rStyle w:val="4"/>
              <w:rFonts w:hint="eastAsia"/>
            </w:rPr>
            <w:t>单击或点击此处输入文字。</w:t>
          </w:r>
        </w:p>
      </w:docPartBody>
    </w:docPart>
    <w:docPart>
      <w:docPartPr>
        <w:name w:val="4DEDA4E7FCA64BAEB3EF7ED76CDFE7A7"/>
        <w:style w:val=""/>
        <w:category>
          <w:name w:val="常规"/>
          <w:gallery w:val="placeholder"/>
        </w:category>
        <w:types>
          <w:type w:val="bbPlcHdr"/>
        </w:types>
        <w:behaviors>
          <w:behavior w:val="content"/>
        </w:behaviors>
        <w:description w:val=""/>
        <w:guid w:val="{A4C7DD81-EFDE-4C7B-AC7B-4477C142EBB6}"/>
      </w:docPartPr>
      <w:docPartBody>
        <w:p w14:paraId="3D4BA983">
          <w:pPr>
            <w:pStyle w:val="6"/>
          </w:pPr>
          <w:r>
            <w:rPr>
              <w:rStyle w:val="4"/>
              <w:rFonts w:hint="eastAsia"/>
            </w:rPr>
            <w:t>选择一项。</w:t>
          </w:r>
        </w:p>
      </w:docPartBody>
    </w:docPart>
    <w:docPart>
      <w:docPartPr>
        <w:name w:val="C59DA63F9D5B455385A2DFF869D5F444"/>
        <w:style w:val=""/>
        <w:category>
          <w:name w:val="常规"/>
          <w:gallery w:val="placeholder"/>
        </w:category>
        <w:types>
          <w:type w:val="bbPlcHdr"/>
        </w:types>
        <w:behaviors>
          <w:behavior w:val="content"/>
        </w:behaviors>
        <w:description w:val=""/>
        <w:guid w:val="{1ACF1248-A9C3-4C59-BB35-4D7F3E68760E}"/>
      </w:docPartPr>
      <w:docPartBody>
        <w:p w14:paraId="40F12850">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FD"/>
    <w:rsid w:val="001A5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19B386549CB446DE893311BC852E07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EDA4E7FCA64BAEB3EF7ED76CDFE7A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59DA63F9D5B455385A2DFF869D5F44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BB96C-88DB-48B4-A570-A5EED0DA2FBB}">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7</Pages>
  <Words>2386</Words>
  <Characters>2828</Characters>
  <Lines>1</Lines>
  <Paragraphs>1</Paragraphs>
  <TotalTime>37</TotalTime>
  <ScaleCrop>false</ScaleCrop>
  <LinksUpToDate>false</LinksUpToDate>
  <CharactersWithSpaces>2932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2022-05-25T06:41:00Z</dcterms:created>
  <dc:creator>feed me</dc:creator>
  <dc:description>&lt;config cover="true" show_menu="true" version="1.0.0" doctype="SDKXY"&gt;_x000d_
&lt;/config&gt;</dc:description>
  <cp:lastModifiedBy>朱宏成</cp:lastModifiedBy>
  <cp:lastPrinted>2021-02-02T08:18:00Z</cp:lastPrinted>
  <dcterms:modified xsi:type="dcterms:W3CDTF">2024-08-26T02:02:12Z</dcterms:modified>
  <dc:title>行业标准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5BC533F9B85A45DD857C6A913307B44F_13</vt:lpwstr>
  </property>
</Properties>
</file>