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737D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62DCCC7">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1972497">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29.045</w:t>
            </w:r>
            <w:r>
              <w:rPr>
                <w:rFonts w:ascii="黑体" w:hAnsi="黑体" w:eastAsia="黑体"/>
                <w:sz w:val="21"/>
                <w:szCs w:val="21"/>
              </w:rPr>
              <w:fldChar w:fldCharType="end"/>
            </w:r>
            <w:bookmarkEnd w:id="0"/>
          </w:p>
        </w:tc>
      </w:tr>
      <w:tr w14:paraId="5DF6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988CDE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D8FC39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 83</w:t>
            </w:r>
            <w:r>
              <w:rPr>
                <w:rFonts w:ascii="黑体" w:hAnsi="黑体" w:eastAsia="黑体"/>
                <w:sz w:val="21"/>
                <w:szCs w:val="21"/>
              </w:rPr>
              <w:fldChar w:fldCharType="end"/>
            </w:r>
            <w:bookmarkEnd w:id="1"/>
          </w:p>
        </w:tc>
      </w:tr>
    </w:tbl>
    <w:p w14:paraId="4211DBC4">
      <w:pPr>
        <w:pStyle w:val="50"/>
        <w:framePr w:w="9639" w:h="624" w:hRule="exact" w:hSpace="181" w:vSpace="181" w:wrap="around" w:hAnchor="page" w:x="1305" w:y="2269"/>
      </w:pPr>
      <w:bookmarkStart w:id="2" w:name="_Hlk26473981"/>
      <w:r>
        <w:rPr>
          <w:rFonts w:hint="eastAsia"/>
        </w:rPr>
        <w:t>中华人民共和国国家标准</w:t>
      </w:r>
    </w:p>
    <w:bookmarkEnd w:id="2"/>
    <w:p w14:paraId="3425B890">
      <w:pPr>
        <w:pStyle w:val="195"/>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30856</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202X</w:t>
      </w:r>
      <w:r>
        <w:fldChar w:fldCharType="end"/>
      </w:r>
      <w:bookmarkEnd w:id="5"/>
    </w:p>
    <w:p w14:paraId="5417DE7B">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代替GB/T 30856—2014</w:t>
      </w:r>
      <w:r>
        <w:rPr>
          <w:rFonts w:hAnsi="黑体"/>
        </w:rPr>
        <w:fldChar w:fldCharType="end"/>
      </w:r>
      <w:bookmarkEnd w:id="6"/>
    </w:p>
    <w:p w14:paraId="3E93AA6B">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3936BBE9">
      <w:pPr>
        <w:pStyle w:val="50"/>
        <w:framePr w:w="9639" w:h="6976" w:hRule="exact" w:hSpace="0" w:vSpace="0" w:wrap="around" w:hAnchor="page" w:y="6408"/>
        <w:jc w:val="center"/>
        <w:rPr>
          <w:rFonts w:ascii="黑体" w:hAnsi="黑体" w:eastAsia="黑体"/>
          <w:b w:val="0"/>
          <w:bCs w:val="0"/>
          <w:w w:val="100"/>
        </w:rPr>
      </w:pPr>
    </w:p>
    <w:p w14:paraId="645F021E">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LED外延芯片用砷化镓衬底</w:t>
      </w:r>
      <w:r>
        <w:fldChar w:fldCharType="end"/>
      </w:r>
      <w:bookmarkEnd w:id="7"/>
    </w:p>
    <w:p w14:paraId="3DA2BA0C">
      <w:pPr>
        <w:framePr w:w="9639" w:h="6974" w:hRule="exact" w:wrap="around" w:vAnchor="page" w:hAnchor="page" w:x="1419" w:y="6408" w:anchorLock="1"/>
        <w:ind w:left="-1418"/>
      </w:pPr>
    </w:p>
    <w:p w14:paraId="5ECBB1A6">
      <w:pPr>
        <w:pStyle w:val="125"/>
        <w:framePr w:w="9639" w:h="6974" w:hRule="exact" w:wrap="around" w:vAnchor="page" w:hAnchor="page" w:x="1419" w:y="6408" w:anchorLock="1"/>
        <w:textAlignment w:val="bottom"/>
        <w:rPr>
          <w:rFonts w:ascii="黑体" w:hAnsi="黑体"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GaAs substrates for LED epitaxial chips</w:t>
      </w:r>
      <w:r>
        <w:rPr>
          <w:rFonts w:ascii="黑体" w:hAnsi="黑体" w:eastAsia="黑体"/>
          <w:szCs w:val="28"/>
        </w:rPr>
        <w:fldChar w:fldCharType="end"/>
      </w:r>
      <w:bookmarkEnd w:id="8"/>
    </w:p>
    <w:p w14:paraId="1B281E4C">
      <w:pPr>
        <w:framePr w:w="9639" w:h="6974" w:hRule="exact" w:wrap="around" w:vAnchor="page" w:hAnchor="page" w:x="1419" w:y="6408" w:anchorLock="1"/>
        <w:spacing w:line="760" w:lineRule="exact"/>
        <w:ind w:left="-1418"/>
      </w:pPr>
    </w:p>
    <w:p w14:paraId="418E2F4E">
      <w:pPr>
        <w:pStyle w:val="125"/>
        <w:framePr w:w="9639" w:h="6974" w:hRule="exact" w:wrap="around" w:vAnchor="page" w:hAnchor="page" w:x="1419" w:y="6408" w:anchorLock="1"/>
        <w:spacing w:before="440" w:after="160"/>
        <w:textAlignment w:val="bottom"/>
        <w:rPr>
          <w:rFonts w:hint="eastAsia" w:eastAsia="宋体"/>
          <w:sz w:val="24"/>
          <w:szCs w:val="28"/>
          <w:lang w:val="en-US" w:eastAsia="zh-CN"/>
        </w:rPr>
      </w:pPr>
      <w:r>
        <w:rPr>
          <w:rFonts w:hint="eastAsia"/>
          <w:sz w:val="24"/>
          <w:szCs w:val="28"/>
          <w:lang w:val="en-US" w:eastAsia="zh-CN"/>
        </w:rPr>
        <w:t>送审前征求意见稿</w:t>
      </w:r>
    </w:p>
    <w:p w14:paraId="5689F795">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rFonts w:hint="eastAsia"/>
          <w:sz w:val="21"/>
          <w:szCs w:val="28"/>
        </w:rPr>
        <w:t>（本草案完成时间：2024年</w:t>
      </w:r>
      <w:r>
        <w:rPr>
          <w:rFonts w:hint="eastAsia"/>
          <w:sz w:val="21"/>
          <w:szCs w:val="28"/>
          <w:lang w:val="en-US" w:eastAsia="zh-CN"/>
        </w:rPr>
        <w:t>9月27日</w:t>
      </w:r>
      <w:r>
        <w:rPr>
          <w:rFonts w:hint="eastAsia"/>
          <w:sz w:val="21"/>
          <w:szCs w:val="28"/>
        </w:rPr>
        <w:t>）</w:t>
      </w:r>
      <w:r>
        <w:rPr>
          <w:sz w:val="21"/>
          <w:szCs w:val="28"/>
        </w:rPr>
        <w:fldChar w:fldCharType="end"/>
      </w:r>
      <w:bookmarkEnd w:id="9"/>
    </w:p>
    <w:p w14:paraId="08EE84E8">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66DC6746">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18810583">
      <w:pPr>
        <w:pStyle w:val="194"/>
        <w:framePr w:wrap="around" w:y="14176"/>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0CC4BD7">
      <w:pPr>
        <w:pStyle w:val="89"/>
        <w:spacing w:before="900" w:after="468"/>
      </w:pPr>
      <w:bookmarkStart w:id="17" w:name="_Toc161927683"/>
      <w:bookmarkStart w:id="18" w:name="_Toc161963347"/>
      <w:bookmarkStart w:id="19" w:name="_Toc161927888"/>
      <w:bookmarkStart w:id="20" w:name="_Toc161928065"/>
      <w:bookmarkStart w:id="21" w:name="BookMark2"/>
      <w:r>
        <w:rPr>
          <w:spacing w:val="320"/>
        </w:rPr>
        <w:t>前</w:t>
      </w:r>
      <w:r>
        <w:t>言</w:t>
      </w:r>
      <w:bookmarkEnd w:id="17"/>
      <w:bookmarkEnd w:id="18"/>
      <w:bookmarkEnd w:id="19"/>
      <w:bookmarkEnd w:id="20"/>
    </w:p>
    <w:p w14:paraId="71EAC179">
      <w:pPr>
        <w:pStyle w:val="56"/>
        <w:ind w:firstLine="420"/>
      </w:pPr>
      <w:r>
        <w:rPr>
          <w:rFonts w:hint="eastAsia"/>
        </w:rPr>
        <w:t>本文件按照GB/T 1.1—2020《标准化工作导则  第1部分：标准化文件的结构和起草规则》的规定起草。</w:t>
      </w:r>
    </w:p>
    <w:p w14:paraId="43E2C488">
      <w:pPr>
        <w:pStyle w:val="56"/>
        <w:ind w:firstLine="420"/>
      </w:pPr>
      <w:r>
        <w:rPr>
          <w:rFonts w:hint="eastAsia"/>
        </w:rPr>
        <w:t>本文件代替GB/T 30856—2014《LED外延芯片用砷化镓衬底》，与GB/T 30856—2014相比，除结构调整和编辑性改动外，主要技术变化如下：</w:t>
      </w:r>
    </w:p>
    <w:p w14:paraId="60B08DBE">
      <w:pPr>
        <w:pStyle w:val="174"/>
      </w:pPr>
      <w:r>
        <w:rPr>
          <w:rFonts w:hint="eastAsia"/>
        </w:rPr>
        <w:t>范围中本标准改为本文件，并重新定义本标准的适用范围；</w:t>
      </w:r>
    </w:p>
    <w:p w14:paraId="351563EC">
      <w:pPr>
        <w:pStyle w:val="174"/>
      </w:pPr>
      <w:r>
        <w:rPr>
          <w:rFonts w:hint="eastAsia"/>
        </w:rPr>
        <w:t>增加“Φ200</w:t>
      </w:r>
      <w:r>
        <w:rPr>
          <w:rFonts w:hint="eastAsia"/>
          <w:color w:val="FFFFFF" w:themeColor="background1"/>
          <w:highlight w:val="none"/>
          <w:vertAlign w:val="subscript"/>
          <w14:textFill>
            <w14:solidFill>
              <w14:schemeClr w14:val="bg1"/>
            </w14:solidFill>
          </w14:textFill>
        </w:rPr>
        <w:t xml:space="preserve"> </w:t>
      </w:r>
      <w:r>
        <w:rPr>
          <w:rFonts w:hint="eastAsia"/>
        </w:rPr>
        <w:t>mm”直径规格砷化镓衬底（见4.2，2014年版的4.3）；</w:t>
      </w:r>
    </w:p>
    <w:p w14:paraId="2F87A5C1">
      <w:pPr>
        <w:pStyle w:val="174"/>
      </w:pPr>
      <w:r>
        <w:rPr>
          <w:rFonts w:hint="eastAsia"/>
        </w:rPr>
        <w:t>电学性能需要增加n型和p掺杂剂及截面电阻率</w:t>
      </w:r>
      <w:r>
        <w:rPr>
          <w:rFonts w:hint="eastAsia"/>
          <w:lang w:val="en-US" w:eastAsia="zh-CN"/>
        </w:rPr>
        <w:t>不</w:t>
      </w:r>
      <w:r>
        <w:rPr>
          <w:rFonts w:hint="eastAsia"/>
        </w:rPr>
        <w:t>均匀性（见5.1，2014年版的4.1和4.4）；</w:t>
      </w:r>
    </w:p>
    <w:p w14:paraId="0129637F">
      <w:pPr>
        <w:pStyle w:val="174"/>
      </w:pPr>
      <w:r>
        <w:rPr>
          <w:rFonts w:hint="eastAsia"/>
        </w:rPr>
        <w:t>增加表面要求的具体内容及不同尺寸对应的允许范围，增加表2；</w:t>
      </w:r>
    </w:p>
    <w:p w14:paraId="7B2E9588">
      <w:pPr>
        <w:pStyle w:val="174"/>
      </w:pPr>
      <w:r>
        <w:rPr>
          <w:rFonts w:hint="eastAsia"/>
        </w:rPr>
        <w:t>增加4寸和6寸副边的新规定，增加“Φ200</w:t>
      </w:r>
      <w:r>
        <w:rPr>
          <w:rFonts w:hint="eastAsia"/>
          <w:color w:val="FFFFFF" w:themeColor="background1"/>
          <w:highlight w:val="none"/>
          <w:vertAlign w:val="subscript"/>
          <w14:textFill>
            <w14:solidFill>
              <w14:schemeClr w14:val="bg1"/>
            </w14:solidFill>
          </w14:textFill>
        </w:rPr>
        <w:t xml:space="preserve"> </w:t>
      </w:r>
      <w:r>
        <w:rPr>
          <w:rFonts w:hint="eastAsia"/>
        </w:rPr>
        <w:t>mm”直径规格参考面的取向、形状和尺寸（见5.3，2014年版的4.8）；</w:t>
      </w:r>
    </w:p>
    <w:p w14:paraId="78176C6B">
      <w:pPr>
        <w:pStyle w:val="174"/>
      </w:pPr>
      <w:r>
        <w:rPr>
          <w:rFonts w:hint="eastAsia"/>
        </w:rPr>
        <w:t>晶向及晶向偏离，增加常规的标准化产品角度表5（见5.4，2014年版的4.5）；</w:t>
      </w:r>
    </w:p>
    <w:p w14:paraId="3C051597">
      <w:pPr>
        <w:pStyle w:val="174"/>
      </w:pPr>
      <w:r>
        <w:rPr>
          <w:rFonts w:hint="eastAsia"/>
        </w:rPr>
        <w:t>增加“Φ200</w:t>
      </w:r>
      <w:r>
        <w:rPr>
          <w:rFonts w:hint="eastAsia"/>
          <w:highlight w:val="none"/>
          <w:vertAlign w:val="subscript"/>
        </w:rPr>
        <w:t xml:space="preserve"> </w:t>
      </w:r>
      <w:r>
        <w:rPr>
          <w:rFonts w:hint="eastAsia"/>
        </w:rPr>
        <w:t>mm”规格的外形尺寸，修改厚度范围、修改TIR、TTV、Warp值（见5.5</w:t>
      </w:r>
      <w:r>
        <w:rPr>
          <w:rFonts w:hint="eastAsia"/>
          <w:color w:val="auto"/>
          <w:highlight w:val="none"/>
        </w:rPr>
        <w:t>，</w:t>
      </w:r>
      <w:r>
        <w:rPr>
          <w:rFonts w:hint="eastAsia"/>
        </w:rPr>
        <w:t>2014年版本的4.9）；</w:t>
      </w:r>
    </w:p>
    <w:p w14:paraId="08F95AC9">
      <w:pPr>
        <w:pStyle w:val="174"/>
      </w:pPr>
      <w:r>
        <w:rPr>
          <w:rFonts w:hint="eastAsia"/>
        </w:rPr>
        <w:t>增加不同直径不同等级的位错密度（见5.6</w:t>
      </w:r>
      <w:r>
        <w:rPr>
          <w:rFonts w:hint="eastAsia"/>
          <w:highlight w:val="none"/>
        </w:rPr>
        <w:t>，</w:t>
      </w:r>
      <w:r>
        <w:rPr>
          <w:rFonts w:hint="eastAsia"/>
        </w:rPr>
        <w:t>2014年版的4.6）；</w:t>
      </w:r>
    </w:p>
    <w:p w14:paraId="59C2E7D8">
      <w:pPr>
        <w:pStyle w:val="174"/>
      </w:pPr>
      <w:r>
        <w:rPr>
          <w:rFonts w:hint="eastAsia"/>
          <w:lang w:val="en-US" w:eastAsia="zh-CN"/>
        </w:rPr>
        <w:t>删除电阻率按照附录A规定的方法</w:t>
      </w:r>
      <w:r>
        <w:rPr>
          <w:rFonts w:hint="eastAsia"/>
        </w:rPr>
        <w:t>（见</w:t>
      </w:r>
      <w:r>
        <w:rPr>
          <w:rFonts w:hint="eastAsia"/>
          <w:lang w:val="en-US" w:eastAsia="zh-CN"/>
        </w:rPr>
        <w:t>6.1</w:t>
      </w:r>
      <w:r>
        <w:rPr>
          <w:rFonts w:hint="eastAsia"/>
          <w:highlight w:val="none"/>
        </w:rPr>
        <w:t>，</w:t>
      </w:r>
      <w:r>
        <w:rPr>
          <w:rFonts w:hint="eastAsia"/>
        </w:rPr>
        <w:t>2014年版的4.6）；</w:t>
      </w:r>
    </w:p>
    <w:p w14:paraId="083A86FC">
      <w:pPr>
        <w:pStyle w:val="174"/>
      </w:pPr>
      <w:r>
        <w:rPr>
          <w:rFonts w:hint="eastAsia"/>
          <w:lang w:val="en-US" w:eastAsia="zh-CN"/>
        </w:rPr>
        <w:t>删除载流子浓度和迁移率按照附录 B 规定的方法</w:t>
      </w:r>
      <w:r>
        <w:rPr>
          <w:rFonts w:hint="eastAsia"/>
        </w:rPr>
        <w:t>（见</w:t>
      </w:r>
      <w:r>
        <w:rPr>
          <w:rFonts w:hint="eastAsia"/>
          <w:lang w:val="en-US" w:eastAsia="zh-CN"/>
        </w:rPr>
        <w:t>6.1</w:t>
      </w:r>
      <w:r>
        <w:rPr>
          <w:rFonts w:hint="eastAsia"/>
          <w:highlight w:val="none"/>
        </w:rPr>
        <w:t>，</w:t>
      </w:r>
      <w:r>
        <w:rPr>
          <w:rFonts w:hint="eastAsia"/>
        </w:rPr>
        <w:t>2014年版的4.6）；</w:t>
      </w:r>
    </w:p>
    <w:p w14:paraId="31A0DA39">
      <w:pPr>
        <w:pStyle w:val="174"/>
      </w:pPr>
      <w:r>
        <w:rPr>
          <w:rFonts w:hint="eastAsia"/>
          <w:lang w:val="en-US" w:eastAsia="zh-CN"/>
        </w:rPr>
        <w:t>增加截面电阻率不均匀性的计算方法（见6.1.4）</w:t>
      </w:r>
    </w:p>
    <w:p w14:paraId="26B3FA39">
      <w:pPr>
        <w:pStyle w:val="174"/>
      </w:pPr>
      <w:r>
        <w:rPr>
          <w:rFonts w:hint="eastAsia"/>
        </w:rPr>
        <w:t>修改切口的引用规范由SEMI标准改为GB/T标准（见6.5</w:t>
      </w:r>
      <w:r>
        <w:rPr>
          <w:rFonts w:hint="eastAsia"/>
          <w:highlight w:val="none"/>
        </w:rPr>
        <w:t>，</w:t>
      </w:r>
      <w:r>
        <w:rPr>
          <w:rFonts w:hint="eastAsia"/>
        </w:rPr>
        <w:t>2014年版的5.5）；</w:t>
      </w:r>
    </w:p>
    <w:p w14:paraId="05DD3A24">
      <w:pPr>
        <w:pStyle w:val="174"/>
      </w:pPr>
      <w:r>
        <w:rPr>
          <w:rFonts w:hint="eastAsia"/>
        </w:rPr>
        <w:t>修改检验条件（见7.1，2014版的6.1）；</w:t>
      </w:r>
    </w:p>
    <w:p w14:paraId="2E254A67">
      <w:pPr>
        <w:pStyle w:val="174"/>
      </w:pPr>
      <w:r>
        <w:rPr>
          <w:rFonts w:hint="eastAsia"/>
        </w:rPr>
        <w:t>修改检验和验收，对验收组批和验收时效性进行规定（见7.2，2014版的6.2）；</w:t>
      </w:r>
    </w:p>
    <w:p w14:paraId="673AEE36">
      <w:pPr>
        <w:pStyle w:val="174"/>
      </w:pPr>
      <w:r>
        <w:rPr>
          <w:rFonts w:hint="eastAsia"/>
        </w:rPr>
        <w:t>重新定义组批（见7.3，见2014版的6.3）；</w:t>
      </w:r>
    </w:p>
    <w:p w14:paraId="405DBE92">
      <w:pPr>
        <w:pStyle w:val="174"/>
      </w:pPr>
      <w:r>
        <w:rPr>
          <w:rFonts w:hint="eastAsia"/>
        </w:rPr>
        <w:t>检验项目由每根砷化镓单晶改为每组批所需砷化镓单晶（见7.4.1</w:t>
      </w:r>
      <w:r>
        <w:rPr>
          <w:rFonts w:hint="eastAsia"/>
          <w:highlight w:val="none"/>
        </w:rPr>
        <w:t>，</w:t>
      </w:r>
      <w:r>
        <w:rPr>
          <w:rFonts w:hint="eastAsia"/>
        </w:rPr>
        <w:t>2014年版的6.4.1）</w:t>
      </w:r>
    </w:p>
    <w:p w14:paraId="6DA5D4AF">
      <w:pPr>
        <w:pStyle w:val="174"/>
      </w:pPr>
      <w:r>
        <w:rPr>
          <w:rFonts w:hint="eastAsia"/>
        </w:rPr>
        <w:t>删除条款号具体内容分条款，仅需要引用具体条款号即可（见7.4.1</w:t>
      </w:r>
      <w:r>
        <w:rPr>
          <w:rFonts w:hint="eastAsia"/>
          <w:highlight w:val="none"/>
        </w:rPr>
        <w:t>，</w:t>
      </w:r>
      <w:r>
        <w:rPr>
          <w:rFonts w:hint="eastAsia"/>
        </w:rPr>
        <w:t>2014年版的6.4.1）；</w:t>
      </w:r>
    </w:p>
    <w:p w14:paraId="5BAA885C">
      <w:pPr>
        <w:pStyle w:val="174"/>
      </w:pPr>
      <w:r>
        <w:rPr>
          <w:rFonts w:hint="eastAsia"/>
        </w:rPr>
        <w:t>检验项目中增加复测检验晶向及晶向偏移度（见7.4.1</w:t>
      </w:r>
      <w:r>
        <w:rPr>
          <w:rFonts w:hint="eastAsia"/>
          <w:highlight w:val="none"/>
        </w:rPr>
        <w:t>，</w:t>
      </w:r>
      <w:r>
        <w:rPr>
          <w:rFonts w:hint="eastAsia"/>
        </w:rPr>
        <w:t>2014年版的6.4.1）；</w:t>
      </w:r>
    </w:p>
    <w:p w14:paraId="43D60F81">
      <w:pPr>
        <w:pStyle w:val="174"/>
      </w:pPr>
      <w:r>
        <w:rPr>
          <w:rFonts w:hint="eastAsia"/>
          <w:lang w:val="en-US" w:eastAsia="zh-CN"/>
        </w:rPr>
        <w:t xml:space="preserve">晶向偏离度、位错密度和电参数进行分类表述 </w:t>
      </w:r>
      <w:r>
        <w:rPr>
          <w:rFonts w:hint="eastAsia"/>
        </w:rPr>
        <w:t>（见7.4.1</w:t>
      </w:r>
      <w:r>
        <w:rPr>
          <w:rFonts w:hint="eastAsia"/>
          <w:highlight w:val="none"/>
        </w:rPr>
        <w:t>，</w:t>
      </w:r>
      <w:r>
        <w:rPr>
          <w:rFonts w:hint="eastAsia"/>
        </w:rPr>
        <w:t>2014年版的6.4.1）；</w:t>
      </w:r>
    </w:p>
    <w:p w14:paraId="3799BB58">
      <w:pPr>
        <w:pStyle w:val="174"/>
      </w:pPr>
      <w:r>
        <w:rPr>
          <w:rFonts w:hint="eastAsia"/>
        </w:rPr>
        <w:t>删除条款号具体内容分条款，仅需要引用具体条款号即可（见7.4.2</w:t>
      </w:r>
      <w:r>
        <w:rPr>
          <w:rFonts w:hint="eastAsia"/>
          <w:highlight w:val="none"/>
        </w:rPr>
        <w:t>，</w:t>
      </w:r>
      <w:r>
        <w:rPr>
          <w:rFonts w:hint="eastAsia"/>
        </w:rPr>
        <w:t>2014年版的6.4.2）</w:t>
      </w:r>
    </w:p>
    <w:p w14:paraId="4D8F96D0">
      <w:pPr>
        <w:pStyle w:val="174"/>
      </w:pPr>
      <w:r>
        <w:rPr>
          <w:rFonts w:hint="eastAsia"/>
        </w:rPr>
        <w:t>增加晶向偏离砷化镓衬底的条款和检验方法（见7.4.2</w:t>
      </w:r>
      <w:r>
        <w:rPr>
          <w:rFonts w:hint="eastAsia"/>
          <w:highlight w:val="none"/>
        </w:rPr>
        <w:t>，</w:t>
      </w:r>
      <w:r>
        <w:rPr>
          <w:rFonts w:hint="eastAsia"/>
        </w:rPr>
        <w:t>2014版的6.4.2）；</w:t>
      </w:r>
    </w:p>
    <w:p w14:paraId="3A44EA4E">
      <w:pPr>
        <w:pStyle w:val="174"/>
      </w:pPr>
      <w:r>
        <w:rPr>
          <w:rFonts w:hint="eastAsia"/>
        </w:rPr>
        <w:t>修改包装盒标志内容（见8.1.2，2014年版的7.1.2）；</w:t>
      </w:r>
    </w:p>
    <w:p w14:paraId="77A59BD2">
      <w:pPr>
        <w:pStyle w:val="174"/>
      </w:pPr>
      <w:r>
        <w:rPr>
          <w:rFonts w:hint="eastAsia"/>
        </w:rPr>
        <w:t>增加25片卡塞包装</w:t>
      </w:r>
      <w:r>
        <w:rPr>
          <w:rFonts w:hint="eastAsia"/>
          <w:highlight w:val="none"/>
        </w:rPr>
        <w:t>（</w:t>
      </w:r>
      <w:r>
        <w:rPr>
          <w:rFonts w:hint="eastAsia"/>
        </w:rPr>
        <w:t>见8.2</w:t>
      </w:r>
      <w:r>
        <w:rPr>
          <w:rFonts w:hint="eastAsia"/>
          <w:highlight w:val="none"/>
        </w:rPr>
        <w:t>，</w:t>
      </w:r>
      <w:r>
        <w:rPr>
          <w:rFonts w:hint="eastAsia"/>
        </w:rPr>
        <w:t>2014年版的7.2）；</w:t>
      </w:r>
    </w:p>
    <w:p w14:paraId="3D3E3537">
      <w:pPr>
        <w:pStyle w:val="174"/>
      </w:pPr>
      <w:r>
        <w:rPr>
          <w:rFonts w:hint="eastAsia"/>
        </w:rPr>
        <w:t>质量保证书上增加生产日期和保质期（见8.4，2014版的7.4）；</w:t>
      </w:r>
    </w:p>
    <w:p w14:paraId="0BAB1F08">
      <w:pPr>
        <w:pStyle w:val="174"/>
      </w:pPr>
      <w:r>
        <w:rPr>
          <w:rFonts w:hint="eastAsia"/>
          <w:lang w:val="en-US" w:eastAsia="zh-CN"/>
        </w:rPr>
        <w:t>删除</w:t>
      </w:r>
      <w:r>
        <w:rPr>
          <w:rFonts w:hint="eastAsia"/>
        </w:rPr>
        <w:t>附录 A 和附录 B ；</w:t>
      </w:r>
      <w:bookmarkStart w:id="151" w:name="_GoBack"/>
      <w:bookmarkEnd w:id="151"/>
    </w:p>
    <w:p w14:paraId="64E8AE2C">
      <w:pPr>
        <w:pStyle w:val="56"/>
        <w:ind w:firstLine="420"/>
      </w:pPr>
      <w:r>
        <w:rPr>
          <w:rFonts w:hint="eastAsia"/>
        </w:rPr>
        <w:t>请注意本文件的某些内容可能涉及专利。本文件的发布机构不承担识别专利的责任。</w:t>
      </w:r>
    </w:p>
    <w:p w14:paraId="6C52DA98">
      <w:pPr>
        <w:pStyle w:val="56"/>
        <w:ind w:firstLine="420"/>
      </w:pPr>
      <w:r>
        <w:rPr>
          <w:rFonts w:hint="eastAsia"/>
        </w:rPr>
        <w:t>本文件由全国半导体设备和材料标准化技术委员会（SAC/TC 203）与全国半导体设备和材料标准化技术委员会材料分技术委员会（SAC/TC 203/SC2）共同提出并归口。</w:t>
      </w:r>
    </w:p>
    <w:p w14:paraId="14037E58">
      <w:pPr>
        <w:pStyle w:val="56"/>
        <w:ind w:firstLine="420"/>
      </w:pPr>
      <w:r>
        <w:rPr>
          <w:rFonts w:hint="eastAsia"/>
        </w:rPr>
        <w:t>本文件起草单位：南京集溢半导体科技有限公司、中山德华芯片技术有限公司、全磊光电股份有限公司、云南鑫耀半导体材料有限公司、</w:t>
      </w:r>
      <w:r>
        <w:rPr>
          <w:rFonts w:hint="eastAsia"/>
          <w:lang w:val="en-US" w:eastAsia="zh-CN"/>
        </w:rPr>
        <w:t>江苏华兴激光科技有限公司、</w:t>
      </w:r>
      <w:r>
        <w:rPr>
          <w:rFonts w:hint="eastAsia"/>
        </w:rPr>
        <w:t>北京大学东莞光电研究院</w:t>
      </w:r>
      <w:r>
        <w:rPr>
          <w:rFonts w:hint="eastAsia"/>
          <w:lang w:eastAsia="zh-CN"/>
        </w:rPr>
        <w:t>、</w:t>
      </w:r>
      <w:r>
        <w:rPr>
          <w:rFonts w:hint="eastAsia"/>
        </w:rPr>
        <w:t>中科晶宇芯源大庆半导体材料有限公司</w:t>
      </w:r>
      <w:r>
        <w:rPr>
          <w:rFonts w:hint="eastAsia"/>
          <w:lang w:eastAsia="zh-CN"/>
        </w:rPr>
        <w:t>、</w:t>
      </w:r>
      <w:r>
        <w:rPr>
          <w:rFonts w:hint="eastAsia"/>
        </w:rPr>
        <w:t>大庆溢泰半导体材料有限公司、中国科学院半导体研究所</w:t>
      </w:r>
    </w:p>
    <w:p w14:paraId="3DA56386">
      <w:pPr>
        <w:pStyle w:val="56"/>
        <w:ind w:firstLine="420"/>
      </w:pPr>
      <w:r>
        <w:rPr>
          <w:rFonts w:hint="eastAsia"/>
        </w:rPr>
        <w:t>本文件主要起草人：赵中阳、</w:t>
      </w:r>
      <w:r>
        <w:rPr>
          <w:rFonts w:hint="eastAsia"/>
          <w:lang w:val="en-US" w:eastAsia="zh-CN"/>
        </w:rPr>
        <w:t>冯家峰、赵春峰、刘建庆</w:t>
      </w:r>
      <w:r>
        <w:rPr>
          <w:rFonts w:hint="eastAsia"/>
        </w:rPr>
        <w:t>、张双翔、林作亮、</w:t>
      </w:r>
      <w:r>
        <w:rPr>
          <w:rFonts w:hint="eastAsia"/>
          <w:lang w:val="en-US" w:eastAsia="zh-CN"/>
        </w:rPr>
        <w:t>宁振动、刘强、</w:t>
      </w:r>
      <w:r>
        <w:rPr>
          <w:rFonts w:hint="eastAsia"/>
        </w:rPr>
        <w:t>于会永、郑红军、赵有文。</w:t>
      </w:r>
    </w:p>
    <w:p w14:paraId="38846DB2">
      <w:pPr>
        <w:pStyle w:val="56"/>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cols w:space="425" w:num="1"/>
          <w:formProt w:val="0"/>
          <w:docGrid w:type="lines" w:linePitch="312" w:charSpace="0"/>
        </w:sectPr>
      </w:pPr>
    </w:p>
    <w:bookmarkEnd w:id="21"/>
    <w:p w14:paraId="42BD4676">
      <w:pPr>
        <w:spacing w:line="20" w:lineRule="exact"/>
        <w:jc w:val="center"/>
        <w:rPr>
          <w:rFonts w:ascii="黑体" w:hAnsi="黑体" w:eastAsia="黑体"/>
          <w:sz w:val="32"/>
          <w:szCs w:val="32"/>
        </w:rPr>
      </w:pPr>
      <w:bookmarkStart w:id="22" w:name="BookMark4"/>
    </w:p>
    <w:p w14:paraId="30C079CD">
      <w:pPr>
        <w:spacing w:line="20" w:lineRule="exact"/>
        <w:jc w:val="center"/>
        <w:rPr>
          <w:rFonts w:ascii="黑体" w:hAnsi="黑体" w:eastAsia="黑体"/>
          <w:sz w:val="32"/>
          <w:szCs w:val="32"/>
        </w:rPr>
      </w:pPr>
    </w:p>
    <w:sdt>
      <w:sdtPr>
        <w:tag w:val="NEW_STAND_NAME"/>
        <w:id w:val="595910757"/>
        <w:lock w:val="sdtLocked"/>
        <w:placeholder>
          <w:docPart w:val="C317D8DEB2DE4106BDB62394D2DB9925"/>
        </w:placeholder>
      </w:sdtPr>
      <w:sdtContent>
        <w:p w14:paraId="6C7EDDC9">
          <w:pPr>
            <w:pStyle w:val="177"/>
            <w:spacing w:before="567" w:beforeLines="182" w:after="686" w:afterLines="220"/>
          </w:pPr>
          <w:bookmarkStart w:id="23" w:name="NEW_STAND_NAME"/>
          <w:r>
            <w:t>LED外延芯片用砷化镓衬底</w:t>
          </w:r>
        </w:p>
      </w:sdtContent>
    </w:sdt>
    <w:bookmarkEnd w:id="23"/>
    <w:p w14:paraId="5DBC9694">
      <w:pPr>
        <w:pStyle w:val="104"/>
        <w:spacing w:before="312" w:after="312"/>
      </w:pPr>
      <w:bookmarkStart w:id="24" w:name="_Toc26648465"/>
      <w:bookmarkStart w:id="25" w:name="_Toc24884218"/>
      <w:bookmarkStart w:id="26" w:name="_Toc161927684"/>
      <w:bookmarkStart w:id="27" w:name="_Toc17233325"/>
      <w:bookmarkStart w:id="28" w:name="_Toc26986530"/>
      <w:bookmarkStart w:id="29" w:name="_Toc161927889"/>
      <w:bookmarkStart w:id="30" w:name="_Toc26986771"/>
      <w:bookmarkStart w:id="31" w:name="_Toc161928066"/>
      <w:bookmarkStart w:id="32" w:name="_Toc97190718"/>
      <w:bookmarkStart w:id="33" w:name="_Toc161963348"/>
      <w:bookmarkStart w:id="34" w:name="_Toc17233333"/>
      <w:bookmarkStart w:id="35" w:name="_Toc24884211"/>
      <w:bookmarkStart w:id="36" w:name="_Toc26718930"/>
      <w:r>
        <w:rPr>
          <w:rFonts w:hint="eastAsia"/>
        </w:rPr>
        <w:t>范围</w:t>
      </w:r>
      <w:bookmarkEnd w:id="24"/>
      <w:bookmarkEnd w:id="25"/>
      <w:bookmarkEnd w:id="26"/>
      <w:bookmarkEnd w:id="27"/>
      <w:bookmarkEnd w:id="28"/>
      <w:bookmarkEnd w:id="29"/>
      <w:bookmarkEnd w:id="30"/>
      <w:bookmarkEnd w:id="31"/>
      <w:bookmarkEnd w:id="32"/>
      <w:bookmarkEnd w:id="33"/>
      <w:bookmarkEnd w:id="34"/>
      <w:bookmarkEnd w:id="35"/>
      <w:bookmarkEnd w:id="36"/>
    </w:p>
    <w:p w14:paraId="539D80F6">
      <w:pPr>
        <w:pStyle w:val="56"/>
        <w:ind w:firstLine="420"/>
        <w:rPr>
          <w:highlight w:val="none"/>
        </w:rPr>
      </w:pPr>
      <w:bookmarkStart w:id="37" w:name="_Toc26648466"/>
      <w:bookmarkStart w:id="38" w:name="_Toc24884212"/>
      <w:bookmarkStart w:id="39" w:name="_Toc17233326"/>
      <w:bookmarkStart w:id="40" w:name="_Toc17233334"/>
      <w:bookmarkStart w:id="41" w:name="_Toc24884219"/>
      <w:r>
        <w:rPr>
          <w:rFonts w:hint="eastAsia"/>
          <w:highlight w:val="none"/>
        </w:rPr>
        <w:t>本文件规定了LED外延芯片用砷化镓单晶衬底（以下简称“砷化镓衬底”）的技术要求、试验方法和检验规则、标志，以及包装、运输、储存、质量证明书与订货单（或合同）内容。</w:t>
      </w:r>
    </w:p>
    <w:p w14:paraId="057E7DD0">
      <w:pPr>
        <w:pStyle w:val="56"/>
        <w:ind w:firstLine="420"/>
        <w:rPr>
          <w:highlight w:val="none"/>
        </w:rPr>
      </w:pPr>
      <w:r>
        <w:rPr>
          <w:rFonts w:hint="eastAsia"/>
          <w:highlight w:val="none"/>
        </w:rPr>
        <w:t>本文件适用于砷化镓衬底的生产、</w:t>
      </w:r>
      <w:r>
        <w:rPr>
          <w:rFonts w:hint="eastAsia"/>
          <w:color w:val="FF0000"/>
          <w:highlight w:val="none"/>
        </w:rPr>
        <w:t>测试、检验</w:t>
      </w:r>
      <w:r>
        <w:rPr>
          <w:color w:val="FF0000"/>
          <w:highlight w:val="none"/>
        </w:rPr>
        <w:t>分析</w:t>
      </w:r>
      <w:r>
        <w:rPr>
          <w:rFonts w:hint="eastAsia"/>
          <w:color w:val="FF0000"/>
          <w:highlight w:val="none"/>
        </w:rPr>
        <w:t>及质量评价</w:t>
      </w:r>
      <w:r>
        <w:rPr>
          <w:rFonts w:hint="eastAsia"/>
          <w:highlight w:val="none"/>
        </w:rPr>
        <w:t>。</w:t>
      </w:r>
    </w:p>
    <w:p w14:paraId="42DFCF7B">
      <w:pPr>
        <w:pStyle w:val="104"/>
        <w:spacing w:before="312" w:after="312"/>
        <w:rPr>
          <w:highlight w:val="none"/>
        </w:rPr>
      </w:pPr>
      <w:bookmarkStart w:id="42" w:name="_Toc161927685"/>
      <w:bookmarkStart w:id="43" w:name="_Toc26718931"/>
      <w:bookmarkStart w:id="44" w:name="_Toc26986531"/>
      <w:bookmarkStart w:id="45" w:name="_Toc161927890"/>
      <w:bookmarkStart w:id="46" w:name="_Toc161928067"/>
      <w:bookmarkStart w:id="47" w:name="_Toc97190719"/>
      <w:bookmarkStart w:id="48" w:name="_Toc161963349"/>
      <w:bookmarkStart w:id="49" w:name="_Toc26986772"/>
      <w:r>
        <w:rPr>
          <w:rFonts w:hint="eastAsia"/>
          <w:highlight w:val="none"/>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A32CDCF1EC2A407BB46E34B1D23143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3ADAC3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3838693">
      <w:pPr>
        <w:pStyle w:val="56"/>
        <w:ind w:firstLine="420"/>
        <w:rPr>
          <w:highlight w:val="none"/>
        </w:rPr>
      </w:pPr>
      <w:r>
        <w:rPr>
          <w:rFonts w:hint="eastAsia"/>
          <w:highlight w:val="none"/>
        </w:rPr>
        <w:t>GB/T 191　包装储运图示标志</w:t>
      </w:r>
    </w:p>
    <w:p w14:paraId="4980A689">
      <w:pPr>
        <w:pStyle w:val="56"/>
        <w:ind w:firstLine="420"/>
        <w:rPr>
          <w:highlight w:val="none"/>
        </w:rPr>
      </w:pPr>
      <w:r>
        <w:rPr>
          <w:rFonts w:hint="eastAsia"/>
          <w:highlight w:val="none"/>
        </w:rPr>
        <w:t>GB/T 1555　半导体单晶晶向测定方法</w:t>
      </w:r>
    </w:p>
    <w:p w14:paraId="711CA403">
      <w:pPr>
        <w:pStyle w:val="56"/>
        <w:ind w:firstLine="420"/>
        <w:rPr>
          <w:highlight w:val="none"/>
        </w:rPr>
      </w:pPr>
      <w:r>
        <w:rPr>
          <w:rFonts w:hint="eastAsia"/>
          <w:highlight w:val="none"/>
        </w:rPr>
        <w:t>GB/T 2828.1—2012　计数抽样检验程序　第1部分：按接收质量限（AQL）检索的逐批检验抽样计划</w:t>
      </w:r>
    </w:p>
    <w:p w14:paraId="2042AE16">
      <w:pPr>
        <w:pStyle w:val="56"/>
        <w:ind w:firstLine="420"/>
        <w:rPr>
          <w:highlight w:val="none"/>
        </w:rPr>
      </w:pPr>
      <w:r>
        <w:rPr>
          <w:rFonts w:hint="eastAsia"/>
          <w:highlight w:val="none"/>
        </w:rPr>
        <w:t>GB/T 4326　非本征半导体单晶霍尔迁移率和霍尔系数测量方法</w:t>
      </w:r>
    </w:p>
    <w:p w14:paraId="675B3AE7">
      <w:pPr>
        <w:pStyle w:val="56"/>
        <w:ind w:firstLine="420"/>
        <w:rPr>
          <w:highlight w:val="none"/>
        </w:rPr>
      </w:pPr>
      <w:r>
        <w:rPr>
          <w:rFonts w:hint="eastAsia"/>
          <w:highlight w:val="none"/>
        </w:rPr>
        <w:t>GB/T 6618　硅片厚度和总厚度变化测试方法</w:t>
      </w:r>
    </w:p>
    <w:p w14:paraId="0ED635DF">
      <w:pPr>
        <w:pStyle w:val="56"/>
        <w:ind w:firstLine="420"/>
        <w:rPr>
          <w:highlight w:val="none"/>
        </w:rPr>
      </w:pPr>
      <w:r>
        <w:rPr>
          <w:rFonts w:hint="eastAsia"/>
          <w:highlight w:val="none"/>
        </w:rPr>
        <w:t>GB/T 6620　硅片翘曲度非接触式测试方法</w:t>
      </w:r>
    </w:p>
    <w:p w14:paraId="1CBE63DE">
      <w:pPr>
        <w:pStyle w:val="56"/>
        <w:ind w:firstLine="420"/>
        <w:rPr>
          <w:highlight w:val="none"/>
        </w:rPr>
      </w:pPr>
      <w:r>
        <w:rPr>
          <w:rFonts w:hint="eastAsia"/>
          <w:highlight w:val="none"/>
        </w:rPr>
        <w:t>GB/T 6621　硅片表面平整度测试方法</w:t>
      </w:r>
    </w:p>
    <w:p w14:paraId="7562EA45">
      <w:pPr>
        <w:pStyle w:val="56"/>
        <w:ind w:firstLine="420"/>
        <w:rPr>
          <w:highlight w:val="none"/>
        </w:rPr>
      </w:pPr>
      <w:r>
        <w:rPr>
          <w:rFonts w:hint="eastAsia"/>
          <w:highlight w:val="none"/>
        </w:rPr>
        <w:t>GB/T 6624　硅抛光片表面质量目测检验方法</w:t>
      </w:r>
    </w:p>
    <w:p w14:paraId="439161EE">
      <w:pPr>
        <w:pStyle w:val="56"/>
        <w:ind w:firstLine="420"/>
        <w:rPr>
          <w:highlight w:val="none"/>
        </w:rPr>
      </w:pPr>
      <w:r>
        <w:rPr>
          <w:rFonts w:hint="eastAsia"/>
          <w:highlight w:val="none"/>
        </w:rPr>
        <w:t>GB/T 8760　砷化镓单晶位错密度的测量方法</w:t>
      </w:r>
    </w:p>
    <w:p w14:paraId="44E1C414">
      <w:pPr>
        <w:pStyle w:val="56"/>
        <w:ind w:firstLine="420"/>
        <w:rPr>
          <w:highlight w:val="none"/>
        </w:rPr>
      </w:pPr>
      <w:r>
        <w:rPr>
          <w:rFonts w:hint="eastAsia"/>
          <w:highlight w:val="none"/>
        </w:rPr>
        <w:t>GB/T 11093　液封直拉法砷化镓单晶及切割片</w:t>
      </w:r>
    </w:p>
    <w:p w14:paraId="22C6716A">
      <w:pPr>
        <w:pStyle w:val="56"/>
        <w:ind w:firstLine="420"/>
        <w:rPr>
          <w:highlight w:val="none"/>
        </w:rPr>
      </w:pPr>
      <w:r>
        <w:rPr>
          <w:rFonts w:hint="eastAsia"/>
          <w:highlight w:val="none"/>
        </w:rPr>
        <w:t>GB/T 13387　硅及其电子材料晶片参考面长度测试方法</w:t>
      </w:r>
    </w:p>
    <w:p w14:paraId="3791B1DA">
      <w:pPr>
        <w:pStyle w:val="56"/>
        <w:ind w:firstLine="420"/>
        <w:rPr>
          <w:rFonts w:hint="eastAsia"/>
          <w:highlight w:val="none"/>
        </w:rPr>
      </w:pPr>
      <w:r>
        <w:rPr>
          <w:rFonts w:hint="eastAsia"/>
          <w:highlight w:val="none"/>
        </w:rPr>
        <w:t>GB/T 13388　硅片参考面结晶学取向X射线测试方法</w:t>
      </w:r>
    </w:p>
    <w:p w14:paraId="25B961AE">
      <w:pPr>
        <w:keepNext w:val="0"/>
        <w:keepLines w:val="0"/>
        <w:pageBreakBefore w:val="0"/>
        <w:widowControl w:val="0"/>
        <w:tabs>
          <w:tab w:val="left" w:pos="1961"/>
          <w:tab w:val="left" w:pos="4115"/>
        </w:tabs>
        <w:kinsoku/>
        <w:wordWrap/>
        <w:overflowPunct/>
        <w:topLinePunct w:val="0"/>
        <w:autoSpaceDE w:val="0"/>
        <w:autoSpaceDN w:val="0"/>
        <w:bidi w:val="0"/>
        <w:adjustRightInd/>
        <w:snapToGrid/>
        <w:spacing w:before="0" w:line="240" w:lineRule="auto"/>
        <w:ind w:left="0" w:right="0" w:firstLine="440" w:firstLineChars="200"/>
        <w:jc w:val="left"/>
        <w:textAlignment w:val="auto"/>
        <w:rPr>
          <w:rFonts w:hint="eastAsia"/>
          <w:highlight w:val="none"/>
        </w:rPr>
      </w:pPr>
      <w:r>
        <w:rPr>
          <w:rFonts w:hint="eastAsia" w:ascii="宋体" w:hAnsi="宋体" w:eastAsia="宋体" w:cs="宋体"/>
          <w:w w:val="105"/>
          <w:sz w:val="21"/>
          <w:szCs w:val="21"/>
          <w:highlight w:val="none"/>
          <w:lang w:val="en-US" w:eastAsia="zh-CN"/>
        </w:rPr>
        <w:t>GB/T 141</w:t>
      </w:r>
      <w:r>
        <w:rPr>
          <w:rFonts w:hint="eastAsia" w:ascii="宋体" w:hAnsi="宋体" w:cs="宋体"/>
          <w:w w:val="105"/>
          <w:sz w:val="21"/>
          <w:szCs w:val="21"/>
          <w:highlight w:val="none"/>
          <w:lang w:val="en-US" w:eastAsia="zh-CN"/>
        </w:rPr>
        <w:t>4</w:t>
      </w:r>
      <w:r>
        <w:rPr>
          <w:rFonts w:hint="eastAsia" w:ascii="宋体" w:hAnsi="宋体" w:eastAsia="宋体" w:cs="宋体"/>
          <w:w w:val="105"/>
          <w:sz w:val="21"/>
          <w:szCs w:val="21"/>
          <w:highlight w:val="none"/>
          <w:lang w:val="en-US" w:eastAsia="zh-CN"/>
        </w:rPr>
        <w:t>0 硅片直径测量方法</w:t>
      </w:r>
    </w:p>
    <w:p w14:paraId="75E5DD2D">
      <w:pPr>
        <w:pStyle w:val="56"/>
        <w:rPr>
          <w:highlight w:val="none"/>
        </w:rPr>
      </w:pPr>
      <w:r>
        <w:rPr>
          <w:rFonts w:hint="eastAsia"/>
          <w:highlight w:val="none"/>
        </w:rPr>
        <w:t>GB/T 14264　半导体材料术语</w:t>
      </w:r>
    </w:p>
    <w:p w14:paraId="426683EA">
      <w:pPr>
        <w:pStyle w:val="56"/>
        <w:ind w:firstLine="420"/>
        <w:rPr>
          <w:highlight w:val="none"/>
        </w:rPr>
      </w:pPr>
      <w:r>
        <w:rPr>
          <w:rFonts w:hint="eastAsia"/>
          <w:highlight w:val="none"/>
        </w:rPr>
        <w:t>GB/T 14844　半导体材料牌号表示方法</w:t>
      </w:r>
    </w:p>
    <w:p w14:paraId="070BB92F">
      <w:pPr>
        <w:pStyle w:val="56"/>
        <w:ind w:firstLine="420"/>
        <w:rPr>
          <w:highlight w:val="none"/>
        </w:rPr>
      </w:pPr>
      <w:r>
        <w:rPr>
          <w:rFonts w:hint="eastAsia"/>
          <w:highlight w:val="none"/>
        </w:rPr>
        <w:t>GB/T 20228　砷化镓单晶</w:t>
      </w:r>
    </w:p>
    <w:p w14:paraId="016DF3CD">
      <w:pPr>
        <w:pStyle w:val="56"/>
        <w:ind w:firstLine="420"/>
        <w:rPr>
          <w:highlight w:val="none"/>
        </w:rPr>
      </w:pPr>
      <w:r>
        <w:rPr>
          <w:rFonts w:hint="eastAsia"/>
          <w:highlight w:val="none"/>
        </w:rPr>
        <w:t>G</w:t>
      </w:r>
      <w:r>
        <w:rPr>
          <w:highlight w:val="none"/>
        </w:rPr>
        <w:t>B/T 25915.1—2021　</w:t>
      </w:r>
      <w:r>
        <w:rPr>
          <w:rFonts w:hint="eastAsia"/>
          <w:highlight w:val="none"/>
        </w:rPr>
        <w:t>洁净室及相关受控环境</w:t>
      </w:r>
      <w:r>
        <w:rPr>
          <w:highlight w:val="none"/>
        </w:rPr>
        <w:t>　</w:t>
      </w:r>
      <w:r>
        <w:rPr>
          <w:rFonts w:hint="eastAsia"/>
          <w:highlight w:val="none"/>
        </w:rPr>
        <w:t>第1部分：按粒子浓度划分空气洁净度等级</w:t>
      </w:r>
    </w:p>
    <w:p w14:paraId="1234E3A3">
      <w:pPr>
        <w:pStyle w:val="104"/>
        <w:spacing w:before="312" w:after="312"/>
      </w:pPr>
      <w:bookmarkStart w:id="50" w:name="_Toc97190720"/>
      <w:bookmarkStart w:id="51" w:name="_Toc161928068"/>
      <w:bookmarkStart w:id="52" w:name="_Toc161963350"/>
      <w:bookmarkStart w:id="53" w:name="_Toc161927891"/>
      <w:bookmarkStart w:id="54" w:name="_Toc161927686"/>
      <w:r>
        <w:rPr>
          <w:rFonts w:hint="eastAsia"/>
          <w:szCs w:val="21"/>
        </w:rPr>
        <w:t>术语和定义</w:t>
      </w:r>
      <w:bookmarkEnd w:id="50"/>
      <w:bookmarkEnd w:id="51"/>
      <w:bookmarkEnd w:id="52"/>
      <w:bookmarkEnd w:id="53"/>
      <w:bookmarkEnd w:id="54"/>
    </w:p>
    <w:sdt>
      <w:sdtPr>
        <w:id w:val="-1909835108"/>
        <w:placeholder>
          <w:docPart w:val="A32CDCF1EC2A407BB46E34B1D231436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F7EB35D">
          <w:pPr>
            <w:pStyle w:val="56"/>
            <w:ind w:firstLine="420"/>
          </w:pPr>
          <w:bookmarkStart w:id="55" w:name="_Toc26986532"/>
          <w:bookmarkEnd w:id="55"/>
          <w:r>
            <w:t>GB/T 14264界定的术语和定义适用于本文件。</w:t>
          </w:r>
        </w:p>
      </w:sdtContent>
    </w:sdt>
    <w:p w14:paraId="76329801">
      <w:pPr>
        <w:pStyle w:val="104"/>
        <w:spacing w:before="312" w:after="312"/>
      </w:pPr>
      <w:bookmarkStart w:id="56" w:name="_Toc161928069"/>
      <w:bookmarkStart w:id="57" w:name="_Toc161927892"/>
      <w:bookmarkStart w:id="58" w:name="_Toc161963351"/>
      <w:r>
        <w:rPr>
          <w:rFonts w:hint="eastAsia"/>
        </w:rPr>
        <w:t>分类</w:t>
      </w:r>
      <w:bookmarkEnd w:id="56"/>
      <w:bookmarkEnd w:id="57"/>
      <w:r>
        <w:rPr>
          <w:rFonts w:hint="eastAsia"/>
          <w:highlight w:val="none"/>
        </w:rPr>
        <w:t>和</w:t>
      </w:r>
      <w:r>
        <w:rPr>
          <w:highlight w:val="none"/>
        </w:rPr>
        <w:t>牌号</w:t>
      </w:r>
      <w:bookmarkEnd w:id="58"/>
    </w:p>
    <w:p w14:paraId="7FCAA658">
      <w:pPr>
        <w:pStyle w:val="105"/>
        <w:spacing w:before="156" w:after="156"/>
      </w:pPr>
      <w:bookmarkStart w:id="59" w:name="_Toc161963353"/>
      <w:bookmarkStart w:id="60" w:name="_Toc161927894"/>
      <w:bookmarkStart w:id="61" w:name="_Toc161928071"/>
      <w:r>
        <w:rPr>
          <w:rFonts w:hint="eastAsia"/>
        </w:rPr>
        <w:t>分类</w:t>
      </w:r>
      <w:bookmarkEnd w:id="59"/>
      <w:bookmarkEnd w:id="60"/>
      <w:bookmarkEnd w:id="61"/>
    </w:p>
    <w:p w14:paraId="5B8D4873">
      <w:pPr>
        <w:pStyle w:val="165"/>
        <w:rPr>
          <w:highlight w:val="none"/>
        </w:rPr>
      </w:pPr>
      <w:r>
        <w:rPr>
          <w:rFonts w:hint="eastAsia"/>
          <w:highlight w:val="none"/>
        </w:rPr>
        <w:t>砷化镓衬底按导电类型分为n型和p型；</w:t>
      </w:r>
    </w:p>
    <w:p w14:paraId="3D444407">
      <w:pPr>
        <w:pStyle w:val="165"/>
        <w:rPr>
          <w:highlight w:val="none"/>
        </w:rPr>
      </w:pPr>
      <w:r>
        <w:rPr>
          <w:rFonts w:hint="eastAsia"/>
          <w:highlight w:val="none"/>
        </w:rPr>
        <w:t>砷化镓衬底按直径分为Ф50.8</w:t>
      </w:r>
      <w:r>
        <w:rPr>
          <w:rFonts w:hint="eastAsia"/>
          <w:highlight w:val="none"/>
          <w:vertAlign w:val="subscript"/>
        </w:rPr>
        <w:t xml:space="preserve"> </w:t>
      </w:r>
      <w:r>
        <w:rPr>
          <w:rFonts w:hint="eastAsia"/>
          <w:highlight w:val="none"/>
        </w:rPr>
        <w:t>mm</w:t>
      </w:r>
      <w:r>
        <w:rPr>
          <w:rFonts w:hint="eastAsia"/>
          <w:highlight w:val="none"/>
          <w:lang w:val="en-US" w:eastAsia="zh-CN"/>
        </w:rPr>
        <w:t xml:space="preserve"> </w:t>
      </w:r>
      <w:r>
        <w:rPr>
          <w:rFonts w:hint="eastAsia" w:hAnsi="宋体" w:cs="宋体"/>
          <w:sz w:val="18"/>
          <w:szCs w:val="18"/>
          <w:highlight w:val="none"/>
          <w:lang w:bidi="ar"/>
        </w:rPr>
        <w:t>(</w:t>
      </w:r>
      <w:r>
        <w:rPr>
          <w:rFonts w:hint="eastAsia" w:hAnsi="宋体" w:cs="宋体"/>
          <w:sz w:val="18"/>
          <w:szCs w:val="18"/>
          <w:highlight w:val="none"/>
        </w:rPr>
        <w:t>Ф</w:t>
      </w:r>
      <w:r>
        <w:rPr>
          <w:rFonts w:hint="eastAsia" w:hAnsi="宋体" w:cs="宋体"/>
          <w:sz w:val="18"/>
          <w:szCs w:val="18"/>
          <w:highlight w:val="none"/>
          <w:lang w:bidi="ar"/>
        </w:rPr>
        <w:t>2")</w:t>
      </w:r>
      <w:r>
        <w:rPr>
          <w:rFonts w:hint="eastAsia"/>
          <w:highlight w:val="none"/>
        </w:rPr>
        <w:t>、Ф76.2</w:t>
      </w:r>
      <w:r>
        <w:rPr>
          <w:rFonts w:hint="eastAsia"/>
          <w:highlight w:val="none"/>
          <w:vertAlign w:val="subscript"/>
        </w:rPr>
        <w:t xml:space="preserve"> </w:t>
      </w:r>
      <w:r>
        <w:rPr>
          <w:rFonts w:hint="eastAsia"/>
          <w:highlight w:val="none"/>
        </w:rPr>
        <w:t>mm</w:t>
      </w:r>
      <w:r>
        <w:rPr>
          <w:rFonts w:hint="eastAsia"/>
          <w:highlight w:val="none"/>
          <w:lang w:val="en-US" w:eastAsia="zh-CN"/>
        </w:rPr>
        <w:t xml:space="preserve"> </w:t>
      </w:r>
      <w:r>
        <w:rPr>
          <w:rFonts w:hint="eastAsia" w:hAnsi="宋体" w:cs="宋体"/>
          <w:sz w:val="18"/>
          <w:szCs w:val="18"/>
          <w:highlight w:val="none"/>
          <w:lang w:bidi="ar"/>
        </w:rPr>
        <w:t>(</w:t>
      </w:r>
      <w:r>
        <w:rPr>
          <w:rFonts w:hint="eastAsia" w:hAnsi="宋体" w:cs="宋体"/>
          <w:sz w:val="18"/>
          <w:szCs w:val="18"/>
          <w:highlight w:val="none"/>
        </w:rPr>
        <w:t>Ф</w:t>
      </w:r>
      <w:r>
        <w:rPr>
          <w:rFonts w:hint="eastAsia" w:hAnsi="宋体" w:cs="宋体"/>
          <w:sz w:val="18"/>
          <w:szCs w:val="18"/>
          <w:highlight w:val="none"/>
          <w:lang w:bidi="ar"/>
        </w:rPr>
        <w:t>3")</w:t>
      </w:r>
      <w:r>
        <w:rPr>
          <w:rFonts w:hint="eastAsia"/>
          <w:highlight w:val="none"/>
        </w:rPr>
        <w:t>、Ф100.0</w:t>
      </w:r>
      <w:r>
        <w:rPr>
          <w:rFonts w:hint="eastAsia"/>
          <w:highlight w:val="none"/>
          <w:vertAlign w:val="subscript"/>
        </w:rPr>
        <w:t xml:space="preserve"> </w:t>
      </w:r>
      <w:r>
        <w:rPr>
          <w:rFonts w:hint="eastAsia"/>
          <w:highlight w:val="none"/>
        </w:rPr>
        <w:t>mm</w:t>
      </w:r>
      <w:r>
        <w:rPr>
          <w:rFonts w:hint="eastAsia"/>
          <w:highlight w:val="none"/>
          <w:lang w:val="en-US" w:eastAsia="zh-CN"/>
        </w:rPr>
        <w:t xml:space="preserve"> </w:t>
      </w:r>
      <w:r>
        <w:rPr>
          <w:rFonts w:hint="eastAsia" w:hAnsi="宋体" w:cs="宋体"/>
          <w:sz w:val="18"/>
          <w:szCs w:val="18"/>
          <w:highlight w:val="none"/>
          <w:lang w:bidi="ar"/>
        </w:rPr>
        <w:t>(</w:t>
      </w:r>
      <w:r>
        <w:rPr>
          <w:rFonts w:hint="eastAsia" w:hAnsi="宋体" w:cs="宋体"/>
          <w:sz w:val="18"/>
          <w:szCs w:val="18"/>
          <w:highlight w:val="none"/>
        </w:rPr>
        <w:t>Ф</w:t>
      </w:r>
      <w:r>
        <w:rPr>
          <w:rFonts w:hint="eastAsia" w:hAnsi="宋体" w:cs="宋体"/>
          <w:sz w:val="18"/>
          <w:szCs w:val="18"/>
          <w:highlight w:val="none"/>
          <w:lang w:bidi="ar"/>
        </w:rPr>
        <w:t>4")</w:t>
      </w:r>
      <w:r>
        <w:rPr>
          <w:rFonts w:hint="eastAsia"/>
          <w:highlight w:val="none"/>
        </w:rPr>
        <w:t>、Ф150.0</w:t>
      </w:r>
      <w:r>
        <w:rPr>
          <w:rFonts w:hint="eastAsia"/>
          <w:highlight w:val="none"/>
          <w:vertAlign w:val="subscript"/>
        </w:rPr>
        <w:t xml:space="preserve"> </w:t>
      </w:r>
      <w:r>
        <w:rPr>
          <w:rFonts w:hint="eastAsia"/>
          <w:highlight w:val="none"/>
        </w:rPr>
        <w:t>mm</w:t>
      </w:r>
      <w:r>
        <w:rPr>
          <w:rFonts w:hint="eastAsia"/>
          <w:highlight w:val="none"/>
          <w:lang w:val="en-US" w:eastAsia="zh-CN"/>
        </w:rPr>
        <w:t xml:space="preserve"> </w:t>
      </w:r>
      <w:r>
        <w:rPr>
          <w:rFonts w:hint="eastAsia" w:hAnsi="宋体" w:cs="宋体"/>
          <w:sz w:val="18"/>
          <w:szCs w:val="18"/>
          <w:highlight w:val="none"/>
          <w:lang w:bidi="ar"/>
        </w:rPr>
        <w:t>(</w:t>
      </w:r>
      <w:r>
        <w:rPr>
          <w:rFonts w:hint="eastAsia" w:hAnsi="宋体" w:cs="宋体"/>
          <w:sz w:val="18"/>
          <w:szCs w:val="18"/>
          <w:highlight w:val="none"/>
        </w:rPr>
        <w:t>Ф</w:t>
      </w:r>
      <w:r>
        <w:rPr>
          <w:rFonts w:hint="eastAsia" w:hAnsi="宋体" w:cs="宋体"/>
          <w:sz w:val="18"/>
          <w:szCs w:val="18"/>
          <w:highlight w:val="none"/>
          <w:lang w:bidi="ar"/>
        </w:rPr>
        <w:t>6")</w:t>
      </w:r>
      <w:r>
        <w:rPr>
          <w:rFonts w:hint="eastAsia"/>
          <w:highlight w:val="none"/>
        </w:rPr>
        <w:t>、Ф200.0</w:t>
      </w:r>
      <w:r>
        <w:rPr>
          <w:rFonts w:hint="eastAsia"/>
          <w:highlight w:val="none"/>
          <w:vertAlign w:val="subscript"/>
        </w:rPr>
        <w:t xml:space="preserve"> </w:t>
      </w:r>
      <w:r>
        <w:rPr>
          <w:rFonts w:hint="eastAsia"/>
          <w:highlight w:val="none"/>
        </w:rPr>
        <w:t>mm</w:t>
      </w:r>
      <w:r>
        <w:rPr>
          <w:rFonts w:hint="eastAsia"/>
          <w:highlight w:val="none"/>
          <w:lang w:val="en-US" w:eastAsia="zh-CN"/>
        </w:rPr>
        <w:t xml:space="preserve"> </w:t>
      </w:r>
      <w:r>
        <w:rPr>
          <w:rFonts w:hint="eastAsia" w:hAnsi="宋体" w:cs="宋体"/>
          <w:sz w:val="18"/>
          <w:szCs w:val="18"/>
          <w:highlight w:val="none"/>
          <w:lang w:bidi="ar"/>
        </w:rPr>
        <w:t>(</w:t>
      </w:r>
      <w:r>
        <w:rPr>
          <w:rFonts w:hint="eastAsia" w:hAnsi="宋体" w:cs="宋体"/>
          <w:sz w:val="18"/>
          <w:szCs w:val="18"/>
          <w:highlight w:val="none"/>
        </w:rPr>
        <w:t>Ф</w:t>
      </w:r>
      <w:r>
        <w:rPr>
          <w:rFonts w:hint="eastAsia" w:hAnsi="宋体" w:cs="宋体"/>
          <w:sz w:val="18"/>
          <w:szCs w:val="18"/>
          <w:highlight w:val="none"/>
          <w:lang w:bidi="ar"/>
        </w:rPr>
        <w:t>8")</w:t>
      </w:r>
      <w:r>
        <w:rPr>
          <w:rFonts w:hint="eastAsia"/>
          <w:highlight w:val="none"/>
        </w:rPr>
        <w:t>五种规格。</w:t>
      </w:r>
    </w:p>
    <w:p w14:paraId="0B0B9886">
      <w:pPr>
        <w:pStyle w:val="105"/>
        <w:spacing w:before="156" w:after="156"/>
        <w:rPr>
          <w:highlight w:val="none"/>
        </w:rPr>
      </w:pPr>
      <w:bookmarkStart w:id="62" w:name="_Toc161963354"/>
      <w:r>
        <w:rPr>
          <w:rFonts w:hint="eastAsia"/>
          <w:highlight w:val="none"/>
        </w:rPr>
        <w:t>牌号</w:t>
      </w:r>
      <w:bookmarkEnd w:id="62"/>
    </w:p>
    <w:p w14:paraId="078D7CE2">
      <w:pPr>
        <w:pStyle w:val="56"/>
        <w:ind w:firstLine="420"/>
        <w:rPr>
          <w:highlight w:val="none"/>
        </w:rPr>
      </w:pPr>
      <w:r>
        <w:rPr>
          <w:rFonts w:hint="eastAsia"/>
          <w:highlight w:val="none"/>
        </w:rPr>
        <w:t>砷化镓衬底牌号表示按GB/T 14844的规定。</w:t>
      </w:r>
    </w:p>
    <w:p w14:paraId="3D2C9A37">
      <w:pPr>
        <w:pStyle w:val="104"/>
        <w:spacing w:before="312" w:after="312"/>
        <w:rPr>
          <w:highlight w:val="none"/>
        </w:rPr>
      </w:pPr>
      <w:bookmarkStart w:id="63" w:name="_Toc161963355"/>
      <w:bookmarkStart w:id="64" w:name="_Toc161927895"/>
      <w:bookmarkStart w:id="65" w:name="_Toc161928072"/>
      <w:r>
        <w:rPr>
          <w:rFonts w:hint="eastAsia"/>
          <w:highlight w:val="none"/>
        </w:rPr>
        <w:t>要求</w:t>
      </w:r>
      <w:bookmarkEnd w:id="63"/>
      <w:bookmarkEnd w:id="64"/>
      <w:bookmarkEnd w:id="65"/>
    </w:p>
    <w:p w14:paraId="73D9B29E">
      <w:pPr>
        <w:pStyle w:val="105"/>
        <w:spacing w:before="156" w:after="156"/>
      </w:pPr>
      <w:bookmarkStart w:id="66" w:name="_Toc161928073"/>
      <w:bookmarkStart w:id="67" w:name="_Toc161927896"/>
      <w:bookmarkStart w:id="68" w:name="_Toc161963356"/>
      <w:r>
        <w:rPr>
          <w:rFonts w:hint="eastAsia"/>
        </w:rPr>
        <w:t>电学性能</w:t>
      </w:r>
      <w:bookmarkEnd w:id="66"/>
      <w:bookmarkEnd w:id="67"/>
      <w:bookmarkEnd w:id="68"/>
    </w:p>
    <w:p w14:paraId="1A146C16">
      <w:pPr>
        <w:pStyle w:val="56"/>
        <w:ind w:firstLine="420"/>
      </w:pPr>
      <w:r>
        <w:rPr>
          <w:rFonts w:hint="eastAsia"/>
        </w:rPr>
        <w:t>砷化镓衬底的电学性能符合表1的规定。</w:t>
      </w:r>
    </w:p>
    <w:p w14:paraId="660C313A">
      <w:pPr>
        <w:pStyle w:val="112"/>
        <w:spacing w:before="156" w:after="156"/>
      </w:pPr>
      <w:r>
        <w:rPr>
          <w:rFonts w:hint="eastAsia"/>
        </w:rPr>
        <w:t>砷化镓衬底的电学性能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3402"/>
        <w:gridCol w:w="2551"/>
        <w:gridCol w:w="2540"/>
      </w:tblGrid>
      <w:tr w14:paraId="4807A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vMerge w:val="restart"/>
            <w:tcBorders>
              <w:top w:val="single" w:color="auto" w:sz="8" w:space="0"/>
            </w:tcBorders>
            <w:shd w:val="clear" w:color="auto" w:fill="auto"/>
            <w:vAlign w:val="center"/>
          </w:tcPr>
          <w:p w14:paraId="30303A71">
            <w:pPr>
              <w:pStyle w:val="178"/>
              <w:rPr>
                <w:highlight w:val="none"/>
              </w:rPr>
            </w:pPr>
            <w:r>
              <w:rPr>
                <w:rFonts w:hint="eastAsia"/>
                <w:highlight w:val="none"/>
              </w:rPr>
              <w:t>序号</w:t>
            </w:r>
          </w:p>
        </w:tc>
        <w:tc>
          <w:tcPr>
            <w:tcW w:w="3402" w:type="dxa"/>
            <w:vMerge w:val="restart"/>
            <w:tcBorders>
              <w:top w:val="single" w:color="auto" w:sz="8" w:space="0"/>
            </w:tcBorders>
            <w:shd w:val="clear" w:color="auto" w:fill="auto"/>
            <w:vAlign w:val="center"/>
          </w:tcPr>
          <w:p w14:paraId="0F031B1C">
            <w:pPr>
              <w:pStyle w:val="178"/>
              <w:rPr>
                <w:highlight w:val="none"/>
              </w:rPr>
            </w:pPr>
            <w:r>
              <w:rPr>
                <w:rFonts w:hint="eastAsia"/>
                <w:highlight w:val="none"/>
              </w:rPr>
              <w:t>项目</w:t>
            </w:r>
          </w:p>
        </w:tc>
        <w:tc>
          <w:tcPr>
            <w:tcW w:w="5091" w:type="dxa"/>
            <w:gridSpan w:val="2"/>
            <w:tcBorders>
              <w:top w:val="single" w:color="auto" w:sz="8" w:space="0"/>
              <w:bottom w:val="single" w:color="auto" w:sz="4" w:space="0"/>
            </w:tcBorders>
            <w:shd w:val="clear" w:color="auto" w:fill="auto"/>
            <w:vAlign w:val="center"/>
          </w:tcPr>
          <w:p w14:paraId="5B802D0C">
            <w:pPr>
              <w:pStyle w:val="178"/>
              <w:rPr>
                <w:highlight w:val="none"/>
              </w:rPr>
            </w:pPr>
            <w:r>
              <w:rPr>
                <w:rFonts w:hint="eastAsia"/>
                <w:highlight w:val="none"/>
              </w:rPr>
              <w:t>要求</w:t>
            </w:r>
          </w:p>
        </w:tc>
      </w:tr>
      <w:tr w14:paraId="2CD04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vMerge w:val="continue"/>
            <w:tcBorders>
              <w:bottom w:val="single" w:color="auto" w:sz="8" w:space="0"/>
            </w:tcBorders>
            <w:shd w:val="clear" w:color="auto" w:fill="auto"/>
            <w:vAlign w:val="center"/>
          </w:tcPr>
          <w:p w14:paraId="313E0A98">
            <w:pPr>
              <w:pStyle w:val="178"/>
              <w:rPr>
                <w:highlight w:val="none"/>
              </w:rPr>
            </w:pPr>
          </w:p>
        </w:tc>
        <w:tc>
          <w:tcPr>
            <w:tcW w:w="3402" w:type="dxa"/>
            <w:vMerge w:val="continue"/>
            <w:tcBorders>
              <w:bottom w:val="single" w:color="auto" w:sz="8" w:space="0"/>
            </w:tcBorders>
            <w:shd w:val="clear" w:color="auto" w:fill="auto"/>
            <w:vAlign w:val="center"/>
          </w:tcPr>
          <w:p w14:paraId="62AF8659">
            <w:pPr>
              <w:pStyle w:val="178"/>
              <w:rPr>
                <w:highlight w:val="none"/>
              </w:rPr>
            </w:pPr>
          </w:p>
        </w:tc>
        <w:tc>
          <w:tcPr>
            <w:tcW w:w="2551" w:type="dxa"/>
            <w:tcBorders>
              <w:top w:val="single" w:color="auto" w:sz="4" w:space="0"/>
              <w:bottom w:val="single" w:color="auto" w:sz="8" w:space="0"/>
            </w:tcBorders>
            <w:shd w:val="clear" w:color="auto" w:fill="auto"/>
            <w:vAlign w:val="center"/>
          </w:tcPr>
          <w:p w14:paraId="37722F70">
            <w:pPr>
              <w:pStyle w:val="178"/>
              <w:rPr>
                <w:highlight w:val="none"/>
              </w:rPr>
            </w:pPr>
            <w:r>
              <w:rPr>
                <w:highlight w:val="none"/>
              </w:rPr>
              <w:t>n</w:t>
            </w:r>
          </w:p>
        </w:tc>
        <w:tc>
          <w:tcPr>
            <w:tcW w:w="2540" w:type="dxa"/>
            <w:tcBorders>
              <w:top w:val="single" w:color="auto" w:sz="4" w:space="0"/>
              <w:bottom w:val="single" w:color="auto" w:sz="8" w:space="0"/>
            </w:tcBorders>
            <w:shd w:val="clear" w:color="auto" w:fill="auto"/>
            <w:vAlign w:val="center"/>
          </w:tcPr>
          <w:p w14:paraId="5B280BC4">
            <w:pPr>
              <w:pStyle w:val="178"/>
              <w:rPr>
                <w:highlight w:val="none"/>
              </w:rPr>
            </w:pPr>
            <w:r>
              <w:rPr>
                <w:rFonts w:hint="eastAsia"/>
                <w:highlight w:val="none"/>
              </w:rPr>
              <w:t>p</w:t>
            </w:r>
          </w:p>
        </w:tc>
      </w:tr>
      <w:tr w14:paraId="76654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shd w:val="clear" w:color="auto" w:fill="auto"/>
            <w:vAlign w:val="center"/>
          </w:tcPr>
          <w:p w14:paraId="7852C5D3">
            <w:pPr>
              <w:pStyle w:val="178"/>
              <w:rPr>
                <w:highlight w:val="none"/>
              </w:rPr>
            </w:pPr>
            <w:r>
              <w:rPr>
                <w:rFonts w:hint="eastAsia"/>
                <w:highlight w:val="none"/>
              </w:rPr>
              <w:t>1</w:t>
            </w:r>
          </w:p>
        </w:tc>
        <w:tc>
          <w:tcPr>
            <w:tcW w:w="3402" w:type="dxa"/>
            <w:tcBorders>
              <w:top w:val="single" w:color="auto" w:sz="8" w:space="0"/>
            </w:tcBorders>
            <w:shd w:val="clear" w:color="auto" w:fill="auto"/>
            <w:vAlign w:val="center"/>
          </w:tcPr>
          <w:p w14:paraId="726175B3">
            <w:pPr>
              <w:snapToGrid w:val="0"/>
              <w:spacing w:line="240" w:lineRule="auto"/>
              <w:jc w:val="center"/>
              <w:rPr>
                <w:rFonts w:ascii="宋体" w:hAnsi="宋体" w:cs="宋体"/>
                <w:sz w:val="18"/>
                <w:szCs w:val="18"/>
                <w:highlight w:val="none"/>
              </w:rPr>
            </w:pPr>
            <w:r>
              <w:rPr>
                <w:rFonts w:hint="eastAsia" w:ascii="宋体" w:hAnsi="宋体" w:cs="宋体"/>
                <w:sz w:val="18"/>
                <w:szCs w:val="18"/>
                <w:highlight w:val="none"/>
              </w:rPr>
              <w:t>电阻率</w:t>
            </w:r>
          </w:p>
          <w:p w14:paraId="39CA074F">
            <w:pPr>
              <w:snapToGrid w:val="0"/>
              <w:spacing w:line="240" w:lineRule="auto"/>
              <w:jc w:val="center"/>
              <w:rPr>
                <w:highlight w:val="none"/>
              </w:rPr>
            </w:pPr>
            <w:r>
              <w:rPr>
                <w:rFonts w:hint="eastAsia" w:ascii="宋体" w:hAnsi="宋体" w:cs="宋体"/>
                <w:sz w:val="18"/>
                <w:szCs w:val="18"/>
                <w:highlight w:val="none"/>
              </w:rPr>
              <w:t>Ω·cm</w:t>
            </w:r>
          </w:p>
        </w:tc>
        <w:tc>
          <w:tcPr>
            <w:tcW w:w="2551" w:type="dxa"/>
            <w:tcBorders>
              <w:top w:val="single" w:color="auto" w:sz="8" w:space="0"/>
            </w:tcBorders>
            <w:shd w:val="clear" w:color="auto" w:fill="auto"/>
            <w:vAlign w:val="center"/>
          </w:tcPr>
          <w:p w14:paraId="17B9144C">
            <w:pPr>
              <w:pStyle w:val="178"/>
              <w:rPr>
                <w:highlight w:val="none"/>
              </w:rPr>
            </w:pPr>
            <w:r>
              <w:rPr>
                <w:rFonts w:hint="eastAsia" w:hAnsi="宋体" w:cs="宋体"/>
                <w:szCs w:val="18"/>
                <w:highlight w:val="none"/>
              </w:rPr>
              <w:t>1×10</w:t>
            </w:r>
            <w:r>
              <w:rPr>
                <w:rFonts w:hint="eastAsia" w:hAnsi="宋体" w:cs="宋体"/>
                <w:szCs w:val="18"/>
                <w:highlight w:val="none"/>
                <w:vertAlign w:val="superscript"/>
              </w:rPr>
              <w:t>-2</w:t>
            </w:r>
            <w:r>
              <w:rPr>
                <w:rFonts w:hint="eastAsia" w:hAnsi="宋体" w:cs="宋体"/>
                <w:szCs w:val="18"/>
                <w:highlight w:val="none"/>
              </w:rPr>
              <w:t>～1×10</w:t>
            </w:r>
            <w:r>
              <w:rPr>
                <w:rFonts w:hint="eastAsia" w:hAnsi="宋体" w:cs="宋体"/>
                <w:szCs w:val="18"/>
                <w:highlight w:val="none"/>
                <w:vertAlign w:val="superscript"/>
              </w:rPr>
              <w:t>-3</w:t>
            </w:r>
          </w:p>
        </w:tc>
        <w:tc>
          <w:tcPr>
            <w:tcW w:w="2540" w:type="dxa"/>
            <w:tcBorders>
              <w:top w:val="single" w:color="auto" w:sz="8" w:space="0"/>
            </w:tcBorders>
            <w:shd w:val="clear" w:color="auto" w:fill="auto"/>
            <w:vAlign w:val="center"/>
          </w:tcPr>
          <w:p w14:paraId="1E1366EA">
            <w:pPr>
              <w:pStyle w:val="178"/>
              <w:rPr>
                <w:highlight w:val="none"/>
              </w:rPr>
            </w:pPr>
            <w:r>
              <w:rPr>
                <w:rFonts w:hint="eastAsia" w:hAnsi="宋体" w:cs="宋体"/>
                <w:szCs w:val="18"/>
                <w:highlight w:val="none"/>
              </w:rPr>
              <w:t>1×10</w:t>
            </w:r>
            <w:r>
              <w:rPr>
                <w:rFonts w:hint="eastAsia" w:hAnsi="宋体" w:cs="宋体"/>
                <w:szCs w:val="18"/>
                <w:highlight w:val="none"/>
                <w:vertAlign w:val="superscript"/>
              </w:rPr>
              <w:t>-1</w:t>
            </w:r>
            <w:r>
              <w:rPr>
                <w:rFonts w:hint="eastAsia" w:hAnsi="宋体" w:cs="宋体"/>
                <w:szCs w:val="18"/>
                <w:highlight w:val="none"/>
              </w:rPr>
              <w:t>～1×10</w:t>
            </w:r>
            <w:r>
              <w:rPr>
                <w:rFonts w:hint="eastAsia" w:hAnsi="宋体" w:cs="宋体"/>
                <w:szCs w:val="18"/>
                <w:highlight w:val="none"/>
                <w:vertAlign w:val="superscript"/>
              </w:rPr>
              <w:t>-3</w:t>
            </w:r>
          </w:p>
        </w:tc>
      </w:tr>
      <w:tr w14:paraId="313F8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5EF6882C">
            <w:pPr>
              <w:pStyle w:val="178"/>
              <w:rPr>
                <w:highlight w:val="none"/>
              </w:rPr>
            </w:pPr>
            <w:r>
              <w:rPr>
                <w:rFonts w:hint="eastAsia"/>
                <w:highlight w:val="none"/>
              </w:rPr>
              <w:t>2</w:t>
            </w:r>
          </w:p>
        </w:tc>
        <w:tc>
          <w:tcPr>
            <w:tcW w:w="3402" w:type="dxa"/>
            <w:shd w:val="clear" w:color="auto" w:fill="auto"/>
            <w:vAlign w:val="center"/>
          </w:tcPr>
          <w:p w14:paraId="5F1B06D6">
            <w:pPr>
              <w:snapToGrid w:val="0"/>
              <w:spacing w:line="240" w:lineRule="auto"/>
              <w:jc w:val="center"/>
              <w:rPr>
                <w:rFonts w:ascii="宋体" w:hAnsi="宋体" w:cs="宋体"/>
                <w:sz w:val="18"/>
                <w:szCs w:val="18"/>
                <w:highlight w:val="none"/>
              </w:rPr>
            </w:pPr>
            <w:r>
              <w:rPr>
                <w:rFonts w:hint="eastAsia" w:ascii="宋体" w:hAnsi="宋体" w:cs="宋体"/>
                <w:sz w:val="18"/>
                <w:szCs w:val="18"/>
                <w:highlight w:val="none"/>
              </w:rPr>
              <w:t>迁移率</w:t>
            </w:r>
          </w:p>
          <w:p w14:paraId="0DB7A7A6">
            <w:pPr>
              <w:snapToGrid w:val="0"/>
              <w:spacing w:line="240" w:lineRule="auto"/>
              <w:jc w:val="center"/>
              <w:rPr>
                <w:highlight w:val="none"/>
              </w:rPr>
            </w:pPr>
            <w:r>
              <w:rPr>
                <w:rFonts w:hint="eastAsia" w:ascii="宋体" w:hAnsi="宋体" w:cs="宋体"/>
                <w:sz w:val="18"/>
                <w:szCs w:val="18"/>
                <w:highlight w:val="none"/>
              </w:rPr>
              <w:t>cm</w:t>
            </w:r>
            <w:r>
              <w:rPr>
                <w:rFonts w:hint="eastAsia" w:ascii="宋体" w:hAnsi="宋体" w:cs="宋体"/>
                <w:sz w:val="18"/>
                <w:szCs w:val="18"/>
                <w:highlight w:val="none"/>
                <w:vertAlign w:val="superscript"/>
              </w:rPr>
              <w:t>2</w:t>
            </w:r>
            <w:r>
              <w:rPr>
                <w:rFonts w:hint="eastAsia" w:ascii="宋体" w:hAnsi="宋体" w:cs="宋体"/>
                <w:sz w:val="18"/>
                <w:szCs w:val="18"/>
                <w:highlight w:val="none"/>
              </w:rPr>
              <w:t>/(V·s)</w:t>
            </w:r>
          </w:p>
        </w:tc>
        <w:tc>
          <w:tcPr>
            <w:tcW w:w="2551" w:type="dxa"/>
            <w:shd w:val="clear" w:color="auto" w:fill="auto"/>
            <w:vAlign w:val="center"/>
          </w:tcPr>
          <w:p w14:paraId="1B12C3A0">
            <w:pPr>
              <w:pStyle w:val="178"/>
              <w:rPr>
                <w:highlight w:val="none"/>
              </w:rPr>
            </w:pPr>
            <w:r>
              <w:rPr>
                <w:rFonts w:hint="eastAsia" w:hAnsi="宋体" w:cs="宋体"/>
                <w:szCs w:val="18"/>
                <w:highlight w:val="none"/>
              </w:rPr>
              <w:t>≥1</w:t>
            </w:r>
            <w:r>
              <w:rPr>
                <w:rFonts w:hAnsi="宋体" w:cs="宋体"/>
                <w:szCs w:val="18"/>
                <w:highlight w:val="none"/>
                <w:vertAlign w:val="subscript"/>
              </w:rPr>
              <w:t xml:space="preserve"> </w:t>
            </w:r>
            <w:r>
              <w:rPr>
                <w:rFonts w:hint="eastAsia" w:hAnsi="宋体" w:cs="宋体"/>
                <w:szCs w:val="18"/>
                <w:highlight w:val="none"/>
              </w:rPr>
              <w:t>000</w:t>
            </w:r>
          </w:p>
        </w:tc>
        <w:tc>
          <w:tcPr>
            <w:tcW w:w="2540" w:type="dxa"/>
            <w:shd w:val="clear" w:color="auto" w:fill="auto"/>
            <w:vAlign w:val="center"/>
          </w:tcPr>
          <w:p w14:paraId="669BDCE3">
            <w:pPr>
              <w:pStyle w:val="178"/>
              <w:rPr>
                <w:highlight w:val="none"/>
              </w:rPr>
            </w:pPr>
            <w:r>
              <w:rPr>
                <w:rFonts w:hint="eastAsia" w:hAnsi="宋体" w:cs="宋体"/>
                <w:szCs w:val="18"/>
                <w:highlight w:val="none"/>
              </w:rPr>
              <w:t>≥40</w:t>
            </w:r>
          </w:p>
        </w:tc>
      </w:tr>
      <w:tr w14:paraId="2BE0B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4BDAB950">
            <w:pPr>
              <w:pStyle w:val="178"/>
              <w:rPr>
                <w:highlight w:val="none"/>
              </w:rPr>
            </w:pPr>
            <w:r>
              <w:rPr>
                <w:rFonts w:hint="eastAsia"/>
                <w:highlight w:val="none"/>
              </w:rPr>
              <w:t>3</w:t>
            </w:r>
          </w:p>
        </w:tc>
        <w:tc>
          <w:tcPr>
            <w:tcW w:w="3402" w:type="dxa"/>
            <w:shd w:val="clear" w:color="auto" w:fill="auto"/>
            <w:vAlign w:val="center"/>
          </w:tcPr>
          <w:p w14:paraId="1AE2982A">
            <w:pPr>
              <w:snapToGrid w:val="0"/>
              <w:spacing w:line="240" w:lineRule="auto"/>
              <w:jc w:val="center"/>
              <w:rPr>
                <w:rFonts w:ascii="宋体" w:hAnsi="宋体" w:cs="宋体"/>
                <w:sz w:val="18"/>
                <w:szCs w:val="18"/>
                <w:highlight w:val="none"/>
              </w:rPr>
            </w:pPr>
            <w:r>
              <w:rPr>
                <w:rFonts w:hint="eastAsia" w:ascii="宋体" w:hAnsi="宋体" w:cs="宋体"/>
                <w:sz w:val="18"/>
                <w:szCs w:val="18"/>
                <w:highlight w:val="none"/>
              </w:rPr>
              <w:t>载流子浓度</w:t>
            </w:r>
          </w:p>
          <w:p w14:paraId="6A720688">
            <w:pPr>
              <w:snapToGrid w:val="0"/>
              <w:spacing w:line="240" w:lineRule="auto"/>
              <w:jc w:val="center"/>
              <w:rPr>
                <w:rFonts w:ascii="宋体" w:hAnsi="宋体" w:cs="宋体"/>
                <w:sz w:val="18"/>
                <w:szCs w:val="18"/>
                <w:highlight w:val="none"/>
              </w:rPr>
            </w:pPr>
            <w:r>
              <w:rPr>
                <w:rFonts w:hint="eastAsia" w:ascii="宋体" w:hAnsi="宋体" w:cs="宋体"/>
                <w:sz w:val="18"/>
                <w:szCs w:val="18"/>
                <w:highlight w:val="none"/>
              </w:rPr>
              <w:t>cm</w:t>
            </w:r>
            <w:r>
              <w:rPr>
                <w:rFonts w:hint="eastAsia" w:ascii="宋体" w:hAnsi="宋体" w:cs="宋体"/>
                <w:sz w:val="18"/>
                <w:szCs w:val="18"/>
                <w:highlight w:val="none"/>
                <w:vertAlign w:val="superscript"/>
              </w:rPr>
              <w:t>-3</w:t>
            </w:r>
          </w:p>
        </w:tc>
        <w:tc>
          <w:tcPr>
            <w:tcW w:w="2551" w:type="dxa"/>
            <w:shd w:val="clear" w:color="auto" w:fill="auto"/>
            <w:vAlign w:val="center"/>
          </w:tcPr>
          <w:p w14:paraId="79E5879E">
            <w:pPr>
              <w:pStyle w:val="178"/>
              <w:rPr>
                <w:rFonts w:hAnsi="宋体" w:cs="宋体"/>
                <w:szCs w:val="18"/>
                <w:highlight w:val="none"/>
              </w:rPr>
            </w:pPr>
            <w:r>
              <w:rPr>
                <w:rFonts w:hint="eastAsia" w:hAnsi="宋体" w:cs="宋体"/>
                <w:szCs w:val="18"/>
                <w:highlight w:val="none"/>
              </w:rPr>
              <w:t>1×10</w:t>
            </w:r>
            <w:r>
              <w:rPr>
                <w:rFonts w:hint="eastAsia" w:hAnsi="宋体" w:cs="宋体"/>
                <w:szCs w:val="18"/>
                <w:highlight w:val="none"/>
                <w:vertAlign w:val="superscript"/>
              </w:rPr>
              <w:t>17</w:t>
            </w:r>
            <w:r>
              <w:rPr>
                <w:rFonts w:hint="eastAsia" w:hAnsi="宋体" w:cs="宋体"/>
                <w:szCs w:val="18"/>
                <w:highlight w:val="none"/>
              </w:rPr>
              <w:t>～5×10</w:t>
            </w:r>
            <w:r>
              <w:rPr>
                <w:rFonts w:hint="eastAsia" w:hAnsi="宋体" w:cs="宋体"/>
                <w:szCs w:val="18"/>
                <w:highlight w:val="none"/>
                <w:vertAlign w:val="superscript"/>
              </w:rPr>
              <w:t>18</w:t>
            </w:r>
          </w:p>
        </w:tc>
        <w:tc>
          <w:tcPr>
            <w:tcW w:w="2540" w:type="dxa"/>
            <w:shd w:val="clear" w:color="auto" w:fill="auto"/>
            <w:vAlign w:val="center"/>
          </w:tcPr>
          <w:p w14:paraId="290CF217">
            <w:pPr>
              <w:pStyle w:val="178"/>
              <w:rPr>
                <w:rFonts w:hAnsi="宋体" w:cs="宋体"/>
                <w:szCs w:val="18"/>
                <w:highlight w:val="none"/>
              </w:rPr>
            </w:pPr>
            <w:r>
              <w:rPr>
                <w:rFonts w:hint="eastAsia" w:hAnsi="宋体" w:cs="宋体"/>
                <w:szCs w:val="18"/>
                <w:highlight w:val="none"/>
              </w:rPr>
              <w:t>1×10</w:t>
            </w:r>
            <w:r>
              <w:rPr>
                <w:rFonts w:hint="eastAsia" w:hAnsi="宋体" w:cs="宋体"/>
                <w:szCs w:val="18"/>
                <w:highlight w:val="none"/>
                <w:vertAlign w:val="superscript"/>
              </w:rPr>
              <w:t>17</w:t>
            </w:r>
            <w:r>
              <w:rPr>
                <w:rFonts w:hint="eastAsia" w:hAnsi="宋体" w:cs="宋体"/>
                <w:szCs w:val="18"/>
                <w:highlight w:val="none"/>
              </w:rPr>
              <w:t>～5×10</w:t>
            </w:r>
            <w:r>
              <w:rPr>
                <w:rFonts w:hint="eastAsia" w:hAnsi="宋体" w:cs="宋体"/>
                <w:szCs w:val="18"/>
                <w:highlight w:val="none"/>
                <w:vertAlign w:val="superscript"/>
              </w:rPr>
              <w:t>19</w:t>
            </w:r>
          </w:p>
        </w:tc>
      </w:tr>
      <w:tr w14:paraId="1CB62D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4FFBED77">
            <w:pPr>
              <w:pStyle w:val="178"/>
              <w:rPr>
                <w:highlight w:val="none"/>
              </w:rPr>
            </w:pPr>
            <w:r>
              <w:rPr>
                <w:rFonts w:hint="eastAsia"/>
                <w:highlight w:val="none"/>
              </w:rPr>
              <w:t>4</w:t>
            </w:r>
          </w:p>
        </w:tc>
        <w:tc>
          <w:tcPr>
            <w:tcW w:w="3402" w:type="dxa"/>
            <w:shd w:val="clear" w:color="auto" w:fill="auto"/>
            <w:vAlign w:val="center"/>
          </w:tcPr>
          <w:p w14:paraId="248160A7">
            <w:pPr>
              <w:pStyle w:val="178"/>
              <w:rPr>
                <w:highlight w:val="none"/>
              </w:rPr>
            </w:pPr>
            <w:r>
              <w:rPr>
                <w:rFonts w:hint="eastAsia" w:hAnsi="宋体" w:cs="宋体"/>
                <w:szCs w:val="18"/>
                <w:highlight w:val="none"/>
              </w:rPr>
              <w:t>截面电阻率不均匀性</w:t>
            </w:r>
          </w:p>
        </w:tc>
        <w:tc>
          <w:tcPr>
            <w:tcW w:w="2551" w:type="dxa"/>
            <w:shd w:val="clear" w:color="auto" w:fill="auto"/>
            <w:vAlign w:val="center"/>
          </w:tcPr>
          <w:p w14:paraId="2555B3F4">
            <w:pPr>
              <w:pStyle w:val="178"/>
              <w:rPr>
                <w:highlight w:val="none"/>
              </w:rPr>
            </w:pPr>
            <w:r>
              <w:rPr>
                <w:rFonts w:hint="eastAsia" w:hAnsi="宋体" w:cs="宋体"/>
                <w:szCs w:val="18"/>
                <w:highlight w:val="none"/>
              </w:rPr>
              <w:t>＜15</w:t>
            </w:r>
            <w:r>
              <w:rPr>
                <w:rFonts w:hAnsi="宋体" w:cs="宋体"/>
                <w:szCs w:val="18"/>
                <w:highlight w:val="none"/>
                <w:vertAlign w:val="subscript"/>
              </w:rPr>
              <w:t xml:space="preserve"> </w:t>
            </w:r>
            <w:r>
              <w:rPr>
                <w:rFonts w:hint="eastAsia" w:hAnsi="宋体" w:cs="宋体"/>
                <w:szCs w:val="18"/>
                <w:highlight w:val="none"/>
              </w:rPr>
              <w:t>%</w:t>
            </w:r>
          </w:p>
        </w:tc>
        <w:tc>
          <w:tcPr>
            <w:tcW w:w="2540" w:type="dxa"/>
            <w:shd w:val="clear" w:color="auto" w:fill="auto"/>
            <w:vAlign w:val="center"/>
          </w:tcPr>
          <w:p w14:paraId="07238DF9">
            <w:pPr>
              <w:pStyle w:val="178"/>
              <w:rPr>
                <w:highlight w:val="none"/>
              </w:rPr>
            </w:pPr>
            <w:r>
              <w:rPr>
                <w:rFonts w:hint="eastAsia" w:hAnsi="宋体" w:cs="宋体"/>
                <w:szCs w:val="18"/>
                <w:highlight w:val="none"/>
              </w:rPr>
              <w:t>＜15</w:t>
            </w:r>
            <w:r>
              <w:rPr>
                <w:rFonts w:hAnsi="宋体" w:cs="宋体"/>
                <w:szCs w:val="18"/>
                <w:highlight w:val="none"/>
                <w:vertAlign w:val="subscript"/>
              </w:rPr>
              <w:t xml:space="preserve"> </w:t>
            </w:r>
            <w:r>
              <w:rPr>
                <w:rFonts w:hint="eastAsia" w:hAnsi="宋体" w:cs="宋体"/>
                <w:szCs w:val="18"/>
                <w:highlight w:val="none"/>
              </w:rPr>
              <w:t>%</w:t>
            </w:r>
          </w:p>
        </w:tc>
      </w:tr>
      <w:tr w14:paraId="321C6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shd w:val="clear" w:color="auto" w:fill="auto"/>
            <w:vAlign w:val="center"/>
          </w:tcPr>
          <w:p w14:paraId="6BEAE84E">
            <w:pPr>
              <w:pStyle w:val="180"/>
              <w:numPr>
                <w:ilvl w:val="0"/>
                <w:numId w:val="0"/>
              </w:numPr>
              <w:ind w:left="363" w:leftChars="0"/>
              <w:rPr>
                <w:rFonts w:hint="eastAsia" w:hAnsi="宋体" w:eastAsia="宋体"/>
                <w:sz w:val="21"/>
                <w:szCs w:val="21"/>
                <w:highlight w:val="none"/>
                <w:lang w:eastAsia="zh-CN"/>
              </w:rPr>
            </w:pPr>
            <w:r>
              <w:rPr>
                <w:rFonts w:hint="eastAsia"/>
                <w:highlight w:val="none"/>
                <w:lang w:val="en-US" w:eastAsia="zh-CN"/>
              </w:rPr>
              <w:t>注：</w:t>
            </w:r>
            <w:r>
              <w:rPr>
                <w:rFonts w:hint="eastAsia"/>
                <w:highlight w:val="none"/>
              </w:rPr>
              <w:t>n型掺杂剂包括：Si、Te、S、Se、Sn；p型掺杂剂包括：Zn、Cd、Be、Mn、Fe、Co、Mg</w:t>
            </w:r>
            <w:r>
              <w:rPr>
                <w:rFonts w:hint="eastAsia"/>
                <w:highlight w:val="none"/>
                <w:lang w:eastAsia="zh-CN"/>
              </w:rPr>
              <w:t>。</w:t>
            </w:r>
          </w:p>
        </w:tc>
      </w:tr>
    </w:tbl>
    <w:p w14:paraId="42DDDD51">
      <w:pPr>
        <w:pStyle w:val="105"/>
        <w:spacing w:before="156" w:after="156"/>
      </w:pPr>
      <w:bookmarkStart w:id="69" w:name="_Toc161927897"/>
      <w:bookmarkStart w:id="70" w:name="_Toc161963357"/>
      <w:bookmarkStart w:id="71" w:name="_Toc161928074"/>
      <w:r>
        <w:rPr>
          <w:rFonts w:hint="eastAsia"/>
        </w:rPr>
        <w:t>表面质量</w:t>
      </w:r>
      <w:bookmarkEnd w:id="69"/>
      <w:bookmarkEnd w:id="70"/>
      <w:bookmarkEnd w:id="71"/>
    </w:p>
    <w:p w14:paraId="6B02F6B9">
      <w:pPr>
        <w:pStyle w:val="56"/>
        <w:ind w:firstLine="420"/>
        <w:rPr>
          <w:highlight w:val="none"/>
        </w:rPr>
      </w:pPr>
      <w:r>
        <w:rPr>
          <w:rFonts w:hint="eastAsia"/>
          <w:highlight w:val="none"/>
          <w:lang w:val="en-US" w:eastAsia="zh-CN"/>
        </w:rPr>
        <w:t>砷化镓衬底的表面质量符合表2的规定</w:t>
      </w:r>
      <w:r>
        <w:rPr>
          <w:rFonts w:hint="eastAsia"/>
          <w:highlight w:val="none"/>
        </w:rPr>
        <w:t>。</w:t>
      </w:r>
    </w:p>
    <w:p w14:paraId="71AF0525">
      <w:pPr>
        <w:pStyle w:val="112"/>
        <w:spacing w:before="156" w:after="156"/>
        <w:rPr>
          <w:sz w:val="18"/>
          <w:highlight w:val="none"/>
        </w:rPr>
      </w:pPr>
      <w:r>
        <w:rPr>
          <w:rFonts w:hint="eastAsia"/>
          <w:highlight w:val="none"/>
        </w:rPr>
        <w:t>砷化镓衬底的表面质量</w:t>
      </w:r>
    </w:p>
    <w:p w14:paraId="5D085BD6">
      <w:pPr>
        <w:pStyle w:val="56"/>
        <w:ind w:firstLine="360"/>
        <w:jc w:val="left"/>
        <w:rPr>
          <w:sz w:val="18"/>
          <w:highlight w:val="none"/>
        </w:rPr>
      </w:pPr>
      <w:r>
        <w:rPr>
          <w:sz w:val="18"/>
          <w:highlight w:val="none"/>
        </w:rPr>
        <w:t>单位</w:t>
      </w:r>
      <w:r>
        <w:rPr>
          <w:rFonts w:hint="eastAsia"/>
          <w:sz w:val="18"/>
          <w:highlight w:val="none"/>
          <w:lang w:eastAsia="zh-CN"/>
        </w:rPr>
        <w:t>：</w:t>
      </w:r>
      <w:r>
        <w:rPr>
          <w:rFonts w:hint="eastAsia"/>
          <w:sz w:val="18"/>
          <w:highlight w:val="none"/>
          <w:lang w:val="en-US" w:eastAsia="zh-CN"/>
        </w:rPr>
        <w:t>mm</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418"/>
        <w:gridCol w:w="2126"/>
        <w:gridCol w:w="1984"/>
        <w:gridCol w:w="3107"/>
      </w:tblGrid>
      <w:tr w14:paraId="502E9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vMerge w:val="restart"/>
            <w:tcBorders>
              <w:top w:val="single" w:color="auto" w:sz="8" w:space="0"/>
            </w:tcBorders>
            <w:shd w:val="clear" w:color="auto" w:fill="auto"/>
            <w:vAlign w:val="center"/>
          </w:tcPr>
          <w:p w14:paraId="3A04B187">
            <w:pPr>
              <w:pStyle w:val="178"/>
              <w:rPr>
                <w:highlight w:val="none"/>
              </w:rPr>
            </w:pPr>
            <w:r>
              <w:rPr>
                <w:rFonts w:hint="eastAsia"/>
                <w:highlight w:val="none"/>
              </w:rPr>
              <w:t>序号</w:t>
            </w:r>
          </w:p>
        </w:tc>
        <w:tc>
          <w:tcPr>
            <w:tcW w:w="1418" w:type="dxa"/>
            <w:vMerge w:val="restart"/>
            <w:tcBorders>
              <w:top w:val="single" w:color="auto" w:sz="8" w:space="0"/>
            </w:tcBorders>
            <w:shd w:val="clear" w:color="auto" w:fill="auto"/>
            <w:vAlign w:val="center"/>
          </w:tcPr>
          <w:p w14:paraId="52A5BC10">
            <w:pPr>
              <w:pStyle w:val="178"/>
              <w:rPr>
                <w:highlight w:val="none"/>
              </w:rPr>
            </w:pPr>
            <w:r>
              <w:rPr>
                <w:rFonts w:hint="eastAsia"/>
                <w:highlight w:val="none"/>
              </w:rPr>
              <w:t>规格</w:t>
            </w:r>
          </w:p>
        </w:tc>
        <w:tc>
          <w:tcPr>
            <w:tcW w:w="2126" w:type="dxa"/>
            <w:vMerge w:val="restart"/>
            <w:tcBorders>
              <w:top w:val="single" w:color="auto" w:sz="8" w:space="0"/>
            </w:tcBorders>
            <w:shd w:val="clear" w:color="auto" w:fill="auto"/>
            <w:vAlign w:val="center"/>
          </w:tcPr>
          <w:p w14:paraId="53228C62">
            <w:pPr>
              <w:pStyle w:val="178"/>
              <w:rPr>
                <w:highlight w:val="none"/>
              </w:rPr>
            </w:pPr>
            <w:r>
              <w:rPr>
                <w:rFonts w:hint="eastAsia"/>
                <w:highlight w:val="none"/>
              </w:rPr>
              <w:t>近边缘区域径向尺寸</w:t>
            </w:r>
          </w:p>
        </w:tc>
        <w:tc>
          <w:tcPr>
            <w:tcW w:w="5091" w:type="dxa"/>
            <w:gridSpan w:val="2"/>
            <w:tcBorders>
              <w:top w:val="single" w:color="auto" w:sz="8" w:space="0"/>
              <w:bottom w:val="single" w:color="auto" w:sz="4" w:space="0"/>
            </w:tcBorders>
            <w:shd w:val="clear" w:color="auto" w:fill="auto"/>
            <w:vAlign w:val="center"/>
          </w:tcPr>
          <w:p w14:paraId="7416869F">
            <w:pPr>
              <w:pStyle w:val="178"/>
              <w:rPr>
                <w:highlight w:val="none"/>
              </w:rPr>
            </w:pPr>
            <w:r>
              <w:rPr>
                <w:rFonts w:hint="eastAsia"/>
                <w:highlight w:val="none"/>
              </w:rPr>
              <w:t>要求</w:t>
            </w:r>
          </w:p>
        </w:tc>
      </w:tr>
      <w:tr w14:paraId="521AA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vMerge w:val="continue"/>
            <w:tcBorders>
              <w:bottom w:val="single" w:color="auto" w:sz="8" w:space="0"/>
            </w:tcBorders>
            <w:shd w:val="clear" w:color="auto" w:fill="auto"/>
            <w:vAlign w:val="center"/>
          </w:tcPr>
          <w:p w14:paraId="288C3AA5">
            <w:pPr>
              <w:pStyle w:val="178"/>
              <w:rPr>
                <w:highlight w:val="none"/>
              </w:rPr>
            </w:pPr>
          </w:p>
        </w:tc>
        <w:tc>
          <w:tcPr>
            <w:tcW w:w="1418" w:type="dxa"/>
            <w:vMerge w:val="continue"/>
            <w:tcBorders>
              <w:bottom w:val="single" w:color="auto" w:sz="8" w:space="0"/>
            </w:tcBorders>
            <w:shd w:val="clear" w:color="auto" w:fill="auto"/>
            <w:vAlign w:val="center"/>
          </w:tcPr>
          <w:p w14:paraId="5DCDF8AB">
            <w:pPr>
              <w:pStyle w:val="178"/>
              <w:rPr>
                <w:highlight w:val="none"/>
              </w:rPr>
            </w:pPr>
          </w:p>
        </w:tc>
        <w:tc>
          <w:tcPr>
            <w:tcW w:w="2126" w:type="dxa"/>
            <w:vMerge w:val="continue"/>
            <w:tcBorders>
              <w:bottom w:val="single" w:color="auto" w:sz="8" w:space="0"/>
            </w:tcBorders>
            <w:shd w:val="clear" w:color="auto" w:fill="auto"/>
            <w:vAlign w:val="center"/>
          </w:tcPr>
          <w:p w14:paraId="2EF759AF">
            <w:pPr>
              <w:pStyle w:val="178"/>
              <w:rPr>
                <w:highlight w:val="none"/>
              </w:rPr>
            </w:pPr>
          </w:p>
        </w:tc>
        <w:tc>
          <w:tcPr>
            <w:tcW w:w="1984" w:type="dxa"/>
            <w:tcBorders>
              <w:top w:val="single" w:color="auto" w:sz="4" w:space="0"/>
              <w:bottom w:val="single" w:color="auto" w:sz="8" w:space="0"/>
            </w:tcBorders>
            <w:shd w:val="clear" w:color="auto" w:fill="auto"/>
            <w:vAlign w:val="center"/>
          </w:tcPr>
          <w:p w14:paraId="7390B26E">
            <w:pPr>
              <w:pStyle w:val="178"/>
              <w:rPr>
                <w:highlight w:val="none"/>
              </w:rPr>
            </w:pPr>
            <w:r>
              <w:rPr>
                <w:rFonts w:hint="eastAsia"/>
                <w:highlight w:val="none"/>
              </w:rPr>
              <w:t>近边缘区域</w:t>
            </w:r>
          </w:p>
        </w:tc>
        <w:tc>
          <w:tcPr>
            <w:tcW w:w="3107" w:type="dxa"/>
            <w:tcBorders>
              <w:top w:val="single" w:color="auto" w:sz="4" w:space="0"/>
              <w:bottom w:val="single" w:color="auto" w:sz="8" w:space="0"/>
            </w:tcBorders>
            <w:shd w:val="clear" w:color="auto" w:fill="auto"/>
            <w:vAlign w:val="center"/>
          </w:tcPr>
          <w:p w14:paraId="104F8804">
            <w:pPr>
              <w:pStyle w:val="178"/>
              <w:rPr>
                <w:highlight w:val="none"/>
              </w:rPr>
            </w:pPr>
            <w:r>
              <w:rPr>
                <w:rFonts w:hint="eastAsia"/>
                <w:highlight w:val="none"/>
              </w:rPr>
              <w:t>合格质量区</w:t>
            </w:r>
          </w:p>
        </w:tc>
      </w:tr>
      <w:tr w14:paraId="18D8C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076746BA">
            <w:pPr>
              <w:pStyle w:val="178"/>
              <w:rPr>
                <w:highlight w:val="none"/>
              </w:rPr>
            </w:pPr>
            <w:r>
              <w:rPr>
                <w:rFonts w:hint="eastAsia"/>
                <w:highlight w:val="none"/>
              </w:rPr>
              <w:t>1</w:t>
            </w:r>
          </w:p>
        </w:tc>
        <w:tc>
          <w:tcPr>
            <w:tcW w:w="1418" w:type="dxa"/>
            <w:tcBorders>
              <w:top w:val="single" w:color="auto" w:sz="8" w:space="0"/>
            </w:tcBorders>
            <w:shd w:val="clear" w:color="auto" w:fill="auto"/>
          </w:tcPr>
          <w:p w14:paraId="1E505C4C">
            <w:pPr>
              <w:pStyle w:val="178"/>
              <w:rPr>
                <w:highlight w:val="none"/>
              </w:rPr>
            </w:pPr>
            <w:r>
              <w:rPr>
                <w:rFonts w:hint="eastAsia" w:hAnsi="宋体" w:cstheme="minorEastAsia"/>
                <w:szCs w:val="18"/>
                <w:highlight w:val="none"/>
              </w:rPr>
              <w:t>Ф50.8</w:t>
            </w:r>
          </w:p>
        </w:tc>
        <w:tc>
          <w:tcPr>
            <w:tcW w:w="2126" w:type="dxa"/>
            <w:tcBorders>
              <w:top w:val="single" w:color="auto" w:sz="8" w:space="0"/>
            </w:tcBorders>
            <w:shd w:val="clear" w:color="auto" w:fill="auto"/>
          </w:tcPr>
          <w:p w14:paraId="5708198A">
            <w:pPr>
              <w:pStyle w:val="178"/>
              <w:rPr>
                <w:rFonts w:hAnsi="宋体" w:cstheme="minorEastAsia"/>
                <w:szCs w:val="18"/>
                <w:highlight w:val="none"/>
              </w:rPr>
            </w:pPr>
            <w:r>
              <w:rPr>
                <w:rFonts w:hint="eastAsia"/>
                <w:highlight w:val="none"/>
              </w:rPr>
              <w:t>≤0.2</w:t>
            </w:r>
          </w:p>
        </w:tc>
        <w:tc>
          <w:tcPr>
            <w:tcW w:w="1984" w:type="dxa"/>
            <w:vMerge w:val="restart"/>
            <w:tcBorders>
              <w:top w:val="single" w:color="auto" w:sz="8" w:space="0"/>
            </w:tcBorders>
            <w:shd w:val="clear" w:color="auto" w:fill="auto"/>
            <w:vAlign w:val="center"/>
          </w:tcPr>
          <w:p w14:paraId="3FFFAE46">
            <w:pPr>
              <w:pStyle w:val="178"/>
              <w:rPr>
                <w:highlight w:val="none"/>
              </w:rPr>
            </w:pPr>
            <w:r>
              <w:rPr>
                <w:rFonts w:hint="eastAsia"/>
                <w:highlight w:val="none"/>
              </w:rPr>
              <w:t>无崩边</w:t>
            </w:r>
          </w:p>
        </w:tc>
        <w:tc>
          <w:tcPr>
            <w:tcW w:w="3107" w:type="dxa"/>
            <w:vMerge w:val="restart"/>
            <w:tcBorders>
              <w:top w:val="single" w:color="auto" w:sz="8" w:space="0"/>
            </w:tcBorders>
            <w:shd w:val="clear" w:color="auto" w:fill="auto"/>
            <w:vAlign w:val="center"/>
          </w:tcPr>
          <w:p w14:paraId="15B21DA2">
            <w:pPr>
              <w:pStyle w:val="178"/>
              <w:rPr>
                <w:highlight w:val="none"/>
              </w:rPr>
            </w:pPr>
            <w:r>
              <w:rPr>
                <w:rFonts w:hint="eastAsia"/>
                <w:highlight w:val="none"/>
                <w:lang w:val="en-US" w:eastAsia="zh-CN"/>
              </w:rPr>
              <w:t>无</w:t>
            </w:r>
            <w:r>
              <w:rPr>
                <w:rFonts w:hint="eastAsia"/>
                <w:highlight w:val="none"/>
              </w:rPr>
              <w:t>划痕、桔皮、裂缝、凹坑</w:t>
            </w:r>
          </w:p>
        </w:tc>
      </w:tr>
      <w:tr w14:paraId="431C8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9CCB904">
            <w:pPr>
              <w:pStyle w:val="178"/>
              <w:rPr>
                <w:highlight w:val="none"/>
              </w:rPr>
            </w:pPr>
            <w:r>
              <w:rPr>
                <w:rFonts w:hint="eastAsia"/>
                <w:highlight w:val="none"/>
              </w:rPr>
              <w:t>2</w:t>
            </w:r>
          </w:p>
        </w:tc>
        <w:tc>
          <w:tcPr>
            <w:tcW w:w="1418" w:type="dxa"/>
            <w:shd w:val="clear" w:color="auto" w:fill="auto"/>
          </w:tcPr>
          <w:p w14:paraId="29693639">
            <w:pPr>
              <w:pStyle w:val="178"/>
              <w:rPr>
                <w:highlight w:val="none"/>
              </w:rPr>
            </w:pPr>
            <w:r>
              <w:rPr>
                <w:rFonts w:hint="eastAsia" w:hAnsi="宋体" w:cstheme="minorEastAsia"/>
                <w:szCs w:val="18"/>
                <w:highlight w:val="none"/>
              </w:rPr>
              <w:t>Ф76.2</w:t>
            </w:r>
          </w:p>
        </w:tc>
        <w:tc>
          <w:tcPr>
            <w:tcW w:w="2126" w:type="dxa"/>
            <w:shd w:val="clear" w:color="auto" w:fill="auto"/>
          </w:tcPr>
          <w:p w14:paraId="78369243">
            <w:pPr>
              <w:pStyle w:val="178"/>
              <w:rPr>
                <w:rFonts w:hAnsi="宋体" w:cstheme="minorEastAsia"/>
                <w:szCs w:val="18"/>
                <w:highlight w:val="none"/>
              </w:rPr>
            </w:pPr>
            <w:r>
              <w:rPr>
                <w:rFonts w:hint="eastAsia"/>
                <w:highlight w:val="none"/>
              </w:rPr>
              <w:t>≤0.2</w:t>
            </w:r>
          </w:p>
        </w:tc>
        <w:tc>
          <w:tcPr>
            <w:tcW w:w="1984" w:type="dxa"/>
            <w:vMerge w:val="continue"/>
            <w:shd w:val="clear" w:color="auto" w:fill="auto"/>
            <w:vAlign w:val="center"/>
          </w:tcPr>
          <w:p w14:paraId="518A3ABB">
            <w:pPr>
              <w:pStyle w:val="178"/>
              <w:rPr>
                <w:highlight w:val="none"/>
              </w:rPr>
            </w:pPr>
          </w:p>
        </w:tc>
        <w:tc>
          <w:tcPr>
            <w:tcW w:w="3107" w:type="dxa"/>
            <w:vMerge w:val="continue"/>
            <w:shd w:val="clear" w:color="auto" w:fill="auto"/>
            <w:vAlign w:val="center"/>
          </w:tcPr>
          <w:p w14:paraId="0ADE107B">
            <w:pPr>
              <w:pStyle w:val="178"/>
              <w:rPr>
                <w:highlight w:val="none"/>
              </w:rPr>
            </w:pPr>
          </w:p>
        </w:tc>
      </w:tr>
      <w:tr w14:paraId="0E11F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35A7D74">
            <w:pPr>
              <w:pStyle w:val="178"/>
              <w:rPr>
                <w:highlight w:val="none"/>
              </w:rPr>
            </w:pPr>
            <w:r>
              <w:rPr>
                <w:rFonts w:hint="eastAsia"/>
                <w:highlight w:val="none"/>
              </w:rPr>
              <w:t>3</w:t>
            </w:r>
          </w:p>
        </w:tc>
        <w:tc>
          <w:tcPr>
            <w:tcW w:w="1418" w:type="dxa"/>
            <w:shd w:val="clear" w:color="auto" w:fill="auto"/>
          </w:tcPr>
          <w:p w14:paraId="6831B287">
            <w:pPr>
              <w:pStyle w:val="178"/>
              <w:rPr>
                <w:highlight w:val="none"/>
              </w:rPr>
            </w:pPr>
            <w:r>
              <w:rPr>
                <w:rFonts w:hint="eastAsia" w:hAnsi="宋体" w:cstheme="minorEastAsia"/>
                <w:szCs w:val="18"/>
                <w:highlight w:val="none"/>
              </w:rPr>
              <w:t>Ф100.0</w:t>
            </w:r>
          </w:p>
        </w:tc>
        <w:tc>
          <w:tcPr>
            <w:tcW w:w="2126" w:type="dxa"/>
            <w:shd w:val="clear" w:color="auto" w:fill="auto"/>
          </w:tcPr>
          <w:p w14:paraId="512C4803">
            <w:pPr>
              <w:pStyle w:val="178"/>
              <w:rPr>
                <w:rFonts w:hAnsi="宋体" w:cstheme="minorEastAsia"/>
                <w:szCs w:val="18"/>
                <w:highlight w:val="none"/>
              </w:rPr>
            </w:pPr>
            <w:r>
              <w:rPr>
                <w:rFonts w:hint="eastAsia"/>
                <w:highlight w:val="none"/>
              </w:rPr>
              <w:t>≤0.5</w:t>
            </w:r>
          </w:p>
        </w:tc>
        <w:tc>
          <w:tcPr>
            <w:tcW w:w="1984" w:type="dxa"/>
            <w:vMerge w:val="continue"/>
            <w:shd w:val="clear" w:color="auto" w:fill="auto"/>
            <w:vAlign w:val="center"/>
          </w:tcPr>
          <w:p w14:paraId="309EAA72">
            <w:pPr>
              <w:pStyle w:val="178"/>
              <w:rPr>
                <w:highlight w:val="none"/>
              </w:rPr>
            </w:pPr>
          </w:p>
        </w:tc>
        <w:tc>
          <w:tcPr>
            <w:tcW w:w="3107" w:type="dxa"/>
            <w:vMerge w:val="continue"/>
            <w:shd w:val="clear" w:color="auto" w:fill="auto"/>
            <w:vAlign w:val="center"/>
          </w:tcPr>
          <w:p w14:paraId="6AC07FC8">
            <w:pPr>
              <w:pStyle w:val="178"/>
              <w:rPr>
                <w:highlight w:val="none"/>
              </w:rPr>
            </w:pPr>
          </w:p>
        </w:tc>
      </w:tr>
      <w:tr w14:paraId="5786C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F00AA93">
            <w:pPr>
              <w:pStyle w:val="178"/>
              <w:rPr>
                <w:highlight w:val="none"/>
              </w:rPr>
            </w:pPr>
            <w:r>
              <w:rPr>
                <w:rFonts w:hint="eastAsia"/>
                <w:highlight w:val="none"/>
              </w:rPr>
              <w:t>4</w:t>
            </w:r>
          </w:p>
        </w:tc>
        <w:tc>
          <w:tcPr>
            <w:tcW w:w="1418" w:type="dxa"/>
            <w:shd w:val="clear" w:color="auto" w:fill="auto"/>
          </w:tcPr>
          <w:p w14:paraId="1388150B">
            <w:pPr>
              <w:pStyle w:val="178"/>
              <w:rPr>
                <w:highlight w:val="none"/>
              </w:rPr>
            </w:pPr>
            <w:r>
              <w:rPr>
                <w:rFonts w:hint="eastAsia" w:hAnsi="宋体" w:cstheme="minorEastAsia"/>
                <w:szCs w:val="18"/>
                <w:highlight w:val="none"/>
              </w:rPr>
              <w:t>Ф150.0</w:t>
            </w:r>
          </w:p>
        </w:tc>
        <w:tc>
          <w:tcPr>
            <w:tcW w:w="2126" w:type="dxa"/>
            <w:shd w:val="clear" w:color="auto" w:fill="auto"/>
          </w:tcPr>
          <w:p w14:paraId="2539A267">
            <w:pPr>
              <w:pStyle w:val="178"/>
              <w:rPr>
                <w:rFonts w:hAnsi="宋体" w:cstheme="minorEastAsia"/>
                <w:szCs w:val="18"/>
                <w:highlight w:val="none"/>
              </w:rPr>
            </w:pPr>
            <w:r>
              <w:rPr>
                <w:rFonts w:hint="eastAsia"/>
                <w:highlight w:val="none"/>
              </w:rPr>
              <w:t>≤0.5</w:t>
            </w:r>
          </w:p>
        </w:tc>
        <w:tc>
          <w:tcPr>
            <w:tcW w:w="1984" w:type="dxa"/>
            <w:vMerge w:val="continue"/>
            <w:shd w:val="clear" w:color="auto" w:fill="auto"/>
            <w:vAlign w:val="center"/>
          </w:tcPr>
          <w:p w14:paraId="35A772C3">
            <w:pPr>
              <w:pStyle w:val="178"/>
              <w:rPr>
                <w:highlight w:val="none"/>
              </w:rPr>
            </w:pPr>
          </w:p>
        </w:tc>
        <w:tc>
          <w:tcPr>
            <w:tcW w:w="3107" w:type="dxa"/>
            <w:vMerge w:val="continue"/>
            <w:shd w:val="clear" w:color="auto" w:fill="auto"/>
            <w:vAlign w:val="center"/>
          </w:tcPr>
          <w:p w14:paraId="79AC2D04">
            <w:pPr>
              <w:pStyle w:val="178"/>
              <w:rPr>
                <w:highlight w:val="none"/>
              </w:rPr>
            </w:pPr>
          </w:p>
        </w:tc>
      </w:tr>
      <w:tr w14:paraId="15964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bottom w:val="single" w:color="auto" w:sz="8" w:space="0"/>
            </w:tcBorders>
            <w:shd w:val="clear" w:color="auto" w:fill="auto"/>
            <w:vAlign w:val="center"/>
          </w:tcPr>
          <w:p w14:paraId="1D9B5638">
            <w:pPr>
              <w:pStyle w:val="178"/>
              <w:rPr>
                <w:highlight w:val="none"/>
              </w:rPr>
            </w:pPr>
            <w:r>
              <w:rPr>
                <w:rFonts w:hint="eastAsia"/>
                <w:highlight w:val="none"/>
              </w:rPr>
              <w:t>5</w:t>
            </w:r>
          </w:p>
        </w:tc>
        <w:tc>
          <w:tcPr>
            <w:tcW w:w="1418" w:type="dxa"/>
            <w:tcBorders>
              <w:bottom w:val="single" w:color="auto" w:sz="8" w:space="0"/>
            </w:tcBorders>
            <w:shd w:val="clear" w:color="auto" w:fill="auto"/>
          </w:tcPr>
          <w:p w14:paraId="5B40214B">
            <w:pPr>
              <w:pStyle w:val="178"/>
              <w:rPr>
                <w:highlight w:val="none"/>
              </w:rPr>
            </w:pPr>
            <w:r>
              <w:rPr>
                <w:rFonts w:hint="eastAsia" w:hAnsi="宋体" w:cstheme="minorEastAsia"/>
                <w:szCs w:val="18"/>
                <w:highlight w:val="none"/>
              </w:rPr>
              <w:t>Ф200.0</w:t>
            </w:r>
          </w:p>
        </w:tc>
        <w:tc>
          <w:tcPr>
            <w:tcW w:w="2126" w:type="dxa"/>
            <w:tcBorders>
              <w:bottom w:val="single" w:color="auto" w:sz="8" w:space="0"/>
            </w:tcBorders>
            <w:shd w:val="clear" w:color="auto" w:fill="auto"/>
          </w:tcPr>
          <w:p w14:paraId="60F571FE">
            <w:pPr>
              <w:pStyle w:val="178"/>
              <w:rPr>
                <w:rFonts w:hAnsi="宋体" w:cstheme="minorEastAsia"/>
                <w:szCs w:val="18"/>
                <w:highlight w:val="none"/>
              </w:rPr>
            </w:pPr>
            <w:r>
              <w:rPr>
                <w:rFonts w:hint="eastAsia"/>
                <w:highlight w:val="none"/>
              </w:rPr>
              <w:t>≤0.8</w:t>
            </w:r>
          </w:p>
        </w:tc>
        <w:tc>
          <w:tcPr>
            <w:tcW w:w="1984" w:type="dxa"/>
            <w:vMerge w:val="continue"/>
            <w:tcBorders>
              <w:bottom w:val="single" w:color="auto" w:sz="8" w:space="0"/>
            </w:tcBorders>
            <w:shd w:val="clear" w:color="auto" w:fill="auto"/>
            <w:vAlign w:val="center"/>
          </w:tcPr>
          <w:p w14:paraId="7A0CF2E5">
            <w:pPr>
              <w:pStyle w:val="178"/>
              <w:rPr>
                <w:highlight w:val="none"/>
              </w:rPr>
            </w:pPr>
          </w:p>
        </w:tc>
        <w:tc>
          <w:tcPr>
            <w:tcW w:w="3107" w:type="dxa"/>
            <w:vMerge w:val="continue"/>
            <w:tcBorders>
              <w:bottom w:val="single" w:color="auto" w:sz="8" w:space="0"/>
            </w:tcBorders>
            <w:shd w:val="clear" w:color="auto" w:fill="auto"/>
            <w:vAlign w:val="center"/>
          </w:tcPr>
          <w:p w14:paraId="3BA2461C">
            <w:pPr>
              <w:pStyle w:val="178"/>
              <w:rPr>
                <w:highlight w:val="none"/>
              </w:rPr>
            </w:pPr>
          </w:p>
        </w:tc>
      </w:tr>
      <w:tr w14:paraId="62F7D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5"/>
            <w:tcBorders>
              <w:top w:val="single" w:color="auto" w:sz="8" w:space="0"/>
              <w:bottom w:val="single" w:color="auto" w:sz="8" w:space="0"/>
            </w:tcBorders>
            <w:shd w:val="clear" w:color="auto" w:fill="auto"/>
            <w:vAlign w:val="center"/>
          </w:tcPr>
          <w:p w14:paraId="03196B12">
            <w:pPr>
              <w:pStyle w:val="179"/>
              <w:rPr>
                <w:highlight w:val="none"/>
              </w:rPr>
            </w:pPr>
            <w:r>
              <w:rPr>
                <w:rFonts w:hint="eastAsia"/>
                <w:highlight w:val="none"/>
              </w:rPr>
              <w:t>砷化镓衬底整个表面无沾污、溶剂残留物、蜡残留物。</w:t>
            </w:r>
          </w:p>
        </w:tc>
      </w:tr>
    </w:tbl>
    <w:p w14:paraId="19B39703">
      <w:pPr>
        <w:pStyle w:val="105"/>
        <w:spacing w:before="156" w:after="156"/>
      </w:pPr>
      <w:bookmarkStart w:id="72" w:name="_Toc161928075"/>
      <w:bookmarkStart w:id="73" w:name="_Toc161963358"/>
      <w:bookmarkStart w:id="74" w:name="_Toc161927898"/>
      <w:r>
        <w:rPr>
          <w:rFonts w:hint="eastAsia"/>
        </w:rPr>
        <w:t>参考面的取向、形状和</w:t>
      </w:r>
      <w:r>
        <w:rPr>
          <w:rFonts w:hint="eastAsia"/>
          <w:highlight w:val="none"/>
        </w:rPr>
        <w:t>长度/</w:t>
      </w:r>
      <w:r>
        <w:rPr>
          <w:rFonts w:hint="eastAsia"/>
        </w:rPr>
        <w:t>切口</w:t>
      </w:r>
      <w:bookmarkEnd w:id="72"/>
      <w:bookmarkEnd w:id="73"/>
      <w:bookmarkEnd w:id="74"/>
    </w:p>
    <w:p w14:paraId="1BDF4E43">
      <w:pPr>
        <w:pStyle w:val="165"/>
      </w:pPr>
      <w:r>
        <w:rPr>
          <w:rFonts w:hint="eastAsia"/>
          <w:highlight w:val="none"/>
        </w:rPr>
        <w:t>Ф50.8</w:t>
      </w:r>
      <w:r>
        <w:rPr>
          <w:rFonts w:hint="eastAsia"/>
          <w:highlight w:val="none"/>
          <w:vertAlign w:val="subscript"/>
        </w:rPr>
        <w:t xml:space="preserve"> </w:t>
      </w:r>
      <w:r>
        <w:rPr>
          <w:rFonts w:hint="eastAsia"/>
          <w:highlight w:val="none"/>
        </w:rPr>
        <w:t>mm、Ф76.2</w:t>
      </w:r>
      <w:r>
        <w:rPr>
          <w:rFonts w:hint="eastAsia"/>
          <w:highlight w:val="none"/>
          <w:vertAlign w:val="subscript"/>
        </w:rPr>
        <w:t xml:space="preserve"> </w:t>
      </w:r>
      <w:r>
        <w:rPr>
          <w:rFonts w:hint="eastAsia"/>
          <w:highlight w:val="none"/>
        </w:rPr>
        <w:t>mm、Ф100.mm</w:t>
      </w:r>
      <w:r>
        <w:rPr>
          <w:rFonts w:hint="eastAsia"/>
        </w:rPr>
        <w:t>砷化镓衬底参考面的取向、形状和长度符合表3</w:t>
      </w:r>
      <w:r>
        <w:rPr>
          <w:rFonts w:hint="eastAsia"/>
          <w:lang w:val="en-US" w:eastAsia="zh-CN"/>
        </w:rPr>
        <w:t>的规定</w:t>
      </w:r>
      <w:r>
        <w:rPr>
          <w:rFonts w:hint="eastAsia"/>
        </w:rPr>
        <w:t>。</w:t>
      </w:r>
    </w:p>
    <w:p w14:paraId="12FB8904">
      <w:pPr>
        <w:pStyle w:val="112"/>
        <w:spacing w:before="156" w:after="156"/>
      </w:pPr>
      <w:r>
        <w:rPr>
          <w:rFonts w:hint="eastAsia"/>
          <w:highlight w:val="none"/>
        </w:rPr>
        <w:t>砷化镓衬底参考面的取向、形状和长度</w:t>
      </w:r>
    </w:p>
    <w:p w14:paraId="29B3AF56">
      <w:pPr>
        <w:pStyle w:val="56"/>
        <w:ind w:firstLine="360"/>
        <w:jc w:val="both"/>
        <w:rPr>
          <w:sz w:val="18"/>
          <w:highlight w:val="none"/>
        </w:rPr>
      </w:pPr>
      <w:r>
        <w:rPr>
          <w:sz w:val="18"/>
          <w:highlight w:val="none"/>
        </w:rPr>
        <w:t>单位</w:t>
      </w:r>
      <w:r>
        <w:rPr>
          <w:rFonts w:hint="eastAsia"/>
          <w:sz w:val="18"/>
          <w:highlight w:val="none"/>
          <w:lang w:eastAsia="zh-CN"/>
        </w:rPr>
        <w:t>：</w:t>
      </w:r>
      <w:r>
        <w:rPr>
          <w:rFonts w:hint="eastAsia"/>
          <w:sz w:val="18"/>
          <w:highlight w:val="none"/>
          <w:lang w:val="en-US" w:eastAsia="zh-CN"/>
        </w:rPr>
        <w:t>mm</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701"/>
        <w:gridCol w:w="1701"/>
        <w:gridCol w:w="1843"/>
        <w:gridCol w:w="3390"/>
      </w:tblGrid>
      <w:tr w14:paraId="70FC0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4" w:space="0"/>
            </w:tcBorders>
            <w:shd w:val="clear" w:color="auto" w:fill="auto"/>
            <w:vAlign w:val="center"/>
          </w:tcPr>
          <w:p w14:paraId="133118DB">
            <w:pPr>
              <w:pStyle w:val="178"/>
              <w:rPr>
                <w:highlight w:val="none"/>
              </w:rPr>
            </w:pPr>
            <w:r>
              <w:rPr>
                <w:rFonts w:hint="eastAsia"/>
                <w:highlight w:val="none"/>
              </w:rPr>
              <w:t>序号</w:t>
            </w:r>
          </w:p>
        </w:tc>
        <w:tc>
          <w:tcPr>
            <w:tcW w:w="1701" w:type="dxa"/>
            <w:tcBorders>
              <w:top w:val="single" w:color="auto" w:sz="8" w:space="0"/>
              <w:bottom w:val="single" w:color="auto" w:sz="4" w:space="0"/>
            </w:tcBorders>
            <w:shd w:val="clear" w:color="auto" w:fill="auto"/>
            <w:vAlign w:val="center"/>
          </w:tcPr>
          <w:p w14:paraId="13D477CC">
            <w:pPr>
              <w:pStyle w:val="178"/>
              <w:rPr>
                <w:highlight w:val="none"/>
              </w:rPr>
            </w:pPr>
            <w:r>
              <w:rPr>
                <w:rFonts w:hint="eastAsia"/>
                <w:highlight w:val="none"/>
              </w:rPr>
              <w:t>参数项目</w:t>
            </w:r>
          </w:p>
        </w:tc>
        <w:tc>
          <w:tcPr>
            <w:tcW w:w="1701" w:type="dxa"/>
            <w:tcBorders>
              <w:top w:val="single" w:color="auto" w:sz="8" w:space="0"/>
              <w:bottom w:val="single" w:color="auto" w:sz="4" w:space="0"/>
            </w:tcBorders>
            <w:shd w:val="clear" w:color="auto" w:fill="auto"/>
            <w:vAlign w:val="center"/>
          </w:tcPr>
          <w:p w14:paraId="492B6FA5">
            <w:pPr>
              <w:pStyle w:val="178"/>
              <w:rPr>
                <w:highlight w:val="none"/>
              </w:rPr>
            </w:pPr>
            <w:r>
              <w:rPr>
                <w:rFonts w:hint="eastAsia"/>
                <w:highlight w:val="none"/>
              </w:rPr>
              <w:t>参考面选择</w:t>
            </w:r>
          </w:p>
        </w:tc>
        <w:tc>
          <w:tcPr>
            <w:tcW w:w="1843" w:type="dxa"/>
            <w:tcBorders>
              <w:top w:val="single" w:color="auto" w:sz="8" w:space="0"/>
              <w:bottom w:val="single" w:color="auto" w:sz="4" w:space="0"/>
            </w:tcBorders>
            <w:shd w:val="clear" w:color="auto" w:fill="auto"/>
            <w:vAlign w:val="center"/>
          </w:tcPr>
          <w:p w14:paraId="6A7C5A57">
            <w:pPr>
              <w:pStyle w:val="178"/>
              <w:rPr>
                <w:highlight w:val="none"/>
              </w:rPr>
            </w:pPr>
            <w:r>
              <w:rPr>
                <w:rFonts w:hint="eastAsia" w:hAnsi="宋体" w:cs="宋体"/>
                <w:szCs w:val="18"/>
                <w:highlight w:val="none"/>
                <w:lang w:bidi="ar"/>
              </w:rPr>
              <w:t>规格</w:t>
            </w:r>
          </w:p>
        </w:tc>
        <w:tc>
          <w:tcPr>
            <w:tcW w:w="3390" w:type="dxa"/>
            <w:tcBorders>
              <w:top w:val="single" w:color="auto" w:sz="8" w:space="0"/>
              <w:bottom w:val="single" w:color="auto" w:sz="4" w:space="0"/>
            </w:tcBorders>
            <w:shd w:val="clear" w:color="auto" w:fill="auto"/>
            <w:vAlign w:val="center"/>
          </w:tcPr>
          <w:p w14:paraId="0F9E2BC4">
            <w:pPr>
              <w:pStyle w:val="178"/>
              <w:rPr>
                <w:highlight w:val="none"/>
              </w:rPr>
            </w:pPr>
            <w:r>
              <w:rPr>
                <w:rFonts w:hint="eastAsia"/>
                <w:highlight w:val="none"/>
              </w:rPr>
              <w:t>要求</w:t>
            </w:r>
          </w:p>
        </w:tc>
      </w:tr>
      <w:tr w14:paraId="11E34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tcBorders>
              <w:top w:val="single" w:color="auto" w:sz="8" w:space="0"/>
            </w:tcBorders>
            <w:shd w:val="clear" w:color="auto" w:fill="auto"/>
            <w:vAlign w:val="center"/>
          </w:tcPr>
          <w:p w14:paraId="10146719">
            <w:pPr>
              <w:pStyle w:val="178"/>
              <w:rPr>
                <w:highlight w:val="none"/>
              </w:rPr>
            </w:pPr>
            <w:r>
              <w:rPr>
                <w:rFonts w:hint="eastAsia"/>
                <w:highlight w:val="none"/>
              </w:rPr>
              <w:t>1</w:t>
            </w:r>
          </w:p>
        </w:tc>
        <w:tc>
          <w:tcPr>
            <w:tcW w:w="1701" w:type="dxa"/>
            <w:vMerge w:val="restart"/>
            <w:tcBorders>
              <w:top w:val="single" w:color="auto" w:sz="8" w:space="0"/>
            </w:tcBorders>
            <w:shd w:val="clear" w:color="auto" w:fill="auto"/>
            <w:vAlign w:val="center"/>
          </w:tcPr>
          <w:p w14:paraId="077FC854">
            <w:pPr>
              <w:pStyle w:val="178"/>
              <w:rPr>
                <w:highlight w:val="none"/>
              </w:rPr>
            </w:pPr>
            <w:r>
              <w:rPr>
                <w:rFonts w:hint="eastAsia" w:hAnsi="宋体" w:cs="宋体"/>
                <w:szCs w:val="18"/>
                <w:highlight w:val="none"/>
                <w:lang w:bidi="ar"/>
              </w:rPr>
              <w:t>主参考面取向</w:t>
            </w:r>
          </w:p>
        </w:tc>
        <w:tc>
          <w:tcPr>
            <w:tcW w:w="1701" w:type="dxa"/>
            <w:tcBorders>
              <w:top w:val="single" w:color="auto" w:sz="8" w:space="0"/>
            </w:tcBorders>
            <w:shd w:val="clear" w:color="auto" w:fill="auto"/>
            <w:vAlign w:val="center"/>
          </w:tcPr>
          <w:p w14:paraId="2BA00ED4">
            <w:pPr>
              <w:pStyle w:val="178"/>
              <w:rPr>
                <w:highlight w:val="none"/>
              </w:rPr>
            </w:pPr>
            <w:r>
              <w:rPr>
                <w:rFonts w:hint="eastAsia" w:hAnsi="宋体" w:cs="宋体"/>
                <w:szCs w:val="18"/>
                <w:highlight w:val="none"/>
                <w:lang w:bidi="ar"/>
              </w:rPr>
              <w:t>V型槽</w:t>
            </w:r>
          </w:p>
        </w:tc>
        <w:tc>
          <w:tcPr>
            <w:tcW w:w="1843" w:type="dxa"/>
            <w:tcBorders>
              <w:top w:val="single" w:color="auto" w:sz="8" w:space="0"/>
            </w:tcBorders>
            <w:shd w:val="clear" w:color="auto" w:fill="auto"/>
            <w:vAlign w:val="center"/>
          </w:tcPr>
          <w:p w14:paraId="39D56616">
            <w:pPr>
              <w:pStyle w:val="178"/>
              <w:rPr>
                <w:highlight w:val="none"/>
              </w:rPr>
            </w:pPr>
            <w:r>
              <w:rPr>
                <w:rFonts w:hint="eastAsia"/>
                <w:highlight w:val="none"/>
              </w:rPr>
              <w:t>-</w:t>
            </w:r>
          </w:p>
        </w:tc>
        <w:tc>
          <w:tcPr>
            <w:tcW w:w="3390" w:type="dxa"/>
            <w:tcBorders>
              <w:top w:val="single" w:color="auto" w:sz="8" w:space="0"/>
            </w:tcBorders>
            <w:shd w:val="clear" w:color="auto" w:fill="auto"/>
            <w:vAlign w:val="center"/>
          </w:tcPr>
          <w:p w14:paraId="1CEE38A6">
            <w:pPr>
              <w:widowControl/>
              <w:snapToGrid w:val="0"/>
              <w:spacing w:line="240" w:lineRule="auto"/>
              <w:jc w:val="center"/>
              <w:textAlignment w:val="center"/>
              <w:rPr>
                <w:rFonts w:ascii="宋体" w:hAnsi="宋体" w:cs="宋体"/>
                <w:kern w:val="0"/>
                <w:sz w:val="18"/>
                <w:szCs w:val="18"/>
                <w:highlight w:val="none"/>
                <w:lang w:bidi="ar"/>
              </w:rPr>
            </w:pPr>
            <w:r>
              <w:rPr>
                <w:rFonts w:hint="eastAsia" w:ascii="宋体" w:hAnsi="宋体"/>
                <w:sz w:val="18"/>
                <w:szCs w:val="18"/>
                <w:highlight w:val="none"/>
              </w:rPr>
              <w:t>[01</w:t>
            </w:r>
            <w:r>
              <w:rPr>
                <w:rFonts w:hint="eastAsia" w:ascii="宋体" w:hAnsi="宋体"/>
                <w:sz w:val="18"/>
                <w:szCs w:val="18"/>
                <w:highlight w:val="none"/>
              </w:rPr>
              <w:fldChar w:fldCharType="begin"/>
            </w:r>
            <w:r>
              <w:rPr>
                <w:rFonts w:hint="eastAsia" w:ascii="宋体" w:hAnsi="宋体"/>
                <w:sz w:val="18"/>
                <w:szCs w:val="18"/>
                <w:highlight w:val="none"/>
              </w:rPr>
              <w:instrText xml:space="preserve">EQ \* jc0 \* hps9 \o(\s\up 8(-),1)</w:instrText>
            </w:r>
            <w:r>
              <w:rPr>
                <w:rFonts w:hint="eastAsia" w:ascii="宋体" w:hAnsi="宋体"/>
                <w:sz w:val="18"/>
                <w:szCs w:val="18"/>
                <w:highlight w:val="none"/>
              </w:rPr>
              <w:fldChar w:fldCharType="end"/>
            </w:r>
            <w:r>
              <w:rPr>
                <w:rFonts w:hint="eastAsia" w:ascii="宋体" w:hAnsi="宋体"/>
                <w:sz w:val="18"/>
                <w:szCs w:val="18"/>
                <w:highlight w:val="none"/>
              </w:rPr>
              <w:t>]</w:t>
            </w:r>
            <w:r>
              <w:rPr>
                <w:rFonts w:hint="eastAsia" w:ascii="宋体" w:hAnsi="宋体" w:cs="宋体"/>
                <w:kern w:val="0"/>
                <w:sz w:val="18"/>
                <w:szCs w:val="18"/>
                <w:highlight w:val="none"/>
                <w:lang w:bidi="ar"/>
              </w:rPr>
              <w:t>±0.5°属于1个砷面，</w:t>
            </w:r>
          </w:p>
          <w:p w14:paraId="3C56E30C">
            <w:pPr>
              <w:pStyle w:val="178"/>
              <w:rPr>
                <w:highlight w:val="none"/>
              </w:rPr>
            </w:pPr>
            <w:r>
              <w:rPr>
                <w:rFonts w:hint="eastAsia" w:hAnsi="宋体" w:cs="宋体"/>
                <w:szCs w:val="18"/>
                <w:highlight w:val="none"/>
                <w:lang w:bidi="ar"/>
              </w:rPr>
              <w:t>主参考面垂直于V型槽</w:t>
            </w:r>
          </w:p>
        </w:tc>
      </w:tr>
      <w:tr w14:paraId="05684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31AE29E">
            <w:pPr>
              <w:pStyle w:val="178"/>
              <w:rPr>
                <w:highlight w:val="none"/>
              </w:rPr>
            </w:pPr>
          </w:p>
        </w:tc>
        <w:tc>
          <w:tcPr>
            <w:tcW w:w="1701" w:type="dxa"/>
            <w:vMerge w:val="continue"/>
            <w:shd w:val="clear" w:color="auto" w:fill="auto"/>
            <w:vAlign w:val="center"/>
          </w:tcPr>
          <w:p w14:paraId="3FC696D2">
            <w:pPr>
              <w:pStyle w:val="178"/>
              <w:rPr>
                <w:highlight w:val="none"/>
              </w:rPr>
            </w:pPr>
          </w:p>
        </w:tc>
        <w:tc>
          <w:tcPr>
            <w:tcW w:w="1701" w:type="dxa"/>
            <w:shd w:val="clear" w:color="auto" w:fill="auto"/>
            <w:vAlign w:val="center"/>
          </w:tcPr>
          <w:p w14:paraId="7F917D3C">
            <w:pPr>
              <w:pStyle w:val="178"/>
              <w:rPr>
                <w:highlight w:val="none"/>
              </w:rPr>
            </w:pPr>
            <w:r>
              <w:rPr>
                <w:rFonts w:hint="eastAsia" w:hAnsi="宋体" w:cs="宋体"/>
                <w:szCs w:val="18"/>
                <w:highlight w:val="none"/>
                <w:lang w:bidi="ar"/>
              </w:rPr>
              <w:t>燕尾槽</w:t>
            </w:r>
          </w:p>
        </w:tc>
        <w:tc>
          <w:tcPr>
            <w:tcW w:w="1843" w:type="dxa"/>
            <w:shd w:val="clear" w:color="auto" w:fill="auto"/>
            <w:vAlign w:val="center"/>
          </w:tcPr>
          <w:p w14:paraId="25484281">
            <w:pPr>
              <w:pStyle w:val="178"/>
              <w:rPr>
                <w:highlight w:val="none"/>
              </w:rPr>
            </w:pPr>
            <w:r>
              <w:rPr>
                <w:rFonts w:hint="eastAsia"/>
                <w:highlight w:val="none"/>
              </w:rPr>
              <w:t>-</w:t>
            </w:r>
          </w:p>
        </w:tc>
        <w:tc>
          <w:tcPr>
            <w:tcW w:w="3390" w:type="dxa"/>
            <w:shd w:val="clear" w:color="auto" w:fill="auto"/>
            <w:vAlign w:val="center"/>
          </w:tcPr>
          <w:p w14:paraId="63DDCB71">
            <w:pPr>
              <w:widowControl/>
              <w:snapToGrid w:val="0"/>
              <w:spacing w:line="240" w:lineRule="auto"/>
              <w:jc w:val="center"/>
              <w:textAlignment w:val="center"/>
              <w:rPr>
                <w:rFonts w:ascii="宋体" w:hAnsi="宋体" w:cs="宋体"/>
                <w:kern w:val="0"/>
                <w:sz w:val="18"/>
                <w:szCs w:val="18"/>
                <w:highlight w:val="none"/>
                <w:lang w:bidi="ar"/>
              </w:rPr>
            </w:pPr>
            <w:r>
              <w:rPr>
                <w:rFonts w:hint="eastAsia" w:ascii="宋体" w:hAnsi="宋体"/>
                <w:sz w:val="18"/>
                <w:szCs w:val="18"/>
                <w:highlight w:val="none"/>
              </w:rPr>
              <w:t>[0</w:t>
            </w:r>
            <w:r>
              <w:rPr>
                <w:rFonts w:hint="eastAsia" w:ascii="宋体" w:hAnsi="宋体"/>
                <w:sz w:val="18"/>
                <w:szCs w:val="18"/>
                <w:highlight w:val="none"/>
              </w:rPr>
              <w:fldChar w:fldCharType="begin"/>
            </w:r>
            <w:r>
              <w:rPr>
                <w:rFonts w:hint="eastAsia" w:ascii="宋体" w:hAnsi="宋体"/>
                <w:sz w:val="18"/>
                <w:szCs w:val="18"/>
                <w:highlight w:val="none"/>
              </w:rPr>
              <w:instrText xml:space="preserve">EQ \* jc0 \* hps9 \o(\s\up 8(-),1)</w:instrText>
            </w:r>
            <w:r>
              <w:rPr>
                <w:rFonts w:hint="eastAsia" w:ascii="宋体" w:hAnsi="宋体"/>
                <w:sz w:val="18"/>
                <w:szCs w:val="18"/>
                <w:highlight w:val="none"/>
              </w:rPr>
              <w:fldChar w:fldCharType="end"/>
            </w:r>
            <w:r>
              <w:rPr>
                <w:rFonts w:hint="eastAsia" w:ascii="宋体" w:hAnsi="宋体"/>
                <w:sz w:val="18"/>
                <w:szCs w:val="18"/>
                <w:highlight w:val="none"/>
              </w:rPr>
              <w:fldChar w:fldCharType="begin"/>
            </w:r>
            <w:r>
              <w:rPr>
                <w:rFonts w:hint="eastAsia" w:ascii="宋体" w:hAnsi="宋体"/>
                <w:sz w:val="18"/>
                <w:szCs w:val="18"/>
                <w:highlight w:val="none"/>
              </w:rPr>
              <w:instrText xml:space="preserve">EQ \* jc0 \* hps9 \o(\s\up 8(-),1)</w:instrText>
            </w:r>
            <w:r>
              <w:rPr>
                <w:rFonts w:hint="eastAsia" w:ascii="宋体" w:hAnsi="宋体"/>
                <w:sz w:val="18"/>
                <w:szCs w:val="18"/>
                <w:highlight w:val="none"/>
              </w:rPr>
              <w:fldChar w:fldCharType="end"/>
            </w:r>
            <w:r>
              <w:rPr>
                <w:rFonts w:hint="eastAsia" w:ascii="宋体" w:hAnsi="宋体"/>
                <w:sz w:val="18"/>
                <w:szCs w:val="18"/>
                <w:highlight w:val="none"/>
              </w:rPr>
              <w:t>]</w:t>
            </w:r>
            <w:r>
              <w:rPr>
                <w:rFonts w:hint="eastAsia" w:ascii="宋体" w:hAnsi="宋体" w:cs="宋体"/>
                <w:kern w:val="0"/>
                <w:sz w:val="18"/>
                <w:szCs w:val="18"/>
                <w:highlight w:val="none"/>
                <w:lang w:bidi="ar"/>
              </w:rPr>
              <w:t>±0.5°属于1个镓面，</w:t>
            </w:r>
          </w:p>
          <w:p w14:paraId="4AAE8F6F">
            <w:pPr>
              <w:pStyle w:val="178"/>
              <w:rPr>
                <w:highlight w:val="none"/>
              </w:rPr>
            </w:pPr>
            <w:r>
              <w:rPr>
                <w:rFonts w:hint="eastAsia" w:hAnsi="宋体" w:cs="宋体"/>
                <w:szCs w:val="18"/>
                <w:highlight w:val="none"/>
                <w:lang w:bidi="ar"/>
              </w:rPr>
              <w:t>主参考面垂直于燕尾槽</w:t>
            </w:r>
          </w:p>
        </w:tc>
      </w:tr>
      <w:tr w14:paraId="7926A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4C6C7582">
            <w:pPr>
              <w:pStyle w:val="178"/>
              <w:rPr>
                <w:rFonts w:hAnsi="宋体" w:cs="宋体"/>
                <w:szCs w:val="18"/>
                <w:highlight w:val="none"/>
                <w:lang w:bidi="ar"/>
              </w:rPr>
            </w:pPr>
            <w:r>
              <w:rPr>
                <w:rFonts w:hint="eastAsia" w:hAnsi="宋体" w:cs="宋体"/>
                <w:szCs w:val="18"/>
                <w:highlight w:val="none"/>
                <w:lang w:bidi="ar"/>
              </w:rPr>
              <w:t>2</w:t>
            </w:r>
          </w:p>
        </w:tc>
        <w:tc>
          <w:tcPr>
            <w:tcW w:w="1701" w:type="dxa"/>
            <w:vMerge w:val="restart"/>
            <w:shd w:val="clear" w:color="auto" w:fill="auto"/>
            <w:vAlign w:val="center"/>
          </w:tcPr>
          <w:p w14:paraId="4F56ECAB">
            <w:pPr>
              <w:pStyle w:val="178"/>
              <w:rPr>
                <w:rFonts w:hAnsi="宋体" w:cs="宋体"/>
                <w:szCs w:val="18"/>
                <w:highlight w:val="none"/>
                <w:lang w:bidi="ar"/>
              </w:rPr>
            </w:pPr>
            <w:r>
              <w:rPr>
                <w:rFonts w:hint="eastAsia" w:hAnsi="宋体" w:cs="宋体"/>
                <w:szCs w:val="18"/>
                <w:highlight w:val="none"/>
                <w:lang w:bidi="ar"/>
              </w:rPr>
              <w:t>副参考面取向</w:t>
            </w:r>
          </w:p>
        </w:tc>
        <w:tc>
          <w:tcPr>
            <w:tcW w:w="1701" w:type="dxa"/>
            <w:shd w:val="clear" w:color="auto" w:fill="auto"/>
            <w:vAlign w:val="center"/>
          </w:tcPr>
          <w:p w14:paraId="47BEAB35">
            <w:pPr>
              <w:pStyle w:val="178"/>
              <w:rPr>
                <w:rFonts w:hAnsi="宋体" w:cs="宋体"/>
                <w:szCs w:val="18"/>
                <w:highlight w:val="none"/>
                <w:lang w:bidi="ar"/>
              </w:rPr>
            </w:pPr>
            <w:r>
              <w:rPr>
                <w:rFonts w:hint="eastAsia" w:hAnsi="宋体" w:cs="宋体"/>
                <w:szCs w:val="18"/>
                <w:highlight w:val="none"/>
                <w:lang w:bidi="ar"/>
              </w:rPr>
              <w:t>V型槽</w:t>
            </w:r>
          </w:p>
        </w:tc>
        <w:tc>
          <w:tcPr>
            <w:tcW w:w="1843" w:type="dxa"/>
            <w:shd w:val="clear" w:color="auto" w:fill="auto"/>
            <w:vAlign w:val="center"/>
          </w:tcPr>
          <w:p w14:paraId="7D2404DB">
            <w:pPr>
              <w:pStyle w:val="178"/>
              <w:rPr>
                <w:rFonts w:hAnsi="宋体" w:cs="宋体"/>
                <w:szCs w:val="18"/>
                <w:highlight w:val="none"/>
                <w:lang w:bidi="ar"/>
              </w:rPr>
            </w:pPr>
            <w:r>
              <w:rPr>
                <w:rFonts w:hint="eastAsia" w:hAnsi="宋体" w:cs="宋体"/>
                <w:szCs w:val="18"/>
                <w:highlight w:val="none"/>
                <w:lang w:bidi="ar"/>
              </w:rPr>
              <w:t>-</w:t>
            </w:r>
          </w:p>
        </w:tc>
        <w:tc>
          <w:tcPr>
            <w:tcW w:w="3390" w:type="dxa"/>
            <w:shd w:val="clear" w:color="auto" w:fill="auto"/>
            <w:vAlign w:val="center"/>
          </w:tcPr>
          <w:p w14:paraId="7FB23030">
            <w:pPr>
              <w:pStyle w:val="178"/>
              <w:rPr>
                <w:rFonts w:hAnsi="宋体" w:cs="宋体"/>
                <w:szCs w:val="18"/>
                <w:highlight w:val="none"/>
                <w:lang w:bidi="ar"/>
              </w:rPr>
            </w:pPr>
            <w:r>
              <w:rPr>
                <w:rFonts w:hint="eastAsia" w:hAnsi="宋体" w:cs="宋体"/>
                <w:szCs w:val="18"/>
                <w:highlight w:val="none"/>
                <w:lang w:bidi="ar"/>
              </w:rPr>
              <w:t>[011]±0.5°</w:t>
            </w:r>
          </w:p>
        </w:tc>
      </w:tr>
      <w:tr w14:paraId="1AEB3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7CDA1D3">
            <w:pPr>
              <w:pStyle w:val="178"/>
              <w:rPr>
                <w:rFonts w:hAnsi="宋体" w:cs="宋体"/>
                <w:szCs w:val="18"/>
                <w:highlight w:val="none"/>
                <w:lang w:bidi="ar"/>
              </w:rPr>
            </w:pPr>
          </w:p>
        </w:tc>
        <w:tc>
          <w:tcPr>
            <w:tcW w:w="1701" w:type="dxa"/>
            <w:vMerge w:val="continue"/>
            <w:shd w:val="clear" w:color="auto" w:fill="auto"/>
            <w:vAlign w:val="center"/>
          </w:tcPr>
          <w:p w14:paraId="42B6A0A6">
            <w:pPr>
              <w:pStyle w:val="178"/>
              <w:rPr>
                <w:rFonts w:hAnsi="宋体" w:cs="宋体"/>
                <w:szCs w:val="18"/>
                <w:highlight w:val="none"/>
                <w:lang w:bidi="ar"/>
              </w:rPr>
            </w:pPr>
          </w:p>
        </w:tc>
        <w:tc>
          <w:tcPr>
            <w:tcW w:w="1701" w:type="dxa"/>
            <w:shd w:val="clear" w:color="auto" w:fill="auto"/>
            <w:vAlign w:val="center"/>
          </w:tcPr>
          <w:p w14:paraId="6D0BFC06">
            <w:pPr>
              <w:pStyle w:val="178"/>
              <w:rPr>
                <w:rFonts w:hAnsi="宋体" w:cs="宋体"/>
                <w:szCs w:val="18"/>
                <w:highlight w:val="none"/>
                <w:lang w:bidi="ar"/>
              </w:rPr>
            </w:pPr>
            <w:r>
              <w:rPr>
                <w:rFonts w:hint="eastAsia" w:hAnsi="宋体" w:cs="宋体"/>
                <w:szCs w:val="18"/>
                <w:highlight w:val="none"/>
                <w:lang w:bidi="ar"/>
              </w:rPr>
              <w:t>燕尾槽</w:t>
            </w:r>
          </w:p>
        </w:tc>
        <w:tc>
          <w:tcPr>
            <w:tcW w:w="1843" w:type="dxa"/>
            <w:shd w:val="clear" w:color="auto" w:fill="auto"/>
            <w:vAlign w:val="center"/>
          </w:tcPr>
          <w:p w14:paraId="2FD97AB1">
            <w:pPr>
              <w:pStyle w:val="178"/>
              <w:rPr>
                <w:rFonts w:hAnsi="宋体" w:cs="宋体"/>
                <w:szCs w:val="18"/>
                <w:highlight w:val="none"/>
                <w:lang w:bidi="ar"/>
              </w:rPr>
            </w:pPr>
            <w:r>
              <w:rPr>
                <w:rFonts w:hint="eastAsia" w:hAnsi="宋体" w:cs="宋体"/>
                <w:szCs w:val="18"/>
                <w:highlight w:val="none"/>
                <w:lang w:bidi="ar"/>
              </w:rPr>
              <w:t>-</w:t>
            </w:r>
          </w:p>
        </w:tc>
        <w:tc>
          <w:tcPr>
            <w:tcW w:w="3390" w:type="dxa"/>
            <w:shd w:val="clear" w:color="auto" w:fill="auto"/>
            <w:vAlign w:val="center"/>
          </w:tcPr>
          <w:p w14:paraId="77FFCBBE">
            <w:pPr>
              <w:pStyle w:val="178"/>
              <w:rPr>
                <w:rFonts w:hAnsi="宋体" w:cs="宋体"/>
                <w:szCs w:val="18"/>
                <w:highlight w:val="none"/>
                <w:lang w:bidi="ar"/>
              </w:rPr>
            </w:pPr>
            <w:r>
              <w:rPr>
                <w:rFonts w:hint="eastAsia" w:hAnsi="宋体" w:cs="宋体"/>
                <w:szCs w:val="18"/>
                <w:highlight w:val="none"/>
                <w:lang w:bidi="ar"/>
              </w:rPr>
              <w:t>[01</w:t>
            </w:r>
            <w:r>
              <w:rPr>
                <w:rFonts w:hint="eastAsia" w:hAnsi="宋体"/>
                <w:szCs w:val="18"/>
                <w:highlight w:val="none"/>
                <w:lang w:bidi="ar"/>
              </w:rPr>
              <w:fldChar w:fldCharType="begin"/>
            </w:r>
            <w:r>
              <w:rPr>
                <w:rFonts w:hint="eastAsia" w:hAnsi="宋体"/>
                <w:szCs w:val="18"/>
                <w:highlight w:val="none"/>
                <w:lang w:bidi="ar"/>
              </w:rPr>
              <w:instrText xml:space="preserve">EQ \* jc0 \* hps9 \o(\s\up 8(</w:instrText>
            </w:r>
            <w:r>
              <w:rPr>
                <w:rFonts w:hint="eastAsia" w:hAnsi="宋体" w:cs="宋体"/>
                <w:szCs w:val="18"/>
                <w:highlight w:val="none"/>
                <w:lang w:bidi="ar"/>
              </w:rPr>
              <w:instrText xml:space="preserve">-</w:instrText>
            </w:r>
            <w:r>
              <w:rPr>
                <w:rFonts w:hint="eastAsia" w:hAnsi="宋体"/>
                <w:szCs w:val="18"/>
                <w:highlight w:val="none"/>
                <w:lang w:bidi="ar"/>
              </w:rPr>
              <w:instrText xml:space="preserve">),</w:instrText>
            </w:r>
            <w:r>
              <w:rPr>
                <w:rFonts w:hint="eastAsia" w:hAnsi="宋体" w:cs="宋体"/>
                <w:szCs w:val="18"/>
                <w:highlight w:val="none"/>
                <w:lang w:bidi="ar"/>
              </w:rPr>
              <w:instrText xml:space="preserve">1</w:instrText>
            </w:r>
            <w:r>
              <w:rPr>
                <w:rFonts w:hint="eastAsia" w:hAnsi="宋体"/>
                <w:szCs w:val="18"/>
                <w:highlight w:val="none"/>
                <w:lang w:bidi="ar"/>
              </w:rPr>
              <w:instrText xml:space="preserve">)</w:instrText>
            </w:r>
            <w:r>
              <w:rPr>
                <w:rFonts w:hint="eastAsia" w:hAnsi="宋体"/>
                <w:szCs w:val="18"/>
                <w:highlight w:val="none"/>
                <w:lang w:bidi="ar"/>
              </w:rPr>
              <w:fldChar w:fldCharType="end"/>
            </w:r>
            <w:r>
              <w:rPr>
                <w:rFonts w:hint="eastAsia" w:hAnsi="宋体" w:cs="宋体"/>
                <w:szCs w:val="18"/>
                <w:highlight w:val="none"/>
                <w:lang w:bidi="ar"/>
              </w:rPr>
              <w:t>]±0.5°</w:t>
            </w:r>
          </w:p>
        </w:tc>
      </w:tr>
      <w:tr w14:paraId="4946D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256270E9">
            <w:pPr>
              <w:pStyle w:val="178"/>
              <w:rPr>
                <w:highlight w:val="none"/>
              </w:rPr>
            </w:pPr>
            <w:r>
              <w:rPr>
                <w:rFonts w:hint="eastAsia"/>
                <w:highlight w:val="none"/>
              </w:rPr>
              <w:t>3</w:t>
            </w:r>
          </w:p>
        </w:tc>
        <w:tc>
          <w:tcPr>
            <w:tcW w:w="1701" w:type="dxa"/>
            <w:vMerge w:val="restart"/>
            <w:shd w:val="clear" w:color="auto" w:fill="auto"/>
            <w:vAlign w:val="center"/>
          </w:tcPr>
          <w:p w14:paraId="497ED51F">
            <w:pPr>
              <w:pStyle w:val="178"/>
              <w:rPr>
                <w:rFonts w:hint="eastAsia" w:hAnsi="宋体" w:cs="宋体"/>
                <w:szCs w:val="18"/>
                <w:highlight w:val="none"/>
                <w:lang w:bidi="ar"/>
              </w:rPr>
            </w:pPr>
            <w:r>
              <w:rPr>
                <w:rFonts w:hint="eastAsia" w:hAnsi="宋体" w:cs="宋体"/>
                <w:szCs w:val="18"/>
                <w:highlight w:val="none"/>
                <w:lang w:bidi="ar"/>
              </w:rPr>
              <w:t>主参考面长度</w:t>
            </w:r>
          </w:p>
        </w:tc>
        <w:tc>
          <w:tcPr>
            <w:tcW w:w="1701" w:type="dxa"/>
            <w:shd w:val="clear" w:color="auto" w:fill="auto"/>
            <w:vAlign w:val="center"/>
          </w:tcPr>
          <w:p w14:paraId="1528243E">
            <w:pPr>
              <w:pStyle w:val="178"/>
              <w:rPr>
                <w:highlight w:val="none"/>
              </w:rPr>
            </w:pPr>
            <w:r>
              <w:rPr>
                <w:rFonts w:hint="eastAsia"/>
                <w:highlight w:val="none"/>
              </w:rPr>
              <w:t>-</w:t>
            </w:r>
          </w:p>
        </w:tc>
        <w:tc>
          <w:tcPr>
            <w:tcW w:w="1843" w:type="dxa"/>
            <w:shd w:val="clear" w:color="auto" w:fill="auto"/>
            <w:vAlign w:val="center"/>
          </w:tcPr>
          <w:p w14:paraId="43AEF7E2">
            <w:pPr>
              <w:pStyle w:val="178"/>
              <w:rPr>
                <w:highlight w:val="none"/>
              </w:rPr>
            </w:pPr>
            <w:r>
              <w:rPr>
                <w:rFonts w:hint="eastAsia" w:hAnsi="宋体" w:cs="宋体"/>
                <w:szCs w:val="18"/>
                <w:highlight w:val="none"/>
              </w:rPr>
              <w:t>Ф</w:t>
            </w:r>
            <w:r>
              <w:rPr>
                <w:rFonts w:hint="eastAsia" w:hAnsi="宋体" w:cs="宋体"/>
                <w:szCs w:val="18"/>
                <w:highlight w:val="none"/>
                <w:lang w:bidi="ar"/>
              </w:rPr>
              <w:t>50.8</w:t>
            </w:r>
          </w:p>
        </w:tc>
        <w:tc>
          <w:tcPr>
            <w:tcW w:w="3390" w:type="dxa"/>
            <w:shd w:val="clear" w:color="auto" w:fill="auto"/>
            <w:vAlign w:val="center"/>
          </w:tcPr>
          <w:p w14:paraId="51303F0F">
            <w:pPr>
              <w:pStyle w:val="178"/>
              <w:rPr>
                <w:highlight w:val="none"/>
              </w:rPr>
            </w:pPr>
            <w:r>
              <w:rPr>
                <w:rFonts w:hint="eastAsia" w:hAnsi="宋体" w:cs="宋体"/>
                <w:szCs w:val="18"/>
                <w:highlight w:val="none"/>
                <w:lang w:bidi="ar"/>
              </w:rPr>
              <w:t>16±1</w:t>
            </w:r>
          </w:p>
        </w:tc>
      </w:tr>
      <w:tr w14:paraId="104F5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32171298">
            <w:pPr>
              <w:pStyle w:val="178"/>
              <w:rPr>
                <w:highlight w:val="none"/>
              </w:rPr>
            </w:pPr>
          </w:p>
        </w:tc>
        <w:tc>
          <w:tcPr>
            <w:tcW w:w="1701" w:type="dxa"/>
            <w:vMerge w:val="continue"/>
            <w:shd w:val="clear" w:color="auto" w:fill="auto"/>
            <w:vAlign w:val="center"/>
          </w:tcPr>
          <w:p w14:paraId="1D89B742">
            <w:pPr>
              <w:pStyle w:val="178"/>
              <w:rPr>
                <w:highlight w:val="none"/>
              </w:rPr>
            </w:pPr>
          </w:p>
        </w:tc>
        <w:tc>
          <w:tcPr>
            <w:tcW w:w="1701" w:type="dxa"/>
            <w:shd w:val="clear" w:color="auto" w:fill="auto"/>
            <w:vAlign w:val="center"/>
          </w:tcPr>
          <w:p w14:paraId="4AE38413">
            <w:pPr>
              <w:pStyle w:val="178"/>
              <w:rPr>
                <w:rFonts w:hAnsi="宋体" w:cs="宋体"/>
                <w:szCs w:val="18"/>
                <w:highlight w:val="none"/>
              </w:rPr>
            </w:pPr>
            <w:r>
              <w:rPr>
                <w:rFonts w:hint="eastAsia" w:hAnsi="宋体" w:cs="宋体"/>
                <w:szCs w:val="18"/>
                <w:highlight w:val="none"/>
              </w:rPr>
              <w:t>-</w:t>
            </w:r>
          </w:p>
        </w:tc>
        <w:tc>
          <w:tcPr>
            <w:tcW w:w="1843" w:type="dxa"/>
            <w:shd w:val="clear" w:color="auto" w:fill="auto"/>
            <w:vAlign w:val="center"/>
          </w:tcPr>
          <w:p w14:paraId="40AC8671">
            <w:pPr>
              <w:pStyle w:val="178"/>
              <w:rPr>
                <w:rFonts w:hAnsi="宋体" w:cs="宋体"/>
                <w:szCs w:val="18"/>
                <w:highlight w:val="none"/>
              </w:rPr>
            </w:pPr>
            <w:r>
              <w:rPr>
                <w:rFonts w:hint="eastAsia" w:hAnsi="宋体" w:cs="宋体"/>
                <w:szCs w:val="18"/>
                <w:highlight w:val="none"/>
              </w:rPr>
              <w:t>Ф</w:t>
            </w:r>
            <w:r>
              <w:rPr>
                <w:rFonts w:hint="eastAsia" w:hAnsi="宋体" w:cs="宋体"/>
                <w:szCs w:val="18"/>
                <w:highlight w:val="none"/>
                <w:lang w:bidi="ar"/>
              </w:rPr>
              <w:t>76.2</w:t>
            </w:r>
          </w:p>
        </w:tc>
        <w:tc>
          <w:tcPr>
            <w:tcW w:w="3390" w:type="dxa"/>
            <w:shd w:val="clear" w:color="auto" w:fill="auto"/>
            <w:vAlign w:val="center"/>
          </w:tcPr>
          <w:p w14:paraId="24E77C68">
            <w:pPr>
              <w:pStyle w:val="178"/>
              <w:rPr>
                <w:rFonts w:hAnsi="宋体" w:cs="宋体"/>
                <w:szCs w:val="18"/>
                <w:highlight w:val="none"/>
              </w:rPr>
            </w:pPr>
            <w:r>
              <w:rPr>
                <w:rFonts w:hint="eastAsia" w:hAnsi="宋体" w:cs="宋体"/>
                <w:szCs w:val="18"/>
                <w:highlight w:val="none"/>
                <w:lang w:bidi="ar"/>
              </w:rPr>
              <w:t>22±1</w:t>
            </w:r>
          </w:p>
        </w:tc>
      </w:tr>
      <w:tr w14:paraId="735ED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230EF342">
            <w:pPr>
              <w:pStyle w:val="178"/>
              <w:rPr>
                <w:highlight w:val="none"/>
              </w:rPr>
            </w:pPr>
          </w:p>
        </w:tc>
        <w:tc>
          <w:tcPr>
            <w:tcW w:w="1701" w:type="dxa"/>
            <w:vMerge w:val="continue"/>
            <w:shd w:val="clear" w:color="auto" w:fill="auto"/>
            <w:vAlign w:val="center"/>
          </w:tcPr>
          <w:p w14:paraId="784F7EB3">
            <w:pPr>
              <w:pStyle w:val="178"/>
              <w:rPr>
                <w:highlight w:val="none"/>
              </w:rPr>
            </w:pPr>
          </w:p>
        </w:tc>
        <w:tc>
          <w:tcPr>
            <w:tcW w:w="1701" w:type="dxa"/>
            <w:shd w:val="clear" w:color="auto" w:fill="auto"/>
            <w:vAlign w:val="center"/>
          </w:tcPr>
          <w:p w14:paraId="57B6BE4B">
            <w:pPr>
              <w:pStyle w:val="178"/>
              <w:rPr>
                <w:rFonts w:hAnsi="宋体" w:cs="宋体"/>
                <w:szCs w:val="18"/>
                <w:highlight w:val="none"/>
              </w:rPr>
            </w:pPr>
            <w:r>
              <w:rPr>
                <w:rFonts w:hint="eastAsia" w:hAnsi="宋体" w:cs="宋体"/>
                <w:szCs w:val="18"/>
                <w:highlight w:val="none"/>
              </w:rPr>
              <w:t>-</w:t>
            </w:r>
          </w:p>
        </w:tc>
        <w:tc>
          <w:tcPr>
            <w:tcW w:w="1843" w:type="dxa"/>
            <w:shd w:val="clear" w:color="auto" w:fill="auto"/>
            <w:vAlign w:val="center"/>
          </w:tcPr>
          <w:p w14:paraId="7E775CF2">
            <w:pPr>
              <w:pStyle w:val="178"/>
              <w:rPr>
                <w:rFonts w:hAnsi="宋体" w:cs="宋体"/>
                <w:szCs w:val="18"/>
                <w:highlight w:val="none"/>
              </w:rPr>
            </w:pPr>
            <w:r>
              <w:rPr>
                <w:rFonts w:hint="eastAsia" w:hAnsi="宋体" w:cs="宋体"/>
                <w:szCs w:val="18"/>
                <w:highlight w:val="none"/>
              </w:rPr>
              <w:t>Ф</w:t>
            </w:r>
            <w:r>
              <w:rPr>
                <w:rFonts w:hint="eastAsia" w:hAnsi="宋体" w:cs="宋体"/>
                <w:szCs w:val="18"/>
                <w:highlight w:val="none"/>
                <w:lang w:bidi="ar"/>
              </w:rPr>
              <w:t>100.0</w:t>
            </w:r>
          </w:p>
        </w:tc>
        <w:tc>
          <w:tcPr>
            <w:tcW w:w="3390" w:type="dxa"/>
            <w:shd w:val="clear" w:color="auto" w:fill="auto"/>
            <w:vAlign w:val="center"/>
          </w:tcPr>
          <w:p w14:paraId="1B73E53B">
            <w:pPr>
              <w:pStyle w:val="178"/>
              <w:rPr>
                <w:rFonts w:hAnsi="宋体" w:cs="宋体"/>
                <w:szCs w:val="18"/>
                <w:highlight w:val="none"/>
              </w:rPr>
            </w:pPr>
            <w:r>
              <w:rPr>
                <w:rFonts w:hint="eastAsia" w:hAnsi="宋体" w:cs="宋体"/>
                <w:szCs w:val="18"/>
                <w:highlight w:val="none"/>
                <w:lang w:bidi="ar"/>
              </w:rPr>
              <w:t>32±1</w:t>
            </w:r>
          </w:p>
        </w:tc>
      </w:tr>
      <w:tr w14:paraId="74B58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230C90A8">
            <w:pPr>
              <w:pStyle w:val="178"/>
              <w:rPr>
                <w:highlight w:val="none"/>
              </w:rPr>
            </w:pPr>
            <w:r>
              <w:rPr>
                <w:rFonts w:hint="eastAsia"/>
                <w:highlight w:val="none"/>
              </w:rPr>
              <w:t>4</w:t>
            </w:r>
          </w:p>
        </w:tc>
        <w:tc>
          <w:tcPr>
            <w:tcW w:w="1701" w:type="dxa"/>
            <w:vMerge w:val="restart"/>
            <w:shd w:val="clear" w:color="auto" w:fill="auto"/>
            <w:vAlign w:val="center"/>
          </w:tcPr>
          <w:p w14:paraId="4316F262">
            <w:pPr>
              <w:pStyle w:val="178"/>
              <w:rPr>
                <w:rFonts w:hint="eastAsia" w:hAnsi="宋体" w:cs="宋体"/>
                <w:szCs w:val="18"/>
                <w:highlight w:val="none"/>
                <w:lang w:bidi="ar"/>
              </w:rPr>
            </w:pPr>
            <w:r>
              <w:rPr>
                <w:rFonts w:hint="eastAsia" w:hAnsi="宋体" w:cs="宋体"/>
                <w:szCs w:val="18"/>
                <w:highlight w:val="none"/>
                <w:lang w:bidi="ar"/>
              </w:rPr>
              <w:t>副参考面长度</w:t>
            </w:r>
          </w:p>
        </w:tc>
        <w:tc>
          <w:tcPr>
            <w:tcW w:w="1701" w:type="dxa"/>
            <w:shd w:val="clear" w:color="auto" w:fill="auto"/>
            <w:vAlign w:val="center"/>
          </w:tcPr>
          <w:p w14:paraId="62A30E3D">
            <w:pPr>
              <w:pStyle w:val="178"/>
              <w:rPr>
                <w:rFonts w:hAnsi="宋体" w:cs="宋体"/>
                <w:szCs w:val="18"/>
                <w:highlight w:val="none"/>
              </w:rPr>
            </w:pPr>
            <w:r>
              <w:rPr>
                <w:rFonts w:hint="eastAsia" w:hAnsi="宋体" w:cs="宋体"/>
                <w:szCs w:val="18"/>
                <w:highlight w:val="none"/>
              </w:rPr>
              <w:t>-</w:t>
            </w:r>
          </w:p>
        </w:tc>
        <w:tc>
          <w:tcPr>
            <w:tcW w:w="1843" w:type="dxa"/>
            <w:shd w:val="clear" w:color="auto" w:fill="auto"/>
            <w:vAlign w:val="center"/>
          </w:tcPr>
          <w:p w14:paraId="144D5C77">
            <w:pPr>
              <w:pStyle w:val="178"/>
              <w:rPr>
                <w:rFonts w:hAnsi="宋体" w:cs="宋体"/>
                <w:szCs w:val="18"/>
                <w:highlight w:val="none"/>
              </w:rPr>
            </w:pPr>
            <w:r>
              <w:rPr>
                <w:rFonts w:hint="eastAsia" w:hAnsi="宋体" w:cs="宋体"/>
                <w:szCs w:val="18"/>
                <w:highlight w:val="none"/>
              </w:rPr>
              <w:t>Ф</w:t>
            </w:r>
            <w:r>
              <w:rPr>
                <w:rFonts w:hint="eastAsia" w:hAnsi="宋体" w:cs="宋体"/>
                <w:szCs w:val="18"/>
                <w:highlight w:val="none"/>
                <w:lang w:bidi="ar"/>
              </w:rPr>
              <w:t>50.8</w:t>
            </w:r>
          </w:p>
        </w:tc>
        <w:tc>
          <w:tcPr>
            <w:tcW w:w="3390" w:type="dxa"/>
            <w:shd w:val="clear" w:color="auto" w:fill="auto"/>
            <w:vAlign w:val="center"/>
          </w:tcPr>
          <w:p w14:paraId="25F88145">
            <w:pPr>
              <w:pStyle w:val="178"/>
              <w:rPr>
                <w:rFonts w:hAnsi="宋体" w:cs="宋体"/>
                <w:szCs w:val="18"/>
                <w:highlight w:val="none"/>
              </w:rPr>
            </w:pPr>
            <w:r>
              <w:rPr>
                <w:rFonts w:hint="eastAsia" w:hAnsi="宋体" w:cs="宋体"/>
                <w:szCs w:val="18"/>
                <w:highlight w:val="none"/>
                <w:lang w:bidi="ar"/>
              </w:rPr>
              <w:t>8±1</w:t>
            </w:r>
          </w:p>
        </w:tc>
      </w:tr>
      <w:tr w14:paraId="6ADC5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ED8AEE1">
            <w:pPr>
              <w:pStyle w:val="178"/>
              <w:rPr>
                <w:rFonts w:hAnsi="宋体" w:cs="宋体"/>
                <w:szCs w:val="18"/>
                <w:highlight w:val="none"/>
                <w:lang w:bidi="ar"/>
              </w:rPr>
            </w:pPr>
          </w:p>
        </w:tc>
        <w:tc>
          <w:tcPr>
            <w:tcW w:w="1701" w:type="dxa"/>
            <w:vMerge w:val="continue"/>
            <w:shd w:val="clear" w:color="auto" w:fill="auto"/>
            <w:vAlign w:val="center"/>
          </w:tcPr>
          <w:p w14:paraId="7B03FCA3">
            <w:pPr>
              <w:pStyle w:val="178"/>
              <w:rPr>
                <w:rFonts w:hAnsi="宋体" w:cs="宋体"/>
                <w:szCs w:val="18"/>
                <w:highlight w:val="none"/>
                <w:lang w:bidi="ar"/>
              </w:rPr>
            </w:pPr>
          </w:p>
        </w:tc>
        <w:tc>
          <w:tcPr>
            <w:tcW w:w="1701" w:type="dxa"/>
            <w:shd w:val="clear" w:color="auto" w:fill="auto"/>
            <w:vAlign w:val="center"/>
          </w:tcPr>
          <w:p w14:paraId="26AC624F">
            <w:pPr>
              <w:pStyle w:val="178"/>
              <w:rPr>
                <w:rFonts w:hAnsi="宋体" w:cs="宋体"/>
                <w:szCs w:val="18"/>
                <w:highlight w:val="none"/>
              </w:rPr>
            </w:pPr>
            <w:r>
              <w:rPr>
                <w:rFonts w:hint="eastAsia" w:hAnsi="宋体" w:cs="宋体"/>
                <w:szCs w:val="18"/>
                <w:highlight w:val="none"/>
              </w:rPr>
              <w:t>-</w:t>
            </w:r>
          </w:p>
        </w:tc>
        <w:tc>
          <w:tcPr>
            <w:tcW w:w="1843" w:type="dxa"/>
            <w:shd w:val="clear" w:color="auto" w:fill="auto"/>
            <w:vAlign w:val="center"/>
          </w:tcPr>
          <w:p w14:paraId="07A24ADA">
            <w:pPr>
              <w:pStyle w:val="178"/>
              <w:rPr>
                <w:rFonts w:hAnsi="宋体" w:cs="宋体"/>
                <w:szCs w:val="18"/>
                <w:highlight w:val="none"/>
              </w:rPr>
            </w:pPr>
            <w:r>
              <w:rPr>
                <w:rFonts w:hint="eastAsia" w:hAnsi="宋体" w:cs="宋体"/>
                <w:szCs w:val="18"/>
                <w:highlight w:val="none"/>
              </w:rPr>
              <w:t>Ф</w:t>
            </w:r>
            <w:r>
              <w:rPr>
                <w:rFonts w:hint="eastAsia" w:hAnsi="宋体" w:cs="宋体"/>
                <w:szCs w:val="18"/>
                <w:highlight w:val="none"/>
                <w:lang w:bidi="ar"/>
              </w:rPr>
              <w:t>76.2</w:t>
            </w:r>
          </w:p>
        </w:tc>
        <w:tc>
          <w:tcPr>
            <w:tcW w:w="3390" w:type="dxa"/>
            <w:shd w:val="clear" w:color="auto" w:fill="auto"/>
            <w:vAlign w:val="center"/>
          </w:tcPr>
          <w:p w14:paraId="68EA4894">
            <w:pPr>
              <w:pStyle w:val="178"/>
              <w:rPr>
                <w:rFonts w:hAnsi="宋体" w:cs="宋体"/>
                <w:szCs w:val="18"/>
                <w:highlight w:val="none"/>
              </w:rPr>
            </w:pPr>
            <w:r>
              <w:rPr>
                <w:rFonts w:hint="eastAsia" w:hAnsi="宋体" w:cs="宋体"/>
                <w:szCs w:val="18"/>
                <w:highlight w:val="none"/>
                <w:lang w:bidi="ar"/>
              </w:rPr>
              <w:t>11±1</w:t>
            </w:r>
          </w:p>
        </w:tc>
      </w:tr>
      <w:tr w14:paraId="53229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098F0C0A">
            <w:pPr>
              <w:pStyle w:val="178"/>
              <w:rPr>
                <w:rFonts w:hAnsi="宋体" w:cs="宋体"/>
                <w:szCs w:val="18"/>
                <w:highlight w:val="none"/>
                <w:lang w:bidi="ar"/>
              </w:rPr>
            </w:pPr>
          </w:p>
        </w:tc>
        <w:tc>
          <w:tcPr>
            <w:tcW w:w="1701" w:type="dxa"/>
            <w:vMerge w:val="continue"/>
            <w:shd w:val="clear" w:color="auto" w:fill="auto"/>
            <w:vAlign w:val="center"/>
          </w:tcPr>
          <w:p w14:paraId="79EE93E9">
            <w:pPr>
              <w:pStyle w:val="178"/>
              <w:rPr>
                <w:rFonts w:hAnsi="宋体" w:cs="宋体"/>
                <w:szCs w:val="18"/>
                <w:highlight w:val="none"/>
                <w:lang w:bidi="ar"/>
              </w:rPr>
            </w:pPr>
          </w:p>
        </w:tc>
        <w:tc>
          <w:tcPr>
            <w:tcW w:w="1701" w:type="dxa"/>
            <w:shd w:val="clear" w:color="auto" w:fill="auto"/>
            <w:vAlign w:val="center"/>
          </w:tcPr>
          <w:p w14:paraId="19755633">
            <w:pPr>
              <w:pStyle w:val="178"/>
              <w:rPr>
                <w:rFonts w:hAnsi="宋体" w:cs="宋体"/>
                <w:szCs w:val="18"/>
                <w:highlight w:val="none"/>
              </w:rPr>
            </w:pPr>
            <w:r>
              <w:rPr>
                <w:rFonts w:hint="eastAsia" w:hAnsi="宋体" w:cs="宋体"/>
                <w:szCs w:val="18"/>
                <w:highlight w:val="none"/>
              </w:rPr>
              <w:t>-</w:t>
            </w:r>
          </w:p>
        </w:tc>
        <w:tc>
          <w:tcPr>
            <w:tcW w:w="1843" w:type="dxa"/>
            <w:shd w:val="clear" w:color="auto" w:fill="auto"/>
            <w:vAlign w:val="center"/>
          </w:tcPr>
          <w:p w14:paraId="597B9979">
            <w:pPr>
              <w:pStyle w:val="178"/>
              <w:rPr>
                <w:rFonts w:hAnsi="宋体" w:cs="宋体"/>
                <w:szCs w:val="18"/>
                <w:highlight w:val="none"/>
              </w:rPr>
            </w:pPr>
            <w:r>
              <w:rPr>
                <w:rFonts w:hint="eastAsia" w:hAnsi="宋体" w:cs="宋体"/>
                <w:szCs w:val="18"/>
                <w:highlight w:val="none"/>
              </w:rPr>
              <w:t>Ф</w:t>
            </w:r>
            <w:r>
              <w:rPr>
                <w:rFonts w:hint="eastAsia" w:hAnsi="宋体" w:cs="宋体"/>
                <w:szCs w:val="18"/>
                <w:highlight w:val="none"/>
                <w:lang w:bidi="ar"/>
              </w:rPr>
              <w:t>100.0</w:t>
            </w:r>
          </w:p>
        </w:tc>
        <w:tc>
          <w:tcPr>
            <w:tcW w:w="3390" w:type="dxa"/>
            <w:shd w:val="clear" w:color="auto" w:fill="auto"/>
            <w:vAlign w:val="center"/>
          </w:tcPr>
          <w:p w14:paraId="74C1BCE5">
            <w:pPr>
              <w:pStyle w:val="178"/>
              <w:rPr>
                <w:rFonts w:hAnsi="宋体" w:cs="宋体"/>
                <w:szCs w:val="18"/>
                <w:highlight w:val="none"/>
              </w:rPr>
            </w:pPr>
            <w:r>
              <w:rPr>
                <w:rFonts w:hint="eastAsia" w:hAnsi="宋体" w:cs="宋体"/>
                <w:szCs w:val="18"/>
                <w:highlight w:val="none"/>
                <w:lang w:bidi="ar"/>
              </w:rPr>
              <w:t>（18±1）/（0）</w:t>
            </w:r>
          </w:p>
        </w:tc>
      </w:tr>
    </w:tbl>
    <w:p w14:paraId="412E859A">
      <w:pPr>
        <w:pStyle w:val="56"/>
        <w:ind w:firstLine="360"/>
        <w:jc w:val="right"/>
        <w:rPr>
          <w:strike/>
          <w:sz w:val="18"/>
        </w:rPr>
      </w:pPr>
    </w:p>
    <w:p w14:paraId="216F3F47">
      <w:pPr>
        <w:pStyle w:val="165"/>
        <w:rPr>
          <w:highlight w:val="none"/>
        </w:rPr>
      </w:pPr>
      <w:r>
        <w:rPr>
          <w:rFonts w:hint="eastAsia"/>
          <w:highlight w:val="none"/>
        </w:rPr>
        <w:t>φ150</w:t>
      </w:r>
      <w:r>
        <w:rPr>
          <w:rFonts w:hint="eastAsia"/>
          <w:highlight w:val="none"/>
          <w:vertAlign w:val="subscript"/>
        </w:rPr>
        <w:t xml:space="preserve"> </w:t>
      </w:r>
      <w:r>
        <w:rPr>
          <w:rFonts w:hint="eastAsia"/>
          <w:highlight w:val="none"/>
        </w:rPr>
        <w:t>mm砷化镓衬底参考面的取向、形状和长度</w:t>
      </w:r>
      <w:r>
        <w:rPr>
          <w:rFonts w:hint="eastAsia"/>
          <w:highlight w:val="none"/>
          <w:lang w:val="en-US" w:eastAsia="zh-CN"/>
        </w:rPr>
        <w:t>符合表4的规定，</w:t>
      </w:r>
      <w:r>
        <w:rPr>
          <w:rFonts w:hint="eastAsia"/>
          <w:highlight w:val="none"/>
        </w:rPr>
        <w:t>φ150</w:t>
      </w:r>
      <w:r>
        <w:rPr>
          <w:rFonts w:hint="eastAsia"/>
          <w:highlight w:val="none"/>
          <w:vertAlign w:val="subscript"/>
        </w:rPr>
        <w:t xml:space="preserve"> </w:t>
      </w:r>
      <w:r>
        <w:rPr>
          <w:rFonts w:hint="eastAsia"/>
          <w:highlight w:val="none"/>
        </w:rPr>
        <w:t>mm砷化镓衬底切口的取向、深度和开角符合表</w:t>
      </w:r>
      <w:r>
        <w:rPr>
          <w:rFonts w:hint="eastAsia"/>
          <w:highlight w:val="none"/>
          <w:lang w:val="en-US" w:eastAsia="zh-CN"/>
        </w:rPr>
        <w:t>5的规定</w:t>
      </w:r>
      <w:r>
        <w:rPr>
          <w:rFonts w:hint="eastAsia"/>
          <w:highlight w:val="none"/>
        </w:rPr>
        <w:t>。</w:t>
      </w:r>
    </w:p>
    <w:p w14:paraId="16B191BD">
      <w:pPr>
        <w:pStyle w:val="112"/>
        <w:spacing w:before="156" w:after="156"/>
      </w:pPr>
      <w:r>
        <w:rPr>
          <w:rFonts w:hint="eastAsia"/>
          <w:highlight w:val="none"/>
        </w:rPr>
        <w:t>砷化镓衬底参考面的取向、形状和长度</w:t>
      </w:r>
    </w:p>
    <w:p w14:paraId="6561B2CB">
      <w:pPr>
        <w:pStyle w:val="56"/>
        <w:ind w:firstLine="360"/>
        <w:jc w:val="both"/>
        <w:rPr>
          <w:rFonts w:hint="default" w:eastAsia="宋体"/>
          <w:sz w:val="18"/>
          <w:highlight w:val="none"/>
          <w:lang w:val="en-US" w:eastAsia="zh-CN"/>
        </w:rPr>
      </w:pPr>
      <w:r>
        <w:rPr>
          <w:sz w:val="18"/>
          <w:highlight w:val="none"/>
        </w:rPr>
        <w:t>单位</w:t>
      </w:r>
      <w:r>
        <w:rPr>
          <w:rFonts w:hint="eastAsia"/>
          <w:sz w:val="18"/>
          <w:highlight w:val="none"/>
          <w:lang w:eastAsia="zh-CN"/>
        </w:rPr>
        <w:t>：</w:t>
      </w:r>
      <w:r>
        <w:rPr>
          <w:rFonts w:hint="eastAsia"/>
          <w:sz w:val="18"/>
          <w:highlight w:val="none"/>
          <w:lang w:val="en-US" w:eastAsia="zh-CN"/>
        </w:rPr>
        <w:t>mm</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701"/>
        <w:gridCol w:w="1701"/>
        <w:gridCol w:w="1843"/>
        <w:gridCol w:w="3390"/>
      </w:tblGrid>
      <w:tr w14:paraId="62040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4" w:space="0"/>
            </w:tcBorders>
            <w:shd w:val="clear" w:color="auto" w:fill="auto"/>
            <w:vAlign w:val="center"/>
          </w:tcPr>
          <w:p w14:paraId="19B47FBA">
            <w:pPr>
              <w:pStyle w:val="178"/>
              <w:rPr>
                <w:highlight w:val="none"/>
              </w:rPr>
            </w:pPr>
            <w:r>
              <w:rPr>
                <w:rFonts w:hint="eastAsia"/>
                <w:highlight w:val="none"/>
              </w:rPr>
              <w:t>序号</w:t>
            </w:r>
          </w:p>
        </w:tc>
        <w:tc>
          <w:tcPr>
            <w:tcW w:w="1701" w:type="dxa"/>
            <w:tcBorders>
              <w:top w:val="single" w:color="auto" w:sz="8" w:space="0"/>
              <w:bottom w:val="single" w:color="auto" w:sz="4" w:space="0"/>
            </w:tcBorders>
            <w:shd w:val="clear" w:color="auto" w:fill="auto"/>
            <w:vAlign w:val="center"/>
          </w:tcPr>
          <w:p w14:paraId="0C3F9FCA">
            <w:pPr>
              <w:pStyle w:val="178"/>
              <w:rPr>
                <w:highlight w:val="none"/>
              </w:rPr>
            </w:pPr>
            <w:r>
              <w:rPr>
                <w:rFonts w:hint="eastAsia"/>
                <w:highlight w:val="none"/>
              </w:rPr>
              <w:t>参数项目</w:t>
            </w:r>
          </w:p>
        </w:tc>
        <w:tc>
          <w:tcPr>
            <w:tcW w:w="1701" w:type="dxa"/>
            <w:tcBorders>
              <w:top w:val="single" w:color="auto" w:sz="8" w:space="0"/>
              <w:bottom w:val="single" w:color="auto" w:sz="4" w:space="0"/>
            </w:tcBorders>
            <w:shd w:val="clear" w:color="auto" w:fill="auto"/>
            <w:vAlign w:val="center"/>
          </w:tcPr>
          <w:p w14:paraId="7858496B">
            <w:pPr>
              <w:pStyle w:val="178"/>
              <w:rPr>
                <w:highlight w:val="none"/>
              </w:rPr>
            </w:pPr>
            <w:r>
              <w:rPr>
                <w:rFonts w:hint="eastAsia"/>
                <w:highlight w:val="none"/>
              </w:rPr>
              <w:t>参考面选择</w:t>
            </w:r>
          </w:p>
        </w:tc>
        <w:tc>
          <w:tcPr>
            <w:tcW w:w="1843" w:type="dxa"/>
            <w:tcBorders>
              <w:top w:val="single" w:color="auto" w:sz="8" w:space="0"/>
              <w:bottom w:val="single" w:color="auto" w:sz="4" w:space="0"/>
            </w:tcBorders>
            <w:shd w:val="clear" w:color="auto" w:fill="auto"/>
            <w:vAlign w:val="center"/>
          </w:tcPr>
          <w:p w14:paraId="5A81173F">
            <w:pPr>
              <w:pStyle w:val="178"/>
              <w:rPr>
                <w:highlight w:val="none"/>
              </w:rPr>
            </w:pPr>
            <w:r>
              <w:rPr>
                <w:rFonts w:hint="eastAsia" w:hAnsi="宋体" w:cs="宋体"/>
                <w:szCs w:val="18"/>
                <w:highlight w:val="none"/>
                <w:lang w:bidi="ar"/>
              </w:rPr>
              <w:t>规格</w:t>
            </w:r>
          </w:p>
        </w:tc>
        <w:tc>
          <w:tcPr>
            <w:tcW w:w="3390" w:type="dxa"/>
            <w:tcBorders>
              <w:top w:val="single" w:color="auto" w:sz="8" w:space="0"/>
              <w:bottom w:val="single" w:color="auto" w:sz="4" w:space="0"/>
            </w:tcBorders>
            <w:shd w:val="clear" w:color="auto" w:fill="auto"/>
            <w:vAlign w:val="center"/>
          </w:tcPr>
          <w:p w14:paraId="5554D97E">
            <w:pPr>
              <w:pStyle w:val="178"/>
              <w:rPr>
                <w:highlight w:val="none"/>
              </w:rPr>
            </w:pPr>
            <w:r>
              <w:rPr>
                <w:rFonts w:hint="eastAsia"/>
                <w:highlight w:val="none"/>
              </w:rPr>
              <w:t>要求</w:t>
            </w:r>
          </w:p>
        </w:tc>
      </w:tr>
      <w:tr w14:paraId="7132C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tcBorders>
              <w:top w:val="single" w:color="auto" w:sz="8" w:space="0"/>
            </w:tcBorders>
            <w:shd w:val="clear" w:color="auto" w:fill="auto"/>
            <w:vAlign w:val="center"/>
          </w:tcPr>
          <w:p w14:paraId="5C01A3FE">
            <w:pPr>
              <w:pStyle w:val="178"/>
              <w:rPr>
                <w:highlight w:val="none"/>
              </w:rPr>
            </w:pPr>
            <w:r>
              <w:rPr>
                <w:rFonts w:hint="eastAsia"/>
                <w:highlight w:val="none"/>
              </w:rPr>
              <w:t>1</w:t>
            </w:r>
          </w:p>
        </w:tc>
        <w:tc>
          <w:tcPr>
            <w:tcW w:w="1701" w:type="dxa"/>
            <w:vMerge w:val="restart"/>
            <w:tcBorders>
              <w:top w:val="single" w:color="auto" w:sz="8" w:space="0"/>
            </w:tcBorders>
            <w:shd w:val="clear" w:color="auto" w:fill="auto"/>
            <w:vAlign w:val="center"/>
          </w:tcPr>
          <w:p w14:paraId="42D91EFD">
            <w:pPr>
              <w:pStyle w:val="178"/>
              <w:rPr>
                <w:highlight w:val="none"/>
              </w:rPr>
            </w:pPr>
            <w:r>
              <w:rPr>
                <w:rFonts w:hint="eastAsia" w:hAnsi="宋体" w:cs="宋体"/>
                <w:szCs w:val="18"/>
                <w:highlight w:val="none"/>
                <w:lang w:bidi="ar"/>
              </w:rPr>
              <w:t>主参考面取向</w:t>
            </w:r>
          </w:p>
        </w:tc>
        <w:tc>
          <w:tcPr>
            <w:tcW w:w="1701" w:type="dxa"/>
            <w:tcBorders>
              <w:top w:val="single" w:color="auto" w:sz="8" w:space="0"/>
            </w:tcBorders>
            <w:shd w:val="clear" w:color="auto" w:fill="auto"/>
            <w:vAlign w:val="center"/>
          </w:tcPr>
          <w:p w14:paraId="78F01ADB">
            <w:pPr>
              <w:pStyle w:val="178"/>
              <w:rPr>
                <w:highlight w:val="none"/>
              </w:rPr>
            </w:pPr>
            <w:r>
              <w:rPr>
                <w:rFonts w:hint="eastAsia" w:hAnsi="宋体" w:cs="宋体"/>
                <w:szCs w:val="18"/>
                <w:highlight w:val="none"/>
                <w:lang w:bidi="ar"/>
              </w:rPr>
              <w:t>V型槽</w:t>
            </w:r>
          </w:p>
        </w:tc>
        <w:tc>
          <w:tcPr>
            <w:tcW w:w="1843" w:type="dxa"/>
            <w:tcBorders>
              <w:top w:val="single" w:color="auto" w:sz="8" w:space="0"/>
            </w:tcBorders>
            <w:shd w:val="clear" w:color="auto" w:fill="auto"/>
            <w:vAlign w:val="center"/>
          </w:tcPr>
          <w:p w14:paraId="7BFBF4C0">
            <w:pPr>
              <w:pStyle w:val="178"/>
              <w:rPr>
                <w:highlight w:val="none"/>
              </w:rPr>
            </w:pPr>
            <w:r>
              <w:rPr>
                <w:rFonts w:hint="eastAsia"/>
                <w:highlight w:val="none"/>
              </w:rPr>
              <w:t>-</w:t>
            </w:r>
          </w:p>
        </w:tc>
        <w:tc>
          <w:tcPr>
            <w:tcW w:w="3390" w:type="dxa"/>
            <w:tcBorders>
              <w:top w:val="single" w:color="auto" w:sz="8" w:space="0"/>
            </w:tcBorders>
            <w:shd w:val="clear" w:color="auto" w:fill="auto"/>
            <w:vAlign w:val="center"/>
          </w:tcPr>
          <w:p w14:paraId="53981469">
            <w:pPr>
              <w:widowControl/>
              <w:snapToGrid w:val="0"/>
              <w:spacing w:line="240" w:lineRule="auto"/>
              <w:jc w:val="center"/>
              <w:textAlignment w:val="center"/>
              <w:rPr>
                <w:rFonts w:ascii="宋体" w:hAnsi="宋体" w:cs="宋体"/>
                <w:kern w:val="0"/>
                <w:sz w:val="18"/>
                <w:szCs w:val="18"/>
                <w:highlight w:val="none"/>
                <w:lang w:bidi="ar"/>
              </w:rPr>
            </w:pPr>
            <w:r>
              <w:rPr>
                <w:rFonts w:hint="eastAsia" w:ascii="宋体" w:hAnsi="宋体"/>
                <w:sz w:val="18"/>
                <w:szCs w:val="18"/>
                <w:highlight w:val="none"/>
              </w:rPr>
              <w:t>[01</w:t>
            </w:r>
            <w:r>
              <w:rPr>
                <w:rFonts w:hint="eastAsia" w:ascii="宋体" w:hAnsi="宋体"/>
                <w:sz w:val="18"/>
                <w:szCs w:val="18"/>
                <w:highlight w:val="none"/>
              </w:rPr>
              <w:fldChar w:fldCharType="begin"/>
            </w:r>
            <w:r>
              <w:rPr>
                <w:rFonts w:hint="eastAsia" w:ascii="宋体" w:hAnsi="宋体"/>
                <w:sz w:val="18"/>
                <w:szCs w:val="18"/>
                <w:highlight w:val="none"/>
              </w:rPr>
              <w:instrText xml:space="preserve">EQ \* jc0 \* hps9 \o(\s\up 8(-),1)</w:instrText>
            </w:r>
            <w:r>
              <w:rPr>
                <w:rFonts w:hint="eastAsia" w:ascii="宋体" w:hAnsi="宋体"/>
                <w:sz w:val="18"/>
                <w:szCs w:val="18"/>
                <w:highlight w:val="none"/>
              </w:rPr>
              <w:fldChar w:fldCharType="end"/>
            </w:r>
            <w:r>
              <w:rPr>
                <w:rFonts w:hint="eastAsia" w:ascii="宋体" w:hAnsi="宋体"/>
                <w:sz w:val="18"/>
                <w:szCs w:val="18"/>
                <w:highlight w:val="none"/>
              </w:rPr>
              <w:t>]</w:t>
            </w:r>
            <w:r>
              <w:rPr>
                <w:rFonts w:hint="eastAsia" w:ascii="宋体" w:hAnsi="宋体" w:cs="宋体"/>
                <w:kern w:val="0"/>
                <w:sz w:val="18"/>
                <w:szCs w:val="18"/>
                <w:highlight w:val="none"/>
                <w:lang w:bidi="ar"/>
              </w:rPr>
              <w:t>±0.5°属于1个砷面，</w:t>
            </w:r>
          </w:p>
          <w:p w14:paraId="1E2F4374">
            <w:pPr>
              <w:pStyle w:val="178"/>
              <w:rPr>
                <w:highlight w:val="none"/>
              </w:rPr>
            </w:pPr>
            <w:r>
              <w:rPr>
                <w:rFonts w:hint="eastAsia" w:hAnsi="宋体" w:cs="宋体"/>
                <w:szCs w:val="18"/>
                <w:highlight w:val="none"/>
                <w:lang w:bidi="ar"/>
              </w:rPr>
              <w:t>主参考面垂直于V型槽</w:t>
            </w:r>
          </w:p>
        </w:tc>
      </w:tr>
      <w:tr w14:paraId="121ED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5D872C6">
            <w:pPr>
              <w:pStyle w:val="178"/>
              <w:rPr>
                <w:highlight w:val="none"/>
              </w:rPr>
            </w:pPr>
          </w:p>
        </w:tc>
        <w:tc>
          <w:tcPr>
            <w:tcW w:w="1701" w:type="dxa"/>
            <w:vMerge w:val="continue"/>
            <w:shd w:val="clear" w:color="auto" w:fill="auto"/>
            <w:vAlign w:val="center"/>
          </w:tcPr>
          <w:p w14:paraId="7D6EC365">
            <w:pPr>
              <w:pStyle w:val="178"/>
              <w:rPr>
                <w:highlight w:val="none"/>
              </w:rPr>
            </w:pPr>
          </w:p>
        </w:tc>
        <w:tc>
          <w:tcPr>
            <w:tcW w:w="1701" w:type="dxa"/>
            <w:shd w:val="clear" w:color="auto" w:fill="auto"/>
            <w:vAlign w:val="center"/>
          </w:tcPr>
          <w:p w14:paraId="5C1E1095">
            <w:pPr>
              <w:pStyle w:val="178"/>
              <w:rPr>
                <w:highlight w:val="none"/>
              </w:rPr>
            </w:pPr>
            <w:r>
              <w:rPr>
                <w:rFonts w:hint="eastAsia" w:hAnsi="宋体" w:cs="宋体"/>
                <w:szCs w:val="18"/>
                <w:highlight w:val="none"/>
                <w:lang w:bidi="ar"/>
              </w:rPr>
              <w:t>燕尾槽</w:t>
            </w:r>
          </w:p>
        </w:tc>
        <w:tc>
          <w:tcPr>
            <w:tcW w:w="1843" w:type="dxa"/>
            <w:shd w:val="clear" w:color="auto" w:fill="auto"/>
            <w:vAlign w:val="center"/>
          </w:tcPr>
          <w:p w14:paraId="04836756">
            <w:pPr>
              <w:pStyle w:val="178"/>
              <w:rPr>
                <w:highlight w:val="none"/>
              </w:rPr>
            </w:pPr>
            <w:r>
              <w:rPr>
                <w:rFonts w:hint="eastAsia"/>
                <w:highlight w:val="none"/>
              </w:rPr>
              <w:t>-</w:t>
            </w:r>
          </w:p>
        </w:tc>
        <w:tc>
          <w:tcPr>
            <w:tcW w:w="3390" w:type="dxa"/>
            <w:shd w:val="clear" w:color="auto" w:fill="auto"/>
            <w:vAlign w:val="center"/>
          </w:tcPr>
          <w:p w14:paraId="655F78CC">
            <w:pPr>
              <w:widowControl/>
              <w:snapToGrid w:val="0"/>
              <w:spacing w:line="240" w:lineRule="auto"/>
              <w:jc w:val="center"/>
              <w:textAlignment w:val="center"/>
              <w:rPr>
                <w:rFonts w:ascii="宋体" w:hAnsi="宋体" w:cs="宋体"/>
                <w:kern w:val="0"/>
                <w:sz w:val="18"/>
                <w:szCs w:val="18"/>
                <w:highlight w:val="none"/>
                <w:lang w:bidi="ar"/>
              </w:rPr>
            </w:pPr>
            <w:r>
              <w:rPr>
                <w:rFonts w:hint="eastAsia" w:ascii="宋体" w:hAnsi="宋体"/>
                <w:sz w:val="18"/>
                <w:szCs w:val="18"/>
                <w:highlight w:val="none"/>
              </w:rPr>
              <w:t>[0</w:t>
            </w:r>
            <w:r>
              <w:rPr>
                <w:rFonts w:hint="eastAsia" w:ascii="宋体" w:hAnsi="宋体"/>
                <w:sz w:val="18"/>
                <w:szCs w:val="18"/>
                <w:highlight w:val="none"/>
              </w:rPr>
              <w:fldChar w:fldCharType="begin"/>
            </w:r>
            <w:r>
              <w:rPr>
                <w:rFonts w:hint="eastAsia" w:ascii="宋体" w:hAnsi="宋体"/>
                <w:sz w:val="18"/>
                <w:szCs w:val="18"/>
                <w:highlight w:val="none"/>
              </w:rPr>
              <w:instrText xml:space="preserve">EQ \* jc0 \* hps9 \o(\s\up 8(-),1)</w:instrText>
            </w:r>
            <w:r>
              <w:rPr>
                <w:rFonts w:hint="eastAsia" w:ascii="宋体" w:hAnsi="宋体"/>
                <w:sz w:val="18"/>
                <w:szCs w:val="18"/>
                <w:highlight w:val="none"/>
              </w:rPr>
              <w:fldChar w:fldCharType="end"/>
            </w:r>
            <w:r>
              <w:rPr>
                <w:rFonts w:hint="eastAsia" w:ascii="宋体" w:hAnsi="宋体"/>
                <w:sz w:val="18"/>
                <w:szCs w:val="18"/>
                <w:highlight w:val="none"/>
              </w:rPr>
              <w:fldChar w:fldCharType="begin"/>
            </w:r>
            <w:r>
              <w:rPr>
                <w:rFonts w:hint="eastAsia" w:ascii="宋体" w:hAnsi="宋体"/>
                <w:sz w:val="18"/>
                <w:szCs w:val="18"/>
                <w:highlight w:val="none"/>
              </w:rPr>
              <w:instrText xml:space="preserve">EQ \* jc0 \* hps9 \o(\s\up 8(-),1)</w:instrText>
            </w:r>
            <w:r>
              <w:rPr>
                <w:rFonts w:hint="eastAsia" w:ascii="宋体" w:hAnsi="宋体"/>
                <w:sz w:val="18"/>
                <w:szCs w:val="18"/>
                <w:highlight w:val="none"/>
              </w:rPr>
              <w:fldChar w:fldCharType="end"/>
            </w:r>
            <w:r>
              <w:rPr>
                <w:rFonts w:hint="eastAsia" w:ascii="宋体" w:hAnsi="宋体"/>
                <w:sz w:val="18"/>
                <w:szCs w:val="18"/>
                <w:highlight w:val="none"/>
              </w:rPr>
              <w:t>]</w:t>
            </w:r>
            <w:r>
              <w:rPr>
                <w:rFonts w:hint="eastAsia" w:ascii="宋体" w:hAnsi="宋体" w:cs="宋体"/>
                <w:kern w:val="0"/>
                <w:sz w:val="18"/>
                <w:szCs w:val="18"/>
                <w:highlight w:val="none"/>
                <w:lang w:bidi="ar"/>
              </w:rPr>
              <w:t>±0.5°属于1个镓面，</w:t>
            </w:r>
          </w:p>
          <w:p w14:paraId="1E5C2E0B">
            <w:pPr>
              <w:pStyle w:val="178"/>
              <w:rPr>
                <w:highlight w:val="none"/>
              </w:rPr>
            </w:pPr>
            <w:r>
              <w:rPr>
                <w:rFonts w:hint="eastAsia" w:hAnsi="宋体" w:cs="宋体"/>
                <w:szCs w:val="18"/>
                <w:highlight w:val="none"/>
                <w:lang w:bidi="ar"/>
              </w:rPr>
              <w:t>主参考面垂直于燕尾槽</w:t>
            </w:r>
          </w:p>
        </w:tc>
      </w:tr>
      <w:tr w14:paraId="3BA54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28E7857E">
            <w:pPr>
              <w:pStyle w:val="178"/>
              <w:rPr>
                <w:rFonts w:hAnsi="宋体" w:cs="宋体"/>
                <w:szCs w:val="18"/>
                <w:highlight w:val="none"/>
                <w:lang w:bidi="ar"/>
              </w:rPr>
            </w:pPr>
            <w:r>
              <w:rPr>
                <w:rFonts w:hint="eastAsia" w:hAnsi="宋体" w:cs="宋体"/>
                <w:szCs w:val="18"/>
                <w:highlight w:val="none"/>
                <w:lang w:bidi="ar"/>
              </w:rPr>
              <w:t>2</w:t>
            </w:r>
          </w:p>
        </w:tc>
        <w:tc>
          <w:tcPr>
            <w:tcW w:w="1701" w:type="dxa"/>
            <w:vMerge w:val="restart"/>
            <w:shd w:val="clear" w:color="auto" w:fill="auto"/>
            <w:vAlign w:val="center"/>
          </w:tcPr>
          <w:p w14:paraId="40FF9566">
            <w:pPr>
              <w:pStyle w:val="178"/>
              <w:rPr>
                <w:rFonts w:hAnsi="宋体" w:cs="宋体"/>
                <w:szCs w:val="18"/>
                <w:highlight w:val="none"/>
                <w:lang w:bidi="ar"/>
              </w:rPr>
            </w:pPr>
            <w:r>
              <w:rPr>
                <w:rFonts w:hint="eastAsia" w:hAnsi="宋体" w:cs="宋体"/>
                <w:szCs w:val="18"/>
                <w:highlight w:val="none"/>
                <w:lang w:bidi="ar"/>
              </w:rPr>
              <w:t>副参考面取向</w:t>
            </w:r>
          </w:p>
        </w:tc>
        <w:tc>
          <w:tcPr>
            <w:tcW w:w="1701" w:type="dxa"/>
            <w:shd w:val="clear" w:color="auto" w:fill="auto"/>
            <w:vAlign w:val="center"/>
          </w:tcPr>
          <w:p w14:paraId="25649A12">
            <w:pPr>
              <w:pStyle w:val="178"/>
              <w:rPr>
                <w:rFonts w:hAnsi="宋体" w:cs="宋体"/>
                <w:szCs w:val="18"/>
                <w:highlight w:val="none"/>
                <w:lang w:bidi="ar"/>
              </w:rPr>
            </w:pPr>
            <w:r>
              <w:rPr>
                <w:rFonts w:hint="eastAsia" w:hAnsi="宋体" w:cs="宋体"/>
                <w:szCs w:val="18"/>
                <w:highlight w:val="none"/>
                <w:lang w:bidi="ar"/>
              </w:rPr>
              <w:t>V型槽</w:t>
            </w:r>
          </w:p>
        </w:tc>
        <w:tc>
          <w:tcPr>
            <w:tcW w:w="1843" w:type="dxa"/>
            <w:shd w:val="clear" w:color="auto" w:fill="auto"/>
            <w:vAlign w:val="center"/>
          </w:tcPr>
          <w:p w14:paraId="781FD22E">
            <w:pPr>
              <w:pStyle w:val="178"/>
              <w:rPr>
                <w:rFonts w:hAnsi="宋体" w:cs="宋体"/>
                <w:szCs w:val="18"/>
                <w:highlight w:val="none"/>
                <w:lang w:bidi="ar"/>
              </w:rPr>
            </w:pPr>
            <w:r>
              <w:rPr>
                <w:rFonts w:hint="eastAsia" w:hAnsi="宋体" w:cs="宋体"/>
                <w:szCs w:val="18"/>
                <w:highlight w:val="none"/>
                <w:lang w:bidi="ar"/>
              </w:rPr>
              <w:t>-</w:t>
            </w:r>
          </w:p>
        </w:tc>
        <w:tc>
          <w:tcPr>
            <w:tcW w:w="3390" w:type="dxa"/>
            <w:shd w:val="clear" w:color="auto" w:fill="auto"/>
            <w:vAlign w:val="center"/>
          </w:tcPr>
          <w:p w14:paraId="4124DE6A">
            <w:pPr>
              <w:pStyle w:val="178"/>
              <w:rPr>
                <w:rFonts w:hAnsi="宋体" w:cs="宋体"/>
                <w:szCs w:val="18"/>
                <w:highlight w:val="none"/>
                <w:lang w:bidi="ar"/>
              </w:rPr>
            </w:pPr>
            <w:r>
              <w:rPr>
                <w:rFonts w:hint="eastAsia" w:hAnsi="宋体" w:cs="宋体"/>
                <w:szCs w:val="18"/>
                <w:highlight w:val="none"/>
                <w:lang w:bidi="ar"/>
              </w:rPr>
              <w:t>[011]±0.5°</w:t>
            </w:r>
          </w:p>
        </w:tc>
      </w:tr>
      <w:tr w14:paraId="2B98F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BAE79FB">
            <w:pPr>
              <w:pStyle w:val="178"/>
              <w:rPr>
                <w:rFonts w:hAnsi="宋体" w:cs="宋体"/>
                <w:szCs w:val="18"/>
                <w:highlight w:val="none"/>
                <w:lang w:bidi="ar"/>
              </w:rPr>
            </w:pPr>
          </w:p>
        </w:tc>
        <w:tc>
          <w:tcPr>
            <w:tcW w:w="1701" w:type="dxa"/>
            <w:vMerge w:val="continue"/>
            <w:shd w:val="clear" w:color="auto" w:fill="auto"/>
            <w:vAlign w:val="center"/>
          </w:tcPr>
          <w:p w14:paraId="25D6F098">
            <w:pPr>
              <w:pStyle w:val="178"/>
              <w:rPr>
                <w:rFonts w:hAnsi="宋体" w:cs="宋体"/>
                <w:szCs w:val="18"/>
                <w:highlight w:val="none"/>
                <w:lang w:bidi="ar"/>
              </w:rPr>
            </w:pPr>
          </w:p>
        </w:tc>
        <w:tc>
          <w:tcPr>
            <w:tcW w:w="1701" w:type="dxa"/>
            <w:shd w:val="clear" w:color="auto" w:fill="auto"/>
            <w:vAlign w:val="center"/>
          </w:tcPr>
          <w:p w14:paraId="38BDC146">
            <w:pPr>
              <w:pStyle w:val="178"/>
              <w:rPr>
                <w:rFonts w:hAnsi="宋体" w:cs="宋体"/>
                <w:szCs w:val="18"/>
                <w:highlight w:val="none"/>
                <w:lang w:bidi="ar"/>
              </w:rPr>
            </w:pPr>
            <w:r>
              <w:rPr>
                <w:rFonts w:hint="eastAsia" w:hAnsi="宋体" w:cs="宋体"/>
                <w:szCs w:val="18"/>
                <w:highlight w:val="none"/>
                <w:lang w:bidi="ar"/>
              </w:rPr>
              <w:t>燕尾槽</w:t>
            </w:r>
          </w:p>
        </w:tc>
        <w:tc>
          <w:tcPr>
            <w:tcW w:w="1843" w:type="dxa"/>
            <w:shd w:val="clear" w:color="auto" w:fill="auto"/>
            <w:vAlign w:val="center"/>
          </w:tcPr>
          <w:p w14:paraId="21B3404E">
            <w:pPr>
              <w:pStyle w:val="178"/>
              <w:rPr>
                <w:rFonts w:hAnsi="宋体" w:cs="宋体"/>
                <w:szCs w:val="18"/>
                <w:highlight w:val="none"/>
                <w:lang w:bidi="ar"/>
              </w:rPr>
            </w:pPr>
            <w:r>
              <w:rPr>
                <w:rFonts w:hint="eastAsia" w:hAnsi="宋体" w:cs="宋体"/>
                <w:szCs w:val="18"/>
                <w:highlight w:val="none"/>
                <w:lang w:bidi="ar"/>
              </w:rPr>
              <w:t>-</w:t>
            </w:r>
          </w:p>
        </w:tc>
        <w:tc>
          <w:tcPr>
            <w:tcW w:w="3390" w:type="dxa"/>
            <w:shd w:val="clear" w:color="auto" w:fill="auto"/>
            <w:vAlign w:val="center"/>
          </w:tcPr>
          <w:p w14:paraId="20CF7E23">
            <w:pPr>
              <w:pStyle w:val="178"/>
              <w:rPr>
                <w:rFonts w:hAnsi="宋体" w:cs="宋体"/>
                <w:szCs w:val="18"/>
                <w:highlight w:val="none"/>
                <w:lang w:bidi="ar"/>
              </w:rPr>
            </w:pPr>
            <w:r>
              <w:rPr>
                <w:rFonts w:hint="eastAsia" w:hAnsi="宋体" w:cs="宋体"/>
                <w:szCs w:val="18"/>
                <w:highlight w:val="none"/>
                <w:lang w:bidi="ar"/>
              </w:rPr>
              <w:t>[01</w:t>
            </w:r>
            <w:r>
              <w:rPr>
                <w:rFonts w:hint="eastAsia" w:hAnsi="宋体"/>
                <w:szCs w:val="18"/>
                <w:highlight w:val="none"/>
                <w:lang w:bidi="ar"/>
              </w:rPr>
              <w:fldChar w:fldCharType="begin"/>
            </w:r>
            <w:r>
              <w:rPr>
                <w:rFonts w:hint="eastAsia" w:hAnsi="宋体"/>
                <w:szCs w:val="18"/>
                <w:highlight w:val="none"/>
                <w:lang w:bidi="ar"/>
              </w:rPr>
              <w:instrText xml:space="preserve">EQ \* jc0 \* hps9 \o(\s\up 8(</w:instrText>
            </w:r>
            <w:r>
              <w:rPr>
                <w:rFonts w:hint="eastAsia" w:hAnsi="宋体" w:cs="宋体"/>
                <w:szCs w:val="18"/>
                <w:highlight w:val="none"/>
                <w:lang w:bidi="ar"/>
              </w:rPr>
              <w:instrText xml:space="preserve">-</w:instrText>
            </w:r>
            <w:r>
              <w:rPr>
                <w:rFonts w:hint="eastAsia" w:hAnsi="宋体"/>
                <w:szCs w:val="18"/>
                <w:highlight w:val="none"/>
                <w:lang w:bidi="ar"/>
              </w:rPr>
              <w:instrText xml:space="preserve">),</w:instrText>
            </w:r>
            <w:r>
              <w:rPr>
                <w:rFonts w:hint="eastAsia" w:hAnsi="宋体" w:cs="宋体"/>
                <w:szCs w:val="18"/>
                <w:highlight w:val="none"/>
                <w:lang w:bidi="ar"/>
              </w:rPr>
              <w:instrText xml:space="preserve">1</w:instrText>
            </w:r>
            <w:r>
              <w:rPr>
                <w:rFonts w:hint="eastAsia" w:hAnsi="宋体"/>
                <w:szCs w:val="18"/>
                <w:highlight w:val="none"/>
                <w:lang w:bidi="ar"/>
              </w:rPr>
              <w:instrText xml:space="preserve">)</w:instrText>
            </w:r>
            <w:r>
              <w:rPr>
                <w:rFonts w:hint="eastAsia" w:hAnsi="宋体"/>
                <w:szCs w:val="18"/>
                <w:highlight w:val="none"/>
                <w:lang w:bidi="ar"/>
              </w:rPr>
              <w:fldChar w:fldCharType="end"/>
            </w:r>
            <w:r>
              <w:rPr>
                <w:rFonts w:hint="eastAsia" w:hAnsi="宋体" w:cs="宋体"/>
                <w:szCs w:val="18"/>
                <w:highlight w:val="none"/>
                <w:lang w:bidi="ar"/>
              </w:rPr>
              <w:t>]±0.5°</w:t>
            </w:r>
          </w:p>
        </w:tc>
      </w:tr>
      <w:tr w14:paraId="0A8A4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DABB2B7">
            <w:pPr>
              <w:pStyle w:val="178"/>
              <w:rPr>
                <w:rFonts w:hint="eastAsia" w:hAnsi="宋体" w:eastAsia="宋体" w:cs="宋体"/>
                <w:szCs w:val="18"/>
                <w:highlight w:val="none"/>
                <w:lang w:val="en-US" w:eastAsia="zh-CN" w:bidi="ar"/>
              </w:rPr>
            </w:pPr>
            <w:r>
              <w:rPr>
                <w:rFonts w:hint="eastAsia" w:hAnsi="宋体" w:cs="宋体"/>
                <w:szCs w:val="18"/>
                <w:highlight w:val="none"/>
                <w:lang w:val="en-US" w:eastAsia="zh-CN" w:bidi="ar"/>
              </w:rPr>
              <w:t>3</w:t>
            </w:r>
          </w:p>
        </w:tc>
        <w:tc>
          <w:tcPr>
            <w:tcW w:w="1701" w:type="dxa"/>
            <w:shd w:val="clear" w:color="auto" w:fill="auto"/>
            <w:vAlign w:val="center"/>
          </w:tcPr>
          <w:p w14:paraId="0A1E5639">
            <w:pPr>
              <w:pStyle w:val="178"/>
              <w:rPr>
                <w:rFonts w:hint="default" w:hAnsi="宋体" w:eastAsia="宋体" w:cs="宋体"/>
                <w:szCs w:val="18"/>
                <w:highlight w:val="none"/>
                <w:lang w:val="en-US" w:eastAsia="zh-CN" w:bidi="ar"/>
              </w:rPr>
            </w:pPr>
            <w:r>
              <w:rPr>
                <w:rFonts w:hint="eastAsia" w:hAnsi="宋体" w:cs="宋体"/>
                <w:szCs w:val="18"/>
                <w:highlight w:val="none"/>
                <w:lang w:val="en-US" w:eastAsia="zh-CN" w:bidi="ar"/>
              </w:rPr>
              <w:t>主参考面长度</w:t>
            </w:r>
          </w:p>
        </w:tc>
        <w:tc>
          <w:tcPr>
            <w:tcW w:w="1701" w:type="dxa"/>
            <w:shd w:val="clear" w:color="auto" w:fill="auto"/>
            <w:vAlign w:val="center"/>
          </w:tcPr>
          <w:p w14:paraId="0944E389">
            <w:pPr>
              <w:pStyle w:val="178"/>
              <w:rPr>
                <w:rFonts w:hint="eastAsia" w:hAnsi="宋体" w:eastAsia="宋体" w:cs="宋体"/>
                <w:szCs w:val="18"/>
                <w:highlight w:val="none"/>
                <w:lang w:val="en-US" w:eastAsia="zh-CN" w:bidi="ar"/>
              </w:rPr>
            </w:pPr>
            <w:r>
              <w:rPr>
                <w:rFonts w:hint="eastAsia" w:hAnsi="宋体" w:cs="宋体"/>
                <w:szCs w:val="18"/>
                <w:highlight w:val="none"/>
                <w:lang w:val="en-US" w:eastAsia="zh-CN" w:bidi="ar"/>
              </w:rPr>
              <w:t>-</w:t>
            </w:r>
          </w:p>
        </w:tc>
        <w:tc>
          <w:tcPr>
            <w:tcW w:w="1843" w:type="dxa"/>
            <w:shd w:val="clear" w:color="auto" w:fill="auto"/>
            <w:vAlign w:val="center"/>
          </w:tcPr>
          <w:p w14:paraId="42426A28">
            <w:pPr>
              <w:pStyle w:val="178"/>
              <w:rPr>
                <w:rFonts w:hint="eastAsia" w:hAnsi="宋体" w:cs="宋体"/>
                <w:szCs w:val="18"/>
                <w:highlight w:val="none"/>
                <w:lang w:bidi="ar"/>
              </w:rPr>
            </w:pPr>
            <w:r>
              <w:rPr>
                <w:rFonts w:hint="eastAsia" w:hAnsi="宋体" w:cs="宋体"/>
                <w:szCs w:val="18"/>
                <w:highlight w:val="none"/>
              </w:rPr>
              <w:t>Ф</w:t>
            </w:r>
            <w:r>
              <w:rPr>
                <w:rFonts w:hint="eastAsia" w:hAnsi="宋体" w:cs="宋体"/>
                <w:szCs w:val="18"/>
                <w:highlight w:val="none"/>
                <w:lang w:bidi="ar"/>
              </w:rPr>
              <w:t>150.0</w:t>
            </w:r>
          </w:p>
        </w:tc>
        <w:tc>
          <w:tcPr>
            <w:tcW w:w="3390" w:type="dxa"/>
            <w:shd w:val="clear" w:color="auto" w:fill="auto"/>
            <w:vAlign w:val="center"/>
          </w:tcPr>
          <w:p w14:paraId="002DA5A7">
            <w:pPr>
              <w:pStyle w:val="178"/>
              <w:rPr>
                <w:rFonts w:hint="default" w:hAnsi="宋体" w:eastAsia="宋体" w:cs="宋体"/>
                <w:szCs w:val="18"/>
                <w:highlight w:val="none"/>
                <w:lang w:val="en-US" w:eastAsia="zh-CN" w:bidi="ar"/>
              </w:rPr>
            </w:pPr>
            <w:r>
              <w:rPr>
                <w:rFonts w:hint="eastAsia" w:hAnsi="宋体" w:cs="宋体"/>
                <w:szCs w:val="18"/>
                <w:highlight w:val="none"/>
                <w:lang w:val="en-US" w:eastAsia="zh-CN" w:bidi="ar"/>
              </w:rPr>
              <w:t>48±1</w:t>
            </w:r>
          </w:p>
        </w:tc>
      </w:tr>
      <w:tr w14:paraId="02E66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92F1479">
            <w:pPr>
              <w:pStyle w:val="178"/>
              <w:rPr>
                <w:rFonts w:hint="eastAsia" w:hAnsi="宋体" w:eastAsia="宋体" w:cs="宋体"/>
                <w:szCs w:val="18"/>
                <w:highlight w:val="none"/>
                <w:lang w:val="en-US" w:eastAsia="zh-CN" w:bidi="ar"/>
              </w:rPr>
            </w:pPr>
            <w:r>
              <w:rPr>
                <w:rFonts w:hint="eastAsia" w:hAnsi="宋体" w:cs="宋体"/>
                <w:szCs w:val="18"/>
                <w:highlight w:val="none"/>
                <w:lang w:val="en-US" w:eastAsia="zh-CN" w:bidi="ar"/>
              </w:rPr>
              <w:t>4</w:t>
            </w:r>
          </w:p>
        </w:tc>
        <w:tc>
          <w:tcPr>
            <w:tcW w:w="1701" w:type="dxa"/>
            <w:shd w:val="clear" w:color="auto" w:fill="auto"/>
            <w:vAlign w:val="center"/>
          </w:tcPr>
          <w:p w14:paraId="252F4AD0">
            <w:pPr>
              <w:pStyle w:val="178"/>
              <w:rPr>
                <w:rFonts w:hint="default" w:hAnsi="宋体" w:eastAsia="宋体" w:cs="宋体"/>
                <w:szCs w:val="18"/>
                <w:highlight w:val="none"/>
                <w:lang w:val="en-US" w:eastAsia="zh-CN" w:bidi="ar"/>
              </w:rPr>
            </w:pPr>
            <w:r>
              <w:rPr>
                <w:rFonts w:hint="eastAsia" w:hAnsi="宋体" w:cs="宋体"/>
                <w:szCs w:val="18"/>
                <w:highlight w:val="none"/>
                <w:lang w:val="en-US" w:eastAsia="zh-CN" w:bidi="ar"/>
              </w:rPr>
              <w:t>副参考面长度</w:t>
            </w:r>
          </w:p>
        </w:tc>
        <w:tc>
          <w:tcPr>
            <w:tcW w:w="1701" w:type="dxa"/>
            <w:shd w:val="clear" w:color="auto" w:fill="auto"/>
            <w:vAlign w:val="center"/>
          </w:tcPr>
          <w:p w14:paraId="439BC0CF">
            <w:pPr>
              <w:pStyle w:val="178"/>
              <w:rPr>
                <w:rFonts w:hint="eastAsia" w:hAnsi="宋体" w:eastAsia="宋体" w:cs="宋体"/>
                <w:szCs w:val="18"/>
                <w:highlight w:val="none"/>
                <w:lang w:val="en-US" w:eastAsia="zh-CN" w:bidi="ar"/>
              </w:rPr>
            </w:pPr>
            <w:r>
              <w:rPr>
                <w:rFonts w:hint="eastAsia" w:hAnsi="宋体" w:cs="宋体"/>
                <w:szCs w:val="18"/>
                <w:highlight w:val="none"/>
                <w:lang w:val="en-US" w:eastAsia="zh-CN" w:bidi="ar"/>
              </w:rPr>
              <w:t>-</w:t>
            </w:r>
          </w:p>
        </w:tc>
        <w:tc>
          <w:tcPr>
            <w:tcW w:w="1843" w:type="dxa"/>
            <w:shd w:val="clear" w:color="auto" w:fill="auto"/>
            <w:vAlign w:val="center"/>
          </w:tcPr>
          <w:p w14:paraId="12A2639F">
            <w:pPr>
              <w:pStyle w:val="178"/>
              <w:rPr>
                <w:rFonts w:hint="eastAsia" w:hAnsi="宋体" w:cs="宋体"/>
                <w:szCs w:val="18"/>
                <w:highlight w:val="none"/>
                <w:lang w:bidi="ar"/>
              </w:rPr>
            </w:pPr>
            <w:r>
              <w:rPr>
                <w:rFonts w:hint="eastAsia" w:hAnsi="宋体" w:cs="宋体"/>
                <w:szCs w:val="18"/>
                <w:highlight w:val="none"/>
              </w:rPr>
              <w:t>Ф</w:t>
            </w:r>
            <w:r>
              <w:rPr>
                <w:rFonts w:hint="eastAsia" w:hAnsi="宋体" w:cs="宋体"/>
                <w:szCs w:val="18"/>
                <w:highlight w:val="none"/>
                <w:lang w:bidi="ar"/>
              </w:rPr>
              <w:t>150.0</w:t>
            </w:r>
          </w:p>
        </w:tc>
        <w:tc>
          <w:tcPr>
            <w:tcW w:w="3390" w:type="dxa"/>
            <w:shd w:val="clear" w:color="auto" w:fill="auto"/>
            <w:vAlign w:val="center"/>
          </w:tcPr>
          <w:p w14:paraId="5F2BE2F0">
            <w:pPr>
              <w:pStyle w:val="178"/>
              <w:rPr>
                <w:rFonts w:hint="default" w:hAnsi="宋体" w:eastAsia="宋体" w:cs="宋体"/>
                <w:szCs w:val="18"/>
                <w:highlight w:val="none"/>
                <w:lang w:val="en-US" w:eastAsia="zh-CN" w:bidi="ar"/>
              </w:rPr>
            </w:pPr>
            <w:r>
              <w:rPr>
                <w:rFonts w:hint="eastAsia" w:hAnsi="宋体" w:cs="宋体"/>
                <w:szCs w:val="18"/>
                <w:highlight w:val="none"/>
                <w:lang w:val="en-US" w:eastAsia="zh-CN" w:bidi="ar"/>
              </w:rPr>
              <w:t>28±1 /（0））</w:t>
            </w:r>
          </w:p>
        </w:tc>
      </w:tr>
    </w:tbl>
    <w:p w14:paraId="5E821C9D">
      <w:pPr>
        <w:pStyle w:val="165"/>
        <w:numPr>
          <w:ilvl w:val="3"/>
          <w:numId w:val="0"/>
        </w:numPr>
        <w:ind w:leftChars="0"/>
        <w:rPr>
          <w:highlight w:val="none"/>
        </w:rPr>
      </w:pPr>
    </w:p>
    <w:p w14:paraId="470F31A2">
      <w:pPr>
        <w:pStyle w:val="112"/>
        <w:spacing w:before="156" w:after="156"/>
        <w:rPr>
          <w:highlight w:val="none"/>
        </w:rPr>
      </w:pPr>
      <w:r>
        <w:rPr>
          <w:rFonts w:hint="eastAsia"/>
          <w:highlight w:val="none"/>
        </w:rPr>
        <w:t>砷化镓衬底切口的取向、深度和开角</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1701"/>
        <w:gridCol w:w="1701"/>
        <w:gridCol w:w="4808"/>
      </w:tblGrid>
      <w:tr w14:paraId="466AC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tcBorders>
            <w:shd w:val="clear" w:color="auto" w:fill="auto"/>
            <w:vAlign w:val="center"/>
          </w:tcPr>
          <w:p w14:paraId="5FAACE9A">
            <w:pPr>
              <w:pStyle w:val="178"/>
              <w:rPr>
                <w:highlight w:val="none"/>
              </w:rPr>
            </w:pPr>
            <w:r>
              <w:rPr>
                <w:highlight w:val="none"/>
              </w:rPr>
              <w:t>序号</w:t>
            </w:r>
          </w:p>
        </w:tc>
        <w:tc>
          <w:tcPr>
            <w:tcW w:w="1701" w:type="dxa"/>
            <w:tcBorders>
              <w:top w:val="single" w:color="auto" w:sz="8" w:space="0"/>
            </w:tcBorders>
            <w:shd w:val="clear" w:color="auto" w:fill="auto"/>
            <w:vAlign w:val="center"/>
          </w:tcPr>
          <w:p w14:paraId="50B4D6F5">
            <w:pPr>
              <w:pStyle w:val="178"/>
              <w:rPr>
                <w:highlight w:val="none"/>
              </w:rPr>
            </w:pPr>
            <w:r>
              <w:rPr>
                <w:highlight w:val="none"/>
              </w:rPr>
              <w:t>项目</w:t>
            </w:r>
          </w:p>
        </w:tc>
        <w:tc>
          <w:tcPr>
            <w:tcW w:w="1701" w:type="dxa"/>
            <w:tcBorders>
              <w:top w:val="single" w:color="auto" w:sz="8" w:space="0"/>
            </w:tcBorders>
            <w:shd w:val="clear" w:color="auto" w:fill="auto"/>
            <w:vAlign w:val="center"/>
          </w:tcPr>
          <w:p w14:paraId="5F9E9D2F">
            <w:pPr>
              <w:pStyle w:val="178"/>
              <w:rPr>
                <w:highlight w:val="none"/>
              </w:rPr>
            </w:pPr>
            <w:r>
              <w:rPr>
                <w:rFonts w:hint="eastAsia" w:hAnsi="宋体" w:cs="宋体"/>
                <w:szCs w:val="18"/>
                <w:highlight w:val="none"/>
                <w:lang w:bidi="ar"/>
              </w:rPr>
              <w:t>规格</w:t>
            </w:r>
          </w:p>
        </w:tc>
        <w:tc>
          <w:tcPr>
            <w:tcW w:w="4808" w:type="dxa"/>
            <w:tcBorders>
              <w:top w:val="single" w:color="auto" w:sz="8" w:space="0"/>
              <w:bottom w:val="single" w:color="auto" w:sz="4" w:space="0"/>
            </w:tcBorders>
            <w:shd w:val="clear" w:color="auto" w:fill="auto"/>
            <w:vAlign w:val="center"/>
          </w:tcPr>
          <w:p w14:paraId="32637E67">
            <w:pPr>
              <w:pStyle w:val="178"/>
              <w:rPr>
                <w:highlight w:val="none"/>
              </w:rPr>
            </w:pPr>
            <w:r>
              <w:rPr>
                <w:highlight w:val="none"/>
              </w:rPr>
              <w:t>要求</w:t>
            </w:r>
          </w:p>
        </w:tc>
      </w:tr>
      <w:tr w14:paraId="5105D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124" w:type="dxa"/>
            <w:vMerge w:val="restart"/>
            <w:tcBorders>
              <w:top w:val="single" w:color="auto" w:sz="8" w:space="0"/>
            </w:tcBorders>
            <w:shd w:val="clear" w:color="auto" w:fill="auto"/>
            <w:vAlign w:val="center"/>
          </w:tcPr>
          <w:p w14:paraId="5B91E6AF">
            <w:pPr>
              <w:pStyle w:val="178"/>
              <w:rPr>
                <w:highlight w:val="none"/>
              </w:rPr>
            </w:pPr>
            <w:r>
              <w:rPr>
                <w:rFonts w:hint="eastAsia"/>
                <w:highlight w:val="none"/>
              </w:rPr>
              <w:t>1</w:t>
            </w:r>
          </w:p>
        </w:tc>
        <w:tc>
          <w:tcPr>
            <w:tcW w:w="1701" w:type="dxa"/>
            <w:vMerge w:val="restart"/>
            <w:tcBorders>
              <w:top w:val="single" w:color="auto" w:sz="8" w:space="0"/>
            </w:tcBorders>
            <w:shd w:val="clear" w:color="auto" w:fill="auto"/>
            <w:vAlign w:val="center"/>
          </w:tcPr>
          <w:p w14:paraId="13EDC95F">
            <w:pPr>
              <w:pStyle w:val="178"/>
              <w:rPr>
                <w:highlight w:val="none"/>
              </w:rPr>
            </w:pPr>
            <w:r>
              <w:rPr>
                <w:rFonts w:hint="eastAsia" w:hAnsi="宋体" w:cs="宋体"/>
                <w:szCs w:val="18"/>
                <w:highlight w:val="none"/>
              </w:rPr>
              <w:t>取向</w:t>
            </w:r>
          </w:p>
        </w:tc>
        <w:tc>
          <w:tcPr>
            <w:tcW w:w="1701" w:type="dxa"/>
            <w:vMerge w:val="restart"/>
            <w:tcBorders>
              <w:top w:val="single" w:color="auto" w:sz="8" w:space="0"/>
            </w:tcBorders>
            <w:shd w:val="clear" w:color="auto" w:fill="auto"/>
            <w:vAlign w:val="center"/>
          </w:tcPr>
          <w:p w14:paraId="6B30EF68">
            <w:pPr>
              <w:pStyle w:val="178"/>
              <w:rPr>
                <w:highlight w:val="green"/>
              </w:rPr>
            </w:pPr>
            <w:r>
              <w:rPr>
                <w:rFonts w:hint="eastAsia" w:hAnsi="宋体" w:cs="宋体"/>
                <w:szCs w:val="18"/>
                <w:highlight w:val="none"/>
              </w:rPr>
              <w:t>Ф</w:t>
            </w:r>
            <w:r>
              <w:rPr>
                <w:rFonts w:hint="eastAsia" w:hAnsi="宋体" w:cs="宋体"/>
                <w:szCs w:val="18"/>
                <w:highlight w:val="none"/>
                <w:lang w:bidi="ar"/>
              </w:rPr>
              <w:t>150.0</w:t>
            </w:r>
          </w:p>
        </w:tc>
        <w:tc>
          <w:tcPr>
            <w:tcW w:w="4808" w:type="dxa"/>
            <w:vMerge w:val="restart"/>
            <w:tcBorders>
              <w:top w:val="single" w:color="auto" w:sz="8" w:space="0"/>
            </w:tcBorders>
            <w:shd w:val="clear" w:color="auto" w:fill="auto"/>
            <w:vAlign w:val="center"/>
          </w:tcPr>
          <w:p w14:paraId="55515542">
            <w:pPr>
              <w:pStyle w:val="178"/>
              <w:rPr>
                <w:highlight w:val="none"/>
              </w:rPr>
            </w:pPr>
            <w:r>
              <w:rPr>
                <w:rFonts w:hint="eastAsia" w:hAnsi="宋体" w:cs="宋体"/>
                <w:szCs w:val="18"/>
                <w:highlight w:val="none"/>
              </w:rPr>
              <w:t>[010]±2°</w:t>
            </w:r>
          </w:p>
        </w:tc>
      </w:tr>
      <w:tr w14:paraId="0B38F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124" w:type="dxa"/>
            <w:vMerge w:val="restart"/>
            <w:shd w:val="clear" w:color="auto" w:fill="auto"/>
            <w:vAlign w:val="center"/>
          </w:tcPr>
          <w:p w14:paraId="274BCCD7">
            <w:pPr>
              <w:pStyle w:val="178"/>
              <w:rPr>
                <w:highlight w:val="none"/>
              </w:rPr>
            </w:pPr>
            <w:r>
              <w:rPr>
                <w:rFonts w:hint="eastAsia"/>
                <w:highlight w:val="none"/>
              </w:rPr>
              <w:t>2</w:t>
            </w:r>
          </w:p>
        </w:tc>
        <w:tc>
          <w:tcPr>
            <w:tcW w:w="1701" w:type="dxa"/>
            <w:vMerge w:val="restart"/>
            <w:shd w:val="clear" w:color="auto" w:fill="auto"/>
            <w:vAlign w:val="center"/>
          </w:tcPr>
          <w:p w14:paraId="764097AD">
            <w:pPr>
              <w:pStyle w:val="178"/>
              <w:rPr>
                <w:rFonts w:hint="eastAsia" w:hAnsi="宋体" w:cs="宋体"/>
                <w:szCs w:val="18"/>
                <w:highlight w:val="none"/>
                <w:lang w:val="en-US" w:eastAsia="zh-CN"/>
              </w:rPr>
            </w:pPr>
            <w:r>
              <w:rPr>
                <w:rFonts w:hint="eastAsia" w:hAnsi="宋体" w:cs="宋体"/>
                <w:szCs w:val="18"/>
                <w:highlight w:val="none"/>
              </w:rPr>
              <w:t>深度</w:t>
            </w:r>
            <w:r>
              <w:rPr>
                <w:rFonts w:hint="eastAsia" w:hAnsi="宋体" w:cs="宋体"/>
                <w:szCs w:val="18"/>
                <w:highlight w:val="none"/>
                <w:lang w:val="en-US" w:eastAsia="zh-CN"/>
              </w:rPr>
              <w:t xml:space="preserve"> </w:t>
            </w:r>
          </w:p>
          <w:p w14:paraId="6CEB4FD4">
            <w:pPr>
              <w:pStyle w:val="178"/>
              <w:rPr>
                <w:rFonts w:hAnsi="宋体" w:cs="宋体"/>
                <w:szCs w:val="18"/>
                <w:highlight w:val="none"/>
              </w:rPr>
            </w:pPr>
            <w:r>
              <w:rPr>
                <w:rFonts w:hint="eastAsia" w:hAnsi="宋体" w:cs="宋体"/>
                <w:szCs w:val="18"/>
                <w:highlight w:val="none"/>
                <w:lang w:val="en-US" w:eastAsia="zh-CN"/>
              </w:rPr>
              <w:t xml:space="preserve"> </w:t>
            </w:r>
            <w:r>
              <w:rPr>
                <w:rFonts w:hint="eastAsia" w:hAnsi="宋体" w:cs="宋体"/>
                <w:szCs w:val="18"/>
                <w:highlight w:val="none"/>
              </w:rPr>
              <w:t>mm</w:t>
            </w:r>
          </w:p>
        </w:tc>
        <w:tc>
          <w:tcPr>
            <w:tcW w:w="1701" w:type="dxa"/>
            <w:vMerge w:val="continue"/>
            <w:shd w:val="clear" w:color="auto" w:fill="auto"/>
            <w:vAlign w:val="center"/>
          </w:tcPr>
          <w:p w14:paraId="64520A2A">
            <w:pPr>
              <w:pStyle w:val="178"/>
              <w:rPr>
                <w:highlight w:val="none"/>
              </w:rPr>
            </w:pPr>
          </w:p>
        </w:tc>
        <w:tc>
          <w:tcPr>
            <w:tcW w:w="4808" w:type="dxa"/>
            <w:vMerge w:val="restart"/>
            <w:shd w:val="clear" w:color="auto" w:fill="auto"/>
            <w:vAlign w:val="center"/>
          </w:tcPr>
          <w:p w14:paraId="3465D945">
            <w:pPr>
              <w:pStyle w:val="178"/>
              <w:rPr>
                <w:rFonts w:hAnsi="宋体" w:cs="宋体"/>
                <w:szCs w:val="18"/>
                <w:highlight w:val="none"/>
              </w:rPr>
            </w:pPr>
            <w:r>
              <w:rPr>
                <w:rFonts w:hint="eastAsia" w:hAnsi="宋体" w:cs="宋体"/>
                <w:szCs w:val="18"/>
                <w:highlight w:val="none"/>
              </w:rPr>
              <w:t>1</w:t>
            </w:r>
            <w:r>
              <w:rPr>
                <w:rFonts w:hint="eastAsia" w:hAnsi="宋体" w:cs="宋体"/>
                <w:szCs w:val="18"/>
                <w:highlight w:val="none"/>
                <w:eastAsianLayout w:id="34" w:combine="1"/>
              </w:rPr>
              <w:t>+0.25 0</w:t>
            </w:r>
          </w:p>
        </w:tc>
      </w:tr>
      <w:tr w14:paraId="14ABC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1124" w:type="dxa"/>
            <w:shd w:val="clear" w:color="auto" w:fill="auto"/>
            <w:vAlign w:val="center"/>
          </w:tcPr>
          <w:p w14:paraId="1807F436">
            <w:pPr>
              <w:pStyle w:val="178"/>
              <w:rPr>
                <w:highlight w:val="none"/>
              </w:rPr>
            </w:pPr>
            <w:r>
              <w:rPr>
                <w:rFonts w:hint="eastAsia"/>
                <w:highlight w:val="none"/>
              </w:rPr>
              <w:t>3</w:t>
            </w:r>
          </w:p>
        </w:tc>
        <w:tc>
          <w:tcPr>
            <w:tcW w:w="1701" w:type="dxa"/>
            <w:shd w:val="clear" w:color="auto" w:fill="auto"/>
            <w:vAlign w:val="center"/>
          </w:tcPr>
          <w:p w14:paraId="2B66B4C2">
            <w:pPr>
              <w:pStyle w:val="178"/>
              <w:rPr>
                <w:rFonts w:hint="eastAsia" w:hAnsi="宋体" w:cs="宋体"/>
                <w:szCs w:val="18"/>
                <w:highlight w:val="none"/>
                <w:lang w:val="en-US" w:eastAsia="zh-CN"/>
              </w:rPr>
            </w:pPr>
            <w:r>
              <w:rPr>
                <w:rFonts w:hint="eastAsia" w:hAnsi="宋体" w:cs="宋体"/>
                <w:szCs w:val="18"/>
                <w:highlight w:val="none"/>
              </w:rPr>
              <w:t>开角</w:t>
            </w:r>
            <w:r>
              <w:rPr>
                <w:rFonts w:hint="eastAsia" w:hAnsi="宋体" w:cs="宋体"/>
                <w:szCs w:val="18"/>
                <w:highlight w:val="none"/>
                <w:lang w:val="en-US" w:eastAsia="zh-CN"/>
              </w:rPr>
              <w:t xml:space="preserve"> </w:t>
            </w:r>
          </w:p>
          <w:p w14:paraId="446BDBB5">
            <w:pPr>
              <w:pStyle w:val="178"/>
              <w:rPr>
                <w:rFonts w:hAnsi="宋体" w:cs="宋体"/>
                <w:szCs w:val="18"/>
                <w:highlight w:val="none"/>
              </w:rPr>
            </w:pPr>
            <w:r>
              <w:rPr>
                <w:rFonts w:hint="eastAsia" w:hAnsi="宋体" w:cs="宋体"/>
                <w:szCs w:val="18"/>
                <w:highlight w:val="none"/>
                <w:lang w:val="en-US" w:eastAsia="zh-CN"/>
              </w:rPr>
              <w:t xml:space="preserve"> </w:t>
            </w:r>
            <w:r>
              <w:rPr>
                <w:rFonts w:hint="eastAsia" w:hAnsi="宋体" w:cs="宋体"/>
                <w:szCs w:val="18"/>
                <w:highlight w:val="none"/>
              </w:rPr>
              <w:t>°</w:t>
            </w:r>
          </w:p>
        </w:tc>
        <w:tc>
          <w:tcPr>
            <w:tcW w:w="1701" w:type="dxa"/>
            <w:vMerge w:val="continue"/>
            <w:shd w:val="clear" w:color="auto" w:fill="auto"/>
            <w:vAlign w:val="center"/>
          </w:tcPr>
          <w:p w14:paraId="4E7C510F">
            <w:pPr>
              <w:pStyle w:val="178"/>
              <w:rPr>
                <w:highlight w:val="green"/>
              </w:rPr>
            </w:pPr>
          </w:p>
        </w:tc>
        <w:tc>
          <w:tcPr>
            <w:tcW w:w="4808" w:type="dxa"/>
            <w:shd w:val="clear" w:color="auto" w:fill="auto"/>
            <w:vAlign w:val="center"/>
          </w:tcPr>
          <w:p w14:paraId="37374247">
            <w:pPr>
              <w:pStyle w:val="178"/>
              <w:rPr>
                <w:rFonts w:hAnsi="宋体" w:cs="宋体"/>
                <w:szCs w:val="18"/>
                <w:highlight w:val="none"/>
              </w:rPr>
            </w:pPr>
            <w:r>
              <w:rPr>
                <w:rFonts w:hint="eastAsia" w:hAnsi="宋体" w:cs="宋体"/>
                <w:szCs w:val="18"/>
                <w:highlight w:val="none"/>
              </w:rPr>
              <w:t>90</w:t>
            </w:r>
            <w:r>
              <w:rPr>
                <w:rFonts w:hint="eastAsia" w:hAnsi="宋体" w:cs="宋体"/>
                <w:szCs w:val="18"/>
                <w:highlight w:val="none"/>
                <w:eastAsianLayout w:id="35" w:combine="1"/>
              </w:rPr>
              <w:t>+5 -1</w:t>
            </w:r>
          </w:p>
        </w:tc>
      </w:tr>
    </w:tbl>
    <w:p w14:paraId="2A0C0A38">
      <w:pPr>
        <w:pStyle w:val="56"/>
        <w:ind w:firstLine="360"/>
        <w:jc w:val="right"/>
        <w:rPr>
          <w:strike/>
          <w:sz w:val="18"/>
        </w:rPr>
      </w:pPr>
    </w:p>
    <w:p w14:paraId="3A04C0B2">
      <w:pPr>
        <w:pStyle w:val="165"/>
        <w:rPr>
          <w:highlight w:val="none"/>
        </w:rPr>
      </w:pPr>
      <w:r>
        <w:rPr>
          <w:rFonts w:hint="eastAsia"/>
          <w:highlight w:val="none"/>
        </w:rPr>
        <w:t>Φ</w:t>
      </w:r>
      <w:r>
        <w:rPr>
          <w:rFonts w:hint="eastAsia"/>
          <w:highlight w:val="none"/>
          <w:lang w:val="en-US" w:eastAsia="zh-CN"/>
        </w:rPr>
        <w:t>200</w:t>
      </w:r>
      <w:r>
        <w:rPr>
          <w:rFonts w:hint="eastAsia"/>
          <w:highlight w:val="none"/>
          <w:vertAlign w:val="subscript"/>
        </w:rPr>
        <w:t xml:space="preserve"> </w:t>
      </w:r>
      <w:r>
        <w:rPr>
          <w:rFonts w:hint="eastAsia"/>
          <w:highlight w:val="none"/>
        </w:rPr>
        <w:t>mm砷化镓衬底切口的取向、深度和开角符合表</w:t>
      </w:r>
      <w:r>
        <w:rPr>
          <w:rFonts w:hint="eastAsia"/>
          <w:highlight w:val="none"/>
          <w:lang w:val="en-US" w:eastAsia="zh-CN"/>
        </w:rPr>
        <w:t>6的规定</w:t>
      </w:r>
      <w:r>
        <w:rPr>
          <w:rFonts w:hint="eastAsia"/>
          <w:highlight w:val="none"/>
        </w:rPr>
        <w:t>。</w:t>
      </w:r>
    </w:p>
    <w:p w14:paraId="3C971228">
      <w:pPr>
        <w:pStyle w:val="112"/>
        <w:spacing w:before="156" w:after="156"/>
        <w:rPr>
          <w:highlight w:val="none"/>
        </w:rPr>
      </w:pPr>
      <w:r>
        <w:rPr>
          <w:rFonts w:hint="eastAsia"/>
          <w:highlight w:val="none"/>
        </w:rPr>
        <w:t>砷化镓衬底切口的取向、深度和开角</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1701"/>
        <w:gridCol w:w="1701"/>
        <w:gridCol w:w="4808"/>
      </w:tblGrid>
      <w:tr w14:paraId="1FCE5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tcBorders>
            <w:shd w:val="clear" w:color="auto" w:fill="auto"/>
            <w:vAlign w:val="center"/>
          </w:tcPr>
          <w:p w14:paraId="4CD6E7EE">
            <w:pPr>
              <w:pStyle w:val="178"/>
              <w:rPr>
                <w:highlight w:val="none"/>
              </w:rPr>
            </w:pPr>
            <w:r>
              <w:rPr>
                <w:highlight w:val="none"/>
              </w:rPr>
              <w:t>序号</w:t>
            </w:r>
          </w:p>
        </w:tc>
        <w:tc>
          <w:tcPr>
            <w:tcW w:w="1701" w:type="dxa"/>
            <w:tcBorders>
              <w:top w:val="single" w:color="auto" w:sz="8" w:space="0"/>
            </w:tcBorders>
            <w:shd w:val="clear" w:color="auto" w:fill="auto"/>
            <w:vAlign w:val="center"/>
          </w:tcPr>
          <w:p w14:paraId="2B2B7616">
            <w:pPr>
              <w:pStyle w:val="178"/>
              <w:rPr>
                <w:highlight w:val="none"/>
              </w:rPr>
            </w:pPr>
            <w:r>
              <w:rPr>
                <w:highlight w:val="none"/>
              </w:rPr>
              <w:t>项目</w:t>
            </w:r>
          </w:p>
        </w:tc>
        <w:tc>
          <w:tcPr>
            <w:tcW w:w="1701" w:type="dxa"/>
            <w:tcBorders>
              <w:top w:val="single" w:color="auto" w:sz="8" w:space="0"/>
            </w:tcBorders>
            <w:shd w:val="clear" w:color="auto" w:fill="auto"/>
            <w:vAlign w:val="center"/>
          </w:tcPr>
          <w:p w14:paraId="56F8DAE7">
            <w:pPr>
              <w:pStyle w:val="178"/>
              <w:rPr>
                <w:highlight w:val="none"/>
              </w:rPr>
            </w:pPr>
            <w:r>
              <w:rPr>
                <w:rFonts w:hint="eastAsia" w:hAnsi="宋体" w:cs="宋体"/>
                <w:szCs w:val="18"/>
                <w:highlight w:val="none"/>
                <w:lang w:bidi="ar"/>
              </w:rPr>
              <w:t>规格</w:t>
            </w:r>
          </w:p>
        </w:tc>
        <w:tc>
          <w:tcPr>
            <w:tcW w:w="4808" w:type="dxa"/>
            <w:tcBorders>
              <w:top w:val="single" w:color="auto" w:sz="8" w:space="0"/>
              <w:bottom w:val="single" w:color="auto" w:sz="4" w:space="0"/>
            </w:tcBorders>
            <w:shd w:val="clear" w:color="auto" w:fill="auto"/>
            <w:vAlign w:val="center"/>
          </w:tcPr>
          <w:p w14:paraId="1C4F4AC5">
            <w:pPr>
              <w:pStyle w:val="178"/>
              <w:rPr>
                <w:highlight w:val="none"/>
              </w:rPr>
            </w:pPr>
            <w:r>
              <w:rPr>
                <w:highlight w:val="none"/>
              </w:rPr>
              <w:t>要求</w:t>
            </w:r>
          </w:p>
        </w:tc>
      </w:tr>
      <w:tr w14:paraId="621BE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24" w:type="dxa"/>
            <w:vMerge w:val="restart"/>
            <w:tcBorders>
              <w:top w:val="single" w:color="auto" w:sz="8" w:space="0"/>
            </w:tcBorders>
            <w:shd w:val="clear" w:color="auto" w:fill="auto"/>
            <w:vAlign w:val="center"/>
          </w:tcPr>
          <w:p w14:paraId="1736EB71">
            <w:pPr>
              <w:pStyle w:val="178"/>
              <w:rPr>
                <w:highlight w:val="none"/>
              </w:rPr>
            </w:pPr>
            <w:r>
              <w:rPr>
                <w:rFonts w:hint="eastAsia"/>
                <w:highlight w:val="none"/>
              </w:rPr>
              <w:t>1</w:t>
            </w:r>
          </w:p>
        </w:tc>
        <w:tc>
          <w:tcPr>
            <w:tcW w:w="1701" w:type="dxa"/>
            <w:vMerge w:val="restart"/>
            <w:tcBorders>
              <w:top w:val="single" w:color="auto" w:sz="8" w:space="0"/>
            </w:tcBorders>
            <w:shd w:val="clear" w:color="auto" w:fill="auto"/>
            <w:vAlign w:val="center"/>
          </w:tcPr>
          <w:p w14:paraId="31AF0E82">
            <w:pPr>
              <w:pStyle w:val="178"/>
              <w:rPr>
                <w:highlight w:val="none"/>
              </w:rPr>
            </w:pPr>
            <w:r>
              <w:rPr>
                <w:rFonts w:hint="eastAsia" w:hAnsi="宋体" w:cs="宋体"/>
                <w:szCs w:val="18"/>
                <w:highlight w:val="none"/>
              </w:rPr>
              <w:t>取向</w:t>
            </w:r>
          </w:p>
        </w:tc>
        <w:tc>
          <w:tcPr>
            <w:tcW w:w="1701" w:type="dxa"/>
            <w:vMerge w:val="restart"/>
            <w:tcBorders>
              <w:top w:val="single" w:color="auto" w:sz="8" w:space="0"/>
            </w:tcBorders>
            <w:shd w:val="clear" w:color="auto" w:fill="auto"/>
            <w:vAlign w:val="center"/>
          </w:tcPr>
          <w:p w14:paraId="10A4E9AA">
            <w:pPr>
              <w:pStyle w:val="178"/>
              <w:rPr>
                <w:highlight w:val="green"/>
              </w:rPr>
            </w:pPr>
            <w:r>
              <w:rPr>
                <w:rFonts w:hint="eastAsia" w:hAnsi="宋体" w:cs="宋体"/>
                <w:szCs w:val="18"/>
                <w:highlight w:val="none"/>
              </w:rPr>
              <w:t>Ф</w:t>
            </w:r>
            <w:r>
              <w:rPr>
                <w:rFonts w:hint="eastAsia" w:hAnsi="宋体" w:cs="宋体"/>
                <w:szCs w:val="18"/>
                <w:highlight w:val="none"/>
                <w:lang w:bidi="ar"/>
              </w:rPr>
              <w:t>200.0</w:t>
            </w:r>
          </w:p>
        </w:tc>
        <w:tc>
          <w:tcPr>
            <w:tcW w:w="4808" w:type="dxa"/>
            <w:vMerge w:val="restart"/>
            <w:tcBorders>
              <w:top w:val="single" w:color="auto" w:sz="8" w:space="0"/>
            </w:tcBorders>
            <w:shd w:val="clear" w:color="auto" w:fill="auto"/>
            <w:vAlign w:val="center"/>
          </w:tcPr>
          <w:p w14:paraId="78E14689">
            <w:pPr>
              <w:pStyle w:val="178"/>
              <w:rPr>
                <w:highlight w:val="none"/>
              </w:rPr>
            </w:pPr>
            <w:r>
              <w:rPr>
                <w:rFonts w:hint="eastAsia" w:hAnsi="宋体" w:cs="宋体"/>
                <w:szCs w:val="18"/>
                <w:highlight w:val="none"/>
              </w:rPr>
              <w:t>[010]±2°</w:t>
            </w:r>
          </w:p>
        </w:tc>
      </w:tr>
      <w:tr w14:paraId="61C56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24" w:type="dxa"/>
            <w:vMerge w:val="restart"/>
            <w:shd w:val="clear" w:color="auto" w:fill="auto"/>
            <w:vAlign w:val="center"/>
          </w:tcPr>
          <w:p w14:paraId="03912CEB">
            <w:pPr>
              <w:pStyle w:val="178"/>
              <w:rPr>
                <w:highlight w:val="none"/>
              </w:rPr>
            </w:pPr>
            <w:r>
              <w:rPr>
                <w:rFonts w:hint="eastAsia"/>
                <w:highlight w:val="none"/>
              </w:rPr>
              <w:t>2</w:t>
            </w:r>
          </w:p>
        </w:tc>
        <w:tc>
          <w:tcPr>
            <w:tcW w:w="1701" w:type="dxa"/>
            <w:vMerge w:val="restart"/>
            <w:shd w:val="clear" w:color="auto" w:fill="auto"/>
            <w:vAlign w:val="center"/>
          </w:tcPr>
          <w:p w14:paraId="43CB3F7F">
            <w:pPr>
              <w:pStyle w:val="178"/>
              <w:rPr>
                <w:rFonts w:hint="eastAsia" w:hAnsi="宋体" w:cs="宋体"/>
                <w:szCs w:val="18"/>
                <w:highlight w:val="none"/>
              </w:rPr>
            </w:pPr>
            <w:r>
              <w:rPr>
                <w:rFonts w:hint="eastAsia" w:hAnsi="宋体" w:cs="宋体"/>
                <w:szCs w:val="18"/>
                <w:highlight w:val="none"/>
              </w:rPr>
              <w:t>深度</w:t>
            </w:r>
          </w:p>
          <w:p w14:paraId="60FD5471">
            <w:pPr>
              <w:pStyle w:val="178"/>
              <w:rPr>
                <w:rFonts w:hAnsi="宋体" w:cs="宋体"/>
                <w:szCs w:val="18"/>
                <w:highlight w:val="none"/>
              </w:rPr>
            </w:pPr>
            <w:r>
              <w:rPr>
                <w:rFonts w:hint="eastAsia" w:hAnsi="宋体" w:cs="宋体"/>
                <w:szCs w:val="18"/>
                <w:highlight w:val="none"/>
                <w:lang w:val="en-US" w:eastAsia="zh-CN"/>
              </w:rPr>
              <w:t xml:space="preserve"> </w:t>
            </w:r>
            <w:r>
              <w:rPr>
                <w:rFonts w:hint="eastAsia" w:hAnsi="宋体" w:cs="宋体"/>
                <w:szCs w:val="18"/>
                <w:highlight w:val="none"/>
              </w:rPr>
              <w:t>mm</w:t>
            </w:r>
          </w:p>
        </w:tc>
        <w:tc>
          <w:tcPr>
            <w:tcW w:w="1701" w:type="dxa"/>
            <w:vMerge w:val="continue"/>
            <w:shd w:val="clear" w:color="auto" w:fill="auto"/>
            <w:vAlign w:val="center"/>
          </w:tcPr>
          <w:p w14:paraId="1B8256BC">
            <w:pPr>
              <w:pStyle w:val="178"/>
              <w:rPr>
                <w:highlight w:val="none"/>
              </w:rPr>
            </w:pPr>
          </w:p>
        </w:tc>
        <w:tc>
          <w:tcPr>
            <w:tcW w:w="4808" w:type="dxa"/>
            <w:vMerge w:val="restart"/>
            <w:shd w:val="clear" w:color="auto" w:fill="auto"/>
            <w:vAlign w:val="center"/>
          </w:tcPr>
          <w:p w14:paraId="674D5D49">
            <w:pPr>
              <w:pStyle w:val="178"/>
              <w:rPr>
                <w:rFonts w:hAnsi="宋体" w:cs="宋体"/>
                <w:szCs w:val="18"/>
                <w:highlight w:val="none"/>
              </w:rPr>
            </w:pPr>
            <w:r>
              <w:rPr>
                <w:rFonts w:hint="eastAsia" w:hAnsi="宋体" w:cs="宋体"/>
                <w:szCs w:val="18"/>
                <w:highlight w:val="none"/>
              </w:rPr>
              <w:t>1</w:t>
            </w:r>
            <w:r>
              <w:rPr>
                <w:rFonts w:hint="eastAsia" w:hAnsi="宋体" w:cs="宋体"/>
                <w:szCs w:val="18"/>
                <w:highlight w:val="none"/>
                <w:eastAsianLayout w:id="36" w:combine="1"/>
              </w:rPr>
              <w:t>+0.25 0</w:t>
            </w:r>
          </w:p>
        </w:tc>
      </w:tr>
      <w:tr w14:paraId="0F0F2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24" w:type="dxa"/>
            <w:shd w:val="clear" w:color="auto" w:fill="auto"/>
            <w:vAlign w:val="center"/>
          </w:tcPr>
          <w:p w14:paraId="31AEB03D">
            <w:pPr>
              <w:pStyle w:val="178"/>
              <w:rPr>
                <w:highlight w:val="none"/>
              </w:rPr>
            </w:pPr>
            <w:r>
              <w:rPr>
                <w:rFonts w:hint="eastAsia"/>
                <w:highlight w:val="none"/>
              </w:rPr>
              <w:t>3</w:t>
            </w:r>
          </w:p>
        </w:tc>
        <w:tc>
          <w:tcPr>
            <w:tcW w:w="1701" w:type="dxa"/>
            <w:shd w:val="clear" w:color="auto" w:fill="auto"/>
            <w:vAlign w:val="center"/>
          </w:tcPr>
          <w:p w14:paraId="6A9729CB">
            <w:pPr>
              <w:pStyle w:val="178"/>
              <w:rPr>
                <w:rFonts w:hint="eastAsia" w:hAnsi="宋体" w:cs="宋体"/>
                <w:szCs w:val="18"/>
                <w:highlight w:val="none"/>
                <w:lang w:val="en-US" w:eastAsia="zh-CN"/>
              </w:rPr>
            </w:pPr>
            <w:r>
              <w:rPr>
                <w:rFonts w:hint="eastAsia" w:hAnsi="宋体" w:cs="宋体"/>
                <w:szCs w:val="18"/>
                <w:highlight w:val="none"/>
              </w:rPr>
              <w:t>开角</w:t>
            </w:r>
            <w:r>
              <w:rPr>
                <w:rFonts w:hint="eastAsia" w:hAnsi="宋体" w:cs="宋体"/>
                <w:szCs w:val="18"/>
                <w:highlight w:val="none"/>
                <w:lang w:val="en-US" w:eastAsia="zh-CN"/>
              </w:rPr>
              <w:t xml:space="preserve"> </w:t>
            </w:r>
          </w:p>
          <w:p w14:paraId="638C3F9D">
            <w:pPr>
              <w:pStyle w:val="178"/>
              <w:rPr>
                <w:rFonts w:hAnsi="宋体" w:cs="宋体"/>
                <w:szCs w:val="18"/>
                <w:highlight w:val="none"/>
              </w:rPr>
            </w:pPr>
            <w:r>
              <w:rPr>
                <w:rFonts w:hint="eastAsia" w:hAnsi="宋体" w:cs="宋体"/>
                <w:szCs w:val="18"/>
                <w:highlight w:val="none"/>
                <w:lang w:val="en-US" w:eastAsia="zh-CN"/>
              </w:rPr>
              <w:t xml:space="preserve"> </w:t>
            </w:r>
            <w:r>
              <w:rPr>
                <w:rFonts w:hint="eastAsia" w:hAnsi="宋体" w:cs="宋体"/>
                <w:szCs w:val="18"/>
                <w:highlight w:val="none"/>
              </w:rPr>
              <w:t>°</w:t>
            </w:r>
          </w:p>
        </w:tc>
        <w:tc>
          <w:tcPr>
            <w:tcW w:w="1701" w:type="dxa"/>
            <w:vMerge w:val="continue"/>
            <w:shd w:val="clear" w:color="auto" w:fill="auto"/>
            <w:vAlign w:val="center"/>
          </w:tcPr>
          <w:p w14:paraId="286F85D1">
            <w:pPr>
              <w:pStyle w:val="178"/>
              <w:rPr>
                <w:highlight w:val="green"/>
              </w:rPr>
            </w:pPr>
          </w:p>
        </w:tc>
        <w:tc>
          <w:tcPr>
            <w:tcW w:w="4808" w:type="dxa"/>
            <w:shd w:val="clear" w:color="auto" w:fill="auto"/>
            <w:vAlign w:val="center"/>
          </w:tcPr>
          <w:p w14:paraId="08359379">
            <w:pPr>
              <w:pStyle w:val="178"/>
              <w:rPr>
                <w:rFonts w:hAnsi="宋体" w:cs="宋体"/>
                <w:szCs w:val="18"/>
                <w:highlight w:val="none"/>
              </w:rPr>
            </w:pPr>
            <w:r>
              <w:rPr>
                <w:rFonts w:hint="eastAsia" w:hAnsi="宋体" w:cs="宋体"/>
                <w:szCs w:val="18"/>
                <w:highlight w:val="none"/>
              </w:rPr>
              <w:t>90</w:t>
            </w:r>
            <w:r>
              <w:rPr>
                <w:rFonts w:hint="eastAsia" w:hAnsi="宋体" w:cs="宋体"/>
                <w:szCs w:val="18"/>
                <w:highlight w:val="none"/>
                <w:eastAsianLayout w:id="37" w:combine="1"/>
              </w:rPr>
              <w:t>+5 -1</w:t>
            </w:r>
          </w:p>
        </w:tc>
      </w:tr>
    </w:tbl>
    <w:p w14:paraId="629A19D1">
      <w:pPr>
        <w:pStyle w:val="105"/>
        <w:spacing w:before="156" w:after="156"/>
        <w:rPr>
          <w:highlight w:val="none"/>
        </w:rPr>
      </w:pPr>
      <w:bookmarkStart w:id="75" w:name="_Toc161963359"/>
      <w:bookmarkStart w:id="76" w:name="_Toc161927899"/>
      <w:bookmarkStart w:id="77" w:name="_Toc161928076"/>
      <w:r>
        <w:rPr>
          <w:rFonts w:hint="eastAsia"/>
          <w:highlight w:val="none"/>
        </w:rPr>
        <w:t>表面晶向及晶向偏离</w:t>
      </w:r>
      <w:bookmarkEnd w:id="75"/>
      <w:bookmarkEnd w:id="76"/>
      <w:bookmarkEnd w:id="77"/>
    </w:p>
    <w:p w14:paraId="0DEC097C">
      <w:pPr>
        <w:pStyle w:val="56"/>
        <w:ind w:firstLine="420"/>
        <w:rPr>
          <w:rFonts w:hint="eastAsia"/>
        </w:rPr>
      </w:pPr>
      <w:r>
        <w:rPr>
          <w:rFonts w:hint="eastAsia"/>
          <w:highlight w:val="none"/>
        </w:rPr>
        <w:t>砷化镓衬底的表面晶向为&lt;100&gt;，晶向偏离不大于0.5°，常见LED砷化镓衬底表面晶向为2°、6°和15°，晶向偏离不大于0.5°，常见的晶向</w:t>
      </w:r>
      <w:r>
        <w:rPr>
          <w:rFonts w:hint="eastAsia"/>
          <w:highlight w:val="none"/>
          <w:lang w:val="en-US" w:eastAsia="zh-CN"/>
        </w:rPr>
        <w:t>及晶向偏离</w:t>
      </w:r>
      <w:r>
        <w:rPr>
          <w:rFonts w:hint="eastAsia"/>
          <w:highlight w:val="none"/>
        </w:rPr>
        <w:t>见表</w:t>
      </w:r>
      <w:r>
        <w:rPr>
          <w:rFonts w:hint="eastAsia"/>
          <w:highlight w:val="none"/>
          <w:lang w:val="en-US" w:eastAsia="zh-CN"/>
        </w:rPr>
        <w:t>7</w:t>
      </w:r>
      <w:r>
        <w:rPr>
          <w:rFonts w:hint="eastAsia"/>
          <w:highlight w:val="none"/>
        </w:rPr>
        <w:t>。</w:t>
      </w:r>
    </w:p>
    <w:p w14:paraId="462C1688">
      <w:pPr>
        <w:pStyle w:val="112"/>
        <w:spacing w:before="156" w:after="156"/>
      </w:pPr>
      <w:r>
        <w:rPr>
          <w:rFonts w:hint="eastAsia"/>
        </w:rPr>
        <w:t>常见的晶向及晶向偏离</w:t>
      </w:r>
    </w:p>
    <w:tbl>
      <w:tblPr>
        <w:tblStyle w:val="2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85" w:type="dxa"/>
          <w:bottom w:w="57" w:type="dxa"/>
          <w:right w:w="85" w:type="dxa"/>
        </w:tblCellMar>
      </w:tblPr>
      <w:tblGrid>
        <w:gridCol w:w="1709"/>
        <w:gridCol w:w="1918"/>
        <w:gridCol w:w="2072"/>
        <w:gridCol w:w="1954"/>
        <w:gridCol w:w="1871"/>
      </w:tblGrid>
      <w:tr w14:paraId="7A015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897" w:type="pct"/>
            <w:tcBorders>
              <w:bottom w:val="single" w:color="auto" w:sz="8" w:space="0"/>
            </w:tcBorders>
          </w:tcPr>
          <w:p w14:paraId="4FFE4855">
            <w:pPr>
              <w:snapToGrid w:val="0"/>
              <w:spacing w:line="240" w:lineRule="auto"/>
              <w:jc w:val="center"/>
              <w:rPr>
                <w:rFonts w:ascii="宋体" w:hAnsi="宋体"/>
                <w:sz w:val="18"/>
                <w:szCs w:val="18"/>
              </w:rPr>
            </w:pPr>
            <w:r>
              <w:rPr>
                <w:rFonts w:hint="eastAsia" w:ascii="宋体" w:hAnsi="宋体" w:cs="宋体"/>
                <w:sz w:val="18"/>
                <w:szCs w:val="18"/>
              </w:rPr>
              <w:t>晶向</w:t>
            </w:r>
          </w:p>
        </w:tc>
        <w:tc>
          <w:tcPr>
            <w:tcW w:w="1007" w:type="pct"/>
            <w:tcBorders>
              <w:bottom w:val="single" w:color="auto" w:sz="8" w:space="0"/>
            </w:tcBorders>
          </w:tcPr>
          <w:p w14:paraId="0AF119C4">
            <w:pPr>
              <w:snapToGrid w:val="0"/>
              <w:spacing w:line="240" w:lineRule="auto"/>
              <w:jc w:val="center"/>
              <w:rPr>
                <w:rFonts w:ascii="宋体" w:hAnsi="宋体"/>
                <w:sz w:val="18"/>
                <w:szCs w:val="18"/>
              </w:rPr>
            </w:pPr>
            <w:r>
              <w:rPr>
                <w:rFonts w:hint="eastAsia" w:ascii="宋体" w:hAnsi="宋体" w:cs="宋体"/>
                <w:sz w:val="18"/>
                <w:szCs w:val="18"/>
              </w:rPr>
              <w:t>角度</w:t>
            </w:r>
          </w:p>
        </w:tc>
        <w:tc>
          <w:tcPr>
            <w:tcW w:w="1088" w:type="pct"/>
            <w:tcBorders>
              <w:bottom w:val="single" w:color="auto" w:sz="8" w:space="0"/>
            </w:tcBorders>
          </w:tcPr>
          <w:p w14:paraId="60DA78E7">
            <w:pPr>
              <w:snapToGrid w:val="0"/>
              <w:spacing w:line="240" w:lineRule="auto"/>
              <w:jc w:val="center"/>
              <w:rPr>
                <w:rFonts w:ascii="宋体" w:hAnsi="宋体"/>
                <w:sz w:val="18"/>
                <w:szCs w:val="18"/>
              </w:rPr>
            </w:pPr>
            <w:r>
              <w:rPr>
                <w:rFonts w:hint="eastAsia" w:ascii="宋体" w:hAnsi="宋体" w:cs="宋体"/>
                <w:sz w:val="18"/>
                <w:szCs w:val="18"/>
              </w:rPr>
              <w:t>主边</w:t>
            </w:r>
          </w:p>
        </w:tc>
        <w:tc>
          <w:tcPr>
            <w:tcW w:w="1026" w:type="pct"/>
            <w:tcBorders>
              <w:bottom w:val="single" w:color="auto" w:sz="8" w:space="0"/>
            </w:tcBorders>
          </w:tcPr>
          <w:p w14:paraId="43808090">
            <w:pPr>
              <w:snapToGrid w:val="0"/>
              <w:spacing w:line="240" w:lineRule="auto"/>
              <w:jc w:val="center"/>
              <w:rPr>
                <w:rFonts w:ascii="宋体" w:hAnsi="宋体"/>
                <w:sz w:val="18"/>
                <w:szCs w:val="18"/>
              </w:rPr>
            </w:pPr>
            <w:r>
              <w:rPr>
                <w:rFonts w:hint="eastAsia" w:ascii="宋体" w:hAnsi="宋体" w:cs="宋体"/>
                <w:sz w:val="18"/>
                <w:szCs w:val="18"/>
              </w:rPr>
              <w:t>偏向</w:t>
            </w:r>
          </w:p>
        </w:tc>
        <w:tc>
          <w:tcPr>
            <w:tcW w:w="982" w:type="pct"/>
            <w:tcBorders>
              <w:bottom w:val="single" w:color="auto" w:sz="8" w:space="0"/>
            </w:tcBorders>
          </w:tcPr>
          <w:p w14:paraId="66369274">
            <w:pPr>
              <w:snapToGrid w:val="0"/>
              <w:spacing w:line="240" w:lineRule="auto"/>
              <w:jc w:val="center"/>
              <w:rPr>
                <w:rFonts w:ascii="宋体" w:hAnsi="宋体"/>
                <w:sz w:val="18"/>
                <w:szCs w:val="18"/>
              </w:rPr>
            </w:pPr>
            <w:r>
              <w:rPr>
                <w:rFonts w:hint="eastAsia" w:ascii="宋体" w:hAnsi="宋体" w:cs="宋体"/>
                <w:sz w:val="18"/>
                <w:szCs w:val="18"/>
              </w:rPr>
              <w:t>偏角</w:t>
            </w:r>
          </w:p>
        </w:tc>
      </w:tr>
      <w:tr w14:paraId="3B028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897" w:type="pct"/>
            <w:tcBorders>
              <w:top w:val="single" w:color="auto" w:sz="8" w:space="0"/>
              <w:tl2br w:val="nil"/>
              <w:tr2bl w:val="nil"/>
            </w:tcBorders>
          </w:tcPr>
          <w:p w14:paraId="2466EBC8">
            <w:pPr>
              <w:snapToGrid w:val="0"/>
              <w:spacing w:line="240" w:lineRule="auto"/>
              <w:jc w:val="center"/>
              <w:rPr>
                <w:rFonts w:ascii="宋体" w:hAnsi="宋体"/>
                <w:sz w:val="18"/>
                <w:szCs w:val="18"/>
              </w:rPr>
            </w:pPr>
            <w:r>
              <w:rPr>
                <w:rFonts w:hint="eastAsia" w:ascii="宋体" w:hAnsi="宋体" w:cs="宋体"/>
                <w:sz w:val="18"/>
                <w:szCs w:val="18"/>
              </w:rPr>
              <w:t>&lt;100&gt;</w:t>
            </w:r>
          </w:p>
        </w:tc>
        <w:tc>
          <w:tcPr>
            <w:tcW w:w="1007" w:type="pct"/>
            <w:tcBorders>
              <w:top w:val="single" w:color="auto" w:sz="8" w:space="0"/>
              <w:tl2br w:val="nil"/>
              <w:tr2bl w:val="nil"/>
            </w:tcBorders>
          </w:tcPr>
          <w:p w14:paraId="5E7204C8">
            <w:pPr>
              <w:snapToGrid w:val="0"/>
              <w:spacing w:line="240" w:lineRule="auto"/>
              <w:jc w:val="center"/>
              <w:rPr>
                <w:rFonts w:ascii="宋体" w:hAnsi="宋体"/>
                <w:sz w:val="18"/>
                <w:szCs w:val="18"/>
              </w:rPr>
            </w:pPr>
            <w:r>
              <w:rPr>
                <w:rFonts w:hint="eastAsia" w:ascii="宋体" w:hAnsi="宋体" w:cs="宋体"/>
                <w:sz w:val="18"/>
                <w:szCs w:val="18"/>
              </w:rPr>
              <w:t>2°</w:t>
            </w:r>
          </w:p>
        </w:tc>
        <w:tc>
          <w:tcPr>
            <w:tcW w:w="1088" w:type="pct"/>
            <w:tcBorders>
              <w:top w:val="single" w:color="auto" w:sz="8" w:space="0"/>
              <w:tl2br w:val="nil"/>
              <w:tr2bl w:val="nil"/>
            </w:tcBorders>
          </w:tcPr>
          <w:p w14:paraId="7554D9CE">
            <w:pPr>
              <w:snapToGrid w:val="0"/>
              <w:spacing w:line="240" w:lineRule="auto"/>
              <w:jc w:val="center"/>
              <w:rPr>
                <w:rFonts w:ascii="宋体" w:hAnsi="宋体"/>
                <w:sz w:val="18"/>
                <w:szCs w:val="18"/>
              </w:rPr>
            </w:pPr>
            <w:r>
              <w:rPr>
                <w:rFonts w:hint="eastAsia" w:ascii="宋体" w:hAnsi="宋体" w:cs="宋体"/>
                <w:sz w:val="18"/>
                <w:szCs w:val="18"/>
              </w:rPr>
              <w:t>[0</w:t>
            </w:r>
            <w:r>
              <w:rPr>
                <w:rFonts w:hint="eastAsia" w:ascii="宋体" w:hAnsi="宋体"/>
                <w:sz w:val="18"/>
                <w:szCs w:val="18"/>
              </w:rPr>
              <w:fldChar w:fldCharType="begin"/>
            </w:r>
            <w:r>
              <w:rPr>
                <w:rFonts w:hint="eastAsia" w:ascii="宋体" w:hAnsi="宋体"/>
                <w:sz w:val="18"/>
                <w:szCs w:val="18"/>
              </w:rPr>
              <w:instrText xml:space="preserve">EQ \* jc0 \* hps9 \o(\s\up 8(</w:instrText>
            </w:r>
            <w:r>
              <w:rPr>
                <w:rFonts w:hint="eastAsia" w:ascii="宋体" w:hAnsi="宋体" w:cs="宋体"/>
                <w:sz w:val="18"/>
                <w:szCs w:val="18"/>
              </w:rPr>
              <w:instrText xml:space="preserve">-</w:instrText>
            </w:r>
            <w:r>
              <w:rPr>
                <w:rFonts w:hint="eastAsia" w:ascii="宋体" w:hAnsi="宋体"/>
                <w:sz w:val="18"/>
                <w:szCs w:val="18"/>
              </w:rPr>
              <w:instrText xml:space="preserve">),</w:instrText>
            </w:r>
            <w:r>
              <w:rPr>
                <w:rFonts w:hint="eastAsia" w:ascii="宋体" w:hAnsi="宋体" w:cs="宋体"/>
                <w:sz w:val="18"/>
                <w:szCs w:val="18"/>
              </w:rPr>
              <w:instrText xml:space="preserve">1</w:instrText>
            </w:r>
            <w:r>
              <w:rPr>
                <w:rFonts w:hint="eastAsia" w:ascii="宋体" w:hAnsi="宋体"/>
                <w:sz w:val="18"/>
                <w:szCs w:val="18"/>
              </w:rPr>
              <w:instrText xml:space="preserve">)</w:instrText>
            </w:r>
            <w:r>
              <w:rPr>
                <w:rFonts w:hint="eastAsia" w:ascii="宋体" w:hAnsi="宋体"/>
                <w:sz w:val="18"/>
                <w:szCs w:val="18"/>
              </w:rPr>
              <w:fldChar w:fldCharType="end"/>
            </w:r>
            <w:r>
              <w:rPr>
                <w:rFonts w:hint="eastAsia" w:ascii="宋体" w:hAnsi="宋体"/>
                <w:sz w:val="18"/>
                <w:szCs w:val="18"/>
              </w:rPr>
              <w:fldChar w:fldCharType="begin"/>
            </w:r>
            <w:r>
              <w:rPr>
                <w:rFonts w:hint="eastAsia" w:ascii="宋体" w:hAnsi="宋体"/>
                <w:sz w:val="18"/>
                <w:szCs w:val="18"/>
              </w:rPr>
              <w:instrText xml:space="preserve">EQ \* jc0 \* hps9 \o(\s\up 8(</w:instrText>
            </w:r>
            <w:r>
              <w:rPr>
                <w:rFonts w:hint="eastAsia" w:ascii="宋体" w:hAnsi="宋体" w:cs="宋体"/>
                <w:sz w:val="18"/>
                <w:szCs w:val="18"/>
              </w:rPr>
              <w:instrText xml:space="preserve">-</w:instrText>
            </w:r>
            <w:r>
              <w:rPr>
                <w:rFonts w:hint="eastAsia" w:ascii="宋体" w:hAnsi="宋体"/>
                <w:sz w:val="18"/>
                <w:szCs w:val="18"/>
              </w:rPr>
              <w:instrText xml:space="preserve">),</w:instrText>
            </w:r>
            <w:r>
              <w:rPr>
                <w:rFonts w:hint="eastAsia" w:ascii="宋体" w:hAnsi="宋体" w:cs="宋体"/>
                <w:sz w:val="18"/>
                <w:szCs w:val="18"/>
              </w:rPr>
              <w:instrText xml:space="preserve">1</w:instrText>
            </w:r>
            <w:r>
              <w:rPr>
                <w:rFonts w:hint="eastAsia" w:ascii="宋体" w:hAnsi="宋体"/>
                <w:sz w:val="18"/>
                <w:szCs w:val="18"/>
              </w:rPr>
              <w:instrText xml:space="preserve">)</w:instrText>
            </w:r>
            <w:r>
              <w:rPr>
                <w:rFonts w:hint="eastAsia" w:ascii="宋体" w:hAnsi="宋体"/>
                <w:sz w:val="18"/>
                <w:szCs w:val="18"/>
              </w:rPr>
              <w:fldChar w:fldCharType="end"/>
            </w:r>
            <w:r>
              <w:rPr>
                <w:rFonts w:hint="eastAsia" w:ascii="宋体" w:hAnsi="宋体" w:cs="宋体"/>
                <w:sz w:val="18"/>
                <w:szCs w:val="18"/>
              </w:rPr>
              <w:t>]</w:t>
            </w:r>
          </w:p>
        </w:tc>
        <w:tc>
          <w:tcPr>
            <w:tcW w:w="1026" w:type="pct"/>
            <w:tcBorders>
              <w:top w:val="single" w:color="auto" w:sz="8" w:space="0"/>
              <w:tl2br w:val="nil"/>
              <w:tr2bl w:val="nil"/>
            </w:tcBorders>
          </w:tcPr>
          <w:p w14:paraId="16853F3F">
            <w:pPr>
              <w:snapToGrid w:val="0"/>
              <w:spacing w:line="240" w:lineRule="auto"/>
              <w:jc w:val="center"/>
              <w:rPr>
                <w:rFonts w:ascii="宋体" w:hAnsi="宋体"/>
                <w:sz w:val="18"/>
                <w:szCs w:val="18"/>
              </w:rPr>
            </w:pPr>
            <w:r>
              <w:rPr>
                <w:rFonts w:hint="eastAsia" w:ascii="宋体" w:hAnsi="宋体" w:cs="宋体"/>
                <w:sz w:val="18"/>
                <w:szCs w:val="18"/>
              </w:rPr>
              <w:t>[011]</w:t>
            </w:r>
          </w:p>
        </w:tc>
        <w:tc>
          <w:tcPr>
            <w:tcW w:w="982" w:type="pct"/>
            <w:tcBorders>
              <w:top w:val="single" w:color="auto" w:sz="8" w:space="0"/>
              <w:tl2br w:val="nil"/>
              <w:tr2bl w:val="nil"/>
            </w:tcBorders>
          </w:tcPr>
          <w:p w14:paraId="0A729433">
            <w:pPr>
              <w:snapToGrid w:val="0"/>
              <w:spacing w:line="240" w:lineRule="auto"/>
              <w:jc w:val="center"/>
              <w:rPr>
                <w:rFonts w:ascii="宋体" w:hAnsi="宋体"/>
                <w:sz w:val="18"/>
                <w:szCs w:val="18"/>
              </w:rPr>
            </w:pPr>
            <w:r>
              <w:rPr>
                <w:rFonts w:hint="eastAsia" w:ascii="宋体" w:hAnsi="宋体" w:cs="宋体"/>
                <w:sz w:val="18"/>
                <w:szCs w:val="18"/>
              </w:rPr>
              <w:t>180°</w:t>
            </w:r>
          </w:p>
        </w:tc>
      </w:tr>
      <w:tr w14:paraId="1B7E1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897" w:type="pct"/>
            <w:tcBorders>
              <w:tl2br w:val="nil"/>
              <w:tr2bl w:val="nil"/>
            </w:tcBorders>
          </w:tcPr>
          <w:p w14:paraId="62F2932E">
            <w:pPr>
              <w:snapToGrid w:val="0"/>
              <w:spacing w:line="240" w:lineRule="auto"/>
              <w:jc w:val="center"/>
              <w:rPr>
                <w:rFonts w:ascii="宋体" w:hAnsi="宋体"/>
                <w:sz w:val="18"/>
                <w:szCs w:val="18"/>
              </w:rPr>
            </w:pPr>
            <w:r>
              <w:rPr>
                <w:rFonts w:hint="eastAsia" w:ascii="宋体" w:hAnsi="宋体" w:cs="宋体"/>
                <w:sz w:val="18"/>
                <w:szCs w:val="18"/>
              </w:rPr>
              <w:t>&lt;100&gt;</w:t>
            </w:r>
          </w:p>
        </w:tc>
        <w:tc>
          <w:tcPr>
            <w:tcW w:w="1007" w:type="pct"/>
            <w:tcBorders>
              <w:tl2br w:val="nil"/>
              <w:tr2bl w:val="nil"/>
            </w:tcBorders>
          </w:tcPr>
          <w:p w14:paraId="28871AD5">
            <w:pPr>
              <w:snapToGrid w:val="0"/>
              <w:spacing w:line="240" w:lineRule="auto"/>
              <w:jc w:val="center"/>
              <w:rPr>
                <w:rFonts w:ascii="宋体" w:hAnsi="宋体"/>
                <w:sz w:val="18"/>
                <w:szCs w:val="18"/>
              </w:rPr>
            </w:pPr>
            <w:r>
              <w:rPr>
                <w:rFonts w:hint="eastAsia" w:ascii="宋体" w:hAnsi="宋体" w:cs="宋体"/>
                <w:sz w:val="18"/>
                <w:szCs w:val="18"/>
              </w:rPr>
              <w:t>6°</w:t>
            </w:r>
          </w:p>
        </w:tc>
        <w:tc>
          <w:tcPr>
            <w:tcW w:w="1088" w:type="pct"/>
            <w:tcBorders>
              <w:tl2br w:val="nil"/>
              <w:tr2bl w:val="nil"/>
            </w:tcBorders>
          </w:tcPr>
          <w:p w14:paraId="7E2E8C1C">
            <w:pPr>
              <w:snapToGrid w:val="0"/>
              <w:spacing w:line="240" w:lineRule="auto"/>
              <w:jc w:val="center"/>
              <w:rPr>
                <w:rFonts w:ascii="宋体" w:hAnsi="宋体"/>
                <w:sz w:val="18"/>
                <w:szCs w:val="18"/>
              </w:rPr>
            </w:pPr>
            <w:r>
              <w:rPr>
                <w:rFonts w:hint="eastAsia" w:ascii="宋体" w:hAnsi="宋体" w:cs="宋体"/>
                <w:sz w:val="18"/>
                <w:szCs w:val="18"/>
              </w:rPr>
              <w:t>[0</w:t>
            </w:r>
            <w:r>
              <w:rPr>
                <w:rFonts w:hint="eastAsia" w:ascii="宋体" w:hAnsi="宋体"/>
                <w:sz w:val="18"/>
                <w:szCs w:val="18"/>
              </w:rPr>
              <w:fldChar w:fldCharType="begin"/>
            </w:r>
            <w:r>
              <w:rPr>
                <w:rFonts w:hint="eastAsia" w:ascii="宋体" w:hAnsi="宋体"/>
                <w:sz w:val="18"/>
                <w:szCs w:val="18"/>
              </w:rPr>
              <w:instrText xml:space="preserve">EQ \* jc0 \* hps9 \o(\s\up 8(</w:instrText>
            </w:r>
            <w:r>
              <w:rPr>
                <w:rFonts w:hint="eastAsia" w:ascii="宋体" w:hAnsi="宋体" w:cs="宋体"/>
                <w:sz w:val="18"/>
                <w:szCs w:val="18"/>
              </w:rPr>
              <w:instrText xml:space="preserve">-</w:instrText>
            </w:r>
            <w:r>
              <w:rPr>
                <w:rFonts w:hint="eastAsia" w:ascii="宋体" w:hAnsi="宋体"/>
                <w:sz w:val="18"/>
                <w:szCs w:val="18"/>
              </w:rPr>
              <w:instrText xml:space="preserve">),</w:instrText>
            </w:r>
            <w:r>
              <w:rPr>
                <w:rFonts w:hint="eastAsia" w:ascii="宋体" w:hAnsi="宋体" w:cs="宋体"/>
                <w:sz w:val="18"/>
                <w:szCs w:val="18"/>
              </w:rPr>
              <w:instrText xml:space="preserve">1</w:instrText>
            </w:r>
            <w:r>
              <w:rPr>
                <w:rFonts w:hint="eastAsia" w:ascii="宋体" w:hAnsi="宋体"/>
                <w:sz w:val="18"/>
                <w:szCs w:val="18"/>
              </w:rPr>
              <w:instrText xml:space="preserve">)</w:instrText>
            </w:r>
            <w:r>
              <w:rPr>
                <w:rFonts w:hint="eastAsia" w:ascii="宋体" w:hAnsi="宋体"/>
                <w:sz w:val="18"/>
                <w:szCs w:val="18"/>
              </w:rPr>
              <w:fldChar w:fldCharType="end"/>
            </w:r>
            <w:r>
              <w:rPr>
                <w:rFonts w:hint="eastAsia" w:ascii="宋体" w:hAnsi="宋体"/>
                <w:sz w:val="18"/>
                <w:szCs w:val="18"/>
              </w:rPr>
              <w:fldChar w:fldCharType="begin"/>
            </w:r>
            <w:r>
              <w:rPr>
                <w:rFonts w:hint="eastAsia" w:ascii="宋体" w:hAnsi="宋体"/>
                <w:sz w:val="18"/>
                <w:szCs w:val="18"/>
              </w:rPr>
              <w:instrText xml:space="preserve">EQ \* jc0 \* hps9 \o(\s\up 8(</w:instrText>
            </w:r>
            <w:r>
              <w:rPr>
                <w:rFonts w:hint="eastAsia" w:ascii="宋体" w:hAnsi="宋体" w:cs="宋体"/>
                <w:sz w:val="18"/>
                <w:szCs w:val="18"/>
              </w:rPr>
              <w:instrText xml:space="preserve">-</w:instrText>
            </w:r>
            <w:r>
              <w:rPr>
                <w:rFonts w:hint="eastAsia" w:ascii="宋体" w:hAnsi="宋体"/>
                <w:sz w:val="18"/>
                <w:szCs w:val="18"/>
              </w:rPr>
              <w:instrText xml:space="preserve">),</w:instrText>
            </w:r>
            <w:r>
              <w:rPr>
                <w:rFonts w:hint="eastAsia" w:ascii="宋体" w:hAnsi="宋体" w:cs="宋体"/>
                <w:sz w:val="18"/>
                <w:szCs w:val="18"/>
              </w:rPr>
              <w:instrText xml:space="preserve">1</w:instrText>
            </w:r>
            <w:r>
              <w:rPr>
                <w:rFonts w:hint="eastAsia" w:ascii="宋体" w:hAnsi="宋体"/>
                <w:sz w:val="18"/>
                <w:szCs w:val="18"/>
              </w:rPr>
              <w:instrText xml:space="preserve">)</w:instrText>
            </w:r>
            <w:r>
              <w:rPr>
                <w:rFonts w:hint="eastAsia" w:ascii="宋体" w:hAnsi="宋体"/>
                <w:sz w:val="18"/>
                <w:szCs w:val="18"/>
              </w:rPr>
              <w:fldChar w:fldCharType="end"/>
            </w:r>
            <w:r>
              <w:rPr>
                <w:rFonts w:hint="eastAsia" w:ascii="宋体" w:hAnsi="宋体" w:cs="宋体"/>
                <w:sz w:val="18"/>
                <w:szCs w:val="18"/>
              </w:rPr>
              <w:t>]</w:t>
            </w:r>
          </w:p>
        </w:tc>
        <w:tc>
          <w:tcPr>
            <w:tcW w:w="1026" w:type="pct"/>
            <w:tcBorders>
              <w:tl2br w:val="nil"/>
              <w:tr2bl w:val="nil"/>
            </w:tcBorders>
          </w:tcPr>
          <w:p w14:paraId="0A399D4D">
            <w:pPr>
              <w:snapToGrid w:val="0"/>
              <w:spacing w:line="240" w:lineRule="auto"/>
              <w:jc w:val="center"/>
              <w:rPr>
                <w:rFonts w:ascii="宋体" w:hAnsi="宋体"/>
                <w:sz w:val="18"/>
                <w:szCs w:val="18"/>
              </w:rPr>
            </w:pPr>
            <w:r>
              <w:rPr>
                <w:rFonts w:hint="eastAsia" w:ascii="宋体" w:hAnsi="宋体" w:cs="宋体"/>
                <w:sz w:val="18"/>
                <w:szCs w:val="18"/>
              </w:rPr>
              <w:t>[011]</w:t>
            </w:r>
          </w:p>
        </w:tc>
        <w:tc>
          <w:tcPr>
            <w:tcW w:w="982" w:type="pct"/>
            <w:tcBorders>
              <w:tl2br w:val="nil"/>
              <w:tr2bl w:val="nil"/>
            </w:tcBorders>
          </w:tcPr>
          <w:p w14:paraId="313FFF22">
            <w:pPr>
              <w:snapToGrid w:val="0"/>
              <w:spacing w:line="240" w:lineRule="auto"/>
              <w:jc w:val="center"/>
              <w:rPr>
                <w:rFonts w:ascii="宋体" w:hAnsi="宋体"/>
                <w:sz w:val="18"/>
                <w:szCs w:val="18"/>
              </w:rPr>
            </w:pPr>
            <w:r>
              <w:rPr>
                <w:rFonts w:hint="eastAsia" w:ascii="宋体" w:hAnsi="宋体" w:cs="宋体"/>
                <w:sz w:val="18"/>
                <w:szCs w:val="18"/>
              </w:rPr>
              <w:t>180°</w:t>
            </w:r>
          </w:p>
        </w:tc>
      </w:tr>
      <w:tr w14:paraId="6C700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897" w:type="pct"/>
            <w:tcBorders>
              <w:tl2br w:val="nil"/>
              <w:tr2bl w:val="nil"/>
            </w:tcBorders>
          </w:tcPr>
          <w:p w14:paraId="0F922041">
            <w:pPr>
              <w:snapToGrid w:val="0"/>
              <w:spacing w:line="240" w:lineRule="auto"/>
              <w:jc w:val="center"/>
              <w:rPr>
                <w:rFonts w:ascii="宋体" w:hAnsi="宋体"/>
                <w:sz w:val="18"/>
                <w:szCs w:val="18"/>
              </w:rPr>
            </w:pPr>
            <w:r>
              <w:rPr>
                <w:rFonts w:hint="eastAsia" w:ascii="宋体" w:hAnsi="宋体" w:cs="宋体"/>
                <w:sz w:val="18"/>
                <w:szCs w:val="18"/>
              </w:rPr>
              <w:t>&lt;100&gt;</w:t>
            </w:r>
          </w:p>
        </w:tc>
        <w:tc>
          <w:tcPr>
            <w:tcW w:w="1007" w:type="pct"/>
            <w:tcBorders>
              <w:tl2br w:val="nil"/>
              <w:tr2bl w:val="nil"/>
            </w:tcBorders>
          </w:tcPr>
          <w:p w14:paraId="1D6E40BD">
            <w:pPr>
              <w:snapToGrid w:val="0"/>
              <w:spacing w:line="240" w:lineRule="auto"/>
              <w:jc w:val="center"/>
              <w:rPr>
                <w:rFonts w:ascii="宋体" w:hAnsi="宋体"/>
                <w:sz w:val="18"/>
                <w:szCs w:val="18"/>
              </w:rPr>
            </w:pPr>
            <w:r>
              <w:rPr>
                <w:rFonts w:hint="eastAsia" w:ascii="宋体" w:hAnsi="宋体" w:cs="宋体"/>
                <w:sz w:val="18"/>
                <w:szCs w:val="18"/>
              </w:rPr>
              <w:t>15°</w:t>
            </w:r>
          </w:p>
        </w:tc>
        <w:tc>
          <w:tcPr>
            <w:tcW w:w="1088" w:type="pct"/>
            <w:tcBorders>
              <w:tl2br w:val="nil"/>
              <w:tr2bl w:val="nil"/>
            </w:tcBorders>
          </w:tcPr>
          <w:p w14:paraId="74F16528">
            <w:pPr>
              <w:snapToGrid w:val="0"/>
              <w:spacing w:line="240" w:lineRule="auto"/>
              <w:jc w:val="center"/>
              <w:rPr>
                <w:rFonts w:ascii="宋体" w:hAnsi="宋体"/>
                <w:sz w:val="18"/>
                <w:szCs w:val="18"/>
              </w:rPr>
            </w:pPr>
            <w:r>
              <w:rPr>
                <w:rFonts w:hint="eastAsia" w:ascii="宋体" w:hAnsi="宋体" w:cs="宋体"/>
                <w:sz w:val="18"/>
                <w:szCs w:val="18"/>
              </w:rPr>
              <w:t>[0</w:t>
            </w:r>
            <w:r>
              <w:rPr>
                <w:rFonts w:hint="eastAsia" w:ascii="宋体" w:hAnsi="宋体"/>
                <w:sz w:val="18"/>
                <w:szCs w:val="18"/>
              </w:rPr>
              <w:fldChar w:fldCharType="begin"/>
            </w:r>
            <w:r>
              <w:rPr>
                <w:rFonts w:hint="eastAsia" w:ascii="宋体" w:hAnsi="宋体"/>
                <w:sz w:val="18"/>
                <w:szCs w:val="18"/>
              </w:rPr>
              <w:instrText xml:space="preserve">EQ \* jc0 \* hps9 \o(\s\up 8(</w:instrText>
            </w:r>
            <w:r>
              <w:rPr>
                <w:rFonts w:hint="eastAsia" w:ascii="宋体" w:hAnsi="宋体" w:cs="宋体"/>
                <w:sz w:val="18"/>
                <w:szCs w:val="18"/>
              </w:rPr>
              <w:instrText xml:space="preserve">-</w:instrText>
            </w:r>
            <w:r>
              <w:rPr>
                <w:rFonts w:hint="eastAsia" w:ascii="宋体" w:hAnsi="宋体"/>
                <w:sz w:val="18"/>
                <w:szCs w:val="18"/>
              </w:rPr>
              <w:instrText xml:space="preserve">),</w:instrText>
            </w:r>
            <w:r>
              <w:rPr>
                <w:rFonts w:hint="eastAsia" w:ascii="宋体" w:hAnsi="宋体" w:cs="宋体"/>
                <w:sz w:val="18"/>
                <w:szCs w:val="18"/>
              </w:rPr>
              <w:instrText xml:space="preserve">1</w:instrText>
            </w:r>
            <w:r>
              <w:rPr>
                <w:rFonts w:hint="eastAsia" w:ascii="宋体" w:hAnsi="宋体"/>
                <w:sz w:val="18"/>
                <w:szCs w:val="18"/>
              </w:rPr>
              <w:instrText xml:space="preserve">)</w:instrText>
            </w:r>
            <w:r>
              <w:rPr>
                <w:rFonts w:hint="eastAsia" w:ascii="宋体" w:hAnsi="宋体"/>
                <w:sz w:val="18"/>
                <w:szCs w:val="18"/>
              </w:rPr>
              <w:fldChar w:fldCharType="end"/>
            </w:r>
            <w:r>
              <w:rPr>
                <w:rFonts w:hint="eastAsia" w:ascii="宋体" w:hAnsi="宋体"/>
                <w:sz w:val="18"/>
                <w:szCs w:val="18"/>
              </w:rPr>
              <w:fldChar w:fldCharType="begin"/>
            </w:r>
            <w:r>
              <w:rPr>
                <w:rFonts w:hint="eastAsia" w:ascii="宋体" w:hAnsi="宋体"/>
                <w:sz w:val="18"/>
                <w:szCs w:val="18"/>
              </w:rPr>
              <w:instrText xml:space="preserve">EQ \* jc0 \* hps9 \o(\s\up 8(</w:instrText>
            </w:r>
            <w:r>
              <w:rPr>
                <w:rFonts w:hint="eastAsia" w:ascii="宋体" w:hAnsi="宋体" w:cs="宋体"/>
                <w:sz w:val="18"/>
                <w:szCs w:val="18"/>
              </w:rPr>
              <w:instrText xml:space="preserve">-</w:instrText>
            </w:r>
            <w:r>
              <w:rPr>
                <w:rFonts w:hint="eastAsia" w:ascii="宋体" w:hAnsi="宋体"/>
                <w:sz w:val="18"/>
                <w:szCs w:val="18"/>
              </w:rPr>
              <w:instrText xml:space="preserve">),</w:instrText>
            </w:r>
            <w:r>
              <w:rPr>
                <w:rFonts w:hint="eastAsia" w:ascii="宋体" w:hAnsi="宋体" w:cs="宋体"/>
                <w:sz w:val="18"/>
                <w:szCs w:val="18"/>
              </w:rPr>
              <w:instrText xml:space="preserve">1</w:instrText>
            </w:r>
            <w:r>
              <w:rPr>
                <w:rFonts w:hint="eastAsia" w:ascii="宋体" w:hAnsi="宋体"/>
                <w:sz w:val="18"/>
                <w:szCs w:val="18"/>
              </w:rPr>
              <w:instrText xml:space="preserve">)</w:instrText>
            </w:r>
            <w:r>
              <w:rPr>
                <w:rFonts w:hint="eastAsia" w:ascii="宋体" w:hAnsi="宋体"/>
                <w:sz w:val="18"/>
                <w:szCs w:val="18"/>
              </w:rPr>
              <w:fldChar w:fldCharType="end"/>
            </w:r>
            <w:r>
              <w:rPr>
                <w:rFonts w:hint="eastAsia" w:ascii="宋体" w:hAnsi="宋体" w:cs="宋体"/>
                <w:sz w:val="18"/>
                <w:szCs w:val="18"/>
              </w:rPr>
              <w:t>]</w:t>
            </w:r>
          </w:p>
        </w:tc>
        <w:tc>
          <w:tcPr>
            <w:tcW w:w="1026" w:type="pct"/>
            <w:tcBorders>
              <w:tl2br w:val="nil"/>
              <w:tr2bl w:val="nil"/>
            </w:tcBorders>
          </w:tcPr>
          <w:p w14:paraId="1266ED39">
            <w:pPr>
              <w:snapToGrid w:val="0"/>
              <w:spacing w:line="240" w:lineRule="auto"/>
              <w:jc w:val="center"/>
              <w:rPr>
                <w:rFonts w:ascii="宋体" w:hAnsi="宋体"/>
                <w:sz w:val="18"/>
                <w:szCs w:val="18"/>
              </w:rPr>
            </w:pPr>
            <w:r>
              <w:rPr>
                <w:rFonts w:hint="eastAsia" w:ascii="宋体" w:hAnsi="宋体" w:cs="宋体"/>
                <w:sz w:val="18"/>
                <w:szCs w:val="18"/>
              </w:rPr>
              <w:t>[011]</w:t>
            </w:r>
          </w:p>
        </w:tc>
        <w:tc>
          <w:tcPr>
            <w:tcW w:w="982" w:type="pct"/>
            <w:tcBorders>
              <w:tl2br w:val="nil"/>
              <w:tr2bl w:val="nil"/>
            </w:tcBorders>
          </w:tcPr>
          <w:p w14:paraId="7195C221">
            <w:pPr>
              <w:snapToGrid w:val="0"/>
              <w:spacing w:line="240" w:lineRule="auto"/>
              <w:jc w:val="center"/>
              <w:rPr>
                <w:rFonts w:ascii="宋体" w:hAnsi="宋体"/>
                <w:sz w:val="18"/>
                <w:szCs w:val="18"/>
              </w:rPr>
            </w:pPr>
            <w:r>
              <w:rPr>
                <w:rFonts w:hint="eastAsia" w:ascii="宋体" w:hAnsi="宋体" w:cs="宋体"/>
                <w:sz w:val="18"/>
                <w:szCs w:val="18"/>
              </w:rPr>
              <w:t>180°</w:t>
            </w:r>
          </w:p>
        </w:tc>
      </w:tr>
      <w:tr w14:paraId="001AF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897" w:type="pct"/>
            <w:tcBorders>
              <w:tl2br w:val="nil"/>
              <w:tr2bl w:val="nil"/>
            </w:tcBorders>
          </w:tcPr>
          <w:p w14:paraId="74322096">
            <w:pPr>
              <w:snapToGrid w:val="0"/>
              <w:spacing w:line="240" w:lineRule="auto"/>
              <w:jc w:val="center"/>
              <w:rPr>
                <w:rFonts w:ascii="宋体" w:hAnsi="宋体"/>
                <w:sz w:val="18"/>
                <w:szCs w:val="18"/>
              </w:rPr>
            </w:pPr>
            <w:r>
              <w:rPr>
                <w:rFonts w:hint="eastAsia" w:ascii="宋体" w:hAnsi="宋体" w:cs="宋体"/>
                <w:sz w:val="18"/>
                <w:szCs w:val="18"/>
              </w:rPr>
              <w:t>&lt;100&gt;</w:t>
            </w:r>
          </w:p>
        </w:tc>
        <w:tc>
          <w:tcPr>
            <w:tcW w:w="1007" w:type="pct"/>
            <w:tcBorders>
              <w:tl2br w:val="nil"/>
              <w:tr2bl w:val="nil"/>
            </w:tcBorders>
          </w:tcPr>
          <w:p w14:paraId="71F63144">
            <w:pPr>
              <w:snapToGrid w:val="0"/>
              <w:spacing w:line="240" w:lineRule="auto"/>
              <w:jc w:val="center"/>
              <w:rPr>
                <w:rFonts w:ascii="宋体" w:hAnsi="宋体"/>
                <w:sz w:val="18"/>
                <w:szCs w:val="18"/>
              </w:rPr>
            </w:pPr>
            <w:r>
              <w:rPr>
                <w:rFonts w:hint="eastAsia" w:ascii="宋体" w:hAnsi="宋体" w:cs="宋体"/>
                <w:sz w:val="18"/>
                <w:szCs w:val="18"/>
              </w:rPr>
              <w:t>15°</w:t>
            </w:r>
          </w:p>
        </w:tc>
        <w:tc>
          <w:tcPr>
            <w:tcW w:w="1088" w:type="pct"/>
            <w:tcBorders>
              <w:tl2br w:val="nil"/>
              <w:tr2bl w:val="nil"/>
            </w:tcBorders>
          </w:tcPr>
          <w:p w14:paraId="1493A255">
            <w:pPr>
              <w:snapToGrid w:val="0"/>
              <w:spacing w:line="240" w:lineRule="auto"/>
              <w:jc w:val="center"/>
              <w:rPr>
                <w:rFonts w:ascii="宋体" w:hAnsi="宋体"/>
                <w:sz w:val="18"/>
                <w:szCs w:val="18"/>
              </w:rPr>
            </w:pPr>
            <w:r>
              <w:rPr>
                <w:rFonts w:hint="eastAsia" w:ascii="宋体" w:hAnsi="宋体" w:cs="宋体"/>
                <w:sz w:val="18"/>
                <w:szCs w:val="18"/>
              </w:rPr>
              <w:t>[0</w:t>
            </w:r>
            <w:r>
              <w:rPr>
                <w:rFonts w:hint="eastAsia" w:ascii="宋体" w:hAnsi="宋体"/>
                <w:sz w:val="18"/>
                <w:szCs w:val="18"/>
              </w:rPr>
              <w:fldChar w:fldCharType="begin"/>
            </w:r>
            <w:r>
              <w:rPr>
                <w:rFonts w:hint="eastAsia" w:ascii="宋体" w:hAnsi="宋体"/>
                <w:sz w:val="18"/>
                <w:szCs w:val="18"/>
              </w:rPr>
              <w:instrText xml:space="preserve">EQ \* jc0 \* hps9 \o(\s\up 8(</w:instrText>
            </w:r>
            <w:r>
              <w:rPr>
                <w:rFonts w:hint="eastAsia" w:ascii="宋体" w:hAnsi="宋体" w:cs="宋体"/>
                <w:sz w:val="18"/>
                <w:szCs w:val="18"/>
              </w:rPr>
              <w:instrText xml:space="preserve">-</w:instrText>
            </w:r>
            <w:r>
              <w:rPr>
                <w:rFonts w:hint="eastAsia" w:ascii="宋体" w:hAnsi="宋体"/>
                <w:sz w:val="18"/>
                <w:szCs w:val="18"/>
              </w:rPr>
              <w:instrText xml:space="preserve">),</w:instrText>
            </w:r>
            <w:r>
              <w:rPr>
                <w:rFonts w:hint="eastAsia" w:ascii="宋体" w:hAnsi="宋体" w:cs="宋体"/>
                <w:sz w:val="18"/>
                <w:szCs w:val="18"/>
              </w:rPr>
              <w:instrText xml:space="preserve">1</w:instrText>
            </w:r>
            <w:r>
              <w:rPr>
                <w:rFonts w:hint="eastAsia" w:ascii="宋体" w:hAnsi="宋体"/>
                <w:sz w:val="18"/>
                <w:szCs w:val="18"/>
              </w:rPr>
              <w:instrText xml:space="preserve">)</w:instrText>
            </w:r>
            <w:r>
              <w:rPr>
                <w:rFonts w:hint="eastAsia" w:ascii="宋体" w:hAnsi="宋体"/>
                <w:sz w:val="18"/>
                <w:szCs w:val="18"/>
              </w:rPr>
              <w:fldChar w:fldCharType="end"/>
            </w:r>
            <w:r>
              <w:rPr>
                <w:rFonts w:hint="eastAsia" w:ascii="宋体" w:hAnsi="宋体" w:cs="宋体"/>
                <w:sz w:val="18"/>
                <w:szCs w:val="18"/>
              </w:rPr>
              <w:t>1]</w:t>
            </w:r>
          </w:p>
        </w:tc>
        <w:tc>
          <w:tcPr>
            <w:tcW w:w="1026" w:type="pct"/>
            <w:tcBorders>
              <w:tl2br w:val="nil"/>
              <w:tr2bl w:val="nil"/>
            </w:tcBorders>
          </w:tcPr>
          <w:p w14:paraId="460818DC">
            <w:pPr>
              <w:snapToGrid w:val="0"/>
              <w:spacing w:line="240" w:lineRule="auto"/>
              <w:jc w:val="center"/>
              <w:rPr>
                <w:rFonts w:ascii="宋体" w:hAnsi="宋体"/>
                <w:sz w:val="18"/>
                <w:szCs w:val="18"/>
              </w:rPr>
            </w:pPr>
            <w:r>
              <w:rPr>
                <w:rFonts w:hint="eastAsia" w:ascii="宋体" w:hAnsi="宋体" w:cs="宋体"/>
                <w:sz w:val="18"/>
                <w:szCs w:val="18"/>
              </w:rPr>
              <w:t>[0</w:t>
            </w:r>
            <w:r>
              <w:rPr>
                <w:rFonts w:hint="eastAsia" w:ascii="宋体" w:hAnsi="宋体"/>
                <w:sz w:val="18"/>
                <w:szCs w:val="18"/>
              </w:rPr>
              <w:fldChar w:fldCharType="begin"/>
            </w:r>
            <w:r>
              <w:rPr>
                <w:rFonts w:hint="eastAsia" w:ascii="宋体" w:hAnsi="宋体"/>
                <w:sz w:val="18"/>
                <w:szCs w:val="18"/>
              </w:rPr>
              <w:instrText xml:space="preserve">EQ \* jc0 \* hps9 \o(\s\up 8(</w:instrText>
            </w:r>
            <w:r>
              <w:rPr>
                <w:rFonts w:hint="eastAsia" w:ascii="宋体" w:hAnsi="宋体" w:cs="宋体"/>
                <w:sz w:val="18"/>
                <w:szCs w:val="18"/>
              </w:rPr>
              <w:instrText xml:space="preserve">-</w:instrText>
            </w:r>
            <w:r>
              <w:rPr>
                <w:rFonts w:hint="eastAsia" w:ascii="宋体" w:hAnsi="宋体"/>
                <w:sz w:val="18"/>
                <w:szCs w:val="18"/>
              </w:rPr>
              <w:instrText xml:space="preserve">),</w:instrText>
            </w:r>
            <w:r>
              <w:rPr>
                <w:rFonts w:hint="eastAsia" w:ascii="宋体" w:hAnsi="宋体" w:cs="宋体"/>
                <w:sz w:val="18"/>
                <w:szCs w:val="18"/>
              </w:rPr>
              <w:instrText xml:space="preserve">1</w:instrText>
            </w:r>
            <w:r>
              <w:rPr>
                <w:rFonts w:hint="eastAsia" w:ascii="宋体" w:hAnsi="宋体"/>
                <w:sz w:val="18"/>
                <w:szCs w:val="18"/>
              </w:rPr>
              <w:instrText xml:space="preserve">)</w:instrText>
            </w:r>
            <w:r>
              <w:rPr>
                <w:rFonts w:hint="eastAsia" w:ascii="宋体" w:hAnsi="宋体"/>
                <w:sz w:val="18"/>
                <w:szCs w:val="18"/>
              </w:rPr>
              <w:fldChar w:fldCharType="end"/>
            </w:r>
            <w:r>
              <w:rPr>
                <w:rFonts w:hint="eastAsia" w:ascii="宋体" w:hAnsi="宋体"/>
                <w:sz w:val="18"/>
                <w:szCs w:val="18"/>
              </w:rPr>
              <w:fldChar w:fldCharType="begin"/>
            </w:r>
            <w:r>
              <w:rPr>
                <w:rFonts w:hint="eastAsia" w:ascii="宋体" w:hAnsi="宋体"/>
                <w:sz w:val="18"/>
                <w:szCs w:val="18"/>
              </w:rPr>
              <w:instrText xml:space="preserve">EQ \* jc0 \* hps9 \o(\s\up 8(</w:instrText>
            </w:r>
            <w:r>
              <w:rPr>
                <w:rFonts w:hint="eastAsia" w:ascii="宋体" w:hAnsi="宋体" w:cs="宋体"/>
                <w:sz w:val="18"/>
                <w:szCs w:val="18"/>
              </w:rPr>
              <w:instrText xml:space="preserve">-</w:instrText>
            </w:r>
            <w:r>
              <w:rPr>
                <w:rFonts w:hint="eastAsia" w:ascii="宋体" w:hAnsi="宋体"/>
                <w:sz w:val="18"/>
                <w:szCs w:val="18"/>
              </w:rPr>
              <w:instrText xml:space="preserve">),</w:instrText>
            </w:r>
            <w:r>
              <w:rPr>
                <w:rFonts w:hint="eastAsia" w:ascii="宋体" w:hAnsi="宋体" w:cs="宋体"/>
                <w:sz w:val="18"/>
                <w:szCs w:val="18"/>
              </w:rPr>
              <w:instrText xml:space="preserve">1</w:instrText>
            </w:r>
            <w:r>
              <w:rPr>
                <w:rFonts w:hint="eastAsia" w:ascii="宋体" w:hAnsi="宋体"/>
                <w:sz w:val="18"/>
                <w:szCs w:val="18"/>
              </w:rPr>
              <w:instrText xml:space="preserve">)</w:instrText>
            </w:r>
            <w:r>
              <w:rPr>
                <w:rFonts w:hint="eastAsia" w:ascii="宋体" w:hAnsi="宋体"/>
                <w:sz w:val="18"/>
                <w:szCs w:val="18"/>
              </w:rPr>
              <w:fldChar w:fldCharType="end"/>
            </w:r>
            <w:r>
              <w:rPr>
                <w:rFonts w:hint="eastAsia" w:ascii="宋体" w:hAnsi="宋体" w:cs="宋体"/>
                <w:sz w:val="18"/>
                <w:szCs w:val="18"/>
              </w:rPr>
              <w:t>]</w:t>
            </w:r>
          </w:p>
        </w:tc>
        <w:tc>
          <w:tcPr>
            <w:tcW w:w="982" w:type="pct"/>
            <w:tcBorders>
              <w:tl2br w:val="nil"/>
              <w:tr2bl w:val="nil"/>
            </w:tcBorders>
          </w:tcPr>
          <w:p w14:paraId="20E8277F">
            <w:pPr>
              <w:snapToGrid w:val="0"/>
              <w:spacing w:line="240" w:lineRule="auto"/>
              <w:jc w:val="center"/>
              <w:rPr>
                <w:rFonts w:ascii="宋体" w:hAnsi="宋体"/>
                <w:sz w:val="18"/>
                <w:szCs w:val="18"/>
              </w:rPr>
            </w:pPr>
            <w:r>
              <w:rPr>
                <w:rFonts w:hint="eastAsia" w:ascii="宋体" w:hAnsi="宋体" w:cs="宋体"/>
                <w:sz w:val="18"/>
                <w:szCs w:val="18"/>
              </w:rPr>
              <w:t>90°</w:t>
            </w:r>
          </w:p>
        </w:tc>
      </w:tr>
    </w:tbl>
    <w:p w14:paraId="68999111">
      <w:pPr>
        <w:pStyle w:val="105"/>
        <w:spacing w:before="156" w:after="156"/>
      </w:pPr>
      <w:bookmarkStart w:id="78" w:name="_Toc161927900"/>
      <w:bookmarkStart w:id="79" w:name="_Toc161963360"/>
      <w:bookmarkStart w:id="80" w:name="_Toc161928077"/>
      <w:r>
        <w:rPr>
          <w:rFonts w:hint="eastAsia"/>
        </w:rPr>
        <w:t>几何尺寸</w:t>
      </w:r>
      <w:bookmarkEnd w:id="78"/>
      <w:bookmarkEnd w:id="79"/>
      <w:bookmarkEnd w:id="80"/>
    </w:p>
    <w:p w14:paraId="054AC079">
      <w:pPr>
        <w:pStyle w:val="56"/>
        <w:ind w:firstLine="420"/>
      </w:pPr>
      <w:r>
        <w:rPr>
          <w:rFonts w:hint="eastAsia"/>
        </w:rPr>
        <w:t>砷化镓衬底几何尺寸符合表</w:t>
      </w:r>
      <w:r>
        <w:rPr>
          <w:rFonts w:hint="eastAsia"/>
          <w:lang w:val="en-US" w:eastAsia="zh-CN"/>
        </w:rPr>
        <w:t>8</w:t>
      </w:r>
      <w:r>
        <w:rPr>
          <w:rFonts w:hint="eastAsia"/>
        </w:rPr>
        <w:t>的规定。</w:t>
      </w:r>
    </w:p>
    <w:p w14:paraId="0E809D95">
      <w:pPr>
        <w:pStyle w:val="112"/>
        <w:spacing w:before="156" w:after="156"/>
        <w:rPr>
          <w:highlight w:val="none"/>
        </w:rPr>
      </w:pPr>
      <w:r>
        <w:rPr>
          <w:rFonts w:hint="eastAsia"/>
          <w:highlight w:val="none"/>
        </w:rPr>
        <w:t>砷化镓衬底的几何尺寸</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85" w:type="dxa"/>
          <w:bottom w:w="57" w:type="dxa"/>
          <w:right w:w="85" w:type="dxa"/>
        </w:tblCellMar>
      </w:tblPr>
      <w:tblGrid>
        <w:gridCol w:w="554"/>
        <w:gridCol w:w="1985"/>
        <w:gridCol w:w="1688"/>
        <w:gridCol w:w="1318"/>
        <w:gridCol w:w="1397"/>
        <w:gridCol w:w="1322"/>
        <w:gridCol w:w="1260"/>
      </w:tblGrid>
      <w:tr w14:paraId="270C5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blHeader/>
          <w:jc w:val="center"/>
        </w:trPr>
        <w:tc>
          <w:tcPr>
            <w:tcW w:w="291" w:type="pct"/>
            <w:vMerge w:val="restart"/>
            <w:vAlign w:val="center"/>
          </w:tcPr>
          <w:p w14:paraId="577D1FC0">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序号</w:t>
            </w:r>
          </w:p>
        </w:tc>
        <w:tc>
          <w:tcPr>
            <w:tcW w:w="1042" w:type="pct"/>
            <w:vMerge w:val="restart"/>
            <w:vAlign w:val="center"/>
          </w:tcPr>
          <w:p w14:paraId="15235ADA">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项目</w:t>
            </w:r>
          </w:p>
        </w:tc>
        <w:tc>
          <w:tcPr>
            <w:tcW w:w="3666" w:type="pct"/>
            <w:gridSpan w:val="5"/>
            <w:vAlign w:val="center"/>
          </w:tcPr>
          <w:p w14:paraId="71CC4059">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要求</w:t>
            </w:r>
          </w:p>
        </w:tc>
      </w:tr>
      <w:tr w14:paraId="7DFAC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blHeader/>
          <w:jc w:val="center"/>
        </w:trPr>
        <w:tc>
          <w:tcPr>
            <w:tcW w:w="291" w:type="pct"/>
            <w:vMerge w:val="continue"/>
            <w:tcBorders>
              <w:bottom w:val="single" w:color="auto" w:sz="8" w:space="0"/>
            </w:tcBorders>
            <w:vAlign w:val="center"/>
          </w:tcPr>
          <w:p w14:paraId="05F5419E">
            <w:pPr>
              <w:snapToGrid w:val="0"/>
              <w:spacing w:line="240" w:lineRule="auto"/>
              <w:jc w:val="center"/>
              <w:rPr>
                <w:rFonts w:ascii="宋体" w:hAnsi="宋体"/>
                <w:sz w:val="18"/>
                <w:szCs w:val="18"/>
                <w:highlight w:val="none"/>
              </w:rPr>
            </w:pPr>
          </w:p>
        </w:tc>
        <w:tc>
          <w:tcPr>
            <w:tcW w:w="1042" w:type="pct"/>
            <w:vMerge w:val="continue"/>
            <w:tcBorders>
              <w:bottom w:val="single" w:color="auto" w:sz="8" w:space="0"/>
            </w:tcBorders>
            <w:vAlign w:val="center"/>
          </w:tcPr>
          <w:p w14:paraId="7AF369EF">
            <w:pPr>
              <w:snapToGrid w:val="0"/>
              <w:spacing w:line="240" w:lineRule="auto"/>
              <w:jc w:val="center"/>
              <w:rPr>
                <w:rFonts w:ascii="宋体" w:hAnsi="宋体"/>
                <w:sz w:val="18"/>
                <w:szCs w:val="18"/>
                <w:highlight w:val="none"/>
              </w:rPr>
            </w:pPr>
          </w:p>
        </w:tc>
        <w:tc>
          <w:tcPr>
            <w:tcW w:w="886" w:type="pct"/>
            <w:tcBorders>
              <w:bottom w:val="single" w:color="auto" w:sz="8" w:space="0"/>
            </w:tcBorders>
            <w:vAlign w:val="center"/>
          </w:tcPr>
          <w:p w14:paraId="2DCF056F">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Φ50.8</w:t>
            </w:r>
            <w:r>
              <w:rPr>
                <w:rFonts w:hint="eastAsia"/>
                <w:highlight w:val="none"/>
                <w:vertAlign w:val="subscript"/>
              </w:rPr>
              <w:t xml:space="preserve"> </w:t>
            </w:r>
            <w:r>
              <w:rPr>
                <w:rFonts w:hint="eastAsia" w:ascii="宋体" w:hAnsi="宋体" w:cs="宋体"/>
                <w:sz w:val="18"/>
                <w:szCs w:val="18"/>
                <w:highlight w:val="none"/>
              </w:rPr>
              <w:t>mm</w:t>
            </w:r>
          </w:p>
        </w:tc>
        <w:tc>
          <w:tcPr>
            <w:tcW w:w="692" w:type="pct"/>
            <w:tcBorders>
              <w:bottom w:val="single" w:color="auto" w:sz="8" w:space="0"/>
            </w:tcBorders>
            <w:vAlign w:val="center"/>
          </w:tcPr>
          <w:p w14:paraId="0EE3E93E">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Φ76.2</w:t>
            </w:r>
            <w:r>
              <w:rPr>
                <w:rFonts w:hint="eastAsia"/>
                <w:highlight w:val="none"/>
                <w:vertAlign w:val="subscript"/>
              </w:rPr>
              <w:t xml:space="preserve"> </w:t>
            </w:r>
            <w:r>
              <w:rPr>
                <w:rFonts w:hint="eastAsia" w:ascii="宋体" w:hAnsi="宋体" w:cs="宋体"/>
                <w:sz w:val="18"/>
                <w:szCs w:val="18"/>
                <w:highlight w:val="none"/>
              </w:rPr>
              <w:t>mm</w:t>
            </w:r>
          </w:p>
        </w:tc>
        <w:tc>
          <w:tcPr>
            <w:tcW w:w="733" w:type="pct"/>
            <w:tcBorders>
              <w:bottom w:val="single" w:color="auto" w:sz="8" w:space="0"/>
            </w:tcBorders>
            <w:vAlign w:val="center"/>
          </w:tcPr>
          <w:p w14:paraId="01721E3F">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Φ100.0</w:t>
            </w:r>
            <w:r>
              <w:rPr>
                <w:rFonts w:hint="eastAsia"/>
                <w:highlight w:val="none"/>
                <w:vertAlign w:val="subscript"/>
              </w:rPr>
              <w:t xml:space="preserve"> </w:t>
            </w:r>
            <w:r>
              <w:rPr>
                <w:rFonts w:hint="eastAsia" w:ascii="宋体" w:hAnsi="宋体" w:cs="宋体"/>
                <w:sz w:val="18"/>
                <w:szCs w:val="18"/>
                <w:highlight w:val="none"/>
              </w:rPr>
              <w:t>mm</w:t>
            </w:r>
          </w:p>
        </w:tc>
        <w:tc>
          <w:tcPr>
            <w:tcW w:w="694" w:type="pct"/>
            <w:tcBorders>
              <w:bottom w:val="single" w:color="auto" w:sz="8" w:space="0"/>
            </w:tcBorders>
            <w:vAlign w:val="center"/>
          </w:tcPr>
          <w:p w14:paraId="7E7CC359">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Φ150.0</w:t>
            </w:r>
            <w:r>
              <w:rPr>
                <w:rFonts w:hint="eastAsia"/>
                <w:highlight w:val="none"/>
                <w:vertAlign w:val="subscript"/>
              </w:rPr>
              <w:t xml:space="preserve"> </w:t>
            </w:r>
            <w:r>
              <w:rPr>
                <w:rFonts w:hint="eastAsia" w:ascii="宋体" w:hAnsi="宋体" w:cs="宋体"/>
                <w:sz w:val="18"/>
                <w:szCs w:val="18"/>
                <w:highlight w:val="none"/>
              </w:rPr>
              <w:t>mm</w:t>
            </w:r>
          </w:p>
        </w:tc>
        <w:tc>
          <w:tcPr>
            <w:tcW w:w="658" w:type="pct"/>
            <w:tcBorders>
              <w:bottom w:val="single" w:color="auto" w:sz="8" w:space="0"/>
            </w:tcBorders>
            <w:vAlign w:val="center"/>
          </w:tcPr>
          <w:p w14:paraId="33F06B66">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Φ200.0</w:t>
            </w:r>
            <w:r>
              <w:rPr>
                <w:rFonts w:hint="eastAsia"/>
                <w:highlight w:val="none"/>
                <w:vertAlign w:val="subscript"/>
              </w:rPr>
              <w:t xml:space="preserve"> </w:t>
            </w:r>
            <w:r>
              <w:rPr>
                <w:rFonts w:hint="eastAsia" w:ascii="宋体" w:hAnsi="宋体" w:cs="宋体"/>
                <w:sz w:val="18"/>
                <w:szCs w:val="18"/>
                <w:highlight w:val="none"/>
              </w:rPr>
              <w:t>mm</w:t>
            </w:r>
          </w:p>
        </w:tc>
      </w:tr>
      <w:tr w14:paraId="0501A5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91" w:type="pct"/>
            <w:tcBorders>
              <w:top w:val="single" w:color="auto" w:sz="8" w:space="0"/>
              <w:bottom w:val="single" w:color="auto" w:sz="4" w:space="0"/>
            </w:tcBorders>
            <w:vAlign w:val="center"/>
          </w:tcPr>
          <w:p w14:paraId="23B680DE">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1</w:t>
            </w:r>
          </w:p>
        </w:tc>
        <w:tc>
          <w:tcPr>
            <w:tcW w:w="1042" w:type="pct"/>
            <w:tcBorders>
              <w:top w:val="single" w:color="auto" w:sz="8" w:space="0"/>
              <w:bottom w:val="single" w:color="auto" w:sz="4" w:space="0"/>
            </w:tcBorders>
            <w:vAlign w:val="center"/>
          </w:tcPr>
          <w:p w14:paraId="4B92004E">
            <w:pPr>
              <w:snapToGrid w:val="0"/>
              <w:spacing w:line="240" w:lineRule="auto"/>
              <w:jc w:val="center"/>
              <w:rPr>
                <w:rFonts w:ascii="宋体" w:hAnsi="宋体" w:cs="宋体"/>
                <w:sz w:val="18"/>
                <w:szCs w:val="18"/>
                <w:highlight w:val="none"/>
              </w:rPr>
            </w:pPr>
            <w:r>
              <w:rPr>
                <w:rFonts w:hint="eastAsia" w:ascii="宋体" w:hAnsi="宋体" w:cs="宋体"/>
                <w:sz w:val="18"/>
                <w:szCs w:val="18"/>
                <w:highlight w:val="none"/>
              </w:rPr>
              <w:t>直径及允许偏差</w:t>
            </w:r>
          </w:p>
          <w:p w14:paraId="765376BC">
            <w:pPr>
              <w:snapToGrid w:val="0"/>
              <w:spacing w:line="240" w:lineRule="auto"/>
              <w:jc w:val="center"/>
              <w:rPr>
                <w:rFonts w:ascii="宋体" w:hAnsi="宋体"/>
                <w:sz w:val="18"/>
                <w:szCs w:val="18"/>
                <w:highlight w:val="none"/>
              </w:rPr>
            </w:pP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mm</w:t>
            </w:r>
          </w:p>
        </w:tc>
        <w:tc>
          <w:tcPr>
            <w:tcW w:w="886" w:type="pct"/>
            <w:tcBorders>
              <w:top w:val="single" w:color="auto" w:sz="8" w:space="0"/>
              <w:bottom w:val="single" w:color="auto" w:sz="4" w:space="0"/>
            </w:tcBorders>
            <w:vAlign w:val="center"/>
          </w:tcPr>
          <w:p w14:paraId="03FDE08C">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50.8±0.2</w:t>
            </w:r>
          </w:p>
        </w:tc>
        <w:tc>
          <w:tcPr>
            <w:tcW w:w="692" w:type="pct"/>
            <w:tcBorders>
              <w:top w:val="single" w:color="auto" w:sz="8" w:space="0"/>
              <w:bottom w:val="single" w:color="auto" w:sz="4" w:space="0"/>
            </w:tcBorders>
            <w:vAlign w:val="center"/>
          </w:tcPr>
          <w:p w14:paraId="06800242">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76.2±0.2</w:t>
            </w:r>
          </w:p>
        </w:tc>
        <w:tc>
          <w:tcPr>
            <w:tcW w:w="733" w:type="pct"/>
            <w:tcBorders>
              <w:top w:val="single" w:color="auto" w:sz="8" w:space="0"/>
              <w:bottom w:val="single" w:color="auto" w:sz="4" w:space="0"/>
            </w:tcBorders>
            <w:vAlign w:val="center"/>
          </w:tcPr>
          <w:p w14:paraId="586502B4">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100±0.2</w:t>
            </w:r>
          </w:p>
        </w:tc>
        <w:tc>
          <w:tcPr>
            <w:tcW w:w="694" w:type="pct"/>
            <w:tcBorders>
              <w:top w:val="single" w:color="auto" w:sz="8" w:space="0"/>
              <w:bottom w:val="single" w:color="auto" w:sz="4" w:space="0"/>
            </w:tcBorders>
            <w:vAlign w:val="center"/>
          </w:tcPr>
          <w:p w14:paraId="091DEED2">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150±0.3</w:t>
            </w:r>
          </w:p>
        </w:tc>
        <w:tc>
          <w:tcPr>
            <w:tcW w:w="658" w:type="pct"/>
            <w:tcBorders>
              <w:top w:val="single" w:color="auto" w:sz="8" w:space="0"/>
              <w:bottom w:val="single" w:color="auto" w:sz="4" w:space="0"/>
            </w:tcBorders>
            <w:vAlign w:val="center"/>
          </w:tcPr>
          <w:p w14:paraId="65D4F0B6">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200±0.3</w:t>
            </w:r>
          </w:p>
        </w:tc>
      </w:tr>
      <w:tr w14:paraId="256E8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91" w:type="pct"/>
            <w:tcBorders>
              <w:top w:val="single" w:color="auto" w:sz="4" w:space="0"/>
            </w:tcBorders>
            <w:vAlign w:val="center"/>
          </w:tcPr>
          <w:p w14:paraId="6DD98D29">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2</w:t>
            </w:r>
          </w:p>
        </w:tc>
        <w:tc>
          <w:tcPr>
            <w:tcW w:w="1042" w:type="pct"/>
            <w:tcBorders>
              <w:top w:val="single" w:color="auto" w:sz="4" w:space="0"/>
            </w:tcBorders>
            <w:vAlign w:val="center"/>
          </w:tcPr>
          <w:p w14:paraId="36F3F2CB">
            <w:pPr>
              <w:snapToGrid w:val="0"/>
              <w:spacing w:line="240" w:lineRule="auto"/>
              <w:jc w:val="center"/>
              <w:rPr>
                <w:rFonts w:ascii="宋体" w:hAnsi="宋体" w:cs="宋体"/>
                <w:sz w:val="18"/>
                <w:szCs w:val="18"/>
                <w:highlight w:val="none"/>
              </w:rPr>
            </w:pPr>
            <w:r>
              <w:rPr>
                <w:rFonts w:hint="eastAsia" w:ascii="宋体" w:hAnsi="宋体" w:cs="宋体"/>
                <w:sz w:val="18"/>
                <w:szCs w:val="18"/>
                <w:highlight w:val="none"/>
              </w:rPr>
              <w:t>厚度及允许偏差</w:t>
            </w:r>
          </w:p>
          <w:p w14:paraId="3DD7075F">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μm</w:t>
            </w:r>
          </w:p>
        </w:tc>
        <w:tc>
          <w:tcPr>
            <w:tcW w:w="886" w:type="pct"/>
            <w:tcBorders>
              <w:top w:val="single" w:color="auto" w:sz="4" w:space="0"/>
            </w:tcBorders>
            <w:vAlign w:val="center"/>
          </w:tcPr>
          <w:p w14:paraId="5054C895">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（275～650）±20</w:t>
            </w:r>
          </w:p>
        </w:tc>
        <w:tc>
          <w:tcPr>
            <w:tcW w:w="692" w:type="pct"/>
            <w:tcBorders>
              <w:top w:val="single" w:color="auto" w:sz="4" w:space="0"/>
            </w:tcBorders>
            <w:vAlign w:val="center"/>
          </w:tcPr>
          <w:p w14:paraId="5E4A6873">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（275～650）±20</w:t>
            </w:r>
          </w:p>
        </w:tc>
        <w:tc>
          <w:tcPr>
            <w:tcW w:w="733" w:type="pct"/>
            <w:tcBorders>
              <w:top w:val="single" w:color="auto" w:sz="4" w:space="0"/>
            </w:tcBorders>
            <w:vAlign w:val="center"/>
          </w:tcPr>
          <w:p w14:paraId="74C34E11">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（300～650）±25</w:t>
            </w:r>
          </w:p>
        </w:tc>
        <w:tc>
          <w:tcPr>
            <w:tcW w:w="694" w:type="pct"/>
            <w:tcBorders>
              <w:top w:val="single" w:color="auto" w:sz="4" w:space="0"/>
            </w:tcBorders>
            <w:vAlign w:val="center"/>
          </w:tcPr>
          <w:p w14:paraId="24FFEEC6">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（400～675）±25</w:t>
            </w:r>
          </w:p>
        </w:tc>
        <w:tc>
          <w:tcPr>
            <w:tcW w:w="658" w:type="pct"/>
            <w:tcBorders>
              <w:top w:val="single" w:color="auto" w:sz="4" w:space="0"/>
            </w:tcBorders>
            <w:vAlign w:val="center"/>
          </w:tcPr>
          <w:p w14:paraId="654808BD">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（500～750）±25</w:t>
            </w:r>
          </w:p>
        </w:tc>
      </w:tr>
      <w:tr w14:paraId="5A69F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91" w:type="pct"/>
            <w:vAlign w:val="center"/>
          </w:tcPr>
          <w:p w14:paraId="7F251F6F">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3</w:t>
            </w:r>
          </w:p>
        </w:tc>
        <w:tc>
          <w:tcPr>
            <w:tcW w:w="1042" w:type="pct"/>
            <w:vAlign w:val="center"/>
          </w:tcPr>
          <w:p w14:paraId="21B5CE99">
            <w:pPr>
              <w:snapToGrid w:val="0"/>
              <w:spacing w:line="240" w:lineRule="auto"/>
              <w:jc w:val="center"/>
              <w:rPr>
                <w:rFonts w:hint="eastAsia" w:ascii="宋体" w:hAnsi="宋体" w:cs="宋体"/>
                <w:sz w:val="18"/>
                <w:szCs w:val="18"/>
                <w:highlight w:val="none"/>
              </w:rPr>
            </w:pPr>
            <w:r>
              <w:rPr>
                <w:rFonts w:hint="eastAsia" w:ascii="宋体" w:hAnsi="宋体" w:cs="宋体"/>
                <w:sz w:val="18"/>
                <w:szCs w:val="18"/>
                <w:highlight w:val="none"/>
              </w:rPr>
              <w:t>总厚度变化TTV</w:t>
            </w:r>
          </w:p>
          <w:p w14:paraId="5E4A8054">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μm</w:t>
            </w:r>
          </w:p>
        </w:tc>
        <w:tc>
          <w:tcPr>
            <w:tcW w:w="886" w:type="pct"/>
            <w:vAlign w:val="center"/>
          </w:tcPr>
          <w:p w14:paraId="654649B8">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≤12</w:t>
            </w:r>
          </w:p>
        </w:tc>
        <w:tc>
          <w:tcPr>
            <w:tcW w:w="692" w:type="pct"/>
            <w:vAlign w:val="center"/>
          </w:tcPr>
          <w:p w14:paraId="4CA819BF">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≤12</w:t>
            </w:r>
          </w:p>
        </w:tc>
        <w:tc>
          <w:tcPr>
            <w:tcW w:w="733" w:type="pct"/>
            <w:vAlign w:val="center"/>
          </w:tcPr>
          <w:p w14:paraId="5C4C8AE8">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≤15</w:t>
            </w:r>
          </w:p>
        </w:tc>
        <w:tc>
          <w:tcPr>
            <w:tcW w:w="694" w:type="pct"/>
            <w:vAlign w:val="center"/>
          </w:tcPr>
          <w:p w14:paraId="5F8BE9DD">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≤15</w:t>
            </w:r>
          </w:p>
        </w:tc>
        <w:tc>
          <w:tcPr>
            <w:tcW w:w="658" w:type="pct"/>
            <w:vAlign w:val="center"/>
          </w:tcPr>
          <w:p w14:paraId="427EC5DA">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≤20</w:t>
            </w:r>
          </w:p>
        </w:tc>
      </w:tr>
      <w:tr w14:paraId="4F06C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91" w:type="pct"/>
            <w:vAlign w:val="center"/>
          </w:tcPr>
          <w:p w14:paraId="632B1239">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4</w:t>
            </w:r>
          </w:p>
        </w:tc>
        <w:tc>
          <w:tcPr>
            <w:tcW w:w="1042" w:type="pct"/>
            <w:vAlign w:val="center"/>
          </w:tcPr>
          <w:p w14:paraId="3F28D33A">
            <w:pPr>
              <w:snapToGrid w:val="0"/>
              <w:spacing w:line="240" w:lineRule="auto"/>
              <w:jc w:val="center"/>
              <w:rPr>
                <w:rFonts w:hint="eastAsia" w:ascii="宋体" w:hAnsi="宋体" w:cs="宋体"/>
                <w:sz w:val="18"/>
                <w:szCs w:val="18"/>
                <w:highlight w:val="none"/>
              </w:rPr>
            </w:pPr>
            <w:r>
              <w:rPr>
                <w:rFonts w:hint="eastAsia" w:ascii="宋体" w:hAnsi="宋体" w:cs="宋体"/>
                <w:sz w:val="18"/>
                <w:szCs w:val="18"/>
                <w:highlight w:val="none"/>
              </w:rPr>
              <w:t>平整度TIR</w:t>
            </w:r>
          </w:p>
          <w:p w14:paraId="18A28988">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μm</w:t>
            </w:r>
          </w:p>
        </w:tc>
        <w:tc>
          <w:tcPr>
            <w:tcW w:w="886" w:type="pct"/>
            <w:vAlign w:val="center"/>
          </w:tcPr>
          <w:p w14:paraId="1CBFABE4">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≤6</w:t>
            </w:r>
          </w:p>
        </w:tc>
        <w:tc>
          <w:tcPr>
            <w:tcW w:w="692" w:type="pct"/>
            <w:vAlign w:val="center"/>
          </w:tcPr>
          <w:p w14:paraId="407B721A">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≤6</w:t>
            </w:r>
          </w:p>
        </w:tc>
        <w:tc>
          <w:tcPr>
            <w:tcW w:w="733" w:type="pct"/>
            <w:vAlign w:val="center"/>
          </w:tcPr>
          <w:p w14:paraId="1EEBDD04">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≤8</w:t>
            </w:r>
          </w:p>
        </w:tc>
        <w:tc>
          <w:tcPr>
            <w:tcW w:w="694" w:type="pct"/>
            <w:vAlign w:val="center"/>
          </w:tcPr>
          <w:p w14:paraId="49073261">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≤10</w:t>
            </w:r>
          </w:p>
        </w:tc>
        <w:tc>
          <w:tcPr>
            <w:tcW w:w="658" w:type="pct"/>
            <w:vAlign w:val="center"/>
          </w:tcPr>
          <w:p w14:paraId="2D16882A">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≤15</w:t>
            </w:r>
          </w:p>
        </w:tc>
      </w:tr>
      <w:tr w14:paraId="60CF3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91" w:type="pct"/>
            <w:vAlign w:val="center"/>
          </w:tcPr>
          <w:p w14:paraId="482DB9D9">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5</w:t>
            </w:r>
          </w:p>
        </w:tc>
        <w:tc>
          <w:tcPr>
            <w:tcW w:w="1042" w:type="pct"/>
            <w:vAlign w:val="center"/>
          </w:tcPr>
          <w:p w14:paraId="52ED8730">
            <w:pPr>
              <w:snapToGrid w:val="0"/>
              <w:spacing w:line="240" w:lineRule="auto"/>
              <w:jc w:val="center"/>
              <w:rPr>
                <w:rFonts w:hint="eastAsia" w:ascii="宋体" w:hAnsi="宋体" w:cs="宋体"/>
                <w:sz w:val="18"/>
                <w:szCs w:val="18"/>
                <w:highlight w:val="none"/>
              </w:rPr>
            </w:pPr>
            <w:r>
              <w:rPr>
                <w:rFonts w:hint="eastAsia" w:ascii="宋体" w:hAnsi="宋体" w:cs="宋体"/>
                <w:sz w:val="18"/>
                <w:szCs w:val="18"/>
                <w:highlight w:val="none"/>
              </w:rPr>
              <w:t>翘曲度Warp</w:t>
            </w:r>
          </w:p>
          <w:p w14:paraId="41DEC0B7">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μm</w:t>
            </w:r>
          </w:p>
        </w:tc>
        <w:tc>
          <w:tcPr>
            <w:tcW w:w="886" w:type="pct"/>
            <w:vAlign w:val="center"/>
          </w:tcPr>
          <w:p w14:paraId="33925F65">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≤12</w:t>
            </w:r>
          </w:p>
        </w:tc>
        <w:tc>
          <w:tcPr>
            <w:tcW w:w="692" w:type="pct"/>
            <w:vAlign w:val="center"/>
          </w:tcPr>
          <w:p w14:paraId="435B3DD1">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≤15</w:t>
            </w:r>
          </w:p>
        </w:tc>
        <w:tc>
          <w:tcPr>
            <w:tcW w:w="733" w:type="pct"/>
            <w:vAlign w:val="center"/>
          </w:tcPr>
          <w:p w14:paraId="6435113C">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≤60</w:t>
            </w:r>
          </w:p>
        </w:tc>
        <w:tc>
          <w:tcPr>
            <w:tcW w:w="694" w:type="pct"/>
            <w:vAlign w:val="center"/>
          </w:tcPr>
          <w:p w14:paraId="5E7765D0">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≤60</w:t>
            </w:r>
          </w:p>
        </w:tc>
        <w:tc>
          <w:tcPr>
            <w:tcW w:w="658" w:type="pct"/>
            <w:vAlign w:val="center"/>
          </w:tcPr>
          <w:p w14:paraId="2472A72B">
            <w:pPr>
              <w:snapToGrid w:val="0"/>
              <w:spacing w:line="240" w:lineRule="auto"/>
              <w:jc w:val="center"/>
              <w:rPr>
                <w:rFonts w:ascii="宋体" w:hAnsi="宋体"/>
                <w:sz w:val="18"/>
                <w:szCs w:val="18"/>
                <w:highlight w:val="none"/>
              </w:rPr>
            </w:pPr>
            <w:r>
              <w:rPr>
                <w:rFonts w:hint="eastAsia" w:ascii="宋体" w:hAnsi="宋体" w:cs="宋体"/>
                <w:sz w:val="18"/>
                <w:szCs w:val="18"/>
                <w:highlight w:val="none"/>
              </w:rPr>
              <w:t>≤60</w:t>
            </w:r>
          </w:p>
        </w:tc>
      </w:tr>
    </w:tbl>
    <w:p w14:paraId="7689D63F">
      <w:pPr>
        <w:pStyle w:val="105"/>
        <w:spacing w:before="156" w:after="156"/>
      </w:pPr>
      <w:bookmarkStart w:id="81" w:name="_Toc161963361"/>
      <w:bookmarkStart w:id="82" w:name="_Toc161928078"/>
      <w:bookmarkStart w:id="83" w:name="_Toc161927901"/>
      <w:r>
        <w:rPr>
          <w:rFonts w:hint="eastAsia"/>
        </w:rPr>
        <w:t>位错密度</w:t>
      </w:r>
      <w:bookmarkEnd w:id="81"/>
      <w:bookmarkEnd w:id="82"/>
      <w:bookmarkEnd w:id="83"/>
    </w:p>
    <w:p w14:paraId="5A218F78">
      <w:pPr>
        <w:pStyle w:val="56"/>
        <w:ind w:firstLine="420"/>
        <w:rPr>
          <w:rFonts w:hint="eastAsia"/>
          <w:highlight w:val="none"/>
        </w:rPr>
      </w:pPr>
      <w:r>
        <w:rPr>
          <w:rFonts w:hint="eastAsia"/>
          <w:highlight w:val="none"/>
        </w:rPr>
        <w:t>砷化镓衬底位错密度符合表</w:t>
      </w:r>
      <w:r>
        <w:rPr>
          <w:rFonts w:hint="eastAsia"/>
          <w:highlight w:val="none"/>
          <w:lang w:val="en-US" w:eastAsia="zh-CN"/>
        </w:rPr>
        <w:t>9</w:t>
      </w:r>
      <w:r>
        <w:rPr>
          <w:rFonts w:hint="eastAsia"/>
          <w:highlight w:val="none"/>
        </w:rPr>
        <w:t>的规定。</w:t>
      </w:r>
    </w:p>
    <w:p w14:paraId="49A70184">
      <w:pPr>
        <w:pStyle w:val="112"/>
        <w:spacing w:before="156" w:after="156"/>
        <w:rPr>
          <w:highlight w:val="none"/>
        </w:rPr>
      </w:pPr>
      <w:r>
        <w:rPr>
          <w:rFonts w:hint="eastAsia"/>
          <w:highlight w:val="none"/>
        </w:rPr>
        <w:t>砷化镓衬底的位错密度</w:t>
      </w:r>
    </w:p>
    <w:p w14:paraId="5D015D36">
      <w:pPr>
        <w:pStyle w:val="56"/>
        <w:ind w:firstLine="420"/>
        <w:rPr>
          <w:highlight w:val="none"/>
        </w:r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84"/>
        <w:gridCol w:w="1184"/>
        <w:gridCol w:w="1160"/>
        <w:gridCol w:w="1161"/>
        <w:gridCol w:w="1161"/>
        <w:gridCol w:w="1161"/>
        <w:gridCol w:w="1161"/>
        <w:gridCol w:w="1162"/>
      </w:tblGrid>
      <w:tr w14:paraId="0169F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84" w:type="dxa"/>
            <w:vMerge w:val="restart"/>
            <w:tcBorders>
              <w:top w:val="single" w:color="auto" w:sz="8" w:space="0"/>
            </w:tcBorders>
            <w:shd w:val="clear" w:color="auto" w:fill="auto"/>
            <w:vAlign w:val="center"/>
          </w:tcPr>
          <w:p w14:paraId="414B72DF">
            <w:pPr>
              <w:pStyle w:val="178"/>
              <w:rPr>
                <w:highlight w:val="none"/>
              </w:rPr>
            </w:pPr>
            <w:r>
              <w:rPr>
                <w:rFonts w:hint="eastAsia"/>
                <w:highlight w:val="none"/>
              </w:rPr>
              <w:t>序号</w:t>
            </w:r>
          </w:p>
        </w:tc>
        <w:tc>
          <w:tcPr>
            <w:tcW w:w="1184" w:type="dxa"/>
            <w:vMerge w:val="restart"/>
            <w:tcBorders>
              <w:top w:val="single" w:color="auto" w:sz="8" w:space="0"/>
            </w:tcBorders>
            <w:shd w:val="clear" w:color="auto" w:fill="auto"/>
            <w:vAlign w:val="center"/>
          </w:tcPr>
          <w:p w14:paraId="3B2506E0">
            <w:pPr>
              <w:pStyle w:val="178"/>
              <w:rPr>
                <w:highlight w:val="none"/>
              </w:rPr>
            </w:pPr>
            <w:r>
              <w:rPr>
                <w:rFonts w:hint="eastAsia"/>
                <w:highlight w:val="none"/>
              </w:rPr>
              <w:t>项目</w:t>
            </w:r>
          </w:p>
        </w:tc>
        <w:tc>
          <w:tcPr>
            <w:tcW w:w="1160" w:type="dxa"/>
            <w:vMerge w:val="restart"/>
            <w:tcBorders>
              <w:top w:val="single" w:color="auto" w:sz="8" w:space="0"/>
            </w:tcBorders>
            <w:shd w:val="clear" w:color="auto" w:fill="auto"/>
            <w:vAlign w:val="center"/>
          </w:tcPr>
          <w:p w14:paraId="103E57CF">
            <w:pPr>
              <w:pStyle w:val="178"/>
              <w:rPr>
                <w:highlight w:val="none"/>
              </w:rPr>
            </w:pPr>
            <w:r>
              <w:rPr>
                <w:rFonts w:hint="eastAsia"/>
                <w:highlight w:val="none"/>
              </w:rPr>
              <w:t>等级</w:t>
            </w:r>
          </w:p>
        </w:tc>
        <w:tc>
          <w:tcPr>
            <w:tcW w:w="5806" w:type="dxa"/>
            <w:gridSpan w:val="5"/>
            <w:tcBorders>
              <w:top w:val="single" w:color="auto" w:sz="8" w:space="0"/>
              <w:bottom w:val="single" w:color="auto" w:sz="4" w:space="0"/>
            </w:tcBorders>
          </w:tcPr>
          <w:p w14:paraId="5EA672E7">
            <w:pPr>
              <w:pStyle w:val="178"/>
              <w:rPr>
                <w:highlight w:val="none"/>
              </w:rPr>
            </w:pPr>
            <w:r>
              <w:rPr>
                <w:rFonts w:hint="eastAsia"/>
                <w:highlight w:val="none"/>
              </w:rPr>
              <w:t>要求</w:t>
            </w:r>
          </w:p>
        </w:tc>
      </w:tr>
      <w:tr w14:paraId="786D8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84" w:type="dxa"/>
            <w:vMerge w:val="continue"/>
            <w:tcBorders>
              <w:bottom w:val="single" w:color="auto" w:sz="8" w:space="0"/>
            </w:tcBorders>
            <w:shd w:val="clear" w:color="auto" w:fill="auto"/>
            <w:vAlign w:val="center"/>
          </w:tcPr>
          <w:p w14:paraId="44BFA5E1">
            <w:pPr>
              <w:pStyle w:val="178"/>
              <w:rPr>
                <w:highlight w:val="none"/>
              </w:rPr>
            </w:pPr>
          </w:p>
        </w:tc>
        <w:tc>
          <w:tcPr>
            <w:tcW w:w="1184" w:type="dxa"/>
            <w:vMerge w:val="continue"/>
            <w:tcBorders>
              <w:bottom w:val="single" w:color="auto" w:sz="8" w:space="0"/>
            </w:tcBorders>
            <w:shd w:val="clear" w:color="auto" w:fill="auto"/>
            <w:vAlign w:val="center"/>
          </w:tcPr>
          <w:p w14:paraId="7BE6816C">
            <w:pPr>
              <w:pStyle w:val="178"/>
              <w:rPr>
                <w:highlight w:val="none"/>
              </w:rPr>
            </w:pPr>
          </w:p>
        </w:tc>
        <w:tc>
          <w:tcPr>
            <w:tcW w:w="1160" w:type="dxa"/>
            <w:vMerge w:val="continue"/>
            <w:tcBorders>
              <w:bottom w:val="single" w:color="auto" w:sz="8" w:space="0"/>
            </w:tcBorders>
            <w:shd w:val="clear" w:color="auto" w:fill="auto"/>
            <w:vAlign w:val="center"/>
          </w:tcPr>
          <w:p w14:paraId="14F795EE">
            <w:pPr>
              <w:pStyle w:val="178"/>
              <w:rPr>
                <w:highlight w:val="none"/>
              </w:rPr>
            </w:pPr>
          </w:p>
        </w:tc>
        <w:tc>
          <w:tcPr>
            <w:tcW w:w="1161" w:type="dxa"/>
            <w:tcBorders>
              <w:top w:val="single" w:color="auto" w:sz="4" w:space="0"/>
              <w:bottom w:val="single" w:color="auto" w:sz="8" w:space="0"/>
            </w:tcBorders>
            <w:vAlign w:val="center"/>
          </w:tcPr>
          <w:p w14:paraId="1C4D6077">
            <w:pPr>
              <w:pStyle w:val="178"/>
              <w:rPr>
                <w:rFonts w:hint="default" w:hAnsi="宋体" w:eastAsia="宋体"/>
                <w:szCs w:val="18"/>
                <w:highlight w:val="none"/>
                <w:lang w:val="en-US" w:eastAsia="zh-CN"/>
              </w:rPr>
            </w:pPr>
            <w:r>
              <w:rPr>
                <w:rFonts w:hint="eastAsia" w:hAnsi="宋体" w:cstheme="minorEastAsia"/>
                <w:szCs w:val="18"/>
                <w:highlight w:val="none"/>
              </w:rPr>
              <w:t>Ф50.8</w:t>
            </w:r>
            <w:r>
              <w:rPr>
                <w:rFonts w:hint="eastAsia" w:hAnsi="宋体" w:cstheme="minorEastAsia"/>
                <w:szCs w:val="18"/>
                <w:highlight w:val="none"/>
                <w:lang w:val="en-US" w:eastAsia="zh-CN"/>
              </w:rPr>
              <w:t xml:space="preserve"> mm</w:t>
            </w:r>
          </w:p>
        </w:tc>
        <w:tc>
          <w:tcPr>
            <w:tcW w:w="1161" w:type="dxa"/>
            <w:tcBorders>
              <w:top w:val="single" w:color="auto" w:sz="4" w:space="0"/>
              <w:bottom w:val="single" w:color="auto" w:sz="8" w:space="0"/>
            </w:tcBorders>
            <w:shd w:val="clear" w:color="auto" w:fill="auto"/>
            <w:vAlign w:val="center"/>
          </w:tcPr>
          <w:p w14:paraId="22AD46FC">
            <w:pPr>
              <w:pStyle w:val="178"/>
              <w:rPr>
                <w:rFonts w:hAnsi="宋体"/>
                <w:szCs w:val="18"/>
                <w:highlight w:val="none"/>
              </w:rPr>
            </w:pPr>
            <w:r>
              <w:rPr>
                <w:rFonts w:hint="eastAsia" w:hAnsi="宋体" w:cstheme="minorEastAsia"/>
                <w:szCs w:val="18"/>
                <w:highlight w:val="none"/>
              </w:rPr>
              <w:t>Ф76.2</w:t>
            </w:r>
            <w:r>
              <w:rPr>
                <w:rFonts w:hint="eastAsia" w:hAnsi="宋体" w:cstheme="minorEastAsia"/>
                <w:szCs w:val="18"/>
                <w:highlight w:val="none"/>
                <w:lang w:val="en-US" w:eastAsia="zh-CN"/>
              </w:rPr>
              <w:t xml:space="preserve"> mm</w:t>
            </w:r>
          </w:p>
        </w:tc>
        <w:tc>
          <w:tcPr>
            <w:tcW w:w="1161" w:type="dxa"/>
            <w:tcBorders>
              <w:top w:val="single" w:color="auto" w:sz="4" w:space="0"/>
              <w:bottom w:val="single" w:color="auto" w:sz="8" w:space="0"/>
            </w:tcBorders>
            <w:shd w:val="clear" w:color="auto" w:fill="auto"/>
            <w:vAlign w:val="center"/>
          </w:tcPr>
          <w:p w14:paraId="7AFAC9F3">
            <w:pPr>
              <w:pStyle w:val="178"/>
              <w:rPr>
                <w:rFonts w:hAnsi="宋体"/>
                <w:szCs w:val="18"/>
                <w:highlight w:val="none"/>
              </w:rPr>
            </w:pPr>
            <w:r>
              <w:rPr>
                <w:rFonts w:hint="eastAsia" w:hAnsi="宋体" w:cstheme="minorEastAsia"/>
                <w:szCs w:val="18"/>
                <w:highlight w:val="none"/>
              </w:rPr>
              <w:t>Ф100.0</w:t>
            </w:r>
            <w:r>
              <w:rPr>
                <w:rFonts w:hint="eastAsia" w:hAnsi="宋体" w:cstheme="minorEastAsia"/>
                <w:szCs w:val="18"/>
                <w:highlight w:val="none"/>
                <w:lang w:val="en-US" w:eastAsia="zh-CN"/>
              </w:rPr>
              <w:t xml:space="preserve"> mm</w:t>
            </w:r>
          </w:p>
        </w:tc>
        <w:tc>
          <w:tcPr>
            <w:tcW w:w="1161" w:type="dxa"/>
            <w:tcBorders>
              <w:top w:val="single" w:color="auto" w:sz="4" w:space="0"/>
              <w:bottom w:val="single" w:color="auto" w:sz="8" w:space="0"/>
            </w:tcBorders>
            <w:shd w:val="clear" w:color="auto" w:fill="auto"/>
            <w:vAlign w:val="center"/>
          </w:tcPr>
          <w:p w14:paraId="07A73C73">
            <w:pPr>
              <w:pStyle w:val="178"/>
              <w:rPr>
                <w:rFonts w:hAnsi="宋体"/>
                <w:szCs w:val="18"/>
                <w:highlight w:val="none"/>
              </w:rPr>
            </w:pPr>
            <w:r>
              <w:rPr>
                <w:rFonts w:hint="eastAsia" w:hAnsi="宋体" w:cstheme="minorEastAsia"/>
                <w:szCs w:val="18"/>
                <w:highlight w:val="none"/>
              </w:rPr>
              <w:t>Ф150.0</w:t>
            </w:r>
            <w:r>
              <w:rPr>
                <w:rFonts w:hint="eastAsia" w:hAnsi="宋体" w:cstheme="minorEastAsia"/>
                <w:szCs w:val="18"/>
                <w:highlight w:val="none"/>
                <w:lang w:val="en-US" w:eastAsia="zh-CN"/>
              </w:rPr>
              <w:t xml:space="preserve"> mm</w:t>
            </w:r>
          </w:p>
        </w:tc>
        <w:tc>
          <w:tcPr>
            <w:tcW w:w="1162" w:type="dxa"/>
            <w:tcBorders>
              <w:top w:val="single" w:color="auto" w:sz="4" w:space="0"/>
              <w:bottom w:val="single" w:color="auto" w:sz="8" w:space="0"/>
            </w:tcBorders>
            <w:shd w:val="clear" w:color="auto" w:fill="auto"/>
            <w:vAlign w:val="center"/>
          </w:tcPr>
          <w:p w14:paraId="23F9E9A3">
            <w:pPr>
              <w:pStyle w:val="178"/>
              <w:rPr>
                <w:rFonts w:hAnsi="宋体"/>
                <w:szCs w:val="18"/>
                <w:highlight w:val="none"/>
              </w:rPr>
            </w:pPr>
            <w:r>
              <w:rPr>
                <w:rFonts w:hint="eastAsia" w:hAnsi="宋体" w:cstheme="minorEastAsia"/>
                <w:szCs w:val="18"/>
                <w:highlight w:val="none"/>
              </w:rPr>
              <w:t>Ф200.0</w:t>
            </w:r>
            <w:r>
              <w:rPr>
                <w:rFonts w:hint="eastAsia" w:hAnsi="宋体" w:cstheme="minorEastAsia"/>
                <w:szCs w:val="18"/>
                <w:highlight w:val="none"/>
                <w:lang w:val="en-US" w:eastAsia="zh-CN"/>
              </w:rPr>
              <w:t xml:space="preserve"> mm</w:t>
            </w:r>
          </w:p>
        </w:tc>
      </w:tr>
      <w:tr w14:paraId="0C2A1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4" w:type="dxa"/>
            <w:tcBorders>
              <w:top w:val="single" w:color="auto" w:sz="8" w:space="0"/>
            </w:tcBorders>
            <w:shd w:val="clear" w:color="auto" w:fill="auto"/>
            <w:vAlign w:val="center"/>
          </w:tcPr>
          <w:p w14:paraId="6DE1A8D8">
            <w:pPr>
              <w:pStyle w:val="178"/>
              <w:rPr>
                <w:highlight w:val="none"/>
              </w:rPr>
            </w:pPr>
            <w:r>
              <w:rPr>
                <w:rFonts w:hint="eastAsia"/>
                <w:highlight w:val="none"/>
              </w:rPr>
              <w:t>1</w:t>
            </w:r>
          </w:p>
        </w:tc>
        <w:tc>
          <w:tcPr>
            <w:tcW w:w="1184" w:type="dxa"/>
            <w:vMerge w:val="restart"/>
            <w:tcBorders>
              <w:top w:val="single" w:color="auto" w:sz="8" w:space="0"/>
            </w:tcBorders>
            <w:shd w:val="clear" w:color="auto" w:fill="auto"/>
            <w:vAlign w:val="center"/>
          </w:tcPr>
          <w:p w14:paraId="72607562">
            <w:pPr>
              <w:pStyle w:val="178"/>
              <w:rPr>
                <w:highlight w:val="none"/>
              </w:rPr>
            </w:pPr>
            <w:r>
              <w:rPr>
                <w:rFonts w:hint="eastAsia"/>
                <w:highlight w:val="none"/>
              </w:rPr>
              <w:t>位错密度</w:t>
            </w:r>
          </w:p>
          <w:p w14:paraId="6AE39521">
            <w:pPr>
              <w:pStyle w:val="178"/>
              <w:rPr>
                <w:highlight w:val="none"/>
              </w:rPr>
            </w:pPr>
            <w:r>
              <w:rPr>
                <w:rFonts w:hint="eastAsia"/>
                <w:szCs w:val="18"/>
                <w:highlight w:val="none"/>
              </w:rPr>
              <w:t>个</w:t>
            </w:r>
            <w:r>
              <w:rPr>
                <w:szCs w:val="18"/>
                <w:highlight w:val="none"/>
              </w:rPr>
              <w:t>/cm</w:t>
            </w:r>
            <w:r>
              <w:rPr>
                <w:szCs w:val="18"/>
                <w:highlight w:val="none"/>
                <w:vertAlign w:val="superscript"/>
              </w:rPr>
              <w:t>2</w:t>
            </w:r>
          </w:p>
        </w:tc>
        <w:tc>
          <w:tcPr>
            <w:tcW w:w="1160" w:type="dxa"/>
            <w:tcBorders>
              <w:top w:val="single" w:color="auto" w:sz="8" w:space="0"/>
            </w:tcBorders>
            <w:shd w:val="clear" w:color="auto" w:fill="auto"/>
            <w:vAlign w:val="center"/>
          </w:tcPr>
          <w:p w14:paraId="739C61A7">
            <w:pPr>
              <w:pStyle w:val="178"/>
              <w:rPr>
                <w:highlight w:val="none"/>
              </w:rPr>
            </w:pPr>
            <w:r>
              <w:rPr>
                <w:rFonts w:hint="eastAsia" w:hAnsi="宋体" w:cs="宋体"/>
                <w:szCs w:val="18"/>
                <w:highlight w:val="none"/>
              </w:rPr>
              <w:t>Ⅰ</w:t>
            </w:r>
          </w:p>
        </w:tc>
        <w:tc>
          <w:tcPr>
            <w:tcW w:w="1161" w:type="dxa"/>
            <w:tcBorders>
              <w:top w:val="single" w:color="auto" w:sz="8" w:space="0"/>
            </w:tcBorders>
          </w:tcPr>
          <w:p w14:paraId="11BE929B">
            <w:pPr>
              <w:pStyle w:val="178"/>
              <w:rPr>
                <w:highlight w:val="none"/>
              </w:rPr>
            </w:pPr>
            <w:r>
              <w:rPr>
                <w:rFonts w:hint="eastAsia" w:hAnsi="宋体" w:cs="宋体"/>
                <w:szCs w:val="18"/>
                <w:highlight w:val="none"/>
              </w:rPr>
              <w:t>≤1×10</w:t>
            </w:r>
            <w:r>
              <w:rPr>
                <w:rFonts w:hint="eastAsia" w:hAnsi="宋体" w:cs="宋体"/>
                <w:szCs w:val="18"/>
                <w:highlight w:val="none"/>
                <w:vertAlign w:val="superscript"/>
              </w:rPr>
              <w:t>2</w:t>
            </w:r>
          </w:p>
        </w:tc>
        <w:tc>
          <w:tcPr>
            <w:tcW w:w="1161" w:type="dxa"/>
            <w:tcBorders>
              <w:top w:val="single" w:color="auto" w:sz="8" w:space="0"/>
            </w:tcBorders>
            <w:shd w:val="clear" w:color="auto" w:fill="auto"/>
            <w:vAlign w:val="center"/>
          </w:tcPr>
          <w:p w14:paraId="39103FA2">
            <w:pPr>
              <w:pStyle w:val="178"/>
              <w:rPr>
                <w:highlight w:val="none"/>
              </w:rPr>
            </w:pPr>
            <w:r>
              <w:rPr>
                <w:rFonts w:hint="eastAsia" w:hAnsi="宋体" w:cs="宋体"/>
                <w:szCs w:val="18"/>
                <w:highlight w:val="none"/>
              </w:rPr>
              <w:t>≤1×10</w:t>
            </w:r>
            <w:r>
              <w:rPr>
                <w:rFonts w:hint="eastAsia" w:hAnsi="宋体" w:cs="宋体"/>
                <w:szCs w:val="18"/>
                <w:highlight w:val="none"/>
                <w:vertAlign w:val="superscript"/>
              </w:rPr>
              <w:t>2</w:t>
            </w:r>
          </w:p>
        </w:tc>
        <w:tc>
          <w:tcPr>
            <w:tcW w:w="1161" w:type="dxa"/>
            <w:tcBorders>
              <w:top w:val="single" w:color="auto" w:sz="8" w:space="0"/>
            </w:tcBorders>
            <w:shd w:val="clear" w:color="auto" w:fill="auto"/>
            <w:vAlign w:val="center"/>
          </w:tcPr>
          <w:p w14:paraId="40248FFD">
            <w:pPr>
              <w:pStyle w:val="178"/>
              <w:rPr>
                <w:highlight w:val="none"/>
              </w:rPr>
            </w:pPr>
            <w:r>
              <w:rPr>
                <w:rFonts w:hint="eastAsia" w:hAnsi="宋体" w:cs="宋体"/>
                <w:szCs w:val="18"/>
                <w:highlight w:val="none"/>
              </w:rPr>
              <w:t>≤1×10</w:t>
            </w:r>
            <w:r>
              <w:rPr>
                <w:rFonts w:hint="eastAsia" w:hAnsi="宋体" w:cs="宋体"/>
                <w:szCs w:val="18"/>
                <w:highlight w:val="none"/>
                <w:vertAlign w:val="superscript"/>
              </w:rPr>
              <w:t>2</w:t>
            </w:r>
          </w:p>
        </w:tc>
        <w:tc>
          <w:tcPr>
            <w:tcW w:w="1161" w:type="dxa"/>
            <w:tcBorders>
              <w:top w:val="single" w:color="auto" w:sz="8" w:space="0"/>
            </w:tcBorders>
            <w:shd w:val="clear" w:color="auto" w:fill="auto"/>
            <w:vAlign w:val="center"/>
          </w:tcPr>
          <w:p w14:paraId="57FCDBF6">
            <w:pPr>
              <w:pStyle w:val="178"/>
              <w:rPr>
                <w:highlight w:val="none"/>
              </w:rPr>
            </w:pPr>
            <w:r>
              <w:rPr>
                <w:rFonts w:hint="eastAsia" w:hAnsi="宋体" w:cs="宋体"/>
                <w:szCs w:val="18"/>
                <w:highlight w:val="none"/>
              </w:rPr>
              <w:t>≤3×10</w:t>
            </w:r>
            <w:r>
              <w:rPr>
                <w:rFonts w:hint="eastAsia" w:hAnsi="宋体" w:cs="宋体"/>
                <w:szCs w:val="18"/>
                <w:highlight w:val="none"/>
                <w:vertAlign w:val="superscript"/>
              </w:rPr>
              <w:t>2</w:t>
            </w:r>
          </w:p>
        </w:tc>
        <w:tc>
          <w:tcPr>
            <w:tcW w:w="1162" w:type="dxa"/>
            <w:tcBorders>
              <w:top w:val="single" w:color="auto" w:sz="8" w:space="0"/>
            </w:tcBorders>
            <w:shd w:val="clear" w:color="auto" w:fill="auto"/>
            <w:vAlign w:val="center"/>
          </w:tcPr>
          <w:p w14:paraId="0D413593">
            <w:pPr>
              <w:pStyle w:val="178"/>
              <w:rPr>
                <w:highlight w:val="none"/>
              </w:rPr>
            </w:pPr>
            <w:r>
              <w:rPr>
                <w:rFonts w:hint="eastAsia" w:hAnsi="宋体" w:cs="宋体"/>
                <w:szCs w:val="18"/>
                <w:highlight w:val="none"/>
              </w:rPr>
              <w:t>≤</w:t>
            </w:r>
            <w:r>
              <w:rPr>
                <w:rFonts w:hint="eastAsia" w:hAnsi="宋体" w:cs="宋体"/>
                <w:szCs w:val="18"/>
                <w:highlight w:val="none"/>
                <w:lang w:val="en-US" w:eastAsia="zh-CN"/>
              </w:rPr>
              <w:t>3</w:t>
            </w:r>
            <w:r>
              <w:rPr>
                <w:rFonts w:hint="eastAsia" w:hAnsi="宋体" w:cs="宋体"/>
                <w:szCs w:val="18"/>
                <w:highlight w:val="none"/>
              </w:rPr>
              <w:t>×10</w:t>
            </w:r>
            <w:r>
              <w:rPr>
                <w:rFonts w:hint="eastAsia" w:hAnsi="宋体" w:cs="宋体"/>
                <w:szCs w:val="18"/>
                <w:highlight w:val="none"/>
                <w:vertAlign w:val="superscript"/>
              </w:rPr>
              <w:t>2</w:t>
            </w:r>
          </w:p>
        </w:tc>
      </w:tr>
      <w:tr w14:paraId="78599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4" w:type="dxa"/>
            <w:shd w:val="clear" w:color="auto" w:fill="auto"/>
            <w:vAlign w:val="center"/>
          </w:tcPr>
          <w:p w14:paraId="6C9F55E0">
            <w:pPr>
              <w:pStyle w:val="178"/>
              <w:rPr>
                <w:highlight w:val="none"/>
              </w:rPr>
            </w:pPr>
            <w:r>
              <w:rPr>
                <w:rFonts w:hint="eastAsia"/>
                <w:highlight w:val="none"/>
              </w:rPr>
              <w:t>2</w:t>
            </w:r>
          </w:p>
        </w:tc>
        <w:tc>
          <w:tcPr>
            <w:tcW w:w="1184" w:type="dxa"/>
            <w:vMerge w:val="continue"/>
            <w:shd w:val="clear" w:color="auto" w:fill="auto"/>
            <w:vAlign w:val="center"/>
          </w:tcPr>
          <w:p w14:paraId="4D897036">
            <w:pPr>
              <w:pStyle w:val="178"/>
              <w:rPr>
                <w:highlight w:val="none"/>
              </w:rPr>
            </w:pPr>
          </w:p>
        </w:tc>
        <w:tc>
          <w:tcPr>
            <w:tcW w:w="1160" w:type="dxa"/>
            <w:shd w:val="clear" w:color="auto" w:fill="auto"/>
            <w:vAlign w:val="center"/>
          </w:tcPr>
          <w:p w14:paraId="0F41F872">
            <w:pPr>
              <w:pStyle w:val="178"/>
              <w:rPr>
                <w:highlight w:val="none"/>
              </w:rPr>
            </w:pPr>
            <w:r>
              <w:rPr>
                <w:rFonts w:hint="eastAsia" w:hAnsi="宋体" w:cs="宋体"/>
                <w:szCs w:val="18"/>
                <w:highlight w:val="none"/>
              </w:rPr>
              <w:t>Ⅱ</w:t>
            </w:r>
          </w:p>
        </w:tc>
        <w:tc>
          <w:tcPr>
            <w:tcW w:w="1161" w:type="dxa"/>
          </w:tcPr>
          <w:p w14:paraId="78567631">
            <w:pPr>
              <w:pStyle w:val="178"/>
              <w:rPr>
                <w:highlight w:val="none"/>
              </w:rPr>
            </w:pPr>
            <w:r>
              <w:rPr>
                <w:rFonts w:hint="eastAsia" w:hAnsi="宋体" w:cs="宋体"/>
                <w:szCs w:val="18"/>
                <w:highlight w:val="none"/>
              </w:rPr>
              <w:t>≤3×10</w:t>
            </w:r>
            <w:r>
              <w:rPr>
                <w:rFonts w:hint="eastAsia" w:hAnsi="宋体" w:cs="宋体"/>
                <w:szCs w:val="18"/>
                <w:highlight w:val="none"/>
                <w:vertAlign w:val="superscript"/>
              </w:rPr>
              <w:t>2</w:t>
            </w:r>
          </w:p>
        </w:tc>
        <w:tc>
          <w:tcPr>
            <w:tcW w:w="1161" w:type="dxa"/>
            <w:shd w:val="clear" w:color="auto" w:fill="auto"/>
            <w:vAlign w:val="center"/>
          </w:tcPr>
          <w:p w14:paraId="66E7479D">
            <w:pPr>
              <w:pStyle w:val="178"/>
              <w:rPr>
                <w:highlight w:val="none"/>
              </w:rPr>
            </w:pPr>
            <w:r>
              <w:rPr>
                <w:rFonts w:hint="eastAsia" w:hAnsi="宋体" w:cs="宋体"/>
                <w:szCs w:val="18"/>
                <w:highlight w:val="none"/>
              </w:rPr>
              <w:t>≤3×10</w:t>
            </w:r>
            <w:r>
              <w:rPr>
                <w:rFonts w:hint="eastAsia" w:hAnsi="宋体" w:cs="宋体"/>
                <w:szCs w:val="18"/>
                <w:highlight w:val="none"/>
                <w:vertAlign w:val="superscript"/>
              </w:rPr>
              <w:t>2</w:t>
            </w:r>
          </w:p>
        </w:tc>
        <w:tc>
          <w:tcPr>
            <w:tcW w:w="1161" w:type="dxa"/>
            <w:shd w:val="clear" w:color="auto" w:fill="auto"/>
            <w:vAlign w:val="center"/>
          </w:tcPr>
          <w:p w14:paraId="324092BE">
            <w:pPr>
              <w:pStyle w:val="178"/>
              <w:rPr>
                <w:highlight w:val="none"/>
              </w:rPr>
            </w:pPr>
            <w:r>
              <w:rPr>
                <w:rFonts w:hint="eastAsia" w:hAnsi="宋体" w:cs="宋体"/>
                <w:szCs w:val="18"/>
                <w:highlight w:val="none"/>
              </w:rPr>
              <w:t>≤3×10</w:t>
            </w:r>
            <w:r>
              <w:rPr>
                <w:rFonts w:hint="eastAsia" w:hAnsi="宋体" w:cs="宋体"/>
                <w:szCs w:val="18"/>
                <w:highlight w:val="none"/>
                <w:vertAlign w:val="superscript"/>
              </w:rPr>
              <w:t>2</w:t>
            </w:r>
          </w:p>
        </w:tc>
        <w:tc>
          <w:tcPr>
            <w:tcW w:w="1161" w:type="dxa"/>
            <w:shd w:val="clear" w:color="auto" w:fill="auto"/>
            <w:vAlign w:val="center"/>
          </w:tcPr>
          <w:p w14:paraId="5D0B3466">
            <w:pPr>
              <w:pStyle w:val="178"/>
              <w:rPr>
                <w:highlight w:val="none"/>
              </w:rPr>
            </w:pPr>
            <w:r>
              <w:rPr>
                <w:rFonts w:hint="eastAsia" w:hAnsi="宋体" w:cs="宋体"/>
                <w:szCs w:val="18"/>
                <w:highlight w:val="none"/>
              </w:rPr>
              <w:t>≤5×10</w:t>
            </w:r>
            <w:r>
              <w:rPr>
                <w:rFonts w:hint="eastAsia" w:hAnsi="宋体" w:cs="宋体"/>
                <w:szCs w:val="18"/>
                <w:highlight w:val="none"/>
                <w:vertAlign w:val="superscript"/>
              </w:rPr>
              <w:t>2</w:t>
            </w:r>
          </w:p>
        </w:tc>
        <w:tc>
          <w:tcPr>
            <w:tcW w:w="1162" w:type="dxa"/>
            <w:shd w:val="clear" w:color="auto" w:fill="auto"/>
            <w:vAlign w:val="center"/>
          </w:tcPr>
          <w:p w14:paraId="48D571D0">
            <w:pPr>
              <w:pStyle w:val="178"/>
              <w:rPr>
                <w:highlight w:val="none"/>
              </w:rPr>
            </w:pPr>
            <w:r>
              <w:rPr>
                <w:rFonts w:hint="eastAsia" w:hAnsi="宋体" w:cs="宋体"/>
                <w:szCs w:val="18"/>
                <w:highlight w:val="none"/>
              </w:rPr>
              <w:t>≤5×10</w:t>
            </w:r>
            <w:r>
              <w:rPr>
                <w:rFonts w:hint="eastAsia" w:hAnsi="宋体" w:cs="宋体"/>
                <w:szCs w:val="18"/>
                <w:highlight w:val="none"/>
                <w:vertAlign w:val="superscript"/>
              </w:rPr>
              <w:t>2</w:t>
            </w:r>
          </w:p>
        </w:tc>
      </w:tr>
      <w:tr w14:paraId="27E1D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4" w:type="dxa"/>
            <w:shd w:val="clear" w:color="auto" w:fill="auto"/>
            <w:vAlign w:val="center"/>
          </w:tcPr>
          <w:p w14:paraId="212245A7">
            <w:pPr>
              <w:pStyle w:val="178"/>
              <w:rPr>
                <w:highlight w:val="none"/>
              </w:rPr>
            </w:pPr>
            <w:r>
              <w:rPr>
                <w:rFonts w:hint="eastAsia"/>
                <w:highlight w:val="none"/>
              </w:rPr>
              <w:t>3</w:t>
            </w:r>
          </w:p>
        </w:tc>
        <w:tc>
          <w:tcPr>
            <w:tcW w:w="1184" w:type="dxa"/>
            <w:vMerge w:val="continue"/>
            <w:shd w:val="clear" w:color="auto" w:fill="auto"/>
            <w:vAlign w:val="center"/>
          </w:tcPr>
          <w:p w14:paraId="065BF620">
            <w:pPr>
              <w:pStyle w:val="178"/>
              <w:rPr>
                <w:highlight w:val="none"/>
              </w:rPr>
            </w:pPr>
          </w:p>
        </w:tc>
        <w:tc>
          <w:tcPr>
            <w:tcW w:w="1160" w:type="dxa"/>
            <w:shd w:val="clear" w:color="auto" w:fill="auto"/>
            <w:vAlign w:val="center"/>
          </w:tcPr>
          <w:p w14:paraId="243D62EF">
            <w:pPr>
              <w:pStyle w:val="178"/>
              <w:rPr>
                <w:highlight w:val="none"/>
              </w:rPr>
            </w:pPr>
            <w:r>
              <w:rPr>
                <w:rFonts w:hint="eastAsia" w:hAnsi="宋体" w:cs="宋体"/>
                <w:szCs w:val="18"/>
                <w:highlight w:val="none"/>
              </w:rPr>
              <w:t>Ⅲ</w:t>
            </w:r>
          </w:p>
        </w:tc>
        <w:tc>
          <w:tcPr>
            <w:tcW w:w="1161" w:type="dxa"/>
          </w:tcPr>
          <w:p w14:paraId="02DBC7D2">
            <w:pPr>
              <w:pStyle w:val="178"/>
              <w:rPr>
                <w:highlight w:val="none"/>
              </w:rPr>
            </w:pPr>
            <w:r>
              <w:rPr>
                <w:rFonts w:hint="eastAsia" w:hAnsi="宋体" w:cs="宋体"/>
                <w:szCs w:val="18"/>
                <w:highlight w:val="none"/>
              </w:rPr>
              <w:t>≤5×10</w:t>
            </w:r>
            <w:r>
              <w:rPr>
                <w:rFonts w:hint="eastAsia" w:hAnsi="宋体" w:cs="宋体"/>
                <w:szCs w:val="18"/>
                <w:highlight w:val="none"/>
                <w:vertAlign w:val="superscript"/>
              </w:rPr>
              <w:t>2</w:t>
            </w:r>
          </w:p>
        </w:tc>
        <w:tc>
          <w:tcPr>
            <w:tcW w:w="1161" w:type="dxa"/>
            <w:shd w:val="clear" w:color="auto" w:fill="auto"/>
            <w:vAlign w:val="center"/>
          </w:tcPr>
          <w:p w14:paraId="2B92993C">
            <w:pPr>
              <w:pStyle w:val="178"/>
              <w:rPr>
                <w:highlight w:val="none"/>
              </w:rPr>
            </w:pPr>
            <w:r>
              <w:rPr>
                <w:rFonts w:hint="eastAsia" w:hAnsi="宋体" w:cs="宋体"/>
                <w:szCs w:val="18"/>
                <w:highlight w:val="none"/>
              </w:rPr>
              <w:t>≤5×10</w:t>
            </w:r>
            <w:r>
              <w:rPr>
                <w:rFonts w:hint="eastAsia" w:hAnsi="宋体" w:cs="宋体"/>
                <w:szCs w:val="18"/>
                <w:highlight w:val="none"/>
                <w:vertAlign w:val="superscript"/>
              </w:rPr>
              <w:t>2</w:t>
            </w:r>
          </w:p>
        </w:tc>
        <w:tc>
          <w:tcPr>
            <w:tcW w:w="1161" w:type="dxa"/>
            <w:shd w:val="clear" w:color="auto" w:fill="auto"/>
            <w:vAlign w:val="center"/>
          </w:tcPr>
          <w:p w14:paraId="62791900">
            <w:pPr>
              <w:pStyle w:val="178"/>
              <w:rPr>
                <w:highlight w:val="none"/>
              </w:rPr>
            </w:pPr>
            <w:r>
              <w:rPr>
                <w:rFonts w:hint="eastAsia" w:hAnsi="宋体" w:cs="宋体"/>
                <w:szCs w:val="18"/>
                <w:highlight w:val="none"/>
              </w:rPr>
              <w:t>≤</w:t>
            </w:r>
            <w:r>
              <w:rPr>
                <w:rFonts w:hAnsi="宋体" w:cs="宋体"/>
                <w:szCs w:val="18"/>
                <w:highlight w:val="none"/>
              </w:rPr>
              <w:t>1</w:t>
            </w:r>
            <w:r>
              <w:rPr>
                <w:rFonts w:hint="eastAsia" w:hAnsi="宋体" w:cs="宋体"/>
                <w:szCs w:val="18"/>
                <w:highlight w:val="none"/>
              </w:rPr>
              <w:t>×10</w:t>
            </w:r>
            <w:r>
              <w:rPr>
                <w:rFonts w:hint="eastAsia" w:hAnsi="宋体" w:cs="宋体"/>
                <w:szCs w:val="18"/>
                <w:highlight w:val="none"/>
                <w:vertAlign w:val="superscript"/>
              </w:rPr>
              <w:t>3</w:t>
            </w:r>
          </w:p>
        </w:tc>
        <w:tc>
          <w:tcPr>
            <w:tcW w:w="1161" w:type="dxa"/>
            <w:shd w:val="clear" w:color="auto" w:fill="auto"/>
            <w:vAlign w:val="center"/>
          </w:tcPr>
          <w:p w14:paraId="4E50E4F1">
            <w:pPr>
              <w:pStyle w:val="178"/>
              <w:rPr>
                <w:highlight w:val="none"/>
              </w:rPr>
            </w:pPr>
            <w:r>
              <w:rPr>
                <w:rFonts w:hint="eastAsia" w:hAnsi="宋体" w:cs="宋体"/>
                <w:szCs w:val="18"/>
                <w:highlight w:val="none"/>
              </w:rPr>
              <w:t>≤</w:t>
            </w:r>
            <w:r>
              <w:rPr>
                <w:rFonts w:hint="eastAsia" w:hAnsi="宋体" w:cs="宋体"/>
                <w:szCs w:val="18"/>
                <w:highlight w:val="none"/>
                <w:lang w:val="en-US" w:eastAsia="zh-CN"/>
              </w:rPr>
              <w:t>3</w:t>
            </w:r>
            <w:r>
              <w:rPr>
                <w:rFonts w:hint="eastAsia" w:hAnsi="宋体" w:cs="宋体"/>
                <w:szCs w:val="18"/>
                <w:highlight w:val="none"/>
              </w:rPr>
              <w:t>×10</w:t>
            </w:r>
            <w:r>
              <w:rPr>
                <w:rFonts w:hint="eastAsia" w:hAnsi="宋体" w:cs="宋体"/>
                <w:szCs w:val="18"/>
                <w:highlight w:val="none"/>
                <w:vertAlign w:val="superscript"/>
              </w:rPr>
              <w:t>3</w:t>
            </w:r>
          </w:p>
        </w:tc>
        <w:tc>
          <w:tcPr>
            <w:tcW w:w="1162" w:type="dxa"/>
            <w:shd w:val="clear" w:color="auto" w:fill="auto"/>
            <w:vAlign w:val="center"/>
          </w:tcPr>
          <w:p w14:paraId="407B7A81">
            <w:pPr>
              <w:pStyle w:val="178"/>
              <w:rPr>
                <w:highlight w:val="none"/>
              </w:rPr>
            </w:pPr>
            <w:r>
              <w:rPr>
                <w:rFonts w:hint="eastAsia" w:hAnsi="宋体" w:cs="宋体"/>
                <w:szCs w:val="18"/>
                <w:highlight w:val="none"/>
              </w:rPr>
              <w:t>≤</w:t>
            </w:r>
            <w:r>
              <w:rPr>
                <w:rFonts w:hint="eastAsia" w:hAnsi="宋体" w:cs="宋体"/>
                <w:szCs w:val="18"/>
                <w:highlight w:val="none"/>
                <w:lang w:val="en-US" w:eastAsia="zh-CN"/>
              </w:rPr>
              <w:t>3</w:t>
            </w:r>
            <w:r>
              <w:rPr>
                <w:rFonts w:hint="eastAsia" w:hAnsi="宋体" w:cs="宋体"/>
                <w:szCs w:val="18"/>
                <w:highlight w:val="none"/>
              </w:rPr>
              <w:t>×10</w:t>
            </w:r>
            <w:r>
              <w:rPr>
                <w:rFonts w:hint="eastAsia" w:hAnsi="宋体" w:cs="宋体"/>
                <w:szCs w:val="18"/>
                <w:highlight w:val="none"/>
                <w:vertAlign w:val="superscript"/>
              </w:rPr>
              <w:t>3</w:t>
            </w:r>
          </w:p>
        </w:tc>
      </w:tr>
      <w:tr w14:paraId="66BB6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4" w:type="dxa"/>
            <w:shd w:val="clear" w:color="auto" w:fill="auto"/>
            <w:vAlign w:val="center"/>
          </w:tcPr>
          <w:p w14:paraId="6F02B812">
            <w:pPr>
              <w:pStyle w:val="178"/>
              <w:rPr>
                <w:highlight w:val="none"/>
              </w:rPr>
            </w:pPr>
            <w:r>
              <w:rPr>
                <w:rFonts w:hint="eastAsia"/>
                <w:highlight w:val="none"/>
              </w:rPr>
              <w:t>4</w:t>
            </w:r>
          </w:p>
        </w:tc>
        <w:tc>
          <w:tcPr>
            <w:tcW w:w="1184" w:type="dxa"/>
            <w:vMerge w:val="continue"/>
            <w:shd w:val="clear" w:color="auto" w:fill="auto"/>
            <w:vAlign w:val="center"/>
          </w:tcPr>
          <w:p w14:paraId="6E8ABB92">
            <w:pPr>
              <w:pStyle w:val="178"/>
              <w:rPr>
                <w:highlight w:val="none"/>
              </w:rPr>
            </w:pPr>
          </w:p>
        </w:tc>
        <w:tc>
          <w:tcPr>
            <w:tcW w:w="1160" w:type="dxa"/>
            <w:shd w:val="clear" w:color="auto" w:fill="auto"/>
            <w:vAlign w:val="center"/>
          </w:tcPr>
          <w:p w14:paraId="239939D1">
            <w:pPr>
              <w:pStyle w:val="178"/>
              <w:rPr>
                <w:highlight w:val="none"/>
              </w:rPr>
            </w:pPr>
            <w:r>
              <w:rPr>
                <w:rFonts w:hint="eastAsia" w:hAnsi="宋体" w:cs="宋体"/>
                <w:szCs w:val="18"/>
                <w:highlight w:val="none"/>
              </w:rPr>
              <w:t>Ⅳ</w:t>
            </w:r>
          </w:p>
        </w:tc>
        <w:tc>
          <w:tcPr>
            <w:tcW w:w="1161" w:type="dxa"/>
          </w:tcPr>
          <w:p w14:paraId="5B5B9A31">
            <w:pPr>
              <w:pStyle w:val="178"/>
              <w:rPr>
                <w:highlight w:val="none"/>
              </w:rPr>
            </w:pPr>
            <w:r>
              <w:rPr>
                <w:rFonts w:hint="eastAsia" w:hAnsi="宋体" w:cs="宋体"/>
                <w:szCs w:val="18"/>
                <w:highlight w:val="none"/>
              </w:rPr>
              <w:t>≤1×10</w:t>
            </w:r>
            <w:r>
              <w:rPr>
                <w:rFonts w:hint="eastAsia" w:hAnsi="宋体" w:cs="宋体"/>
                <w:szCs w:val="18"/>
                <w:highlight w:val="none"/>
                <w:vertAlign w:val="superscript"/>
              </w:rPr>
              <w:t>3</w:t>
            </w:r>
          </w:p>
        </w:tc>
        <w:tc>
          <w:tcPr>
            <w:tcW w:w="1161" w:type="dxa"/>
            <w:shd w:val="clear" w:color="auto" w:fill="auto"/>
            <w:vAlign w:val="center"/>
          </w:tcPr>
          <w:p w14:paraId="1544C790">
            <w:pPr>
              <w:pStyle w:val="178"/>
              <w:rPr>
                <w:highlight w:val="none"/>
              </w:rPr>
            </w:pPr>
            <w:r>
              <w:rPr>
                <w:rFonts w:hint="eastAsia" w:hAnsi="宋体" w:cs="宋体"/>
                <w:szCs w:val="18"/>
                <w:highlight w:val="none"/>
              </w:rPr>
              <w:t>≤3×10</w:t>
            </w:r>
            <w:r>
              <w:rPr>
                <w:rFonts w:hint="eastAsia" w:hAnsi="宋体" w:cs="宋体"/>
                <w:szCs w:val="18"/>
                <w:highlight w:val="none"/>
                <w:vertAlign w:val="superscript"/>
              </w:rPr>
              <w:t>3</w:t>
            </w:r>
          </w:p>
        </w:tc>
        <w:tc>
          <w:tcPr>
            <w:tcW w:w="1161" w:type="dxa"/>
            <w:shd w:val="clear" w:color="auto" w:fill="auto"/>
            <w:vAlign w:val="center"/>
          </w:tcPr>
          <w:p w14:paraId="0535FA03">
            <w:pPr>
              <w:pStyle w:val="178"/>
              <w:rPr>
                <w:highlight w:val="none"/>
              </w:rPr>
            </w:pPr>
            <w:r>
              <w:rPr>
                <w:rFonts w:hint="eastAsia" w:hAnsi="宋体" w:cs="宋体"/>
                <w:szCs w:val="18"/>
                <w:highlight w:val="none"/>
              </w:rPr>
              <w:t>≤5×10</w:t>
            </w:r>
            <w:r>
              <w:rPr>
                <w:rFonts w:hint="eastAsia" w:hAnsi="宋体" w:cs="宋体"/>
                <w:szCs w:val="18"/>
                <w:highlight w:val="none"/>
                <w:vertAlign w:val="superscript"/>
              </w:rPr>
              <w:t>3</w:t>
            </w:r>
          </w:p>
        </w:tc>
        <w:tc>
          <w:tcPr>
            <w:tcW w:w="1161" w:type="dxa"/>
            <w:shd w:val="clear" w:color="auto" w:fill="auto"/>
            <w:vAlign w:val="center"/>
          </w:tcPr>
          <w:p w14:paraId="07AF7C17">
            <w:pPr>
              <w:pStyle w:val="178"/>
              <w:rPr>
                <w:highlight w:val="none"/>
              </w:rPr>
            </w:pPr>
            <w:r>
              <w:rPr>
                <w:rFonts w:hint="eastAsia" w:hAnsi="宋体" w:cs="宋体"/>
                <w:szCs w:val="18"/>
                <w:highlight w:val="none"/>
              </w:rPr>
              <w:t>≤5×10</w:t>
            </w:r>
            <w:r>
              <w:rPr>
                <w:rFonts w:hint="eastAsia" w:hAnsi="宋体" w:cs="宋体"/>
                <w:szCs w:val="18"/>
                <w:highlight w:val="none"/>
                <w:vertAlign w:val="superscript"/>
              </w:rPr>
              <w:t>3</w:t>
            </w:r>
          </w:p>
        </w:tc>
        <w:tc>
          <w:tcPr>
            <w:tcW w:w="1162" w:type="dxa"/>
            <w:shd w:val="clear" w:color="auto" w:fill="auto"/>
            <w:vAlign w:val="center"/>
          </w:tcPr>
          <w:p w14:paraId="030DC74E">
            <w:pPr>
              <w:pStyle w:val="178"/>
              <w:rPr>
                <w:highlight w:val="none"/>
              </w:rPr>
            </w:pPr>
            <w:r>
              <w:rPr>
                <w:rFonts w:hint="eastAsia" w:hAnsi="宋体" w:cs="宋体"/>
                <w:szCs w:val="18"/>
                <w:highlight w:val="none"/>
              </w:rPr>
              <w:t>≤5×10</w:t>
            </w:r>
            <w:r>
              <w:rPr>
                <w:rFonts w:hint="eastAsia" w:hAnsi="宋体" w:cs="宋体"/>
                <w:szCs w:val="18"/>
                <w:highlight w:val="none"/>
                <w:vertAlign w:val="superscript"/>
              </w:rPr>
              <w:t>3</w:t>
            </w:r>
          </w:p>
        </w:tc>
      </w:tr>
    </w:tbl>
    <w:p w14:paraId="26B05F2D">
      <w:pPr>
        <w:pStyle w:val="104"/>
        <w:spacing w:before="312" w:after="312"/>
        <w:rPr>
          <w:highlight w:val="none"/>
        </w:rPr>
      </w:pPr>
      <w:bookmarkStart w:id="84" w:name="_Toc161963362"/>
      <w:bookmarkStart w:id="85" w:name="_Toc161928079"/>
      <w:bookmarkStart w:id="86" w:name="_Toc161927902"/>
      <w:r>
        <w:rPr>
          <w:rFonts w:hint="eastAsia"/>
          <w:highlight w:val="none"/>
        </w:rPr>
        <w:t>试验方法</w:t>
      </w:r>
      <w:bookmarkEnd w:id="84"/>
      <w:bookmarkEnd w:id="85"/>
      <w:bookmarkEnd w:id="86"/>
    </w:p>
    <w:p w14:paraId="053ADF68">
      <w:pPr>
        <w:pStyle w:val="105"/>
        <w:spacing w:before="156" w:after="156"/>
        <w:rPr>
          <w:highlight w:val="none"/>
        </w:rPr>
      </w:pPr>
      <w:bookmarkStart w:id="87" w:name="_Toc161963363"/>
      <w:bookmarkStart w:id="88" w:name="_Toc161927903"/>
      <w:bookmarkStart w:id="89" w:name="_Toc161928080"/>
      <w:r>
        <w:rPr>
          <w:rFonts w:hint="eastAsia"/>
          <w:highlight w:val="none"/>
        </w:rPr>
        <w:t>电学性能</w:t>
      </w:r>
      <w:bookmarkEnd w:id="87"/>
      <w:bookmarkEnd w:id="88"/>
      <w:bookmarkEnd w:id="89"/>
    </w:p>
    <w:p w14:paraId="7828B537">
      <w:pPr>
        <w:pStyle w:val="65"/>
        <w:spacing w:before="156" w:after="156"/>
        <w:rPr>
          <w:highlight w:val="none"/>
        </w:rPr>
      </w:pPr>
      <w:r>
        <w:rPr>
          <w:rFonts w:hint="eastAsia"/>
          <w:highlight w:val="none"/>
        </w:rPr>
        <w:t>电阻率</w:t>
      </w:r>
    </w:p>
    <w:p w14:paraId="4F88EC06">
      <w:pPr>
        <w:pStyle w:val="164"/>
        <w:keepNext w:val="0"/>
        <w:keepLines w:val="0"/>
        <w:pageBreakBefore w:val="0"/>
        <w:widowControl/>
        <w:numPr>
          <w:ilvl w:val="4"/>
          <w:numId w:val="0"/>
        </w:numPr>
        <w:kinsoku/>
        <w:wordWrap/>
        <w:overflowPunct/>
        <w:topLinePunct w:val="0"/>
        <w:autoSpaceDE/>
        <w:autoSpaceDN/>
        <w:bidi w:val="0"/>
        <w:adjustRightInd/>
        <w:snapToGrid/>
        <w:ind w:leftChars="0" w:firstLine="0" w:firstLineChars="0"/>
        <w:textAlignment w:val="auto"/>
      </w:pPr>
      <w:r>
        <w:rPr>
          <w:rFonts w:hint="eastAsia"/>
        </w:rPr>
        <w:t>砷化镓衬底的电阻率检测按GB/T 4326</w:t>
      </w:r>
      <w:r>
        <w:rPr>
          <w:rFonts w:hint="eastAsia"/>
          <w:lang w:val="en-US" w:eastAsia="zh-CN"/>
        </w:rPr>
        <w:t>的</w:t>
      </w:r>
      <w:r>
        <w:rPr>
          <w:rFonts w:hint="eastAsia"/>
        </w:rPr>
        <w:t>规定进行。</w:t>
      </w:r>
    </w:p>
    <w:p w14:paraId="19318D57">
      <w:pPr>
        <w:pStyle w:val="65"/>
        <w:spacing w:before="156" w:after="156"/>
      </w:pPr>
      <w:r>
        <w:rPr>
          <w:rFonts w:hint="eastAsia"/>
        </w:rPr>
        <w:t>迁移率</w:t>
      </w:r>
    </w:p>
    <w:p w14:paraId="3EA508E8">
      <w:pPr>
        <w:pStyle w:val="164"/>
        <w:keepNext w:val="0"/>
        <w:keepLines w:val="0"/>
        <w:pageBreakBefore w:val="0"/>
        <w:widowControl/>
        <w:numPr>
          <w:ilvl w:val="4"/>
          <w:numId w:val="0"/>
        </w:numPr>
        <w:kinsoku/>
        <w:wordWrap/>
        <w:overflowPunct/>
        <w:topLinePunct w:val="0"/>
        <w:autoSpaceDE/>
        <w:autoSpaceDN/>
        <w:bidi w:val="0"/>
        <w:adjustRightInd/>
        <w:snapToGrid/>
        <w:ind w:leftChars="0" w:firstLine="0" w:firstLineChars="0"/>
        <w:textAlignment w:val="auto"/>
      </w:pPr>
      <w:r>
        <w:rPr>
          <w:rFonts w:hint="eastAsia"/>
        </w:rPr>
        <w:t>砷化镓衬底的迁移率检测按GB/T 4326</w:t>
      </w:r>
      <w:r>
        <w:rPr>
          <w:rFonts w:hint="eastAsia"/>
          <w:lang w:val="en-US" w:eastAsia="zh-CN"/>
        </w:rPr>
        <w:t>的</w:t>
      </w:r>
      <w:r>
        <w:rPr>
          <w:rFonts w:hint="eastAsia"/>
        </w:rPr>
        <w:t>规定进行。</w:t>
      </w:r>
    </w:p>
    <w:p w14:paraId="0FA6C0EB">
      <w:pPr>
        <w:pStyle w:val="65"/>
        <w:spacing w:before="156" w:after="156"/>
      </w:pPr>
      <w:r>
        <w:rPr>
          <w:rFonts w:hint="eastAsia"/>
        </w:rPr>
        <w:t>载流子浓度</w:t>
      </w:r>
    </w:p>
    <w:p w14:paraId="588BAA4F">
      <w:pPr>
        <w:pStyle w:val="164"/>
        <w:keepNext w:val="0"/>
        <w:keepLines w:val="0"/>
        <w:pageBreakBefore w:val="0"/>
        <w:widowControl/>
        <w:numPr>
          <w:ilvl w:val="4"/>
          <w:numId w:val="0"/>
        </w:numPr>
        <w:kinsoku/>
        <w:wordWrap/>
        <w:overflowPunct/>
        <w:topLinePunct w:val="0"/>
        <w:autoSpaceDE/>
        <w:autoSpaceDN/>
        <w:bidi w:val="0"/>
        <w:adjustRightInd/>
        <w:snapToGrid/>
        <w:ind w:leftChars="0" w:firstLine="0" w:firstLineChars="0"/>
        <w:textAlignment w:val="auto"/>
        <w:rPr>
          <w:rFonts w:hint="eastAsia"/>
        </w:rPr>
      </w:pPr>
      <w:r>
        <w:rPr>
          <w:rFonts w:hint="eastAsia"/>
        </w:rPr>
        <w:t>砷化镓衬底的载流子浓度检测按GB/T 4326</w:t>
      </w:r>
      <w:r>
        <w:rPr>
          <w:rFonts w:hint="eastAsia"/>
          <w:lang w:val="en-US" w:eastAsia="zh-CN"/>
        </w:rPr>
        <w:t>的</w:t>
      </w:r>
      <w:r>
        <w:rPr>
          <w:rFonts w:hint="eastAsia"/>
        </w:rPr>
        <w:t>规定进行。</w:t>
      </w:r>
    </w:p>
    <w:p w14:paraId="7E7C9F00">
      <w:pPr>
        <w:pStyle w:val="65"/>
        <w:spacing w:before="156" w:after="156"/>
        <w:rPr>
          <w:highlight w:val="none"/>
        </w:rPr>
      </w:pPr>
      <w:r>
        <w:rPr>
          <w:rFonts w:hint="eastAsia"/>
          <w:highlight w:val="none"/>
          <w:lang w:val="en-US" w:eastAsia="zh-CN"/>
        </w:rPr>
        <w:t>截面电阻率不均匀性</w:t>
      </w:r>
    </w:p>
    <w:p w14:paraId="16BF160F">
      <w:pPr>
        <w:pStyle w:val="56"/>
        <w:ind w:left="0" w:leftChars="0" w:firstLine="0" w:firstLineChars="0"/>
        <w:rPr>
          <w:rFonts w:hint="eastAsia"/>
        </w:rPr>
      </w:pPr>
      <w:r>
        <w:rPr>
          <w:rFonts w:hint="eastAsia"/>
          <w:lang w:val="en-US" w:eastAsia="zh-CN"/>
        </w:rPr>
        <w:t>砷化镓衬底的截面电阻率不均匀性计算按照</w:t>
      </w:r>
      <w:r>
        <w:rPr>
          <w:rFonts w:hint="eastAsia"/>
          <w:highlight w:val="none"/>
        </w:rPr>
        <w:t>GB/T 20228</w:t>
      </w:r>
      <w:r>
        <w:rPr>
          <w:rFonts w:hint="eastAsia"/>
          <w:highlight w:val="none"/>
          <w:lang w:val="en-US" w:eastAsia="zh-CN"/>
        </w:rPr>
        <w:t xml:space="preserve"> 的规定进行。</w:t>
      </w:r>
    </w:p>
    <w:p w14:paraId="0300B50F">
      <w:pPr>
        <w:pStyle w:val="105"/>
        <w:spacing w:before="156" w:after="156"/>
      </w:pPr>
      <w:bookmarkStart w:id="90" w:name="_Toc161928081"/>
      <w:bookmarkStart w:id="91" w:name="_Toc161963364"/>
      <w:bookmarkStart w:id="92" w:name="_Toc161927904"/>
      <w:r>
        <w:rPr>
          <w:rFonts w:hint="eastAsia"/>
        </w:rPr>
        <w:t>表面质量</w:t>
      </w:r>
      <w:bookmarkEnd w:id="90"/>
      <w:bookmarkEnd w:id="91"/>
      <w:bookmarkEnd w:id="92"/>
    </w:p>
    <w:p w14:paraId="5153E0EC">
      <w:pPr>
        <w:pStyle w:val="56"/>
        <w:ind w:left="0" w:leftChars="0" w:firstLine="0" w:firstLineChars="0"/>
      </w:pPr>
      <w:r>
        <w:rPr>
          <w:rFonts w:hint="eastAsia"/>
        </w:rPr>
        <w:t>砷化镓衬底的表面质量按GB/T 6624</w:t>
      </w:r>
      <w:r>
        <w:rPr>
          <w:rFonts w:hint="eastAsia"/>
          <w:lang w:val="en-US" w:eastAsia="zh-CN"/>
        </w:rPr>
        <w:t xml:space="preserve"> 的</w:t>
      </w:r>
      <w:r>
        <w:rPr>
          <w:rFonts w:hint="eastAsia"/>
        </w:rPr>
        <w:t>规定进行。</w:t>
      </w:r>
    </w:p>
    <w:p w14:paraId="4617F660">
      <w:pPr>
        <w:pStyle w:val="105"/>
        <w:spacing w:before="156" w:after="156"/>
      </w:pPr>
      <w:bookmarkStart w:id="93" w:name="_Toc161928082"/>
      <w:bookmarkStart w:id="94" w:name="_Toc161927905"/>
      <w:bookmarkStart w:id="95" w:name="_Toc161963365"/>
      <w:r>
        <w:rPr>
          <w:rFonts w:hint="eastAsia"/>
        </w:rPr>
        <w:t>参考面</w:t>
      </w:r>
      <w:r>
        <w:rPr>
          <w:rFonts w:hint="eastAsia"/>
          <w:highlight w:val="none"/>
        </w:rPr>
        <w:t>的</w:t>
      </w:r>
      <w:r>
        <w:rPr>
          <w:rFonts w:hint="eastAsia"/>
        </w:rPr>
        <w:t>取向、形状和长度</w:t>
      </w:r>
      <w:bookmarkEnd w:id="93"/>
      <w:bookmarkEnd w:id="94"/>
      <w:bookmarkEnd w:id="95"/>
    </w:p>
    <w:p w14:paraId="411BF0E7">
      <w:pPr>
        <w:pStyle w:val="165"/>
      </w:pPr>
      <w:r>
        <w:rPr>
          <w:rFonts w:hint="eastAsia"/>
        </w:rPr>
        <w:t>砷化镓衬底的参考面取向的测试按GB/T 13388</w:t>
      </w:r>
      <w:r>
        <w:rPr>
          <w:rFonts w:hint="eastAsia"/>
          <w:lang w:val="en-US" w:eastAsia="zh-CN"/>
        </w:rPr>
        <w:t>的规定</w:t>
      </w:r>
      <w:r>
        <w:rPr>
          <w:rFonts w:hint="eastAsia"/>
        </w:rPr>
        <w:t>进行。</w:t>
      </w:r>
    </w:p>
    <w:p w14:paraId="1963691B">
      <w:pPr>
        <w:pStyle w:val="165"/>
      </w:pPr>
      <w:r>
        <w:rPr>
          <w:rFonts w:hint="eastAsia"/>
        </w:rPr>
        <w:t>砷化镓衬底的参考面切口形状的测试按GB/T 11093规定进行。</w:t>
      </w:r>
    </w:p>
    <w:p w14:paraId="05DAD7B6">
      <w:pPr>
        <w:pStyle w:val="165"/>
      </w:pPr>
      <w:r>
        <w:rPr>
          <w:rFonts w:hint="eastAsia"/>
        </w:rPr>
        <w:t>砷化镓衬底的参考面长度的测试按GB/T 13387</w:t>
      </w:r>
      <w:r>
        <w:rPr>
          <w:rFonts w:hint="eastAsia"/>
          <w:lang w:eastAsia="zh-CN"/>
        </w:rPr>
        <w:t>的</w:t>
      </w:r>
      <w:r>
        <w:rPr>
          <w:rFonts w:hint="eastAsia"/>
        </w:rPr>
        <w:t>规定进行。</w:t>
      </w:r>
    </w:p>
    <w:p w14:paraId="20BD4DB4">
      <w:pPr>
        <w:pStyle w:val="105"/>
        <w:spacing w:before="156" w:after="156"/>
      </w:pPr>
      <w:bookmarkStart w:id="96" w:name="_Toc161928083"/>
      <w:bookmarkStart w:id="97" w:name="_Toc161963366"/>
      <w:bookmarkStart w:id="98" w:name="_Toc161927906"/>
      <w:r>
        <w:rPr>
          <w:rFonts w:hint="eastAsia"/>
        </w:rPr>
        <w:t>表面晶向及晶向偏离</w:t>
      </w:r>
      <w:bookmarkEnd w:id="96"/>
      <w:bookmarkEnd w:id="97"/>
      <w:bookmarkEnd w:id="98"/>
    </w:p>
    <w:p w14:paraId="5DF0CF2F">
      <w:pPr>
        <w:pStyle w:val="56"/>
        <w:ind w:firstLine="420"/>
      </w:pPr>
      <w:r>
        <w:rPr>
          <w:rFonts w:hint="eastAsia"/>
        </w:rPr>
        <w:t>砷化镓衬底的表面晶向及晶向偏离检测按照GB/T 1555</w:t>
      </w:r>
      <w:r>
        <w:rPr>
          <w:rFonts w:hint="eastAsia"/>
          <w:lang w:val="en-US" w:eastAsia="zh-CN"/>
        </w:rPr>
        <w:t xml:space="preserve"> </w:t>
      </w:r>
      <w:r>
        <w:rPr>
          <w:rFonts w:hint="eastAsia"/>
          <w:lang w:eastAsia="zh-CN"/>
        </w:rPr>
        <w:t>的</w:t>
      </w:r>
      <w:r>
        <w:rPr>
          <w:rFonts w:hint="eastAsia"/>
        </w:rPr>
        <w:t>规定进行。</w:t>
      </w:r>
    </w:p>
    <w:p w14:paraId="4D302A93">
      <w:pPr>
        <w:pStyle w:val="105"/>
        <w:spacing w:before="156" w:after="156"/>
      </w:pPr>
      <w:bookmarkStart w:id="99" w:name="_Toc161928084"/>
      <w:bookmarkStart w:id="100" w:name="_Toc161927907"/>
      <w:bookmarkStart w:id="101" w:name="_Toc161963367"/>
      <w:r>
        <w:rPr>
          <w:rFonts w:hint="eastAsia"/>
        </w:rPr>
        <w:t>几何尺寸</w:t>
      </w:r>
      <w:bookmarkEnd w:id="99"/>
      <w:bookmarkEnd w:id="100"/>
      <w:bookmarkEnd w:id="101"/>
    </w:p>
    <w:p w14:paraId="76F411B2">
      <w:pPr>
        <w:pStyle w:val="165"/>
      </w:pPr>
      <w:r>
        <w:rPr>
          <w:rFonts w:hint="eastAsia"/>
        </w:rPr>
        <w:t>砷化镓衬底的直径及允许偏差按GB/T 14140</w:t>
      </w:r>
      <w:r>
        <w:rPr>
          <w:rFonts w:hint="eastAsia"/>
          <w:lang w:eastAsia="zh-CN"/>
        </w:rPr>
        <w:t>的</w:t>
      </w:r>
      <w:r>
        <w:rPr>
          <w:rFonts w:hint="eastAsia"/>
        </w:rPr>
        <w:t>规定进行。</w:t>
      </w:r>
    </w:p>
    <w:p w14:paraId="27802EF5">
      <w:pPr>
        <w:pStyle w:val="165"/>
      </w:pPr>
      <w:r>
        <w:rPr>
          <w:rFonts w:hint="eastAsia"/>
        </w:rPr>
        <w:t>砷化镓衬底的厚度及允许偏差和总厚度变化按GB/T 6618</w:t>
      </w:r>
      <w:r>
        <w:rPr>
          <w:rFonts w:hint="eastAsia"/>
          <w:lang w:eastAsia="zh-CN"/>
        </w:rPr>
        <w:t>的</w:t>
      </w:r>
      <w:r>
        <w:rPr>
          <w:rFonts w:hint="eastAsia"/>
        </w:rPr>
        <w:t>规定进行。</w:t>
      </w:r>
    </w:p>
    <w:p w14:paraId="3FA8B8FA">
      <w:pPr>
        <w:pStyle w:val="165"/>
      </w:pPr>
      <w:r>
        <w:rPr>
          <w:rFonts w:hint="eastAsia"/>
        </w:rPr>
        <w:t>砷化镓衬底的平整度按GB/T 6621</w:t>
      </w:r>
      <w:r>
        <w:rPr>
          <w:rFonts w:hint="eastAsia"/>
          <w:lang w:eastAsia="zh-CN"/>
        </w:rPr>
        <w:t>的</w:t>
      </w:r>
      <w:r>
        <w:rPr>
          <w:rFonts w:hint="eastAsia"/>
        </w:rPr>
        <w:t>规定进行。</w:t>
      </w:r>
    </w:p>
    <w:p w14:paraId="58A7555E">
      <w:pPr>
        <w:pStyle w:val="165"/>
      </w:pPr>
      <w:r>
        <w:rPr>
          <w:rFonts w:hint="eastAsia"/>
        </w:rPr>
        <w:t>砷化镓衬底的翘曲度按GB/T 6620</w:t>
      </w:r>
      <w:r>
        <w:rPr>
          <w:rFonts w:hint="eastAsia"/>
          <w:lang w:eastAsia="zh-CN"/>
        </w:rPr>
        <w:t>的</w:t>
      </w:r>
      <w:r>
        <w:rPr>
          <w:rFonts w:hint="eastAsia"/>
        </w:rPr>
        <w:t>规定进行。</w:t>
      </w:r>
    </w:p>
    <w:p w14:paraId="5972AE75">
      <w:pPr>
        <w:pStyle w:val="105"/>
        <w:spacing w:before="156" w:after="156"/>
      </w:pPr>
      <w:bookmarkStart w:id="102" w:name="_Toc161927908"/>
      <w:bookmarkStart w:id="103" w:name="_Toc161928085"/>
      <w:bookmarkStart w:id="104" w:name="_Toc161963368"/>
      <w:r>
        <w:rPr>
          <w:rFonts w:hint="eastAsia"/>
        </w:rPr>
        <w:t>位错密度</w:t>
      </w:r>
      <w:bookmarkEnd w:id="102"/>
      <w:bookmarkEnd w:id="103"/>
      <w:bookmarkEnd w:id="104"/>
    </w:p>
    <w:p w14:paraId="4C03AB1A">
      <w:pPr>
        <w:pStyle w:val="56"/>
        <w:ind w:firstLine="420"/>
      </w:pPr>
      <w:r>
        <w:rPr>
          <w:rFonts w:hint="eastAsia"/>
        </w:rPr>
        <w:t>砷化镓衬底的位错密度按GB/T 8760</w:t>
      </w:r>
      <w:r>
        <w:rPr>
          <w:rFonts w:hint="eastAsia"/>
          <w:lang w:val="en-US" w:eastAsia="zh-CN"/>
        </w:rPr>
        <w:t xml:space="preserve"> 的</w:t>
      </w:r>
      <w:r>
        <w:rPr>
          <w:rFonts w:hint="eastAsia"/>
        </w:rPr>
        <w:t>规定进行。</w:t>
      </w:r>
    </w:p>
    <w:p w14:paraId="0C1A4BE9">
      <w:pPr>
        <w:pStyle w:val="104"/>
        <w:spacing w:before="312" w:after="312"/>
        <w:rPr>
          <w:highlight w:val="none"/>
        </w:rPr>
      </w:pPr>
      <w:bookmarkStart w:id="105" w:name="_Toc161963369"/>
      <w:bookmarkStart w:id="106" w:name="_Toc161928086"/>
      <w:bookmarkStart w:id="107" w:name="_Toc161927909"/>
      <w:r>
        <w:rPr>
          <w:rFonts w:hint="eastAsia"/>
          <w:highlight w:val="none"/>
        </w:rPr>
        <w:t>检验规则</w:t>
      </w:r>
      <w:bookmarkEnd w:id="105"/>
      <w:bookmarkEnd w:id="106"/>
      <w:bookmarkEnd w:id="107"/>
    </w:p>
    <w:p w14:paraId="04C643A8">
      <w:pPr>
        <w:pStyle w:val="105"/>
        <w:spacing w:before="156" w:after="156"/>
        <w:rPr>
          <w:highlight w:val="none"/>
        </w:rPr>
      </w:pPr>
      <w:bookmarkStart w:id="108" w:name="_Toc161928087"/>
      <w:bookmarkStart w:id="109" w:name="_Toc161963370"/>
      <w:bookmarkStart w:id="110" w:name="_Toc161927910"/>
      <w:r>
        <w:rPr>
          <w:rFonts w:hint="eastAsia"/>
          <w:highlight w:val="none"/>
        </w:rPr>
        <w:t>检验条件</w:t>
      </w:r>
      <w:bookmarkEnd w:id="108"/>
      <w:bookmarkEnd w:id="109"/>
      <w:bookmarkEnd w:id="110"/>
    </w:p>
    <w:p w14:paraId="4B697E18">
      <w:pPr>
        <w:pStyle w:val="56"/>
        <w:ind w:firstLine="420"/>
        <w:rPr>
          <w:highlight w:val="none"/>
        </w:rPr>
      </w:pPr>
      <w:r>
        <w:rPr>
          <w:rFonts w:hint="eastAsia"/>
          <w:highlight w:val="none"/>
        </w:rPr>
        <w:t>除另有规定外，应在下列条件下进行检验：</w:t>
      </w:r>
    </w:p>
    <w:p w14:paraId="2A30E05B">
      <w:pPr>
        <w:pStyle w:val="174"/>
        <w:numPr>
          <w:ilvl w:val="0"/>
          <w:numId w:val="32"/>
        </w:numPr>
        <w:rPr>
          <w:highlight w:val="none"/>
        </w:rPr>
      </w:pPr>
      <w:r>
        <w:rPr>
          <w:rFonts w:hint="eastAsia"/>
          <w:highlight w:val="none"/>
        </w:rPr>
        <w:t>温度：2</w:t>
      </w:r>
      <w:r>
        <w:rPr>
          <w:rFonts w:hint="eastAsia"/>
          <w:highlight w:val="none"/>
          <w:lang w:val="en-US" w:eastAsia="zh-CN"/>
        </w:rPr>
        <w:t>1</w:t>
      </w:r>
      <w:r>
        <w:rPr>
          <w:highlight w:val="none"/>
          <w:vertAlign w:val="subscript"/>
        </w:rPr>
        <w:t xml:space="preserve"> </w:t>
      </w:r>
      <w:r>
        <w:rPr>
          <w:rFonts w:hint="eastAsia"/>
          <w:highlight w:val="none"/>
        </w:rPr>
        <w:t>℃±</w:t>
      </w:r>
      <w:r>
        <w:rPr>
          <w:rFonts w:hint="eastAsia"/>
          <w:highlight w:val="none"/>
          <w:lang w:val="en-US" w:eastAsia="zh-CN"/>
        </w:rPr>
        <w:t>3</w:t>
      </w:r>
      <w:r>
        <w:rPr>
          <w:highlight w:val="none"/>
          <w:vertAlign w:val="subscript"/>
        </w:rPr>
        <w:t xml:space="preserve"> </w:t>
      </w:r>
      <w:r>
        <w:rPr>
          <w:rFonts w:hint="eastAsia"/>
          <w:highlight w:val="none"/>
        </w:rPr>
        <w:t>℃；</w:t>
      </w:r>
    </w:p>
    <w:p w14:paraId="6A7F7366">
      <w:pPr>
        <w:pStyle w:val="174"/>
        <w:rPr>
          <w:highlight w:val="none"/>
        </w:rPr>
      </w:pPr>
      <w:r>
        <w:rPr>
          <w:rFonts w:hint="eastAsia"/>
          <w:highlight w:val="none"/>
        </w:rPr>
        <w:t>相对湿度：35</w:t>
      </w:r>
      <w:r>
        <w:rPr>
          <w:highlight w:val="none"/>
          <w:vertAlign w:val="subscript"/>
        </w:rPr>
        <w:t xml:space="preserve"> </w:t>
      </w:r>
      <w:r>
        <w:rPr>
          <w:rFonts w:hint="eastAsia"/>
          <w:highlight w:val="none"/>
        </w:rPr>
        <w:t>%</w:t>
      </w:r>
      <w:bookmarkStart w:id="111" w:name="_Hlk161965930"/>
      <w:r>
        <w:rPr>
          <w:rFonts w:hint="eastAsia"/>
          <w:highlight w:val="none"/>
        </w:rPr>
        <w:t>～</w:t>
      </w:r>
      <w:bookmarkEnd w:id="111"/>
      <w:r>
        <w:rPr>
          <w:rFonts w:hint="eastAsia"/>
          <w:highlight w:val="none"/>
        </w:rPr>
        <w:t>70</w:t>
      </w:r>
      <w:r>
        <w:rPr>
          <w:highlight w:val="none"/>
          <w:vertAlign w:val="subscript"/>
        </w:rPr>
        <w:t xml:space="preserve"> </w:t>
      </w:r>
      <w:r>
        <w:rPr>
          <w:rFonts w:hint="eastAsia"/>
          <w:highlight w:val="none"/>
        </w:rPr>
        <w:t>%；</w:t>
      </w:r>
    </w:p>
    <w:p w14:paraId="434A46BC">
      <w:pPr>
        <w:pStyle w:val="174"/>
        <w:rPr>
          <w:highlight w:val="none"/>
        </w:rPr>
      </w:pPr>
      <w:r>
        <w:rPr>
          <w:rFonts w:hint="eastAsia"/>
          <w:highlight w:val="none"/>
        </w:rPr>
        <w:t>洁净度：</w:t>
      </w:r>
      <w:bookmarkStart w:id="112" w:name="_Hlk161971479"/>
      <w:r>
        <w:rPr>
          <w:rFonts w:hint="eastAsia"/>
          <w:highlight w:val="none"/>
        </w:rPr>
        <w:t>G</w:t>
      </w:r>
      <w:r>
        <w:rPr>
          <w:highlight w:val="none"/>
        </w:rPr>
        <w:t>B/T 25915.1—2021</w:t>
      </w:r>
      <w:bookmarkEnd w:id="112"/>
      <w:r>
        <w:rPr>
          <w:rFonts w:hint="eastAsia"/>
          <w:highlight w:val="none"/>
        </w:rPr>
        <w:t>表1</w:t>
      </w:r>
      <w:r>
        <w:rPr>
          <w:highlight w:val="none"/>
        </w:rPr>
        <w:t>中规定的</w:t>
      </w:r>
      <w:bookmarkStart w:id="113" w:name="_Hlk161971583"/>
      <w:r>
        <w:rPr>
          <w:rFonts w:hint="eastAsia"/>
          <w:highlight w:val="none"/>
        </w:rPr>
        <w:t>ISO</w:t>
      </w:r>
      <w:r>
        <w:rPr>
          <w:rFonts w:hint="eastAsia"/>
          <w:highlight w:val="none"/>
          <w:vertAlign w:val="subscript"/>
          <w:lang w:val="en-US" w:eastAsia="zh-CN"/>
        </w:rPr>
        <w:t>-</w:t>
      </w:r>
      <w:r>
        <w:rPr>
          <w:rFonts w:hint="eastAsia"/>
          <w:highlight w:val="none"/>
        </w:rPr>
        <w:t>5级</w:t>
      </w:r>
      <w:bookmarkEnd w:id="113"/>
      <w:r>
        <w:rPr>
          <w:rFonts w:hint="eastAsia"/>
          <w:highlight w:val="none"/>
        </w:rPr>
        <w:t>；</w:t>
      </w:r>
    </w:p>
    <w:p w14:paraId="18F76BFF">
      <w:pPr>
        <w:pStyle w:val="105"/>
        <w:spacing w:before="156" w:after="156"/>
      </w:pPr>
      <w:bookmarkStart w:id="114" w:name="_Toc161927911"/>
      <w:bookmarkStart w:id="115" w:name="_Toc161963371"/>
      <w:bookmarkStart w:id="116" w:name="_Toc161928088"/>
      <w:r>
        <w:rPr>
          <w:rFonts w:hint="eastAsia"/>
        </w:rPr>
        <w:t>检验和验收</w:t>
      </w:r>
      <w:bookmarkEnd w:id="114"/>
      <w:bookmarkEnd w:id="115"/>
      <w:bookmarkEnd w:id="116"/>
    </w:p>
    <w:p w14:paraId="0999CA99">
      <w:pPr>
        <w:pStyle w:val="165"/>
      </w:pPr>
      <w:r>
        <w:rPr>
          <w:rFonts w:hint="eastAsia"/>
        </w:rPr>
        <w:t>产品应由供方进行检验，保证产品质量符合本标准的规定，并填写产品质量证明书。</w:t>
      </w:r>
    </w:p>
    <w:p w14:paraId="28D53CEB">
      <w:pPr>
        <w:pStyle w:val="165"/>
      </w:pPr>
      <w:r>
        <w:rPr>
          <w:rFonts w:hint="eastAsia"/>
        </w:rPr>
        <w:t>需方可对收到的产品按本标准的规定进行检验。若发现产品质量不符合本标准的要求时，并且使用之后起1个月内向供方提出，或由供需双方协商解决。</w:t>
      </w:r>
    </w:p>
    <w:p w14:paraId="1BD7A367">
      <w:pPr>
        <w:pStyle w:val="105"/>
        <w:spacing w:before="156" w:after="156"/>
      </w:pPr>
      <w:bookmarkStart w:id="117" w:name="_Toc161927912"/>
      <w:bookmarkStart w:id="118" w:name="_Toc161963372"/>
      <w:bookmarkStart w:id="119" w:name="_Toc161928089"/>
      <w:r>
        <w:rPr>
          <w:rFonts w:hint="eastAsia"/>
        </w:rPr>
        <w:t>组批</w:t>
      </w:r>
      <w:bookmarkEnd w:id="117"/>
      <w:bookmarkEnd w:id="118"/>
      <w:bookmarkEnd w:id="119"/>
    </w:p>
    <w:p w14:paraId="0A6B0CA6">
      <w:pPr>
        <w:pStyle w:val="56"/>
        <w:ind w:firstLine="420"/>
      </w:pPr>
      <w:r>
        <w:rPr>
          <w:rFonts w:hint="eastAsia"/>
        </w:rPr>
        <w:t>砷化镓衬底应成批提交验收，每组批应由同一砷化镓单晶加工而成的具有相同几何参数的产品组成。</w:t>
      </w:r>
    </w:p>
    <w:p w14:paraId="23B55543">
      <w:pPr>
        <w:pStyle w:val="105"/>
        <w:spacing w:before="156" w:after="156"/>
      </w:pPr>
      <w:bookmarkStart w:id="120" w:name="_Toc161928090"/>
      <w:bookmarkStart w:id="121" w:name="_Toc161963373"/>
      <w:bookmarkStart w:id="122" w:name="_Toc161927913"/>
      <w:r>
        <w:rPr>
          <w:rFonts w:hint="eastAsia"/>
        </w:rPr>
        <w:t>检验项目、规则及判据</w:t>
      </w:r>
      <w:bookmarkEnd w:id="120"/>
      <w:bookmarkEnd w:id="121"/>
      <w:bookmarkEnd w:id="122"/>
    </w:p>
    <w:p w14:paraId="7740FF10">
      <w:pPr>
        <w:pStyle w:val="165"/>
      </w:pPr>
      <w:r>
        <w:rPr>
          <w:rFonts w:hint="eastAsia"/>
        </w:rPr>
        <w:t>首先在每批所需要的砷化镓单晶锭头和锭尾各切2片衬底，然后进行电学性能参数、表面晶向及晶向偏离和位错密度的检验，砷化镓单晶切割后，每组批需要1片进行复测表面晶向和晶向偏离。</w:t>
      </w:r>
      <w:r>
        <w:rPr>
          <w:rFonts w:hint="eastAsia"/>
          <w:lang w:val="en-US" w:eastAsia="zh-CN"/>
        </w:rPr>
        <w:t>采用GB/T 1555和GB/T 8760分别</w:t>
      </w:r>
      <w:r>
        <w:rPr>
          <w:rFonts w:hint="eastAsia"/>
        </w:rPr>
        <w:t>进行</w:t>
      </w:r>
      <w:r>
        <w:rPr>
          <w:rFonts w:hint="eastAsia"/>
          <w:lang w:val="en-US" w:eastAsia="zh-CN"/>
        </w:rPr>
        <w:t>表面晶向及晶向偏离和位错密度检验</w:t>
      </w:r>
      <w:r>
        <w:rPr>
          <w:rFonts w:hint="eastAsia"/>
        </w:rPr>
        <w:t>时，检验规则及合格判据符合表</w:t>
      </w:r>
      <w:r>
        <w:rPr>
          <w:rFonts w:hint="eastAsia"/>
          <w:lang w:val="en-US" w:eastAsia="zh-CN"/>
        </w:rPr>
        <w:t>10</w:t>
      </w:r>
      <w:r>
        <w:rPr>
          <w:rFonts w:hint="eastAsia"/>
        </w:rPr>
        <w:t>的规定。</w:t>
      </w:r>
    </w:p>
    <w:p w14:paraId="2D05F839">
      <w:pPr>
        <w:pStyle w:val="112"/>
        <w:spacing w:before="156" w:after="156"/>
      </w:pPr>
      <w:r>
        <w:rPr>
          <w:rFonts w:hint="eastAsia"/>
          <w:lang w:val="en-US" w:eastAsia="zh-CN"/>
        </w:rPr>
        <w:t>表面晶向及晶向偏离和位错密度</w:t>
      </w:r>
      <w:r>
        <w:rPr>
          <w:rFonts w:hint="eastAsia"/>
        </w:rPr>
        <w:t>检验项目、规则及判据</w:t>
      </w:r>
    </w:p>
    <w:tbl>
      <w:tblPr>
        <w:tblStyle w:val="2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85" w:type="dxa"/>
          <w:bottom w:w="57" w:type="dxa"/>
          <w:right w:w="85" w:type="dxa"/>
        </w:tblCellMar>
      </w:tblPr>
      <w:tblGrid>
        <w:gridCol w:w="588"/>
        <w:gridCol w:w="1570"/>
        <w:gridCol w:w="2184"/>
        <w:gridCol w:w="1037"/>
        <w:gridCol w:w="2998"/>
        <w:gridCol w:w="1147"/>
      </w:tblGrid>
      <w:tr w14:paraId="337EB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blHeader/>
        </w:trPr>
        <w:tc>
          <w:tcPr>
            <w:tcW w:w="309" w:type="pct"/>
            <w:tcBorders>
              <w:top w:val="single" w:color="auto" w:sz="6" w:space="0"/>
              <w:left w:val="single" w:color="auto" w:sz="6" w:space="0"/>
              <w:bottom w:val="single" w:color="auto" w:sz="6" w:space="0"/>
            </w:tcBorders>
            <w:vAlign w:val="center"/>
          </w:tcPr>
          <w:p w14:paraId="5AD991D3">
            <w:pPr>
              <w:pStyle w:val="230"/>
              <w:jc w:val="center"/>
              <w:rPr>
                <w:sz w:val="18"/>
                <w:szCs w:val="18"/>
              </w:rPr>
            </w:pPr>
            <w:r>
              <w:rPr>
                <w:rFonts w:hint="eastAsia"/>
                <w:sz w:val="18"/>
                <w:szCs w:val="18"/>
              </w:rPr>
              <w:t>序号</w:t>
            </w:r>
          </w:p>
        </w:tc>
        <w:tc>
          <w:tcPr>
            <w:tcW w:w="824" w:type="pct"/>
            <w:tcBorders>
              <w:top w:val="single" w:color="auto" w:sz="6" w:space="0"/>
              <w:bottom w:val="single" w:color="auto" w:sz="6" w:space="0"/>
            </w:tcBorders>
            <w:vAlign w:val="center"/>
          </w:tcPr>
          <w:p w14:paraId="1A51E702">
            <w:pPr>
              <w:pStyle w:val="230"/>
              <w:jc w:val="center"/>
              <w:rPr>
                <w:sz w:val="18"/>
                <w:szCs w:val="18"/>
              </w:rPr>
            </w:pPr>
            <w:r>
              <w:rPr>
                <w:rFonts w:hint="eastAsia"/>
                <w:sz w:val="18"/>
                <w:szCs w:val="18"/>
              </w:rPr>
              <w:t>检验项目</w:t>
            </w:r>
          </w:p>
        </w:tc>
        <w:tc>
          <w:tcPr>
            <w:tcW w:w="1146" w:type="pct"/>
            <w:tcBorders>
              <w:top w:val="single" w:color="auto" w:sz="6" w:space="0"/>
              <w:bottom w:val="single" w:color="auto" w:sz="6" w:space="0"/>
            </w:tcBorders>
            <w:vAlign w:val="center"/>
          </w:tcPr>
          <w:p w14:paraId="069F7298">
            <w:pPr>
              <w:pStyle w:val="230"/>
              <w:jc w:val="center"/>
              <w:rPr>
                <w:sz w:val="18"/>
                <w:szCs w:val="18"/>
              </w:rPr>
            </w:pPr>
            <w:r>
              <w:rPr>
                <w:rFonts w:hint="eastAsia"/>
                <w:sz w:val="18"/>
                <w:szCs w:val="18"/>
              </w:rPr>
              <w:t>要求条款号</w:t>
            </w:r>
          </w:p>
        </w:tc>
        <w:tc>
          <w:tcPr>
            <w:tcW w:w="544" w:type="pct"/>
            <w:tcBorders>
              <w:top w:val="single" w:color="auto" w:sz="6" w:space="0"/>
              <w:bottom w:val="single" w:color="auto" w:sz="6" w:space="0"/>
            </w:tcBorders>
            <w:vAlign w:val="center"/>
          </w:tcPr>
          <w:p w14:paraId="269ADEB5">
            <w:pPr>
              <w:pStyle w:val="230"/>
              <w:jc w:val="center"/>
              <w:rPr>
                <w:sz w:val="18"/>
                <w:szCs w:val="18"/>
              </w:rPr>
            </w:pPr>
            <w:r>
              <w:rPr>
                <w:rFonts w:hint="eastAsia"/>
                <w:sz w:val="18"/>
                <w:szCs w:val="18"/>
              </w:rPr>
              <w:t>检验方法</w:t>
            </w:r>
          </w:p>
        </w:tc>
        <w:tc>
          <w:tcPr>
            <w:tcW w:w="1573" w:type="pct"/>
            <w:tcBorders>
              <w:top w:val="single" w:color="auto" w:sz="6" w:space="0"/>
              <w:bottom w:val="single" w:color="auto" w:sz="6" w:space="0"/>
            </w:tcBorders>
            <w:vAlign w:val="center"/>
          </w:tcPr>
          <w:p w14:paraId="57FB0CBC">
            <w:pPr>
              <w:pStyle w:val="230"/>
              <w:jc w:val="center"/>
              <w:rPr>
                <w:sz w:val="18"/>
                <w:szCs w:val="18"/>
              </w:rPr>
            </w:pPr>
            <w:r>
              <w:rPr>
                <w:rFonts w:hint="eastAsia"/>
                <w:sz w:val="18"/>
                <w:szCs w:val="18"/>
              </w:rPr>
              <w:t>检验规则</w:t>
            </w:r>
          </w:p>
        </w:tc>
        <w:tc>
          <w:tcPr>
            <w:tcW w:w="602" w:type="pct"/>
            <w:tcBorders>
              <w:top w:val="single" w:color="auto" w:sz="6" w:space="0"/>
              <w:bottom w:val="single" w:color="auto" w:sz="6" w:space="0"/>
              <w:right w:val="single" w:color="auto" w:sz="6" w:space="0"/>
            </w:tcBorders>
            <w:vAlign w:val="center"/>
          </w:tcPr>
          <w:p w14:paraId="20553C65">
            <w:pPr>
              <w:pStyle w:val="230"/>
              <w:jc w:val="center"/>
              <w:rPr>
                <w:sz w:val="18"/>
                <w:szCs w:val="18"/>
              </w:rPr>
            </w:pPr>
            <w:r>
              <w:rPr>
                <w:rFonts w:hint="eastAsia"/>
                <w:sz w:val="18"/>
                <w:szCs w:val="18"/>
              </w:rPr>
              <w:t>允许不合格数</w:t>
            </w:r>
          </w:p>
        </w:tc>
      </w:tr>
      <w:tr w14:paraId="19FC4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309" w:type="pct"/>
            <w:tcBorders>
              <w:left w:val="single" w:color="auto" w:sz="6" w:space="0"/>
              <w:tl2br w:val="nil"/>
              <w:tr2bl w:val="nil"/>
            </w:tcBorders>
            <w:vAlign w:val="center"/>
          </w:tcPr>
          <w:p w14:paraId="309DEAC3">
            <w:pPr>
              <w:pStyle w:val="230"/>
              <w:jc w:val="center"/>
              <w:rPr>
                <w:rFonts w:hint="eastAsia" w:eastAsia="宋体"/>
                <w:sz w:val="18"/>
                <w:szCs w:val="18"/>
                <w:lang w:val="en-US" w:eastAsia="zh-CN"/>
              </w:rPr>
            </w:pPr>
            <w:r>
              <w:rPr>
                <w:rFonts w:hint="eastAsia"/>
                <w:sz w:val="18"/>
                <w:szCs w:val="18"/>
                <w:lang w:val="en-US" w:eastAsia="zh-CN"/>
              </w:rPr>
              <w:t>1</w:t>
            </w:r>
          </w:p>
        </w:tc>
        <w:tc>
          <w:tcPr>
            <w:tcW w:w="824" w:type="pct"/>
            <w:tcBorders>
              <w:tl2br w:val="nil"/>
              <w:tr2bl w:val="nil"/>
            </w:tcBorders>
            <w:vAlign w:val="center"/>
          </w:tcPr>
          <w:p w14:paraId="60E1F8A1">
            <w:pPr>
              <w:pStyle w:val="230"/>
              <w:jc w:val="center"/>
              <w:rPr>
                <w:sz w:val="18"/>
                <w:szCs w:val="18"/>
              </w:rPr>
            </w:pPr>
            <w:r>
              <w:rPr>
                <w:rFonts w:hint="eastAsia"/>
                <w:sz w:val="18"/>
                <w:szCs w:val="18"/>
              </w:rPr>
              <w:t>表面晶向及晶向偏离</w:t>
            </w:r>
          </w:p>
        </w:tc>
        <w:tc>
          <w:tcPr>
            <w:tcW w:w="1146" w:type="pct"/>
            <w:tcBorders>
              <w:tl2br w:val="nil"/>
              <w:tr2bl w:val="nil"/>
            </w:tcBorders>
            <w:vAlign w:val="center"/>
          </w:tcPr>
          <w:p w14:paraId="4AF6A1A4">
            <w:pPr>
              <w:pStyle w:val="230"/>
              <w:jc w:val="center"/>
              <w:rPr>
                <w:sz w:val="18"/>
                <w:szCs w:val="18"/>
              </w:rPr>
            </w:pPr>
            <w:r>
              <w:rPr>
                <w:rFonts w:hint="eastAsia"/>
                <w:sz w:val="18"/>
                <w:szCs w:val="18"/>
              </w:rPr>
              <w:t>5.4</w:t>
            </w:r>
          </w:p>
        </w:tc>
        <w:tc>
          <w:tcPr>
            <w:tcW w:w="544" w:type="pct"/>
            <w:tcBorders>
              <w:tl2br w:val="nil"/>
              <w:tr2bl w:val="nil"/>
            </w:tcBorders>
            <w:vAlign w:val="center"/>
          </w:tcPr>
          <w:p w14:paraId="2D15BD47">
            <w:pPr>
              <w:pStyle w:val="230"/>
              <w:jc w:val="center"/>
              <w:rPr>
                <w:sz w:val="18"/>
                <w:szCs w:val="18"/>
              </w:rPr>
            </w:pPr>
            <w:r>
              <w:rPr>
                <w:rFonts w:hint="eastAsia"/>
                <w:sz w:val="18"/>
                <w:szCs w:val="18"/>
              </w:rPr>
              <w:t>6.2</w:t>
            </w:r>
          </w:p>
        </w:tc>
        <w:tc>
          <w:tcPr>
            <w:tcW w:w="1573" w:type="pct"/>
            <w:tcBorders>
              <w:tl2br w:val="nil"/>
              <w:tr2bl w:val="nil"/>
            </w:tcBorders>
            <w:vAlign w:val="center"/>
          </w:tcPr>
          <w:p w14:paraId="59FADC4D">
            <w:pPr>
              <w:pStyle w:val="230"/>
              <w:jc w:val="center"/>
              <w:rPr>
                <w:sz w:val="18"/>
                <w:szCs w:val="18"/>
                <w:lang w:eastAsia="zh-CN"/>
              </w:rPr>
            </w:pPr>
            <w:r>
              <w:rPr>
                <w:rFonts w:hint="eastAsia"/>
                <w:sz w:val="18"/>
                <w:szCs w:val="18"/>
                <w:lang w:eastAsia="zh-CN"/>
              </w:rPr>
              <w:t>2块（指由1根晶锭头和锭尾所切的、进行电性能测试后晶片剩余部分所取的测试样块），切割后取1片复测表面晶向和晶向偏离</w:t>
            </w:r>
          </w:p>
        </w:tc>
        <w:tc>
          <w:tcPr>
            <w:tcW w:w="602" w:type="pct"/>
            <w:tcBorders>
              <w:right w:val="single" w:color="auto" w:sz="6" w:space="0"/>
              <w:tl2br w:val="nil"/>
              <w:tr2bl w:val="nil"/>
            </w:tcBorders>
            <w:vAlign w:val="center"/>
          </w:tcPr>
          <w:p w14:paraId="239AB984">
            <w:pPr>
              <w:pStyle w:val="230"/>
              <w:jc w:val="center"/>
              <w:rPr>
                <w:sz w:val="18"/>
                <w:szCs w:val="18"/>
              </w:rPr>
            </w:pPr>
            <w:r>
              <w:rPr>
                <w:rFonts w:hint="eastAsia"/>
                <w:sz w:val="18"/>
                <w:szCs w:val="18"/>
              </w:rPr>
              <w:t>0</w:t>
            </w:r>
          </w:p>
        </w:tc>
      </w:tr>
      <w:tr w14:paraId="20C68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309" w:type="pct"/>
            <w:tcBorders>
              <w:left w:val="single" w:color="auto" w:sz="6" w:space="0"/>
              <w:bottom w:val="single" w:color="auto" w:sz="6" w:space="0"/>
              <w:tl2br w:val="nil"/>
              <w:tr2bl w:val="nil"/>
            </w:tcBorders>
            <w:vAlign w:val="center"/>
          </w:tcPr>
          <w:p w14:paraId="36945D0F">
            <w:pPr>
              <w:pStyle w:val="230"/>
              <w:jc w:val="center"/>
              <w:rPr>
                <w:rFonts w:hint="eastAsia" w:eastAsia="宋体"/>
                <w:sz w:val="18"/>
                <w:szCs w:val="18"/>
                <w:lang w:eastAsia="zh-CN"/>
              </w:rPr>
            </w:pPr>
            <w:r>
              <w:rPr>
                <w:rFonts w:hint="eastAsia"/>
                <w:sz w:val="18"/>
                <w:szCs w:val="18"/>
                <w:lang w:val="en-US" w:eastAsia="zh-CN"/>
              </w:rPr>
              <w:t>2</w:t>
            </w:r>
          </w:p>
        </w:tc>
        <w:tc>
          <w:tcPr>
            <w:tcW w:w="824" w:type="pct"/>
            <w:tcBorders>
              <w:bottom w:val="single" w:color="auto" w:sz="6" w:space="0"/>
              <w:tl2br w:val="nil"/>
              <w:tr2bl w:val="nil"/>
            </w:tcBorders>
            <w:vAlign w:val="center"/>
          </w:tcPr>
          <w:p w14:paraId="599D2094">
            <w:pPr>
              <w:pStyle w:val="230"/>
              <w:jc w:val="center"/>
              <w:rPr>
                <w:sz w:val="18"/>
                <w:szCs w:val="18"/>
              </w:rPr>
            </w:pPr>
            <w:r>
              <w:rPr>
                <w:rFonts w:hint="eastAsia"/>
                <w:sz w:val="18"/>
                <w:szCs w:val="18"/>
              </w:rPr>
              <w:t>位错密度</w:t>
            </w:r>
          </w:p>
        </w:tc>
        <w:tc>
          <w:tcPr>
            <w:tcW w:w="1146" w:type="pct"/>
            <w:tcBorders>
              <w:bottom w:val="single" w:color="auto" w:sz="6" w:space="0"/>
              <w:tl2br w:val="nil"/>
              <w:tr2bl w:val="nil"/>
            </w:tcBorders>
            <w:vAlign w:val="center"/>
          </w:tcPr>
          <w:p w14:paraId="20BEEDC4">
            <w:pPr>
              <w:pStyle w:val="230"/>
              <w:jc w:val="center"/>
              <w:rPr>
                <w:sz w:val="18"/>
                <w:szCs w:val="18"/>
              </w:rPr>
            </w:pPr>
            <w:r>
              <w:rPr>
                <w:rFonts w:hint="eastAsia"/>
                <w:sz w:val="18"/>
                <w:szCs w:val="18"/>
              </w:rPr>
              <w:t>5.6</w:t>
            </w:r>
          </w:p>
        </w:tc>
        <w:tc>
          <w:tcPr>
            <w:tcW w:w="544" w:type="pct"/>
            <w:tcBorders>
              <w:bottom w:val="single" w:color="auto" w:sz="6" w:space="0"/>
              <w:tl2br w:val="nil"/>
              <w:tr2bl w:val="nil"/>
            </w:tcBorders>
            <w:vAlign w:val="center"/>
          </w:tcPr>
          <w:p w14:paraId="3F2EA477">
            <w:pPr>
              <w:pStyle w:val="230"/>
              <w:jc w:val="center"/>
              <w:rPr>
                <w:sz w:val="18"/>
                <w:szCs w:val="18"/>
              </w:rPr>
            </w:pPr>
            <w:r>
              <w:rPr>
                <w:rFonts w:hint="eastAsia"/>
                <w:sz w:val="18"/>
                <w:szCs w:val="18"/>
              </w:rPr>
              <w:t>6.3</w:t>
            </w:r>
          </w:p>
        </w:tc>
        <w:tc>
          <w:tcPr>
            <w:tcW w:w="1573" w:type="pct"/>
            <w:tcBorders>
              <w:bottom w:val="single" w:color="auto" w:sz="6" w:space="0"/>
              <w:tl2br w:val="nil"/>
              <w:tr2bl w:val="nil"/>
            </w:tcBorders>
            <w:vAlign w:val="center"/>
          </w:tcPr>
          <w:p w14:paraId="06139C2E">
            <w:pPr>
              <w:pStyle w:val="230"/>
              <w:jc w:val="center"/>
              <w:rPr>
                <w:sz w:val="18"/>
                <w:szCs w:val="18"/>
                <w:lang w:eastAsia="zh-CN"/>
              </w:rPr>
            </w:pPr>
            <w:r>
              <w:rPr>
                <w:rFonts w:hint="eastAsia"/>
                <w:sz w:val="18"/>
                <w:szCs w:val="18"/>
                <w:lang w:eastAsia="zh-CN"/>
              </w:rPr>
              <w:t>2片（指由1根晶锭头和锭尾所切的另外各1整片晶片）</w:t>
            </w:r>
          </w:p>
        </w:tc>
        <w:tc>
          <w:tcPr>
            <w:tcW w:w="602" w:type="pct"/>
            <w:tcBorders>
              <w:bottom w:val="single" w:color="auto" w:sz="6" w:space="0"/>
              <w:right w:val="single" w:color="auto" w:sz="6" w:space="0"/>
              <w:tl2br w:val="nil"/>
              <w:tr2bl w:val="nil"/>
            </w:tcBorders>
            <w:vAlign w:val="center"/>
          </w:tcPr>
          <w:p w14:paraId="1578B9E2">
            <w:pPr>
              <w:pStyle w:val="230"/>
              <w:jc w:val="center"/>
              <w:rPr>
                <w:sz w:val="18"/>
                <w:szCs w:val="18"/>
              </w:rPr>
            </w:pPr>
            <w:r>
              <w:rPr>
                <w:rFonts w:hint="eastAsia"/>
                <w:sz w:val="18"/>
                <w:szCs w:val="18"/>
              </w:rPr>
              <w:t>0</w:t>
            </w:r>
          </w:p>
        </w:tc>
      </w:tr>
    </w:tbl>
    <w:p w14:paraId="62478AFD">
      <w:pPr>
        <w:pStyle w:val="164"/>
        <w:numPr>
          <w:ilvl w:val="4"/>
          <w:numId w:val="0"/>
        </w:numPr>
        <w:ind w:leftChars="0"/>
      </w:pPr>
    </w:p>
    <w:p w14:paraId="62AF3C62">
      <w:pPr>
        <w:pStyle w:val="164"/>
        <w:keepNext w:val="0"/>
        <w:keepLines w:val="0"/>
        <w:pageBreakBefore w:val="0"/>
        <w:widowControl/>
        <w:numPr>
          <w:numId w:val="0"/>
        </w:numPr>
        <w:kinsoku/>
        <w:wordWrap/>
        <w:overflowPunct/>
        <w:topLinePunct w:val="0"/>
        <w:autoSpaceDE/>
        <w:autoSpaceDN/>
        <w:bidi w:val="0"/>
        <w:adjustRightInd/>
        <w:snapToGrid/>
        <w:ind w:leftChars="0" w:firstLine="420" w:firstLineChars="200"/>
        <w:textAlignment w:val="auto"/>
      </w:pPr>
      <w:r>
        <w:rPr>
          <w:rFonts w:hint="eastAsia"/>
        </w:rPr>
        <w:t>采用</w:t>
      </w:r>
      <w:r>
        <w:rPr>
          <w:rFonts w:hint="eastAsia"/>
          <w:lang w:val="en-US" w:eastAsia="zh-CN"/>
        </w:rPr>
        <w:t xml:space="preserve">GB/T 4326 </w:t>
      </w:r>
      <w:r>
        <w:rPr>
          <w:rFonts w:hint="eastAsia"/>
        </w:rPr>
        <w:t>进行电学性能参数检验时，检验规则及合格判据符合表</w:t>
      </w:r>
      <w:r>
        <w:rPr>
          <w:rFonts w:hint="eastAsia"/>
          <w:lang w:val="en-US" w:eastAsia="zh-CN"/>
        </w:rPr>
        <w:t>11</w:t>
      </w:r>
      <w:r>
        <w:rPr>
          <w:rFonts w:hint="eastAsia"/>
        </w:rPr>
        <w:t>的规定。</w:t>
      </w:r>
    </w:p>
    <w:p w14:paraId="0E2D5FF7">
      <w:pPr>
        <w:pStyle w:val="112"/>
        <w:spacing w:before="156" w:after="156"/>
      </w:pPr>
      <w:r>
        <w:rPr>
          <w:rFonts w:hint="eastAsia"/>
        </w:rPr>
        <w:t>电学性能检验项目、规则及判据</w:t>
      </w:r>
    </w:p>
    <w:tbl>
      <w:tblPr>
        <w:tblStyle w:val="2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85" w:type="dxa"/>
          <w:bottom w:w="57" w:type="dxa"/>
          <w:right w:w="85" w:type="dxa"/>
        </w:tblCellMar>
      </w:tblPr>
      <w:tblGrid>
        <w:gridCol w:w="584"/>
        <w:gridCol w:w="1571"/>
        <w:gridCol w:w="2186"/>
        <w:gridCol w:w="1039"/>
        <w:gridCol w:w="3000"/>
        <w:gridCol w:w="1144"/>
      </w:tblGrid>
      <w:tr w14:paraId="32C8A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blHeader/>
        </w:trPr>
        <w:tc>
          <w:tcPr>
            <w:tcW w:w="307" w:type="pct"/>
            <w:tcBorders>
              <w:top w:val="single" w:color="auto" w:sz="6" w:space="0"/>
              <w:left w:val="single" w:color="auto" w:sz="6" w:space="0"/>
              <w:bottom w:val="single" w:color="auto" w:sz="6" w:space="0"/>
            </w:tcBorders>
            <w:vAlign w:val="center"/>
          </w:tcPr>
          <w:p w14:paraId="13F0B8F5">
            <w:pPr>
              <w:pStyle w:val="230"/>
              <w:jc w:val="center"/>
              <w:rPr>
                <w:sz w:val="18"/>
                <w:szCs w:val="18"/>
              </w:rPr>
            </w:pPr>
            <w:r>
              <w:rPr>
                <w:rFonts w:hint="eastAsia"/>
                <w:sz w:val="18"/>
                <w:szCs w:val="18"/>
              </w:rPr>
              <w:t>序号</w:t>
            </w:r>
          </w:p>
        </w:tc>
        <w:tc>
          <w:tcPr>
            <w:tcW w:w="824" w:type="pct"/>
            <w:tcBorders>
              <w:top w:val="single" w:color="auto" w:sz="6" w:space="0"/>
              <w:bottom w:val="single" w:color="auto" w:sz="6" w:space="0"/>
            </w:tcBorders>
            <w:vAlign w:val="center"/>
          </w:tcPr>
          <w:p w14:paraId="5CAAB61A">
            <w:pPr>
              <w:pStyle w:val="230"/>
              <w:jc w:val="center"/>
              <w:rPr>
                <w:sz w:val="18"/>
                <w:szCs w:val="18"/>
              </w:rPr>
            </w:pPr>
            <w:r>
              <w:rPr>
                <w:rFonts w:hint="eastAsia"/>
                <w:sz w:val="18"/>
                <w:szCs w:val="18"/>
              </w:rPr>
              <w:t>检验项目</w:t>
            </w:r>
          </w:p>
        </w:tc>
        <w:tc>
          <w:tcPr>
            <w:tcW w:w="1147" w:type="pct"/>
            <w:tcBorders>
              <w:top w:val="single" w:color="auto" w:sz="6" w:space="0"/>
              <w:bottom w:val="single" w:color="auto" w:sz="6" w:space="0"/>
            </w:tcBorders>
            <w:vAlign w:val="center"/>
          </w:tcPr>
          <w:p w14:paraId="4FF48D6B">
            <w:pPr>
              <w:pStyle w:val="230"/>
              <w:jc w:val="center"/>
              <w:rPr>
                <w:sz w:val="18"/>
                <w:szCs w:val="18"/>
              </w:rPr>
            </w:pPr>
            <w:r>
              <w:rPr>
                <w:rFonts w:hint="eastAsia"/>
                <w:sz w:val="18"/>
                <w:szCs w:val="18"/>
              </w:rPr>
              <w:t>要求条款号</w:t>
            </w:r>
          </w:p>
        </w:tc>
        <w:tc>
          <w:tcPr>
            <w:tcW w:w="545" w:type="pct"/>
            <w:tcBorders>
              <w:top w:val="single" w:color="auto" w:sz="6" w:space="0"/>
              <w:bottom w:val="single" w:color="auto" w:sz="6" w:space="0"/>
            </w:tcBorders>
            <w:vAlign w:val="center"/>
          </w:tcPr>
          <w:p w14:paraId="7225EEF7">
            <w:pPr>
              <w:pStyle w:val="230"/>
              <w:jc w:val="center"/>
              <w:rPr>
                <w:sz w:val="18"/>
                <w:szCs w:val="18"/>
              </w:rPr>
            </w:pPr>
            <w:r>
              <w:rPr>
                <w:rFonts w:hint="eastAsia"/>
                <w:sz w:val="18"/>
                <w:szCs w:val="18"/>
              </w:rPr>
              <w:t>检验方法</w:t>
            </w:r>
          </w:p>
        </w:tc>
        <w:tc>
          <w:tcPr>
            <w:tcW w:w="1574" w:type="pct"/>
            <w:tcBorders>
              <w:top w:val="single" w:color="auto" w:sz="6" w:space="0"/>
              <w:bottom w:val="single" w:color="auto" w:sz="6" w:space="0"/>
            </w:tcBorders>
            <w:vAlign w:val="center"/>
          </w:tcPr>
          <w:p w14:paraId="6C394BD8">
            <w:pPr>
              <w:pStyle w:val="230"/>
              <w:jc w:val="center"/>
              <w:rPr>
                <w:sz w:val="18"/>
                <w:szCs w:val="18"/>
              </w:rPr>
            </w:pPr>
            <w:r>
              <w:rPr>
                <w:rFonts w:hint="eastAsia"/>
                <w:sz w:val="18"/>
                <w:szCs w:val="18"/>
              </w:rPr>
              <w:t>检验规则</w:t>
            </w:r>
          </w:p>
        </w:tc>
        <w:tc>
          <w:tcPr>
            <w:tcW w:w="600" w:type="pct"/>
            <w:tcBorders>
              <w:top w:val="single" w:color="auto" w:sz="6" w:space="0"/>
              <w:bottom w:val="single" w:color="auto" w:sz="6" w:space="0"/>
              <w:right w:val="single" w:color="auto" w:sz="6" w:space="0"/>
            </w:tcBorders>
            <w:vAlign w:val="center"/>
          </w:tcPr>
          <w:p w14:paraId="3EF7D6A4">
            <w:pPr>
              <w:pStyle w:val="230"/>
              <w:jc w:val="center"/>
              <w:rPr>
                <w:sz w:val="18"/>
                <w:szCs w:val="18"/>
              </w:rPr>
            </w:pPr>
            <w:r>
              <w:rPr>
                <w:rFonts w:hint="eastAsia"/>
                <w:sz w:val="18"/>
                <w:szCs w:val="18"/>
              </w:rPr>
              <w:t>允许不合格数</w:t>
            </w:r>
          </w:p>
        </w:tc>
      </w:tr>
      <w:tr w14:paraId="659E7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307" w:type="pct"/>
            <w:tcBorders>
              <w:top w:val="single" w:color="auto" w:sz="6" w:space="0"/>
              <w:left w:val="single" w:color="auto" w:sz="6" w:space="0"/>
              <w:tl2br w:val="nil"/>
              <w:tr2bl w:val="nil"/>
            </w:tcBorders>
            <w:vAlign w:val="center"/>
          </w:tcPr>
          <w:p w14:paraId="1CCAE6D3">
            <w:pPr>
              <w:pStyle w:val="230"/>
              <w:rPr>
                <w:sz w:val="18"/>
                <w:szCs w:val="18"/>
              </w:rPr>
            </w:pPr>
            <w:r>
              <w:rPr>
                <w:rFonts w:hint="eastAsia"/>
                <w:sz w:val="18"/>
                <w:szCs w:val="18"/>
              </w:rPr>
              <w:t>1</w:t>
            </w:r>
          </w:p>
        </w:tc>
        <w:tc>
          <w:tcPr>
            <w:tcW w:w="824" w:type="pct"/>
            <w:tcBorders>
              <w:top w:val="single" w:color="auto" w:sz="6" w:space="0"/>
              <w:tl2br w:val="nil"/>
              <w:tr2bl w:val="nil"/>
            </w:tcBorders>
            <w:vAlign w:val="center"/>
          </w:tcPr>
          <w:p w14:paraId="61760FFC">
            <w:pPr>
              <w:pStyle w:val="230"/>
              <w:jc w:val="center"/>
              <w:rPr>
                <w:sz w:val="18"/>
                <w:szCs w:val="18"/>
              </w:rPr>
            </w:pPr>
            <w:r>
              <w:rPr>
                <w:rFonts w:hint="eastAsia"/>
                <w:sz w:val="18"/>
                <w:szCs w:val="18"/>
              </w:rPr>
              <w:t>电阻率</w:t>
            </w:r>
          </w:p>
        </w:tc>
        <w:tc>
          <w:tcPr>
            <w:tcW w:w="1147" w:type="pct"/>
            <w:vMerge w:val="restart"/>
            <w:tcBorders>
              <w:top w:val="single" w:color="auto" w:sz="6" w:space="0"/>
              <w:tl2br w:val="nil"/>
              <w:tr2bl w:val="nil"/>
            </w:tcBorders>
            <w:vAlign w:val="center"/>
          </w:tcPr>
          <w:p w14:paraId="52264F4B">
            <w:pPr>
              <w:pStyle w:val="230"/>
              <w:jc w:val="center"/>
              <w:rPr>
                <w:rFonts w:hint="eastAsia"/>
                <w:sz w:val="18"/>
                <w:szCs w:val="18"/>
              </w:rPr>
            </w:pPr>
            <w:r>
              <w:rPr>
                <w:rFonts w:hint="eastAsia"/>
                <w:sz w:val="18"/>
                <w:szCs w:val="18"/>
              </w:rPr>
              <w:t>5.1</w:t>
            </w:r>
          </w:p>
          <w:p w14:paraId="2EA5F05F">
            <w:pPr>
              <w:pStyle w:val="230"/>
              <w:jc w:val="center"/>
              <w:rPr>
                <w:sz w:val="18"/>
                <w:szCs w:val="18"/>
              </w:rPr>
            </w:pPr>
          </w:p>
        </w:tc>
        <w:tc>
          <w:tcPr>
            <w:tcW w:w="545" w:type="pct"/>
            <w:tcBorders>
              <w:top w:val="single" w:color="auto" w:sz="6" w:space="0"/>
              <w:tl2br w:val="nil"/>
              <w:tr2bl w:val="nil"/>
            </w:tcBorders>
            <w:vAlign w:val="center"/>
          </w:tcPr>
          <w:p w14:paraId="32C29088">
            <w:pPr>
              <w:pStyle w:val="230"/>
              <w:jc w:val="center"/>
              <w:rPr>
                <w:sz w:val="18"/>
                <w:szCs w:val="18"/>
              </w:rPr>
            </w:pPr>
            <w:r>
              <w:rPr>
                <w:rFonts w:hint="eastAsia"/>
                <w:sz w:val="18"/>
                <w:szCs w:val="18"/>
              </w:rPr>
              <w:t>6.1.1</w:t>
            </w:r>
          </w:p>
        </w:tc>
        <w:tc>
          <w:tcPr>
            <w:tcW w:w="1574" w:type="pct"/>
            <w:vMerge w:val="restart"/>
            <w:tcBorders>
              <w:top w:val="single" w:color="auto" w:sz="6" w:space="0"/>
              <w:tl2br w:val="nil"/>
              <w:tr2bl w:val="nil"/>
            </w:tcBorders>
            <w:vAlign w:val="center"/>
          </w:tcPr>
          <w:p w14:paraId="5C1200C9">
            <w:pPr>
              <w:pStyle w:val="230"/>
              <w:rPr>
                <w:rFonts w:hint="eastAsia"/>
                <w:sz w:val="18"/>
                <w:szCs w:val="18"/>
                <w:lang w:eastAsia="zh-CN"/>
              </w:rPr>
            </w:pPr>
            <w:r>
              <w:rPr>
                <w:rFonts w:hint="eastAsia"/>
                <w:sz w:val="18"/>
                <w:szCs w:val="18"/>
                <w:lang w:eastAsia="zh-CN"/>
              </w:rPr>
              <w:t>4块（指由1根晶锭头和锭尾所切1晶片的中心点和边缘到1/3位置之间所取的共4片测试样块</w:t>
            </w:r>
          </w:p>
          <w:p w14:paraId="1D7D9016">
            <w:pPr>
              <w:pStyle w:val="230"/>
              <w:rPr>
                <w:sz w:val="18"/>
                <w:szCs w:val="18"/>
                <w:lang w:eastAsia="zh-CN"/>
              </w:rPr>
            </w:pPr>
          </w:p>
        </w:tc>
        <w:tc>
          <w:tcPr>
            <w:tcW w:w="600" w:type="pct"/>
            <w:vMerge w:val="restart"/>
            <w:tcBorders>
              <w:top w:val="single" w:color="auto" w:sz="6" w:space="0"/>
              <w:right w:val="single" w:color="auto" w:sz="6" w:space="0"/>
              <w:tl2br w:val="nil"/>
              <w:tr2bl w:val="nil"/>
            </w:tcBorders>
            <w:vAlign w:val="center"/>
          </w:tcPr>
          <w:p w14:paraId="037D16F1">
            <w:pPr>
              <w:pStyle w:val="230"/>
              <w:jc w:val="center"/>
              <w:rPr>
                <w:rFonts w:hint="eastAsia"/>
                <w:sz w:val="18"/>
                <w:szCs w:val="18"/>
              </w:rPr>
            </w:pPr>
            <w:r>
              <w:rPr>
                <w:rFonts w:hint="eastAsia"/>
                <w:sz w:val="18"/>
                <w:szCs w:val="18"/>
              </w:rPr>
              <w:t>0</w:t>
            </w:r>
          </w:p>
          <w:p w14:paraId="1292C893">
            <w:pPr>
              <w:pStyle w:val="230"/>
              <w:jc w:val="center"/>
              <w:rPr>
                <w:sz w:val="18"/>
                <w:szCs w:val="18"/>
              </w:rPr>
            </w:pPr>
          </w:p>
        </w:tc>
      </w:tr>
      <w:tr w14:paraId="70EB1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307" w:type="pct"/>
            <w:tcBorders>
              <w:left w:val="single" w:color="auto" w:sz="6" w:space="0"/>
              <w:tl2br w:val="nil"/>
              <w:tr2bl w:val="nil"/>
            </w:tcBorders>
            <w:vAlign w:val="center"/>
          </w:tcPr>
          <w:p w14:paraId="4D032154">
            <w:pPr>
              <w:pStyle w:val="230"/>
              <w:rPr>
                <w:sz w:val="18"/>
                <w:szCs w:val="18"/>
              </w:rPr>
            </w:pPr>
            <w:r>
              <w:rPr>
                <w:rFonts w:hint="eastAsia"/>
                <w:sz w:val="18"/>
                <w:szCs w:val="18"/>
              </w:rPr>
              <w:t>2</w:t>
            </w:r>
          </w:p>
        </w:tc>
        <w:tc>
          <w:tcPr>
            <w:tcW w:w="824" w:type="pct"/>
            <w:tcBorders>
              <w:tl2br w:val="nil"/>
              <w:tr2bl w:val="nil"/>
            </w:tcBorders>
            <w:vAlign w:val="center"/>
          </w:tcPr>
          <w:p w14:paraId="440C9B47">
            <w:pPr>
              <w:pStyle w:val="230"/>
              <w:jc w:val="center"/>
              <w:rPr>
                <w:sz w:val="18"/>
                <w:szCs w:val="18"/>
              </w:rPr>
            </w:pPr>
            <w:r>
              <w:rPr>
                <w:rFonts w:hint="eastAsia"/>
                <w:sz w:val="18"/>
                <w:szCs w:val="18"/>
              </w:rPr>
              <w:t>迁移率</w:t>
            </w:r>
          </w:p>
        </w:tc>
        <w:tc>
          <w:tcPr>
            <w:tcW w:w="1147" w:type="pct"/>
            <w:vMerge w:val="continue"/>
            <w:tcBorders>
              <w:tl2br w:val="nil"/>
              <w:tr2bl w:val="nil"/>
            </w:tcBorders>
            <w:vAlign w:val="center"/>
          </w:tcPr>
          <w:p w14:paraId="11D3608A">
            <w:pPr>
              <w:pStyle w:val="230"/>
              <w:jc w:val="center"/>
              <w:rPr>
                <w:sz w:val="18"/>
                <w:szCs w:val="18"/>
              </w:rPr>
            </w:pPr>
          </w:p>
        </w:tc>
        <w:tc>
          <w:tcPr>
            <w:tcW w:w="545" w:type="pct"/>
            <w:tcBorders>
              <w:tl2br w:val="nil"/>
              <w:tr2bl w:val="nil"/>
            </w:tcBorders>
            <w:vAlign w:val="center"/>
          </w:tcPr>
          <w:p w14:paraId="78C63E11">
            <w:pPr>
              <w:pStyle w:val="230"/>
              <w:jc w:val="center"/>
              <w:rPr>
                <w:sz w:val="18"/>
                <w:szCs w:val="18"/>
              </w:rPr>
            </w:pPr>
            <w:r>
              <w:rPr>
                <w:rFonts w:hint="eastAsia"/>
                <w:sz w:val="18"/>
                <w:szCs w:val="18"/>
              </w:rPr>
              <w:t>6.1.2</w:t>
            </w:r>
          </w:p>
        </w:tc>
        <w:tc>
          <w:tcPr>
            <w:tcW w:w="1574" w:type="pct"/>
            <w:vMerge w:val="continue"/>
            <w:tcBorders>
              <w:tl2br w:val="nil"/>
              <w:tr2bl w:val="nil"/>
            </w:tcBorders>
            <w:vAlign w:val="center"/>
          </w:tcPr>
          <w:p w14:paraId="1AC4D4E3">
            <w:pPr>
              <w:pStyle w:val="230"/>
              <w:rPr>
                <w:sz w:val="18"/>
                <w:szCs w:val="18"/>
              </w:rPr>
            </w:pPr>
          </w:p>
        </w:tc>
        <w:tc>
          <w:tcPr>
            <w:tcW w:w="600" w:type="pct"/>
            <w:vMerge w:val="continue"/>
            <w:tcBorders>
              <w:right w:val="single" w:color="auto" w:sz="6" w:space="0"/>
              <w:tl2br w:val="nil"/>
              <w:tr2bl w:val="nil"/>
            </w:tcBorders>
            <w:vAlign w:val="center"/>
          </w:tcPr>
          <w:p w14:paraId="205D4EF0">
            <w:pPr>
              <w:pStyle w:val="230"/>
              <w:jc w:val="center"/>
              <w:rPr>
                <w:sz w:val="18"/>
                <w:szCs w:val="18"/>
              </w:rPr>
            </w:pPr>
          </w:p>
        </w:tc>
      </w:tr>
      <w:tr w14:paraId="4EC62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307" w:type="pct"/>
            <w:tcBorders>
              <w:left w:val="single" w:color="auto" w:sz="6" w:space="0"/>
              <w:tl2br w:val="nil"/>
              <w:tr2bl w:val="nil"/>
            </w:tcBorders>
            <w:vAlign w:val="center"/>
          </w:tcPr>
          <w:p w14:paraId="7DF11FF2">
            <w:pPr>
              <w:pStyle w:val="230"/>
              <w:rPr>
                <w:sz w:val="18"/>
                <w:szCs w:val="18"/>
              </w:rPr>
            </w:pPr>
            <w:r>
              <w:rPr>
                <w:rFonts w:hint="eastAsia"/>
                <w:sz w:val="18"/>
                <w:szCs w:val="18"/>
              </w:rPr>
              <w:t>3</w:t>
            </w:r>
          </w:p>
        </w:tc>
        <w:tc>
          <w:tcPr>
            <w:tcW w:w="824" w:type="pct"/>
            <w:tcBorders>
              <w:tl2br w:val="nil"/>
              <w:tr2bl w:val="nil"/>
            </w:tcBorders>
            <w:vAlign w:val="center"/>
          </w:tcPr>
          <w:p w14:paraId="0F9AF8C3">
            <w:pPr>
              <w:pStyle w:val="230"/>
              <w:jc w:val="center"/>
              <w:rPr>
                <w:sz w:val="18"/>
                <w:szCs w:val="18"/>
              </w:rPr>
            </w:pPr>
            <w:r>
              <w:rPr>
                <w:rFonts w:hint="eastAsia"/>
                <w:sz w:val="18"/>
                <w:szCs w:val="18"/>
              </w:rPr>
              <w:t>载流子浓度</w:t>
            </w:r>
          </w:p>
        </w:tc>
        <w:tc>
          <w:tcPr>
            <w:tcW w:w="1147" w:type="pct"/>
            <w:vMerge w:val="continue"/>
            <w:tcBorders>
              <w:tl2br w:val="nil"/>
              <w:tr2bl w:val="nil"/>
            </w:tcBorders>
            <w:vAlign w:val="center"/>
          </w:tcPr>
          <w:p w14:paraId="586B0C39">
            <w:pPr>
              <w:pStyle w:val="230"/>
              <w:jc w:val="center"/>
              <w:rPr>
                <w:sz w:val="18"/>
                <w:szCs w:val="18"/>
              </w:rPr>
            </w:pPr>
          </w:p>
        </w:tc>
        <w:tc>
          <w:tcPr>
            <w:tcW w:w="545" w:type="pct"/>
            <w:tcBorders>
              <w:tl2br w:val="nil"/>
              <w:tr2bl w:val="nil"/>
            </w:tcBorders>
            <w:vAlign w:val="center"/>
          </w:tcPr>
          <w:p w14:paraId="060DA7FF">
            <w:pPr>
              <w:pStyle w:val="230"/>
              <w:jc w:val="center"/>
              <w:rPr>
                <w:sz w:val="18"/>
                <w:szCs w:val="18"/>
              </w:rPr>
            </w:pPr>
            <w:r>
              <w:rPr>
                <w:rFonts w:hint="eastAsia"/>
                <w:sz w:val="18"/>
                <w:szCs w:val="18"/>
              </w:rPr>
              <w:t>6.1.3</w:t>
            </w:r>
          </w:p>
        </w:tc>
        <w:tc>
          <w:tcPr>
            <w:tcW w:w="1574" w:type="pct"/>
            <w:vMerge w:val="continue"/>
            <w:tcBorders>
              <w:tl2br w:val="nil"/>
              <w:tr2bl w:val="nil"/>
            </w:tcBorders>
            <w:vAlign w:val="center"/>
          </w:tcPr>
          <w:p w14:paraId="2CC44E02">
            <w:pPr>
              <w:pStyle w:val="230"/>
              <w:rPr>
                <w:sz w:val="18"/>
                <w:szCs w:val="18"/>
              </w:rPr>
            </w:pPr>
          </w:p>
        </w:tc>
        <w:tc>
          <w:tcPr>
            <w:tcW w:w="600" w:type="pct"/>
            <w:vMerge w:val="continue"/>
            <w:tcBorders>
              <w:right w:val="single" w:color="auto" w:sz="6" w:space="0"/>
              <w:tl2br w:val="nil"/>
              <w:tr2bl w:val="nil"/>
            </w:tcBorders>
            <w:vAlign w:val="center"/>
          </w:tcPr>
          <w:p w14:paraId="5822FD95">
            <w:pPr>
              <w:pStyle w:val="230"/>
              <w:jc w:val="center"/>
              <w:rPr>
                <w:sz w:val="18"/>
                <w:szCs w:val="18"/>
              </w:rPr>
            </w:pPr>
          </w:p>
        </w:tc>
      </w:tr>
      <w:tr w14:paraId="1C21B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307" w:type="pct"/>
            <w:tcBorders>
              <w:left w:val="single" w:color="auto" w:sz="6" w:space="0"/>
              <w:tl2br w:val="nil"/>
              <w:tr2bl w:val="nil"/>
            </w:tcBorders>
            <w:vAlign w:val="center"/>
          </w:tcPr>
          <w:p w14:paraId="447BB346">
            <w:pPr>
              <w:pStyle w:val="230"/>
              <w:rPr>
                <w:sz w:val="18"/>
                <w:szCs w:val="18"/>
              </w:rPr>
            </w:pPr>
            <w:r>
              <w:rPr>
                <w:rFonts w:hint="eastAsia"/>
                <w:sz w:val="18"/>
                <w:szCs w:val="18"/>
              </w:rPr>
              <w:t>4</w:t>
            </w:r>
          </w:p>
        </w:tc>
        <w:tc>
          <w:tcPr>
            <w:tcW w:w="824" w:type="pct"/>
            <w:tcBorders>
              <w:tl2br w:val="nil"/>
              <w:tr2bl w:val="nil"/>
            </w:tcBorders>
            <w:vAlign w:val="center"/>
          </w:tcPr>
          <w:p w14:paraId="17E095DD">
            <w:pPr>
              <w:pStyle w:val="230"/>
              <w:jc w:val="center"/>
              <w:rPr>
                <w:rFonts w:hint="default" w:eastAsia="宋体"/>
                <w:sz w:val="18"/>
                <w:szCs w:val="18"/>
                <w:lang w:val="en-US" w:eastAsia="zh-CN"/>
              </w:rPr>
            </w:pPr>
            <w:r>
              <w:rPr>
                <w:rFonts w:hint="eastAsia"/>
                <w:sz w:val="18"/>
                <w:szCs w:val="18"/>
                <w:lang w:val="en-US" w:eastAsia="zh-CN"/>
              </w:rPr>
              <w:t>截面积电阻率不均匀性</w:t>
            </w:r>
          </w:p>
        </w:tc>
        <w:tc>
          <w:tcPr>
            <w:tcW w:w="1147" w:type="pct"/>
            <w:vMerge w:val="continue"/>
            <w:tcBorders>
              <w:tl2br w:val="nil"/>
              <w:tr2bl w:val="nil"/>
            </w:tcBorders>
            <w:vAlign w:val="center"/>
          </w:tcPr>
          <w:p w14:paraId="3588783C">
            <w:pPr>
              <w:pStyle w:val="230"/>
              <w:jc w:val="center"/>
              <w:rPr>
                <w:sz w:val="18"/>
                <w:szCs w:val="18"/>
              </w:rPr>
            </w:pPr>
          </w:p>
        </w:tc>
        <w:tc>
          <w:tcPr>
            <w:tcW w:w="545" w:type="pct"/>
            <w:tcBorders>
              <w:tl2br w:val="nil"/>
              <w:tr2bl w:val="nil"/>
            </w:tcBorders>
            <w:vAlign w:val="center"/>
          </w:tcPr>
          <w:p w14:paraId="6F70A24A">
            <w:pPr>
              <w:pStyle w:val="230"/>
              <w:jc w:val="center"/>
              <w:rPr>
                <w:rFonts w:hint="default" w:eastAsia="宋体"/>
                <w:sz w:val="18"/>
                <w:szCs w:val="18"/>
                <w:lang w:val="en-US" w:eastAsia="zh-CN"/>
              </w:rPr>
            </w:pPr>
            <w:r>
              <w:rPr>
                <w:rFonts w:hint="eastAsia"/>
                <w:sz w:val="18"/>
                <w:szCs w:val="18"/>
              </w:rPr>
              <w:t>6.</w:t>
            </w:r>
            <w:r>
              <w:rPr>
                <w:rFonts w:hint="eastAsia"/>
                <w:sz w:val="18"/>
                <w:szCs w:val="18"/>
                <w:lang w:val="en-US" w:eastAsia="zh-CN"/>
              </w:rPr>
              <w:t>1.3</w:t>
            </w:r>
          </w:p>
        </w:tc>
        <w:tc>
          <w:tcPr>
            <w:tcW w:w="1574" w:type="pct"/>
            <w:vMerge w:val="continue"/>
            <w:tcBorders>
              <w:tl2br w:val="nil"/>
              <w:tr2bl w:val="nil"/>
            </w:tcBorders>
            <w:vAlign w:val="center"/>
          </w:tcPr>
          <w:p w14:paraId="6E5DEF64">
            <w:pPr>
              <w:pStyle w:val="230"/>
              <w:rPr>
                <w:sz w:val="18"/>
                <w:szCs w:val="18"/>
                <w:lang w:eastAsia="zh-CN"/>
              </w:rPr>
            </w:pPr>
          </w:p>
        </w:tc>
        <w:tc>
          <w:tcPr>
            <w:tcW w:w="600" w:type="pct"/>
            <w:vMerge w:val="continue"/>
            <w:tcBorders>
              <w:right w:val="single" w:color="auto" w:sz="6" w:space="0"/>
              <w:tl2br w:val="nil"/>
              <w:tr2bl w:val="nil"/>
            </w:tcBorders>
            <w:vAlign w:val="center"/>
          </w:tcPr>
          <w:p w14:paraId="74A16EA6">
            <w:pPr>
              <w:pStyle w:val="230"/>
              <w:jc w:val="center"/>
              <w:rPr>
                <w:sz w:val="18"/>
                <w:szCs w:val="18"/>
              </w:rPr>
            </w:pPr>
          </w:p>
        </w:tc>
      </w:tr>
    </w:tbl>
    <w:p w14:paraId="518D7030">
      <w:pPr>
        <w:pStyle w:val="165"/>
        <w:numPr>
          <w:ilvl w:val="0"/>
          <w:numId w:val="0"/>
        </w:numPr>
      </w:pPr>
    </w:p>
    <w:p w14:paraId="7726CC4F">
      <w:pPr>
        <w:pStyle w:val="165"/>
        <w:rPr>
          <w:highlight w:val="none"/>
        </w:rPr>
      </w:pPr>
      <w:r>
        <w:rPr>
          <w:rFonts w:hint="eastAsia"/>
          <w:highlight w:val="none"/>
        </w:rPr>
        <w:t>每个检验批砷化镓衬底的表面质量、晶向及晶向偏离、参考面取向和参考面或切口位置、尺寸及外形几何尺寸检验项目的检验规则及合格判据符合表1</w:t>
      </w:r>
      <w:r>
        <w:rPr>
          <w:rFonts w:hint="eastAsia"/>
          <w:highlight w:val="none"/>
          <w:lang w:val="en-US" w:eastAsia="zh-CN"/>
        </w:rPr>
        <w:t>2</w:t>
      </w:r>
      <w:r>
        <w:rPr>
          <w:rFonts w:hint="eastAsia"/>
          <w:highlight w:val="none"/>
        </w:rPr>
        <w:t>的规定，抽样方案按GB/T 2828.1—2012的一次正常抽样方法进行；IL</w:t>
      </w:r>
      <w:bookmarkStart w:id="123" w:name="_Hlk161971941"/>
      <w:r>
        <w:rPr>
          <w:rFonts w:hint="eastAsia"/>
          <w:highlight w:val="none"/>
        </w:rPr>
        <w:t>＝</w:t>
      </w:r>
      <w:bookmarkEnd w:id="123"/>
      <w:r>
        <w:rPr>
          <w:rFonts w:hint="eastAsia"/>
          <w:highlight w:val="none"/>
        </w:rPr>
        <w:t>Ⅱ，AQL＝6.5。</w:t>
      </w:r>
    </w:p>
    <w:p w14:paraId="781E91C0">
      <w:pPr>
        <w:pStyle w:val="112"/>
        <w:spacing w:before="156" w:after="156"/>
      </w:pPr>
      <w:r>
        <w:rPr>
          <w:rFonts w:hint="eastAsia"/>
        </w:rPr>
        <w:t>检验项目、规则及抽样原则</w:t>
      </w:r>
    </w:p>
    <w:tbl>
      <w:tblPr>
        <w:tblStyle w:val="2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85" w:type="dxa"/>
          <w:bottom w:w="57" w:type="dxa"/>
          <w:right w:w="85" w:type="dxa"/>
        </w:tblCellMar>
      </w:tblPr>
      <w:tblGrid>
        <w:gridCol w:w="903"/>
        <w:gridCol w:w="3021"/>
        <w:gridCol w:w="2090"/>
        <w:gridCol w:w="1480"/>
        <w:gridCol w:w="1017"/>
        <w:gridCol w:w="1013"/>
      </w:tblGrid>
      <w:tr w14:paraId="26E72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blHeader/>
        </w:trPr>
        <w:tc>
          <w:tcPr>
            <w:tcW w:w="474" w:type="pct"/>
            <w:vMerge w:val="restart"/>
            <w:tcBorders>
              <w:top w:val="single" w:color="auto" w:sz="6" w:space="0"/>
              <w:left w:val="single" w:color="auto" w:sz="6" w:space="0"/>
              <w:bottom w:val="single" w:color="auto" w:sz="4" w:space="0"/>
            </w:tcBorders>
            <w:vAlign w:val="center"/>
          </w:tcPr>
          <w:p w14:paraId="56AD1D14">
            <w:pPr>
              <w:snapToGrid w:val="0"/>
              <w:spacing w:line="240" w:lineRule="auto"/>
              <w:jc w:val="center"/>
              <w:rPr>
                <w:rFonts w:ascii="宋体" w:hAnsi="宋体"/>
                <w:sz w:val="18"/>
                <w:szCs w:val="18"/>
              </w:rPr>
            </w:pPr>
            <w:bookmarkStart w:id="124" w:name="_Hlk161972779"/>
            <w:r>
              <w:rPr>
                <w:rFonts w:hint="eastAsia" w:ascii="宋体" w:hAnsi="宋体" w:cs="宋体"/>
                <w:sz w:val="18"/>
                <w:szCs w:val="18"/>
              </w:rPr>
              <w:t>序号</w:t>
            </w:r>
          </w:p>
        </w:tc>
        <w:tc>
          <w:tcPr>
            <w:tcW w:w="1586" w:type="pct"/>
            <w:vMerge w:val="restart"/>
            <w:tcBorders>
              <w:top w:val="single" w:color="auto" w:sz="6" w:space="0"/>
              <w:bottom w:val="single" w:color="auto" w:sz="4" w:space="0"/>
            </w:tcBorders>
            <w:vAlign w:val="center"/>
          </w:tcPr>
          <w:p w14:paraId="423A07E5">
            <w:pPr>
              <w:snapToGrid w:val="0"/>
              <w:spacing w:line="240" w:lineRule="auto"/>
              <w:jc w:val="center"/>
              <w:rPr>
                <w:rFonts w:ascii="宋体" w:hAnsi="宋体"/>
                <w:sz w:val="18"/>
                <w:szCs w:val="18"/>
              </w:rPr>
            </w:pPr>
            <w:r>
              <w:rPr>
                <w:rFonts w:hint="eastAsia" w:ascii="宋体" w:hAnsi="宋体" w:cs="宋体"/>
                <w:sz w:val="18"/>
                <w:szCs w:val="18"/>
              </w:rPr>
              <w:t>检验项目</w:t>
            </w:r>
          </w:p>
        </w:tc>
        <w:tc>
          <w:tcPr>
            <w:tcW w:w="1097" w:type="pct"/>
            <w:vMerge w:val="restart"/>
            <w:tcBorders>
              <w:top w:val="single" w:color="auto" w:sz="6" w:space="0"/>
              <w:bottom w:val="single" w:color="auto" w:sz="4" w:space="0"/>
            </w:tcBorders>
            <w:vAlign w:val="center"/>
          </w:tcPr>
          <w:p w14:paraId="24195ECB">
            <w:pPr>
              <w:snapToGrid w:val="0"/>
              <w:spacing w:line="240" w:lineRule="auto"/>
              <w:jc w:val="center"/>
              <w:rPr>
                <w:rFonts w:ascii="宋体" w:hAnsi="宋体"/>
                <w:sz w:val="18"/>
                <w:szCs w:val="18"/>
              </w:rPr>
            </w:pPr>
            <w:r>
              <w:rPr>
                <w:rFonts w:hint="eastAsia" w:ascii="宋体" w:hAnsi="宋体" w:cs="宋体"/>
                <w:sz w:val="18"/>
                <w:szCs w:val="18"/>
              </w:rPr>
              <w:t>要求条款号</w:t>
            </w:r>
          </w:p>
        </w:tc>
        <w:tc>
          <w:tcPr>
            <w:tcW w:w="777" w:type="pct"/>
            <w:vMerge w:val="restart"/>
            <w:tcBorders>
              <w:top w:val="single" w:color="auto" w:sz="6" w:space="0"/>
              <w:bottom w:val="single" w:color="auto" w:sz="4" w:space="0"/>
            </w:tcBorders>
            <w:vAlign w:val="center"/>
          </w:tcPr>
          <w:p w14:paraId="0B5928D9">
            <w:pPr>
              <w:snapToGrid w:val="0"/>
              <w:spacing w:line="240" w:lineRule="auto"/>
              <w:jc w:val="center"/>
              <w:rPr>
                <w:rFonts w:ascii="宋体" w:hAnsi="宋体"/>
                <w:sz w:val="18"/>
                <w:szCs w:val="18"/>
              </w:rPr>
            </w:pPr>
            <w:r>
              <w:rPr>
                <w:rFonts w:hint="eastAsia" w:ascii="宋体" w:hAnsi="宋体" w:cs="宋体"/>
                <w:sz w:val="18"/>
                <w:szCs w:val="18"/>
              </w:rPr>
              <w:t>检验方法</w:t>
            </w:r>
          </w:p>
        </w:tc>
        <w:tc>
          <w:tcPr>
            <w:tcW w:w="1066" w:type="pct"/>
            <w:gridSpan w:val="2"/>
            <w:tcBorders>
              <w:top w:val="single" w:color="auto" w:sz="6" w:space="0"/>
              <w:bottom w:val="single" w:color="auto" w:sz="4" w:space="0"/>
              <w:right w:val="single" w:color="auto" w:sz="6" w:space="0"/>
            </w:tcBorders>
            <w:vAlign w:val="center"/>
          </w:tcPr>
          <w:p w14:paraId="54A05EC3">
            <w:pPr>
              <w:snapToGrid w:val="0"/>
              <w:spacing w:line="240" w:lineRule="auto"/>
              <w:jc w:val="center"/>
              <w:rPr>
                <w:rFonts w:ascii="宋体" w:hAnsi="宋体"/>
                <w:sz w:val="18"/>
                <w:szCs w:val="18"/>
              </w:rPr>
            </w:pPr>
            <w:r>
              <w:rPr>
                <w:rFonts w:hint="eastAsia" w:ascii="宋体" w:hAnsi="宋体" w:cs="宋体"/>
                <w:sz w:val="18"/>
                <w:szCs w:val="18"/>
              </w:rPr>
              <w:t>GB/T 282</w:t>
            </w:r>
            <w:r>
              <w:rPr>
                <w:rFonts w:hint="eastAsia" w:ascii="宋体" w:hAnsi="宋体" w:cs="宋体"/>
                <w:sz w:val="18"/>
                <w:szCs w:val="18"/>
                <w:highlight w:val="none"/>
              </w:rPr>
              <w:t>8</w:t>
            </w:r>
            <w:r>
              <w:rPr>
                <w:rFonts w:ascii="宋体" w:hAnsi="宋体" w:cs="宋体"/>
                <w:sz w:val="18"/>
                <w:szCs w:val="18"/>
                <w:highlight w:val="none"/>
              </w:rPr>
              <w:t>.1</w:t>
            </w:r>
            <w:r>
              <w:rPr>
                <w:rFonts w:hint="eastAsia" w:ascii="宋体" w:hAnsi="宋体" w:cs="宋体"/>
                <w:sz w:val="18"/>
                <w:szCs w:val="18"/>
                <w:highlight w:val="none"/>
              </w:rPr>
              <w:t>—</w:t>
            </w:r>
            <w:r>
              <w:rPr>
                <w:rFonts w:hint="eastAsia" w:ascii="宋体" w:hAnsi="宋体" w:cs="宋体"/>
                <w:sz w:val="18"/>
                <w:szCs w:val="18"/>
              </w:rPr>
              <w:t>2012</w:t>
            </w:r>
          </w:p>
        </w:tc>
      </w:tr>
      <w:bookmarkEnd w:id="124"/>
      <w:tr w14:paraId="57BDB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blHeader/>
        </w:trPr>
        <w:tc>
          <w:tcPr>
            <w:tcW w:w="474" w:type="pct"/>
            <w:vMerge w:val="continue"/>
            <w:tcBorders>
              <w:top w:val="single" w:color="auto" w:sz="4" w:space="0"/>
              <w:left w:val="single" w:color="auto" w:sz="6" w:space="0"/>
              <w:bottom w:val="single" w:color="auto" w:sz="6" w:space="0"/>
            </w:tcBorders>
            <w:vAlign w:val="center"/>
          </w:tcPr>
          <w:p w14:paraId="57A2959C">
            <w:pPr>
              <w:snapToGrid w:val="0"/>
              <w:spacing w:line="240" w:lineRule="auto"/>
              <w:jc w:val="center"/>
              <w:rPr>
                <w:rFonts w:ascii="宋体" w:hAnsi="宋体"/>
                <w:sz w:val="18"/>
                <w:szCs w:val="18"/>
              </w:rPr>
            </w:pPr>
          </w:p>
        </w:tc>
        <w:tc>
          <w:tcPr>
            <w:tcW w:w="1586" w:type="pct"/>
            <w:vMerge w:val="continue"/>
            <w:tcBorders>
              <w:top w:val="single" w:color="auto" w:sz="4" w:space="0"/>
              <w:bottom w:val="single" w:color="auto" w:sz="6" w:space="0"/>
            </w:tcBorders>
            <w:vAlign w:val="center"/>
          </w:tcPr>
          <w:p w14:paraId="125726F7">
            <w:pPr>
              <w:snapToGrid w:val="0"/>
              <w:spacing w:line="240" w:lineRule="auto"/>
              <w:jc w:val="center"/>
              <w:rPr>
                <w:rFonts w:ascii="宋体" w:hAnsi="宋体"/>
                <w:sz w:val="18"/>
                <w:szCs w:val="18"/>
              </w:rPr>
            </w:pPr>
          </w:p>
        </w:tc>
        <w:tc>
          <w:tcPr>
            <w:tcW w:w="1097" w:type="pct"/>
            <w:vMerge w:val="continue"/>
            <w:tcBorders>
              <w:top w:val="single" w:color="auto" w:sz="4" w:space="0"/>
              <w:bottom w:val="single" w:color="auto" w:sz="6" w:space="0"/>
            </w:tcBorders>
            <w:vAlign w:val="center"/>
          </w:tcPr>
          <w:p w14:paraId="13AEE892">
            <w:pPr>
              <w:snapToGrid w:val="0"/>
              <w:spacing w:line="240" w:lineRule="auto"/>
              <w:jc w:val="center"/>
              <w:rPr>
                <w:rFonts w:ascii="宋体" w:hAnsi="宋体"/>
                <w:sz w:val="18"/>
                <w:szCs w:val="18"/>
              </w:rPr>
            </w:pPr>
          </w:p>
        </w:tc>
        <w:tc>
          <w:tcPr>
            <w:tcW w:w="777" w:type="pct"/>
            <w:vMerge w:val="continue"/>
            <w:tcBorders>
              <w:top w:val="single" w:color="auto" w:sz="4" w:space="0"/>
              <w:bottom w:val="single" w:color="auto" w:sz="6" w:space="0"/>
            </w:tcBorders>
            <w:vAlign w:val="center"/>
          </w:tcPr>
          <w:p w14:paraId="5C2D5189">
            <w:pPr>
              <w:snapToGrid w:val="0"/>
              <w:spacing w:line="240" w:lineRule="auto"/>
              <w:jc w:val="center"/>
              <w:rPr>
                <w:rFonts w:ascii="宋体" w:hAnsi="宋体"/>
                <w:sz w:val="18"/>
                <w:szCs w:val="18"/>
              </w:rPr>
            </w:pPr>
          </w:p>
        </w:tc>
        <w:tc>
          <w:tcPr>
            <w:tcW w:w="534" w:type="pct"/>
            <w:tcBorders>
              <w:top w:val="single" w:color="auto" w:sz="4" w:space="0"/>
              <w:bottom w:val="single" w:color="auto" w:sz="6" w:space="0"/>
            </w:tcBorders>
            <w:vAlign w:val="center"/>
          </w:tcPr>
          <w:p w14:paraId="7651059D">
            <w:pPr>
              <w:snapToGrid w:val="0"/>
              <w:spacing w:line="240" w:lineRule="auto"/>
              <w:jc w:val="center"/>
              <w:rPr>
                <w:rFonts w:ascii="宋体" w:hAnsi="宋体"/>
                <w:sz w:val="18"/>
                <w:szCs w:val="18"/>
              </w:rPr>
            </w:pPr>
            <w:r>
              <w:rPr>
                <w:rFonts w:hint="eastAsia" w:ascii="宋体" w:hAnsi="宋体" w:cs="宋体"/>
                <w:sz w:val="18"/>
                <w:szCs w:val="18"/>
              </w:rPr>
              <w:t>IL</w:t>
            </w:r>
          </w:p>
        </w:tc>
        <w:tc>
          <w:tcPr>
            <w:tcW w:w="533" w:type="pct"/>
            <w:tcBorders>
              <w:top w:val="single" w:color="auto" w:sz="4" w:space="0"/>
              <w:bottom w:val="single" w:color="auto" w:sz="6" w:space="0"/>
              <w:right w:val="single" w:color="auto" w:sz="6" w:space="0"/>
            </w:tcBorders>
            <w:vAlign w:val="center"/>
          </w:tcPr>
          <w:p w14:paraId="65FF275F">
            <w:pPr>
              <w:snapToGrid w:val="0"/>
              <w:spacing w:line="240" w:lineRule="auto"/>
              <w:jc w:val="center"/>
              <w:rPr>
                <w:rFonts w:ascii="宋体" w:hAnsi="宋体"/>
                <w:sz w:val="18"/>
                <w:szCs w:val="18"/>
              </w:rPr>
            </w:pPr>
            <w:r>
              <w:rPr>
                <w:rFonts w:hint="eastAsia" w:ascii="宋体" w:hAnsi="宋体" w:cs="宋体"/>
                <w:sz w:val="18"/>
                <w:szCs w:val="18"/>
              </w:rPr>
              <w:t>AQL</w:t>
            </w:r>
          </w:p>
        </w:tc>
      </w:tr>
      <w:tr w14:paraId="505CE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474" w:type="pct"/>
            <w:tcBorders>
              <w:top w:val="single" w:color="auto" w:sz="6" w:space="0"/>
              <w:left w:val="single" w:color="auto" w:sz="6" w:space="0"/>
              <w:tl2br w:val="nil"/>
              <w:tr2bl w:val="nil"/>
            </w:tcBorders>
            <w:vAlign w:val="center"/>
          </w:tcPr>
          <w:p w14:paraId="275BEF18">
            <w:pPr>
              <w:snapToGrid w:val="0"/>
              <w:spacing w:line="240" w:lineRule="auto"/>
              <w:jc w:val="center"/>
              <w:rPr>
                <w:rFonts w:ascii="宋体" w:hAnsi="宋体"/>
                <w:sz w:val="18"/>
                <w:szCs w:val="18"/>
              </w:rPr>
            </w:pPr>
            <w:r>
              <w:rPr>
                <w:rFonts w:hint="eastAsia" w:ascii="宋体" w:hAnsi="宋体" w:cs="宋体"/>
                <w:sz w:val="18"/>
                <w:szCs w:val="18"/>
              </w:rPr>
              <w:t>1</w:t>
            </w:r>
          </w:p>
        </w:tc>
        <w:tc>
          <w:tcPr>
            <w:tcW w:w="1586" w:type="pct"/>
            <w:tcBorders>
              <w:top w:val="single" w:color="auto" w:sz="6" w:space="0"/>
              <w:tl2br w:val="nil"/>
              <w:tr2bl w:val="nil"/>
            </w:tcBorders>
            <w:vAlign w:val="center"/>
          </w:tcPr>
          <w:p w14:paraId="3618390D">
            <w:pPr>
              <w:snapToGrid w:val="0"/>
              <w:spacing w:line="240" w:lineRule="auto"/>
              <w:jc w:val="center"/>
              <w:rPr>
                <w:rFonts w:ascii="宋体" w:hAnsi="宋体"/>
                <w:sz w:val="18"/>
                <w:szCs w:val="18"/>
              </w:rPr>
            </w:pPr>
            <w:r>
              <w:rPr>
                <w:rFonts w:hint="eastAsia" w:ascii="宋体" w:hAnsi="宋体" w:cs="宋体"/>
                <w:sz w:val="18"/>
                <w:szCs w:val="18"/>
              </w:rPr>
              <w:t>表面质量</w:t>
            </w:r>
          </w:p>
        </w:tc>
        <w:tc>
          <w:tcPr>
            <w:tcW w:w="1097" w:type="pct"/>
            <w:tcBorders>
              <w:top w:val="single" w:color="auto" w:sz="6" w:space="0"/>
              <w:tl2br w:val="nil"/>
              <w:tr2bl w:val="nil"/>
            </w:tcBorders>
            <w:vAlign w:val="center"/>
          </w:tcPr>
          <w:p w14:paraId="03F044CA">
            <w:pPr>
              <w:snapToGrid w:val="0"/>
              <w:spacing w:line="240" w:lineRule="auto"/>
              <w:jc w:val="center"/>
              <w:rPr>
                <w:rFonts w:ascii="宋体" w:hAnsi="宋体"/>
                <w:sz w:val="18"/>
                <w:szCs w:val="18"/>
              </w:rPr>
            </w:pPr>
            <w:r>
              <w:rPr>
                <w:rFonts w:hint="eastAsia" w:ascii="宋体" w:hAnsi="宋体" w:cs="宋体"/>
                <w:sz w:val="18"/>
                <w:szCs w:val="18"/>
              </w:rPr>
              <w:t>5.2</w:t>
            </w:r>
          </w:p>
        </w:tc>
        <w:tc>
          <w:tcPr>
            <w:tcW w:w="777" w:type="pct"/>
            <w:tcBorders>
              <w:top w:val="single" w:color="auto" w:sz="6" w:space="0"/>
              <w:tl2br w:val="nil"/>
              <w:tr2bl w:val="nil"/>
            </w:tcBorders>
            <w:vAlign w:val="center"/>
          </w:tcPr>
          <w:p w14:paraId="125667C8">
            <w:pPr>
              <w:snapToGrid w:val="0"/>
              <w:spacing w:line="240" w:lineRule="auto"/>
              <w:jc w:val="center"/>
              <w:rPr>
                <w:rFonts w:ascii="宋体" w:hAnsi="宋体"/>
                <w:sz w:val="18"/>
                <w:szCs w:val="18"/>
              </w:rPr>
            </w:pPr>
            <w:r>
              <w:rPr>
                <w:rFonts w:hint="eastAsia" w:ascii="宋体" w:hAnsi="宋体" w:cs="宋体"/>
                <w:sz w:val="18"/>
                <w:szCs w:val="18"/>
              </w:rPr>
              <w:t>6.4</w:t>
            </w:r>
          </w:p>
        </w:tc>
        <w:tc>
          <w:tcPr>
            <w:tcW w:w="534" w:type="pct"/>
            <w:vMerge w:val="restart"/>
            <w:tcBorders>
              <w:top w:val="single" w:color="auto" w:sz="6" w:space="0"/>
              <w:tl2br w:val="nil"/>
              <w:tr2bl w:val="nil"/>
            </w:tcBorders>
            <w:vAlign w:val="center"/>
          </w:tcPr>
          <w:p w14:paraId="5410A588">
            <w:pPr>
              <w:snapToGrid w:val="0"/>
              <w:spacing w:line="240" w:lineRule="auto"/>
              <w:jc w:val="center"/>
              <w:rPr>
                <w:rFonts w:ascii="宋体" w:hAnsi="宋体"/>
                <w:sz w:val="18"/>
                <w:szCs w:val="18"/>
              </w:rPr>
            </w:pPr>
            <w:r>
              <w:rPr>
                <w:rFonts w:hint="eastAsia" w:ascii="宋体" w:hAnsi="宋体" w:cs="宋体"/>
                <w:sz w:val="18"/>
                <w:szCs w:val="18"/>
              </w:rPr>
              <w:t>Ⅱ</w:t>
            </w:r>
          </w:p>
        </w:tc>
        <w:tc>
          <w:tcPr>
            <w:tcW w:w="533" w:type="pct"/>
            <w:vMerge w:val="restart"/>
            <w:tcBorders>
              <w:top w:val="single" w:color="auto" w:sz="6" w:space="0"/>
              <w:right w:val="single" w:color="auto" w:sz="6" w:space="0"/>
              <w:tl2br w:val="nil"/>
              <w:tr2bl w:val="nil"/>
            </w:tcBorders>
            <w:vAlign w:val="center"/>
          </w:tcPr>
          <w:p w14:paraId="2080E295">
            <w:pPr>
              <w:snapToGrid w:val="0"/>
              <w:spacing w:line="240" w:lineRule="auto"/>
              <w:jc w:val="center"/>
              <w:rPr>
                <w:rFonts w:ascii="宋体" w:hAnsi="宋体"/>
                <w:sz w:val="18"/>
                <w:szCs w:val="18"/>
              </w:rPr>
            </w:pPr>
            <w:r>
              <w:rPr>
                <w:rFonts w:hint="eastAsia" w:ascii="宋体" w:hAnsi="宋体" w:cs="宋体"/>
                <w:sz w:val="18"/>
                <w:szCs w:val="18"/>
              </w:rPr>
              <w:t>6.5</w:t>
            </w:r>
          </w:p>
        </w:tc>
      </w:tr>
      <w:tr w14:paraId="55140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474" w:type="pct"/>
            <w:tcBorders>
              <w:left w:val="single" w:color="auto" w:sz="6" w:space="0"/>
              <w:tl2br w:val="nil"/>
              <w:tr2bl w:val="nil"/>
            </w:tcBorders>
            <w:vAlign w:val="center"/>
          </w:tcPr>
          <w:p w14:paraId="316B4E32">
            <w:pPr>
              <w:snapToGrid w:val="0"/>
              <w:spacing w:line="240" w:lineRule="auto"/>
              <w:jc w:val="center"/>
              <w:rPr>
                <w:rFonts w:ascii="宋体" w:hAnsi="宋体"/>
                <w:sz w:val="18"/>
                <w:szCs w:val="18"/>
              </w:rPr>
            </w:pPr>
            <w:r>
              <w:rPr>
                <w:rFonts w:hint="eastAsia" w:ascii="宋体" w:hAnsi="宋体" w:cs="宋体"/>
                <w:sz w:val="18"/>
                <w:szCs w:val="18"/>
              </w:rPr>
              <w:t>2</w:t>
            </w:r>
          </w:p>
        </w:tc>
        <w:tc>
          <w:tcPr>
            <w:tcW w:w="1586" w:type="pct"/>
            <w:tcBorders>
              <w:tl2br w:val="nil"/>
              <w:tr2bl w:val="nil"/>
            </w:tcBorders>
            <w:vAlign w:val="center"/>
          </w:tcPr>
          <w:p w14:paraId="1D007551">
            <w:pPr>
              <w:snapToGrid w:val="0"/>
              <w:spacing w:line="240" w:lineRule="auto"/>
              <w:jc w:val="center"/>
              <w:rPr>
                <w:rFonts w:ascii="宋体" w:hAnsi="宋体"/>
                <w:sz w:val="18"/>
                <w:szCs w:val="18"/>
              </w:rPr>
            </w:pPr>
            <w:r>
              <w:rPr>
                <w:rFonts w:hint="eastAsia" w:ascii="宋体" w:hAnsi="宋体" w:cs="宋体"/>
                <w:sz w:val="18"/>
                <w:szCs w:val="18"/>
              </w:rPr>
              <w:t>参考面取向、形状和尺寸</w:t>
            </w:r>
          </w:p>
        </w:tc>
        <w:tc>
          <w:tcPr>
            <w:tcW w:w="1097" w:type="pct"/>
            <w:tcBorders>
              <w:tl2br w:val="nil"/>
              <w:tr2bl w:val="nil"/>
            </w:tcBorders>
            <w:vAlign w:val="center"/>
          </w:tcPr>
          <w:p w14:paraId="5C70A8F1">
            <w:pPr>
              <w:snapToGrid w:val="0"/>
              <w:spacing w:line="240" w:lineRule="auto"/>
              <w:jc w:val="center"/>
              <w:rPr>
                <w:rFonts w:ascii="宋体" w:hAnsi="宋体"/>
                <w:sz w:val="18"/>
                <w:szCs w:val="18"/>
              </w:rPr>
            </w:pPr>
            <w:r>
              <w:rPr>
                <w:rFonts w:hint="eastAsia" w:ascii="宋体" w:hAnsi="宋体" w:cs="宋体"/>
                <w:sz w:val="18"/>
                <w:szCs w:val="18"/>
              </w:rPr>
              <w:t>5.3</w:t>
            </w:r>
          </w:p>
        </w:tc>
        <w:tc>
          <w:tcPr>
            <w:tcW w:w="777" w:type="pct"/>
            <w:tcBorders>
              <w:tl2br w:val="nil"/>
              <w:tr2bl w:val="nil"/>
            </w:tcBorders>
            <w:vAlign w:val="center"/>
          </w:tcPr>
          <w:p w14:paraId="32B919E5">
            <w:pPr>
              <w:snapToGrid w:val="0"/>
              <w:spacing w:line="240" w:lineRule="auto"/>
              <w:jc w:val="center"/>
              <w:rPr>
                <w:rFonts w:ascii="宋体" w:hAnsi="宋体"/>
                <w:sz w:val="18"/>
                <w:szCs w:val="18"/>
              </w:rPr>
            </w:pPr>
            <w:r>
              <w:rPr>
                <w:rFonts w:hint="eastAsia" w:ascii="宋体" w:hAnsi="宋体" w:cs="宋体"/>
                <w:sz w:val="18"/>
                <w:szCs w:val="18"/>
              </w:rPr>
              <w:t>6.5</w:t>
            </w:r>
          </w:p>
        </w:tc>
        <w:tc>
          <w:tcPr>
            <w:tcW w:w="534" w:type="pct"/>
            <w:vMerge w:val="continue"/>
            <w:tcBorders>
              <w:tl2br w:val="nil"/>
              <w:tr2bl w:val="nil"/>
            </w:tcBorders>
            <w:vAlign w:val="center"/>
          </w:tcPr>
          <w:p w14:paraId="5DA335A3">
            <w:pPr>
              <w:snapToGrid w:val="0"/>
              <w:spacing w:line="240" w:lineRule="auto"/>
              <w:jc w:val="center"/>
              <w:rPr>
                <w:rFonts w:ascii="宋体" w:hAnsi="宋体"/>
                <w:sz w:val="18"/>
                <w:szCs w:val="18"/>
              </w:rPr>
            </w:pPr>
          </w:p>
        </w:tc>
        <w:tc>
          <w:tcPr>
            <w:tcW w:w="533" w:type="pct"/>
            <w:vMerge w:val="continue"/>
            <w:tcBorders>
              <w:right w:val="single" w:color="auto" w:sz="6" w:space="0"/>
              <w:tl2br w:val="nil"/>
              <w:tr2bl w:val="nil"/>
            </w:tcBorders>
            <w:vAlign w:val="center"/>
          </w:tcPr>
          <w:p w14:paraId="6969D38A">
            <w:pPr>
              <w:snapToGrid w:val="0"/>
              <w:spacing w:line="240" w:lineRule="auto"/>
              <w:jc w:val="center"/>
              <w:rPr>
                <w:rFonts w:ascii="宋体" w:hAnsi="宋体"/>
                <w:sz w:val="18"/>
                <w:szCs w:val="18"/>
              </w:rPr>
            </w:pPr>
          </w:p>
        </w:tc>
      </w:tr>
      <w:tr w14:paraId="6131C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474" w:type="pct"/>
            <w:tcBorders>
              <w:left w:val="single" w:color="auto" w:sz="6" w:space="0"/>
              <w:tl2br w:val="nil"/>
              <w:tr2bl w:val="nil"/>
            </w:tcBorders>
            <w:vAlign w:val="center"/>
          </w:tcPr>
          <w:p w14:paraId="375246A3">
            <w:pPr>
              <w:snapToGrid w:val="0"/>
              <w:spacing w:line="240" w:lineRule="auto"/>
              <w:jc w:val="center"/>
              <w:rPr>
                <w:rFonts w:ascii="宋体" w:hAnsi="宋体"/>
                <w:sz w:val="18"/>
                <w:szCs w:val="18"/>
              </w:rPr>
            </w:pPr>
            <w:r>
              <w:rPr>
                <w:rFonts w:hint="eastAsia" w:ascii="宋体" w:hAnsi="宋体" w:cs="宋体"/>
                <w:sz w:val="18"/>
                <w:szCs w:val="18"/>
              </w:rPr>
              <w:t>3</w:t>
            </w:r>
          </w:p>
        </w:tc>
        <w:tc>
          <w:tcPr>
            <w:tcW w:w="1586" w:type="pct"/>
            <w:tcBorders>
              <w:tl2br w:val="nil"/>
              <w:tr2bl w:val="nil"/>
            </w:tcBorders>
            <w:vAlign w:val="center"/>
          </w:tcPr>
          <w:p w14:paraId="52ECDFAD">
            <w:pPr>
              <w:snapToGrid w:val="0"/>
              <w:spacing w:line="240" w:lineRule="auto"/>
              <w:jc w:val="center"/>
              <w:rPr>
                <w:rFonts w:ascii="宋体" w:hAnsi="宋体"/>
                <w:sz w:val="18"/>
                <w:szCs w:val="18"/>
              </w:rPr>
            </w:pPr>
            <w:r>
              <w:rPr>
                <w:rFonts w:hint="eastAsia" w:ascii="宋体" w:hAnsi="宋体" w:cs="宋体"/>
                <w:sz w:val="18"/>
                <w:szCs w:val="18"/>
              </w:rPr>
              <w:t>直径及允许偏差</w:t>
            </w:r>
          </w:p>
        </w:tc>
        <w:tc>
          <w:tcPr>
            <w:tcW w:w="1097" w:type="pct"/>
            <w:tcBorders>
              <w:tl2br w:val="nil"/>
              <w:tr2bl w:val="nil"/>
            </w:tcBorders>
            <w:vAlign w:val="center"/>
          </w:tcPr>
          <w:p w14:paraId="59A0244C">
            <w:pPr>
              <w:snapToGrid w:val="0"/>
              <w:spacing w:line="240" w:lineRule="auto"/>
              <w:jc w:val="center"/>
              <w:rPr>
                <w:rFonts w:ascii="宋体" w:hAnsi="宋体"/>
                <w:sz w:val="18"/>
                <w:szCs w:val="18"/>
              </w:rPr>
            </w:pPr>
            <w:r>
              <w:rPr>
                <w:rFonts w:hint="eastAsia" w:ascii="宋体" w:hAnsi="宋体" w:cs="宋体"/>
                <w:sz w:val="18"/>
                <w:szCs w:val="18"/>
              </w:rPr>
              <w:t>5.5</w:t>
            </w:r>
          </w:p>
        </w:tc>
        <w:tc>
          <w:tcPr>
            <w:tcW w:w="777" w:type="pct"/>
            <w:tcBorders>
              <w:tl2br w:val="nil"/>
              <w:tr2bl w:val="nil"/>
            </w:tcBorders>
            <w:vAlign w:val="center"/>
          </w:tcPr>
          <w:p w14:paraId="41E53989">
            <w:pPr>
              <w:snapToGrid w:val="0"/>
              <w:spacing w:line="240" w:lineRule="auto"/>
              <w:jc w:val="center"/>
              <w:rPr>
                <w:rFonts w:ascii="宋体" w:hAnsi="宋体"/>
                <w:sz w:val="18"/>
                <w:szCs w:val="18"/>
              </w:rPr>
            </w:pPr>
            <w:r>
              <w:rPr>
                <w:rFonts w:hint="eastAsia" w:ascii="宋体" w:hAnsi="宋体" w:cs="宋体"/>
                <w:sz w:val="18"/>
                <w:szCs w:val="18"/>
              </w:rPr>
              <w:t>6.6.1</w:t>
            </w:r>
          </w:p>
        </w:tc>
        <w:tc>
          <w:tcPr>
            <w:tcW w:w="534" w:type="pct"/>
            <w:vMerge w:val="continue"/>
            <w:tcBorders>
              <w:tl2br w:val="nil"/>
              <w:tr2bl w:val="nil"/>
            </w:tcBorders>
            <w:vAlign w:val="center"/>
          </w:tcPr>
          <w:p w14:paraId="6904961A">
            <w:pPr>
              <w:snapToGrid w:val="0"/>
              <w:spacing w:line="240" w:lineRule="auto"/>
              <w:jc w:val="center"/>
              <w:rPr>
                <w:rFonts w:ascii="宋体" w:hAnsi="宋体"/>
                <w:sz w:val="18"/>
                <w:szCs w:val="18"/>
              </w:rPr>
            </w:pPr>
          </w:p>
        </w:tc>
        <w:tc>
          <w:tcPr>
            <w:tcW w:w="533" w:type="pct"/>
            <w:vMerge w:val="continue"/>
            <w:tcBorders>
              <w:right w:val="single" w:color="auto" w:sz="6" w:space="0"/>
              <w:tl2br w:val="nil"/>
              <w:tr2bl w:val="nil"/>
            </w:tcBorders>
            <w:vAlign w:val="center"/>
          </w:tcPr>
          <w:p w14:paraId="470DF671">
            <w:pPr>
              <w:snapToGrid w:val="0"/>
              <w:spacing w:line="240" w:lineRule="auto"/>
              <w:jc w:val="center"/>
              <w:rPr>
                <w:rFonts w:ascii="宋体" w:hAnsi="宋体"/>
                <w:sz w:val="18"/>
                <w:szCs w:val="18"/>
              </w:rPr>
            </w:pPr>
          </w:p>
        </w:tc>
      </w:tr>
      <w:tr w14:paraId="71B27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474" w:type="pct"/>
            <w:tcBorders>
              <w:left w:val="single" w:color="auto" w:sz="6" w:space="0"/>
              <w:tl2br w:val="nil"/>
              <w:tr2bl w:val="nil"/>
            </w:tcBorders>
            <w:vAlign w:val="center"/>
          </w:tcPr>
          <w:p w14:paraId="055D5CE6">
            <w:pPr>
              <w:snapToGrid w:val="0"/>
              <w:spacing w:line="240" w:lineRule="auto"/>
              <w:jc w:val="center"/>
              <w:rPr>
                <w:rFonts w:ascii="宋体" w:hAnsi="宋体"/>
                <w:sz w:val="18"/>
                <w:szCs w:val="18"/>
              </w:rPr>
            </w:pPr>
            <w:r>
              <w:rPr>
                <w:rFonts w:hint="eastAsia" w:ascii="宋体" w:hAnsi="宋体" w:cs="宋体"/>
                <w:sz w:val="18"/>
                <w:szCs w:val="18"/>
              </w:rPr>
              <w:t>4</w:t>
            </w:r>
          </w:p>
        </w:tc>
        <w:tc>
          <w:tcPr>
            <w:tcW w:w="1586" w:type="pct"/>
            <w:tcBorders>
              <w:tl2br w:val="nil"/>
              <w:tr2bl w:val="nil"/>
            </w:tcBorders>
            <w:vAlign w:val="center"/>
          </w:tcPr>
          <w:p w14:paraId="56DB43FB">
            <w:pPr>
              <w:snapToGrid w:val="0"/>
              <w:spacing w:line="240" w:lineRule="auto"/>
              <w:jc w:val="center"/>
              <w:rPr>
                <w:rFonts w:ascii="宋体" w:hAnsi="宋体"/>
                <w:sz w:val="18"/>
                <w:szCs w:val="18"/>
              </w:rPr>
            </w:pPr>
            <w:r>
              <w:rPr>
                <w:rFonts w:hint="eastAsia" w:ascii="宋体" w:hAnsi="宋体" w:cs="宋体"/>
                <w:sz w:val="18"/>
                <w:szCs w:val="18"/>
              </w:rPr>
              <w:t>厚度和允许偏差及总厚度变化</w:t>
            </w:r>
          </w:p>
        </w:tc>
        <w:tc>
          <w:tcPr>
            <w:tcW w:w="1097" w:type="pct"/>
            <w:tcBorders>
              <w:tl2br w:val="nil"/>
              <w:tr2bl w:val="nil"/>
            </w:tcBorders>
            <w:vAlign w:val="center"/>
          </w:tcPr>
          <w:p w14:paraId="742AC212">
            <w:pPr>
              <w:snapToGrid w:val="0"/>
              <w:spacing w:line="240" w:lineRule="auto"/>
              <w:jc w:val="center"/>
              <w:rPr>
                <w:rFonts w:ascii="宋体" w:hAnsi="宋体"/>
                <w:sz w:val="18"/>
                <w:szCs w:val="18"/>
              </w:rPr>
            </w:pPr>
            <w:r>
              <w:rPr>
                <w:rFonts w:hint="eastAsia" w:ascii="宋体" w:hAnsi="宋体" w:cs="宋体"/>
                <w:sz w:val="18"/>
                <w:szCs w:val="18"/>
              </w:rPr>
              <w:t>5.5</w:t>
            </w:r>
          </w:p>
        </w:tc>
        <w:tc>
          <w:tcPr>
            <w:tcW w:w="777" w:type="pct"/>
            <w:tcBorders>
              <w:tl2br w:val="nil"/>
              <w:tr2bl w:val="nil"/>
            </w:tcBorders>
            <w:vAlign w:val="center"/>
          </w:tcPr>
          <w:p w14:paraId="122E474D">
            <w:pPr>
              <w:snapToGrid w:val="0"/>
              <w:spacing w:line="240" w:lineRule="auto"/>
              <w:jc w:val="center"/>
              <w:rPr>
                <w:rFonts w:ascii="宋体" w:hAnsi="宋体"/>
                <w:sz w:val="18"/>
                <w:szCs w:val="18"/>
              </w:rPr>
            </w:pPr>
            <w:r>
              <w:rPr>
                <w:rFonts w:hint="eastAsia" w:ascii="宋体" w:hAnsi="宋体" w:cs="宋体"/>
                <w:sz w:val="18"/>
                <w:szCs w:val="18"/>
              </w:rPr>
              <w:t>6.6.2</w:t>
            </w:r>
          </w:p>
        </w:tc>
        <w:tc>
          <w:tcPr>
            <w:tcW w:w="534" w:type="pct"/>
            <w:vMerge w:val="continue"/>
            <w:tcBorders>
              <w:tl2br w:val="nil"/>
              <w:tr2bl w:val="nil"/>
            </w:tcBorders>
            <w:vAlign w:val="center"/>
          </w:tcPr>
          <w:p w14:paraId="32B67A8B">
            <w:pPr>
              <w:snapToGrid w:val="0"/>
              <w:spacing w:line="240" w:lineRule="auto"/>
              <w:jc w:val="center"/>
              <w:rPr>
                <w:rFonts w:ascii="宋体" w:hAnsi="宋体"/>
                <w:sz w:val="18"/>
                <w:szCs w:val="18"/>
              </w:rPr>
            </w:pPr>
          </w:p>
        </w:tc>
        <w:tc>
          <w:tcPr>
            <w:tcW w:w="533" w:type="pct"/>
            <w:vMerge w:val="continue"/>
            <w:tcBorders>
              <w:right w:val="single" w:color="auto" w:sz="6" w:space="0"/>
              <w:tl2br w:val="nil"/>
              <w:tr2bl w:val="nil"/>
            </w:tcBorders>
            <w:vAlign w:val="center"/>
          </w:tcPr>
          <w:p w14:paraId="48F16DA0">
            <w:pPr>
              <w:snapToGrid w:val="0"/>
              <w:spacing w:line="240" w:lineRule="auto"/>
              <w:jc w:val="center"/>
              <w:rPr>
                <w:rFonts w:ascii="宋体" w:hAnsi="宋体"/>
                <w:sz w:val="18"/>
                <w:szCs w:val="18"/>
              </w:rPr>
            </w:pPr>
          </w:p>
        </w:tc>
      </w:tr>
      <w:tr w14:paraId="0A493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474" w:type="pct"/>
            <w:tcBorders>
              <w:left w:val="single" w:color="auto" w:sz="6" w:space="0"/>
              <w:tl2br w:val="nil"/>
              <w:tr2bl w:val="nil"/>
            </w:tcBorders>
            <w:vAlign w:val="center"/>
          </w:tcPr>
          <w:p w14:paraId="0C8D47CA">
            <w:pPr>
              <w:snapToGrid w:val="0"/>
              <w:spacing w:line="240" w:lineRule="auto"/>
              <w:jc w:val="center"/>
              <w:rPr>
                <w:rFonts w:ascii="宋体" w:hAnsi="宋体"/>
                <w:sz w:val="18"/>
                <w:szCs w:val="18"/>
              </w:rPr>
            </w:pPr>
            <w:r>
              <w:rPr>
                <w:rFonts w:hint="eastAsia" w:ascii="宋体" w:hAnsi="宋体" w:cs="宋体"/>
                <w:sz w:val="18"/>
                <w:szCs w:val="18"/>
              </w:rPr>
              <w:t>5</w:t>
            </w:r>
          </w:p>
        </w:tc>
        <w:tc>
          <w:tcPr>
            <w:tcW w:w="1586" w:type="pct"/>
            <w:tcBorders>
              <w:tl2br w:val="nil"/>
              <w:tr2bl w:val="nil"/>
            </w:tcBorders>
            <w:vAlign w:val="center"/>
          </w:tcPr>
          <w:p w14:paraId="32F5896D">
            <w:pPr>
              <w:snapToGrid w:val="0"/>
              <w:spacing w:line="240" w:lineRule="auto"/>
              <w:jc w:val="center"/>
              <w:rPr>
                <w:rFonts w:ascii="宋体" w:hAnsi="宋体"/>
                <w:sz w:val="18"/>
                <w:szCs w:val="18"/>
              </w:rPr>
            </w:pPr>
            <w:r>
              <w:rPr>
                <w:rFonts w:hint="eastAsia" w:ascii="宋体" w:hAnsi="宋体" w:cs="宋体"/>
                <w:sz w:val="18"/>
                <w:szCs w:val="18"/>
              </w:rPr>
              <w:t>平整度</w:t>
            </w:r>
          </w:p>
        </w:tc>
        <w:tc>
          <w:tcPr>
            <w:tcW w:w="1097" w:type="pct"/>
            <w:tcBorders>
              <w:tl2br w:val="nil"/>
              <w:tr2bl w:val="nil"/>
            </w:tcBorders>
            <w:vAlign w:val="center"/>
          </w:tcPr>
          <w:p w14:paraId="0E0C9036">
            <w:pPr>
              <w:snapToGrid w:val="0"/>
              <w:spacing w:line="240" w:lineRule="auto"/>
              <w:jc w:val="center"/>
              <w:rPr>
                <w:rFonts w:ascii="宋体" w:hAnsi="宋体"/>
                <w:sz w:val="18"/>
                <w:szCs w:val="18"/>
              </w:rPr>
            </w:pPr>
            <w:r>
              <w:rPr>
                <w:rFonts w:hint="eastAsia" w:ascii="宋体" w:hAnsi="宋体" w:cs="宋体"/>
                <w:sz w:val="18"/>
                <w:szCs w:val="18"/>
              </w:rPr>
              <w:t>5.5</w:t>
            </w:r>
          </w:p>
        </w:tc>
        <w:tc>
          <w:tcPr>
            <w:tcW w:w="777" w:type="pct"/>
            <w:tcBorders>
              <w:tl2br w:val="nil"/>
              <w:tr2bl w:val="nil"/>
            </w:tcBorders>
            <w:vAlign w:val="center"/>
          </w:tcPr>
          <w:p w14:paraId="215901BD">
            <w:pPr>
              <w:snapToGrid w:val="0"/>
              <w:spacing w:line="240" w:lineRule="auto"/>
              <w:jc w:val="center"/>
              <w:rPr>
                <w:rFonts w:ascii="宋体" w:hAnsi="宋体"/>
                <w:sz w:val="18"/>
                <w:szCs w:val="18"/>
              </w:rPr>
            </w:pPr>
            <w:r>
              <w:rPr>
                <w:rFonts w:hint="eastAsia" w:ascii="宋体" w:hAnsi="宋体" w:cs="宋体"/>
                <w:sz w:val="18"/>
                <w:szCs w:val="18"/>
              </w:rPr>
              <w:t>6.6.3</w:t>
            </w:r>
          </w:p>
        </w:tc>
        <w:tc>
          <w:tcPr>
            <w:tcW w:w="534" w:type="pct"/>
            <w:vMerge w:val="continue"/>
            <w:tcBorders>
              <w:tl2br w:val="nil"/>
              <w:tr2bl w:val="nil"/>
            </w:tcBorders>
            <w:vAlign w:val="center"/>
          </w:tcPr>
          <w:p w14:paraId="0D3F1334">
            <w:pPr>
              <w:snapToGrid w:val="0"/>
              <w:spacing w:line="240" w:lineRule="auto"/>
              <w:jc w:val="center"/>
              <w:rPr>
                <w:rFonts w:ascii="宋体" w:hAnsi="宋体"/>
                <w:sz w:val="18"/>
                <w:szCs w:val="18"/>
              </w:rPr>
            </w:pPr>
          </w:p>
        </w:tc>
        <w:tc>
          <w:tcPr>
            <w:tcW w:w="533" w:type="pct"/>
            <w:vMerge w:val="continue"/>
            <w:tcBorders>
              <w:right w:val="single" w:color="auto" w:sz="6" w:space="0"/>
              <w:tl2br w:val="nil"/>
              <w:tr2bl w:val="nil"/>
            </w:tcBorders>
            <w:vAlign w:val="center"/>
          </w:tcPr>
          <w:p w14:paraId="550F0835">
            <w:pPr>
              <w:snapToGrid w:val="0"/>
              <w:spacing w:line="240" w:lineRule="auto"/>
              <w:jc w:val="center"/>
              <w:rPr>
                <w:rFonts w:ascii="宋体" w:hAnsi="宋体"/>
                <w:sz w:val="18"/>
                <w:szCs w:val="18"/>
              </w:rPr>
            </w:pPr>
          </w:p>
        </w:tc>
      </w:tr>
      <w:tr w14:paraId="591E8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474" w:type="pct"/>
            <w:tcBorders>
              <w:left w:val="single" w:color="auto" w:sz="6" w:space="0"/>
              <w:tl2br w:val="nil"/>
              <w:tr2bl w:val="nil"/>
            </w:tcBorders>
            <w:vAlign w:val="center"/>
          </w:tcPr>
          <w:p w14:paraId="5DFCEF70">
            <w:pPr>
              <w:snapToGrid w:val="0"/>
              <w:spacing w:line="240" w:lineRule="auto"/>
              <w:jc w:val="center"/>
              <w:rPr>
                <w:rFonts w:ascii="宋体" w:hAnsi="宋体"/>
                <w:sz w:val="18"/>
                <w:szCs w:val="18"/>
              </w:rPr>
            </w:pPr>
            <w:r>
              <w:rPr>
                <w:rFonts w:hint="eastAsia" w:ascii="宋体" w:hAnsi="宋体" w:cs="宋体"/>
                <w:sz w:val="18"/>
                <w:szCs w:val="18"/>
              </w:rPr>
              <w:t>6</w:t>
            </w:r>
          </w:p>
        </w:tc>
        <w:tc>
          <w:tcPr>
            <w:tcW w:w="1586" w:type="pct"/>
            <w:tcBorders>
              <w:tl2br w:val="nil"/>
              <w:tr2bl w:val="nil"/>
            </w:tcBorders>
            <w:vAlign w:val="center"/>
          </w:tcPr>
          <w:p w14:paraId="55003144">
            <w:pPr>
              <w:snapToGrid w:val="0"/>
              <w:spacing w:line="240" w:lineRule="auto"/>
              <w:jc w:val="center"/>
              <w:rPr>
                <w:rFonts w:ascii="宋体" w:hAnsi="宋体"/>
                <w:sz w:val="18"/>
                <w:szCs w:val="18"/>
              </w:rPr>
            </w:pPr>
            <w:r>
              <w:rPr>
                <w:rFonts w:hint="eastAsia" w:ascii="宋体" w:hAnsi="宋体" w:cs="宋体"/>
                <w:sz w:val="18"/>
                <w:szCs w:val="18"/>
              </w:rPr>
              <w:t>翘曲度</w:t>
            </w:r>
          </w:p>
        </w:tc>
        <w:tc>
          <w:tcPr>
            <w:tcW w:w="1097" w:type="pct"/>
            <w:tcBorders>
              <w:tl2br w:val="nil"/>
              <w:tr2bl w:val="nil"/>
            </w:tcBorders>
            <w:vAlign w:val="center"/>
          </w:tcPr>
          <w:p w14:paraId="459B503A">
            <w:pPr>
              <w:snapToGrid w:val="0"/>
              <w:spacing w:line="240" w:lineRule="auto"/>
              <w:jc w:val="center"/>
              <w:rPr>
                <w:rFonts w:ascii="宋体" w:hAnsi="宋体"/>
                <w:sz w:val="18"/>
                <w:szCs w:val="18"/>
              </w:rPr>
            </w:pPr>
            <w:r>
              <w:rPr>
                <w:rFonts w:hint="eastAsia" w:ascii="宋体" w:hAnsi="宋体" w:cs="宋体"/>
                <w:sz w:val="18"/>
                <w:szCs w:val="18"/>
              </w:rPr>
              <w:t>5.5</w:t>
            </w:r>
          </w:p>
        </w:tc>
        <w:tc>
          <w:tcPr>
            <w:tcW w:w="777" w:type="pct"/>
            <w:tcBorders>
              <w:tl2br w:val="nil"/>
              <w:tr2bl w:val="nil"/>
            </w:tcBorders>
            <w:vAlign w:val="center"/>
          </w:tcPr>
          <w:p w14:paraId="3055AD2F">
            <w:pPr>
              <w:snapToGrid w:val="0"/>
              <w:spacing w:line="240" w:lineRule="auto"/>
              <w:jc w:val="center"/>
              <w:rPr>
                <w:rFonts w:ascii="宋体" w:hAnsi="宋体"/>
                <w:sz w:val="18"/>
                <w:szCs w:val="18"/>
              </w:rPr>
            </w:pPr>
            <w:r>
              <w:rPr>
                <w:rFonts w:hint="eastAsia" w:ascii="宋体" w:hAnsi="宋体" w:cs="宋体"/>
                <w:sz w:val="18"/>
                <w:szCs w:val="18"/>
              </w:rPr>
              <w:t>6.6.4</w:t>
            </w:r>
          </w:p>
        </w:tc>
        <w:tc>
          <w:tcPr>
            <w:tcW w:w="534" w:type="pct"/>
            <w:vMerge w:val="continue"/>
            <w:tcBorders>
              <w:tl2br w:val="nil"/>
              <w:tr2bl w:val="nil"/>
            </w:tcBorders>
            <w:vAlign w:val="center"/>
          </w:tcPr>
          <w:p w14:paraId="2C7B455B">
            <w:pPr>
              <w:snapToGrid w:val="0"/>
              <w:spacing w:line="240" w:lineRule="auto"/>
              <w:jc w:val="center"/>
              <w:rPr>
                <w:rFonts w:ascii="宋体" w:hAnsi="宋体"/>
                <w:sz w:val="18"/>
                <w:szCs w:val="18"/>
              </w:rPr>
            </w:pPr>
          </w:p>
        </w:tc>
        <w:tc>
          <w:tcPr>
            <w:tcW w:w="533" w:type="pct"/>
            <w:vMerge w:val="continue"/>
            <w:tcBorders>
              <w:right w:val="single" w:color="auto" w:sz="6" w:space="0"/>
              <w:tl2br w:val="nil"/>
              <w:tr2bl w:val="nil"/>
            </w:tcBorders>
            <w:vAlign w:val="center"/>
          </w:tcPr>
          <w:p w14:paraId="36CD2C30">
            <w:pPr>
              <w:snapToGrid w:val="0"/>
              <w:spacing w:line="240" w:lineRule="auto"/>
              <w:jc w:val="center"/>
              <w:rPr>
                <w:rFonts w:ascii="宋体" w:hAnsi="宋体"/>
                <w:sz w:val="18"/>
                <w:szCs w:val="18"/>
              </w:rPr>
            </w:pPr>
          </w:p>
        </w:tc>
      </w:tr>
      <w:tr w14:paraId="33804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474" w:type="pct"/>
            <w:tcBorders>
              <w:left w:val="single" w:color="auto" w:sz="6" w:space="0"/>
              <w:bottom w:val="single" w:color="auto" w:sz="6" w:space="0"/>
              <w:tl2br w:val="nil"/>
              <w:tr2bl w:val="nil"/>
            </w:tcBorders>
            <w:vAlign w:val="center"/>
          </w:tcPr>
          <w:p w14:paraId="3DBA0752">
            <w:pPr>
              <w:snapToGrid w:val="0"/>
              <w:spacing w:line="240" w:lineRule="auto"/>
              <w:jc w:val="center"/>
              <w:rPr>
                <w:rFonts w:ascii="宋体" w:hAnsi="宋体"/>
                <w:sz w:val="18"/>
                <w:szCs w:val="18"/>
              </w:rPr>
            </w:pPr>
            <w:r>
              <w:rPr>
                <w:rFonts w:hint="eastAsia" w:ascii="宋体" w:hAnsi="宋体" w:cs="宋体"/>
                <w:sz w:val="18"/>
                <w:szCs w:val="18"/>
              </w:rPr>
              <w:t>7</w:t>
            </w:r>
          </w:p>
        </w:tc>
        <w:tc>
          <w:tcPr>
            <w:tcW w:w="1586" w:type="pct"/>
            <w:tcBorders>
              <w:bottom w:val="single" w:color="auto" w:sz="6" w:space="0"/>
              <w:tl2br w:val="nil"/>
              <w:tr2bl w:val="nil"/>
            </w:tcBorders>
            <w:vAlign w:val="center"/>
          </w:tcPr>
          <w:p w14:paraId="056C0528">
            <w:pPr>
              <w:snapToGrid w:val="0"/>
              <w:spacing w:line="240" w:lineRule="auto"/>
              <w:jc w:val="center"/>
              <w:rPr>
                <w:rFonts w:ascii="宋体" w:hAnsi="宋体"/>
                <w:sz w:val="18"/>
                <w:szCs w:val="18"/>
              </w:rPr>
            </w:pPr>
            <w:r>
              <w:rPr>
                <w:rFonts w:hint="eastAsia" w:ascii="宋体" w:hAnsi="宋体" w:cs="宋体"/>
                <w:sz w:val="18"/>
                <w:szCs w:val="18"/>
              </w:rPr>
              <w:t>晶向及晶向偏离</w:t>
            </w:r>
          </w:p>
        </w:tc>
        <w:tc>
          <w:tcPr>
            <w:tcW w:w="1097" w:type="pct"/>
            <w:tcBorders>
              <w:bottom w:val="single" w:color="auto" w:sz="6" w:space="0"/>
              <w:tl2br w:val="nil"/>
              <w:tr2bl w:val="nil"/>
            </w:tcBorders>
            <w:vAlign w:val="center"/>
          </w:tcPr>
          <w:p w14:paraId="2141CC23">
            <w:pPr>
              <w:snapToGrid w:val="0"/>
              <w:spacing w:line="240" w:lineRule="auto"/>
              <w:jc w:val="center"/>
              <w:rPr>
                <w:rFonts w:ascii="宋体" w:hAnsi="宋体"/>
                <w:sz w:val="18"/>
                <w:szCs w:val="18"/>
              </w:rPr>
            </w:pPr>
            <w:r>
              <w:rPr>
                <w:rFonts w:hint="eastAsia" w:ascii="宋体" w:hAnsi="宋体" w:cs="宋体"/>
                <w:sz w:val="18"/>
                <w:szCs w:val="18"/>
              </w:rPr>
              <w:t>5.4</w:t>
            </w:r>
          </w:p>
        </w:tc>
        <w:tc>
          <w:tcPr>
            <w:tcW w:w="777" w:type="pct"/>
            <w:tcBorders>
              <w:bottom w:val="single" w:color="auto" w:sz="6" w:space="0"/>
              <w:tl2br w:val="nil"/>
              <w:tr2bl w:val="nil"/>
            </w:tcBorders>
            <w:vAlign w:val="center"/>
          </w:tcPr>
          <w:p w14:paraId="7EE7A256">
            <w:pPr>
              <w:snapToGrid w:val="0"/>
              <w:spacing w:line="240" w:lineRule="auto"/>
              <w:jc w:val="center"/>
              <w:rPr>
                <w:rFonts w:ascii="宋体" w:hAnsi="宋体"/>
                <w:sz w:val="18"/>
                <w:szCs w:val="18"/>
              </w:rPr>
            </w:pPr>
            <w:r>
              <w:rPr>
                <w:rFonts w:hint="eastAsia" w:ascii="宋体" w:hAnsi="宋体" w:cs="宋体"/>
                <w:sz w:val="18"/>
                <w:szCs w:val="18"/>
              </w:rPr>
              <w:t>6.2</w:t>
            </w:r>
          </w:p>
        </w:tc>
        <w:tc>
          <w:tcPr>
            <w:tcW w:w="534" w:type="pct"/>
            <w:vMerge w:val="continue"/>
            <w:tcBorders>
              <w:bottom w:val="single" w:color="auto" w:sz="6" w:space="0"/>
              <w:tl2br w:val="nil"/>
              <w:tr2bl w:val="nil"/>
            </w:tcBorders>
            <w:vAlign w:val="center"/>
          </w:tcPr>
          <w:p w14:paraId="5E356D64">
            <w:pPr>
              <w:snapToGrid w:val="0"/>
              <w:spacing w:line="240" w:lineRule="auto"/>
              <w:jc w:val="center"/>
              <w:rPr>
                <w:rFonts w:ascii="宋体" w:hAnsi="宋体"/>
                <w:sz w:val="18"/>
                <w:szCs w:val="18"/>
              </w:rPr>
            </w:pPr>
          </w:p>
        </w:tc>
        <w:tc>
          <w:tcPr>
            <w:tcW w:w="533" w:type="pct"/>
            <w:vMerge w:val="continue"/>
            <w:tcBorders>
              <w:bottom w:val="single" w:color="auto" w:sz="6" w:space="0"/>
              <w:right w:val="single" w:color="auto" w:sz="6" w:space="0"/>
              <w:tl2br w:val="nil"/>
              <w:tr2bl w:val="nil"/>
            </w:tcBorders>
            <w:vAlign w:val="center"/>
          </w:tcPr>
          <w:p w14:paraId="7A107FA6">
            <w:pPr>
              <w:snapToGrid w:val="0"/>
              <w:spacing w:line="240" w:lineRule="auto"/>
              <w:jc w:val="center"/>
              <w:rPr>
                <w:rFonts w:ascii="宋体" w:hAnsi="宋体"/>
                <w:sz w:val="18"/>
                <w:szCs w:val="18"/>
              </w:rPr>
            </w:pPr>
          </w:p>
        </w:tc>
      </w:tr>
    </w:tbl>
    <w:p w14:paraId="7BECB9B2">
      <w:pPr>
        <w:pStyle w:val="105"/>
        <w:spacing w:before="156" w:after="156"/>
      </w:pPr>
      <w:bookmarkStart w:id="125" w:name="_Toc161963374"/>
      <w:bookmarkStart w:id="126" w:name="_Toc161928091"/>
      <w:bookmarkStart w:id="127" w:name="_Toc161927914"/>
      <w:r>
        <w:rPr>
          <w:rFonts w:hint="eastAsia"/>
        </w:rPr>
        <w:t>检验结果的判定</w:t>
      </w:r>
      <w:bookmarkEnd w:id="125"/>
      <w:bookmarkEnd w:id="126"/>
      <w:bookmarkEnd w:id="127"/>
    </w:p>
    <w:p w14:paraId="58C7EE70">
      <w:pPr>
        <w:pStyle w:val="56"/>
        <w:ind w:firstLine="420"/>
      </w:pPr>
      <w:r>
        <w:rPr>
          <w:rFonts w:hint="eastAsia"/>
        </w:rPr>
        <w:t>每组批</w:t>
      </w:r>
      <w:r>
        <w:rPr>
          <w:rFonts w:hint="eastAsia"/>
          <w:lang w:val="en-US" w:eastAsia="zh-CN"/>
        </w:rPr>
        <w:t>砷化镓</w:t>
      </w:r>
      <w:r>
        <w:rPr>
          <w:rFonts w:hint="eastAsia"/>
        </w:rPr>
        <w:t>衬底的电阻率、迁移率、载流子浓度、表面晶向及晶向偏离、位错密度的检验中有任何一项检验不合格，判该组批检验批不合格，该组批所有的砷化镓衬底不得进入该产品检验批继续进行后续检验和交付。</w:t>
      </w:r>
    </w:p>
    <w:p w14:paraId="797AA381">
      <w:pPr>
        <w:pStyle w:val="56"/>
        <w:ind w:firstLine="420"/>
      </w:pPr>
      <w:r>
        <w:rPr>
          <w:rFonts w:hint="eastAsia"/>
        </w:rPr>
        <w:t>每组批砷化镓衬底的表面质量、参考面取向、形状和尺寸、直径及允许偏差、厚度和允许偏差及总厚度变化、平整度、晶向及晶向偏离检验中有任何一项检验不合格，判该批产品不合格。</w:t>
      </w:r>
    </w:p>
    <w:p w14:paraId="346F11EA">
      <w:pPr>
        <w:pStyle w:val="105"/>
        <w:spacing w:before="156" w:after="156"/>
      </w:pPr>
      <w:bookmarkStart w:id="128" w:name="_Toc161928092"/>
      <w:bookmarkStart w:id="129" w:name="_Toc161963375"/>
      <w:bookmarkStart w:id="130" w:name="_Toc161927915"/>
      <w:r>
        <w:rPr>
          <w:rFonts w:hint="eastAsia"/>
        </w:rPr>
        <w:t>不合格品处置</w:t>
      </w:r>
      <w:bookmarkEnd w:id="128"/>
      <w:bookmarkEnd w:id="129"/>
      <w:bookmarkEnd w:id="130"/>
    </w:p>
    <w:p w14:paraId="40273E40">
      <w:pPr>
        <w:pStyle w:val="56"/>
        <w:ind w:firstLine="420"/>
      </w:pPr>
      <w:r>
        <w:rPr>
          <w:rFonts w:hint="eastAsia"/>
        </w:rPr>
        <w:t>如果一个检验批被拒收，生产方应将该批次产品取回进行分析。若产品不合格是因为</w:t>
      </w:r>
      <w:r>
        <w:rPr>
          <w:rFonts w:hint="eastAsia"/>
          <w:lang w:val="en-US" w:eastAsia="zh-CN"/>
        </w:rPr>
        <w:t>砷化镓</w:t>
      </w:r>
      <w:r>
        <w:rPr>
          <w:rFonts w:hint="eastAsia"/>
        </w:rPr>
        <w:t>衬底的表面质量、参考面取向、形状、尺寸或者几何尺寸等可通过返工重新使之合格的问题所造成，则产品可经返工并经加严检验合格后标明“重新检验批”予以重新交付。如果是因为</w:t>
      </w:r>
      <w:r>
        <w:rPr>
          <w:rFonts w:hint="eastAsia"/>
          <w:lang w:val="en-US" w:eastAsia="zh-CN"/>
        </w:rPr>
        <w:t>砷化镓</w:t>
      </w:r>
      <w:r>
        <w:rPr>
          <w:rFonts w:hint="eastAsia"/>
        </w:rPr>
        <w:t>衬底的电学性能、位错及晶向达不到产品文件或者合同协议的要求，则该批产品将被拒收，不能重新交付，应由生产方重新提供另外批次检验合格的</w:t>
      </w:r>
      <w:r>
        <w:rPr>
          <w:rFonts w:hint="eastAsia"/>
          <w:lang w:val="en-US" w:eastAsia="zh-CN"/>
        </w:rPr>
        <w:t>砷化镓</w:t>
      </w:r>
      <w:r>
        <w:rPr>
          <w:rFonts w:hint="eastAsia"/>
        </w:rPr>
        <w:t>衬底。</w:t>
      </w:r>
    </w:p>
    <w:p w14:paraId="1DDABB92">
      <w:pPr>
        <w:pStyle w:val="104"/>
        <w:spacing w:before="312" w:after="312"/>
        <w:rPr>
          <w:highlight w:val="none"/>
        </w:rPr>
      </w:pPr>
      <w:bookmarkStart w:id="131" w:name="_Toc161927916"/>
      <w:bookmarkStart w:id="132" w:name="_Toc161928093"/>
      <w:bookmarkStart w:id="133" w:name="_Toc161963376"/>
      <w:bookmarkStart w:id="134" w:name="_Hlk161972949"/>
      <w:r>
        <w:rPr>
          <w:rFonts w:hint="eastAsia"/>
        </w:rPr>
        <w:t>标</w:t>
      </w:r>
      <w:r>
        <w:rPr>
          <w:rFonts w:hint="eastAsia"/>
          <w:highlight w:val="none"/>
        </w:rPr>
        <w:t>志</w:t>
      </w:r>
      <w:bookmarkEnd w:id="131"/>
      <w:bookmarkEnd w:id="132"/>
      <w:bookmarkEnd w:id="133"/>
      <w:r>
        <w:rPr>
          <w:rFonts w:hint="eastAsia"/>
          <w:highlight w:val="none"/>
          <w:lang w:eastAsia="zh-CN"/>
        </w:rPr>
        <w:t>、</w:t>
      </w:r>
      <w:r>
        <w:rPr>
          <w:rFonts w:hint="eastAsia"/>
          <w:highlight w:val="none"/>
          <w:lang w:val="en-US" w:eastAsia="zh-CN"/>
        </w:rPr>
        <w:t>包装</w:t>
      </w:r>
      <w:r>
        <w:rPr>
          <w:rFonts w:hint="eastAsia" w:ascii="黑体" w:hAnsi="黑体" w:eastAsia="黑体" w:cs="黑体"/>
          <w:sz w:val="21"/>
          <w:szCs w:val="21"/>
          <w:highlight w:val="none"/>
        </w:rPr>
        <w:t>、储存和质量证明书</w:t>
      </w:r>
    </w:p>
    <w:bookmarkEnd w:id="134"/>
    <w:p w14:paraId="71668574">
      <w:pPr>
        <w:pStyle w:val="105"/>
        <w:spacing w:before="156" w:after="156"/>
        <w:rPr>
          <w:highlight w:val="none"/>
        </w:rPr>
      </w:pPr>
      <w:bookmarkStart w:id="135" w:name="_Toc161928094"/>
      <w:bookmarkStart w:id="136" w:name="_Toc161927917"/>
      <w:bookmarkStart w:id="137" w:name="_Toc161963377"/>
      <w:r>
        <w:rPr>
          <w:rFonts w:hint="eastAsia"/>
          <w:highlight w:val="none"/>
        </w:rPr>
        <w:t>标志</w:t>
      </w:r>
      <w:bookmarkEnd w:id="135"/>
      <w:bookmarkEnd w:id="136"/>
      <w:bookmarkEnd w:id="137"/>
    </w:p>
    <w:p w14:paraId="279E913F">
      <w:pPr>
        <w:pStyle w:val="165"/>
        <w:rPr>
          <w:highlight w:val="none"/>
        </w:rPr>
      </w:pPr>
      <w:r>
        <w:rPr>
          <w:rFonts w:hint="eastAsia"/>
          <w:highlight w:val="none"/>
        </w:rPr>
        <w:t>晶片要做成器件，仅允许在边缘附近进行刻字，不允许做其他标识。</w:t>
      </w:r>
    </w:p>
    <w:p w14:paraId="6E2B4B96">
      <w:pPr>
        <w:pStyle w:val="165"/>
        <w:rPr>
          <w:highlight w:val="none"/>
        </w:rPr>
      </w:pPr>
      <w:r>
        <w:rPr>
          <w:rFonts w:hint="eastAsia"/>
          <w:highlight w:val="none"/>
        </w:rPr>
        <w:t>包装盒标志应至少包括以下内容:</w:t>
      </w:r>
    </w:p>
    <w:p w14:paraId="33D8444A">
      <w:pPr>
        <w:pStyle w:val="174"/>
        <w:numPr>
          <w:ilvl w:val="0"/>
          <w:numId w:val="33"/>
        </w:numPr>
        <w:rPr>
          <w:highlight w:val="none"/>
        </w:rPr>
      </w:pPr>
      <w:r>
        <w:rPr>
          <w:rFonts w:hint="eastAsia"/>
          <w:highlight w:val="none"/>
        </w:rPr>
        <w:t>生产日期和保质期；</w:t>
      </w:r>
    </w:p>
    <w:p w14:paraId="799587F5">
      <w:pPr>
        <w:pStyle w:val="174"/>
        <w:rPr>
          <w:highlight w:val="none"/>
        </w:rPr>
      </w:pPr>
      <w:r>
        <w:rPr>
          <w:rFonts w:hint="eastAsia"/>
          <w:highlight w:val="none"/>
        </w:rPr>
        <w:t>砷化镓衬底牌号；</w:t>
      </w:r>
    </w:p>
    <w:p w14:paraId="2D1E3B50">
      <w:pPr>
        <w:pStyle w:val="174"/>
        <w:rPr>
          <w:highlight w:val="none"/>
        </w:rPr>
      </w:pPr>
      <w:r>
        <w:rPr>
          <w:rFonts w:hint="eastAsia"/>
          <w:highlight w:val="none"/>
        </w:rPr>
        <w:t>砷化镓衬底编号；</w:t>
      </w:r>
    </w:p>
    <w:p w14:paraId="426D2AF5">
      <w:pPr>
        <w:pStyle w:val="174"/>
        <w:rPr>
          <w:highlight w:val="none"/>
        </w:rPr>
      </w:pPr>
      <w:r>
        <w:rPr>
          <w:rFonts w:hint="eastAsia"/>
          <w:highlight w:val="none"/>
        </w:rPr>
        <w:t>砷化镓衬底角度；</w:t>
      </w:r>
    </w:p>
    <w:p w14:paraId="30E50BF3">
      <w:pPr>
        <w:pStyle w:val="174"/>
        <w:rPr>
          <w:highlight w:val="none"/>
        </w:rPr>
      </w:pPr>
      <w:r>
        <w:rPr>
          <w:rFonts w:hint="eastAsia"/>
          <w:highlight w:val="none"/>
        </w:rPr>
        <w:t>砷化镓衬底数量；</w:t>
      </w:r>
    </w:p>
    <w:p w14:paraId="0BE69A1F">
      <w:pPr>
        <w:pStyle w:val="165"/>
        <w:rPr>
          <w:highlight w:val="none"/>
        </w:rPr>
      </w:pPr>
      <w:r>
        <w:rPr>
          <w:rFonts w:hint="eastAsia"/>
          <w:highlight w:val="none"/>
        </w:rPr>
        <w:t>包装箱标志应至少包括以下内容</w:t>
      </w:r>
      <w:r>
        <w:rPr>
          <w:rFonts w:hint="eastAsia"/>
          <w:highlight w:val="none"/>
        </w:rPr>
        <w:tab/>
      </w:r>
      <w:r>
        <w:rPr>
          <w:rFonts w:hint="eastAsia"/>
          <w:highlight w:val="none"/>
        </w:rPr>
        <w:t>：</w:t>
      </w:r>
    </w:p>
    <w:p w14:paraId="5EB9C483">
      <w:pPr>
        <w:pStyle w:val="174"/>
        <w:numPr>
          <w:ilvl w:val="0"/>
          <w:numId w:val="34"/>
        </w:numPr>
        <w:rPr>
          <w:highlight w:val="none"/>
        </w:rPr>
      </w:pPr>
      <w:r>
        <w:rPr>
          <w:rFonts w:hint="eastAsia"/>
          <w:highlight w:val="none"/>
        </w:rPr>
        <w:t>产品名称、牌号、数量；</w:t>
      </w:r>
    </w:p>
    <w:p w14:paraId="241F0992">
      <w:pPr>
        <w:pStyle w:val="174"/>
      </w:pPr>
      <w:r>
        <w:rPr>
          <w:rFonts w:hint="eastAsia"/>
        </w:rPr>
        <w:t>生产方名称、地址、电话；</w:t>
      </w:r>
    </w:p>
    <w:p w14:paraId="747BB49D">
      <w:pPr>
        <w:pStyle w:val="174"/>
      </w:pPr>
      <w:r>
        <w:rPr>
          <w:rFonts w:hint="eastAsia"/>
        </w:rPr>
        <w:t>防潮、防撞、防腐蚀等包装储运图示标志，符合GB/T 191</w:t>
      </w:r>
      <w:r>
        <w:rPr>
          <w:rFonts w:hint="eastAsia"/>
          <w:lang w:val="en-US" w:eastAsia="zh-CN"/>
        </w:rPr>
        <w:t xml:space="preserve"> </w:t>
      </w:r>
      <w:r>
        <w:rPr>
          <w:rFonts w:hint="eastAsia"/>
        </w:rPr>
        <w:t>的规定。</w:t>
      </w:r>
    </w:p>
    <w:p w14:paraId="428C392A">
      <w:pPr>
        <w:pStyle w:val="105"/>
        <w:spacing w:before="156" w:after="156"/>
      </w:pPr>
      <w:bookmarkStart w:id="138" w:name="_Toc161963380"/>
      <w:bookmarkStart w:id="139" w:name="_Toc161927918"/>
      <w:bookmarkStart w:id="140" w:name="_Toc161928095"/>
      <w:r>
        <w:rPr>
          <w:rFonts w:hint="eastAsia"/>
        </w:rPr>
        <w:t>包装</w:t>
      </w:r>
      <w:bookmarkEnd w:id="138"/>
      <w:bookmarkEnd w:id="139"/>
      <w:bookmarkEnd w:id="140"/>
    </w:p>
    <w:p w14:paraId="260344FD">
      <w:pPr>
        <w:pStyle w:val="56"/>
        <w:ind w:firstLine="420"/>
      </w:pPr>
      <w:r>
        <w:rPr>
          <w:rFonts w:hint="eastAsia"/>
        </w:rPr>
        <w:t>经过清洗干净的</w:t>
      </w:r>
      <w:r>
        <w:rPr>
          <w:rFonts w:hint="eastAsia"/>
          <w:lang w:val="en-US" w:eastAsia="zh-CN"/>
        </w:rPr>
        <w:t>砷化镓</w:t>
      </w:r>
      <w:r>
        <w:rPr>
          <w:rFonts w:hint="eastAsia"/>
        </w:rPr>
        <w:t>衬底放入特制的聚乙烯圆形包装盒里，每盒一片或者25片卡塞包装，单片包装要求主面朝下，放上压环，用塑料袋充氮气密封，25片卡塞包装要求</w:t>
      </w:r>
      <w:r>
        <w:rPr>
          <w:rFonts w:hint="eastAsia"/>
          <w:lang w:val="en-US" w:eastAsia="zh-CN"/>
        </w:rPr>
        <w:t>砷化镓</w:t>
      </w:r>
      <w:r>
        <w:rPr>
          <w:rFonts w:hint="eastAsia"/>
        </w:rPr>
        <w:t>衬底放入25片卡塞，抛光面统一朝前或朝后，主参考边统一朝下或者朝上，用包装袋充氮气包装，再使用铝箔或者镀铝包装袋进行二次包装，然后连同合格证、质量保证书一起装入装有专用塑料泡沫或含有防冲击材料的包装箱内，最后用胶带封好。</w:t>
      </w:r>
    </w:p>
    <w:p w14:paraId="0AD617B3">
      <w:pPr>
        <w:pStyle w:val="105"/>
        <w:spacing w:before="156" w:after="156"/>
      </w:pPr>
      <w:bookmarkStart w:id="141" w:name="_Toc161927919"/>
      <w:bookmarkStart w:id="142" w:name="_Toc161928096"/>
      <w:bookmarkStart w:id="143" w:name="_Toc161963381"/>
      <w:r>
        <w:rPr>
          <w:rFonts w:hint="eastAsia"/>
        </w:rPr>
        <w:t>运输及贮存</w:t>
      </w:r>
      <w:bookmarkEnd w:id="141"/>
      <w:bookmarkEnd w:id="142"/>
      <w:bookmarkEnd w:id="143"/>
    </w:p>
    <w:p w14:paraId="18D2B00D">
      <w:pPr>
        <w:pStyle w:val="165"/>
      </w:pPr>
      <w:r>
        <w:rPr>
          <w:rFonts w:hint="eastAsia"/>
        </w:rPr>
        <w:t>产品在运输过程中应防止挤压、碰撞并采取防震、防潮等措施。</w:t>
      </w:r>
    </w:p>
    <w:p w14:paraId="33FC91AB">
      <w:pPr>
        <w:pStyle w:val="165"/>
      </w:pPr>
      <w:r>
        <w:rPr>
          <w:rFonts w:hint="eastAsia"/>
        </w:rPr>
        <w:t>产品应存放在清洁、干燥、无化学腐蚀的环境中</w:t>
      </w:r>
      <w:r>
        <w:rPr>
          <w:rFonts w:hint="eastAsia"/>
          <w:lang w:eastAsia="zh-CN"/>
        </w:rPr>
        <w:t>。</w:t>
      </w:r>
    </w:p>
    <w:p w14:paraId="4A5BCCEE">
      <w:pPr>
        <w:pStyle w:val="105"/>
        <w:spacing w:before="156" w:after="156"/>
      </w:pPr>
      <w:bookmarkStart w:id="144" w:name="_Toc161927920"/>
      <w:bookmarkStart w:id="145" w:name="_Toc161963382"/>
      <w:bookmarkStart w:id="146" w:name="_Toc161928097"/>
      <w:r>
        <w:rPr>
          <w:rFonts w:hint="eastAsia"/>
        </w:rPr>
        <w:t>质量证明书</w:t>
      </w:r>
      <w:bookmarkEnd w:id="144"/>
      <w:bookmarkEnd w:id="145"/>
      <w:bookmarkEnd w:id="146"/>
    </w:p>
    <w:p w14:paraId="2FBDB661">
      <w:pPr>
        <w:pStyle w:val="56"/>
        <w:ind w:firstLine="420"/>
      </w:pPr>
      <w:r>
        <w:rPr>
          <w:rFonts w:hint="eastAsia"/>
        </w:rPr>
        <w:t>每批产品应附有质量证明书，其上注明：</w:t>
      </w:r>
    </w:p>
    <w:p w14:paraId="6B1CA496">
      <w:pPr>
        <w:pStyle w:val="174"/>
        <w:numPr>
          <w:ilvl w:val="0"/>
          <w:numId w:val="35"/>
        </w:numPr>
      </w:pPr>
      <w:r>
        <w:rPr>
          <w:rFonts w:hint="eastAsia"/>
        </w:rPr>
        <w:t>供方名称；</w:t>
      </w:r>
    </w:p>
    <w:p w14:paraId="50F4AA28">
      <w:pPr>
        <w:pStyle w:val="174"/>
      </w:pPr>
      <w:r>
        <w:rPr>
          <w:rFonts w:hint="eastAsia"/>
        </w:rPr>
        <w:t>合同号；</w:t>
      </w:r>
    </w:p>
    <w:p w14:paraId="26F70C79">
      <w:pPr>
        <w:pStyle w:val="174"/>
      </w:pPr>
      <w:r>
        <w:rPr>
          <w:rFonts w:hint="eastAsia"/>
        </w:rPr>
        <w:t>产品名称、牌号；</w:t>
      </w:r>
    </w:p>
    <w:p w14:paraId="4D540AB5">
      <w:pPr>
        <w:pStyle w:val="174"/>
      </w:pPr>
      <w:r>
        <w:rPr>
          <w:rFonts w:hint="eastAsia"/>
        </w:rPr>
        <w:t>产品检验批号和构成检验所有的</w:t>
      </w:r>
      <w:r>
        <w:rPr>
          <w:rFonts w:hint="eastAsia"/>
          <w:lang w:val="en-US" w:eastAsia="zh-CN"/>
        </w:rPr>
        <w:t>砷化镓</w:t>
      </w:r>
      <w:r>
        <w:rPr>
          <w:rFonts w:hint="eastAsia"/>
        </w:rPr>
        <w:t>衬底及其晶锭编号；</w:t>
      </w:r>
    </w:p>
    <w:p w14:paraId="0E4D20F6">
      <w:pPr>
        <w:pStyle w:val="174"/>
      </w:pPr>
      <w:r>
        <w:rPr>
          <w:rFonts w:hint="eastAsia"/>
        </w:rPr>
        <w:t>各项参数检验结果和检验员印章及检验日期；</w:t>
      </w:r>
    </w:p>
    <w:p w14:paraId="6E938E65">
      <w:pPr>
        <w:pStyle w:val="174"/>
      </w:pPr>
      <w:r>
        <w:rPr>
          <w:rFonts w:hint="eastAsia"/>
        </w:rPr>
        <w:t>生产日期和保质期；</w:t>
      </w:r>
    </w:p>
    <w:p w14:paraId="72444601">
      <w:pPr>
        <w:pStyle w:val="174"/>
      </w:pPr>
      <w:r>
        <w:rPr>
          <w:rFonts w:hint="eastAsia"/>
        </w:rPr>
        <w:t>检验部门印章</w:t>
      </w:r>
      <w:r>
        <w:rPr>
          <w:rFonts w:hint="eastAsia"/>
          <w:lang w:eastAsia="zh-CN"/>
        </w:rPr>
        <w:t>。</w:t>
      </w:r>
    </w:p>
    <w:p w14:paraId="684FF4A1">
      <w:pPr>
        <w:pStyle w:val="104"/>
        <w:spacing w:before="312" w:after="312"/>
        <w:rPr>
          <w:highlight w:val="none"/>
        </w:rPr>
      </w:pPr>
      <w:bookmarkStart w:id="147" w:name="_Toc161928098"/>
      <w:bookmarkStart w:id="148" w:name="_Toc161963383"/>
      <w:bookmarkStart w:id="149" w:name="_Toc161927921"/>
      <w:r>
        <w:rPr>
          <w:rFonts w:hint="eastAsia"/>
        </w:rPr>
        <w:t>订</w:t>
      </w:r>
      <w:r>
        <w:rPr>
          <w:rFonts w:hint="eastAsia"/>
          <w:highlight w:val="none"/>
        </w:rPr>
        <w:t>货单（或合同）内容</w:t>
      </w:r>
      <w:bookmarkEnd w:id="147"/>
      <w:bookmarkEnd w:id="148"/>
      <w:bookmarkEnd w:id="149"/>
    </w:p>
    <w:p w14:paraId="280B2DB3">
      <w:pPr>
        <w:pStyle w:val="56"/>
        <w:ind w:firstLine="420"/>
        <w:rPr>
          <w:highlight w:val="none"/>
        </w:rPr>
      </w:pPr>
      <w:r>
        <w:rPr>
          <w:rFonts w:hint="eastAsia"/>
          <w:highlight w:val="none"/>
        </w:rPr>
        <w:t>订购本文件所规定的产品的订货单（或合同）应至少包括以下内容：</w:t>
      </w:r>
    </w:p>
    <w:p w14:paraId="53C7245C">
      <w:pPr>
        <w:pStyle w:val="174"/>
        <w:numPr>
          <w:ilvl w:val="0"/>
          <w:numId w:val="36"/>
        </w:numPr>
        <w:rPr>
          <w:highlight w:val="none"/>
        </w:rPr>
      </w:pPr>
      <w:r>
        <w:rPr>
          <w:rFonts w:hint="eastAsia"/>
          <w:highlight w:val="none"/>
        </w:rPr>
        <w:t>产品名称、牌号;</w:t>
      </w:r>
    </w:p>
    <w:p w14:paraId="14B4BE6C">
      <w:pPr>
        <w:pStyle w:val="174"/>
        <w:numPr>
          <w:ilvl w:val="0"/>
          <w:numId w:val="36"/>
        </w:numPr>
        <w:rPr>
          <w:highlight w:val="none"/>
        </w:rPr>
      </w:pPr>
      <w:r>
        <w:rPr>
          <w:rFonts w:hint="eastAsia"/>
          <w:highlight w:val="none"/>
        </w:rPr>
        <w:t>产品所依据的文件名称和编号；</w:t>
      </w:r>
    </w:p>
    <w:p w14:paraId="6B9C9529">
      <w:pPr>
        <w:pStyle w:val="174"/>
        <w:numPr>
          <w:ilvl w:val="0"/>
          <w:numId w:val="36"/>
        </w:numPr>
        <w:rPr>
          <w:highlight w:val="none"/>
        </w:rPr>
      </w:pPr>
      <w:r>
        <w:rPr>
          <w:rFonts w:hint="eastAsia"/>
          <w:highlight w:val="none"/>
        </w:rPr>
        <w:t>产品数量；</w:t>
      </w:r>
    </w:p>
    <w:p w14:paraId="4AD91A4C">
      <w:pPr>
        <w:pStyle w:val="174"/>
        <w:numPr>
          <w:ilvl w:val="0"/>
          <w:numId w:val="36"/>
        </w:numPr>
        <w:rPr>
          <w:highlight w:val="none"/>
        </w:rPr>
      </w:pPr>
      <w:r>
        <w:rPr>
          <w:rFonts w:hint="eastAsia"/>
          <w:highlight w:val="none"/>
        </w:rPr>
        <w:t>使用的包装要求；</w:t>
      </w:r>
    </w:p>
    <w:p w14:paraId="15A4AE1E">
      <w:pPr>
        <w:pStyle w:val="174"/>
        <w:numPr>
          <w:ilvl w:val="0"/>
          <w:numId w:val="36"/>
        </w:numPr>
        <w:rPr>
          <w:highlight w:val="none"/>
        </w:rPr>
      </w:pPr>
      <w:r>
        <w:rPr>
          <w:rFonts w:hint="eastAsia"/>
          <w:highlight w:val="none"/>
        </w:rPr>
        <w:t>特殊要求。</w:t>
      </w:r>
    </w:p>
    <w:p w14:paraId="4C69D434">
      <w:pPr>
        <w:pStyle w:val="56"/>
        <w:ind w:left="0" w:leftChars="0" w:firstLine="0" w:firstLineChars="0"/>
        <w:jc w:val="center"/>
      </w:pPr>
      <w:bookmarkStart w:id="150" w:name="BookMark8"/>
      <w:r>
        <w:drawing>
          <wp:inline distT="0" distB="0" distL="0" distR="0">
            <wp:extent cx="1485900" cy="317500"/>
            <wp:effectExtent l="0" t="0" r="7620" b="25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2"/>
      <w:bookmarkEnd w:id="150"/>
    </w:p>
    <w:sectPr>
      <w:headerReference r:id="rId13" w:type="default"/>
      <w:footerReference r:id="rId15" w:type="default"/>
      <w:headerReference r:id="rId14" w:type="even"/>
      <w:footerReference r:id="rId16"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3087">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9BC9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8F5B9">
    <w:pPr>
      <w:pStyle w:val="52"/>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7697">
    <w:pPr>
      <w:pStyle w:val="51"/>
    </w:pPr>
    <w:r>
      <w:fldChar w:fldCharType="begin"/>
    </w:r>
    <w:r>
      <w:instrText xml:space="preserve"> PAGE   \* MERGEFORMAT \* MERGEFORMAT </w:instrText>
    </w:r>
    <w:r>
      <w:fldChar w:fldCharType="separate"/>
    </w:r>
    <w: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5068">
    <w:pPr>
      <w:pStyle w:val="52"/>
    </w:pPr>
    <w:r>
      <w:fldChar w:fldCharType="begin"/>
    </w:r>
    <w:r>
      <w:instrText xml:space="preserve">PAGE   \* MERGEFORMAT</w:instrText>
    </w:r>
    <w:r>
      <w:fldChar w:fldCharType="separate"/>
    </w:r>
    <w:r>
      <w:rPr>
        <w:lang w:val="zh-CN"/>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ED0C5">
    <w:pPr>
      <w:pStyle w:val="51"/>
    </w:pPr>
    <w:r>
      <w:fldChar w:fldCharType="begin"/>
    </w:r>
    <w:r>
      <w:instrText xml:space="preserve"> PAGE   \* MERGEFORMAT \* MERGEFORMAT </w:instrText>
    </w:r>
    <w:r>
      <w:fldChar w:fldCharType="separate"/>
    </w:r>
    <w: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610AD">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EB0B0">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A6944">
    <w:pPr>
      <w:pStyle w:val="61"/>
    </w:pPr>
    <w:r>
      <w:fldChar w:fldCharType="begin"/>
    </w:r>
    <w:r>
      <w:instrText xml:space="preserve"> STYLEREF  标准文件_文件编号  \* MERGEFORMAT </w:instrText>
    </w:r>
    <w:r>
      <w:fldChar w:fldCharType="separate"/>
    </w:r>
    <w:r>
      <w:t>GB/T 30856—202X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07C8">
    <w:pPr>
      <w:pStyle w:val="62"/>
    </w:pPr>
    <w:r>
      <w:fldChar w:fldCharType="begin"/>
    </w:r>
    <w:r>
      <w:instrText xml:space="preserve"> STYLEREF  标准文件_文件编号 \* MERGEFORMAT </w:instrText>
    </w:r>
    <w:r>
      <w:fldChar w:fldCharType="separate"/>
    </w:r>
    <w:r>
      <w:t>GB/T 30856—202X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5360">
    <w:pPr>
      <w:pStyle w:val="61"/>
    </w:pPr>
    <w:r>
      <w:fldChar w:fldCharType="begin"/>
    </w:r>
    <w:r>
      <w:instrText xml:space="preserve"> STYLEREF  标准文件_文件编号  \* MERGEFORMAT </w:instrText>
    </w:r>
    <w:r>
      <w:fldChar w:fldCharType="separate"/>
    </w:r>
    <w:r>
      <w:t>GB/T 30856—202X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4D759">
    <w:pPr>
      <w:pStyle w:val="62"/>
    </w:pPr>
    <w:r>
      <w:fldChar w:fldCharType="begin"/>
    </w:r>
    <w:r>
      <w:instrText xml:space="preserve"> STYLEREF  标准文件_文件编号 \* MERGEFORMAT </w:instrText>
    </w:r>
    <w:r>
      <w:fldChar w:fldCharType="separate"/>
    </w:r>
    <w:r>
      <w:t>GB/T 30856—202X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1ZjRlMjE3Njc5YTgyYmU0OTFiODljYmI1NzUzZWIifQ=="/>
  </w:docVars>
  <w:rsids>
    <w:rsidRoot w:val="007D3D37"/>
    <w:rsid w:val="0000040A"/>
    <w:rsid w:val="00000A94"/>
    <w:rsid w:val="00001972"/>
    <w:rsid w:val="00001D9A"/>
    <w:rsid w:val="000061E1"/>
    <w:rsid w:val="00007B3A"/>
    <w:rsid w:val="000107E0"/>
    <w:rsid w:val="0001153B"/>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292"/>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2C30"/>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2FBD"/>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E10"/>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02BA"/>
    <w:rsid w:val="00243540"/>
    <w:rsid w:val="0024497B"/>
    <w:rsid w:val="00244D31"/>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128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0AF"/>
    <w:rsid w:val="00371316"/>
    <w:rsid w:val="0037220D"/>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4C1"/>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3534"/>
    <w:rsid w:val="0041477A"/>
    <w:rsid w:val="004167A3"/>
    <w:rsid w:val="00427407"/>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3C9"/>
    <w:rsid w:val="004E0465"/>
    <w:rsid w:val="004E127B"/>
    <w:rsid w:val="004E1C0A"/>
    <w:rsid w:val="004E30C5"/>
    <w:rsid w:val="004E4AA5"/>
    <w:rsid w:val="004E4AEE"/>
    <w:rsid w:val="004E59E3"/>
    <w:rsid w:val="004E67C0"/>
    <w:rsid w:val="004F391A"/>
    <w:rsid w:val="004F3CFB"/>
    <w:rsid w:val="004F6456"/>
    <w:rsid w:val="004F6549"/>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2FC1"/>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72A1"/>
    <w:rsid w:val="00573D9E"/>
    <w:rsid w:val="005801E3"/>
    <w:rsid w:val="00581802"/>
    <w:rsid w:val="005836A8"/>
    <w:rsid w:val="005836ED"/>
    <w:rsid w:val="00584262"/>
    <w:rsid w:val="00586630"/>
    <w:rsid w:val="00587ADD"/>
    <w:rsid w:val="00596160"/>
    <w:rsid w:val="005966E2"/>
    <w:rsid w:val="00597007"/>
    <w:rsid w:val="005A0966"/>
    <w:rsid w:val="005A11B7"/>
    <w:rsid w:val="005A260B"/>
    <w:rsid w:val="005A4A1B"/>
    <w:rsid w:val="005A7830"/>
    <w:rsid w:val="005A7FCE"/>
    <w:rsid w:val="005B0F3F"/>
    <w:rsid w:val="005B291E"/>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3678"/>
    <w:rsid w:val="00613EAD"/>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6F73A8"/>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3B89"/>
    <w:rsid w:val="007C4593"/>
    <w:rsid w:val="007C5309"/>
    <w:rsid w:val="007C6069"/>
    <w:rsid w:val="007D06C4"/>
    <w:rsid w:val="007D1352"/>
    <w:rsid w:val="007D2508"/>
    <w:rsid w:val="007D346A"/>
    <w:rsid w:val="007D3D37"/>
    <w:rsid w:val="007D6518"/>
    <w:rsid w:val="007D6D8B"/>
    <w:rsid w:val="007D76BD"/>
    <w:rsid w:val="007E0081"/>
    <w:rsid w:val="007E0BF1"/>
    <w:rsid w:val="007F0ED8"/>
    <w:rsid w:val="007F0F63"/>
    <w:rsid w:val="007F75CE"/>
    <w:rsid w:val="008013A4"/>
    <w:rsid w:val="0080143C"/>
    <w:rsid w:val="008027CE"/>
    <w:rsid w:val="00802F42"/>
    <w:rsid w:val="00804383"/>
    <w:rsid w:val="00804BB7"/>
    <w:rsid w:val="00810257"/>
    <w:rsid w:val="008104F5"/>
    <w:rsid w:val="00811072"/>
    <w:rsid w:val="00811369"/>
    <w:rsid w:val="00812D4A"/>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1A0D"/>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403"/>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8F0"/>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35477"/>
    <w:rsid w:val="009429D5"/>
    <w:rsid w:val="00942BF1"/>
    <w:rsid w:val="00943CB8"/>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84314"/>
    <w:rsid w:val="00990795"/>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4657"/>
    <w:rsid w:val="009A5429"/>
    <w:rsid w:val="009A72AD"/>
    <w:rsid w:val="009B09E0"/>
    <w:rsid w:val="009B0BC5"/>
    <w:rsid w:val="009B1247"/>
    <w:rsid w:val="009B6029"/>
    <w:rsid w:val="009B6971"/>
    <w:rsid w:val="009C27F1"/>
    <w:rsid w:val="009C3152"/>
    <w:rsid w:val="009C4CFA"/>
    <w:rsid w:val="009C5070"/>
    <w:rsid w:val="009D112C"/>
    <w:rsid w:val="009D2F6D"/>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1FD4"/>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A2D"/>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5CC2"/>
    <w:rsid w:val="00AF0C18"/>
    <w:rsid w:val="00AF47C5"/>
    <w:rsid w:val="00AF5398"/>
    <w:rsid w:val="00B049AF"/>
    <w:rsid w:val="00B07242"/>
    <w:rsid w:val="00B10534"/>
    <w:rsid w:val="00B113DB"/>
    <w:rsid w:val="00B11D8A"/>
    <w:rsid w:val="00B12981"/>
    <w:rsid w:val="00B147DD"/>
    <w:rsid w:val="00B156FD"/>
    <w:rsid w:val="00B17794"/>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557E"/>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293"/>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823"/>
    <w:rsid w:val="00DC3067"/>
    <w:rsid w:val="00DC370B"/>
    <w:rsid w:val="00DC5B90"/>
    <w:rsid w:val="00DD00F2"/>
    <w:rsid w:val="00DD00FF"/>
    <w:rsid w:val="00DD0619"/>
    <w:rsid w:val="00DD07FB"/>
    <w:rsid w:val="00DD25C6"/>
    <w:rsid w:val="00DD54B0"/>
    <w:rsid w:val="00DD57EE"/>
    <w:rsid w:val="00DD6BCC"/>
    <w:rsid w:val="00DD766E"/>
    <w:rsid w:val="00DE0A4B"/>
    <w:rsid w:val="00DE0F0E"/>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67F97"/>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3553E5D"/>
    <w:rsid w:val="0443093B"/>
    <w:rsid w:val="1D1F5324"/>
    <w:rsid w:val="1F9C168A"/>
    <w:rsid w:val="2CC83286"/>
    <w:rsid w:val="38146588"/>
    <w:rsid w:val="6AF74DC0"/>
    <w:rsid w:val="6BFD57F0"/>
    <w:rsid w:val="6DCB3CB3"/>
    <w:rsid w:val="70BE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autoRedefine/>
    <w:qFormat/>
    <w:uiPriority w:val="99"/>
    <w:rPr>
      <w:rFonts w:ascii="Times New Roman" w:hAnsi="Times New Roman" w:eastAsia="宋体" w:cs="Times New Roman"/>
      <w:sz w:val="18"/>
      <w:szCs w:val="18"/>
    </w:rPr>
  </w:style>
  <w:style w:type="character" w:customStyle="1" w:styleId="44">
    <w:name w:val="页脚 字符"/>
    <w:link w:val="17"/>
    <w:autoRedefine/>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rPr>
  </w:style>
  <w:style w:type="character" w:customStyle="1" w:styleId="48">
    <w:name w:val="标题 字符"/>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font51"/>
    <w:basedOn w:val="28"/>
    <w:autoRedefine/>
    <w:qFormat/>
    <w:uiPriority w:val="0"/>
    <w:rPr>
      <w:rFonts w:ascii="宋体" w:hAnsi="宋体" w:eastAsia="宋体" w:cs="宋体"/>
      <w:color w:val="000000"/>
      <w:sz w:val="22"/>
      <w:szCs w:val="22"/>
      <w:u w:val="none"/>
    </w:rPr>
  </w:style>
  <w:style w:type="paragraph" w:styleId="230">
    <w:name w:val="List Paragraph"/>
    <w:basedOn w:val="1"/>
    <w:autoRedefine/>
    <w:qFormat/>
    <w:uiPriority w:val="1"/>
    <w:pPr>
      <w:tabs>
        <w:tab w:val="left" w:pos="761"/>
        <w:tab w:val="left" w:pos="762"/>
      </w:tabs>
      <w:autoSpaceDE w:val="0"/>
      <w:autoSpaceDN w:val="0"/>
      <w:adjustRightInd/>
      <w:snapToGrid w:val="0"/>
      <w:spacing w:line="240" w:lineRule="auto"/>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tiff"/><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17D8DEB2DE4106BDB62394D2DB9925"/>
        <w:style w:val=""/>
        <w:category>
          <w:name w:val="常规"/>
          <w:gallery w:val="placeholder"/>
        </w:category>
        <w:types>
          <w:type w:val="bbPlcHdr"/>
        </w:types>
        <w:behaviors>
          <w:behavior w:val="content"/>
        </w:behaviors>
        <w:description w:val=""/>
        <w:guid w:val="{DAFF8871-B87A-4BFD-819A-D1C1C0923C84}"/>
      </w:docPartPr>
      <w:docPartBody>
        <w:p w14:paraId="37BD5710">
          <w:pPr>
            <w:pStyle w:val="5"/>
          </w:pPr>
          <w:r>
            <w:rPr>
              <w:rStyle w:val="4"/>
              <w:rFonts w:hint="eastAsia"/>
            </w:rPr>
            <w:t>单击或点击此处输入文字。</w:t>
          </w:r>
        </w:p>
      </w:docPartBody>
    </w:docPart>
    <w:docPart>
      <w:docPartPr>
        <w:name w:val="A32CDCF1EC2A407BB46E34B1D2314368"/>
        <w:style w:val=""/>
        <w:category>
          <w:name w:val="常规"/>
          <w:gallery w:val="placeholder"/>
        </w:category>
        <w:types>
          <w:type w:val="bbPlcHdr"/>
        </w:types>
        <w:behaviors>
          <w:behavior w:val="content"/>
        </w:behaviors>
        <w:description w:val=""/>
        <w:guid w:val="{281C4994-D9AC-42B4-9C04-E95233E4D92E}"/>
      </w:docPartPr>
      <w:docPartBody>
        <w:p w14:paraId="3393CF3A">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01"/>
    <w:rsid w:val="001021CF"/>
    <w:rsid w:val="002436CC"/>
    <w:rsid w:val="00270FE9"/>
    <w:rsid w:val="00455080"/>
    <w:rsid w:val="00666901"/>
    <w:rsid w:val="00EA3FBD"/>
    <w:rsid w:val="00F83F37"/>
    <w:rsid w:val="00FE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317D8DEB2DE4106BDB62394D2DB99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32CDCF1EC2A407BB46E34B1D23143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B19A5-C1CA-4767-959C-0B6C745D1807}">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11</Pages>
  <Words>5328</Words>
  <Characters>6541</Characters>
  <Lines>116</Lines>
  <Paragraphs>32</Paragraphs>
  <TotalTime>40</TotalTime>
  <ScaleCrop>false</ScaleCrop>
  <LinksUpToDate>false</LinksUpToDate>
  <CharactersWithSpaces>6687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2024-03-21T20:19:00Z</dcterms:created>
  <dc:creator>吴载炎</dc:creator>
  <dc:description>&lt;config cover="true" show_menu="true" version="1.0.0" doctype="SDKXY"&gt;_x000d_
&lt;/config&gt;</dc:description>
  <cp:lastModifiedBy>赵中阳</cp:lastModifiedBy>
  <cp:lastPrinted>2024-03-21T20:19:00Z</cp:lastPrinted>
  <dcterms:modified xsi:type="dcterms:W3CDTF">2024-10-08T03:24:51Z</dcterms:modified>
  <dc:title>国家标准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2BD477558DDA461BA828454A23E99F30_13</vt:lpwstr>
  </property>
</Properties>
</file>