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8"/>
        <w:jc w:val="center"/>
        <w:rPr>
          <w:rFonts w:ascii="黑体" w:hAnsi="黑体" w:eastAsia="黑体"/>
          <w:sz w:val="24"/>
          <w:szCs w:val="24"/>
        </w:rPr>
      </w:pPr>
      <w:bookmarkStart w:id="0" w:name="_Toc464728891"/>
      <w:bookmarkStart w:id="1" w:name="SectionMark4"/>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r>
        <mc:AlternateContent>
          <mc:Choice Requires="wps">
            <w:drawing>
              <wp:anchor distT="0" distB="0" distL="114300" distR="114300" simplePos="0" relativeHeight="251659264" behindDoc="0" locked="1" layoutInCell="1" allowOverlap="1">
                <wp:simplePos x="0" y="0"/>
                <wp:positionH relativeFrom="margin">
                  <wp:posOffset>66675</wp:posOffset>
                </wp:positionH>
                <wp:positionV relativeFrom="margin">
                  <wp:posOffset>1544955</wp:posOffset>
                </wp:positionV>
                <wp:extent cx="6120130" cy="2383790"/>
                <wp:effectExtent l="0" t="0" r="0" b="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pPr>
                              <w:pStyle w:val="75"/>
                              <w:rPr>
                                <w:rFonts w:hAnsi="黑体" w:cs="黑体"/>
                                <w:sz w:val="44"/>
                                <w:szCs w:val="44"/>
                              </w:rPr>
                            </w:pPr>
                            <w:bookmarkStart w:id="79" w:name="_Hlk23687263"/>
                            <w:r>
                              <w:rPr>
                                <w:rFonts w:hint="eastAsia" w:hAnsi="黑体" w:cs="黑体"/>
                                <w:sz w:val="44"/>
                                <w:szCs w:val="44"/>
                              </w:rPr>
                              <w:t>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79"/>
                          <w:p>
                            <w:pPr>
                              <w:pStyle w:val="75"/>
                              <w:rPr>
                                <w:rFonts w:hAnsi="黑体" w:cs="黑体"/>
                                <w:szCs w:val="52"/>
                              </w:rPr>
                            </w:pPr>
                            <w:r>
                              <w:rPr>
                                <w:rFonts w:hint="eastAsia" w:hAnsi="黑体" w:cs="黑体"/>
                                <w:szCs w:val="52"/>
                              </w:rPr>
                              <w:t>平面双轴试验系统校准规范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5.25pt;margin-top:121.65pt;height:187.7pt;width:481.9pt;mso-position-horizontal-relative:margin;mso-position-vertical-relative:margin;z-index:251659264;mso-width-relative:page;mso-height-relative:page;" fillcolor="#FFFFFF" filled="t" stroked="f" coordsize="21600,21600" o:gfxdata="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2vt/d1wAAAAoBAAAPAAAAAAAAAAEAIAAAACIAAABkcnMv&#10;ZG93bnJldi54bWxQSwECFAAUAAAACACHTuJAY/5bKMsBAACSAwAADgAAAAAAAAABACAAAAAmAQAA&#10;ZHJzL2Uyb0RvYy54bWxQSwUGAAAAAAYABgBZAQAAYwUAAAAA&#10;">
                <v:fill on="t" focussize="0,0"/>
                <v:stroke on="f"/>
                <v:imagedata o:title=""/>
                <o:lock v:ext="edit" aspectratio="f"/>
                <v:textbox inset="0mm,0mm,0mm,0mm">
                  <w:txbxContent>
                    <w:p>
                      <w:pPr>
                        <w:pStyle w:val="75"/>
                        <w:rPr>
                          <w:rFonts w:hAnsi="黑体" w:cs="黑体"/>
                          <w:sz w:val="44"/>
                          <w:szCs w:val="44"/>
                        </w:rPr>
                      </w:pPr>
                      <w:bookmarkStart w:id="79" w:name="_Hlk23687263"/>
                      <w:r>
                        <w:rPr>
                          <w:rFonts w:hint="eastAsia" w:hAnsi="黑体" w:cs="黑体"/>
                          <w:sz w:val="44"/>
                          <w:szCs w:val="44"/>
                        </w:rPr>
                        <w:t>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79"/>
                    <w:p>
                      <w:pPr>
                        <w:pStyle w:val="75"/>
                        <w:rPr>
                          <w:rFonts w:hAnsi="黑体" w:cs="黑体"/>
                          <w:szCs w:val="52"/>
                        </w:rPr>
                      </w:pPr>
                      <w:r>
                        <w:rPr>
                          <w:rFonts w:hint="eastAsia" w:hAnsi="黑体" w:cs="黑体"/>
                          <w:szCs w:val="52"/>
                        </w:rPr>
                        <w:t>平面双轴试验系统校准规范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v:textbox>
                <w10:anchorlock/>
              </v:rect>
            </w:pict>
          </mc:Fallback>
        </mc:AlternateContent>
      </w: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r>
        <mc:AlternateContent>
          <mc:Choice Requires="wps">
            <w:drawing>
              <wp:anchor distT="0" distB="0" distL="114300" distR="114300" simplePos="0" relativeHeight="251660288" behindDoc="0" locked="1" layoutInCell="1" allowOverlap="1">
                <wp:simplePos x="0" y="0"/>
                <wp:positionH relativeFrom="margin">
                  <wp:posOffset>153670</wp:posOffset>
                </wp:positionH>
                <wp:positionV relativeFrom="margin">
                  <wp:posOffset>4848860</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pPr>
                              <w:pStyle w:val="67"/>
                              <w:spacing w:before="600"/>
                              <w:rPr>
                                <w:rFonts w:ascii="黑体" w:hAnsi="黑体" w:eastAsia="黑体"/>
                                <w:sz w:val="36"/>
                                <w:szCs w:val="36"/>
                              </w:rPr>
                            </w:pPr>
                            <w:r>
                              <w:rPr>
                                <w:rFonts w:hint="eastAsia" w:ascii="黑体" w:hAnsi="黑体" w:eastAsia="黑体"/>
                                <w:sz w:val="36"/>
                                <w:szCs w:val="36"/>
                                <w:lang w:val="en-US" w:eastAsia="zh-CN"/>
                              </w:rPr>
                              <w:t>预审</w:t>
                            </w:r>
                            <w:r>
                              <w:rPr>
                                <w:rFonts w:hint="eastAsia" w:ascii="黑体" w:hAnsi="黑体" w:eastAsia="黑体"/>
                                <w:sz w:val="36"/>
                                <w:szCs w:val="36"/>
                              </w:rPr>
                              <w:t>稿</w:t>
                            </w:r>
                          </w:p>
                          <w:p>
                            <w:pPr>
                              <w:pStyle w:val="67"/>
                              <w:spacing w:before="600"/>
                              <w:rPr>
                                <w:rFonts w:hint="default" w:ascii="黑体" w:hAnsi="黑体" w:eastAsia="黑体"/>
                                <w:sz w:val="36"/>
                                <w:szCs w:val="36"/>
                                <w:lang w:val="en-US" w:eastAsia="zh-CN"/>
                              </w:rPr>
                            </w:pPr>
                            <w:r>
                              <w:rPr>
                                <w:rFonts w:hint="eastAsia" w:ascii="黑体" w:hAnsi="黑体" w:eastAsia="黑体"/>
                                <w:sz w:val="36"/>
                                <w:szCs w:val="36"/>
                              </w:rPr>
                              <w:t>20</w:t>
                            </w:r>
                            <w:r>
                              <w:rPr>
                                <w:rFonts w:ascii="黑体" w:hAnsi="黑体" w:eastAsia="黑体"/>
                                <w:sz w:val="36"/>
                                <w:szCs w:val="36"/>
                              </w:rPr>
                              <w:t>2</w:t>
                            </w:r>
                            <w:r>
                              <w:rPr>
                                <w:rFonts w:hint="eastAsia" w:ascii="黑体" w:hAnsi="黑体" w:eastAsia="黑体"/>
                                <w:sz w:val="36"/>
                                <w:szCs w:val="36"/>
                              </w:rPr>
                              <w:t>4-0</w:t>
                            </w:r>
                            <w:r>
                              <w:rPr>
                                <w:rFonts w:hint="eastAsia" w:ascii="黑体" w:hAnsi="黑体" w:eastAsia="黑体"/>
                                <w:sz w:val="36"/>
                                <w:szCs w:val="36"/>
                                <w:lang w:val="en-US" w:eastAsia="zh-CN"/>
                              </w:rPr>
                              <w:t>9</w:t>
                            </w:r>
                            <w:r>
                              <w:rPr>
                                <w:rFonts w:hint="eastAsia" w:ascii="黑体" w:hAnsi="黑体" w:eastAsia="黑体"/>
                                <w:sz w:val="36"/>
                                <w:szCs w:val="36"/>
                              </w:rPr>
                              <w:t>-</w:t>
                            </w:r>
                            <w:r>
                              <w:rPr>
                                <w:rFonts w:hint="eastAsia" w:ascii="黑体" w:hAnsi="黑体" w:eastAsia="黑体"/>
                                <w:sz w:val="36"/>
                                <w:szCs w:val="36"/>
                                <w:lang w:val="en-US" w:eastAsia="zh-CN"/>
                              </w:rPr>
                              <w:t>19</w:t>
                            </w:r>
                          </w:p>
                        </w:txbxContent>
                      </wps:txbx>
                      <wps:bodyPr lIns="0" tIns="0" rIns="0" bIns="0" upright="1"/>
                    </wps:wsp>
                  </a:graphicData>
                </a:graphic>
              </wp:anchor>
            </w:drawing>
          </mc:Choice>
          <mc:Fallback>
            <w:pict>
              <v:rect id="文本框 5" o:spid="_x0000_s1026" o:spt="1" style="position:absolute;left:0pt;margin-left:12.1pt;margin-top:381.8pt;height:140.1pt;width:470pt;mso-position-horizontal-relative:margin;mso-position-vertical-relative:margin;z-index:251660288;mso-width-relative:page;mso-height-relative:page;" fillcolor="#FFFFFF" filled="t" stroked="f" coordsize="21600,21600" o:gfxdata="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QgCV/1wAAAAsBAAAPAAAAAAAAAAEAIAAAACIAAABkcnMv&#10;ZG93bnJldi54bWxQSwECFAAUAAAACACHTuJAMTvMIMsBAACSAwAADgAAAAAAAAABACAAAAAmAQAA&#10;ZHJzL2Uyb0RvYy54bWxQSwUGAAAAAAYABgBZAQAAYwUAAAAA&#10;">
                <v:fill on="t" focussize="0,0"/>
                <v:stroke on="f"/>
                <v:imagedata o:title=""/>
                <o:lock v:ext="edit" aspectratio="f"/>
                <v:textbox inset="0mm,0mm,0mm,0mm">
                  <w:txbxContent>
                    <w:p>
                      <w:pPr>
                        <w:pStyle w:val="67"/>
                        <w:spacing w:before="600"/>
                        <w:rPr>
                          <w:rFonts w:ascii="黑体" w:hAnsi="黑体" w:eastAsia="黑体"/>
                          <w:sz w:val="36"/>
                          <w:szCs w:val="36"/>
                        </w:rPr>
                      </w:pPr>
                      <w:r>
                        <w:rPr>
                          <w:rFonts w:hint="eastAsia" w:ascii="黑体" w:hAnsi="黑体" w:eastAsia="黑体"/>
                          <w:sz w:val="36"/>
                          <w:szCs w:val="36"/>
                          <w:lang w:val="en-US" w:eastAsia="zh-CN"/>
                        </w:rPr>
                        <w:t>预审</w:t>
                      </w:r>
                      <w:r>
                        <w:rPr>
                          <w:rFonts w:hint="eastAsia" w:ascii="黑体" w:hAnsi="黑体" w:eastAsia="黑体"/>
                          <w:sz w:val="36"/>
                          <w:szCs w:val="36"/>
                        </w:rPr>
                        <w:t>稿</w:t>
                      </w:r>
                    </w:p>
                    <w:p>
                      <w:pPr>
                        <w:pStyle w:val="67"/>
                        <w:spacing w:before="600"/>
                        <w:rPr>
                          <w:rFonts w:hint="default" w:ascii="黑体" w:hAnsi="黑体" w:eastAsia="黑体"/>
                          <w:sz w:val="36"/>
                          <w:szCs w:val="36"/>
                          <w:lang w:val="en-US" w:eastAsia="zh-CN"/>
                        </w:rPr>
                      </w:pPr>
                      <w:r>
                        <w:rPr>
                          <w:rFonts w:hint="eastAsia" w:ascii="黑体" w:hAnsi="黑体" w:eastAsia="黑体"/>
                          <w:sz w:val="36"/>
                          <w:szCs w:val="36"/>
                        </w:rPr>
                        <w:t>20</w:t>
                      </w:r>
                      <w:r>
                        <w:rPr>
                          <w:rFonts w:ascii="黑体" w:hAnsi="黑体" w:eastAsia="黑体"/>
                          <w:sz w:val="36"/>
                          <w:szCs w:val="36"/>
                        </w:rPr>
                        <w:t>2</w:t>
                      </w:r>
                      <w:r>
                        <w:rPr>
                          <w:rFonts w:hint="eastAsia" w:ascii="黑体" w:hAnsi="黑体" w:eastAsia="黑体"/>
                          <w:sz w:val="36"/>
                          <w:szCs w:val="36"/>
                        </w:rPr>
                        <w:t>4-0</w:t>
                      </w:r>
                      <w:r>
                        <w:rPr>
                          <w:rFonts w:hint="eastAsia" w:ascii="黑体" w:hAnsi="黑体" w:eastAsia="黑体"/>
                          <w:sz w:val="36"/>
                          <w:szCs w:val="36"/>
                          <w:lang w:val="en-US" w:eastAsia="zh-CN"/>
                        </w:rPr>
                        <w:t>9</w:t>
                      </w:r>
                      <w:r>
                        <w:rPr>
                          <w:rFonts w:hint="eastAsia" w:ascii="黑体" w:hAnsi="黑体" w:eastAsia="黑体"/>
                          <w:sz w:val="36"/>
                          <w:szCs w:val="36"/>
                        </w:rPr>
                        <w:t>-</w:t>
                      </w:r>
                      <w:r>
                        <w:rPr>
                          <w:rFonts w:hint="eastAsia" w:ascii="黑体" w:hAnsi="黑体" w:eastAsia="黑体"/>
                          <w:sz w:val="36"/>
                          <w:szCs w:val="36"/>
                          <w:lang w:val="en-US" w:eastAsia="zh-CN"/>
                        </w:rPr>
                        <w:t>19</w:t>
                      </w:r>
                    </w:p>
                  </w:txbxContent>
                </v:textbox>
                <w10:anchorlock/>
              </v:rect>
            </w:pict>
          </mc:Fallback>
        </mc:AlternateContent>
      </w: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r>
        <mc:AlternateContent>
          <mc:Choice Requires="wps">
            <w:drawing>
              <wp:anchor distT="0" distB="0" distL="114300" distR="114300" simplePos="0" relativeHeight="251661312" behindDoc="0" locked="1" layoutInCell="1" allowOverlap="1">
                <wp:simplePos x="0" y="0"/>
                <wp:positionH relativeFrom="margin">
                  <wp:posOffset>144145</wp:posOffset>
                </wp:positionH>
                <wp:positionV relativeFrom="margin">
                  <wp:posOffset>7559040</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pPr>
                              <w:pStyle w:val="75"/>
                              <w:rPr>
                                <w:rFonts w:ascii="宋体" w:hAnsi="宋体" w:eastAsia="宋体" w:cs="宋体"/>
                                <w:spacing w:val="58"/>
                                <w:w w:val="120"/>
                                <w:kern w:val="2"/>
                                <w:sz w:val="28"/>
                                <w:szCs w:val="28"/>
                              </w:rPr>
                            </w:pPr>
                          </w:p>
                          <w:p>
                            <w:pPr>
                              <w:jc w:val="center"/>
                              <w:rPr>
                                <w:rFonts w:ascii="宋体" w:hAnsi="宋体" w:cs="宋体"/>
                                <w:spacing w:val="58"/>
                                <w:w w:val="120"/>
                                <w:sz w:val="28"/>
                                <w:szCs w:val="28"/>
                              </w:rPr>
                            </w:pPr>
                            <w:r>
                              <w:rPr>
                                <w:rFonts w:hint="eastAsia" w:ascii="宋体" w:hAnsi="宋体" w:cs="宋体"/>
                                <w:spacing w:val="58"/>
                                <w:w w:val="120"/>
                                <w:sz w:val="28"/>
                                <w:szCs w:val="28"/>
                              </w:rPr>
                              <w:t>平面双轴试验系统校准规范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4"/>
                              <w:rPr>
                                <w:rFonts w:ascii="宋体" w:hAnsi="宋体" w:eastAsia="宋体" w:cs="宋体"/>
                                <w:sz w:val="28"/>
                                <w:szCs w:val="28"/>
                              </w:rPr>
                            </w:pPr>
                            <w:r>
                              <w:rPr>
                                <w:rFonts w:hint="eastAsia" w:ascii="宋体" w:hAnsi="宋体" w:eastAsia="宋体" w:cs="宋体"/>
                                <w:sz w:val="28"/>
                                <w:szCs w:val="28"/>
                              </w:rPr>
                              <w:t>主编单位：西安汉唐分析检测有限公司</w:t>
                            </w:r>
                          </w:p>
                        </w:txbxContent>
                      </wps:txbx>
                      <wps:bodyPr lIns="0" tIns="0" rIns="0" bIns="0" upright="1"/>
                    </wps:wsp>
                  </a:graphicData>
                </a:graphic>
              </wp:anchor>
            </w:drawing>
          </mc:Choice>
          <mc:Fallback>
            <w:pict>
              <v:rect id="fmFrame7" o:spid="_x0000_s1026" o:spt="1" style="position:absolute;left:0pt;margin-left:11.35pt;margin-top:595.2pt;height:121.6pt;width:481.9pt;mso-position-horizontal-relative:margin;mso-position-vertical-relative:margin;z-index:251661312;mso-width-relative:page;mso-height-relative:page;" fillcolor="#FFFFFF" filled="t" stroked="f" coordsize="21600,21600" o:gfxdata="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H+TSX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pPr>
                        <w:pStyle w:val="75"/>
                        <w:rPr>
                          <w:rFonts w:ascii="宋体" w:hAnsi="宋体" w:eastAsia="宋体" w:cs="宋体"/>
                          <w:spacing w:val="58"/>
                          <w:w w:val="120"/>
                          <w:kern w:val="2"/>
                          <w:sz w:val="28"/>
                          <w:szCs w:val="28"/>
                        </w:rPr>
                      </w:pPr>
                    </w:p>
                    <w:p>
                      <w:pPr>
                        <w:jc w:val="center"/>
                        <w:rPr>
                          <w:rFonts w:ascii="宋体" w:hAnsi="宋体" w:cs="宋体"/>
                          <w:spacing w:val="58"/>
                          <w:w w:val="120"/>
                          <w:sz w:val="28"/>
                          <w:szCs w:val="28"/>
                        </w:rPr>
                      </w:pPr>
                      <w:r>
                        <w:rPr>
                          <w:rFonts w:hint="eastAsia" w:ascii="宋体" w:hAnsi="宋体" w:cs="宋体"/>
                          <w:spacing w:val="58"/>
                          <w:w w:val="120"/>
                          <w:sz w:val="28"/>
                          <w:szCs w:val="28"/>
                        </w:rPr>
                        <w:t>平面双轴试验系统校准规范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4"/>
                        <w:rPr>
                          <w:rFonts w:ascii="宋体" w:hAnsi="宋体" w:eastAsia="宋体" w:cs="宋体"/>
                          <w:sz w:val="28"/>
                          <w:szCs w:val="28"/>
                        </w:rPr>
                      </w:pPr>
                      <w:r>
                        <w:rPr>
                          <w:rFonts w:hint="eastAsia" w:ascii="宋体" w:hAnsi="宋体" w:eastAsia="宋体" w:cs="宋体"/>
                          <w:sz w:val="28"/>
                          <w:szCs w:val="28"/>
                        </w:rPr>
                        <w:t>主编单位：西安汉唐分析检测有限公司</w:t>
                      </w:r>
                    </w:p>
                  </w:txbxContent>
                </v:textbox>
                <w10:anchorlock/>
              </v:rect>
            </w:pict>
          </mc:Fallback>
        </mc:AlternateContent>
      </w: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2"/>
        <w:spacing w:before="156" w:after="156"/>
        <w:rPr>
          <w:b w:val="0"/>
          <w:bCs w:val="0"/>
        </w:rPr>
      </w:pPr>
      <w:r>
        <w:rPr>
          <w:rFonts w:hint="eastAsia"/>
          <w:b w:val="0"/>
          <w:bCs w:val="0"/>
        </w:rPr>
        <w:t>一、工作简况</w:t>
      </w:r>
      <w:bookmarkEnd w:id="0"/>
      <w:bookmarkStart w:id="2" w:name="_Toc464728896"/>
    </w:p>
    <w:p>
      <w:pPr>
        <w:pStyle w:val="3"/>
        <w:spacing w:before="156" w:after="156"/>
        <w:rPr>
          <w:b w:val="0"/>
          <w:bCs w:val="0"/>
        </w:rPr>
      </w:pPr>
      <w:r>
        <w:rPr>
          <w:rFonts w:hint="eastAsia"/>
          <w:b w:val="0"/>
          <w:bCs w:val="0"/>
        </w:rPr>
        <w:t>1.立项目的</w:t>
      </w:r>
    </w:p>
    <w:p>
      <w:pPr>
        <w:spacing w:line="400" w:lineRule="exact"/>
        <w:ind w:firstLine="555"/>
        <w:rPr>
          <w:rFonts w:hAnsi="宋体"/>
          <w:szCs w:val="21"/>
        </w:rPr>
      </w:pPr>
      <w:r>
        <w:rPr>
          <w:rFonts w:hint="eastAsia" w:hAnsi="宋体"/>
          <w:szCs w:val="21"/>
        </w:rPr>
        <w:t>平面双轴试验系统是指采用电液伺服的激振方式，通过控制伺服作动系统，可对材料各同向性和异向性进行分析，实现双轴载荷加载的力学性能测试设备。平面双轴试验系统广泛应金属材料双轴载荷测试、非金属材料双轴载荷测试。平面双轴试验系统</w:t>
      </w:r>
      <w:r>
        <w:rPr>
          <w:rFonts w:hAnsi="宋体"/>
          <w:szCs w:val="21"/>
        </w:rPr>
        <w:t>的</w:t>
      </w:r>
      <w:r>
        <w:rPr>
          <w:rFonts w:hint="eastAsia" w:hAnsi="宋体"/>
          <w:szCs w:val="21"/>
        </w:rPr>
        <w:t>性能</w:t>
      </w:r>
      <w:r>
        <w:rPr>
          <w:rFonts w:hAnsi="宋体"/>
          <w:szCs w:val="21"/>
        </w:rPr>
        <w:t>直接影响测量结果的准确性，为</w:t>
      </w:r>
      <w:r>
        <w:rPr>
          <w:rFonts w:hint="eastAsia" w:hAnsi="宋体"/>
          <w:szCs w:val="21"/>
        </w:rPr>
        <w:t>保证平面双轴试验系统测试结果的</w:t>
      </w:r>
      <w:r>
        <w:rPr>
          <w:rFonts w:hAnsi="宋体"/>
          <w:szCs w:val="21"/>
        </w:rPr>
        <w:t>准确可靠，需要对其进行</w:t>
      </w:r>
      <w:r>
        <w:rPr>
          <w:rFonts w:hint="eastAsia" w:hAnsi="宋体"/>
          <w:szCs w:val="21"/>
        </w:rPr>
        <w:t>校准</w:t>
      </w:r>
      <w:r>
        <w:rPr>
          <w:rFonts w:hAnsi="宋体"/>
          <w:szCs w:val="21"/>
        </w:rPr>
        <w:t>，保证其量值准确、可靠、有源可溯。</w:t>
      </w:r>
    </w:p>
    <w:p>
      <w:pPr>
        <w:pStyle w:val="21"/>
      </w:pPr>
      <w:r>
        <w:t>本规范重点解决了</w:t>
      </w:r>
      <w:r>
        <w:rPr>
          <w:rFonts w:hint="eastAsia"/>
        </w:rPr>
        <w:t>平面双轴试验系统</w:t>
      </w:r>
      <w:r>
        <w:t>校准方法不统一、校准方法差异化、计量标准技术指标不明确、校准点的选择不统一、</w:t>
      </w:r>
      <w:r>
        <w:rPr>
          <w:rFonts w:hint="eastAsia"/>
        </w:rPr>
        <w:t>平面双轴试验系统</w:t>
      </w:r>
      <w:r>
        <w:t>的校准方法未规定等问题，弥补</w:t>
      </w:r>
      <w:r>
        <w:rPr>
          <w:rFonts w:hint="eastAsia"/>
        </w:rPr>
        <w:t>平面双轴试验系统</w:t>
      </w:r>
      <w:r>
        <w:t>校准的空白，为</w:t>
      </w:r>
      <w:r>
        <w:rPr>
          <w:rFonts w:hint="eastAsia"/>
        </w:rPr>
        <w:t>平面双轴试验系统进行</w:t>
      </w:r>
      <w:r>
        <w:t>量值传递提供</w:t>
      </w:r>
      <w:r>
        <w:rPr>
          <w:rFonts w:hint="eastAsia"/>
        </w:rPr>
        <w:t>了有效</w:t>
      </w:r>
      <w:r>
        <w:t>保证，</w:t>
      </w:r>
      <w:r>
        <w:rPr>
          <w:rFonts w:hint="eastAsia"/>
        </w:rPr>
        <w:t>进一步</w:t>
      </w:r>
      <w:r>
        <w:t>提高</w:t>
      </w:r>
      <w:r>
        <w:rPr>
          <w:rFonts w:hint="eastAsia"/>
        </w:rPr>
        <w:t>了平面双轴试验系统</w:t>
      </w:r>
      <w:r>
        <w:t>的准确性。</w:t>
      </w:r>
    </w:p>
    <w:p>
      <w:pPr>
        <w:pStyle w:val="3"/>
        <w:spacing w:before="156" w:after="156"/>
        <w:rPr>
          <w:b w:val="0"/>
          <w:bCs w:val="0"/>
        </w:rPr>
      </w:pPr>
      <w:r>
        <w:rPr>
          <w:rFonts w:hint="eastAsia"/>
          <w:b w:val="0"/>
          <w:bCs w:val="0"/>
        </w:rPr>
        <w:t>2.任务来源</w:t>
      </w:r>
      <w:bookmarkEnd w:id="2"/>
    </w:p>
    <w:p>
      <w:pPr>
        <w:pStyle w:val="35"/>
        <w:spacing w:after="0" w:line="400" w:lineRule="exact"/>
        <w:ind w:firstLine="420" w:firstLineChars="200"/>
        <w:rPr>
          <w:szCs w:val="21"/>
        </w:rPr>
      </w:pPr>
      <w:r>
        <w:rPr>
          <w:rFonts w:hint="eastAsia" w:hAnsi="宋体"/>
          <w:szCs w:val="21"/>
        </w:rPr>
        <w:t>根据工业和信息化部《关于印发2023年行业计量技术规范制修订计划的通知》</w:t>
      </w:r>
      <w:r>
        <w:rPr>
          <w:bCs/>
        </w:rPr>
        <w:t>（工信厅科函［2023］476号）</w:t>
      </w:r>
      <w:r>
        <w:rPr>
          <w:rFonts w:hint="eastAsia" w:hAnsi="宋体"/>
          <w:szCs w:val="21"/>
        </w:rPr>
        <w:t>文的要求，行业计量技术规范《</w:t>
      </w:r>
      <w:r>
        <w:rPr>
          <w:rFonts w:hint="eastAsia"/>
        </w:rPr>
        <w:t>平面双轴试验系统</w:t>
      </w:r>
      <w:r>
        <w:rPr>
          <w:rFonts w:hint="eastAsia" w:hAnsi="宋体"/>
          <w:szCs w:val="21"/>
        </w:rPr>
        <w:t>校准规范》由</w:t>
      </w:r>
      <w:r>
        <w:t>西安汉唐分析检测有限公司</w:t>
      </w:r>
      <w:r>
        <w:rPr>
          <w:rFonts w:hint="eastAsia" w:hAnsi="宋体"/>
          <w:szCs w:val="21"/>
        </w:rPr>
        <w:t>负责起草。该项目计划编号为</w:t>
      </w:r>
      <w:r>
        <w:rPr>
          <w:rFonts w:hAnsi="宋体"/>
          <w:szCs w:val="21"/>
        </w:rPr>
        <w:t>JJF</w:t>
      </w:r>
      <w:r>
        <w:rPr>
          <w:rFonts w:hint="eastAsia" w:hAnsi="宋体"/>
          <w:szCs w:val="21"/>
        </w:rPr>
        <w:t>Z（有色金属）018-2</w:t>
      </w:r>
      <w:r>
        <w:rPr>
          <w:rFonts w:hAnsi="宋体"/>
          <w:szCs w:val="21"/>
        </w:rPr>
        <w:t>02</w:t>
      </w:r>
      <w:r>
        <w:rPr>
          <w:rFonts w:hint="eastAsia" w:hAnsi="宋体"/>
          <w:szCs w:val="21"/>
        </w:rPr>
        <w:t>3，</w:t>
      </w:r>
      <w:r>
        <w:rPr>
          <w:rFonts w:hint="eastAsia"/>
          <w:szCs w:val="21"/>
        </w:rPr>
        <w:t>按计划要求，本</w:t>
      </w:r>
      <w:r>
        <w:rPr>
          <w:rFonts w:hint="eastAsia"/>
        </w:rPr>
        <w:t>计量</w:t>
      </w:r>
      <w:r>
        <w:t>规范</w:t>
      </w:r>
      <w:r>
        <w:rPr>
          <w:rFonts w:hint="eastAsia"/>
          <w:szCs w:val="21"/>
        </w:rPr>
        <w:t>应于</w:t>
      </w:r>
      <w:r>
        <w:rPr>
          <w:szCs w:val="21"/>
        </w:rPr>
        <w:t>202</w:t>
      </w:r>
      <w:r>
        <w:rPr>
          <w:rFonts w:hint="eastAsia"/>
          <w:szCs w:val="21"/>
        </w:rPr>
        <w:t>5年完成制定</w:t>
      </w:r>
      <w:r>
        <w:rPr>
          <w:szCs w:val="21"/>
        </w:rPr>
        <w:t>。</w:t>
      </w:r>
    </w:p>
    <w:p>
      <w:pPr>
        <w:pStyle w:val="3"/>
        <w:spacing w:before="156" w:after="156"/>
        <w:rPr>
          <w:b w:val="0"/>
          <w:bCs w:val="0"/>
        </w:rPr>
      </w:pPr>
      <w:r>
        <w:rPr>
          <w:rFonts w:hint="eastAsia"/>
          <w:b w:val="0"/>
          <w:bCs w:val="0"/>
        </w:rPr>
        <w:t>3.项目编制组单位简况</w:t>
      </w:r>
    </w:p>
    <w:p>
      <w:pPr>
        <w:pStyle w:val="4"/>
        <w:spacing w:before="156" w:after="156"/>
        <w:rPr>
          <w:b w:val="0"/>
          <w:bCs w:val="0"/>
        </w:rPr>
      </w:pPr>
      <w:r>
        <w:rPr>
          <w:rFonts w:hint="eastAsia"/>
          <w:b w:val="0"/>
          <w:bCs w:val="0"/>
        </w:rPr>
        <w:t>3.1编制组成员单位</w:t>
      </w:r>
    </w:p>
    <w:p>
      <w:pPr>
        <w:widowControl/>
        <w:autoSpaceDE w:val="0"/>
        <w:autoSpaceDN w:val="0"/>
        <w:spacing w:line="400" w:lineRule="exact"/>
        <w:ind w:firstLine="420" w:firstLineChars="200"/>
        <w:rPr>
          <w:szCs w:val="21"/>
        </w:rPr>
      </w:pPr>
      <w:bookmarkStart w:id="3" w:name="_Toc464728900"/>
      <w:bookmarkStart w:id="4" w:name="_Toc462884344"/>
      <w:r>
        <w:rPr>
          <w:rFonts w:hint="eastAsia"/>
          <w:szCs w:val="21"/>
        </w:rPr>
        <w:t>本规范的编制组单位为：中国船舶集团有限公司第七二五研究所、</w:t>
      </w:r>
      <w:r>
        <w:t>新疆湘润新材料科技有限公司</w:t>
      </w:r>
      <w:r>
        <w:rPr>
          <w:rFonts w:hint="eastAsia"/>
          <w:lang w:eastAsia="zh-CN"/>
        </w:rPr>
        <w:t>、西南铝业（集团）有限责任公司、国标（北京）检验认证有限公司</w:t>
      </w:r>
      <w:r>
        <w:rPr>
          <w:rFonts w:hint="eastAsia"/>
          <w:szCs w:val="21"/>
        </w:rPr>
        <w:t>。</w:t>
      </w:r>
    </w:p>
    <w:p>
      <w:pPr>
        <w:pStyle w:val="4"/>
        <w:spacing w:before="156" w:after="156"/>
        <w:rPr>
          <w:b w:val="0"/>
          <w:bCs w:val="0"/>
        </w:rPr>
      </w:pPr>
      <w:r>
        <w:rPr>
          <w:rFonts w:hint="eastAsia"/>
          <w:b w:val="0"/>
          <w:bCs w:val="0"/>
        </w:rPr>
        <w:t>3.2 主编单位简介</w:t>
      </w:r>
    </w:p>
    <w:bookmarkEnd w:id="3"/>
    <w:bookmarkEnd w:id="4"/>
    <w:p>
      <w:pPr>
        <w:spacing w:line="400" w:lineRule="exact"/>
        <w:ind w:firstLine="420" w:firstLineChars="200"/>
        <w:contextualSpacing/>
        <w:jc w:val="left"/>
        <w:rPr>
          <w:szCs w:val="21"/>
        </w:rPr>
      </w:pPr>
      <w:r>
        <w:rPr>
          <w:rFonts w:hint="eastAsia"/>
          <w:szCs w:val="21"/>
        </w:rP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w:t>
      </w:r>
    </w:p>
    <w:p>
      <w:pPr>
        <w:spacing w:line="400" w:lineRule="exact"/>
        <w:ind w:firstLine="420" w:firstLineChars="200"/>
        <w:contextualSpacing/>
        <w:jc w:val="left"/>
        <w:rPr>
          <w:szCs w:val="21"/>
        </w:rPr>
      </w:pPr>
      <w:r>
        <w:rPr>
          <w:rFonts w:hint="eastAsia"/>
          <w:szCs w:val="21"/>
        </w:rPr>
        <w:t>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近10年起草有色金属国家/行业规范共80余项、发表论文120余篇、授权专利30余项。先后荣获中国有色金属工业一等奖、二等奖20余次。</w:t>
      </w:r>
    </w:p>
    <w:p>
      <w:pPr>
        <w:spacing w:line="400" w:lineRule="exact"/>
        <w:ind w:firstLine="420" w:firstLineChars="200"/>
        <w:contextualSpacing/>
        <w:jc w:val="left"/>
        <w:rPr>
          <w:szCs w:val="21"/>
        </w:rPr>
      </w:pPr>
      <w:r>
        <w:rPr>
          <w:rFonts w:hint="eastAsia"/>
          <w:szCs w:val="21"/>
        </w:rPr>
        <w:t>该单位主要负责本规范的起草工作，成立编制组并根据委员会的工作安排组织编制组成员单位开展相关校准工作，组织各单位对规范的《征求意见稿》进行认真的讨论，并就提出的意见和建议进行反馈和修改，在编制组中发挥了主要带头作用。</w:t>
      </w:r>
    </w:p>
    <w:p>
      <w:pPr>
        <w:pStyle w:val="60"/>
        <w:numPr>
          <w:ilvl w:val="0"/>
          <w:numId w:val="0"/>
        </w:numPr>
        <w:spacing w:before="156" w:beforeLines="50" w:after="156" w:afterLines="50"/>
        <w:rPr>
          <w:color w:val="auto"/>
        </w:rPr>
      </w:pPr>
      <w:bookmarkStart w:id="5" w:name="_Toc464728901"/>
      <w:bookmarkStart w:id="6" w:name="_Toc462884345"/>
      <w:r>
        <w:rPr>
          <w:rFonts w:hint="eastAsia"/>
          <w:color w:val="auto"/>
        </w:rPr>
        <w:t>3.3成员单位简介</w:t>
      </w:r>
      <w:bookmarkEnd w:id="5"/>
      <w:bookmarkEnd w:id="6"/>
    </w:p>
    <w:p>
      <w:pPr>
        <w:pStyle w:val="59"/>
        <w:numPr>
          <w:ilvl w:val="0"/>
          <w:numId w:val="0"/>
        </w:numPr>
        <w:spacing w:before="156" w:beforeLines="50" w:after="156" w:afterLines="50"/>
        <w:contextualSpacing/>
      </w:pPr>
      <w:r>
        <w:rPr>
          <w:rFonts w:hint="eastAsia"/>
        </w:rPr>
        <w:t>3.3.1</w:t>
      </w:r>
      <w:r>
        <w:rPr>
          <w:rFonts w:hint="eastAsia" w:ascii="Times New Roman"/>
        </w:rPr>
        <w:t xml:space="preserve">  </w:t>
      </w:r>
      <w:r>
        <w:t>中国船舶集团有限公司第七二五研究所</w:t>
      </w:r>
    </w:p>
    <w:p>
      <w:pPr>
        <w:spacing w:line="400" w:lineRule="exact"/>
        <w:ind w:firstLine="420" w:firstLineChars="200"/>
        <w:contextualSpacing/>
        <w:jc w:val="left"/>
        <w:rPr>
          <w:szCs w:val="21"/>
        </w:rPr>
      </w:pPr>
      <w:r>
        <w:rPr>
          <w:rFonts w:hint="eastAsia"/>
          <w:szCs w:val="21"/>
        </w:rPr>
        <w:t>中国船舶集团有限公司第七二五研究所（以下简称“七二五所”）成立于1961年，隶属中国船舶集团有限公司，专业从事舰船材料与工艺及应用性研究。科研方面：涉及船体结构材料、有色金属材料、非金属材料、腐蚀与防护技术、特种材料、焊接工艺、自然环境试验等多个重点领域。目前,七二五所拥有海洋腐蚀与防护国防科技重点实验室等8个国家级创新平台、4个海洋环境试验站、4个国家级检测认证中心、25个省部级及6个市级创新平台;并拥有材料学和材料加工工程硕士学位授权点、材料学博士学位授权点和博士后工作站。</w:t>
      </w:r>
    </w:p>
    <w:p>
      <w:pPr>
        <w:spacing w:line="400" w:lineRule="exact"/>
        <w:ind w:firstLine="420" w:firstLineChars="200"/>
        <w:contextualSpacing/>
        <w:jc w:val="left"/>
        <w:rPr>
          <w:szCs w:val="21"/>
        </w:rPr>
      </w:pPr>
      <w:r>
        <w:rPr>
          <w:rFonts w:hint="eastAsia"/>
          <w:szCs w:val="21"/>
        </w:rPr>
        <w:t>科技产业方面：七二五所秉承“精诚团结、求实创新、志存高远、追求卓越”的精神，致力于构建“国内领先、国际一流的集科研和多个高技术产业为一体的高科技产业集团”，持续推进科技成果转化和高新技术产业化，初步建成了领先的高科技产业集团。主要产品有：金属波纹管膨胀节、特种材料压力容器、管道和桥梁支座、特种材料铸锻件、特种焊接材料、金属爆炸复合材料、钛合金构件和铸件、海绵钛、防腐防污产品、非金属材料制品、风电叶片、船舶压载水系统、海水淡化系统等。</w:t>
      </w:r>
    </w:p>
    <w:p>
      <w:pPr>
        <w:spacing w:line="400" w:lineRule="exact"/>
        <w:ind w:firstLine="420" w:firstLineChars="200"/>
        <w:contextualSpacing/>
        <w:jc w:val="left"/>
        <w:rPr>
          <w:szCs w:val="21"/>
        </w:rPr>
      </w:pPr>
      <w:r>
        <w:rPr>
          <w:rFonts w:hint="eastAsia"/>
          <w:szCs w:val="21"/>
        </w:rPr>
        <w:t>该单位积极参与编制组的各项工作会议，开展相关的资料收集工作，在编制组中发挥了主要作用。</w:t>
      </w:r>
    </w:p>
    <w:p>
      <w:pPr>
        <w:pStyle w:val="59"/>
        <w:numPr>
          <w:ilvl w:val="0"/>
          <w:numId w:val="0"/>
        </w:numPr>
        <w:spacing w:before="156" w:beforeLines="50" w:after="156" w:afterLines="50"/>
        <w:contextualSpacing/>
      </w:pPr>
      <w:r>
        <w:rPr>
          <w:rFonts w:hint="eastAsia"/>
        </w:rPr>
        <w:t>3.3.2</w:t>
      </w:r>
      <w:r>
        <w:rPr>
          <w:rFonts w:hint="eastAsia" w:ascii="Times New Roman"/>
        </w:rPr>
        <w:t xml:space="preserve">  </w:t>
      </w:r>
      <w:r>
        <w:t>新疆湘润新材料科技有限公司</w:t>
      </w:r>
    </w:p>
    <w:p>
      <w:pPr>
        <w:spacing w:line="400" w:lineRule="exact"/>
        <w:ind w:firstLine="420" w:firstLineChars="200"/>
        <w:contextualSpacing/>
        <w:jc w:val="left"/>
        <w:rPr>
          <w:szCs w:val="21"/>
        </w:rPr>
      </w:pPr>
      <w:bookmarkStart w:id="7" w:name="_Toc464728903"/>
      <w:bookmarkStart w:id="8" w:name="_Toc462884347"/>
      <w:r>
        <w:rPr>
          <w:rFonts w:hint="eastAsia"/>
          <w:szCs w:val="21"/>
        </w:rPr>
        <w:t>新疆湘润新材料科技有限公司（以下简称公司）成立于2016年7月8日，主要从事金属材料及制品的生产、销售、技术咨询、技术服务；货物与技术的进出口业务；经过多年专业水平和成熟技术积累，目前在有色金属行业具有很大影响力，为湖南五江轻化集团在西北地区投资设立的集研发、生产于一体的大型钛及钛合金新材料高新技术产业公司，拥有国内一流、国际先进的钛及钛合金生产装置、检测技术和一流的人才队伍。公司项目总投资76亿，主要产品包括海绵钛、钛及钛合金铸锭、带材、板材、锻材、棒材、复合材等，是国内首家“钛矿-海绵钛-钛加工材-钛制品”的钛全产业链公司。公司将建成年产5万吨钛材加工基地，目前一期已实现2.5万吨海绵钛，1万吨钛加工材，2万吨钛复合带材的生产能力。</w:t>
      </w:r>
    </w:p>
    <w:p>
      <w:pPr>
        <w:spacing w:line="400" w:lineRule="exact"/>
        <w:ind w:firstLine="420" w:firstLineChars="200"/>
        <w:contextualSpacing/>
        <w:jc w:val="left"/>
        <w:rPr>
          <w:rFonts w:hint="eastAsia"/>
          <w:szCs w:val="21"/>
        </w:rPr>
      </w:pPr>
      <w:r>
        <w:rPr>
          <w:rFonts w:hint="eastAsia"/>
          <w:szCs w:val="21"/>
        </w:rPr>
        <w:t>该单位积极参与编制组的各项工作会议，开展相关的资料收集工作，在编制组中发挥了主要作用。</w:t>
      </w:r>
    </w:p>
    <w:p>
      <w:pPr>
        <w:pStyle w:val="59"/>
        <w:numPr>
          <w:ilvl w:val="0"/>
          <w:numId w:val="0"/>
        </w:numPr>
        <w:spacing w:before="156" w:beforeLines="50" w:after="156" w:afterLines="50"/>
        <w:contextualSpacing/>
        <w:rPr>
          <w:rFonts w:hint="eastAsia"/>
          <w:color w:val="auto"/>
          <w:lang w:eastAsia="zh-CN"/>
        </w:rPr>
      </w:pPr>
      <w:r>
        <w:rPr>
          <w:rFonts w:hint="eastAsia"/>
          <w:color w:val="auto"/>
        </w:rPr>
        <w:t>3.3.</w:t>
      </w:r>
      <w:r>
        <w:rPr>
          <w:rFonts w:hint="eastAsia"/>
          <w:color w:val="auto"/>
          <w:lang w:val="en-US" w:eastAsia="zh-CN"/>
        </w:rPr>
        <w:t>3</w:t>
      </w:r>
      <w:r>
        <w:rPr>
          <w:rFonts w:hint="eastAsia" w:ascii="Times New Roman"/>
          <w:color w:val="auto"/>
        </w:rPr>
        <w:t xml:space="preserve">  </w:t>
      </w:r>
      <w:r>
        <w:rPr>
          <w:rFonts w:hint="eastAsia"/>
          <w:color w:val="auto"/>
          <w:lang w:eastAsia="zh-CN"/>
        </w:rPr>
        <w:t>西南铝业（集团）有限责任公司</w:t>
      </w:r>
    </w:p>
    <w:p>
      <w:pPr>
        <w:spacing w:line="400" w:lineRule="exact"/>
        <w:ind w:firstLine="420" w:firstLineChars="200"/>
        <w:contextualSpacing/>
        <w:jc w:val="left"/>
        <w:rPr>
          <w:rFonts w:hint="eastAsia"/>
          <w:color w:val="auto"/>
          <w:szCs w:val="21"/>
          <w:lang w:val="en-US" w:eastAsia="zh-CN"/>
        </w:rPr>
      </w:pPr>
      <w:r>
        <w:rPr>
          <w:rFonts w:hint="eastAsia"/>
          <w:color w:val="auto"/>
          <w:szCs w:val="21"/>
          <w:lang w:val="en-US" w:eastAsia="zh-CN"/>
        </w:rPr>
        <w:t>西南铝业（集团）有限责任公司（简称西南铝）是中铝集团、中铝高端核心铝加工企业，其前身是西南铝加工厂。经过近60年的发展，已成为我国综合实力最强的特大型铝加工企业之一，是我国航空航天和重点工程材料研发保障、高精尖铝材研发生产和出口的核心基地，正朝着制造业高端化、智能化、绿色化方向高质量发展！西南铝荟萃了中国现代铝加工技术装备的精华，装备有以 3 万吨模锻压机为代表的“四大国宝”，以及高精铝及铝合金板带材热连轧生产线、冷连轧生产线、铝合金厚板生产线，形成了航空航天、重点工程、交通运输、金属包装、电子信息、通用工程用铝材等 6 大系列支柱产品。</w:t>
      </w:r>
    </w:p>
    <w:p>
      <w:pPr>
        <w:spacing w:line="400" w:lineRule="exact"/>
        <w:ind w:firstLine="420" w:firstLineChars="200"/>
        <w:contextualSpacing/>
        <w:jc w:val="left"/>
        <w:rPr>
          <w:color w:val="auto"/>
        </w:rPr>
      </w:pPr>
      <w:r>
        <w:rPr>
          <w:rFonts w:hint="eastAsia"/>
          <w:color w:val="auto"/>
          <w:szCs w:val="21"/>
          <w:lang w:val="en-US" w:eastAsia="zh-CN"/>
        </w:rPr>
        <w:t>该单位积极参与编制组的各项工作会议，对规范计量特性提出了有效建议，在编制组中发挥了主要作用，作为一验单位开展了相关的验证试验。</w:t>
      </w:r>
    </w:p>
    <w:p>
      <w:pPr>
        <w:pStyle w:val="59"/>
        <w:numPr>
          <w:ilvl w:val="0"/>
          <w:numId w:val="0"/>
        </w:numPr>
        <w:spacing w:before="156" w:beforeLines="50" w:after="156" w:afterLines="50"/>
        <w:contextualSpacing/>
        <w:rPr>
          <w:rFonts w:hint="eastAsia"/>
          <w:color w:val="auto"/>
          <w:szCs w:val="21"/>
        </w:rPr>
      </w:pPr>
      <w:r>
        <w:rPr>
          <w:rFonts w:hint="eastAsia"/>
          <w:color w:val="auto"/>
        </w:rPr>
        <w:t>3.3.</w:t>
      </w:r>
      <w:r>
        <w:rPr>
          <w:rFonts w:hint="eastAsia"/>
          <w:color w:val="auto"/>
          <w:lang w:val="en-US" w:eastAsia="zh-CN"/>
        </w:rPr>
        <w:t>4</w:t>
      </w:r>
      <w:r>
        <w:rPr>
          <w:rFonts w:hint="eastAsia" w:ascii="Times New Roman"/>
          <w:color w:val="auto"/>
        </w:rPr>
        <w:t xml:space="preserve">  </w:t>
      </w:r>
      <w:r>
        <w:rPr>
          <w:rFonts w:hint="eastAsia"/>
          <w:color w:val="auto"/>
          <w:szCs w:val="21"/>
        </w:rPr>
        <w:t>国标（北京）检验认证有限公司</w:t>
      </w:r>
    </w:p>
    <w:p>
      <w:pPr>
        <w:pStyle w:val="58"/>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eastAsia"/>
          <w:color w:val="auto"/>
          <w:szCs w:val="21"/>
        </w:rPr>
      </w:pPr>
      <w:r>
        <w:rPr>
          <w:rFonts w:hint="eastAsia"/>
          <w:color w:val="auto"/>
          <w:szCs w:val="21"/>
        </w:rPr>
        <w:t>标准（北京）检验认证有限公司（简称标准公司，英文简称GTC），是中国的第三方检验认证服务机构，致力于为客户提供一站式质量保障服务。公司前身为北京有色金属研究总院分析测试技术研究所，同时运行管理着“地区有色金属质量监督检验中心”和“地区有色金属及电子材料分析测试中心”，分别由原地区质量技术监督局于1985年批准建立和原地区科委于1983年批准建立。 标准公司通过ISO 17025实验室地区认可(CNAS)、中国计量认证(CMA)、实验室审查认可（CAL）、培训机构资质认证（NTC）等，是地区工业与信息化部挂牌“有色金属标准样品研制单位（YSRK 07-2014）”、 “多晶硅行业准入检测测评实验室”、“工业(有色金属及半导体材料)产品质量控制及评价实验室”；中国有色金属工业协会认定的“有色金属失效分析行业实验室”；中关村高新技术企业园区挂牌的开放实验室；“航天器材料质量机构”；中国船级社检测和试验机构；同时是中国有色金属学会理化检验学术、中国稀土学会理化检验的主任委员单位。 标准公司主营业务涉及第三方检测服务，分析测试仪器装备及配件的研制和销售、标准物质/样品、无损检测设备检定、分析检测人员培训、实验室规划设计、特种功能材料研发与生产等领域。公司是中国第三方金属检测的成员之一者，主要从事有色金属、黑色金属、矿物材料、建筑材料、环境样品等的分析检测服务；服务项目包括化学成分成分、组织结构分析、物理性能测试、力学性能测试、无损探伤检测等。</w:t>
      </w:r>
    </w:p>
    <w:p>
      <w:pPr>
        <w:pStyle w:val="58"/>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eastAsia"/>
          <w:szCs w:val="21"/>
        </w:rPr>
      </w:pPr>
      <w:r>
        <w:rPr>
          <w:rFonts w:hint="default" w:ascii="Times New Roman" w:hAnsi="Times New Roman" w:eastAsia="宋体" w:cs="宋体"/>
          <w:color w:val="auto"/>
          <w:kern w:val="0"/>
          <w:sz w:val="21"/>
          <w:szCs w:val="21"/>
          <w:shd w:val="clear" w:color="auto" w:fill="FFFFFF"/>
          <w:lang w:val="en-US" w:eastAsia="zh-CN" w:bidi="ar-SA"/>
        </w:rPr>
        <w:t>该单位积极参与编制组的各项工作会议，对规范计量特性提出了有效建议，在编制组中发挥了主要作用，作为</w:t>
      </w:r>
      <w:r>
        <w:rPr>
          <w:rFonts w:hint="eastAsia" w:ascii="Times New Roman" w:hAnsi="Times New Roman" w:cs="宋体"/>
          <w:color w:val="auto"/>
          <w:kern w:val="0"/>
          <w:sz w:val="21"/>
          <w:szCs w:val="21"/>
          <w:shd w:val="clear" w:color="auto" w:fill="FFFFFF"/>
          <w:lang w:val="en-US" w:eastAsia="zh-CN" w:bidi="ar-SA"/>
        </w:rPr>
        <w:t>二</w:t>
      </w:r>
      <w:r>
        <w:rPr>
          <w:rFonts w:hint="default" w:ascii="Times New Roman" w:hAnsi="Times New Roman" w:eastAsia="宋体" w:cs="宋体"/>
          <w:color w:val="auto"/>
          <w:kern w:val="0"/>
          <w:sz w:val="21"/>
          <w:szCs w:val="21"/>
          <w:shd w:val="clear" w:color="auto" w:fill="FFFFFF"/>
          <w:lang w:val="en-US" w:eastAsia="zh-CN" w:bidi="ar-SA"/>
        </w:rPr>
        <w:t>验单位开展了相关的验证试验。</w:t>
      </w:r>
    </w:p>
    <w:p>
      <w:pPr>
        <w:pStyle w:val="60"/>
        <w:numPr>
          <w:ilvl w:val="0"/>
          <w:numId w:val="0"/>
        </w:numPr>
        <w:spacing w:before="156" w:beforeLines="50" w:after="156" w:afterLines="50"/>
        <w:rPr>
          <w:color w:val="auto"/>
        </w:rPr>
      </w:pPr>
      <w:r>
        <w:rPr>
          <w:rFonts w:hint="eastAsia"/>
          <w:color w:val="auto"/>
        </w:rPr>
        <w:t>3.4各单位分工情况</w:t>
      </w:r>
    </w:p>
    <w:p>
      <w:pPr>
        <w:pStyle w:val="59"/>
        <w:numPr>
          <w:ilvl w:val="3"/>
          <w:numId w:val="0"/>
        </w:numPr>
        <w:spacing w:before="156" w:beforeLines="50" w:after="156" w:afterLines="50"/>
        <w:ind w:left="2"/>
        <w:contextualSpacing/>
        <w:rPr>
          <w:rFonts w:ascii="宋体" w:hAnsi="宋体" w:eastAsia="宋体" w:cs="宋体"/>
          <w:color w:val="auto"/>
          <w:kern w:val="2"/>
          <w:szCs w:val="21"/>
        </w:rPr>
      </w:pPr>
      <w:r>
        <w:rPr>
          <w:rFonts w:hint="eastAsia" w:hAnsi="Times New Roman" w:cs="宋体"/>
          <w:color w:val="auto"/>
          <w:kern w:val="2"/>
          <w:szCs w:val="21"/>
        </w:rPr>
        <w:t>3.4.1　</w:t>
      </w:r>
      <w:r>
        <w:rPr>
          <w:rFonts w:hint="eastAsia" w:ascii="Times New Roman" w:hAnsi="Times New Roman" w:eastAsia="宋体"/>
          <w:color w:val="auto"/>
          <w:spacing w:val="0"/>
          <w:kern w:val="2"/>
          <w:szCs w:val="21"/>
        </w:rPr>
        <w:t>编制组依据各单位情况，对整个规范的起草进行了分工。西安汉唐分析检测有限公司</w:t>
      </w:r>
      <w:r>
        <w:rPr>
          <w:rFonts w:ascii="Times New Roman" w:hAnsi="Times New Roman" w:eastAsia="宋体"/>
          <w:color w:val="auto"/>
          <w:spacing w:val="0"/>
          <w:kern w:val="2"/>
          <w:szCs w:val="21"/>
        </w:rPr>
        <w:t>负责</w:t>
      </w:r>
      <w:r>
        <w:rPr>
          <w:rFonts w:hint="eastAsia" w:ascii="Times New Roman" w:hAnsi="Times New Roman" w:eastAsia="宋体"/>
          <w:color w:val="auto"/>
          <w:spacing w:val="0"/>
          <w:kern w:val="2"/>
          <w:szCs w:val="21"/>
        </w:rPr>
        <w:t>资料的调研、</w:t>
      </w:r>
      <w:r>
        <w:rPr>
          <w:rFonts w:ascii="Times New Roman" w:hAnsi="Times New Roman" w:eastAsia="宋体"/>
          <w:color w:val="auto"/>
          <w:spacing w:val="0"/>
          <w:kern w:val="2"/>
          <w:szCs w:val="21"/>
        </w:rPr>
        <w:t>收集，完成分析方法研究工作，撰写标准文稿、编制说明和研究报告</w:t>
      </w:r>
      <w:r>
        <w:rPr>
          <w:rFonts w:hint="eastAsia" w:ascii="Times New Roman" w:hAnsi="Times New Roman" w:eastAsia="宋体"/>
          <w:color w:val="auto"/>
          <w:spacing w:val="0"/>
          <w:kern w:val="2"/>
          <w:szCs w:val="21"/>
        </w:rPr>
        <w:t>。中国船舶集团有限公司第七二五研究所、新疆湘润新材料科技有限公司对规范内容提出具体修改意见，</w:t>
      </w:r>
      <w:r>
        <w:rPr>
          <w:rFonts w:ascii="Times New Roman" w:hAnsi="Times New Roman" w:eastAsia="宋体"/>
          <w:color w:val="auto"/>
          <w:spacing w:val="0"/>
          <w:kern w:val="2"/>
          <w:szCs w:val="21"/>
        </w:rPr>
        <w:t>并对标准文稿等提出相应修改意见</w:t>
      </w:r>
      <w:r>
        <w:rPr>
          <w:rFonts w:hint="eastAsia" w:ascii="Times New Roman" w:hAnsi="Times New Roman" w:eastAsia="宋体"/>
          <w:color w:val="auto"/>
          <w:spacing w:val="0"/>
          <w:kern w:val="2"/>
          <w:szCs w:val="21"/>
        </w:rPr>
        <w:t>，分工见表1。</w:t>
      </w:r>
    </w:p>
    <w:p>
      <w:pPr>
        <w:pStyle w:val="58"/>
        <w:ind w:firstLine="0" w:firstLineChars="0"/>
        <w:jc w:val="center"/>
      </w:pPr>
      <w:r>
        <w:rPr>
          <w:rFonts w:hint="eastAsia"/>
        </w:rPr>
        <w:t>表1 各单位分工表</w:t>
      </w:r>
    </w:p>
    <w:tbl>
      <w:tblPr>
        <w:tblStyle w:val="42"/>
        <w:tblpPr w:leftFromText="180" w:rightFromText="180" w:vertAnchor="text" w:horzAnchor="page" w:tblpXSpec="center" w:tblpY="245"/>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0"/>
        <w:gridCol w:w="800"/>
        <w:gridCol w:w="741"/>
        <w:gridCol w:w="5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vAlign w:val="center"/>
          </w:tcPr>
          <w:p>
            <w:pPr>
              <w:spacing w:line="360" w:lineRule="auto"/>
              <w:jc w:val="center"/>
              <w:rPr>
                <w:szCs w:val="21"/>
              </w:rPr>
            </w:pPr>
            <w:r>
              <w:rPr>
                <w:rFonts w:hint="eastAsia"/>
                <w:szCs w:val="21"/>
              </w:rPr>
              <w:t>单位</w:t>
            </w:r>
          </w:p>
        </w:tc>
        <w:tc>
          <w:tcPr>
            <w:tcW w:w="418" w:type="pct"/>
            <w:vAlign w:val="center"/>
          </w:tcPr>
          <w:p>
            <w:pPr>
              <w:spacing w:line="360" w:lineRule="auto"/>
              <w:jc w:val="center"/>
              <w:rPr>
                <w:szCs w:val="21"/>
              </w:rPr>
            </w:pPr>
            <w:r>
              <w:rPr>
                <w:rFonts w:hint="eastAsia"/>
                <w:szCs w:val="21"/>
              </w:rPr>
              <w:t>人员</w:t>
            </w:r>
          </w:p>
        </w:tc>
        <w:tc>
          <w:tcPr>
            <w:tcW w:w="387" w:type="pct"/>
            <w:vAlign w:val="center"/>
          </w:tcPr>
          <w:p>
            <w:pPr>
              <w:spacing w:line="360" w:lineRule="auto"/>
              <w:jc w:val="center"/>
              <w:rPr>
                <w:szCs w:val="21"/>
              </w:rPr>
            </w:pPr>
            <w:r>
              <w:rPr>
                <w:rFonts w:hint="eastAsia"/>
                <w:szCs w:val="21"/>
              </w:rPr>
              <w:t>职称</w:t>
            </w:r>
          </w:p>
        </w:tc>
        <w:tc>
          <w:tcPr>
            <w:tcW w:w="3060" w:type="pct"/>
            <w:vAlign w:val="center"/>
          </w:tcPr>
          <w:p>
            <w:pPr>
              <w:spacing w:line="360" w:lineRule="auto"/>
              <w:jc w:val="center"/>
              <w:rPr>
                <w:szCs w:val="21"/>
              </w:rPr>
            </w:pPr>
            <w:r>
              <w:rPr>
                <w:rFonts w:hint="eastAsia"/>
                <w:szCs w:val="21"/>
              </w:rPr>
              <w:t>工作分工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vAlign w:val="center"/>
          </w:tcPr>
          <w:p>
            <w:pPr>
              <w:spacing w:line="360" w:lineRule="auto"/>
              <w:jc w:val="center"/>
              <w:rPr>
                <w:szCs w:val="21"/>
              </w:rPr>
            </w:pPr>
            <w:r>
              <w:rPr>
                <w:rFonts w:hint="eastAsia"/>
                <w:szCs w:val="21"/>
              </w:rPr>
              <w:t>西安汉唐分析检测有限公司</w:t>
            </w:r>
          </w:p>
        </w:tc>
        <w:tc>
          <w:tcPr>
            <w:tcW w:w="418" w:type="pct"/>
            <w:vAlign w:val="center"/>
          </w:tcPr>
          <w:p>
            <w:pPr>
              <w:spacing w:line="360" w:lineRule="auto"/>
              <w:jc w:val="center"/>
              <w:rPr>
                <w:szCs w:val="21"/>
              </w:rPr>
            </w:pPr>
          </w:p>
        </w:tc>
        <w:tc>
          <w:tcPr>
            <w:tcW w:w="387" w:type="pct"/>
            <w:vAlign w:val="center"/>
          </w:tcPr>
          <w:p>
            <w:pPr>
              <w:spacing w:line="360" w:lineRule="auto"/>
              <w:jc w:val="center"/>
              <w:rPr>
                <w:szCs w:val="21"/>
              </w:rPr>
            </w:pPr>
          </w:p>
        </w:tc>
        <w:tc>
          <w:tcPr>
            <w:tcW w:w="3060" w:type="pct"/>
            <w:vAlign w:val="center"/>
          </w:tcPr>
          <w:p>
            <w:pPr>
              <w:spacing w:line="360" w:lineRule="auto"/>
              <w:jc w:val="center"/>
              <w:rPr>
                <w:szCs w:val="21"/>
              </w:rPr>
            </w:pPr>
            <w:r>
              <w:rPr>
                <w:rFonts w:hint="eastAsia"/>
                <w:szCs w:val="21"/>
              </w:rPr>
              <w:t>规范起草编制，试验方案编订，实验数据分析，编制说明的撰写工作，会议纪要整理及规范的完善。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vAlign w:val="center"/>
          </w:tcPr>
          <w:p>
            <w:pPr>
              <w:spacing w:line="360" w:lineRule="auto"/>
              <w:jc w:val="center"/>
              <w:rPr>
                <w:szCs w:val="21"/>
                <w:highlight w:val="yellow"/>
              </w:rPr>
            </w:pPr>
            <w:r>
              <w:rPr>
                <w:rFonts w:hint="eastAsia"/>
                <w:szCs w:val="21"/>
              </w:rPr>
              <w:t>中国船舶集团有限公司第七二五研究所</w:t>
            </w:r>
          </w:p>
        </w:tc>
        <w:tc>
          <w:tcPr>
            <w:tcW w:w="418" w:type="pct"/>
            <w:vAlign w:val="center"/>
          </w:tcPr>
          <w:p>
            <w:pPr>
              <w:spacing w:line="360" w:lineRule="auto"/>
              <w:jc w:val="center"/>
              <w:rPr>
                <w:szCs w:val="21"/>
              </w:rPr>
            </w:pPr>
          </w:p>
        </w:tc>
        <w:tc>
          <w:tcPr>
            <w:tcW w:w="387" w:type="pct"/>
            <w:vAlign w:val="center"/>
          </w:tcPr>
          <w:p>
            <w:pPr>
              <w:spacing w:line="360" w:lineRule="auto"/>
              <w:jc w:val="center"/>
              <w:rPr>
                <w:szCs w:val="21"/>
              </w:rPr>
            </w:pPr>
          </w:p>
        </w:tc>
        <w:tc>
          <w:tcPr>
            <w:tcW w:w="3060" w:type="pct"/>
            <w:vAlign w:val="center"/>
          </w:tcPr>
          <w:p>
            <w:pPr>
              <w:spacing w:line="360" w:lineRule="auto"/>
              <w:jc w:val="center"/>
              <w:rPr>
                <w:szCs w:val="21"/>
                <w:highlight w:val="yellow"/>
              </w:rPr>
            </w:pPr>
            <w:r>
              <w:rPr>
                <w:rFonts w:hint="eastAsia"/>
                <w:szCs w:val="21"/>
              </w:rPr>
              <w:t>规范实验数据分析及讨论，内容审阅并提出修改意见，会议纪要整理。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vAlign w:val="center"/>
          </w:tcPr>
          <w:p>
            <w:pPr>
              <w:spacing w:line="360" w:lineRule="auto"/>
              <w:jc w:val="center"/>
              <w:rPr>
                <w:rFonts w:ascii="宋体" w:hAnsi="宋体" w:cs="宋体"/>
                <w:szCs w:val="21"/>
              </w:rPr>
            </w:pPr>
            <w:r>
              <w:rPr>
                <w:rFonts w:hint="eastAsia"/>
                <w:szCs w:val="21"/>
              </w:rPr>
              <w:t>新疆湘润新材料科技有限公司</w:t>
            </w:r>
          </w:p>
        </w:tc>
        <w:tc>
          <w:tcPr>
            <w:tcW w:w="418" w:type="pct"/>
            <w:vAlign w:val="center"/>
          </w:tcPr>
          <w:p>
            <w:pPr>
              <w:spacing w:line="360" w:lineRule="auto"/>
              <w:jc w:val="center"/>
              <w:rPr>
                <w:szCs w:val="21"/>
              </w:rPr>
            </w:pPr>
          </w:p>
        </w:tc>
        <w:tc>
          <w:tcPr>
            <w:tcW w:w="387" w:type="pct"/>
            <w:vAlign w:val="center"/>
          </w:tcPr>
          <w:p>
            <w:pPr>
              <w:spacing w:line="360" w:lineRule="auto"/>
              <w:jc w:val="center"/>
              <w:rPr>
                <w:szCs w:val="21"/>
              </w:rPr>
            </w:pPr>
          </w:p>
        </w:tc>
        <w:tc>
          <w:tcPr>
            <w:tcW w:w="3060" w:type="pct"/>
            <w:vAlign w:val="center"/>
          </w:tcPr>
          <w:p>
            <w:pPr>
              <w:spacing w:line="360" w:lineRule="auto"/>
              <w:jc w:val="center"/>
              <w:rPr>
                <w:szCs w:val="21"/>
              </w:rPr>
            </w:pPr>
            <w:r>
              <w:rPr>
                <w:rFonts w:hint="eastAsia"/>
                <w:szCs w:val="21"/>
              </w:rPr>
              <w:t>实验方案讨论，内容审阅并提出修改意见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vAlign w:val="center"/>
          </w:tcPr>
          <w:p>
            <w:pPr>
              <w:spacing w:line="360" w:lineRule="auto"/>
              <w:jc w:val="center"/>
              <w:rPr>
                <w:rFonts w:hint="eastAsia"/>
                <w:szCs w:val="21"/>
              </w:rPr>
            </w:pPr>
            <w:r>
              <w:rPr>
                <w:rFonts w:hint="eastAsia"/>
                <w:lang w:eastAsia="zh-CN"/>
              </w:rPr>
              <w:t>西南铝业（集团）有限责任公司</w:t>
            </w:r>
          </w:p>
        </w:tc>
        <w:tc>
          <w:tcPr>
            <w:tcW w:w="418" w:type="pct"/>
            <w:vAlign w:val="center"/>
          </w:tcPr>
          <w:p>
            <w:pPr>
              <w:spacing w:line="360" w:lineRule="auto"/>
              <w:jc w:val="center"/>
              <w:rPr>
                <w:szCs w:val="21"/>
              </w:rPr>
            </w:pPr>
          </w:p>
        </w:tc>
        <w:tc>
          <w:tcPr>
            <w:tcW w:w="387" w:type="pct"/>
            <w:vAlign w:val="center"/>
          </w:tcPr>
          <w:p>
            <w:pPr>
              <w:spacing w:line="360" w:lineRule="auto"/>
              <w:jc w:val="center"/>
              <w:rPr>
                <w:szCs w:val="21"/>
              </w:rPr>
            </w:pPr>
          </w:p>
        </w:tc>
        <w:tc>
          <w:tcPr>
            <w:tcW w:w="3060" w:type="pct"/>
            <w:vAlign w:val="center"/>
          </w:tcPr>
          <w:p>
            <w:pPr>
              <w:spacing w:line="360" w:lineRule="auto"/>
              <w:jc w:val="center"/>
              <w:rPr>
                <w:rFonts w:hint="eastAsia"/>
                <w:szCs w:val="21"/>
              </w:rPr>
            </w:pPr>
            <w:r>
              <w:rPr>
                <w:rFonts w:hint="eastAsia"/>
                <w:szCs w:val="21"/>
                <w:lang w:val="en-US" w:eastAsia="zh-CN"/>
              </w:rPr>
              <w:t>一验，</w:t>
            </w:r>
            <w:r>
              <w:rPr>
                <w:rFonts w:hint="eastAsia"/>
                <w:szCs w:val="21"/>
              </w:rPr>
              <w:t>内容审阅并提出修改意见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vAlign w:val="center"/>
          </w:tcPr>
          <w:p>
            <w:pPr>
              <w:spacing w:line="360" w:lineRule="auto"/>
              <w:jc w:val="center"/>
              <w:rPr>
                <w:rFonts w:hint="eastAsia"/>
                <w:szCs w:val="21"/>
              </w:rPr>
            </w:pPr>
            <w:r>
              <w:rPr>
                <w:rFonts w:hint="eastAsia"/>
                <w:lang w:eastAsia="zh-CN"/>
              </w:rPr>
              <w:t>国标（北京）检验认证有限公司</w:t>
            </w:r>
          </w:p>
        </w:tc>
        <w:tc>
          <w:tcPr>
            <w:tcW w:w="418" w:type="pct"/>
            <w:vAlign w:val="center"/>
          </w:tcPr>
          <w:p>
            <w:pPr>
              <w:spacing w:line="360" w:lineRule="auto"/>
              <w:jc w:val="center"/>
              <w:rPr>
                <w:szCs w:val="21"/>
              </w:rPr>
            </w:pPr>
          </w:p>
        </w:tc>
        <w:tc>
          <w:tcPr>
            <w:tcW w:w="387" w:type="pct"/>
            <w:vAlign w:val="center"/>
          </w:tcPr>
          <w:p>
            <w:pPr>
              <w:spacing w:line="360" w:lineRule="auto"/>
              <w:jc w:val="center"/>
              <w:rPr>
                <w:szCs w:val="21"/>
              </w:rPr>
            </w:pPr>
          </w:p>
        </w:tc>
        <w:tc>
          <w:tcPr>
            <w:tcW w:w="3060" w:type="pct"/>
            <w:vAlign w:val="center"/>
          </w:tcPr>
          <w:p>
            <w:pPr>
              <w:spacing w:line="360" w:lineRule="auto"/>
              <w:jc w:val="center"/>
              <w:rPr>
                <w:rFonts w:hint="eastAsia"/>
                <w:szCs w:val="21"/>
              </w:rPr>
            </w:pPr>
            <w:r>
              <w:rPr>
                <w:rFonts w:hint="eastAsia"/>
                <w:szCs w:val="21"/>
                <w:lang w:val="en-US" w:eastAsia="zh-CN"/>
              </w:rPr>
              <w:t>二验，</w:t>
            </w:r>
            <w:r>
              <w:rPr>
                <w:rFonts w:hint="eastAsia"/>
                <w:szCs w:val="21"/>
              </w:rPr>
              <w:t>内容审阅并提出修改意见</w:t>
            </w:r>
          </w:p>
        </w:tc>
      </w:tr>
    </w:tbl>
    <w:p>
      <w:pPr>
        <w:pStyle w:val="58"/>
        <w:ind w:firstLine="420"/>
      </w:pPr>
    </w:p>
    <w:bookmarkEnd w:id="7"/>
    <w:bookmarkEnd w:id="8"/>
    <w:p>
      <w:pPr>
        <w:pStyle w:val="4"/>
        <w:spacing w:before="156" w:after="156"/>
        <w:rPr>
          <w:b w:val="0"/>
          <w:bCs w:val="0"/>
        </w:rPr>
      </w:pPr>
      <w:bookmarkStart w:id="9" w:name="_Toc464728913"/>
      <w:bookmarkStart w:id="10" w:name="_Toc462884357"/>
      <w:r>
        <w:rPr>
          <w:rFonts w:hint="eastAsia"/>
          <w:b w:val="0"/>
          <w:bCs w:val="0"/>
        </w:rPr>
        <w:t>4.主要工作过程</w:t>
      </w:r>
      <w:bookmarkEnd w:id="9"/>
      <w:bookmarkEnd w:id="10"/>
    </w:p>
    <w:p>
      <w:pPr>
        <w:spacing w:line="400" w:lineRule="exact"/>
        <w:ind w:firstLine="420" w:firstLineChars="200"/>
      </w:pPr>
      <w:bookmarkStart w:id="11" w:name="_Hlk134448643"/>
      <w:r>
        <w:rPr>
          <w:rFonts w:hint="eastAsia"/>
        </w:rPr>
        <w:t>西安汉唐分析检测有限公司于2023年12月接到有色金属行业计量技术委员会转发的下达的制定任务后，成立了计量规范编制组，对计量技术规范编写工作进行了部署和分工，制定了本规范的制定原则及工作计划。本项目主要工作过程经过了以下几个阶段：</w:t>
      </w:r>
    </w:p>
    <w:p>
      <w:pPr>
        <w:spacing w:line="400" w:lineRule="exact"/>
        <w:ind w:firstLine="420" w:firstLineChars="200"/>
      </w:pPr>
      <w:r>
        <w:t>1</w:t>
      </w:r>
      <w:r>
        <w:rPr>
          <w:rFonts w:hint="eastAsia"/>
        </w:rPr>
        <w:t>）</w:t>
      </w:r>
      <w:r>
        <w:t>20</w:t>
      </w:r>
      <w:r>
        <w:rPr>
          <w:rFonts w:hint="eastAsia"/>
        </w:rPr>
        <w:t>23年12月成立了计量规范编制组，明确了编制组成员各自的工作内容和任务。</w:t>
      </w:r>
    </w:p>
    <w:p>
      <w:pPr>
        <w:spacing w:line="400" w:lineRule="exact"/>
        <w:ind w:firstLine="420" w:firstLineChars="200"/>
      </w:pPr>
      <w:r>
        <w:t>2</w:t>
      </w:r>
      <w:r>
        <w:rPr>
          <w:rFonts w:hint="eastAsia"/>
        </w:rPr>
        <w:t>）</w:t>
      </w:r>
      <w:r>
        <w:t>20</w:t>
      </w:r>
      <w:r>
        <w:rPr>
          <w:rFonts w:hint="eastAsia"/>
        </w:rPr>
        <w:t>24年1月～2024年6月，编制组成员对《平面双轴试验系统校准规范》中的计量特性及校准方法进行了讨论，确定了校准项目和方法，在</w:t>
      </w:r>
      <w:r>
        <w:t>202</w:t>
      </w:r>
      <w:r>
        <w:rPr>
          <w:rFonts w:hint="eastAsia"/>
        </w:rPr>
        <w:t>4年6月形成了计量规范讨论稿。</w:t>
      </w:r>
    </w:p>
    <w:p>
      <w:pPr>
        <w:spacing w:line="400" w:lineRule="exact"/>
        <w:ind w:firstLine="420" w:firstLineChars="200"/>
        <w:rPr>
          <w:rFonts w:hint="eastAsia"/>
        </w:rPr>
      </w:pPr>
      <w:r>
        <w:rPr>
          <w:rFonts w:hint="eastAsia"/>
        </w:rPr>
        <w:t>3）2024年6月12日~14日，在嘉峪关市召开有色金属计量技术规范研讨会，会上对《平面双轴试验系统校准规范-讨论稿》进行了讨论，会上有来自不同单位的计量委员会委员、专家、代表就《平面双轴试验系统校准规范-讨论稿》中的伺服作动系统</w:t>
      </w:r>
      <w:r>
        <w:t>作动筒位移</w:t>
      </w:r>
      <w:r>
        <w:rPr>
          <w:rFonts w:hint="eastAsia"/>
        </w:rPr>
        <w:t>校准方法等提出了修改建议和意见，同时，会上确定了项目的参编单位及一验、二验单位，明确了各项工作时间进度要求，具体内容见表1。修改后形成了《平面双轴试验系统校准规范-征求意见稿》。</w:t>
      </w:r>
    </w:p>
    <w:p>
      <w:pPr>
        <w:spacing w:line="360" w:lineRule="auto"/>
        <w:ind w:firstLine="210" w:firstLineChars="100"/>
        <w:jc w:val="center"/>
      </w:pPr>
      <w:r>
        <w:rPr>
          <w:rFonts w:hint="eastAsia"/>
        </w:rPr>
        <w:t>表2 《平面双轴试验系统校准规范-征求意见稿》工作安排</w:t>
      </w:r>
    </w:p>
    <w:tbl>
      <w:tblPr>
        <w:tblStyle w:val="41"/>
        <w:tblW w:w="4764" w:type="pct"/>
        <w:jc w:val="center"/>
        <w:tblLayout w:type="fixed"/>
        <w:tblCellMar>
          <w:top w:w="0" w:type="dxa"/>
          <w:left w:w="108" w:type="dxa"/>
          <w:bottom w:w="0" w:type="dxa"/>
          <w:right w:w="108" w:type="dxa"/>
        </w:tblCellMar>
      </w:tblPr>
      <w:tblGrid>
        <w:gridCol w:w="1864"/>
        <w:gridCol w:w="7257"/>
      </w:tblGrid>
      <w:tr>
        <w:tblPrEx>
          <w:tblCellMar>
            <w:top w:w="0" w:type="dxa"/>
            <w:left w:w="108" w:type="dxa"/>
            <w:bottom w:w="0" w:type="dxa"/>
            <w:right w:w="108" w:type="dxa"/>
          </w:tblCellMar>
        </w:tblPrEx>
        <w:trPr>
          <w:trHeight w:val="567" w:hRule="atLeast"/>
          <w:jc w:val="center"/>
        </w:trPr>
        <w:tc>
          <w:tcPr>
            <w:tcW w:w="18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pPr>
            <w:r>
              <w:rPr>
                <w:rFonts w:hint="eastAsia"/>
              </w:rPr>
              <w:t>拟参与编制单位</w:t>
            </w:r>
          </w:p>
        </w:tc>
        <w:tc>
          <w:tcPr>
            <w:tcW w:w="7257" w:type="dxa"/>
            <w:tcBorders>
              <w:top w:val="single" w:color="auto" w:sz="4" w:space="0"/>
              <w:left w:val="nil"/>
              <w:bottom w:val="single" w:color="auto" w:sz="4" w:space="0"/>
              <w:right w:val="single" w:color="auto" w:sz="4" w:space="0"/>
            </w:tcBorders>
            <w:shd w:val="clear" w:color="auto" w:fill="auto"/>
            <w:noWrap/>
            <w:vAlign w:val="center"/>
          </w:tcPr>
          <w:p>
            <w:pPr>
              <w:widowControl/>
              <w:ind w:firstLine="420" w:firstLineChars="200"/>
              <w:jc w:val="center"/>
            </w:pPr>
            <w:r>
              <w:rPr>
                <w:rFonts w:hint="eastAsia"/>
                <w:szCs w:val="21"/>
              </w:rPr>
              <w:t>中国船舶集团有限公司第七二五研究所、新疆湘润新材料科技有限公司</w:t>
            </w:r>
          </w:p>
        </w:tc>
      </w:tr>
      <w:tr>
        <w:tblPrEx>
          <w:tblCellMar>
            <w:top w:w="0" w:type="dxa"/>
            <w:left w:w="108" w:type="dxa"/>
            <w:bottom w:w="0" w:type="dxa"/>
            <w:right w:w="108" w:type="dxa"/>
          </w:tblCellMar>
        </w:tblPrEx>
        <w:trPr>
          <w:trHeight w:val="567" w:hRule="atLeast"/>
          <w:jc w:val="center"/>
        </w:trPr>
        <w:tc>
          <w:tcPr>
            <w:tcW w:w="18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pPr>
            <w:r>
              <w:rPr>
                <w:rFonts w:hint="eastAsia"/>
              </w:rPr>
              <w:t>一验单位</w:t>
            </w:r>
          </w:p>
        </w:tc>
        <w:tc>
          <w:tcPr>
            <w:tcW w:w="7257"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ind w:firstLine="420" w:firstLineChars="200"/>
              <w:jc w:val="center"/>
            </w:pPr>
            <w:r>
              <w:rPr>
                <w:rFonts w:hint="eastAsia"/>
                <w:lang w:eastAsia="zh-CN"/>
              </w:rPr>
              <w:t>西南铝业（集团）有限责任公司</w:t>
            </w:r>
          </w:p>
        </w:tc>
      </w:tr>
      <w:tr>
        <w:tblPrEx>
          <w:tblCellMar>
            <w:top w:w="0" w:type="dxa"/>
            <w:left w:w="108" w:type="dxa"/>
            <w:bottom w:w="0" w:type="dxa"/>
            <w:right w:w="108" w:type="dxa"/>
          </w:tblCellMar>
        </w:tblPrEx>
        <w:trPr>
          <w:trHeight w:val="567" w:hRule="atLeast"/>
          <w:jc w:val="center"/>
        </w:trPr>
        <w:tc>
          <w:tcPr>
            <w:tcW w:w="18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pPr>
            <w:r>
              <w:rPr>
                <w:rFonts w:hint="eastAsia"/>
              </w:rPr>
              <w:t>二验单位</w:t>
            </w:r>
          </w:p>
        </w:tc>
        <w:tc>
          <w:tcPr>
            <w:tcW w:w="7257"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ind w:firstLine="420" w:firstLineChars="200"/>
              <w:jc w:val="center"/>
            </w:pPr>
            <w:r>
              <w:rPr>
                <w:rFonts w:hint="eastAsia"/>
                <w:lang w:eastAsia="zh-CN"/>
              </w:rPr>
              <w:t>国标（北京）检验认证有限公司</w:t>
            </w:r>
          </w:p>
        </w:tc>
      </w:tr>
      <w:tr>
        <w:tblPrEx>
          <w:tblCellMar>
            <w:top w:w="0" w:type="dxa"/>
            <w:left w:w="108" w:type="dxa"/>
            <w:bottom w:w="0" w:type="dxa"/>
            <w:right w:w="108" w:type="dxa"/>
          </w:tblCellMar>
        </w:tblPrEx>
        <w:trPr>
          <w:trHeight w:val="567" w:hRule="atLeast"/>
          <w:jc w:val="center"/>
        </w:trPr>
        <w:tc>
          <w:tcPr>
            <w:tcW w:w="18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pPr>
            <w:r>
              <w:rPr>
                <w:rFonts w:hint="eastAsia"/>
              </w:rPr>
              <w:t>时间节点安排</w:t>
            </w:r>
          </w:p>
        </w:tc>
        <w:tc>
          <w:tcPr>
            <w:tcW w:w="7257"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ind w:firstLine="420" w:firstLineChars="200"/>
              <w:jc w:val="center"/>
            </w:pPr>
            <w:r>
              <w:rPr>
                <w:rFonts w:hint="eastAsia"/>
              </w:rPr>
              <w:t>2024年10月完成意见征集，2025年6月完成规范报批</w:t>
            </w:r>
          </w:p>
        </w:tc>
      </w:tr>
      <w:bookmarkEnd w:id="11"/>
    </w:tbl>
    <w:p>
      <w:pPr>
        <w:spacing w:line="400" w:lineRule="exact"/>
        <w:ind w:firstLine="420" w:firstLineChars="200"/>
        <w:rPr>
          <w:rFonts w:hint="eastAsia"/>
        </w:rPr>
      </w:pPr>
      <w:bookmarkStart w:id="80" w:name="_GoBack"/>
      <w:r>
        <w:rPr>
          <w:rFonts w:hint="eastAsia"/>
          <w:lang w:val="en-US" w:eastAsia="zh-CN"/>
        </w:rPr>
        <w:t>4</w:t>
      </w:r>
      <w:r>
        <w:rPr>
          <w:rFonts w:hint="eastAsia"/>
        </w:rPr>
        <w:t>）2024年</w:t>
      </w:r>
      <w:r>
        <w:rPr>
          <w:rFonts w:hint="eastAsia"/>
          <w:lang w:val="en-US" w:eastAsia="zh-CN"/>
        </w:rPr>
        <w:t>9</w:t>
      </w:r>
      <w:r>
        <w:rPr>
          <w:rFonts w:hint="eastAsia"/>
        </w:rPr>
        <w:t>月，</w:t>
      </w:r>
      <w:r>
        <w:rPr>
          <w:rFonts w:hint="eastAsia"/>
          <w:b w:val="0"/>
          <w:bCs w:val="0"/>
          <w:highlight w:val="none"/>
          <w:lang w:val="en-US" w:eastAsia="zh-CN"/>
        </w:rPr>
        <w:t>有色金属行业计量技术委员会发文《关于对&lt;电极式盐水比重计校准规范&gt;等14项行业计量技术规范征求意见的函》</w:t>
      </w:r>
      <w:r>
        <w:rPr>
          <w:rFonts w:hint="eastAsia" w:ascii="宋体" w:hAnsi="宋体" w:cs="宋体"/>
          <w:b w:val="0"/>
          <w:bCs w:val="0"/>
          <w:highlight w:val="none"/>
          <w:lang w:val="en-US" w:eastAsia="zh-CN"/>
        </w:rPr>
        <w:t>（有色计量委字〔</w:t>
      </w:r>
      <w:r>
        <w:rPr>
          <w:rFonts w:hint="eastAsia" w:ascii="宋体" w:hAnsi="宋体" w:eastAsia="宋体" w:cs="宋体"/>
          <w:b w:val="0"/>
          <w:bCs w:val="0"/>
          <w:highlight w:val="none"/>
          <w:lang w:val="en-US" w:eastAsia="zh-CN"/>
        </w:rPr>
        <w:t>2024</w:t>
      </w:r>
      <w:r>
        <w:rPr>
          <w:rFonts w:hint="eastAsia" w:ascii="宋体" w:hAnsi="宋体" w:cs="宋体"/>
          <w:b w:val="0"/>
          <w:bCs w:val="0"/>
          <w:highlight w:val="none"/>
          <w:lang w:val="en-US" w:eastAsia="zh-CN"/>
        </w:rPr>
        <w:t>〕</w:t>
      </w:r>
      <w:r>
        <w:rPr>
          <w:rFonts w:hint="eastAsia" w:ascii="宋体" w:hAnsi="宋体" w:eastAsia="宋体" w:cs="宋体"/>
          <w:b w:val="0"/>
          <w:bCs w:val="0"/>
          <w:highlight w:val="none"/>
          <w:lang w:val="en-US" w:eastAsia="zh-CN"/>
        </w:rPr>
        <w:t>12号</w:t>
      </w:r>
      <w:r>
        <w:rPr>
          <w:rFonts w:hint="eastAsia" w:ascii="宋体" w:hAnsi="宋体" w:cs="宋体"/>
          <w:b w:val="0"/>
          <w:bCs w:val="0"/>
          <w:highlight w:val="none"/>
          <w:lang w:val="en-US" w:eastAsia="zh-CN"/>
        </w:rPr>
        <w:t>），向</w:t>
      </w:r>
      <w:r>
        <w:rPr>
          <w:rFonts w:hint="eastAsia"/>
          <w:b w:val="0"/>
          <w:bCs w:val="0"/>
          <w:highlight w:val="none"/>
          <w:lang w:val="en-US" w:eastAsia="zh-CN"/>
        </w:rPr>
        <w:t>社会广泛征求意见</w:t>
      </w:r>
      <w:r>
        <w:rPr>
          <w:rFonts w:hint="eastAsia"/>
          <w:b w:val="0"/>
          <w:bCs w:val="0"/>
          <w:highlight w:val="none"/>
        </w:rPr>
        <w:t>。</w:t>
      </w:r>
      <w:r>
        <w:rPr>
          <w:rFonts w:hint="eastAsia"/>
          <w:lang w:val="en-US" w:eastAsia="zh-CN"/>
        </w:rPr>
        <w:t>编制组根据收到的意见进行修改，</w:t>
      </w:r>
      <w:r>
        <w:rPr>
          <w:rFonts w:hint="eastAsia"/>
        </w:rPr>
        <w:t>具体内容见表</w:t>
      </w:r>
      <w:r>
        <w:rPr>
          <w:rFonts w:hint="eastAsia"/>
          <w:lang w:val="en-US" w:eastAsia="zh-CN"/>
        </w:rPr>
        <w:t>3</w:t>
      </w:r>
      <w:r>
        <w:rPr>
          <w:rFonts w:hint="eastAsia"/>
        </w:rPr>
        <w:t>。修改后形成了《平面双轴试验系统校准规范-</w:t>
      </w:r>
      <w:r>
        <w:rPr>
          <w:rFonts w:hint="eastAsia"/>
          <w:lang w:val="en-US" w:eastAsia="zh-CN"/>
        </w:rPr>
        <w:t>预审</w:t>
      </w:r>
      <w:r>
        <w:rPr>
          <w:rFonts w:hint="eastAsia"/>
        </w:rPr>
        <w:t>稿》。</w:t>
      </w:r>
    </w:p>
    <w:bookmarkEnd w:id="80"/>
    <w:p>
      <w:pPr>
        <w:spacing w:line="400" w:lineRule="exact"/>
        <w:rPr>
          <w:rFonts w:hint="eastAsia"/>
        </w:rPr>
      </w:pPr>
    </w:p>
    <w:p>
      <w:pPr>
        <w:spacing w:line="400" w:lineRule="exact"/>
        <w:jc w:val="center"/>
        <w:rPr>
          <w:rFonts w:hint="default" w:eastAsia="宋体"/>
          <w:lang w:val="en-US" w:eastAsia="zh-CN"/>
        </w:rPr>
      </w:pPr>
      <w:r>
        <w:rPr>
          <w:rFonts w:hint="eastAsia"/>
        </w:rPr>
        <w:t>表</w:t>
      </w:r>
      <w:r>
        <w:rPr>
          <w:rFonts w:hint="eastAsia"/>
          <w:lang w:val="en-US" w:eastAsia="zh-CN"/>
        </w:rPr>
        <w:t>3</w:t>
      </w:r>
      <w:r>
        <w:rPr>
          <w:rFonts w:hint="eastAsia"/>
        </w:rPr>
        <w:t xml:space="preserve"> </w:t>
      </w:r>
      <w:r>
        <w:rPr>
          <w:rFonts w:hint="eastAsia"/>
          <w:lang w:val="en-US" w:eastAsia="zh-CN"/>
        </w:rPr>
        <w:t>行业计量技术规范征求意见汇总处理表</w:t>
      </w:r>
    </w:p>
    <w:tbl>
      <w:tblPr>
        <w:tblStyle w:val="41"/>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909"/>
        <w:gridCol w:w="3938"/>
        <w:gridCol w:w="1373"/>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93" w:type="pct"/>
            <w:noWrap w:val="0"/>
            <w:vAlign w:val="center"/>
          </w:tcPr>
          <w:p>
            <w:pPr>
              <w:adjustRightInd w:val="0"/>
              <w:snapToGrid w:val="0"/>
              <w:spacing w:line="360" w:lineRule="auto"/>
              <w:jc w:val="center"/>
              <w:rPr>
                <w:sz w:val="21"/>
                <w:szCs w:val="21"/>
              </w:rPr>
            </w:pPr>
            <w:r>
              <w:rPr>
                <w:rFonts w:hint="eastAsia"/>
                <w:sz w:val="21"/>
                <w:szCs w:val="21"/>
              </w:rPr>
              <w:t>序号</w:t>
            </w:r>
          </w:p>
        </w:tc>
        <w:tc>
          <w:tcPr>
            <w:tcW w:w="998" w:type="pct"/>
            <w:noWrap w:val="0"/>
            <w:vAlign w:val="center"/>
          </w:tcPr>
          <w:p>
            <w:pPr>
              <w:adjustRightInd w:val="0"/>
              <w:snapToGrid w:val="0"/>
              <w:spacing w:line="360" w:lineRule="auto"/>
              <w:jc w:val="center"/>
              <w:rPr>
                <w:sz w:val="21"/>
                <w:szCs w:val="21"/>
              </w:rPr>
            </w:pPr>
            <w:r>
              <w:rPr>
                <w:rFonts w:hint="eastAsia"/>
                <w:sz w:val="21"/>
                <w:szCs w:val="21"/>
              </w:rPr>
              <w:t>技术规范</w:t>
            </w:r>
          </w:p>
          <w:p>
            <w:pPr>
              <w:adjustRightInd w:val="0"/>
              <w:snapToGrid w:val="0"/>
              <w:spacing w:line="360" w:lineRule="auto"/>
              <w:jc w:val="center"/>
              <w:rPr>
                <w:sz w:val="21"/>
                <w:szCs w:val="21"/>
              </w:rPr>
            </w:pPr>
            <w:r>
              <w:rPr>
                <w:rFonts w:hint="eastAsia"/>
                <w:sz w:val="21"/>
                <w:szCs w:val="21"/>
              </w:rPr>
              <w:t>章条编号</w:t>
            </w:r>
          </w:p>
        </w:tc>
        <w:tc>
          <w:tcPr>
            <w:tcW w:w="2059" w:type="pct"/>
            <w:noWrap w:val="0"/>
            <w:vAlign w:val="center"/>
          </w:tcPr>
          <w:p>
            <w:pPr>
              <w:adjustRightInd w:val="0"/>
              <w:snapToGrid w:val="0"/>
              <w:spacing w:line="360" w:lineRule="auto"/>
              <w:jc w:val="center"/>
              <w:rPr>
                <w:sz w:val="21"/>
                <w:szCs w:val="21"/>
              </w:rPr>
            </w:pPr>
            <w:r>
              <w:rPr>
                <w:rFonts w:hint="eastAsia"/>
                <w:sz w:val="21"/>
                <w:szCs w:val="21"/>
              </w:rPr>
              <w:t>意见内容</w:t>
            </w:r>
          </w:p>
        </w:tc>
        <w:tc>
          <w:tcPr>
            <w:tcW w:w="718" w:type="pct"/>
            <w:noWrap w:val="0"/>
            <w:vAlign w:val="center"/>
          </w:tcPr>
          <w:p>
            <w:pPr>
              <w:adjustRightInd w:val="0"/>
              <w:snapToGrid w:val="0"/>
              <w:spacing w:line="360" w:lineRule="auto"/>
              <w:jc w:val="center"/>
              <w:rPr>
                <w:sz w:val="21"/>
                <w:szCs w:val="21"/>
              </w:rPr>
            </w:pPr>
            <w:r>
              <w:rPr>
                <w:rFonts w:hint="eastAsia"/>
                <w:sz w:val="21"/>
                <w:szCs w:val="21"/>
              </w:rPr>
              <w:t>提出单位</w:t>
            </w:r>
          </w:p>
        </w:tc>
        <w:tc>
          <w:tcPr>
            <w:tcW w:w="830" w:type="pct"/>
            <w:noWrap w:val="0"/>
            <w:vAlign w:val="center"/>
          </w:tcPr>
          <w:p>
            <w:pPr>
              <w:adjustRightInd w:val="0"/>
              <w:snapToGrid w:val="0"/>
              <w:spacing w:line="360" w:lineRule="auto"/>
              <w:jc w:val="center"/>
              <w:rPr>
                <w:sz w:val="21"/>
                <w:szCs w:val="21"/>
              </w:rPr>
            </w:pPr>
            <w:r>
              <w:rPr>
                <w:rFonts w:hint="eastAsia"/>
                <w:sz w:val="21"/>
                <w:szCs w:val="21"/>
              </w:rPr>
              <w:t>处理意见及理由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93" w:type="pct"/>
            <w:noWrap w:val="0"/>
            <w:vAlign w:val="center"/>
          </w:tcPr>
          <w:p>
            <w:pPr>
              <w:adjustRightInd w:val="0"/>
              <w:snapToGrid w:val="0"/>
              <w:spacing w:line="360" w:lineRule="auto"/>
              <w:jc w:val="center"/>
              <w:rPr>
                <w:rFonts w:hint="eastAsia" w:eastAsia="宋体"/>
                <w:sz w:val="21"/>
                <w:szCs w:val="21"/>
                <w:lang w:val="en-US" w:eastAsia="zh-CN"/>
              </w:rPr>
            </w:pPr>
            <w:r>
              <w:rPr>
                <w:rFonts w:hint="eastAsia"/>
                <w:sz w:val="21"/>
                <w:szCs w:val="21"/>
                <w:lang w:val="en-US" w:eastAsia="zh-CN"/>
              </w:rPr>
              <w:t>1</w:t>
            </w:r>
          </w:p>
        </w:tc>
        <w:tc>
          <w:tcPr>
            <w:tcW w:w="998" w:type="pct"/>
            <w:noWrap w:val="0"/>
            <w:vAlign w:val="center"/>
          </w:tcPr>
          <w:p>
            <w:pPr>
              <w:adjustRightInd w:val="0"/>
              <w:snapToGrid w:val="0"/>
              <w:spacing w:line="360" w:lineRule="auto"/>
              <w:jc w:val="center"/>
              <w:rPr>
                <w:rFonts w:hint="eastAsia" w:eastAsia="宋体"/>
                <w:sz w:val="21"/>
                <w:szCs w:val="21"/>
                <w:lang w:val="en-US" w:eastAsia="zh-CN"/>
              </w:rPr>
            </w:pPr>
            <w:r>
              <w:rPr>
                <w:rFonts w:hint="eastAsia"/>
                <w:sz w:val="21"/>
                <w:szCs w:val="21"/>
                <w:lang w:val="en-US" w:eastAsia="zh-CN"/>
              </w:rPr>
              <w:t>3.1术语</w:t>
            </w:r>
          </w:p>
        </w:tc>
        <w:tc>
          <w:tcPr>
            <w:tcW w:w="2059" w:type="pct"/>
            <w:noWrap w:val="0"/>
            <w:vAlign w:val="center"/>
          </w:tcPr>
          <w:p>
            <w:pPr>
              <w:adjustRightInd w:val="0"/>
              <w:snapToGrid w:val="0"/>
              <w:spacing w:line="360" w:lineRule="auto"/>
              <w:jc w:val="center"/>
              <w:rPr>
                <w:rFonts w:hint="default" w:eastAsia="宋体"/>
                <w:sz w:val="21"/>
                <w:szCs w:val="21"/>
                <w:lang w:val="en-US" w:eastAsia="zh-CN"/>
              </w:rPr>
            </w:pPr>
            <w:r>
              <w:rPr>
                <w:rFonts w:hint="eastAsia" w:ascii="Times New Roman" w:hAnsi="Times New Roman" w:eastAsia="宋体" w:cs="Times New Roman"/>
                <w:sz w:val="21"/>
                <w:szCs w:val="21"/>
                <w:lang w:val="en-US" w:eastAsia="zh-CN"/>
              </w:rPr>
              <w:t>将各术语加上英文</w:t>
            </w:r>
          </w:p>
        </w:tc>
        <w:tc>
          <w:tcPr>
            <w:tcW w:w="718" w:type="pct"/>
            <w:noWrap w:val="0"/>
            <w:vAlign w:val="center"/>
          </w:tcPr>
          <w:p>
            <w:pPr>
              <w:adjustRightInd w:val="0"/>
              <w:snapToGrid w:val="0"/>
              <w:spacing w:line="360" w:lineRule="auto"/>
              <w:jc w:val="center"/>
              <w:rPr>
                <w:rFonts w:hint="default" w:eastAsia="宋体"/>
                <w:sz w:val="21"/>
                <w:szCs w:val="21"/>
                <w:lang w:val="en-US" w:eastAsia="zh-CN"/>
              </w:rPr>
            </w:pPr>
            <w:r>
              <w:rPr>
                <w:rFonts w:hint="eastAsia"/>
                <w:sz w:val="21"/>
                <w:szCs w:val="21"/>
                <w:lang w:val="en-US" w:eastAsia="zh-CN"/>
              </w:rPr>
              <w:t>西南铝业</w:t>
            </w:r>
          </w:p>
        </w:tc>
        <w:tc>
          <w:tcPr>
            <w:tcW w:w="830" w:type="pct"/>
            <w:noWrap w:val="0"/>
            <w:vAlign w:val="center"/>
          </w:tcPr>
          <w:p>
            <w:pPr>
              <w:adjustRightInd w:val="0"/>
              <w:snapToGrid w:val="0"/>
              <w:spacing w:line="360" w:lineRule="auto"/>
              <w:jc w:val="center"/>
              <w:rPr>
                <w:rFonts w:hint="default"/>
                <w:sz w:val="21"/>
                <w:szCs w:val="21"/>
                <w:lang w:val="en-US" w:eastAsia="zh-CN"/>
              </w:rPr>
            </w:pPr>
            <w:r>
              <w:rPr>
                <w:rFonts w:hint="eastAsia"/>
                <w:sz w:val="21"/>
                <w:szCs w:val="21"/>
                <w:lang w:val="en-US" w:eastAsia="zh-CN"/>
              </w:rPr>
              <w:t>采纳，加上英文更符合校准规范中对术语描述的要求。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93" w:type="pct"/>
            <w:noWrap w:val="0"/>
            <w:vAlign w:val="center"/>
          </w:tcPr>
          <w:p>
            <w:pPr>
              <w:adjustRightInd w:val="0"/>
              <w:snapToGrid w:val="0"/>
              <w:spacing w:line="360" w:lineRule="auto"/>
              <w:jc w:val="center"/>
              <w:rPr>
                <w:rFonts w:hint="eastAsia" w:eastAsia="宋体"/>
                <w:sz w:val="21"/>
                <w:szCs w:val="21"/>
                <w:lang w:val="en-US" w:eastAsia="zh-CN"/>
              </w:rPr>
            </w:pPr>
            <w:r>
              <w:rPr>
                <w:rFonts w:hint="eastAsia"/>
                <w:sz w:val="21"/>
                <w:szCs w:val="21"/>
                <w:lang w:val="en-US" w:eastAsia="zh-CN"/>
              </w:rPr>
              <w:t>2</w:t>
            </w:r>
          </w:p>
        </w:tc>
        <w:tc>
          <w:tcPr>
            <w:tcW w:w="998" w:type="pct"/>
            <w:noWrap w:val="0"/>
            <w:vAlign w:val="center"/>
          </w:tcPr>
          <w:p>
            <w:pPr>
              <w:adjustRightInd w:val="0"/>
              <w:snapToGrid w:val="0"/>
              <w:spacing w:line="360" w:lineRule="auto"/>
              <w:jc w:val="center"/>
              <w:rPr>
                <w:rFonts w:hint="default" w:eastAsia="宋体"/>
                <w:sz w:val="21"/>
                <w:szCs w:val="21"/>
                <w:lang w:val="en-US" w:eastAsia="zh-CN"/>
              </w:rPr>
            </w:pPr>
            <w:r>
              <w:rPr>
                <w:rFonts w:hint="default" w:eastAsia="宋体"/>
                <w:sz w:val="21"/>
                <w:szCs w:val="21"/>
                <w:lang w:val="en-US" w:eastAsia="zh-CN"/>
              </w:rPr>
              <w:t>6.2 测量标准及其他设备技术要求</w:t>
            </w:r>
          </w:p>
        </w:tc>
        <w:tc>
          <w:tcPr>
            <w:tcW w:w="2059" w:type="pct"/>
            <w:noWrap w:val="0"/>
            <w:vAlign w:val="center"/>
          </w:tcPr>
          <w:p>
            <w:pPr>
              <w:adjustRightInd w:val="0"/>
              <w:snapToGrid w:val="0"/>
              <w:spacing w:line="360" w:lineRule="auto"/>
              <w:jc w:val="center"/>
              <w:rPr>
                <w:rFonts w:hint="default"/>
                <w:sz w:val="21"/>
                <w:szCs w:val="21"/>
                <w:lang w:val="en-US" w:eastAsia="zh-CN"/>
              </w:rPr>
            </w:pPr>
            <w:r>
              <w:rPr>
                <w:rFonts w:hint="eastAsia" w:eastAsia="宋体"/>
                <w:sz w:val="21"/>
                <w:szCs w:val="21"/>
                <w:lang w:val="en-US" w:eastAsia="zh-CN"/>
              </w:rPr>
              <w:t>测量标准“数显千分尺”需要重新确认</w:t>
            </w:r>
          </w:p>
        </w:tc>
        <w:tc>
          <w:tcPr>
            <w:tcW w:w="718" w:type="pct"/>
            <w:noWrap w:val="0"/>
            <w:vAlign w:val="center"/>
          </w:tcPr>
          <w:p>
            <w:pPr>
              <w:adjustRightInd w:val="0"/>
              <w:snapToGrid w:val="0"/>
              <w:spacing w:line="360" w:lineRule="auto"/>
              <w:jc w:val="center"/>
              <w:rPr>
                <w:rFonts w:hint="default" w:eastAsia="宋体"/>
                <w:sz w:val="21"/>
                <w:szCs w:val="21"/>
                <w:lang w:val="en-US" w:eastAsia="zh-CN"/>
              </w:rPr>
            </w:pPr>
            <w:r>
              <w:rPr>
                <w:rFonts w:hint="eastAsia"/>
                <w:sz w:val="21"/>
                <w:szCs w:val="21"/>
                <w:lang w:val="en-US" w:eastAsia="zh-CN"/>
              </w:rPr>
              <w:t>西南铝业</w:t>
            </w:r>
          </w:p>
        </w:tc>
        <w:tc>
          <w:tcPr>
            <w:tcW w:w="830" w:type="pct"/>
            <w:noWrap w:val="0"/>
            <w:vAlign w:val="center"/>
          </w:tcPr>
          <w:p>
            <w:pPr>
              <w:adjustRightInd w:val="0"/>
              <w:snapToGrid w:val="0"/>
              <w:spacing w:line="360" w:lineRule="auto"/>
              <w:jc w:val="center"/>
              <w:rPr>
                <w:rFonts w:hint="default"/>
                <w:sz w:val="21"/>
                <w:szCs w:val="21"/>
                <w:lang w:val="en-US"/>
              </w:rPr>
            </w:pPr>
            <w:r>
              <w:rPr>
                <w:rFonts w:hint="eastAsia"/>
                <w:sz w:val="21"/>
                <w:szCs w:val="21"/>
                <w:lang w:val="en-US" w:eastAsia="zh-CN"/>
              </w:rPr>
              <w:t>采纳，将“数显千分尺”修改为“数显千分表”，更符合对标准器的描述。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93" w:type="pct"/>
            <w:noWrap w:val="0"/>
            <w:vAlign w:val="center"/>
          </w:tcPr>
          <w:p>
            <w:pPr>
              <w:adjustRightInd w:val="0"/>
              <w:snapToGrid w:val="0"/>
              <w:spacing w:line="360" w:lineRule="auto"/>
              <w:jc w:val="center"/>
              <w:rPr>
                <w:rFonts w:hint="eastAsia" w:eastAsia="宋体"/>
                <w:sz w:val="21"/>
                <w:szCs w:val="21"/>
                <w:lang w:val="en-US" w:eastAsia="zh-CN"/>
              </w:rPr>
            </w:pPr>
            <w:r>
              <w:rPr>
                <w:rFonts w:hint="eastAsia"/>
                <w:sz w:val="21"/>
                <w:szCs w:val="21"/>
                <w:lang w:val="en-US" w:eastAsia="zh-CN"/>
              </w:rPr>
              <w:t>3</w:t>
            </w:r>
          </w:p>
        </w:tc>
        <w:tc>
          <w:tcPr>
            <w:tcW w:w="998" w:type="pct"/>
            <w:noWrap w:val="0"/>
            <w:vAlign w:val="center"/>
          </w:tcPr>
          <w:p>
            <w:pPr>
              <w:adjustRightInd w:val="0"/>
              <w:snapToGrid w:val="0"/>
              <w:spacing w:line="360" w:lineRule="auto"/>
              <w:jc w:val="center"/>
              <w:rPr>
                <w:rFonts w:hint="default" w:eastAsia="宋体"/>
                <w:sz w:val="21"/>
                <w:szCs w:val="21"/>
                <w:lang w:val="en-US" w:eastAsia="zh-CN"/>
              </w:rPr>
            </w:pPr>
            <w:r>
              <w:rPr>
                <w:rFonts w:hint="eastAsia" w:eastAsia="宋体"/>
                <w:sz w:val="21"/>
                <w:szCs w:val="21"/>
                <w:lang w:val="en-US" w:eastAsia="zh-CN"/>
              </w:rPr>
              <w:t>7.2.8伺服作动系统作动筒位移</w:t>
            </w:r>
          </w:p>
        </w:tc>
        <w:tc>
          <w:tcPr>
            <w:tcW w:w="2059" w:type="pct"/>
            <w:noWrap w:val="0"/>
            <w:vAlign w:val="center"/>
          </w:tcPr>
          <w:p>
            <w:pPr>
              <w:adjustRightInd w:val="0"/>
              <w:snapToGrid w:val="0"/>
              <w:spacing w:line="360" w:lineRule="auto"/>
              <w:rPr>
                <w:rFonts w:hint="default" w:eastAsia="宋体"/>
                <w:kern w:val="2"/>
                <w:sz w:val="21"/>
                <w:szCs w:val="21"/>
                <w:lang w:val="en-US" w:eastAsia="zh-CN" w:bidi="ar-SA"/>
              </w:rPr>
            </w:pPr>
            <w:r>
              <w:rPr>
                <w:rFonts w:hint="eastAsia"/>
                <w:sz w:val="21"/>
                <w:szCs w:val="21"/>
                <w:lang w:val="en-US" w:eastAsia="zh-CN"/>
              </w:rPr>
              <w:t>文中“将数显千分表固定在合适位置”应重新描述，使校准过程更加明确具体。</w:t>
            </w:r>
          </w:p>
        </w:tc>
        <w:tc>
          <w:tcPr>
            <w:tcW w:w="718" w:type="pct"/>
            <w:noWrap w:val="0"/>
            <w:vAlign w:val="center"/>
          </w:tcPr>
          <w:p>
            <w:pPr>
              <w:adjustRightInd w:val="0"/>
              <w:snapToGrid w:val="0"/>
              <w:spacing w:line="360" w:lineRule="auto"/>
              <w:jc w:val="center"/>
              <w:rPr>
                <w:rFonts w:hint="default" w:eastAsia="宋体"/>
                <w:kern w:val="2"/>
                <w:sz w:val="21"/>
                <w:szCs w:val="21"/>
                <w:lang w:val="en-US" w:eastAsia="zh-CN" w:bidi="ar-SA"/>
              </w:rPr>
            </w:pPr>
            <w:r>
              <w:rPr>
                <w:rFonts w:hint="eastAsia"/>
                <w:sz w:val="21"/>
                <w:szCs w:val="21"/>
                <w:lang w:val="en-US" w:eastAsia="zh-CN"/>
              </w:rPr>
              <w:t>七二五研究所</w:t>
            </w:r>
          </w:p>
        </w:tc>
        <w:tc>
          <w:tcPr>
            <w:tcW w:w="830" w:type="pct"/>
            <w:noWrap w:val="0"/>
            <w:vAlign w:val="center"/>
          </w:tcPr>
          <w:p>
            <w:pPr>
              <w:adjustRightInd w:val="0"/>
              <w:snapToGrid w:val="0"/>
              <w:spacing w:line="360" w:lineRule="auto"/>
              <w:rPr>
                <w:rFonts w:hint="default" w:eastAsia="宋体"/>
                <w:sz w:val="21"/>
                <w:szCs w:val="21"/>
                <w:lang w:val="en-US" w:eastAsia="zh-CN"/>
              </w:rPr>
            </w:pPr>
            <w:r>
              <w:rPr>
                <w:rFonts w:hint="eastAsia"/>
                <w:sz w:val="21"/>
                <w:szCs w:val="21"/>
                <w:lang w:val="en-US" w:eastAsia="zh-CN"/>
              </w:rPr>
              <w:t>采纳，将“数显千分表固定在合适位置”修改为“</w:t>
            </w:r>
            <w:r>
              <w:rPr>
                <w:rFonts w:hint="eastAsia" w:eastAsiaTheme="minorEastAsia"/>
                <w:kern w:val="0"/>
                <w:sz w:val="24"/>
              </w:rPr>
              <w:t>将数显千分表固定在垂直于试验系统下夹头的位置</w:t>
            </w:r>
            <w:r>
              <w:rPr>
                <w:rFonts w:hint="eastAsia"/>
                <w:sz w:val="21"/>
                <w:szCs w:val="21"/>
                <w:lang w:val="en-US" w:eastAsia="zh-CN"/>
              </w:rPr>
              <w:t>”，使校准过程更加准确。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93" w:type="pct"/>
            <w:noWrap w:val="0"/>
            <w:vAlign w:val="center"/>
          </w:tcPr>
          <w:p>
            <w:pPr>
              <w:adjustRightInd w:val="0"/>
              <w:snapToGrid w:val="0"/>
              <w:spacing w:line="360" w:lineRule="auto"/>
              <w:jc w:val="center"/>
              <w:rPr>
                <w:rFonts w:hint="eastAsia" w:eastAsia="宋体"/>
                <w:sz w:val="21"/>
                <w:szCs w:val="21"/>
                <w:lang w:val="en-US" w:eastAsia="zh-CN"/>
              </w:rPr>
            </w:pPr>
            <w:r>
              <w:rPr>
                <w:rFonts w:hint="eastAsia"/>
                <w:sz w:val="21"/>
                <w:szCs w:val="21"/>
                <w:lang w:val="en-US" w:eastAsia="zh-CN"/>
              </w:rPr>
              <w:t>4</w:t>
            </w:r>
          </w:p>
        </w:tc>
        <w:tc>
          <w:tcPr>
            <w:tcW w:w="998" w:type="pct"/>
            <w:noWrap w:val="0"/>
            <w:vAlign w:val="center"/>
          </w:tcPr>
          <w:p>
            <w:pPr>
              <w:adjustRightInd w:val="0"/>
              <w:snapToGrid w:val="0"/>
              <w:spacing w:line="360" w:lineRule="auto"/>
              <w:rPr>
                <w:rFonts w:hint="default" w:eastAsia="宋体"/>
                <w:sz w:val="21"/>
                <w:szCs w:val="21"/>
                <w:lang w:val="en-US" w:eastAsia="zh-CN"/>
              </w:rPr>
            </w:pPr>
            <w:r>
              <w:rPr>
                <w:rFonts w:hint="eastAsia" w:eastAsia="宋体"/>
                <w:sz w:val="21"/>
                <w:szCs w:val="21"/>
                <w:lang w:val="en-US" w:eastAsia="zh-CN"/>
              </w:rPr>
              <w:t>7.2.</w:t>
            </w:r>
            <w:r>
              <w:rPr>
                <w:rFonts w:hint="eastAsia"/>
                <w:sz w:val="21"/>
                <w:szCs w:val="21"/>
                <w:lang w:val="en-US" w:eastAsia="zh-CN"/>
              </w:rPr>
              <w:t>9</w:t>
            </w:r>
            <w:r>
              <w:rPr>
                <w:rFonts w:hint="eastAsia" w:eastAsia="宋体"/>
                <w:sz w:val="21"/>
                <w:szCs w:val="21"/>
                <w:lang w:val="en-US" w:eastAsia="zh-CN"/>
              </w:rPr>
              <w:t>伺服作动系统作动筒</w:t>
            </w:r>
            <w:r>
              <w:rPr>
                <w:rFonts w:hint="eastAsia"/>
                <w:sz w:val="21"/>
                <w:szCs w:val="21"/>
                <w:lang w:val="en-US" w:eastAsia="zh-CN"/>
              </w:rPr>
              <w:t>速度</w:t>
            </w:r>
          </w:p>
        </w:tc>
        <w:tc>
          <w:tcPr>
            <w:tcW w:w="2059" w:type="pct"/>
            <w:noWrap w:val="0"/>
            <w:vAlign w:val="center"/>
          </w:tcPr>
          <w:p>
            <w:pPr>
              <w:adjustRightInd w:val="0"/>
              <w:snapToGrid w:val="0"/>
              <w:spacing w:line="360" w:lineRule="auto"/>
              <w:rPr>
                <w:rFonts w:hint="default" w:eastAsia="宋体"/>
                <w:sz w:val="21"/>
                <w:szCs w:val="21"/>
                <w:lang w:val="en-US" w:eastAsia="zh-CN"/>
              </w:rPr>
            </w:pPr>
            <w:r>
              <w:rPr>
                <w:rFonts w:hint="eastAsia"/>
                <w:sz w:val="21"/>
                <w:szCs w:val="21"/>
                <w:lang w:val="en-US" w:eastAsia="zh-CN"/>
              </w:rPr>
              <w:t>应对该项目校准过程进行详细描述。</w:t>
            </w:r>
          </w:p>
        </w:tc>
        <w:tc>
          <w:tcPr>
            <w:tcW w:w="718" w:type="pct"/>
            <w:noWrap w:val="0"/>
            <w:vAlign w:val="center"/>
          </w:tcPr>
          <w:p>
            <w:pPr>
              <w:adjustRightInd w:val="0"/>
              <w:snapToGrid w:val="0"/>
              <w:spacing w:line="360" w:lineRule="auto"/>
              <w:jc w:val="center"/>
              <w:rPr>
                <w:rFonts w:hint="default" w:eastAsia="宋体"/>
                <w:sz w:val="21"/>
                <w:szCs w:val="21"/>
                <w:lang w:val="en-US" w:eastAsia="zh-CN"/>
              </w:rPr>
            </w:pPr>
            <w:r>
              <w:rPr>
                <w:rFonts w:hint="eastAsia"/>
                <w:sz w:val="21"/>
                <w:szCs w:val="21"/>
                <w:lang w:val="en-US" w:eastAsia="zh-CN"/>
              </w:rPr>
              <w:t>新疆湘润</w:t>
            </w:r>
          </w:p>
        </w:tc>
        <w:tc>
          <w:tcPr>
            <w:tcW w:w="830" w:type="pct"/>
            <w:noWrap w:val="0"/>
            <w:vAlign w:val="center"/>
          </w:tcPr>
          <w:p>
            <w:pPr>
              <w:adjustRightInd w:val="0"/>
              <w:snapToGrid w:val="0"/>
              <w:spacing w:line="360" w:lineRule="auto"/>
              <w:rPr>
                <w:rFonts w:hint="default" w:eastAsia="宋体"/>
                <w:sz w:val="21"/>
                <w:szCs w:val="21"/>
                <w:lang w:val="en-US" w:eastAsia="zh-CN"/>
              </w:rPr>
            </w:pPr>
            <w:r>
              <w:rPr>
                <w:rFonts w:hint="eastAsia"/>
                <w:sz w:val="21"/>
                <w:szCs w:val="21"/>
                <w:lang w:val="en-US" w:eastAsia="zh-CN"/>
              </w:rPr>
              <w:t>采纳，重新对该项目校准过程进行描述。</w:t>
            </w:r>
          </w:p>
        </w:tc>
      </w:tr>
    </w:tbl>
    <w:p>
      <w:pPr>
        <w:pStyle w:val="2"/>
        <w:spacing w:before="156" w:after="156"/>
        <w:rPr>
          <w:b w:val="0"/>
          <w:bCs w:val="0"/>
        </w:rPr>
      </w:pPr>
      <w:r>
        <w:rPr>
          <w:rFonts w:hint="eastAsia"/>
          <w:b w:val="0"/>
          <w:bCs w:val="0"/>
        </w:rPr>
        <w:t>二、编制原则和依据</w:t>
      </w:r>
    </w:p>
    <w:p>
      <w:pPr>
        <w:pStyle w:val="3"/>
        <w:spacing w:before="156" w:after="156"/>
        <w:rPr>
          <w:b w:val="0"/>
          <w:bCs w:val="0"/>
        </w:rPr>
      </w:pPr>
      <w:bookmarkStart w:id="12" w:name="_Toc464728925"/>
      <w:r>
        <w:rPr>
          <w:rFonts w:hint="eastAsia"/>
          <w:b w:val="0"/>
          <w:bCs w:val="0"/>
        </w:rPr>
        <w:t>（一）编制原则</w:t>
      </w:r>
      <w:bookmarkEnd w:id="12"/>
    </w:p>
    <w:p>
      <w:pPr>
        <w:spacing w:line="400" w:lineRule="exact"/>
        <w:ind w:firstLine="420" w:firstLineChars="200"/>
        <w:rPr>
          <w:szCs w:val="21"/>
        </w:rPr>
      </w:pPr>
      <w:bookmarkStart w:id="13" w:name="_Toc464728926"/>
      <w:r>
        <w:rPr>
          <w:rFonts w:hint="eastAsia"/>
          <w:szCs w:val="21"/>
        </w:rPr>
        <w:t>本规范是以JJF 1071-2010《国家计量校准规范编写规则》、JJF 1001-2011《通用计量术语及定义》和JJF 1059.1-2012《测量不确定度评定与表示》为基础性系列规范进行编写。</w:t>
      </w:r>
    </w:p>
    <w:p>
      <w:pPr>
        <w:spacing w:line="400" w:lineRule="exact"/>
        <w:ind w:firstLine="420" w:firstLineChars="200"/>
        <w:rPr>
          <w:szCs w:val="21"/>
        </w:rPr>
      </w:pPr>
      <w:r>
        <w:rPr>
          <w:rFonts w:hint="eastAsia"/>
          <w:szCs w:val="21"/>
        </w:rPr>
        <w:t>本规范对平面双轴试验系统的结构进行分析研究，提出了平面双轴试验系统的关键计量特性，同时，规范基于GB/T 25917单轴疲劳试验系统 第一部分：动态力校准和JJG 475电子万能试验机等相关内容，提出了平面双轴试验系统计量特性的要求，制定了基本原则和编制依据，提高了平面双轴试验系统的计量准确性，解决了目前平面双轴试验系统无校准规范的问题。</w:t>
      </w:r>
    </w:p>
    <w:p>
      <w:pPr>
        <w:pStyle w:val="3"/>
        <w:spacing w:before="156" w:after="156"/>
        <w:rPr>
          <w:rFonts w:ascii="宋体" w:hAnsi="宋体"/>
          <w:b w:val="0"/>
          <w:bCs w:val="0"/>
        </w:rPr>
      </w:pPr>
      <w:r>
        <w:rPr>
          <w:rFonts w:hint="eastAsia"/>
          <w:b w:val="0"/>
          <w:bCs w:val="0"/>
        </w:rPr>
        <w:t>（二）确定主要内</w:t>
      </w:r>
      <w:bookmarkEnd w:id="13"/>
      <w:r>
        <w:rPr>
          <w:rFonts w:hint="eastAsia"/>
          <w:b w:val="0"/>
          <w:bCs w:val="0"/>
        </w:rPr>
        <w:t>容</w:t>
      </w:r>
    </w:p>
    <w:p>
      <w:pPr>
        <w:pStyle w:val="4"/>
        <w:spacing w:before="156" w:after="156"/>
        <w:rPr>
          <w:b w:val="0"/>
          <w:bCs w:val="0"/>
        </w:rPr>
      </w:pPr>
      <w:bookmarkStart w:id="14" w:name="_Toc193860027"/>
      <w:bookmarkStart w:id="15" w:name="_Toc193860208"/>
      <w:bookmarkStart w:id="16" w:name="_Toc500258929"/>
      <w:bookmarkStart w:id="17" w:name="_Toc23837_WPSOffice_Level1"/>
      <w:bookmarkStart w:id="18" w:name="_Toc193860177"/>
      <w:bookmarkStart w:id="19" w:name="_Toc464728964"/>
      <w:r>
        <w:rPr>
          <w:rFonts w:hint="eastAsia"/>
          <w:b w:val="0"/>
          <w:bCs w:val="0"/>
        </w:rPr>
        <w:t>1范围</w:t>
      </w:r>
      <w:bookmarkEnd w:id="14"/>
      <w:bookmarkEnd w:id="15"/>
      <w:bookmarkEnd w:id="16"/>
      <w:bookmarkEnd w:id="17"/>
      <w:bookmarkEnd w:id="18"/>
    </w:p>
    <w:p>
      <w:pPr>
        <w:spacing w:line="400" w:lineRule="exact"/>
        <w:ind w:firstLine="420" w:firstLineChars="200"/>
        <w:rPr>
          <w:rFonts w:eastAsiaTheme="minorEastAsia"/>
          <w:kern w:val="0"/>
          <w:szCs w:val="21"/>
        </w:rPr>
      </w:pPr>
      <w:r>
        <w:rPr>
          <w:rFonts w:hint="eastAsia"/>
        </w:rPr>
        <w:t>本规范适用于平面双轴试验系统（以下简称试验系统）的校准</w:t>
      </w:r>
      <w:r>
        <w:rPr>
          <w:rFonts w:hint="eastAsia" w:eastAsiaTheme="minorEastAsia"/>
          <w:kern w:val="0"/>
          <w:szCs w:val="21"/>
        </w:rPr>
        <w:t>。该设备是检测金属材料同向性和异向性的主要设备之一。</w:t>
      </w:r>
    </w:p>
    <w:p>
      <w:pPr>
        <w:pStyle w:val="4"/>
        <w:spacing w:before="156" w:after="156"/>
        <w:rPr>
          <w:b w:val="0"/>
          <w:bCs w:val="0"/>
        </w:rPr>
      </w:pPr>
      <w:bookmarkStart w:id="20" w:name="_Toc193860178"/>
      <w:bookmarkStart w:id="21" w:name="_Toc193860028"/>
      <w:bookmarkStart w:id="22" w:name="_Toc193860209"/>
      <w:bookmarkStart w:id="23" w:name="_Toc7848_WPSOffice_Level1"/>
      <w:bookmarkStart w:id="24" w:name="_Toc500258930"/>
      <w:r>
        <w:rPr>
          <w:rFonts w:hint="eastAsia"/>
          <w:b w:val="0"/>
          <w:bCs w:val="0"/>
        </w:rPr>
        <w:t>2 引用文</w:t>
      </w:r>
      <w:bookmarkEnd w:id="20"/>
      <w:bookmarkEnd w:id="21"/>
      <w:bookmarkEnd w:id="22"/>
      <w:r>
        <w:rPr>
          <w:rFonts w:hint="eastAsia"/>
          <w:b w:val="0"/>
          <w:bCs w:val="0"/>
        </w:rPr>
        <w:t>件</w:t>
      </w:r>
      <w:bookmarkEnd w:id="23"/>
      <w:bookmarkEnd w:id="24"/>
    </w:p>
    <w:p>
      <w:pPr>
        <w:spacing w:line="400" w:lineRule="exact"/>
        <w:ind w:firstLine="420" w:firstLineChars="200"/>
        <w:rPr>
          <w:kern w:val="0"/>
        </w:rPr>
      </w:pPr>
      <w:r>
        <w:rPr>
          <w:rFonts w:hint="eastAsia"/>
        </w:rPr>
        <w:t>本规范主要计量特性参数引自GB/T 16825.1-2022 静力单轴试验机的检验与校准 第1部分：拉力和（压力）试验机 测力系统的检验与校准、GB/T 3075-2021 金属材料 疲劳试验 轴向力控制方法、GB/T 25917.1-2019 单轴疲劳试验系统 第一部分：动态力校准和JJG 556-2011 轴向加力疲劳试验机。</w:t>
      </w:r>
    </w:p>
    <w:p>
      <w:pPr>
        <w:spacing w:line="400" w:lineRule="exact"/>
        <w:ind w:firstLine="420" w:firstLineChars="200"/>
      </w:pPr>
      <w:r>
        <w:rPr>
          <w:rFonts w:hint="eastAsia"/>
        </w:rPr>
        <w:t>针对伺服作动系统</w:t>
      </w:r>
      <w:r>
        <w:t>作动筒位移</w:t>
      </w:r>
      <w:r>
        <w:rPr>
          <w:rFonts w:hint="eastAsia"/>
        </w:rPr>
        <w:t>和伺服作动系统</w:t>
      </w:r>
      <w:r>
        <w:t>作动筒速度</w:t>
      </w:r>
      <w:r>
        <w:rPr>
          <w:rFonts w:hint="eastAsia"/>
        </w:rPr>
        <w:t>，参考了JJG 475-2008 电子式万能试验机中对试验机横梁位移和试验机横梁速度的表述。</w:t>
      </w:r>
    </w:p>
    <w:p>
      <w:pPr>
        <w:pStyle w:val="4"/>
        <w:spacing w:before="156" w:after="156"/>
        <w:rPr>
          <w:b w:val="0"/>
          <w:bCs w:val="0"/>
        </w:rPr>
      </w:pPr>
      <w:bookmarkStart w:id="25" w:name="_Toc193860180"/>
      <w:bookmarkStart w:id="26" w:name="_Toc193619097"/>
      <w:bookmarkStart w:id="27" w:name="_Toc193860211"/>
      <w:bookmarkStart w:id="28" w:name="_Toc500258937"/>
      <w:bookmarkStart w:id="29" w:name="_Toc13054_WPSOffice_Level1"/>
      <w:bookmarkStart w:id="30" w:name="_Toc193619055"/>
      <w:bookmarkStart w:id="31" w:name="_Toc193860030"/>
      <w:bookmarkStart w:id="32" w:name="_Toc193618952"/>
      <w:r>
        <w:rPr>
          <w:rFonts w:hint="eastAsia"/>
          <w:b w:val="0"/>
          <w:bCs w:val="0"/>
        </w:rPr>
        <w:t>3 概述</w:t>
      </w:r>
      <w:bookmarkEnd w:id="25"/>
      <w:bookmarkEnd w:id="26"/>
      <w:bookmarkEnd w:id="27"/>
      <w:bookmarkEnd w:id="28"/>
      <w:bookmarkEnd w:id="29"/>
      <w:bookmarkEnd w:id="30"/>
      <w:bookmarkEnd w:id="31"/>
      <w:bookmarkEnd w:id="32"/>
    </w:p>
    <w:p>
      <w:pPr>
        <w:autoSpaceDE w:val="0"/>
        <w:autoSpaceDN w:val="0"/>
        <w:adjustRightInd w:val="0"/>
        <w:spacing w:line="400" w:lineRule="exact"/>
        <w:ind w:firstLine="420" w:firstLineChars="200"/>
      </w:pPr>
      <w:r>
        <w:rPr>
          <w:rFonts w:hint="eastAsia"/>
        </w:rPr>
        <w:t>平面双轴试验系统是指采用电液伺服的激振方式，通过控制伺服作动系统，可对材料各同向性和异向性进行分析，实现双轴载荷加载的力学性能测试设备。平面双轴试验系统广泛应金属材料双轴载荷测试、非金属材料双轴载荷测试。一般由控制系统、数据采集系统、伺服作动系统、液压夹具以及应变测量装置等部分组成。</w:t>
      </w:r>
    </w:p>
    <w:p>
      <w:pPr>
        <w:pStyle w:val="4"/>
        <w:spacing w:before="156" w:after="156"/>
        <w:rPr>
          <w:b w:val="0"/>
          <w:bCs w:val="0"/>
        </w:rPr>
      </w:pPr>
      <w:bookmarkStart w:id="33" w:name="_Toc193619056"/>
      <w:bookmarkStart w:id="34" w:name="_Toc500258938"/>
      <w:bookmarkStart w:id="35" w:name="_Toc193619098"/>
      <w:bookmarkStart w:id="36" w:name="_Toc193860212"/>
      <w:bookmarkStart w:id="37" w:name="_Toc19851_WPSOffice_Level1"/>
      <w:bookmarkStart w:id="38" w:name="_Toc193618953"/>
      <w:bookmarkStart w:id="39" w:name="_Toc193860031"/>
      <w:bookmarkStart w:id="40" w:name="_Toc193860181"/>
      <w:r>
        <w:rPr>
          <w:rFonts w:hint="eastAsia"/>
          <w:b w:val="0"/>
          <w:bCs w:val="0"/>
        </w:rPr>
        <w:t>4计量特性</w:t>
      </w:r>
      <w:bookmarkEnd w:id="33"/>
      <w:bookmarkEnd w:id="34"/>
      <w:bookmarkEnd w:id="35"/>
      <w:bookmarkEnd w:id="36"/>
      <w:bookmarkEnd w:id="37"/>
      <w:bookmarkEnd w:id="38"/>
      <w:bookmarkEnd w:id="39"/>
      <w:bookmarkEnd w:id="40"/>
      <w:bookmarkStart w:id="41" w:name="_Toc25829_WPSOffice_Level1"/>
    </w:p>
    <w:p>
      <w:pPr>
        <w:spacing w:line="400" w:lineRule="exact"/>
        <w:ind w:firstLine="420" w:firstLineChars="200"/>
      </w:pPr>
      <w:r>
        <w:rPr>
          <w:rFonts w:hint="eastAsia" w:cstheme="majorBidi"/>
          <w:kern w:val="44"/>
        </w:rPr>
        <w:t>根据实际使用情况，并与</w:t>
      </w:r>
      <w:r>
        <w:rPr>
          <w:rFonts w:hint="eastAsia"/>
          <w:szCs w:val="21"/>
        </w:rPr>
        <w:t>中国船舶集团有限公司第七二五研究所</w:t>
      </w:r>
      <w:r>
        <w:rPr>
          <w:rFonts w:hint="eastAsia" w:cstheme="majorBidi"/>
          <w:kern w:val="44"/>
        </w:rPr>
        <w:t>、</w:t>
      </w:r>
      <w:r>
        <w:rPr>
          <w:rFonts w:hint="eastAsia"/>
          <w:szCs w:val="21"/>
        </w:rPr>
        <w:t>新疆湘润新材料科技有限公司</w:t>
      </w:r>
      <w:r>
        <w:rPr>
          <w:rFonts w:hint="eastAsia" w:cstheme="majorBidi"/>
          <w:kern w:val="44"/>
        </w:rPr>
        <w:t>等单位沟通，确定了</w:t>
      </w:r>
      <w:r>
        <w:rPr>
          <w:rFonts w:hint="eastAsia"/>
        </w:rPr>
        <w:t>平面双轴试验系统的计量特性如下：</w:t>
      </w:r>
    </w:p>
    <w:p>
      <w:pPr>
        <w:spacing w:line="400" w:lineRule="exact"/>
        <w:rPr>
          <w:rFonts w:cstheme="majorBidi"/>
          <w:kern w:val="44"/>
        </w:rPr>
      </w:pPr>
    </w:p>
    <w:p>
      <w:pPr>
        <w:jc w:val="center"/>
      </w:pPr>
      <w:r>
        <w:rPr>
          <w:rFonts w:hint="eastAsia"/>
        </w:rPr>
        <w:t>表1 试验系统计量特性</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4353"/>
        <w:gridCol w:w="4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5" w:type="dxa"/>
            <w:vAlign w:val="center"/>
          </w:tcPr>
          <w:p>
            <w:pPr>
              <w:rPr>
                <w:szCs w:val="21"/>
              </w:rPr>
            </w:pPr>
            <w:r>
              <w:rPr>
                <w:rFonts w:hint="eastAsia"/>
                <w:szCs w:val="21"/>
              </w:rPr>
              <w:t>序号</w:t>
            </w:r>
          </w:p>
        </w:tc>
        <w:tc>
          <w:tcPr>
            <w:tcW w:w="4353" w:type="dxa"/>
            <w:vAlign w:val="center"/>
          </w:tcPr>
          <w:p>
            <w:pPr>
              <w:jc w:val="center"/>
              <w:rPr>
                <w:szCs w:val="21"/>
              </w:rPr>
            </w:pPr>
            <w:r>
              <w:rPr>
                <w:szCs w:val="21"/>
              </w:rPr>
              <w:t>项目</w:t>
            </w:r>
          </w:p>
        </w:tc>
        <w:tc>
          <w:tcPr>
            <w:tcW w:w="4353" w:type="dxa"/>
            <w:vAlign w:val="center"/>
          </w:tcPr>
          <w:p>
            <w:pPr>
              <w:jc w:val="center"/>
              <w:rPr>
                <w:szCs w:val="21"/>
              </w:rPr>
            </w:pPr>
            <w:r>
              <w:rPr>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5" w:type="dxa"/>
            <w:vAlign w:val="center"/>
          </w:tcPr>
          <w:p>
            <w:pPr>
              <w:jc w:val="center"/>
              <w:rPr>
                <w:szCs w:val="21"/>
              </w:rPr>
            </w:pPr>
            <w:r>
              <w:rPr>
                <w:szCs w:val="21"/>
              </w:rPr>
              <w:t>1</w:t>
            </w:r>
          </w:p>
        </w:tc>
        <w:tc>
          <w:tcPr>
            <w:tcW w:w="4353" w:type="dxa"/>
            <w:vAlign w:val="center"/>
          </w:tcPr>
          <w:p>
            <w:pPr>
              <w:jc w:val="center"/>
              <w:rPr>
                <w:szCs w:val="21"/>
              </w:rPr>
            </w:pPr>
            <w:r>
              <w:rPr>
                <w:szCs w:val="21"/>
              </w:rPr>
              <w:t>受力同轴度</w:t>
            </w:r>
          </w:p>
        </w:tc>
        <w:tc>
          <w:tcPr>
            <w:tcW w:w="4353" w:type="dxa"/>
            <w:vAlign w:val="center"/>
          </w:tcPr>
          <w:p>
            <w:pPr>
              <w:jc w:val="center"/>
              <w:rPr>
                <w:szCs w:val="21"/>
              </w:rPr>
            </w:pPr>
            <w:r>
              <w:rPr>
                <w:szCs w:val="21"/>
              </w:rPr>
              <w:t>8%</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5" w:type="dxa"/>
            <w:vAlign w:val="center"/>
          </w:tcPr>
          <w:p>
            <w:pPr>
              <w:jc w:val="center"/>
              <w:rPr>
                <w:szCs w:val="21"/>
              </w:rPr>
            </w:pPr>
            <w:r>
              <w:rPr>
                <w:szCs w:val="21"/>
              </w:rPr>
              <w:t>2</w:t>
            </w:r>
          </w:p>
        </w:tc>
        <w:tc>
          <w:tcPr>
            <w:tcW w:w="4353" w:type="dxa"/>
            <w:vAlign w:val="center"/>
          </w:tcPr>
          <w:p>
            <w:pPr>
              <w:jc w:val="center"/>
              <w:rPr>
                <w:szCs w:val="21"/>
              </w:rPr>
            </w:pPr>
            <w:r>
              <w:rPr>
                <w:szCs w:val="21"/>
              </w:rPr>
              <w:t>零点漂移</w:t>
            </w:r>
          </w:p>
        </w:tc>
        <w:tc>
          <w:tcPr>
            <w:tcW w:w="4353" w:type="dxa"/>
            <w:vAlign w:val="center"/>
          </w:tcPr>
          <w:p>
            <w:pPr>
              <w:jc w:val="center"/>
              <w:rPr>
                <w:szCs w:val="21"/>
              </w:rPr>
            </w:pPr>
            <w:r>
              <w:rPr>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5" w:type="dxa"/>
            <w:vAlign w:val="center"/>
          </w:tcPr>
          <w:p>
            <w:pPr>
              <w:jc w:val="center"/>
              <w:rPr>
                <w:szCs w:val="21"/>
              </w:rPr>
            </w:pPr>
            <w:r>
              <w:rPr>
                <w:szCs w:val="21"/>
              </w:rPr>
              <w:t>3</w:t>
            </w:r>
          </w:p>
        </w:tc>
        <w:tc>
          <w:tcPr>
            <w:tcW w:w="4353" w:type="dxa"/>
            <w:vAlign w:val="center"/>
          </w:tcPr>
          <w:p>
            <w:pPr>
              <w:jc w:val="center"/>
              <w:rPr>
                <w:szCs w:val="21"/>
              </w:rPr>
            </w:pPr>
            <w:r>
              <w:rPr>
                <w:szCs w:val="21"/>
              </w:rPr>
              <w:t>相对分辨力</w:t>
            </w:r>
          </w:p>
        </w:tc>
        <w:tc>
          <w:tcPr>
            <w:tcW w:w="4353" w:type="dxa"/>
            <w:vAlign w:val="center"/>
          </w:tcPr>
          <w:p>
            <w:pPr>
              <w:jc w:val="center"/>
              <w:rPr>
                <w:szCs w:val="21"/>
              </w:rPr>
            </w:pPr>
            <w:r>
              <w:rPr>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5" w:type="dxa"/>
            <w:vAlign w:val="center"/>
          </w:tcPr>
          <w:p>
            <w:pPr>
              <w:jc w:val="center"/>
              <w:rPr>
                <w:szCs w:val="21"/>
              </w:rPr>
            </w:pPr>
            <w:r>
              <w:rPr>
                <w:szCs w:val="21"/>
              </w:rPr>
              <w:t>4</w:t>
            </w:r>
          </w:p>
        </w:tc>
        <w:tc>
          <w:tcPr>
            <w:tcW w:w="4353" w:type="dxa"/>
            <w:vAlign w:val="center"/>
          </w:tcPr>
          <w:p>
            <w:pPr>
              <w:jc w:val="center"/>
              <w:rPr>
                <w:szCs w:val="21"/>
              </w:rPr>
            </w:pPr>
            <w:r>
              <w:rPr>
                <w:szCs w:val="21"/>
              </w:rPr>
              <w:t>回零差</w:t>
            </w:r>
          </w:p>
        </w:tc>
        <w:tc>
          <w:tcPr>
            <w:tcW w:w="4353" w:type="dxa"/>
            <w:vAlign w:val="center"/>
          </w:tcPr>
          <w:p>
            <w:pPr>
              <w:jc w:val="center"/>
              <w:rPr>
                <w:szCs w:val="21"/>
              </w:rPr>
            </w:pPr>
            <w:r>
              <w:rPr>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5" w:type="dxa"/>
            <w:vAlign w:val="center"/>
          </w:tcPr>
          <w:p>
            <w:pPr>
              <w:jc w:val="center"/>
              <w:rPr>
                <w:szCs w:val="21"/>
              </w:rPr>
            </w:pPr>
            <w:r>
              <w:rPr>
                <w:szCs w:val="21"/>
              </w:rPr>
              <w:t>5</w:t>
            </w:r>
          </w:p>
        </w:tc>
        <w:tc>
          <w:tcPr>
            <w:tcW w:w="4353" w:type="dxa"/>
            <w:vAlign w:val="center"/>
          </w:tcPr>
          <w:p>
            <w:pPr>
              <w:jc w:val="center"/>
              <w:rPr>
                <w:szCs w:val="21"/>
              </w:rPr>
            </w:pPr>
            <w:r>
              <w:rPr>
                <w:szCs w:val="21"/>
              </w:rPr>
              <w:t>静态力示值相对误差</w:t>
            </w:r>
          </w:p>
        </w:tc>
        <w:tc>
          <w:tcPr>
            <w:tcW w:w="4353" w:type="dxa"/>
            <w:vAlign w:val="center"/>
          </w:tcPr>
          <w:p>
            <w:pPr>
              <w:jc w:val="center"/>
              <w:rPr>
                <w:szCs w:val="21"/>
              </w:rPr>
            </w:pPr>
            <w:r>
              <w:rPr>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5" w:type="dxa"/>
            <w:vAlign w:val="center"/>
          </w:tcPr>
          <w:p>
            <w:pPr>
              <w:jc w:val="center"/>
              <w:rPr>
                <w:szCs w:val="21"/>
              </w:rPr>
            </w:pPr>
            <w:r>
              <w:rPr>
                <w:szCs w:val="21"/>
              </w:rPr>
              <w:t>6</w:t>
            </w:r>
          </w:p>
        </w:tc>
        <w:tc>
          <w:tcPr>
            <w:tcW w:w="4353" w:type="dxa"/>
            <w:vAlign w:val="center"/>
          </w:tcPr>
          <w:p>
            <w:pPr>
              <w:jc w:val="center"/>
              <w:rPr>
                <w:szCs w:val="21"/>
              </w:rPr>
            </w:pPr>
            <w:r>
              <w:rPr>
                <w:szCs w:val="21"/>
              </w:rPr>
              <w:t>静态力示值重复性</w:t>
            </w:r>
          </w:p>
        </w:tc>
        <w:tc>
          <w:tcPr>
            <w:tcW w:w="4353" w:type="dxa"/>
            <w:vAlign w:val="center"/>
          </w:tcPr>
          <w:p>
            <w:pPr>
              <w:jc w:val="center"/>
              <w:rPr>
                <w:szCs w:val="21"/>
              </w:rPr>
            </w:pPr>
            <w:r>
              <w:rPr>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5" w:type="dxa"/>
            <w:vAlign w:val="center"/>
          </w:tcPr>
          <w:p>
            <w:pPr>
              <w:jc w:val="center"/>
              <w:rPr>
                <w:szCs w:val="21"/>
              </w:rPr>
            </w:pPr>
            <w:r>
              <w:rPr>
                <w:szCs w:val="21"/>
              </w:rPr>
              <w:t>7</w:t>
            </w:r>
          </w:p>
        </w:tc>
        <w:tc>
          <w:tcPr>
            <w:tcW w:w="4353" w:type="dxa"/>
            <w:vAlign w:val="center"/>
          </w:tcPr>
          <w:p>
            <w:pPr>
              <w:jc w:val="center"/>
              <w:rPr>
                <w:szCs w:val="21"/>
              </w:rPr>
            </w:pPr>
            <w:r>
              <w:rPr>
                <w:szCs w:val="21"/>
              </w:rPr>
              <w:t>静态力示值进回程相对误差</w:t>
            </w:r>
          </w:p>
        </w:tc>
        <w:tc>
          <w:tcPr>
            <w:tcW w:w="4353" w:type="dxa"/>
            <w:vAlign w:val="center"/>
          </w:tcPr>
          <w:p>
            <w:pPr>
              <w:jc w:val="center"/>
              <w:rPr>
                <w:szCs w:val="21"/>
              </w:rPr>
            </w:pPr>
            <w:r>
              <w:rPr>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5" w:type="dxa"/>
            <w:vAlign w:val="center"/>
          </w:tcPr>
          <w:p>
            <w:pPr>
              <w:jc w:val="center"/>
              <w:rPr>
                <w:szCs w:val="21"/>
              </w:rPr>
            </w:pPr>
            <w:r>
              <w:rPr>
                <w:szCs w:val="21"/>
              </w:rPr>
              <w:t>8</w:t>
            </w:r>
          </w:p>
        </w:tc>
        <w:tc>
          <w:tcPr>
            <w:tcW w:w="4353" w:type="dxa"/>
            <w:vAlign w:val="center"/>
          </w:tcPr>
          <w:p>
            <w:pPr>
              <w:jc w:val="center"/>
              <w:rPr>
                <w:szCs w:val="21"/>
              </w:rPr>
            </w:pPr>
            <w:r>
              <w:rPr>
                <w:szCs w:val="21"/>
              </w:rPr>
              <w:t>循环力范围示值相对误差</w:t>
            </w:r>
          </w:p>
        </w:tc>
        <w:tc>
          <w:tcPr>
            <w:tcW w:w="4353" w:type="dxa"/>
            <w:vAlign w:val="center"/>
          </w:tcPr>
          <w:p>
            <w:pPr>
              <w:jc w:val="center"/>
              <w:rPr>
                <w:szCs w:val="21"/>
              </w:rPr>
            </w:pPr>
            <w:r>
              <w:rPr>
                <w:szCs w:val="21"/>
              </w:rPr>
              <w:t>±</w:t>
            </w:r>
            <w:r>
              <w:rPr>
                <w:rFonts w:hint="eastAsia"/>
                <w:szCs w:val="21"/>
              </w:rPr>
              <w:t>2</w:t>
            </w: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5" w:type="dxa"/>
            <w:vAlign w:val="center"/>
          </w:tcPr>
          <w:p>
            <w:pPr>
              <w:jc w:val="center"/>
              <w:rPr>
                <w:szCs w:val="21"/>
              </w:rPr>
            </w:pPr>
            <w:r>
              <w:rPr>
                <w:szCs w:val="21"/>
              </w:rPr>
              <w:t>9</w:t>
            </w:r>
          </w:p>
        </w:tc>
        <w:tc>
          <w:tcPr>
            <w:tcW w:w="4353" w:type="dxa"/>
            <w:vAlign w:val="center"/>
          </w:tcPr>
          <w:p>
            <w:pPr>
              <w:jc w:val="center"/>
              <w:rPr>
                <w:szCs w:val="21"/>
              </w:rPr>
            </w:pPr>
            <w:r>
              <w:rPr>
                <w:szCs w:val="21"/>
              </w:rPr>
              <w:t>循环力范围示值重复性</w:t>
            </w:r>
          </w:p>
        </w:tc>
        <w:tc>
          <w:tcPr>
            <w:tcW w:w="4353" w:type="dxa"/>
            <w:vAlign w:val="center"/>
          </w:tcPr>
          <w:p>
            <w:pPr>
              <w:jc w:val="center"/>
              <w:rPr>
                <w:szCs w:val="21"/>
              </w:rPr>
            </w:pPr>
            <w:r>
              <w:rPr>
                <w:rFonts w:hint="eastAsia"/>
                <w:szCs w:val="21"/>
              </w:rPr>
              <w:t>2</w:t>
            </w: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5" w:type="dxa"/>
            <w:vAlign w:val="center"/>
          </w:tcPr>
          <w:p>
            <w:pPr>
              <w:jc w:val="center"/>
              <w:rPr>
                <w:szCs w:val="21"/>
              </w:rPr>
            </w:pPr>
            <w:r>
              <w:rPr>
                <w:szCs w:val="21"/>
              </w:rPr>
              <w:t>10</w:t>
            </w:r>
          </w:p>
        </w:tc>
        <w:tc>
          <w:tcPr>
            <w:tcW w:w="4353" w:type="dxa"/>
            <w:vAlign w:val="center"/>
          </w:tcPr>
          <w:p>
            <w:pPr>
              <w:jc w:val="center"/>
              <w:rPr>
                <w:szCs w:val="21"/>
              </w:rPr>
            </w:pPr>
            <w:r>
              <w:rPr>
                <w:szCs w:val="21"/>
              </w:rPr>
              <w:t>循环力峰值示值相对误差</w:t>
            </w:r>
          </w:p>
        </w:tc>
        <w:tc>
          <w:tcPr>
            <w:tcW w:w="4353" w:type="dxa"/>
            <w:vAlign w:val="center"/>
          </w:tcPr>
          <w:p>
            <w:pPr>
              <w:jc w:val="center"/>
              <w:rPr>
                <w:szCs w:val="21"/>
              </w:rPr>
            </w:pPr>
            <w:r>
              <w:rPr>
                <w:szCs w:val="21"/>
              </w:rPr>
              <w:t>±</w:t>
            </w:r>
            <w:r>
              <w:rPr>
                <w:rFonts w:hint="eastAsia"/>
                <w:szCs w:val="21"/>
              </w:rPr>
              <w:t>2</w:t>
            </w: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5" w:type="dxa"/>
            <w:vAlign w:val="center"/>
          </w:tcPr>
          <w:p>
            <w:pPr>
              <w:jc w:val="center"/>
              <w:rPr>
                <w:szCs w:val="21"/>
              </w:rPr>
            </w:pPr>
            <w:r>
              <w:rPr>
                <w:szCs w:val="21"/>
              </w:rPr>
              <w:t>11</w:t>
            </w:r>
          </w:p>
        </w:tc>
        <w:tc>
          <w:tcPr>
            <w:tcW w:w="4353" w:type="dxa"/>
            <w:vAlign w:val="center"/>
          </w:tcPr>
          <w:p>
            <w:pPr>
              <w:jc w:val="center"/>
              <w:rPr>
                <w:szCs w:val="21"/>
              </w:rPr>
            </w:pPr>
            <w:r>
              <w:rPr>
                <w:szCs w:val="21"/>
              </w:rPr>
              <w:t>循环力峰值示值重复性</w:t>
            </w:r>
          </w:p>
        </w:tc>
        <w:tc>
          <w:tcPr>
            <w:tcW w:w="4353" w:type="dxa"/>
            <w:vAlign w:val="center"/>
          </w:tcPr>
          <w:p>
            <w:pPr>
              <w:jc w:val="center"/>
              <w:rPr>
                <w:szCs w:val="21"/>
              </w:rPr>
            </w:pPr>
            <w:r>
              <w:rPr>
                <w:rFonts w:hint="eastAsia"/>
                <w:szCs w:val="21"/>
              </w:rPr>
              <w:t>2</w:t>
            </w: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5" w:type="dxa"/>
            <w:vAlign w:val="center"/>
          </w:tcPr>
          <w:p>
            <w:pPr>
              <w:jc w:val="center"/>
              <w:rPr>
                <w:szCs w:val="21"/>
              </w:rPr>
            </w:pPr>
            <w:r>
              <w:rPr>
                <w:szCs w:val="21"/>
              </w:rPr>
              <w:t>12</w:t>
            </w:r>
          </w:p>
        </w:tc>
        <w:tc>
          <w:tcPr>
            <w:tcW w:w="4353" w:type="dxa"/>
            <w:vAlign w:val="center"/>
          </w:tcPr>
          <w:p>
            <w:pPr>
              <w:jc w:val="center"/>
              <w:rPr>
                <w:szCs w:val="21"/>
              </w:rPr>
            </w:pPr>
            <w:r>
              <w:rPr>
                <w:rFonts w:hint="eastAsia"/>
                <w:szCs w:val="21"/>
              </w:rPr>
              <w:t>伺服作动系统</w:t>
            </w:r>
            <w:r>
              <w:rPr>
                <w:szCs w:val="21"/>
              </w:rPr>
              <w:t>作动筒位移</w:t>
            </w:r>
          </w:p>
        </w:tc>
        <w:tc>
          <w:tcPr>
            <w:tcW w:w="4353" w:type="dxa"/>
            <w:vAlign w:val="center"/>
          </w:tcPr>
          <w:p>
            <w:pPr>
              <w:jc w:val="center"/>
              <w:rPr>
                <w:szCs w:val="21"/>
              </w:rPr>
            </w:pPr>
            <w:r>
              <w:rPr>
                <w:szCs w:val="21"/>
              </w:rPr>
              <w:t>±</w:t>
            </w:r>
            <w:r>
              <w:rPr>
                <w:rFonts w:hint="eastAsia"/>
                <w:szCs w:val="21"/>
              </w:rPr>
              <w:t>0.5</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5" w:type="dxa"/>
            <w:vAlign w:val="center"/>
          </w:tcPr>
          <w:p>
            <w:pPr>
              <w:jc w:val="center"/>
              <w:rPr>
                <w:szCs w:val="21"/>
              </w:rPr>
            </w:pPr>
            <w:r>
              <w:rPr>
                <w:szCs w:val="21"/>
              </w:rPr>
              <w:t>13</w:t>
            </w:r>
          </w:p>
        </w:tc>
        <w:tc>
          <w:tcPr>
            <w:tcW w:w="4353" w:type="dxa"/>
            <w:vAlign w:val="center"/>
          </w:tcPr>
          <w:p>
            <w:pPr>
              <w:jc w:val="center"/>
              <w:rPr>
                <w:szCs w:val="21"/>
              </w:rPr>
            </w:pPr>
            <w:r>
              <w:rPr>
                <w:rFonts w:hint="eastAsia"/>
                <w:szCs w:val="21"/>
              </w:rPr>
              <w:t>伺服作动系统</w:t>
            </w:r>
            <w:r>
              <w:rPr>
                <w:szCs w:val="21"/>
              </w:rPr>
              <w:t>作动筒速度</w:t>
            </w:r>
          </w:p>
        </w:tc>
        <w:tc>
          <w:tcPr>
            <w:tcW w:w="4353" w:type="dxa"/>
            <w:vAlign w:val="center"/>
          </w:tcPr>
          <w:p>
            <w:pPr>
              <w:jc w:val="center"/>
              <w:rPr>
                <w:szCs w:val="21"/>
              </w:rPr>
            </w:pPr>
            <w:r>
              <w:rPr>
                <w:szCs w:val="21"/>
              </w:rPr>
              <w:t>±</w:t>
            </w:r>
            <w:r>
              <w:rPr>
                <w:rFonts w:hint="eastAsia"/>
                <w:szCs w:val="21"/>
              </w:rPr>
              <w:t>1.0</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71" w:type="dxa"/>
            <w:gridSpan w:val="3"/>
            <w:vAlign w:val="center"/>
          </w:tcPr>
          <w:p>
            <w:pPr>
              <w:jc w:val="left"/>
              <w:rPr>
                <w:szCs w:val="21"/>
              </w:rPr>
            </w:pPr>
            <w:r>
              <w:rPr>
                <w:rFonts w:hint="eastAsia"/>
                <w:szCs w:val="21"/>
              </w:rPr>
              <w:t>注：*为试验系统同轴度的最低要求，实际校准时应根据试验方法要求的不同，按用户需要确定此项目指标，可选择5% 。</w:t>
            </w:r>
          </w:p>
        </w:tc>
      </w:tr>
    </w:tbl>
    <w:p>
      <w:pPr>
        <w:pStyle w:val="4"/>
        <w:spacing w:before="156" w:after="156"/>
        <w:rPr>
          <w:b w:val="0"/>
          <w:bCs w:val="0"/>
        </w:rPr>
      </w:pPr>
      <w:r>
        <w:rPr>
          <w:rFonts w:hint="eastAsia"/>
          <w:b w:val="0"/>
          <w:bCs w:val="0"/>
        </w:rPr>
        <w:t>5 校准条件</w:t>
      </w:r>
      <w:bookmarkEnd w:id="41"/>
      <w:bookmarkStart w:id="42" w:name="_Toc193860183"/>
      <w:bookmarkStart w:id="43" w:name="_Toc500258942"/>
      <w:bookmarkStart w:id="44" w:name="_Toc193860033"/>
      <w:bookmarkStart w:id="45" w:name="_Toc193860214"/>
    </w:p>
    <w:p>
      <w:pPr>
        <w:spacing w:line="400" w:lineRule="exact"/>
        <w:rPr>
          <w:rFonts w:cstheme="majorBidi"/>
          <w:kern w:val="44"/>
        </w:rPr>
      </w:pPr>
      <w:bookmarkStart w:id="46" w:name="_Toc533963948"/>
      <w:bookmarkStart w:id="47" w:name="_Toc161838411"/>
      <w:r>
        <w:rPr>
          <w:rFonts w:cstheme="majorBidi"/>
          <w:kern w:val="44"/>
        </w:rPr>
        <w:t>5.1 环境条件</w:t>
      </w:r>
      <w:bookmarkEnd w:id="46"/>
      <w:bookmarkEnd w:id="47"/>
    </w:p>
    <w:p>
      <w:pPr>
        <w:spacing w:line="360" w:lineRule="auto"/>
        <w:ind w:firstLine="420" w:firstLineChars="200"/>
        <w:rPr>
          <w:rFonts w:eastAsiaTheme="minorEastAsia"/>
          <w:szCs w:val="21"/>
        </w:rPr>
      </w:pPr>
      <w:r>
        <w:rPr>
          <w:rFonts w:hint="eastAsia" w:eastAsiaTheme="minorEastAsia"/>
          <w:szCs w:val="21"/>
        </w:rPr>
        <w:t>校准温度范围应为（20±10）℃，相对湿度不大于80%，温度波动不大于2℃/h。</w:t>
      </w:r>
    </w:p>
    <w:p>
      <w:pPr>
        <w:spacing w:line="400" w:lineRule="exact"/>
        <w:rPr>
          <w:rFonts w:cstheme="majorBidi"/>
          <w:kern w:val="44"/>
        </w:rPr>
      </w:pPr>
      <w:bookmarkStart w:id="48" w:name="_Toc533963949"/>
      <w:bookmarkStart w:id="49" w:name="_Toc161838412"/>
      <w:r>
        <w:rPr>
          <w:rFonts w:cstheme="majorBidi"/>
          <w:kern w:val="44"/>
        </w:rPr>
        <w:t>5.2</w:t>
      </w:r>
      <w:bookmarkEnd w:id="48"/>
      <w:r>
        <w:rPr>
          <w:rFonts w:cstheme="majorBidi"/>
          <w:kern w:val="44"/>
        </w:rPr>
        <w:t xml:space="preserve"> 测量标准</w:t>
      </w:r>
      <w:bookmarkEnd w:id="49"/>
    </w:p>
    <w:p>
      <w:pPr>
        <w:spacing w:line="324" w:lineRule="auto"/>
        <w:ind w:firstLine="420" w:firstLineChars="200"/>
        <w:outlineLvl w:val="1"/>
        <w:rPr>
          <w:kern w:val="0"/>
        </w:rPr>
      </w:pPr>
      <w:r>
        <w:rPr>
          <w:bCs/>
          <w:color w:val="000000" w:themeColor="text1"/>
          <w14:textFill>
            <w14:solidFill>
              <w14:schemeClr w14:val="tx1"/>
            </w14:solidFill>
          </w14:textFill>
        </w:rPr>
        <w:t>测量标准的技术要求应符合正文中表3的规定</w:t>
      </w:r>
      <w:r>
        <w:rPr>
          <w:kern w:val="0"/>
        </w:rPr>
        <w:t>。</w:t>
      </w:r>
    </w:p>
    <w:p>
      <w:pPr>
        <w:spacing w:line="324" w:lineRule="auto"/>
        <w:ind w:firstLine="420" w:firstLineChars="200"/>
        <w:outlineLvl w:val="1"/>
        <w:rPr>
          <w:szCs w:val="21"/>
        </w:rPr>
      </w:pPr>
      <w:r>
        <w:rPr>
          <w:szCs w:val="21"/>
        </w:rPr>
        <w:t>测量标准及其他设备包括</w:t>
      </w:r>
      <w:r>
        <w:rPr>
          <w:rFonts w:eastAsiaTheme="minorEastAsia"/>
          <w:bCs/>
          <w:szCs w:val="21"/>
        </w:rPr>
        <w:t>同轴度测试仪</w:t>
      </w:r>
      <w:r>
        <w:rPr>
          <w:szCs w:val="21"/>
        </w:rPr>
        <w:t>、</w:t>
      </w:r>
      <w:r>
        <w:rPr>
          <w:rFonts w:eastAsiaTheme="minorEastAsia"/>
          <w:bCs/>
          <w:szCs w:val="21"/>
        </w:rPr>
        <w:t>标准测力仪</w:t>
      </w:r>
      <w:r>
        <w:rPr>
          <w:szCs w:val="21"/>
        </w:rPr>
        <w:t>、</w:t>
      </w:r>
      <w:r>
        <w:rPr>
          <w:rFonts w:eastAsiaTheme="minorEastAsia"/>
          <w:bCs/>
          <w:szCs w:val="21"/>
        </w:rPr>
        <w:t>数显千分尺</w:t>
      </w:r>
      <w:r>
        <w:rPr>
          <w:szCs w:val="21"/>
        </w:rPr>
        <w:t>、</w:t>
      </w:r>
      <w:r>
        <w:rPr>
          <w:rFonts w:eastAsiaTheme="minorEastAsia"/>
          <w:bCs/>
          <w:szCs w:val="21"/>
        </w:rPr>
        <w:t>电子秒表</w:t>
      </w:r>
      <w:r>
        <w:rPr>
          <w:szCs w:val="21"/>
        </w:rPr>
        <w:t>，并给出相应的技术指标。静态力、循环力、</w:t>
      </w:r>
      <w:r>
        <w:rPr>
          <w:rFonts w:eastAsiaTheme="minorEastAsia"/>
          <w:bCs/>
          <w:szCs w:val="21"/>
        </w:rPr>
        <w:t>同轴度</w:t>
      </w:r>
      <w:r>
        <w:rPr>
          <w:szCs w:val="21"/>
        </w:rPr>
        <w:t>指标参考了JJG 556-2011《</w:t>
      </w:r>
      <w:r>
        <w:rPr>
          <w:szCs w:val="21"/>
          <w:shd w:val="clear" w:color="auto" w:fill="FDFCFB"/>
        </w:rPr>
        <w:t>轴向加力疲劳试验机</w:t>
      </w:r>
      <w:r>
        <w:rPr>
          <w:szCs w:val="21"/>
        </w:rPr>
        <w:t>》5.1的要求，</w:t>
      </w:r>
      <w:r>
        <w:rPr>
          <w:rFonts w:hint="eastAsia"/>
          <w:szCs w:val="21"/>
        </w:rPr>
        <w:t>伺服作动系统</w:t>
      </w:r>
      <w:r>
        <w:rPr>
          <w:szCs w:val="21"/>
        </w:rPr>
        <w:t>作动筒位移、</w:t>
      </w:r>
      <w:r>
        <w:rPr>
          <w:rFonts w:hint="eastAsia"/>
          <w:szCs w:val="21"/>
        </w:rPr>
        <w:t>伺服作动系统</w:t>
      </w:r>
      <w:r>
        <w:rPr>
          <w:szCs w:val="21"/>
        </w:rPr>
        <w:t xml:space="preserve">作动筒速度技术指标参考了JJG </w:t>
      </w:r>
      <w:r>
        <w:rPr>
          <w:rFonts w:hint="eastAsia"/>
          <w:szCs w:val="21"/>
        </w:rPr>
        <w:t>475</w:t>
      </w:r>
      <w:r>
        <w:rPr>
          <w:szCs w:val="21"/>
        </w:rPr>
        <w:t>-20</w:t>
      </w:r>
      <w:r>
        <w:rPr>
          <w:rFonts w:hint="eastAsia"/>
          <w:szCs w:val="21"/>
        </w:rPr>
        <w:t>08</w:t>
      </w:r>
      <w:r>
        <w:rPr>
          <w:szCs w:val="21"/>
        </w:rPr>
        <w:t>《</w:t>
      </w:r>
      <w:r>
        <w:rPr>
          <w:szCs w:val="21"/>
          <w:shd w:val="clear" w:color="auto" w:fill="FDFCFB"/>
        </w:rPr>
        <w:t>电子万能试验机</w:t>
      </w:r>
      <w:r>
        <w:rPr>
          <w:szCs w:val="21"/>
        </w:rPr>
        <w:t>》5.</w:t>
      </w:r>
      <w:r>
        <w:rPr>
          <w:rFonts w:hint="eastAsia"/>
          <w:szCs w:val="21"/>
        </w:rPr>
        <w:t>2.2和5.4.2</w:t>
      </w:r>
      <w:r>
        <w:rPr>
          <w:szCs w:val="21"/>
        </w:rPr>
        <w:t>的要求，根据</w:t>
      </w:r>
      <w:r>
        <w:rPr>
          <w:rFonts w:hint="eastAsia"/>
        </w:rPr>
        <w:t>平面双轴试验系统的</w:t>
      </w:r>
      <w:r>
        <w:rPr>
          <w:szCs w:val="21"/>
        </w:rPr>
        <w:t>实际情况，选用合适量程的测量标准。</w:t>
      </w:r>
    </w:p>
    <w:bookmarkEnd w:id="42"/>
    <w:bookmarkEnd w:id="43"/>
    <w:bookmarkEnd w:id="44"/>
    <w:bookmarkEnd w:id="45"/>
    <w:p>
      <w:pPr>
        <w:pStyle w:val="4"/>
        <w:spacing w:before="156" w:after="156"/>
        <w:rPr>
          <w:b w:val="0"/>
          <w:bCs w:val="0"/>
        </w:rPr>
      </w:pPr>
      <w:bookmarkStart w:id="50" w:name="_Toc193619100"/>
      <w:bookmarkStart w:id="51" w:name="_Toc193618955"/>
      <w:bookmarkStart w:id="52" w:name="_Toc193860035"/>
      <w:bookmarkStart w:id="53" w:name="_Toc193860216"/>
      <w:bookmarkStart w:id="54" w:name="_Toc500258944"/>
      <w:bookmarkStart w:id="55" w:name="_Toc193860185"/>
      <w:bookmarkStart w:id="56" w:name="_Toc2741_WPSOffice_Level1"/>
      <w:bookmarkStart w:id="57" w:name="_Toc193619058"/>
      <w:r>
        <w:rPr>
          <w:rFonts w:hint="eastAsia"/>
          <w:b w:val="0"/>
          <w:bCs w:val="0"/>
        </w:rPr>
        <w:t>6 校准项目和校准方法</w:t>
      </w:r>
      <w:bookmarkEnd w:id="50"/>
      <w:bookmarkEnd w:id="51"/>
      <w:bookmarkEnd w:id="52"/>
      <w:bookmarkEnd w:id="53"/>
      <w:bookmarkEnd w:id="54"/>
      <w:bookmarkEnd w:id="55"/>
      <w:bookmarkEnd w:id="56"/>
      <w:bookmarkEnd w:id="57"/>
    </w:p>
    <w:p>
      <w:bookmarkStart w:id="58" w:name="_Toc22718_WPSOffice_Level2"/>
      <w:bookmarkStart w:id="59" w:name="_Toc500258945"/>
      <w:r>
        <w:rPr>
          <w:rFonts w:hint="eastAsia"/>
        </w:rPr>
        <w:t>6.1通用技术要求检查</w:t>
      </w:r>
    </w:p>
    <w:p>
      <w:pPr>
        <w:spacing w:line="360" w:lineRule="auto"/>
        <w:ind w:firstLine="420" w:firstLineChars="200"/>
        <w:rPr>
          <w:kern w:val="0"/>
          <w:szCs w:val="21"/>
        </w:rPr>
      </w:pPr>
      <w:r>
        <w:rPr>
          <w:rFonts w:hint="eastAsia"/>
          <w:kern w:val="0"/>
          <w:szCs w:val="21"/>
        </w:rPr>
        <w:t>采用目测和手动方式进行检查。</w:t>
      </w:r>
    </w:p>
    <w:p>
      <w:pPr>
        <w:spacing w:line="360" w:lineRule="auto"/>
        <w:rPr>
          <w:kern w:val="0"/>
          <w:szCs w:val="21"/>
        </w:rPr>
      </w:pPr>
      <w:r>
        <w:rPr>
          <w:rFonts w:hint="eastAsia"/>
          <w:kern w:val="0"/>
          <w:szCs w:val="21"/>
        </w:rPr>
        <w:t>6.2受力同轴度</w:t>
      </w:r>
    </w:p>
    <w:p>
      <w:pPr>
        <w:spacing w:line="360" w:lineRule="auto"/>
        <w:ind w:firstLine="420" w:firstLineChars="200"/>
        <w:rPr>
          <w:kern w:val="0"/>
          <w:szCs w:val="21"/>
        </w:rPr>
      </w:pPr>
      <w:r>
        <w:rPr>
          <w:rFonts w:hint="eastAsia"/>
          <w:kern w:val="0"/>
          <w:szCs w:val="21"/>
        </w:rPr>
        <w:t>首先校准上、下夹头的受力同轴度，将同轴度校验棒安装并调整合适位置后，对同轴度校验棒施加试验系统最大力的1%的力，此时将同轴度测试仪清零，施加力至试验系统最大力的10%，对同轴度校验棒进行至少2次预拉。预拉完成后，对同轴度校验棒施加试验机最大力的1%的力，此时将同轴度测试仪清零，再缓慢以递增方式施加力至试验系统最大力的4%、6%、8%、10%点，逐点读取并记录同轴度测试仪上的同轴度数值。上、下夹头的受力同轴度校准完成后，用同样方法校准左、右夹头的受力同轴度。</w:t>
      </w:r>
    </w:p>
    <w:p>
      <w:pPr>
        <w:spacing w:line="360" w:lineRule="auto"/>
        <w:rPr>
          <w:kern w:val="0"/>
          <w:szCs w:val="21"/>
        </w:rPr>
      </w:pPr>
      <w:r>
        <w:rPr>
          <w:rFonts w:hint="eastAsia"/>
          <w:kern w:val="0"/>
          <w:szCs w:val="21"/>
        </w:rPr>
        <w:t>6.3零点漂移</w:t>
      </w:r>
    </w:p>
    <w:p>
      <w:pPr>
        <w:spacing w:line="360" w:lineRule="auto"/>
        <w:ind w:firstLine="420" w:firstLineChars="200"/>
        <w:rPr>
          <w:kern w:val="0"/>
          <w:szCs w:val="21"/>
        </w:rPr>
      </w:pPr>
      <w:r>
        <w:rPr>
          <w:rFonts w:hint="eastAsia"/>
          <w:kern w:val="0"/>
          <w:szCs w:val="21"/>
        </w:rPr>
        <w:t>试验系统开机预热后，调整零点，观察并记录15 min内试验系统零点的变化。按公式（1）计算零点漂移Z</w:t>
      </w:r>
      <w:r>
        <w:rPr>
          <w:rFonts w:hint="eastAsia"/>
          <w:kern w:val="0"/>
          <w:szCs w:val="21"/>
          <w:vertAlign w:val="subscript"/>
        </w:rPr>
        <w:t>d</w:t>
      </w:r>
      <w:r>
        <w:rPr>
          <w:rFonts w:hint="eastAsia"/>
          <w:kern w:val="0"/>
          <w:szCs w:val="21"/>
        </w:rPr>
        <w:t>。</w:t>
      </w:r>
    </w:p>
    <w:p>
      <w:pPr>
        <w:spacing w:line="360" w:lineRule="auto"/>
        <w:ind w:firstLine="420" w:firstLineChars="200"/>
        <w:jc w:val="center"/>
        <w:rPr>
          <w:kern w:val="0"/>
          <w:szCs w:val="21"/>
        </w:rPr>
      </w:pPr>
      <w:r>
        <w:rPr>
          <w:rFonts w:hint="eastAsia"/>
          <w:kern w:val="0"/>
          <w:szCs w:val="21"/>
        </w:rPr>
        <w:t xml:space="preserve">                              </w:t>
      </w:r>
      <w:r>
        <w:rPr>
          <w:kern w:val="0"/>
          <w:szCs w:val="21"/>
        </w:rPr>
        <w:object>
          <v:shape id="_x0000_i1025" o:spt="75" type="#_x0000_t75" style="height:33.8pt;width:82.6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rFonts w:hint="eastAsia"/>
          <w:kern w:val="0"/>
          <w:szCs w:val="21"/>
        </w:rPr>
        <w:t xml:space="preserve">                             （1）</w:t>
      </w:r>
    </w:p>
    <w:p>
      <w:pPr>
        <w:spacing w:line="360" w:lineRule="auto"/>
        <w:rPr>
          <w:kern w:val="0"/>
          <w:szCs w:val="21"/>
        </w:rPr>
      </w:pPr>
      <w:r>
        <w:rPr>
          <w:rFonts w:hint="eastAsia"/>
          <w:kern w:val="0"/>
          <w:szCs w:val="21"/>
        </w:rPr>
        <w:t>6.4相对分辨力</w:t>
      </w:r>
    </w:p>
    <w:p>
      <w:pPr>
        <w:spacing w:line="360" w:lineRule="auto"/>
        <w:ind w:firstLine="420" w:firstLineChars="200"/>
        <w:rPr>
          <w:kern w:val="0"/>
          <w:szCs w:val="21"/>
        </w:rPr>
      </w:pPr>
      <w:r>
        <w:rPr>
          <w:rFonts w:hint="eastAsia"/>
          <w:kern w:val="0"/>
          <w:szCs w:val="21"/>
        </w:rPr>
        <w:t>试验系统的力指示装置的相对分辨力</w:t>
      </w:r>
      <w:r>
        <w:rPr>
          <w:rFonts w:hint="eastAsia"/>
          <w:i/>
          <w:iCs/>
          <w:kern w:val="0"/>
          <w:szCs w:val="21"/>
        </w:rPr>
        <w:t>a</w:t>
      </w:r>
      <w:r>
        <w:rPr>
          <w:rFonts w:hint="eastAsia"/>
          <w:kern w:val="0"/>
          <w:szCs w:val="21"/>
        </w:rPr>
        <w:t>由公式（2）计算。</w:t>
      </w:r>
    </w:p>
    <w:p>
      <w:pPr>
        <w:spacing w:line="360" w:lineRule="auto"/>
        <w:ind w:firstLine="420" w:firstLineChars="200"/>
        <w:rPr>
          <w:kern w:val="0"/>
          <w:szCs w:val="21"/>
        </w:rPr>
      </w:pPr>
      <w:r>
        <w:rPr>
          <w:rFonts w:hint="eastAsia"/>
          <w:kern w:val="0"/>
          <w:szCs w:val="21"/>
        </w:rPr>
        <w:t xml:space="preserve">                                 </w:t>
      </w:r>
      <w:r>
        <w:rPr>
          <w:kern w:val="0"/>
          <w:szCs w:val="21"/>
        </w:rPr>
        <w:object>
          <v:shape id="_x0000_i1026" o:spt="75" type="#_x0000_t75" style="height:33.8pt;width:72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rFonts w:hint="eastAsia"/>
          <w:kern w:val="0"/>
          <w:szCs w:val="21"/>
        </w:rPr>
        <w:t xml:space="preserve">                               （2）</w:t>
      </w:r>
    </w:p>
    <w:p>
      <w:pPr>
        <w:spacing w:line="360" w:lineRule="auto"/>
        <w:rPr>
          <w:kern w:val="0"/>
          <w:szCs w:val="21"/>
        </w:rPr>
      </w:pPr>
      <w:r>
        <w:rPr>
          <w:rFonts w:hint="eastAsia"/>
          <w:kern w:val="0"/>
          <w:szCs w:val="21"/>
        </w:rPr>
        <w:t>6.5回零差</w:t>
      </w:r>
    </w:p>
    <w:p>
      <w:pPr>
        <w:spacing w:line="360" w:lineRule="auto"/>
        <w:ind w:firstLine="420" w:firstLineChars="200"/>
        <w:rPr>
          <w:kern w:val="0"/>
          <w:szCs w:val="21"/>
        </w:rPr>
      </w:pPr>
      <w:r>
        <w:rPr>
          <w:rFonts w:hint="eastAsia"/>
          <w:kern w:val="0"/>
          <w:szCs w:val="21"/>
        </w:rPr>
        <w:t>试验系统的回零差</w:t>
      </w:r>
      <w:r>
        <w:rPr>
          <w:rFonts w:hint="eastAsia"/>
          <w:i/>
          <w:iCs/>
          <w:kern w:val="0"/>
          <w:szCs w:val="21"/>
        </w:rPr>
        <w:t>f</w:t>
      </w:r>
      <w:r>
        <w:rPr>
          <w:rFonts w:hint="eastAsia"/>
          <w:kern w:val="0"/>
          <w:szCs w:val="21"/>
          <w:vertAlign w:val="subscript"/>
        </w:rPr>
        <w:t>0</w:t>
      </w:r>
      <w:r>
        <w:rPr>
          <w:rFonts w:hint="eastAsia"/>
          <w:kern w:val="0"/>
          <w:szCs w:val="21"/>
        </w:rPr>
        <w:t>由公式（3）计算。</w:t>
      </w:r>
    </w:p>
    <w:p>
      <w:pPr>
        <w:spacing w:line="360" w:lineRule="auto"/>
        <w:ind w:firstLine="420" w:firstLineChars="200"/>
        <w:jc w:val="center"/>
        <w:rPr>
          <w:kern w:val="0"/>
          <w:szCs w:val="21"/>
        </w:rPr>
      </w:pPr>
      <w:r>
        <w:rPr>
          <w:rFonts w:hint="eastAsia"/>
          <w:kern w:val="0"/>
          <w:szCs w:val="21"/>
        </w:rPr>
        <w:t xml:space="preserve">                              </w:t>
      </w:r>
      <w:r>
        <w:rPr>
          <w:kern w:val="0"/>
          <w:szCs w:val="21"/>
        </w:rPr>
        <w:object>
          <v:shape id="_x0000_i1027" o:spt="75" type="#_x0000_t75" style="height:33.8pt;width:72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1">
            <o:LockedField>false</o:LockedField>
          </o:OLEObject>
        </w:object>
      </w:r>
      <w:r>
        <w:rPr>
          <w:rFonts w:hint="eastAsia"/>
          <w:kern w:val="0"/>
          <w:szCs w:val="21"/>
        </w:rPr>
        <w:t xml:space="preserve">                               （3）</w:t>
      </w:r>
    </w:p>
    <w:p>
      <w:pPr>
        <w:spacing w:line="360" w:lineRule="auto"/>
        <w:rPr>
          <w:kern w:val="0"/>
          <w:szCs w:val="21"/>
        </w:rPr>
      </w:pPr>
      <w:r>
        <w:rPr>
          <w:rFonts w:hint="eastAsia"/>
          <w:kern w:val="0"/>
          <w:szCs w:val="21"/>
        </w:rPr>
        <w:t>6.6静态力</w:t>
      </w:r>
    </w:p>
    <w:p>
      <w:pPr>
        <w:spacing w:line="360" w:lineRule="auto"/>
        <w:ind w:firstLine="420" w:firstLineChars="200"/>
        <w:rPr>
          <w:kern w:val="0"/>
          <w:szCs w:val="21"/>
        </w:rPr>
      </w:pPr>
      <w:r>
        <w:rPr>
          <w:rFonts w:hint="eastAsia"/>
          <w:kern w:val="0"/>
          <w:szCs w:val="21"/>
        </w:rPr>
        <w:t>在试验系统</w:t>
      </w:r>
      <w:r>
        <w:rPr>
          <w:kern w:val="0"/>
          <w:szCs w:val="21"/>
        </w:rPr>
        <w:t>满量程的20%～100%范围内，可选择20%</w:t>
      </w:r>
      <w:r>
        <w:rPr>
          <w:rFonts w:hint="eastAsia"/>
          <w:kern w:val="0"/>
          <w:szCs w:val="21"/>
        </w:rPr>
        <w:t>、</w:t>
      </w:r>
      <w:r>
        <w:rPr>
          <w:kern w:val="0"/>
          <w:szCs w:val="21"/>
        </w:rPr>
        <w:t>40%</w:t>
      </w:r>
      <w:r>
        <w:rPr>
          <w:rFonts w:hint="eastAsia"/>
          <w:kern w:val="0"/>
          <w:szCs w:val="21"/>
        </w:rPr>
        <w:t>、</w:t>
      </w:r>
      <w:r>
        <w:rPr>
          <w:kern w:val="0"/>
          <w:szCs w:val="21"/>
        </w:rPr>
        <w:t>60%</w:t>
      </w:r>
      <w:r>
        <w:rPr>
          <w:rFonts w:hint="eastAsia"/>
          <w:kern w:val="0"/>
          <w:szCs w:val="21"/>
        </w:rPr>
        <w:t>、</w:t>
      </w:r>
      <w:r>
        <w:rPr>
          <w:kern w:val="0"/>
          <w:szCs w:val="21"/>
        </w:rPr>
        <w:t>80%</w:t>
      </w:r>
      <w:r>
        <w:rPr>
          <w:rFonts w:hint="eastAsia"/>
          <w:kern w:val="0"/>
          <w:szCs w:val="21"/>
        </w:rPr>
        <w:t>、</w:t>
      </w:r>
      <w:r>
        <w:rPr>
          <w:kern w:val="0"/>
          <w:szCs w:val="21"/>
        </w:rPr>
        <w:t>100%等作为</w:t>
      </w:r>
      <w:r>
        <w:rPr>
          <w:rFonts w:hint="eastAsia"/>
          <w:kern w:val="0"/>
          <w:szCs w:val="21"/>
        </w:rPr>
        <w:t>校准</w:t>
      </w:r>
      <w:r>
        <w:rPr>
          <w:kern w:val="0"/>
          <w:szCs w:val="21"/>
        </w:rPr>
        <w:t>点</w:t>
      </w:r>
      <w:r>
        <w:rPr>
          <w:rFonts w:hint="eastAsia"/>
          <w:kern w:val="0"/>
          <w:szCs w:val="21"/>
        </w:rPr>
        <w:t>，</w:t>
      </w:r>
      <w:r>
        <w:rPr>
          <w:kern w:val="0"/>
          <w:szCs w:val="21"/>
        </w:rPr>
        <w:t>对于测量下限值小于20%满量程的试验</w:t>
      </w:r>
      <w:r>
        <w:rPr>
          <w:rFonts w:hint="eastAsia"/>
          <w:kern w:val="0"/>
          <w:szCs w:val="21"/>
        </w:rPr>
        <w:t>系统</w:t>
      </w:r>
      <w:r>
        <w:rPr>
          <w:kern w:val="0"/>
          <w:szCs w:val="21"/>
        </w:rPr>
        <w:t>，应选择10%</w:t>
      </w:r>
      <w:r>
        <w:rPr>
          <w:rFonts w:hint="eastAsia"/>
          <w:kern w:val="0"/>
          <w:szCs w:val="21"/>
        </w:rPr>
        <w:t>、</w:t>
      </w:r>
      <w:r>
        <w:rPr>
          <w:kern w:val="0"/>
          <w:szCs w:val="21"/>
        </w:rPr>
        <w:t>5%</w:t>
      </w:r>
      <w:r>
        <w:rPr>
          <w:rFonts w:hint="eastAsia"/>
          <w:kern w:val="0"/>
          <w:szCs w:val="21"/>
        </w:rPr>
        <w:t>、</w:t>
      </w:r>
      <w:r>
        <w:rPr>
          <w:kern w:val="0"/>
          <w:szCs w:val="21"/>
        </w:rPr>
        <w:t>2%作为</w:t>
      </w:r>
      <w:r>
        <w:rPr>
          <w:rFonts w:hint="eastAsia"/>
          <w:kern w:val="0"/>
          <w:szCs w:val="21"/>
        </w:rPr>
        <w:t>校准点</w:t>
      </w:r>
      <w:r>
        <w:rPr>
          <w:kern w:val="0"/>
          <w:szCs w:val="21"/>
        </w:rPr>
        <w:t>。试验</w:t>
      </w:r>
      <w:r>
        <w:rPr>
          <w:rFonts w:hint="eastAsia"/>
          <w:kern w:val="0"/>
          <w:szCs w:val="21"/>
        </w:rPr>
        <w:t>系统</w:t>
      </w:r>
      <w:r>
        <w:rPr>
          <w:kern w:val="0"/>
          <w:szCs w:val="21"/>
        </w:rPr>
        <w:t>的测量下限应不小于满量程值的2%</w:t>
      </w:r>
      <w:r>
        <w:rPr>
          <w:rFonts w:hint="eastAsia"/>
          <w:kern w:val="0"/>
          <w:szCs w:val="21"/>
        </w:rPr>
        <w:t>。</w:t>
      </w:r>
    </w:p>
    <w:p>
      <w:pPr>
        <w:spacing w:line="360" w:lineRule="auto"/>
        <w:ind w:firstLine="420" w:firstLineChars="200"/>
        <w:rPr>
          <w:kern w:val="0"/>
          <w:szCs w:val="21"/>
        </w:rPr>
      </w:pPr>
      <w:r>
        <w:rPr>
          <w:rFonts w:hint="eastAsia"/>
          <w:kern w:val="0"/>
          <w:szCs w:val="21"/>
        </w:rPr>
        <w:t>首先将标准测力仪安装在上、下夹头，并调整至合适位置，放置足够的时间，使其达到稳定的温度。校准前应调好零点，校准时加卸力应平稳、缓慢。缓慢预加量程上限的最大力3次，并卸回至零负荷。逐级递增施加力，校准进程，逐级递减卸除力，校准回程。重复此过程至少3次。然后将标准测力仪安装在左、右夹头，重复上述过程。</w:t>
      </w:r>
    </w:p>
    <w:p>
      <w:pPr>
        <w:spacing w:line="360" w:lineRule="auto"/>
        <w:rPr>
          <w:kern w:val="0"/>
          <w:szCs w:val="21"/>
        </w:rPr>
      </w:pPr>
      <w:r>
        <w:rPr>
          <w:rFonts w:hint="eastAsia"/>
          <w:kern w:val="0"/>
          <w:szCs w:val="21"/>
        </w:rPr>
        <w:t>6.7循环力</w:t>
      </w:r>
    </w:p>
    <w:p>
      <w:pPr>
        <w:spacing w:line="360" w:lineRule="auto"/>
        <w:ind w:firstLine="420" w:firstLineChars="200"/>
        <w:rPr>
          <w:kern w:val="0"/>
          <w:szCs w:val="21"/>
        </w:rPr>
      </w:pPr>
      <w:r>
        <w:rPr>
          <w:kern w:val="0"/>
          <w:szCs w:val="21"/>
        </w:rPr>
        <w:t>首先选择循环力级，</w:t>
      </w:r>
      <w:r>
        <w:rPr>
          <w:rFonts w:hint="eastAsia"/>
          <w:kern w:val="0"/>
          <w:szCs w:val="21"/>
        </w:rPr>
        <w:t>选择合适的</w:t>
      </w:r>
      <w:r>
        <w:rPr>
          <w:kern w:val="0"/>
          <w:szCs w:val="21"/>
        </w:rPr>
        <w:t>平均循环力比和循环力范围比，对平均力级和循环力级进行校准。也可以仅在一个平均循环力下进行循环力的校准，此时，F</w:t>
      </w:r>
      <w:r>
        <w:rPr>
          <w:kern w:val="0"/>
          <w:szCs w:val="21"/>
          <w:vertAlign w:val="subscript"/>
        </w:rPr>
        <w:t>m</w:t>
      </w:r>
      <w:r>
        <w:rPr>
          <w:kern w:val="0"/>
          <w:szCs w:val="21"/>
        </w:rPr>
        <w:t>/F</w:t>
      </w:r>
      <w:r>
        <w:rPr>
          <w:kern w:val="0"/>
          <w:szCs w:val="21"/>
          <w:vertAlign w:val="subscript"/>
        </w:rPr>
        <w:t>max</w:t>
      </w:r>
      <w:r>
        <w:rPr>
          <w:kern w:val="0"/>
          <w:szCs w:val="21"/>
        </w:rPr>
        <w:t>=0。</w:t>
      </w:r>
      <w:r>
        <w:rPr>
          <w:rFonts w:hint="eastAsia"/>
          <w:kern w:val="0"/>
          <w:szCs w:val="21"/>
        </w:rPr>
        <w:t>然后进行频率的选择，若试验系统仅使用几个特定的工作频率（离散的），则循环力仅在这几个特定的工作频率下校准；若试验系统在一个变化的频率范围内使用，则选取3个频率（包括该频率范围的下限和上限）作为循环力的校准频率。也可以根据客户要求的频率进行校准。对循环力校准装置的采样频率进行设置，其采样频率至少为校准频率的50倍。逐个频率、逐个力级地施加循环力。每个频率和力级下，在指示装置的示值稳定后，读取10个连续循环周期的循环力峰值示值和循环力谷值示值，并按公式计算各个频率及循环力级下的循环力范围平均值和循环力峰值平均值。以试验系统力指示装置为准，在力校准装置上进行读数，按照公式计算试验系统循环力范围示值相对误差、循环力范围示值重复性、循环力峰值示值相对误差和循环力峰值示值重复性。</w:t>
      </w:r>
    </w:p>
    <w:p>
      <w:pPr>
        <w:spacing w:line="360" w:lineRule="auto"/>
        <w:rPr>
          <w:kern w:val="0"/>
          <w:szCs w:val="21"/>
        </w:rPr>
      </w:pPr>
      <w:r>
        <w:rPr>
          <w:rFonts w:hint="eastAsia"/>
          <w:kern w:val="0"/>
          <w:szCs w:val="21"/>
        </w:rPr>
        <w:t>6.8伺服作动系统</w:t>
      </w:r>
      <w:r>
        <w:rPr>
          <w:kern w:val="0"/>
          <w:szCs w:val="21"/>
        </w:rPr>
        <w:t>作动筒位移</w:t>
      </w:r>
    </w:p>
    <w:p>
      <w:pPr>
        <w:spacing w:line="360" w:lineRule="auto"/>
        <w:ind w:firstLine="420" w:firstLineChars="200"/>
        <w:rPr>
          <w:kern w:val="0"/>
          <w:szCs w:val="21"/>
        </w:rPr>
      </w:pPr>
      <w:r>
        <w:rPr>
          <w:rFonts w:hint="eastAsia"/>
          <w:kern w:val="0"/>
          <w:szCs w:val="21"/>
        </w:rPr>
        <w:t>使用磁性表座将数显千分表固定在试验系统合适的位置，调整数显千分表使其触头表面与试验系统中和作动筒相连接的夹头表面接触，根据作动筒行程，在其行程范围内均匀选择3点进行校准，每点校准3次。调整磁性表座和千分表位置，分别完成上、下夹头和左、右夹头位移的校准。</w:t>
      </w:r>
    </w:p>
    <w:p>
      <w:pPr>
        <w:spacing w:line="360" w:lineRule="auto"/>
        <w:rPr>
          <w:kern w:val="0"/>
          <w:szCs w:val="21"/>
        </w:rPr>
      </w:pPr>
      <w:r>
        <w:rPr>
          <w:rFonts w:hint="eastAsia"/>
          <w:kern w:val="0"/>
          <w:szCs w:val="21"/>
        </w:rPr>
        <w:t>6.9伺服作动系统</w:t>
      </w:r>
      <w:r>
        <w:rPr>
          <w:kern w:val="0"/>
          <w:szCs w:val="21"/>
        </w:rPr>
        <w:t>作动筒</w:t>
      </w:r>
      <w:r>
        <w:rPr>
          <w:rFonts w:hint="eastAsia"/>
          <w:kern w:val="0"/>
          <w:szCs w:val="21"/>
        </w:rPr>
        <w:t>速度</w:t>
      </w:r>
    </w:p>
    <w:p>
      <w:pPr>
        <w:spacing w:line="360" w:lineRule="auto"/>
        <w:ind w:firstLine="420" w:firstLineChars="200"/>
        <w:rPr>
          <w:kern w:val="0"/>
          <w:szCs w:val="21"/>
        </w:rPr>
      </w:pPr>
      <w:r>
        <w:rPr>
          <w:rFonts w:hint="eastAsia"/>
          <w:kern w:val="0"/>
          <w:szCs w:val="21"/>
        </w:rPr>
        <w:t>在校准伺服作动系统</w:t>
      </w:r>
      <w:r>
        <w:rPr>
          <w:kern w:val="0"/>
          <w:szCs w:val="21"/>
        </w:rPr>
        <w:t>作动筒</w:t>
      </w:r>
      <w:r>
        <w:rPr>
          <w:rFonts w:hint="eastAsia"/>
          <w:kern w:val="0"/>
          <w:szCs w:val="21"/>
        </w:rPr>
        <w:t>位移的基础上配合电子秒表，完成伺服作动系统</w:t>
      </w:r>
      <w:r>
        <w:rPr>
          <w:kern w:val="0"/>
          <w:szCs w:val="21"/>
        </w:rPr>
        <w:t>作动筒</w:t>
      </w:r>
      <w:r>
        <w:rPr>
          <w:rFonts w:hint="eastAsia"/>
          <w:kern w:val="0"/>
          <w:szCs w:val="21"/>
        </w:rPr>
        <w:t>速度的校准。</w:t>
      </w:r>
    </w:p>
    <w:p>
      <w:pPr>
        <w:spacing w:line="360" w:lineRule="auto"/>
        <w:ind w:firstLine="420" w:firstLineChars="200"/>
        <w:rPr>
          <w:rFonts w:eastAsiaTheme="minorEastAsia"/>
          <w:kern w:val="0"/>
          <w:szCs w:val="21"/>
        </w:rPr>
      </w:pPr>
      <w:r>
        <w:rPr>
          <w:rFonts w:hint="eastAsia"/>
          <w:kern w:val="0"/>
          <w:szCs w:val="21"/>
        </w:rPr>
        <w:t>静态力、循环力、同轴度校准方法是参考了JJG 556-2011《轴向加力疲劳试验机》、JJG 475-2008《电子万能试验机》等对设备力值和同轴的要求，对相关项目的校准方法进行编写。根据专家意见，为了更准确地描述伺服作动系统作动筒位移的测量方法，将7.2.8伺服作动系统作动筒位移校准方法中“合适的位置”描述，改为“垂直位置”。</w:t>
      </w:r>
    </w:p>
    <w:bookmarkEnd w:id="58"/>
    <w:bookmarkEnd w:id="59"/>
    <w:p>
      <w:pPr>
        <w:pStyle w:val="4"/>
        <w:spacing w:before="156" w:after="156"/>
        <w:rPr>
          <w:b w:val="0"/>
          <w:bCs w:val="0"/>
        </w:rPr>
      </w:pPr>
      <w:bookmarkStart w:id="60" w:name="_Toc193619101"/>
      <w:bookmarkStart w:id="61" w:name="_Toc193619059"/>
      <w:bookmarkStart w:id="62" w:name="_Toc193860038"/>
      <w:bookmarkStart w:id="63" w:name="_Toc193860188"/>
      <w:bookmarkStart w:id="64" w:name="_Toc193618956"/>
      <w:bookmarkStart w:id="65" w:name="_Toc193860219"/>
      <w:bookmarkStart w:id="66" w:name="_Toc25466_WPSOffice_Level1"/>
      <w:bookmarkStart w:id="67" w:name="_Toc500258947"/>
      <w:r>
        <w:rPr>
          <w:rFonts w:hint="eastAsia"/>
          <w:b w:val="0"/>
          <w:bCs w:val="0"/>
        </w:rPr>
        <w:t>7 校准结果</w:t>
      </w:r>
      <w:bookmarkEnd w:id="60"/>
      <w:bookmarkEnd w:id="61"/>
      <w:bookmarkEnd w:id="62"/>
      <w:bookmarkEnd w:id="63"/>
      <w:bookmarkEnd w:id="64"/>
      <w:bookmarkEnd w:id="65"/>
      <w:r>
        <w:rPr>
          <w:rFonts w:hint="eastAsia"/>
          <w:b w:val="0"/>
          <w:bCs w:val="0"/>
        </w:rPr>
        <w:t>表达</w:t>
      </w:r>
      <w:bookmarkEnd w:id="66"/>
      <w:bookmarkEnd w:id="67"/>
    </w:p>
    <w:p>
      <w:pPr>
        <w:pStyle w:val="58"/>
        <w:spacing w:line="360" w:lineRule="auto"/>
        <w:ind w:firstLine="420"/>
        <w:rPr>
          <w:rFonts w:ascii="Times New Roman" w:hAnsi="Times New Roman" w:eastAsiaTheme="minorEastAsia"/>
          <w:kern w:val="2"/>
          <w:szCs w:val="21"/>
        </w:rPr>
      </w:pPr>
      <w:r>
        <w:rPr>
          <w:rFonts w:hint="eastAsia" w:ascii="Times New Roman" w:hAnsi="Times New Roman" w:eastAsiaTheme="minorEastAsia"/>
          <w:kern w:val="2"/>
          <w:szCs w:val="21"/>
        </w:rPr>
        <w:t>根据实验室环境要求、校准项目校准结果、测量不确定度评定结果等，按照JJF 1071-2010推荐的校准报告格式，出具校准证书。</w:t>
      </w:r>
    </w:p>
    <w:p>
      <w:pPr>
        <w:pStyle w:val="4"/>
        <w:spacing w:before="156" w:after="156"/>
        <w:rPr>
          <w:b w:val="0"/>
          <w:bCs w:val="0"/>
        </w:rPr>
      </w:pPr>
      <w:bookmarkStart w:id="68" w:name="_Toc193860040"/>
      <w:bookmarkStart w:id="69" w:name="_Toc14803_WPSOffice_Level1"/>
      <w:bookmarkStart w:id="70" w:name="_Toc5529"/>
      <w:bookmarkStart w:id="71" w:name="_Toc193860189"/>
      <w:bookmarkStart w:id="72" w:name="_Toc193860220"/>
      <w:bookmarkStart w:id="73" w:name="_Toc193860041"/>
      <w:r>
        <w:rPr>
          <w:rFonts w:hint="eastAsia"/>
          <w:b w:val="0"/>
          <w:bCs w:val="0"/>
        </w:rPr>
        <w:t>8 复校</w:t>
      </w:r>
      <w:bookmarkEnd w:id="68"/>
      <w:bookmarkEnd w:id="69"/>
      <w:bookmarkEnd w:id="70"/>
      <w:bookmarkEnd w:id="71"/>
      <w:bookmarkEnd w:id="72"/>
      <w:r>
        <w:rPr>
          <w:rFonts w:hint="eastAsia"/>
          <w:b w:val="0"/>
          <w:bCs w:val="0"/>
        </w:rPr>
        <w:t>时间间隔</w:t>
      </w:r>
    </w:p>
    <w:bookmarkEnd w:id="73"/>
    <w:p>
      <w:pPr>
        <w:pStyle w:val="58"/>
        <w:spacing w:line="360" w:lineRule="auto"/>
        <w:ind w:firstLine="420"/>
        <w:rPr>
          <w:rFonts w:ascii="Times New Roman" w:hAnsi="Times New Roman" w:eastAsiaTheme="minorEastAsia"/>
          <w:color w:val="0000FF"/>
          <w:kern w:val="2"/>
          <w:szCs w:val="21"/>
        </w:rPr>
      </w:pPr>
      <w:r>
        <w:rPr>
          <w:rFonts w:hint="eastAsia" w:ascii="Times New Roman" w:hAnsi="Times New Roman" w:eastAsiaTheme="minorEastAsia"/>
          <w:kern w:val="2"/>
          <w:szCs w:val="21"/>
        </w:rPr>
        <w:t>建议复校时间间隔为1年。试验系统使用频繁时应适当缩短周期，在使用过程中试验系统经过修理、更换重要部件的应重新校准。</w:t>
      </w:r>
    </w:p>
    <w:p>
      <w:pPr>
        <w:pStyle w:val="4"/>
        <w:spacing w:before="156" w:after="156"/>
        <w:rPr>
          <w:b w:val="0"/>
          <w:bCs w:val="0"/>
        </w:rPr>
      </w:pPr>
      <w:r>
        <w:rPr>
          <w:rFonts w:hint="eastAsia"/>
          <w:b w:val="0"/>
          <w:bCs w:val="0"/>
        </w:rPr>
        <w:t>9附录</w:t>
      </w:r>
    </w:p>
    <w:p>
      <w:pPr>
        <w:pStyle w:val="58"/>
        <w:spacing w:line="360" w:lineRule="auto"/>
        <w:ind w:firstLine="420"/>
        <w:rPr>
          <w:rFonts w:ascii="Times New Roman" w:hAnsi="Times New Roman" w:eastAsiaTheme="minorEastAsia"/>
          <w:kern w:val="2"/>
          <w:szCs w:val="21"/>
        </w:rPr>
      </w:pPr>
      <w:r>
        <w:rPr>
          <w:rFonts w:hint="eastAsia" w:ascii="Times New Roman" w:hAnsi="Times New Roman" w:eastAsiaTheme="minorEastAsia"/>
          <w:kern w:val="2"/>
          <w:szCs w:val="21"/>
        </w:rPr>
        <w:t>附录主要包含校准原始记录参考格式、校准证书内页参考格式、平面双轴试验系统力值示值误差测量不确定度评定示例。</w:t>
      </w:r>
    </w:p>
    <w:p>
      <w:pPr>
        <w:adjustRightInd w:val="0"/>
        <w:snapToGrid w:val="0"/>
        <w:spacing w:line="360" w:lineRule="auto"/>
        <w:ind w:firstLine="420" w:firstLineChars="200"/>
      </w:pPr>
      <w:r>
        <w:rPr>
          <w:rFonts w:hint="eastAsia"/>
        </w:rPr>
        <w:t>本规范设置了</w:t>
      </w:r>
      <w:r>
        <w:t>3</w:t>
      </w:r>
      <w:r>
        <w:rPr>
          <w:rFonts w:hint="eastAsia"/>
        </w:rPr>
        <w:t>个附录，便于校准时参考和规范化。</w:t>
      </w:r>
    </w:p>
    <w:p>
      <w:pPr>
        <w:adjustRightInd w:val="0"/>
        <w:snapToGrid w:val="0"/>
        <w:spacing w:line="360" w:lineRule="auto"/>
        <w:ind w:firstLine="420" w:firstLineChars="200"/>
      </w:pPr>
      <w:r>
        <w:rPr>
          <w:rFonts w:hint="eastAsia"/>
        </w:rPr>
        <w:t xml:space="preserve">附录A </w:t>
      </w:r>
      <w:r>
        <w:rPr>
          <w:rFonts w:hint="eastAsia" w:eastAsiaTheme="minorEastAsia"/>
          <w:szCs w:val="21"/>
        </w:rPr>
        <w:t>平面双轴试验系统</w:t>
      </w:r>
      <w:r>
        <w:rPr>
          <w:rFonts w:hint="eastAsia"/>
        </w:rPr>
        <w:t>校准记录参考格式</w:t>
      </w:r>
    </w:p>
    <w:p>
      <w:pPr>
        <w:adjustRightInd w:val="0"/>
        <w:snapToGrid w:val="0"/>
        <w:spacing w:line="360" w:lineRule="auto"/>
        <w:ind w:firstLine="420" w:firstLineChars="200"/>
      </w:pPr>
      <w:r>
        <w:rPr>
          <w:rFonts w:hint="eastAsia"/>
        </w:rPr>
        <w:t xml:space="preserve">附录B </w:t>
      </w:r>
      <w:r>
        <w:rPr>
          <w:rFonts w:hint="eastAsia" w:eastAsiaTheme="minorEastAsia"/>
          <w:szCs w:val="21"/>
        </w:rPr>
        <w:t>平面双轴试验系统</w:t>
      </w:r>
      <w:r>
        <w:rPr>
          <w:rFonts w:hint="eastAsia"/>
        </w:rPr>
        <w:t>校准证书内页参考格式</w:t>
      </w:r>
    </w:p>
    <w:p>
      <w:pPr>
        <w:adjustRightInd w:val="0"/>
        <w:snapToGrid w:val="0"/>
        <w:spacing w:line="360" w:lineRule="auto"/>
        <w:ind w:firstLine="420" w:firstLineChars="200"/>
      </w:pPr>
      <w:r>
        <w:rPr>
          <w:rFonts w:hint="eastAsia"/>
        </w:rPr>
        <w:t xml:space="preserve">附录C </w:t>
      </w:r>
      <w:r>
        <w:rPr>
          <w:rFonts w:hint="eastAsia" w:eastAsiaTheme="minorEastAsia"/>
          <w:szCs w:val="21"/>
        </w:rPr>
        <w:t>平面双轴试验系统力值</w:t>
      </w:r>
      <w:r>
        <w:rPr>
          <w:rFonts w:hint="eastAsia"/>
        </w:rPr>
        <w:t>示值误差测量不确定度评定示例</w:t>
      </w:r>
    </w:p>
    <w:bookmarkEnd w:id="1"/>
    <w:bookmarkEnd w:id="19"/>
    <w:p>
      <w:pPr>
        <w:pStyle w:val="2"/>
        <w:spacing w:before="156" w:after="156"/>
        <w:rPr>
          <w:b w:val="0"/>
          <w:bCs w:val="0"/>
        </w:rPr>
      </w:pPr>
      <w:bookmarkStart w:id="74" w:name="_Toc464728965"/>
      <w:r>
        <w:rPr>
          <w:rFonts w:hint="eastAsia"/>
          <w:b w:val="0"/>
          <w:bCs w:val="0"/>
        </w:rPr>
        <w:t>三、实践检测情况</w:t>
      </w:r>
    </w:p>
    <w:p>
      <w:pPr>
        <w:adjustRightInd w:val="0"/>
        <w:spacing w:line="360" w:lineRule="auto"/>
        <w:ind w:firstLine="420" w:firstLineChars="200"/>
      </w:pPr>
      <w:r>
        <w:rPr>
          <w:rFonts w:hint="eastAsia"/>
          <w:lang w:eastAsia="zh-CN"/>
        </w:rPr>
        <w:t>西南铝业（集团）有限责任公司、</w:t>
      </w:r>
      <w:r>
        <w:t>国标（北京）检验认证有限公司根据本规范</w:t>
      </w:r>
      <w:r>
        <w:rPr>
          <w:rFonts w:hint="eastAsia"/>
        </w:rPr>
        <w:t>的校准项目</w:t>
      </w:r>
      <w:r>
        <w:t>对</w:t>
      </w:r>
      <w:r>
        <w:rPr>
          <w:rFonts w:hint="eastAsia" w:eastAsiaTheme="minorEastAsia"/>
          <w:szCs w:val="21"/>
        </w:rPr>
        <w:t>平面双轴试验系统</w:t>
      </w:r>
      <w:r>
        <w:t>进行了全计量特性的校准，内容详见校准报告。</w:t>
      </w:r>
    </w:p>
    <w:p>
      <w:pPr>
        <w:pStyle w:val="2"/>
        <w:spacing w:before="156" w:after="156"/>
        <w:rPr>
          <w:b w:val="0"/>
          <w:bCs w:val="0"/>
        </w:rPr>
      </w:pPr>
      <w:r>
        <w:rPr>
          <w:rFonts w:hint="eastAsia"/>
          <w:b w:val="0"/>
          <w:bCs w:val="0"/>
        </w:rPr>
        <w:t>四、规范水平分析</w:t>
      </w:r>
      <w:bookmarkEnd w:id="74"/>
    </w:p>
    <w:p>
      <w:pPr>
        <w:adjustRightInd w:val="0"/>
        <w:spacing w:line="360" w:lineRule="auto"/>
        <w:ind w:firstLine="420" w:firstLineChars="200"/>
        <w:rPr>
          <w:rFonts w:ascii="宋体" w:hAnsi="宋体"/>
          <w:szCs w:val="21"/>
        </w:rPr>
      </w:pPr>
      <w:r>
        <w:t>目前，国家和各省检定规程和校准规范中，</w:t>
      </w:r>
      <w:r>
        <w:rPr>
          <w:rFonts w:hint="eastAsia"/>
        </w:rPr>
        <w:t>无针对</w:t>
      </w:r>
      <w:r>
        <w:rPr>
          <w:rFonts w:hint="eastAsia" w:eastAsiaTheme="minorEastAsia"/>
          <w:szCs w:val="21"/>
        </w:rPr>
        <w:t>平面双轴试验系统的</w:t>
      </w:r>
      <w:r>
        <w:t>校准规范</w:t>
      </w:r>
      <w:r>
        <w:rPr>
          <w:rFonts w:hint="eastAsia"/>
        </w:rPr>
        <w:t>，</w:t>
      </w:r>
      <w:r>
        <w:t>JJ</w:t>
      </w:r>
      <w:r>
        <w:rPr>
          <w:rFonts w:hint="eastAsia"/>
        </w:rPr>
        <w:t>G 556</w:t>
      </w:r>
      <w:r>
        <w:t>-201</w:t>
      </w:r>
      <w:r>
        <w:rPr>
          <w:rFonts w:hint="eastAsia"/>
        </w:rPr>
        <w:t>1</w:t>
      </w:r>
      <w:r>
        <w:t>《</w:t>
      </w:r>
      <w:r>
        <w:rPr>
          <w:szCs w:val="21"/>
          <w:shd w:val="clear" w:color="auto" w:fill="FDFCFB"/>
        </w:rPr>
        <w:t>轴向加力疲劳试验机</w:t>
      </w:r>
      <w:r>
        <w:t>》只针对</w:t>
      </w:r>
      <w:r>
        <w:rPr>
          <w:rFonts w:hint="eastAsia"/>
        </w:rPr>
        <w:t>单一轴向试验设备进行</w:t>
      </w:r>
      <w:r>
        <w:t>校准，</w:t>
      </w:r>
      <w:r>
        <w:rPr>
          <w:rFonts w:hint="eastAsia"/>
        </w:rPr>
        <w:t>且无</w:t>
      </w:r>
      <w:r>
        <w:rPr>
          <w:rFonts w:hint="eastAsia"/>
          <w:kern w:val="0"/>
          <w:szCs w:val="21"/>
        </w:rPr>
        <w:t>伺服作动系统</w:t>
      </w:r>
      <w:r>
        <w:rPr>
          <w:kern w:val="0"/>
          <w:szCs w:val="21"/>
        </w:rPr>
        <w:t>作动筒</w:t>
      </w:r>
      <w:r>
        <w:rPr>
          <w:rFonts w:hint="eastAsia"/>
          <w:kern w:val="0"/>
          <w:szCs w:val="21"/>
        </w:rPr>
        <w:t>位移和速度校准的描述</w:t>
      </w:r>
      <w:r>
        <w:t>，</w:t>
      </w:r>
      <w:r>
        <w:rPr>
          <w:rFonts w:hint="eastAsia"/>
        </w:rPr>
        <w:t>对于</w:t>
      </w:r>
      <w:r>
        <w:rPr>
          <w:rFonts w:hint="eastAsia" w:eastAsiaTheme="minorEastAsia"/>
          <w:szCs w:val="21"/>
        </w:rPr>
        <w:t>平面双轴试验系统</w:t>
      </w:r>
      <w:r>
        <w:rPr>
          <w:rFonts w:hint="eastAsia"/>
        </w:rPr>
        <w:t>的</w:t>
      </w:r>
      <w:r>
        <w:t>校准和检定无统一的</w:t>
      </w:r>
      <w:r>
        <w:rPr>
          <w:rFonts w:hint="eastAsia"/>
        </w:rPr>
        <w:t>校准</w:t>
      </w:r>
      <w:r>
        <w:t>依据</w:t>
      </w:r>
      <w:r>
        <w:rPr>
          <w:rFonts w:hint="eastAsia" w:ascii="宋体" w:hAnsi="宋体"/>
          <w:szCs w:val="21"/>
        </w:rPr>
        <w:t>。</w:t>
      </w:r>
    </w:p>
    <w:p>
      <w:pPr>
        <w:adjustRightInd w:val="0"/>
        <w:spacing w:line="360" w:lineRule="auto"/>
        <w:ind w:firstLine="420" w:firstLineChars="200"/>
        <w:rPr>
          <w:rFonts w:ascii="宋体" w:hAnsi="宋体"/>
          <w:szCs w:val="21"/>
        </w:rPr>
      </w:pPr>
      <w:r>
        <w:rPr>
          <w:rFonts w:hint="eastAsia" w:ascii="宋体" w:hAnsi="宋体"/>
          <w:szCs w:val="21"/>
        </w:rPr>
        <w:t>目前国外没有相关技术规范，本规范水平达到国内先进水平。</w:t>
      </w:r>
      <w:r>
        <w:rPr>
          <w:rFonts w:hint="eastAsia"/>
          <w:szCs w:val="21"/>
        </w:rPr>
        <w:t>本规范的制定填补了有色金属行业</w:t>
      </w:r>
      <w:r>
        <w:rPr>
          <w:rFonts w:hint="eastAsia" w:hAnsi="宋体"/>
          <w:szCs w:val="21"/>
        </w:rPr>
        <w:t>平面双轴试验系统</w:t>
      </w:r>
      <w:r>
        <w:rPr>
          <w:rFonts w:hint="eastAsia"/>
          <w:szCs w:val="21"/>
        </w:rPr>
        <w:t>的校准空白，属于国内首创，水平达到国内领先。</w:t>
      </w:r>
    </w:p>
    <w:p>
      <w:pPr>
        <w:pStyle w:val="2"/>
        <w:spacing w:before="156" w:after="156"/>
        <w:rPr>
          <w:b w:val="0"/>
          <w:bCs w:val="0"/>
        </w:rPr>
      </w:pPr>
      <w:r>
        <w:rPr>
          <w:rFonts w:hint="eastAsia"/>
          <w:b w:val="0"/>
          <w:bCs w:val="0"/>
        </w:rPr>
        <w:t>五、与有关的现行法律、法规和强制性国家标准的关系</w:t>
      </w:r>
    </w:p>
    <w:p>
      <w:pPr>
        <w:adjustRightInd w:val="0"/>
        <w:spacing w:line="360" w:lineRule="auto"/>
        <w:ind w:firstLine="420" w:firstLineChars="200"/>
        <w:rPr>
          <w:rFonts w:hAnsi="宋体"/>
          <w:szCs w:val="21"/>
        </w:rPr>
      </w:pPr>
      <w:r>
        <w:rPr>
          <w:rFonts w:hint="eastAsia" w:hAnsi="宋体"/>
          <w:szCs w:val="21"/>
        </w:rPr>
        <w:t>本规范所引用的规程、规范及标准均为我国现行有效的计量规程及规范，是本规范的一部分，引用这些文件后，使本规范的要求与现行的相关法律、法规、规章及相关规程规范的关系不矛盾、不冲突，相互关系协调。</w:t>
      </w:r>
    </w:p>
    <w:p>
      <w:pPr>
        <w:pStyle w:val="2"/>
        <w:spacing w:before="156" w:after="156"/>
        <w:rPr>
          <w:b w:val="0"/>
          <w:bCs w:val="0"/>
        </w:rPr>
      </w:pPr>
      <w:bookmarkStart w:id="75" w:name="_Toc464728973"/>
      <w:r>
        <w:rPr>
          <w:rFonts w:hint="eastAsia"/>
          <w:b w:val="0"/>
          <w:bCs w:val="0"/>
        </w:rPr>
        <w:t>六、规范中涉及的专利或知识产权说明</w:t>
      </w:r>
      <w:bookmarkEnd w:id="75"/>
    </w:p>
    <w:p>
      <w:pPr>
        <w:pStyle w:val="58"/>
        <w:spacing w:line="300" w:lineRule="auto"/>
        <w:ind w:firstLineChars="0"/>
        <w:contextualSpacing/>
        <w:rPr>
          <w:szCs w:val="21"/>
        </w:rPr>
      </w:pPr>
      <w:bookmarkStart w:id="76" w:name="_Toc464728974"/>
      <w:r>
        <w:rPr>
          <w:rFonts w:hint="eastAsia"/>
          <w:szCs w:val="21"/>
        </w:rPr>
        <w:t>无。</w:t>
      </w:r>
    </w:p>
    <w:p>
      <w:pPr>
        <w:pStyle w:val="2"/>
        <w:spacing w:before="156" w:after="156"/>
        <w:rPr>
          <w:b w:val="0"/>
          <w:bCs w:val="0"/>
        </w:rPr>
      </w:pPr>
      <w:r>
        <w:rPr>
          <w:rFonts w:hint="eastAsia"/>
          <w:b w:val="0"/>
          <w:bCs w:val="0"/>
        </w:rPr>
        <w:t>七、重大分歧意见的处理经过和依据</w:t>
      </w:r>
      <w:bookmarkEnd w:id="76"/>
    </w:p>
    <w:p>
      <w:pPr>
        <w:pStyle w:val="58"/>
        <w:spacing w:line="300" w:lineRule="auto"/>
        <w:ind w:firstLine="420"/>
        <w:contextualSpacing/>
        <w:rPr>
          <w:szCs w:val="21"/>
        </w:rPr>
      </w:pPr>
      <w:r>
        <w:rPr>
          <w:rFonts w:hint="eastAsia"/>
          <w:szCs w:val="21"/>
        </w:rPr>
        <w:t>无。</w:t>
      </w:r>
    </w:p>
    <w:p>
      <w:pPr>
        <w:pStyle w:val="2"/>
        <w:spacing w:before="156" w:after="156"/>
        <w:rPr>
          <w:b w:val="0"/>
          <w:bCs w:val="0"/>
        </w:rPr>
      </w:pPr>
      <w:r>
        <w:rPr>
          <w:rFonts w:hint="eastAsia"/>
          <w:b w:val="0"/>
          <w:bCs w:val="0"/>
        </w:rPr>
        <w:t>八、规范作为国家（或行业）计量技术规范的建议</w:t>
      </w:r>
    </w:p>
    <w:p>
      <w:pPr>
        <w:adjustRightInd w:val="0"/>
        <w:spacing w:line="360" w:lineRule="auto"/>
        <w:ind w:firstLine="420" w:firstLineChars="200"/>
        <w:rPr>
          <w:rFonts w:hAnsi="宋体"/>
          <w:szCs w:val="21"/>
        </w:rPr>
      </w:pPr>
      <w:r>
        <w:rPr>
          <w:rFonts w:hint="eastAsia" w:hAnsi="宋体"/>
          <w:szCs w:val="21"/>
        </w:rPr>
        <w:t>建议本规范作为行业计量技术规范，供行业企业参考使用。必要时可根据实际需要，结合其他行业使用要求，申报国家计量技术规范，以满足校准需要。</w:t>
      </w:r>
    </w:p>
    <w:p>
      <w:pPr>
        <w:pStyle w:val="2"/>
        <w:spacing w:before="156" w:after="156"/>
        <w:rPr>
          <w:b w:val="0"/>
          <w:bCs w:val="0"/>
        </w:rPr>
      </w:pPr>
      <w:bookmarkStart w:id="77" w:name="_Toc464728976"/>
      <w:r>
        <w:rPr>
          <w:rFonts w:hint="eastAsia"/>
          <w:b w:val="0"/>
          <w:bCs w:val="0"/>
        </w:rPr>
        <w:t>九、贯彻规范的要求和措施建议</w:t>
      </w:r>
      <w:bookmarkEnd w:id="77"/>
    </w:p>
    <w:p>
      <w:pPr>
        <w:adjustRightInd w:val="0"/>
        <w:spacing w:line="360" w:lineRule="auto"/>
        <w:ind w:firstLine="420" w:firstLineChars="200"/>
        <w:rPr>
          <w:rFonts w:hAnsi="宋体"/>
          <w:szCs w:val="21"/>
        </w:rPr>
      </w:pPr>
      <w:r>
        <w:rPr>
          <w:rFonts w:hint="eastAsia" w:hAnsi="宋体"/>
          <w:szCs w:val="21"/>
        </w:rPr>
        <w:t>本规范发布后，中国有色金属行业协会和有色金属行业计量技术委员会应加强本规范的宣传力度，以促进我国企业的技术进步和产品质量上档次，提高我国产品在国际国内市场的竞争能力。</w:t>
      </w:r>
    </w:p>
    <w:p>
      <w:pPr>
        <w:pStyle w:val="2"/>
        <w:spacing w:before="156" w:after="156"/>
        <w:rPr>
          <w:b w:val="0"/>
          <w:bCs w:val="0"/>
        </w:rPr>
      </w:pPr>
      <w:bookmarkStart w:id="78" w:name="_Toc464728977"/>
      <w:r>
        <w:rPr>
          <w:rFonts w:hint="eastAsia"/>
          <w:b w:val="0"/>
          <w:bCs w:val="0"/>
        </w:rPr>
        <w:t>十、废止现行有关规范的建议</w:t>
      </w:r>
      <w:bookmarkEnd w:id="78"/>
    </w:p>
    <w:p>
      <w:pPr>
        <w:pStyle w:val="58"/>
        <w:spacing w:line="300" w:lineRule="auto"/>
        <w:ind w:firstLine="420"/>
        <w:contextualSpacing/>
        <w:rPr>
          <w:szCs w:val="21"/>
        </w:rPr>
      </w:pPr>
      <w:r>
        <w:rPr>
          <w:rFonts w:hint="eastAsia"/>
          <w:szCs w:val="21"/>
        </w:rPr>
        <w:t>无。</w:t>
      </w:r>
    </w:p>
    <w:p>
      <w:pPr>
        <w:pStyle w:val="2"/>
        <w:spacing w:before="156" w:after="156"/>
        <w:rPr>
          <w:b w:val="0"/>
          <w:bCs w:val="0"/>
        </w:rPr>
      </w:pPr>
      <w:r>
        <w:rPr>
          <w:rFonts w:hint="eastAsia"/>
          <w:b w:val="0"/>
          <w:bCs w:val="0"/>
        </w:rPr>
        <w:t>十一、预期效果</w:t>
      </w:r>
    </w:p>
    <w:p>
      <w:pPr>
        <w:adjustRightInd w:val="0"/>
        <w:spacing w:line="360" w:lineRule="auto"/>
        <w:ind w:firstLine="420" w:firstLineChars="200"/>
        <w:rPr>
          <w:rFonts w:hAnsi="宋体"/>
          <w:szCs w:val="21"/>
        </w:rPr>
      </w:pPr>
      <w:r>
        <w:rPr>
          <w:rFonts w:hint="eastAsia" w:hAnsi="宋体"/>
          <w:szCs w:val="21"/>
        </w:rPr>
        <w:t>本规范发布后，能解决平面双轴试验系统校准方法不统一、校准方法差异化、计量标准技术指标不明确、校准点的选择不统一、平面双轴试验系统的校准方法未规定等问题，弥补平面双轴试验系统校准的空白，为保证平面双轴试验系统测试结果的准确可靠提供保证。</w:t>
      </w:r>
    </w:p>
    <w:p>
      <w:pPr>
        <w:pStyle w:val="2"/>
        <w:spacing w:before="156" w:after="156"/>
        <w:rPr>
          <w:b w:val="0"/>
          <w:bCs w:val="0"/>
        </w:rPr>
      </w:pPr>
      <w:r>
        <w:rPr>
          <w:rFonts w:hint="eastAsia"/>
          <w:b w:val="0"/>
          <w:bCs w:val="0"/>
        </w:rPr>
        <w:t>十二、其他应予说明的事项</w:t>
      </w:r>
    </w:p>
    <w:p>
      <w:pPr>
        <w:pStyle w:val="58"/>
        <w:spacing w:line="300" w:lineRule="auto"/>
        <w:ind w:firstLineChars="0"/>
        <w:contextualSpacing/>
        <w:rPr>
          <w:szCs w:val="21"/>
        </w:rPr>
      </w:pPr>
      <w:r>
        <w:rPr>
          <w:rFonts w:hint="eastAsia"/>
          <w:szCs w:val="21"/>
        </w:rPr>
        <w:t>无。</w:t>
      </w:r>
    </w:p>
    <w:p>
      <w:pPr>
        <w:pStyle w:val="58"/>
        <w:spacing w:line="300" w:lineRule="auto"/>
        <w:ind w:firstLineChars="0"/>
        <w:contextualSpacing/>
        <w:rPr>
          <w:szCs w:val="21"/>
        </w:rPr>
      </w:pPr>
    </w:p>
    <w:p>
      <w:pPr>
        <w:pStyle w:val="58"/>
        <w:spacing w:line="300" w:lineRule="auto"/>
        <w:ind w:firstLineChars="0"/>
        <w:contextualSpacing/>
        <w:jc w:val="right"/>
        <w:rPr>
          <w:rFonts w:ascii="Times New Roman" w:hAnsi="Times New Roman" w:eastAsia="黑体"/>
        </w:rPr>
      </w:pPr>
      <w:r>
        <w:rPr>
          <w:rFonts w:ascii="Times New Roman" w:hAnsi="Times New Roman" w:eastAsia="黑体"/>
        </w:rPr>
        <w:t xml:space="preserve"> </w:t>
      </w:r>
    </w:p>
    <w:p>
      <w:pPr>
        <w:pStyle w:val="58"/>
        <w:spacing w:line="300" w:lineRule="auto"/>
        <w:ind w:firstLineChars="0"/>
        <w:contextualSpacing/>
        <w:jc w:val="right"/>
        <w:rPr>
          <w:rFonts w:ascii="Times New Roman" w:hAnsi="Times New Roman" w:eastAsia="黑体"/>
        </w:rPr>
      </w:pPr>
    </w:p>
    <w:p>
      <w:pPr>
        <w:pStyle w:val="58"/>
        <w:spacing w:line="300" w:lineRule="auto"/>
        <w:ind w:firstLineChars="0"/>
        <w:contextualSpacing/>
        <w:jc w:val="right"/>
        <w:rPr>
          <w:rFonts w:ascii="Times New Roman" w:hAnsi="Times New Roman" w:eastAsia="方正行楷简体"/>
          <w:szCs w:val="21"/>
        </w:rPr>
      </w:pPr>
      <w:r>
        <w:rPr>
          <w:rFonts w:ascii="Times New Roman" w:hAnsi="Times New Roman" w:eastAsia="方正行楷简体"/>
          <w:szCs w:val="21"/>
        </w:rPr>
        <w:t>《</w:t>
      </w:r>
      <w:r>
        <w:rPr>
          <w:rFonts w:hint="eastAsia" w:eastAsia="方正行楷简体"/>
          <w:bCs/>
        </w:rPr>
        <w:t>平面双轴试验系统</w:t>
      </w:r>
      <w:r>
        <w:rPr>
          <w:rFonts w:hint="eastAsia"/>
        </w:rPr>
        <w:t>校准规范</w:t>
      </w:r>
      <w:r>
        <w:rPr>
          <w:rFonts w:ascii="Times New Roman" w:hAnsi="Times New Roman" w:eastAsia="方正行楷简体"/>
          <w:szCs w:val="21"/>
        </w:rPr>
        <w:t xml:space="preserve">》编制组  </w:t>
      </w:r>
    </w:p>
    <w:p>
      <w:pPr>
        <w:pStyle w:val="58"/>
        <w:spacing w:line="300" w:lineRule="auto"/>
        <w:ind w:firstLineChars="0"/>
        <w:contextualSpacing/>
        <w:jc w:val="right"/>
        <w:rPr>
          <w:szCs w:val="21"/>
        </w:rPr>
      </w:pPr>
      <w:r>
        <w:rPr>
          <w:rFonts w:ascii="Times New Roman" w:hAnsi="Times New Roman" w:eastAsia="方正行楷简体"/>
          <w:szCs w:val="21"/>
        </w:rPr>
        <w:t>202</w:t>
      </w:r>
      <w:r>
        <w:rPr>
          <w:rFonts w:hint="eastAsia" w:ascii="Times New Roman" w:hAnsi="Times New Roman" w:eastAsia="方正行楷简体"/>
          <w:szCs w:val="21"/>
        </w:rPr>
        <w:t>4</w:t>
      </w:r>
      <w:r>
        <w:rPr>
          <w:rFonts w:ascii="Times New Roman" w:hAnsi="Times New Roman" w:eastAsia="方正行楷简体"/>
          <w:szCs w:val="21"/>
        </w:rPr>
        <w:t>年</w:t>
      </w:r>
      <w:r>
        <w:rPr>
          <w:rFonts w:hint="eastAsia" w:ascii="Times New Roman" w:hAnsi="Times New Roman" w:eastAsia="方正行楷简体"/>
          <w:szCs w:val="21"/>
          <w:lang w:val="en-US" w:eastAsia="zh-CN"/>
        </w:rPr>
        <w:t>9</w:t>
      </w:r>
      <w:r>
        <w:rPr>
          <w:rFonts w:ascii="Times New Roman" w:hAnsi="Times New Roman" w:eastAsia="方正行楷简体"/>
          <w:szCs w:val="21"/>
        </w:rPr>
        <w:t>月</w:t>
      </w:r>
      <w:r>
        <w:rPr>
          <w:rFonts w:hint="eastAsia" w:ascii="Times New Roman" w:hAnsi="Times New Roman" w:eastAsia="方正行楷简体"/>
          <w:szCs w:val="21"/>
          <w:lang w:val="en-US" w:eastAsia="zh-CN"/>
        </w:rPr>
        <w:t>19</w:t>
      </w:r>
      <w:r>
        <w:rPr>
          <w:rFonts w:ascii="Times New Roman" w:hAnsi="Times New Roman" w:eastAsia="方正行楷简体"/>
          <w:szCs w:val="21"/>
        </w:rPr>
        <w:t>日</w:t>
      </w:r>
    </w:p>
    <w:sectPr>
      <w:footerReference r:id="rId5" w:type="first"/>
      <w:headerReference r:id="rId3" w:type="default"/>
      <w:footerReference r:id="rId4"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行楷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jc w:val="center"/>
      <w:rPr>
        <w:rStyle w:val="45"/>
      </w:rPr>
    </w:pPr>
    <w:r>
      <w:fldChar w:fldCharType="begin"/>
    </w:r>
    <w:r>
      <w:rPr>
        <w:rStyle w:val="45"/>
      </w:rPr>
      <w:instrText xml:space="preserve">PAGE  </w:instrText>
    </w:r>
    <w:r>
      <w:fldChar w:fldCharType="separate"/>
    </w:r>
    <w:r>
      <w:rPr>
        <w:rStyle w:val="45"/>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p>
  <w:p>
    <w:pPr>
      <w:pStyle w:val="30"/>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none"/>
      <w:pStyle w:val="8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multilevel"/>
    <w:tmpl w:val="0000000C"/>
    <w:lvl w:ilvl="0" w:tentative="0">
      <w:start w:val="1"/>
      <w:numFmt w:val="none"/>
      <w:pStyle w:val="108"/>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0"/>
    <w:multiLevelType w:val="multilevel"/>
    <w:tmpl w:val="00000010"/>
    <w:lvl w:ilvl="0" w:tentative="0">
      <w:start w:val="1"/>
      <w:numFmt w:val="none"/>
      <w:pStyle w:val="91"/>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8"/>
      <w:suff w:val="nothing"/>
      <w:lvlText w:val="%1%2.%3　"/>
      <w:lvlJc w:val="left"/>
      <w:pPr>
        <w:ind w:left="0" w:firstLine="0"/>
      </w:pPr>
      <w:rPr>
        <w:rFonts w:hint="eastAsia" w:ascii="黑体" w:hAnsi="Times New Roman" w:eastAsia="黑体"/>
        <w:b w:val="0"/>
        <w:i w:val="0"/>
        <w:sz w:val="21"/>
      </w:rPr>
    </w:lvl>
    <w:lvl w:ilvl="3" w:tentative="0">
      <w:start w:val="1"/>
      <w:numFmt w:val="decimal"/>
      <w:pStyle w:val="94"/>
      <w:suff w:val="nothing"/>
      <w:lvlText w:val="%1%2.%3.%4　"/>
      <w:lvlJc w:val="left"/>
      <w:pPr>
        <w:ind w:left="0" w:firstLine="0"/>
      </w:pPr>
      <w:rPr>
        <w:rFonts w:hint="eastAsia" w:ascii="黑体" w:hAnsi="Times New Roman" w:eastAsia="黑体"/>
        <w:b w:val="0"/>
        <w:i w:val="0"/>
        <w:sz w:val="21"/>
      </w:rPr>
    </w:lvl>
    <w:lvl w:ilvl="4" w:tentative="0">
      <w:start w:val="1"/>
      <w:numFmt w:val="decimal"/>
      <w:pStyle w:val="116"/>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pStyle w:val="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14"/>
    <w:multiLevelType w:val="multilevel"/>
    <w:tmpl w:val="00000014"/>
    <w:lvl w:ilvl="0" w:tentative="0">
      <w:start w:val="1"/>
      <w:numFmt w:val="none"/>
      <w:pStyle w:val="115"/>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5"/>
    <w:multiLevelType w:val="multilevel"/>
    <w:tmpl w:val="00000015"/>
    <w:lvl w:ilvl="0" w:tentative="0">
      <w:start w:val="1"/>
      <w:numFmt w:val="upperLetter"/>
      <w:pStyle w:val="6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9"/>
      <w:lvlText w:val="（%2）"/>
      <w:lvlJc w:val="left"/>
      <w:pPr>
        <w:ind w:left="0" w:firstLine="0"/>
      </w:pPr>
      <w:rPr>
        <w:rFonts w:hint="default"/>
        <w:b w:val="0"/>
        <w:i w:val="0"/>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102"/>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9"/>
    <w:multiLevelType w:val="multilevel"/>
    <w:tmpl w:val="00000019"/>
    <w:lvl w:ilvl="0" w:tentative="0">
      <w:start w:val="1"/>
      <w:numFmt w:val="decimal"/>
      <w:pStyle w:val="107"/>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7">
    <w:nsid w:val="00000022"/>
    <w:multiLevelType w:val="multilevel"/>
    <w:tmpl w:val="00000022"/>
    <w:lvl w:ilvl="0" w:tentative="0">
      <w:start w:val="1"/>
      <w:numFmt w:val="decimal"/>
      <w:pStyle w:val="90"/>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25"/>
    <w:multiLevelType w:val="multilevel"/>
    <w:tmpl w:val="00000025"/>
    <w:lvl w:ilvl="0" w:tentative="0">
      <w:start w:val="1"/>
      <w:numFmt w:val="none"/>
      <w:pStyle w:val="66"/>
      <w:suff w:val="nothing"/>
      <w:lvlText w:val="%1"/>
      <w:lvlJc w:val="left"/>
      <w:pPr>
        <w:ind w:left="0" w:firstLine="0"/>
      </w:pPr>
      <w:rPr>
        <w:rFonts w:hint="default" w:ascii="Times New Roman" w:hAnsi="Times New Roman"/>
        <w:b/>
        <w:i w:val="0"/>
        <w:sz w:val="21"/>
      </w:rPr>
    </w:lvl>
    <w:lvl w:ilvl="1" w:tentative="0">
      <w:start w:val="1"/>
      <w:numFmt w:val="decimal"/>
      <w:pStyle w:val="61"/>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pStyle w:val="60"/>
      <w:suff w:val="nothing"/>
      <w:lvlText w:val="%1%2.%3　"/>
      <w:lvlJc w:val="left"/>
      <w:pPr>
        <w:ind w:left="0" w:firstLine="0"/>
      </w:pPr>
      <w:rPr>
        <w:rFonts w:hint="eastAsia" w:ascii="黑体" w:hAnsi="Times New Roman" w:eastAsia="黑体"/>
        <w:b w:val="0"/>
        <w:i w:val="0"/>
        <w:sz w:val="21"/>
      </w:rPr>
    </w:lvl>
    <w:lvl w:ilvl="3" w:tentative="0">
      <w:start w:val="1"/>
      <w:numFmt w:val="decimal"/>
      <w:pStyle w:val="59"/>
      <w:suff w:val="nothing"/>
      <w:lvlText w:val="%1%2.%3.%4　"/>
      <w:lvlJc w:val="left"/>
      <w:pPr>
        <w:ind w:left="284" w:firstLine="0"/>
      </w:pPr>
      <w:rPr>
        <w:rFonts w:hint="eastAsia" w:ascii="黑体" w:hAnsi="Times New Roman" w:eastAsia="黑体"/>
        <w:b w:val="0"/>
        <w:i w:val="0"/>
        <w:sz w:val="21"/>
      </w:rPr>
    </w:lvl>
    <w:lvl w:ilvl="4" w:tentative="0">
      <w:start w:val="1"/>
      <w:numFmt w:val="decimal"/>
      <w:pStyle w:val="71"/>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70"/>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7"/>
    <w:multiLevelType w:val="multilevel"/>
    <w:tmpl w:val="00000027"/>
    <w:lvl w:ilvl="0" w:tentative="0">
      <w:start w:val="1"/>
      <w:numFmt w:val="none"/>
      <w:pStyle w:val="7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5"/>
  </w:num>
  <w:num w:numId="3">
    <w:abstractNumId w:val="9"/>
  </w:num>
  <w:num w:numId="4">
    <w:abstractNumId w:val="0"/>
  </w:num>
  <w:num w:numId="5">
    <w:abstractNumId w:val="3"/>
  </w:num>
  <w:num w:numId="6">
    <w:abstractNumId w:val="7"/>
  </w:num>
  <w:num w:numId="7">
    <w:abstractNumId w:val="2"/>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3M2IyNzk4M2Q5MzBiN2E3MzA0OGE1YzlkODY0MjQifQ=="/>
  </w:docVars>
  <w:rsids>
    <w:rsidRoot w:val="00693668"/>
    <w:rsid w:val="000038F0"/>
    <w:rsid w:val="00004648"/>
    <w:rsid w:val="00014C66"/>
    <w:rsid w:val="000211BF"/>
    <w:rsid w:val="000237D4"/>
    <w:rsid w:val="000309D7"/>
    <w:rsid w:val="00032F98"/>
    <w:rsid w:val="00034584"/>
    <w:rsid w:val="00036A21"/>
    <w:rsid w:val="00036F02"/>
    <w:rsid w:val="00040F30"/>
    <w:rsid w:val="0004299E"/>
    <w:rsid w:val="00043D6D"/>
    <w:rsid w:val="0005764E"/>
    <w:rsid w:val="000657B2"/>
    <w:rsid w:val="0006679C"/>
    <w:rsid w:val="0007070D"/>
    <w:rsid w:val="00073A74"/>
    <w:rsid w:val="000749E3"/>
    <w:rsid w:val="00084878"/>
    <w:rsid w:val="000969AD"/>
    <w:rsid w:val="000971D5"/>
    <w:rsid w:val="000C1F88"/>
    <w:rsid w:val="000C772A"/>
    <w:rsid w:val="000F15FB"/>
    <w:rsid w:val="000F714B"/>
    <w:rsid w:val="00100912"/>
    <w:rsid w:val="00104CBC"/>
    <w:rsid w:val="001164A0"/>
    <w:rsid w:val="0012155C"/>
    <w:rsid w:val="00122AD8"/>
    <w:rsid w:val="00136813"/>
    <w:rsid w:val="0014120B"/>
    <w:rsid w:val="00150062"/>
    <w:rsid w:val="00151323"/>
    <w:rsid w:val="001527ED"/>
    <w:rsid w:val="00173953"/>
    <w:rsid w:val="001859F4"/>
    <w:rsid w:val="0019431C"/>
    <w:rsid w:val="001A4F75"/>
    <w:rsid w:val="001B115F"/>
    <w:rsid w:val="001C13CE"/>
    <w:rsid w:val="001C7BB8"/>
    <w:rsid w:val="001D0501"/>
    <w:rsid w:val="001E0288"/>
    <w:rsid w:val="001E09C6"/>
    <w:rsid w:val="00212D09"/>
    <w:rsid w:val="00235374"/>
    <w:rsid w:val="00244291"/>
    <w:rsid w:val="00247A7D"/>
    <w:rsid w:val="00255EB1"/>
    <w:rsid w:val="002732FF"/>
    <w:rsid w:val="00275F7A"/>
    <w:rsid w:val="00280BE9"/>
    <w:rsid w:val="002849BB"/>
    <w:rsid w:val="00291548"/>
    <w:rsid w:val="00293085"/>
    <w:rsid w:val="002977EC"/>
    <w:rsid w:val="002A1305"/>
    <w:rsid w:val="002D0634"/>
    <w:rsid w:val="002D0A07"/>
    <w:rsid w:val="002D2103"/>
    <w:rsid w:val="002E6C19"/>
    <w:rsid w:val="002F4E61"/>
    <w:rsid w:val="003012C4"/>
    <w:rsid w:val="00305CB9"/>
    <w:rsid w:val="00307A90"/>
    <w:rsid w:val="00311490"/>
    <w:rsid w:val="00314BA2"/>
    <w:rsid w:val="00322078"/>
    <w:rsid w:val="0032338B"/>
    <w:rsid w:val="0033057E"/>
    <w:rsid w:val="003318C1"/>
    <w:rsid w:val="00333C30"/>
    <w:rsid w:val="00335FEC"/>
    <w:rsid w:val="0034125E"/>
    <w:rsid w:val="00352269"/>
    <w:rsid w:val="00366AF1"/>
    <w:rsid w:val="00373555"/>
    <w:rsid w:val="00397407"/>
    <w:rsid w:val="003B0148"/>
    <w:rsid w:val="003C2376"/>
    <w:rsid w:val="003C62AD"/>
    <w:rsid w:val="003C685D"/>
    <w:rsid w:val="003E10E7"/>
    <w:rsid w:val="003E237F"/>
    <w:rsid w:val="003F2C11"/>
    <w:rsid w:val="00400BF2"/>
    <w:rsid w:val="0040777C"/>
    <w:rsid w:val="00411DC2"/>
    <w:rsid w:val="00415481"/>
    <w:rsid w:val="004257BB"/>
    <w:rsid w:val="00425D1F"/>
    <w:rsid w:val="004265F2"/>
    <w:rsid w:val="004508BB"/>
    <w:rsid w:val="00455FE9"/>
    <w:rsid w:val="0046211B"/>
    <w:rsid w:val="00464019"/>
    <w:rsid w:val="00466D04"/>
    <w:rsid w:val="00472194"/>
    <w:rsid w:val="00482AD2"/>
    <w:rsid w:val="0048362B"/>
    <w:rsid w:val="00497039"/>
    <w:rsid w:val="004A27E5"/>
    <w:rsid w:val="004B1DE2"/>
    <w:rsid w:val="004B3BD5"/>
    <w:rsid w:val="004C6FDF"/>
    <w:rsid w:val="004E1361"/>
    <w:rsid w:val="004E2611"/>
    <w:rsid w:val="004E4C45"/>
    <w:rsid w:val="004E5080"/>
    <w:rsid w:val="00500E4F"/>
    <w:rsid w:val="00521FA9"/>
    <w:rsid w:val="0052761B"/>
    <w:rsid w:val="005305AE"/>
    <w:rsid w:val="00531FA0"/>
    <w:rsid w:val="00536268"/>
    <w:rsid w:val="00536BFA"/>
    <w:rsid w:val="005535AA"/>
    <w:rsid w:val="0055489A"/>
    <w:rsid w:val="00556AC4"/>
    <w:rsid w:val="005608DA"/>
    <w:rsid w:val="00567271"/>
    <w:rsid w:val="005709C3"/>
    <w:rsid w:val="00581264"/>
    <w:rsid w:val="0059121E"/>
    <w:rsid w:val="005B3A80"/>
    <w:rsid w:val="005B5BAB"/>
    <w:rsid w:val="005C0BE7"/>
    <w:rsid w:val="005C2448"/>
    <w:rsid w:val="005C769A"/>
    <w:rsid w:val="005E67C7"/>
    <w:rsid w:val="005F42DD"/>
    <w:rsid w:val="00601ADF"/>
    <w:rsid w:val="00606487"/>
    <w:rsid w:val="00623451"/>
    <w:rsid w:val="00624A40"/>
    <w:rsid w:val="00625140"/>
    <w:rsid w:val="00627726"/>
    <w:rsid w:val="00633572"/>
    <w:rsid w:val="00636E32"/>
    <w:rsid w:val="00637AB5"/>
    <w:rsid w:val="00644C6D"/>
    <w:rsid w:val="006510D6"/>
    <w:rsid w:val="00660A77"/>
    <w:rsid w:val="00667FDB"/>
    <w:rsid w:val="00670276"/>
    <w:rsid w:val="00672533"/>
    <w:rsid w:val="006738AA"/>
    <w:rsid w:val="006820CD"/>
    <w:rsid w:val="00683E68"/>
    <w:rsid w:val="00686643"/>
    <w:rsid w:val="0069243E"/>
    <w:rsid w:val="00693668"/>
    <w:rsid w:val="006B3185"/>
    <w:rsid w:val="006B43C4"/>
    <w:rsid w:val="006C188A"/>
    <w:rsid w:val="006C2258"/>
    <w:rsid w:val="006C2AF8"/>
    <w:rsid w:val="006D1B98"/>
    <w:rsid w:val="006D7E99"/>
    <w:rsid w:val="006E11F0"/>
    <w:rsid w:val="006F6DBF"/>
    <w:rsid w:val="00707309"/>
    <w:rsid w:val="00724E03"/>
    <w:rsid w:val="00733C71"/>
    <w:rsid w:val="00735A75"/>
    <w:rsid w:val="007373AB"/>
    <w:rsid w:val="00740702"/>
    <w:rsid w:val="00743BA2"/>
    <w:rsid w:val="00743BAC"/>
    <w:rsid w:val="00745A68"/>
    <w:rsid w:val="00746BAC"/>
    <w:rsid w:val="00750094"/>
    <w:rsid w:val="00750ED3"/>
    <w:rsid w:val="00764D0A"/>
    <w:rsid w:val="00765621"/>
    <w:rsid w:val="007901C0"/>
    <w:rsid w:val="007902D1"/>
    <w:rsid w:val="00796CF0"/>
    <w:rsid w:val="007A3BEE"/>
    <w:rsid w:val="007C15E3"/>
    <w:rsid w:val="007D5B84"/>
    <w:rsid w:val="007E56C9"/>
    <w:rsid w:val="00804BC8"/>
    <w:rsid w:val="00820F69"/>
    <w:rsid w:val="00824B04"/>
    <w:rsid w:val="00826DAA"/>
    <w:rsid w:val="008461B6"/>
    <w:rsid w:val="0085122B"/>
    <w:rsid w:val="00854EC4"/>
    <w:rsid w:val="0086056F"/>
    <w:rsid w:val="0086378F"/>
    <w:rsid w:val="008754EE"/>
    <w:rsid w:val="00876D87"/>
    <w:rsid w:val="008B22FC"/>
    <w:rsid w:val="008C672E"/>
    <w:rsid w:val="008E415E"/>
    <w:rsid w:val="008F5DCA"/>
    <w:rsid w:val="009052E4"/>
    <w:rsid w:val="009111C1"/>
    <w:rsid w:val="00913ED1"/>
    <w:rsid w:val="00930DB4"/>
    <w:rsid w:val="00933D2C"/>
    <w:rsid w:val="00946B7D"/>
    <w:rsid w:val="009513C5"/>
    <w:rsid w:val="009542EF"/>
    <w:rsid w:val="00954DA4"/>
    <w:rsid w:val="00967A11"/>
    <w:rsid w:val="00971240"/>
    <w:rsid w:val="00977A4A"/>
    <w:rsid w:val="00997351"/>
    <w:rsid w:val="009A12AB"/>
    <w:rsid w:val="009B4929"/>
    <w:rsid w:val="009C0597"/>
    <w:rsid w:val="009C2D10"/>
    <w:rsid w:val="009D79FA"/>
    <w:rsid w:val="009E3D09"/>
    <w:rsid w:val="009F420F"/>
    <w:rsid w:val="00A06113"/>
    <w:rsid w:val="00A11A21"/>
    <w:rsid w:val="00A12727"/>
    <w:rsid w:val="00A1378A"/>
    <w:rsid w:val="00A1497C"/>
    <w:rsid w:val="00A15577"/>
    <w:rsid w:val="00A267EF"/>
    <w:rsid w:val="00A271F4"/>
    <w:rsid w:val="00A3211C"/>
    <w:rsid w:val="00A363F7"/>
    <w:rsid w:val="00A40E4F"/>
    <w:rsid w:val="00A44A92"/>
    <w:rsid w:val="00A47FE2"/>
    <w:rsid w:val="00A56163"/>
    <w:rsid w:val="00A662E8"/>
    <w:rsid w:val="00A77511"/>
    <w:rsid w:val="00A7790F"/>
    <w:rsid w:val="00A8043A"/>
    <w:rsid w:val="00A8426B"/>
    <w:rsid w:val="00A86AF0"/>
    <w:rsid w:val="00A87866"/>
    <w:rsid w:val="00AC0924"/>
    <w:rsid w:val="00AD093B"/>
    <w:rsid w:val="00AE0B35"/>
    <w:rsid w:val="00AE47AC"/>
    <w:rsid w:val="00AF7111"/>
    <w:rsid w:val="00B056DA"/>
    <w:rsid w:val="00B05E25"/>
    <w:rsid w:val="00B07D3B"/>
    <w:rsid w:val="00B27476"/>
    <w:rsid w:val="00B369B6"/>
    <w:rsid w:val="00B43636"/>
    <w:rsid w:val="00B45E9C"/>
    <w:rsid w:val="00B53389"/>
    <w:rsid w:val="00B60FA7"/>
    <w:rsid w:val="00B614F2"/>
    <w:rsid w:val="00B706F7"/>
    <w:rsid w:val="00B7116A"/>
    <w:rsid w:val="00B75677"/>
    <w:rsid w:val="00B817F8"/>
    <w:rsid w:val="00B911AF"/>
    <w:rsid w:val="00BB316D"/>
    <w:rsid w:val="00BB4554"/>
    <w:rsid w:val="00BB7985"/>
    <w:rsid w:val="00BC66A0"/>
    <w:rsid w:val="00BC6B82"/>
    <w:rsid w:val="00BE663D"/>
    <w:rsid w:val="00BF1D43"/>
    <w:rsid w:val="00BF4703"/>
    <w:rsid w:val="00C03A4F"/>
    <w:rsid w:val="00C058B2"/>
    <w:rsid w:val="00C10883"/>
    <w:rsid w:val="00C11035"/>
    <w:rsid w:val="00C113A5"/>
    <w:rsid w:val="00C2681C"/>
    <w:rsid w:val="00C27739"/>
    <w:rsid w:val="00C40CAE"/>
    <w:rsid w:val="00C5059F"/>
    <w:rsid w:val="00C53BDD"/>
    <w:rsid w:val="00C5550F"/>
    <w:rsid w:val="00C57BAB"/>
    <w:rsid w:val="00C66C85"/>
    <w:rsid w:val="00C70EA3"/>
    <w:rsid w:val="00C7537E"/>
    <w:rsid w:val="00C8056F"/>
    <w:rsid w:val="00C81A49"/>
    <w:rsid w:val="00C85401"/>
    <w:rsid w:val="00C86EE5"/>
    <w:rsid w:val="00C9548E"/>
    <w:rsid w:val="00CB3949"/>
    <w:rsid w:val="00CB750D"/>
    <w:rsid w:val="00CB7CDF"/>
    <w:rsid w:val="00CC3C55"/>
    <w:rsid w:val="00CC3DDD"/>
    <w:rsid w:val="00CC491D"/>
    <w:rsid w:val="00CC52E3"/>
    <w:rsid w:val="00CD2D13"/>
    <w:rsid w:val="00CD759E"/>
    <w:rsid w:val="00CF3CAA"/>
    <w:rsid w:val="00D01726"/>
    <w:rsid w:val="00D1089C"/>
    <w:rsid w:val="00D16568"/>
    <w:rsid w:val="00D17115"/>
    <w:rsid w:val="00D23221"/>
    <w:rsid w:val="00D436F5"/>
    <w:rsid w:val="00D6471A"/>
    <w:rsid w:val="00D81C1D"/>
    <w:rsid w:val="00D85454"/>
    <w:rsid w:val="00D86648"/>
    <w:rsid w:val="00D903E4"/>
    <w:rsid w:val="00D96A53"/>
    <w:rsid w:val="00DA22D1"/>
    <w:rsid w:val="00DB05B6"/>
    <w:rsid w:val="00DB0E0A"/>
    <w:rsid w:val="00DB4F65"/>
    <w:rsid w:val="00DD6769"/>
    <w:rsid w:val="00DD7D39"/>
    <w:rsid w:val="00DE144C"/>
    <w:rsid w:val="00E002FF"/>
    <w:rsid w:val="00E019C6"/>
    <w:rsid w:val="00E15312"/>
    <w:rsid w:val="00E179CE"/>
    <w:rsid w:val="00E22714"/>
    <w:rsid w:val="00E23465"/>
    <w:rsid w:val="00E31A7B"/>
    <w:rsid w:val="00E32480"/>
    <w:rsid w:val="00E62E2B"/>
    <w:rsid w:val="00E71DCC"/>
    <w:rsid w:val="00E82471"/>
    <w:rsid w:val="00E82F28"/>
    <w:rsid w:val="00E911BC"/>
    <w:rsid w:val="00EB2994"/>
    <w:rsid w:val="00EC149D"/>
    <w:rsid w:val="00ED5F91"/>
    <w:rsid w:val="00EE5988"/>
    <w:rsid w:val="00F10C9E"/>
    <w:rsid w:val="00F32186"/>
    <w:rsid w:val="00F3447A"/>
    <w:rsid w:val="00F379EC"/>
    <w:rsid w:val="00F45BA8"/>
    <w:rsid w:val="00F507FB"/>
    <w:rsid w:val="00F5644A"/>
    <w:rsid w:val="00F7167F"/>
    <w:rsid w:val="00F71F31"/>
    <w:rsid w:val="00F75B8E"/>
    <w:rsid w:val="00F80059"/>
    <w:rsid w:val="00F812C6"/>
    <w:rsid w:val="00F91E84"/>
    <w:rsid w:val="00FA4CA4"/>
    <w:rsid w:val="00FA6198"/>
    <w:rsid w:val="00FC7BF3"/>
    <w:rsid w:val="00FD235D"/>
    <w:rsid w:val="00FD7FCA"/>
    <w:rsid w:val="00FE0C1C"/>
    <w:rsid w:val="00FE17CA"/>
    <w:rsid w:val="00FE1932"/>
    <w:rsid w:val="00FE1A74"/>
    <w:rsid w:val="00FF5630"/>
    <w:rsid w:val="01325A8F"/>
    <w:rsid w:val="01453A14"/>
    <w:rsid w:val="014A4B87"/>
    <w:rsid w:val="016A6FD7"/>
    <w:rsid w:val="01F01BD2"/>
    <w:rsid w:val="02865A28"/>
    <w:rsid w:val="029F7154"/>
    <w:rsid w:val="02F703B0"/>
    <w:rsid w:val="03455F4E"/>
    <w:rsid w:val="03C926DB"/>
    <w:rsid w:val="043A7135"/>
    <w:rsid w:val="04731467"/>
    <w:rsid w:val="04CA07E8"/>
    <w:rsid w:val="050B287F"/>
    <w:rsid w:val="05F125DB"/>
    <w:rsid w:val="060F45F1"/>
    <w:rsid w:val="064E5119"/>
    <w:rsid w:val="06587D46"/>
    <w:rsid w:val="06716757"/>
    <w:rsid w:val="06BA27AF"/>
    <w:rsid w:val="074F7E72"/>
    <w:rsid w:val="076A5F83"/>
    <w:rsid w:val="07B06639"/>
    <w:rsid w:val="07BB67DE"/>
    <w:rsid w:val="07DC0ED5"/>
    <w:rsid w:val="08A41020"/>
    <w:rsid w:val="08DD4532"/>
    <w:rsid w:val="08FC70AE"/>
    <w:rsid w:val="08FD4BD5"/>
    <w:rsid w:val="0904785D"/>
    <w:rsid w:val="09573966"/>
    <w:rsid w:val="098B21E0"/>
    <w:rsid w:val="09905A49"/>
    <w:rsid w:val="09FB7366"/>
    <w:rsid w:val="0A2E2D1E"/>
    <w:rsid w:val="0A7113D6"/>
    <w:rsid w:val="0A781AE7"/>
    <w:rsid w:val="0AAC68B2"/>
    <w:rsid w:val="0AF02C43"/>
    <w:rsid w:val="0B0765FD"/>
    <w:rsid w:val="0B224DC6"/>
    <w:rsid w:val="0B2E72C7"/>
    <w:rsid w:val="0B472137"/>
    <w:rsid w:val="0C160487"/>
    <w:rsid w:val="0C7F2609"/>
    <w:rsid w:val="0C9D2956"/>
    <w:rsid w:val="0CB9457A"/>
    <w:rsid w:val="0CCA0314"/>
    <w:rsid w:val="0CD345CA"/>
    <w:rsid w:val="0D197B03"/>
    <w:rsid w:val="0D8022CA"/>
    <w:rsid w:val="0D8E04F1"/>
    <w:rsid w:val="0DAE46EF"/>
    <w:rsid w:val="0DEE1ED0"/>
    <w:rsid w:val="0E06452B"/>
    <w:rsid w:val="0E214EC1"/>
    <w:rsid w:val="0E6513CA"/>
    <w:rsid w:val="0E854A69"/>
    <w:rsid w:val="0EDB7766"/>
    <w:rsid w:val="0EE41D10"/>
    <w:rsid w:val="0F2A5FF8"/>
    <w:rsid w:val="0F340C24"/>
    <w:rsid w:val="0FA1275E"/>
    <w:rsid w:val="10156CA8"/>
    <w:rsid w:val="106D0892"/>
    <w:rsid w:val="10DE353E"/>
    <w:rsid w:val="10E36DA6"/>
    <w:rsid w:val="10EF74F9"/>
    <w:rsid w:val="11032FA4"/>
    <w:rsid w:val="110965B0"/>
    <w:rsid w:val="11471F43"/>
    <w:rsid w:val="117479FE"/>
    <w:rsid w:val="12655CC4"/>
    <w:rsid w:val="126B4918"/>
    <w:rsid w:val="12E0534B"/>
    <w:rsid w:val="13182D37"/>
    <w:rsid w:val="134A0A16"/>
    <w:rsid w:val="13710699"/>
    <w:rsid w:val="1380268A"/>
    <w:rsid w:val="13877F6B"/>
    <w:rsid w:val="13A445CA"/>
    <w:rsid w:val="13B1031D"/>
    <w:rsid w:val="13B660AC"/>
    <w:rsid w:val="13FF7A53"/>
    <w:rsid w:val="14317D7D"/>
    <w:rsid w:val="14327E28"/>
    <w:rsid w:val="149E726C"/>
    <w:rsid w:val="14DF1632"/>
    <w:rsid w:val="14F25809"/>
    <w:rsid w:val="14FE0CE9"/>
    <w:rsid w:val="15001CD4"/>
    <w:rsid w:val="150F0169"/>
    <w:rsid w:val="15695ACC"/>
    <w:rsid w:val="1573694A"/>
    <w:rsid w:val="158E7867"/>
    <w:rsid w:val="15966195"/>
    <w:rsid w:val="164125A5"/>
    <w:rsid w:val="16493207"/>
    <w:rsid w:val="16A67923"/>
    <w:rsid w:val="16B965DF"/>
    <w:rsid w:val="16D927DD"/>
    <w:rsid w:val="16DE1BA1"/>
    <w:rsid w:val="16ED44DA"/>
    <w:rsid w:val="16FA2753"/>
    <w:rsid w:val="172C5003"/>
    <w:rsid w:val="17397720"/>
    <w:rsid w:val="174165D4"/>
    <w:rsid w:val="174C2AB4"/>
    <w:rsid w:val="1789062F"/>
    <w:rsid w:val="1796247C"/>
    <w:rsid w:val="17BB200F"/>
    <w:rsid w:val="17D66D1D"/>
    <w:rsid w:val="17E64F25"/>
    <w:rsid w:val="18117D55"/>
    <w:rsid w:val="183D6D9C"/>
    <w:rsid w:val="18A537CA"/>
    <w:rsid w:val="191334D4"/>
    <w:rsid w:val="193208CA"/>
    <w:rsid w:val="197467ED"/>
    <w:rsid w:val="19880BE4"/>
    <w:rsid w:val="19E41BC5"/>
    <w:rsid w:val="1A11228E"/>
    <w:rsid w:val="1A5E7014"/>
    <w:rsid w:val="1A644AB4"/>
    <w:rsid w:val="1AB62E35"/>
    <w:rsid w:val="1AD5775F"/>
    <w:rsid w:val="1AE6196C"/>
    <w:rsid w:val="1B216501"/>
    <w:rsid w:val="1B8454BF"/>
    <w:rsid w:val="1BB90E2F"/>
    <w:rsid w:val="1C0F0A4F"/>
    <w:rsid w:val="1C590304"/>
    <w:rsid w:val="1C803B53"/>
    <w:rsid w:val="1C850D11"/>
    <w:rsid w:val="1CC17F9B"/>
    <w:rsid w:val="1CC655B2"/>
    <w:rsid w:val="1CD53A47"/>
    <w:rsid w:val="1CE974F2"/>
    <w:rsid w:val="1CEA0D20"/>
    <w:rsid w:val="1CEB326A"/>
    <w:rsid w:val="1CF2284B"/>
    <w:rsid w:val="1DF443A0"/>
    <w:rsid w:val="1E713A82"/>
    <w:rsid w:val="1EC57AEB"/>
    <w:rsid w:val="1EE2069D"/>
    <w:rsid w:val="1F3709E9"/>
    <w:rsid w:val="1F3A5DE3"/>
    <w:rsid w:val="1F3F5AEF"/>
    <w:rsid w:val="1F5A1A25"/>
    <w:rsid w:val="1F6D440A"/>
    <w:rsid w:val="1F714057"/>
    <w:rsid w:val="1FAB00D4"/>
    <w:rsid w:val="1FAB4F33"/>
    <w:rsid w:val="20256A93"/>
    <w:rsid w:val="208E75B3"/>
    <w:rsid w:val="20972311"/>
    <w:rsid w:val="20A659A2"/>
    <w:rsid w:val="20D109C9"/>
    <w:rsid w:val="210963B5"/>
    <w:rsid w:val="218A16C9"/>
    <w:rsid w:val="21BE3478"/>
    <w:rsid w:val="21D04080"/>
    <w:rsid w:val="21E309B4"/>
    <w:rsid w:val="22423DCF"/>
    <w:rsid w:val="225C10E7"/>
    <w:rsid w:val="22682C67"/>
    <w:rsid w:val="2277157C"/>
    <w:rsid w:val="228757E3"/>
    <w:rsid w:val="22A53EBB"/>
    <w:rsid w:val="22F866E1"/>
    <w:rsid w:val="23A74BBD"/>
    <w:rsid w:val="23D43A72"/>
    <w:rsid w:val="240E783E"/>
    <w:rsid w:val="24494A20"/>
    <w:rsid w:val="24853FA4"/>
    <w:rsid w:val="249D12EE"/>
    <w:rsid w:val="24F86524"/>
    <w:rsid w:val="25070E5D"/>
    <w:rsid w:val="253357AE"/>
    <w:rsid w:val="257638ED"/>
    <w:rsid w:val="25C97EC1"/>
    <w:rsid w:val="265754CC"/>
    <w:rsid w:val="26B91CE3"/>
    <w:rsid w:val="26BB3CAD"/>
    <w:rsid w:val="26C24328"/>
    <w:rsid w:val="27321A96"/>
    <w:rsid w:val="277A3B68"/>
    <w:rsid w:val="277C51D7"/>
    <w:rsid w:val="27AE07BB"/>
    <w:rsid w:val="27AF5335"/>
    <w:rsid w:val="27BD3A55"/>
    <w:rsid w:val="27DB3EDB"/>
    <w:rsid w:val="280E684C"/>
    <w:rsid w:val="28A00A66"/>
    <w:rsid w:val="29477A7A"/>
    <w:rsid w:val="294842B1"/>
    <w:rsid w:val="297D16EE"/>
    <w:rsid w:val="29846CB3"/>
    <w:rsid w:val="298F1421"/>
    <w:rsid w:val="29934A6D"/>
    <w:rsid w:val="29967790"/>
    <w:rsid w:val="29C56BF1"/>
    <w:rsid w:val="29CA2459"/>
    <w:rsid w:val="29CE019B"/>
    <w:rsid w:val="29E46257"/>
    <w:rsid w:val="2A16744D"/>
    <w:rsid w:val="2A2B2EF8"/>
    <w:rsid w:val="2A4110A1"/>
    <w:rsid w:val="2A636980"/>
    <w:rsid w:val="2A64640A"/>
    <w:rsid w:val="2A7A5C2D"/>
    <w:rsid w:val="2A9036A3"/>
    <w:rsid w:val="2AB85E2C"/>
    <w:rsid w:val="2B65243A"/>
    <w:rsid w:val="2B7F799F"/>
    <w:rsid w:val="2B9310A1"/>
    <w:rsid w:val="2B942D1F"/>
    <w:rsid w:val="2C147130"/>
    <w:rsid w:val="2C22032B"/>
    <w:rsid w:val="2C281A12"/>
    <w:rsid w:val="2C5A5D16"/>
    <w:rsid w:val="2C8B5155"/>
    <w:rsid w:val="2D0F08AF"/>
    <w:rsid w:val="2D2D342B"/>
    <w:rsid w:val="2D945258"/>
    <w:rsid w:val="2E4C78E1"/>
    <w:rsid w:val="2E772BB0"/>
    <w:rsid w:val="2E786928"/>
    <w:rsid w:val="2E9A689E"/>
    <w:rsid w:val="2EF02962"/>
    <w:rsid w:val="2F656952"/>
    <w:rsid w:val="2F6B3D97"/>
    <w:rsid w:val="2F771BC5"/>
    <w:rsid w:val="2FBE527A"/>
    <w:rsid w:val="2FD8767E"/>
    <w:rsid w:val="2FED0C50"/>
    <w:rsid w:val="302D0595"/>
    <w:rsid w:val="30BD4AC6"/>
    <w:rsid w:val="30FC55EE"/>
    <w:rsid w:val="310B5831"/>
    <w:rsid w:val="3198655C"/>
    <w:rsid w:val="31A6555A"/>
    <w:rsid w:val="31B57A58"/>
    <w:rsid w:val="325B185C"/>
    <w:rsid w:val="325D030E"/>
    <w:rsid w:val="325F3B1A"/>
    <w:rsid w:val="32AC3044"/>
    <w:rsid w:val="333A0650"/>
    <w:rsid w:val="335B6E0A"/>
    <w:rsid w:val="33AF4B9A"/>
    <w:rsid w:val="33BE302F"/>
    <w:rsid w:val="33D95773"/>
    <w:rsid w:val="340053F5"/>
    <w:rsid w:val="34050C5E"/>
    <w:rsid w:val="341B222F"/>
    <w:rsid w:val="34313801"/>
    <w:rsid w:val="344352E2"/>
    <w:rsid w:val="345D2848"/>
    <w:rsid w:val="34745E77"/>
    <w:rsid w:val="34C71A6F"/>
    <w:rsid w:val="34CD5E22"/>
    <w:rsid w:val="35792BE3"/>
    <w:rsid w:val="35CE0152"/>
    <w:rsid w:val="35D02BA5"/>
    <w:rsid w:val="35E328D9"/>
    <w:rsid w:val="36370E76"/>
    <w:rsid w:val="364A2958"/>
    <w:rsid w:val="36AE69D8"/>
    <w:rsid w:val="36B424C7"/>
    <w:rsid w:val="36BB1AA7"/>
    <w:rsid w:val="373553B6"/>
    <w:rsid w:val="3744384B"/>
    <w:rsid w:val="3747333B"/>
    <w:rsid w:val="377E41D1"/>
    <w:rsid w:val="37C64260"/>
    <w:rsid w:val="38305B7D"/>
    <w:rsid w:val="38B6063A"/>
    <w:rsid w:val="393503DA"/>
    <w:rsid w:val="39DA0497"/>
    <w:rsid w:val="39E63C45"/>
    <w:rsid w:val="3A045513"/>
    <w:rsid w:val="3A910669"/>
    <w:rsid w:val="3AA20FB4"/>
    <w:rsid w:val="3AF14626"/>
    <w:rsid w:val="3B055B5B"/>
    <w:rsid w:val="3B1B2B15"/>
    <w:rsid w:val="3B2A2D58"/>
    <w:rsid w:val="3B5A363D"/>
    <w:rsid w:val="3BFA0919"/>
    <w:rsid w:val="3BFA1058"/>
    <w:rsid w:val="3BFC2946"/>
    <w:rsid w:val="3BFC46F4"/>
    <w:rsid w:val="3C1F6635"/>
    <w:rsid w:val="3C3420E0"/>
    <w:rsid w:val="3C4542ED"/>
    <w:rsid w:val="3C6E10F3"/>
    <w:rsid w:val="3C7921E9"/>
    <w:rsid w:val="3C7C75E3"/>
    <w:rsid w:val="3C8B7826"/>
    <w:rsid w:val="3D115F7D"/>
    <w:rsid w:val="3D42082D"/>
    <w:rsid w:val="3D4C5207"/>
    <w:rsid w:val="3D8A3F82"/>
    <w:rsid w:val="3DE4576B"/>
    <w:rsid w:val="3E0B6E71"/>
    <w:rsid w:val="3E171CB9"/>
    <w:rsid w:val="3E3839DE"/>
    <w:rsid w:val="3E4405D4"/>
    <w:rsid w:val="3E542340"/>
    <w:rsid w:val="3EBA5BC3"/>
    <w:rsid w:val="3ED03144"/>
    <w:rsid w:val="3FE25D82"/>
    <w:rsid w:val="3FFB369C"/>
    <w:rsid w:val="40521AD4"/>
    <w:rsid w:val="40672358"/>
    <w:rsid w:val="409A272E"/>
    <w:rsid w:val="40A37834"/>
    <w:rsid w:val="42022339"/>
    <w:rsid w:val="420E5348"/>
    <w:rsid w:val="42295B17"/>
    <w:rsid w:val="425F603B"/>
    <w:rsid w:val="4286740D"/>
    <w:rsid w:val="42A6360C"/>
    <w:rsid w:val="42C41D49"/>
    <w:rsid w:val="42D53EF1"/>
    <w:rsid w:val="42D812EB"/>
    <w:rsid w:val="43200C96"/>
    <w:rsid w:val="438F5E4E"/>
    <w:rsid w:val="43A67182"/>
    <w:rsid w:val="43F403A7"/>
    <w:rsid w:val="440C56F0"/>
    <w:rsid w:val="440E23CF"/>
    <w:rsid w:val="44100726"/>
    <w:rsid w:val="44347A9B"/>
    <w:rsid w:val="444612E4"/>
    <w:rsid w:val="444A6219"/>
    <w:rsid w:val="44CE02A0"/>
    <w:rsid w:val="450D34CE"/>
    <w:rsid w:val="45140D01"/>
    <w:rsid w:val="454669E0"/>
    <w:rsid w:val="456D3D97"/>
    <w:rsid w:val="457C0654"/>
    <w:rsid w:val="45E87405"/>
    <w:rsid w:val="463D4287"/>
    <w:rsid w:val="46474D73"/>
    <w:rsid w:val="465C4787"/>
    <w:rsid w:val="467D0B27"/>
    <w:rsid w:val="468E063F"/>
    <w:rsid w:val="469D0882"/>
    <w:rsid w:val="470152B5"/>
    <w:rsid w:val="473A498E"/>
    <w:rsid w:val="47552183"/>
    <w:rsid w:val="475F022D"/>
    <w:rsid w:val="48211129"/>
    <w:rsid w:val="482C5454"/>
    <w:rsid w:val="48427933"/>
    <w:rsid w:val="48BE5C4B"/>
    <w:rsid w:val="48DD58AD"/>
    <w:rsid w:val="49214E6F"/>
    <w:rsid w:val="49A26661"/>
    <w:rsid w:val="49AB775A"/>
    <w:rsid w:val="49C12AD9"/>
    <w:rsid w:val="4A5D4EF8"/>
    <w:rsid w:val="4AE6291D"/>
    <w:rsid w:val="4AEA403C"/>
    <w:rsid w:val="4B294DDA"/>
    <w:rsid w:val="4B7342A7"/>
    <w:rsid w:val="4B810772"/>
    <w:rsid w:val="4B8C5809"/>
    <w:rsid w:val="4B933E1A"/>
    <w:rsid w:val="4B9D30D2"/>
    <w:rsid w:val="4BA821A3"/>
    <w:rsid w:val="4BC6087B"/>
    <w:rsid w:val="4BD27220"/>
    <w:rsid w:val="4BD765E4"/>
    <w:rsid w:val="4BD9235C"/>
    <w:rsid w:val="4C65489B"/>
    <w:rsid w:val="4D2F41FE"/>
    <w:rsid w:val="4D432356"/>
    <w:rsid w:val="4D782049"/>
    <w:rsid w:val="4D7F33D7"/>
    <w:rsid w:val="4DB7491F"/>
    <w:rsid w:val="4E1F1C89"/>
    <w:rsid w:val="4E261AA5"/>
    <w:rsid w:val="4E3430C7"/>
    <w:rsid w:val="4E465CA3"/>
    <w:rsid w:val="4E683E6B"/>
    <w:rsid w:val="4EF63225"/>
    <w:rsid w:val="4F4E3061"/>
    <w:rsid w:val="4F60147E"/>
    <w:rsid w:val="4FA42C81"/>
    <w:rsid w:val="4FA7278A"/>
    <w:rsid w:val="4FDA66A3"/>
    <w:rsid w:val="50011CA3"/>
    <w:rsid w:val="500B71A4"/>
    <w:rsid w:val="501C4F0D"/>
    <w:rsid w:val="502D711A"/>
    <w:rsid w:val="50DE044D"/>
    <w:rsid w:val="51051BD9"/>
    <w:rsid w:val="51442F7B"/>
    <w:rsid w:val="51586419"/>
    <w:rsid w:val="51E069A5"/>
    <w:rsid w:val="520F3A4F"/>
    <w:rsid w:val="52120376"/>
    <w:rsid w:val="521C7446"/>
    <w:rsid w:val="52A97DDB"/>
    <w:rsid w:val="531719BC"/>
    <w:rsid w:val="531D34A0"/>
    <w:rsid w:val="531E0F9C"/>
    <w:rsid w:val="53603363"/>
    <w:rsid w:val="53820528"/>
    <w:rsid w:val="539F3E8B"/>
    <w:rsid w:val="53B042EA"/>
    <w:rsid w:val="545C7FCE"/>
    <w:rsid w:val="54751090"/>
    <w:rsid w:val="54BC0A6D"/>
    <w:rsid w:val="54D6553E"/>
    <w:rsid w:val="55152B55"/>
    <w:rsid w:val="55A27C63"/>
    <w:rsid w:val="55D32512"/>
    <w:rsid w:val="56091A90"/>
    <w:rsid w:val="560C1580"/>
    <w:rsid w:val="56154CA2"/>
    <w:rsid w:val="568807DB"/>
    <w:rsid w:val="569752EE"/>
    <w:rsid w:val="56A00E5A"/>
    <w:rsid w:val="56CB31E9"/>
    <w:rsid w:val="573A3ECB"/>
    <w:rsid w:val="57676F98"/>
    <w:rsid w:val="579905E2"/>
    <w:rsid w:val="579B0E0D"/>
    <w:rsid w:val="57A557E8"/>
    <w:rsid w:val="57D04F5B"/>
    <w:rsid w:val="580E5A83"/>
    <w:rsid w:val="58613E05"/>
    <w:rsid w:val="58670CF0"/>
    <w:rsid w:val="588539BA"/>
    <w:rsid w:val="588E44CE"/>
    <w:rsid w:val="58C6010C"/>
    <w:rsid w:val="590A235B"/>
    <w:rsid w:val="59454B6F"/>
    <w:rsid w:val="595E6596"/>
    <w:rsid w:val="59AA17DC"/>
    <w:rsid w:val="5A194D64"/>
    <w:rsid w:val="5A3F0176"/>
    <w:rsid w:val="5A7B7F0D"/>
    <w:rsid w:val="5A871B1D"/>
    <w:rsid w:val="5A931503"/>
    <w:rsid w:val="5A9658BC"/>
    <w:rsid w:val="5A971C98"/>
    <w:rsid w:val="5AC42DA1"/>
    <w:rsid w:val="5AD92379"/>
    <w:rsid w:val="5AE14D89"/>
    <w:rsid w:val="5AFA5C95"/>
    <w:rsid w:val="5B060C94"/>
    <w:rsid w:val="5B4D0671"/>
    <w:rsid w:val="5B4D241F"/>
    <w:rsid w:val="5B8A71CF"/>
    <w:rsid w:val="5C3B496D"/>
    <w:rsid w:val="5C637526"/>
    <w:rsid w:val="5C6A0DAE"/>
    <w:rsid w:val="5C855BE8"/>
    <w:rsid w:val="5C8F363D"/>
    <w:rsid w:val="5CD050B5"/>
    <w:rsid w:val="5CDB3C33"/>
    <w:rsid w:val="5CDE078E"/>
    <w:rsid w:val="5D1A27D4"/>
    <w:rsid w:val="5D303DA6"/>
    <w:rsid w:val="5D47477D"/>
    <w:rsid w:val="5D4E567E"/>
    <w:rsid w:val="5DC655CC"/>
    <w:rsid w:val="5DEC7E99"/>
    <w:rsid w:val="5E4A70E9"/>
    <w:rsid w:val="5E510478"/>
    <w:rsid w:val="5E800D5D"/>
    <w:rsid w:val="5F776EED"/>
    <w:rsid w:val="5F922712"/>
    <w:rsid w:val="5FD21144"/>
    <w:rsid w:val="600C0AFA"/>
    <w:rsid w:val="601F6CF2"/>
    <w:rsid w:val="604A1623"/>
    <w:rsid w:val="605176D9"/>
    <w:rsid w:val="606A75CF"/>
    <w:rsid w:val="60793CB6"/>
    <w:rsid w:val="60854409"/>
    <w:rsid w:val="60A56859"/>
    <w:rsid w:val="60AE1BB1"/>
    <w:rsid w:val="60C05441"/>
    <w:rsid w:val="612754C0"/>
    <w:rsid w:val="61665FE8"/>
    <w:rsid w:val="61690122"/>
    <w:rsid w:val="618A2E94"/>
    <w:rsid w:val="618B5A4F"/>
    <w:rsid w:val="61BE4076"/>
    <w:rsid w:val="61C55405"/>
    <w:rsid w:val="62890ECE"/>
    <w:rsid w:val="628A03FC"/>
    <w:rsid w:val="62AD7C47"/>
    <w:rsid w:val="62B965EC"/>
    <w:rsid w:val="630E4B89"/>
    <w:rsid w:val="632048BD"/>
    <w:rsid w:val="63730E90"/>
    <w:rsid w:val="63B55005"/>
    <w:rsid w:val="63F828E6"/>
    <w:rsid w:val="643D7F2D"/>
    <w:rsid w:val="6530528B"/>
    <w:rsid w:val="65402FF4"/>
    <w:rsid w:val="654D6460"/>
    <w:rsid w:val="65652A5B"/>
    <w:rsid w:val="657A6506"/>
    <w:rsid w:val="658D310C"/>
    <w:rsid w:val="65B17A4E"/>
    <w:rsid w:val="65B31A18"/>
    <w:rsid w:val="65D33E68"/>
    <w:rsid w:val="65F938CF"/>
    <w:rsid w:val="662524E7"/>
    <w:rsid w:val="66383CCB"/>
    <w:rsid w:val="66482160"/>
    <w:rsid w:val="67423054"/>
    <w:rsid w:val="6760797E"/>
    <w:rsid w:val="676D3762"/>
    <w:rsid w:val="6793565D"/>
    <w:rsid w:val="67C32D83"/>
    <w:rsid w:val="67CC0B6F"/>
    <w:rsid w:val="67D873A8"/>
    <w:rsid w:val="6817628E"/>
    <w:rsid w:val="68752FB5"/>
    <w:rsid w:val="687E00BB"/>
    <w:rsid w:val="68DE0B5A"/>
    <w:rsid w:val="69482477"/>
    <w:rsid w:val="694F496D"/>
    <w:rsid w:val="698060B5"/>
    <w:rsid w:val="69AE49D0"/>
    <w:rsid w:val="69BC4907"/>
    <w:rsid w:val="69D501AF"/>
    <w:rsid w:val="6AB57C02"/>
    <w:rsid w:val="6AC975E8"/>
    <w:rsid w:val="6ACA3A8C"/>
    <w:rsid w:val="6AD42215"/>
    <w:rsid w:val="6AD541DF"/>
    <w:rsid w:val="6ADC690C"/>
    <w:rsid w:val="6AE574EF"/>
    <w:rsid w:val="6AF7022D"/>
    <w:rsid w:val="6B080110"/>
    <w:rsid w:val="6B27051F"/>
    <w:rsid w:val="6B3E3B32"/>
    <w:rsid w:val="6B753BDA"/>
    <w:rsid w:val="6B770841"/>
    <w:rsid w:val="6B851761"/>
    <w:rsid w:val="6C327B3B"/>
    <w:rsid w:val="6C450EF0"/>
    <w:rsid w:val="6C5D26DE"/>
    <w:rsid w:val="6C944351"/>
    <w:rsid w:val="6CAE6A95"/>
    <w:rsid w:val="6CC12F32"/>
    <w:rsid w:val="6CD76570"/>
    <w:rsid w:val="6CDE737B"/>
    <w:rsid w:val="6CE1330F"/>
    <w:rsid w:val="6D281A14"/>
    <w:rsid w:val="6D57537F"/>
    <w:rsid w:val="6D5E670D"/>
    <w:rsid w:val="6D6374D6"/>
    <w:rsid w:val="6DC9002B"/>
    <w:rsid w:val="6DE035C6"/>
    <w:rsid w:val="6E0472B5"/>
    <w:rsid w:val="6E3D6323"/>
    <w:rsid w:val="6E4368D6"/>
    <w:rsid w:val="6E5F098F"/>
    <w:rsid w:val="6E7C32EF"/>
    <w:rsid w:val="6E8A0C2B"/>
    <w:rsid w:val="6E9A1846"/>
    <w:rsid w:val="6EF60757"/>
    <w:rsid w:val="6F4A1255"/>
    <w:rsid w:val="6F8F2BAE"/>
    <w:rsid w:val="6F991C7F"/>
    <w:rsid w:val="6F9E1043"/>
    <w:rsid w:val="70115CB9"/>
    <w:rsid w:val="705160B5"/>
    <w:rsid w:val="70757340"/>
    <w:rsid w:val="70825731"/>
    <w:rsid w:val="70A1528F"/>
    <w:rsid w:val="70A61265"/>
    <w:rsid w:val="70B56644"/>
    <w:rsid w:val="70FA146A"/>
    <w:rsid w:val="710228B1"/>
    <w:rsid w:val="7104581E"/>
    <w:rsid w:val="710B44B6"/>
    <w:rsid w:val="71526589"/>
    <w:rsid w:val="71DB657E"/>
    <w:rsid w:val="72161365"/>
    <w:rsid w:val="724834E8"/>
    <w:rsid w:val="729B5D0E"/>
    <w:rsid w:val="731068F9"/>
    <w:rsid w:val="735355F9"/>
    <w:rsid w:val="739A5FC5"/>
    <w:rsid w:val="73A7009A"/>
    <w:rsid w:val="73B95B2E"/>
    <w:rsid w:val="73C3551C"/>
    <w:rsid w:val="73F2195D"/>
    <w:rsid w:val="74130018"/>
    <w:rsid w:val="742F2BB2"/>
    <w:rsid w:val="743E1047"/>
    <w:rsid w:val="74546174"/>
    <w:rsid w:val="74A0585D"/>
    <w:rsid w:val="74B35591"/>
    <w:rsid w:val="74D35BFF"/>
    <w:rsid w:val="74F00593"/>
    <w:rsid w:val="752244C4"/>
    <w:rsid w:val="754555EF"/>
    <w:rsid w:val="75461F61"/>
    <w:rsid w:val="759F19B9"/>
    <w:rsid w:val="763C5112"/>
    <w:rsid w:val="767B0330"/>
    <w:rsid w:val="76A827A7"/>
    <w:rsid w:val="76C03F95"/>
    <w:rsid w:val="76E92DCE"/>
    <w:rsid w:val="77091498"/>
    <w:rsid w:val="77277B70"/>
    <w:rsid w:val="772A140E"/>
    <w:rsid w:val="77446974"/>
    <w:rsid w:val="77CE2BEC"/>
    <w:rsid w:val="77F51A1C"/>
    <w:rsid w:val="78202F3D"/>
    <w:rsid w:val="78931FA4"/>
    <w:rsid w:val="789C633C"/>
    <w:rsid w:val="78A43B6E"/>
    <w:rsid w:val="78C733B9"/>
    <w:rsid w:val="78CE2872"/>
    <w:rsid w:val="78CE4398"/>
    <w:rsid w:val="78DB44BD"/>
    <w:rsid w:val="78F87A16"/>
    <w:rsid w:val="79226841"/>
    <w:rsid w:val="795C2ECE"/>
    <w:rsid w:val="79927E6B"/>
    <w:rsid w:val="79A454A8"/>
    <w:rsid w:val="79BD2A0E"/>
    <w:rsid w:val="79C8388C"/>
    <w:rsid w:val="79D33FDF"/>
    <w:rsid w:val="79D73ACF"/>
    <w:rsid w:val="79E92858"/>
    <w:rsid w:val="7A0F14BB"/>
    <w:rsid w:val="7A556639"/>
    <w:rsid w:val="7A7E219D"/>
    <w:rsid w:val="7A831561"/>
    <w:rsid w:val="7AC757F1"/>
    <w:rsid w:val="7B0A1C83"/>
    <w:rsid w:val="7B207CB9"/>
    <w:rsid w:val="7B42141C"/>
    <w:rsid w:val="7B4239C2"/>
    <w:rsid w:val="7B503B39"/>
    <w:rsid w:val="7B6475E5"/>
    <w:rsid w:val="7B810197"/>
    <w:rsid w:val="7BC57958"/>
    <w:rsid w:val="7BCC0CE6"/>
    <w:rsid w:val="7C136915"/>
    <w:rsid w:val="7C15268D"/>
    <w:rsid w:val="7C324FED"/>
    <w:rsid w:val="7C7C095E"/>
    <w:rsid w:val="7C99506C"/>
    <w:rsid w:val="7CA35EEB"/>
    <w:rsid w:val="7CB77BE8"/>
    <w:rsid w:val="7CD90518"/>
    <w:rsid w:val="7D0C3A90"/>
    <w:rsid w:val="7D39684F"/>
    <w:rsid w:val="7D700DB4"/>
    <w:rsid w:val="7D902913"/>
    <w:rsid w:val="7E492AC2"/>
    <w:rsid w:val="7E5C0A47"/>
    <w:rsid w:val="7E6644EF"/>
    <w:rsid w:val="7E7A0ECD"/>
    <w:rsid w:val="7EA4755C"/>
    <w:rsid w:val="7EB51F05"/>
    <w:rsid w:val="7F1E7AAB"/>
    <w:rsid w:val="7F5C05D3"/>
    <w:rsid w:val="7F72061C"/>
    <w:rsid w:val="7F761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nhideWhenUsed="0" w:uiPriority="99"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5"/>
    <w:qFormat/>
    <w:uiPriority w:val="0"/>
    <w:pPr>
      <w:keepNext/>
      <w:keepLines/>
      <w:spacing w:before="50" w:beforeLines="50" w:after="50" w:afterLines="50"/>
      <w:outlineLvl w:val="0"/>
    </w:pPr>
    <w:rPr>
      <w:rFonts w:eastAsia="黑体"/>
      <w:b/>
      <w:bCs/>
      <w:kern w:val="44"/>
      <w:sz w:val="28"/>
      <w:szCs w:val="44"/>
    </w:rPr>
  </w:style>
  <w:style w:type="paragraph" w:styleId="3">
    <w:name w:val="heading 2"/>
    <w:basedOn w:val="1"/>
    <w:next w:val="1"/>
    <w:link w:val="306"/>
    <w:qFormat/>
    <w:uiPriority w:val="0"/>
    <w:pPr>
      <w:keepNext/>
      <w:keepLines/>
      <w:spacing w:before="50" w:beforeLines="50" w:after="50" w:afterLines="50" w:line="360" w:lineRule="auto"/>
      <w:outlineLvl w:val="1"/>
    </w:pPr>
    <w:rPr>
      <w:rFonts w:ascii="Arial" w:hAnsi="Arial" w:eastAsia="黑体"/>
      <w:b/>
      <w:bCs/>
      <w:sz w:val="24"/>
      <w:szCs w:val="32"/>
    </w:rPr>
  </w:style>
  <w:style w:type="paragraph" w:styleId="4">
    <w:name w:val="heading 3"/>
    <w:basedOn w:val="1"/>
    <w:next w:val="1"/>
    <w:link w:val="307"/>
    <w:qFormat/>
    <w:uiPriority w:val="0"/>
    <w:pPr>
      <w:keepNext/>
      <w:keepLines/>
      <w:spacing w:before="50" w:beforeLines="50" w:after="50" w:afterLines="50"/>
      <w:outlineLvl w:val="2"/>
    </w:pPr>
    <w:rPr>
      <w:rFonts w:eastAsia="黑体"/>
      <w:b/>
      <w:bCs/>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autoRedefine/>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3">
    <w:name w:val="Default Paragraph Font"/>
    <w:autoRedefine/>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qFormat/>
    <w:uiPriority w:val="0"/>
  </w:style>
  <w:style w:type="paragraph" w:styleId="12">
    <w:name w:val="toc 6"/>
    <w:basedOn w:val="13"/>
    <w:next w:val="1"/>
    <w:qFormat/>
    <w:uiPriority w:val="0"/>
  </w:style>
  <w:style w:type="paragraph" w:styleId="13">
    <w:name w:val="toc 5"/>
    <w:basedOn w:val="14"/>
    <w:next w:val="1"/>
    <w:qFormat/>
    <w:uiPriority w:val="0"/>
  </w:style>
  <w:style w:type="paragraph" w:styleId="14">
    <w:name w:val="toc 4"/>
    <w:basedOn w:val="15"/>
    <w:next w:val="1"/>
    <w:qFormat/>
    <w:uiPriority w:val="0"/>
  </w:style>
  <w:style w:type="paragraph" w:styleId="15">
    <w:name w:val="toc 3"/>
    <w:basedOn w:val="16"/>
    <w:next w:val="1"/>
    <w:qFormat/>
    <w:uiPriority w:val="39"/>
  </w:style>
  <w:style w:type="paragraph" w:styleId="16">
    <w:name w:val="toc 2"/>
    <w:basedOn w:val="17"/>
    <w:next w:val="1"/>
    <w:qFormat/>
    <w:uiPriority w:val="39"/>
  </w:style>
  <w:style w:type="paragraph" w:styleId="17">
    <w:name w:val="toc 1"/>
    <w:next w:val="1"/>
    <w:qFormat/>
    <w:uiPriority w:val="39"/>
    <w:pPr>
      <w:jc w:val="both"/>
    </w:pPr>
    <w:rPr>
      <w:rFonts w:ascii="宋体" w:hAnsi="Times New Roman" w:eastAsia="宋体" w:cs="Times New Roman"/>
      <w:sz w:val="21"/>
      <w:lang w:val="en-US" w:eastAsia="zh-CN" w:bidi="ar-SA"/>
    </w:rPr>
  </w:style>
  <w:style w:type="paragraph" w:styleId="18">
    <w:name w:val="Normal Indent"/>
    <w:basedOn w:val="1"/>
    <w:autoRedefine/>
    <w:qFormat/>
    <w:uiPriority w:val="0"/>
    <w:pPr>
      <w:ind w:firstLine="420"/>
    </w:pPr>
    <w:rPr>
      <w:szCs w:val="20"/>
    </w:rPr>
  </w:style>
  <w:style w:type="paragraph" w:styleId="19">
    <w:name w:val="caption"/>
    <w:basedOn w:val="1"/>
    <w:next w:val="1"/>
    <w:autoRedefine/>
    <w:qFormat/>
    <w:uiPriority w:val="0"/>
    <w:pPr>
      <w:spacing w:before="152" w:after="160"/>
    </w:pPr>
    <w:rPr>
      <w:rFonts w:ascii="Arial" w:hAnsi="Arial" w:eastAsia="黑体"/>
      <w:szCs w:val="20"/>
    </w:rPr>
  </w:style>
  <w:style w:type="paragraph" w:styleId="20">
    <w:name w:val="annotation text"/>
    <w:basedOn w:val="1"/>
    <w:link w:val="288"/>
    <w:autoRedefine/>
    <w:qFormat/>
    <w:uiPriority w:val="0"/>
    <w:pPr>
      <w:jc w:val="left"/>
    </w:pPr>
  </w:style>
  <w:style w:type="paragraph" w:styleId="21">
    <w:name w:val="Body Text"/>
    <w:basedOn w:val="1"/>
    <w:link w:val="283"/>
    <w:autoRedefine/>
    <w:qFormat/>
    <w:uiPriority w:val="0"/>
    <w:pPr>
      <w:spacing w:after="120" w:line="400" w:lineRule="exact"/>
      <w:ind w:firstLine="420" w:firstLineChars="200"/>
    </w:pPr>
    <w:rPr>
      <w:rFonts w:hAnsi="宋体"/>
      <w:szCs w:val="21"/>
    </w:rPr>
  </w:style>
  <w:style w:type="paragraph" w:styleId="22">
    <w:name w:val="Body Text Indent"/>
    <w:basedOn w:val="1"/>
    <w:link w:val="286"/>
    <w:autoRedefine/>
    <w:qFormat/>
    <w:uiPriority w:val="0"/>
    <w:pPr>
      <w:spacing w:line="360" w:lineRule="exact"/>
      <w:ind w:left="420" w:firstLine="480"/>
    </w:pPr>
    <w:rPr>
      <w:sz w:val="24"/>
      <w:szCs w:val="20"/>
    </w:rPr>
  </w:style>
  <w:style w:type="paragraph" w:styleId="23">
    <w:name w:val="HTML Address"/>
    <w:basedOn w:val="1"/>
    <w:autoRedefine/>
    <w:qFormat/>
    <w:uiPriority w:val="0"/>
    <w:rPr>
      <w:i/>
      <w:iCs/>
    </w:rPr>
  </w:style>
  <w:style w:type="paragraph" w:styleId="24">
    <w:name w:val="Plain Text"/>
    <w:basedOn w:val="1"/>
    <w:link w:val="280"/>
    <w:autoRedefine/>
    <w:qFormat/>
    <w:uiPriority w:val="99"/>
    <w:rPr>
      <w:rFonts w:ascii="宋体" w:hAnsi="Courier New"/>
      <w:szCs w:val="21"/>
    </w:rPr>
  </w:style>
  <w:style w:type="paragraph" w:styleId="25">
    <w:name w:val="toc 8"/>
    <w:basedOn w:val="11"/>
    <w:next w:val="1"/>
    <w:autoRedefine/>
    <w:qFormat/>
    <w:uiPriority w:val="0"/>
  </w:style>
  <w:style w:type="paragraph" w:styleId="26">
    <w:name w:val="Date"/>
    <w:basedOn w:val="1"/>
    <w:next w:val="1"/>
    <w:link w:val="292"/>
    <w:autoRedefine/>
    <w:qFormat/>
    <w:uiPriority w:val="99"/>
    <w:pPr>
      <w:ind w:left="100" w:leftChars="2500"/>
    </w:pPr>
    <w:rPr>
      <w:sz w:val="24"/>
      <w:szCs w:val="20"/>
    </w:rPr>
  </w:style>
  <w:style w:type="paragraph" w:styleId="27">
    <w:name w:val="Body Text Indent 2"/>
    <w:basedOn w:val="1"/>
    <w:link w:val="291"/>
    <w:autoRedefine/>
    <w:qFormat/>
    <w:uiPriority w:val="0"/>
    <w:pPr>
      <w:spacing w:after="120" w:line="480" w:lineRule="auto"/>
      <w:ind w:left="420" w:leftChars="200"/>
    </w:pPr>
  </w:style>
  <w:style w:type="paragraph" w:styleId="28">
    <w:name w:val="endnote text"/>
    <w:basedOn w:val="1"/>
    <w:autoRedefine/>
    <w:qFormat/>
    <w:uiPriority w:val="0"/>
    <w:pPr>
      <w:snapToGrid w:val="0"/>
    </w:pPr>
  </w:style>
  <w:style w:type="paragraph" w:styleId="29">
    <w:name w:val="Balloon Text"/>
    <w:basedOn w:val="1"/>
    <w:link w:val="282"/>
    <w:autoRedefine/>
    <w:qFormat/>
    <w:uiPriority w:val="0"/>
    <w:rPr>
      <w:sz w:val="18"/>
      <w:szCs w:val="18"/>
    </w:rPr>
  </w:style>
  <w:style w:type="paragraph" w:styleId="30">
    <w:name w:val="footer"/>
    <w:basedOn w:val="1"/>
    <w:link w:val="285"/>
    <w:autoRedefine/>
    <w:qFormat/>
    <w:uiPriority w:val="0"/>
    <w:pPr>
      <w:tabs>
        <w:tab w:val="center" w:pos="4153"/>
        <w:tab w:val="right" w:pos="8306"/>
      </w:tabs>
      <w:snapToGrid w:val="0"/>
      <w:ind w:right="210" w:rightChars="100"/>
      <w:jc w:val="right"/>
    </w:pPr>
    <w:rPr>
      <w:sz w:val="18"/>
      <w:szCs w:val="18"/>
    </w:rPr>
  </w:style>
  <w:style w:type="paragraph" w:styleId="31">
    <w:name w:val="header"/>
    <w:basedOn w:val="1"/>
    <w:link w:val="290"/>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footnote text"/>
    <w:basedOn w:val="1"/>
    <w:link w:val="309"/>
    <w:autoRedefine/>
    <w:qFormat/>
    <w:uiPriority w:val="0"/>
    <w:pPr>
      <w:snapToGrid w:val="0"/>
      <w:jc w:val="left"/>
    </w:pPr>
    <w:rPr>
      <w:sz w:val="18"/>
      <w:szCs w:val="18"/>
    </w:rPr>
  </w:style>
  <w:style w:type="paragraph" w:styleId="33">
    <w:name w:val="Body Text Indent 3"/>
    <w:basedOn w:val="1"/>
    <w:autoRedefine/>
    <w:qFormat/>
    <w:uiPriority w:val="0"/>
    <w:pPr>
      <w:widowControl/>
      <w:spacing w:line="360" w:lineRule="auto"/>
      <w:ind w:firstLine="420"/>
    </w:pPr>
    <w:rPr>
      <w:rFonts w:hAnsi="宋体"/>
      <w:sz w:val="18"/>
    </w:rPr>
  </w:style>
  <w:style w:type="paragraph" w:styleId="34">
    <w:name w:val="toc 9"/>
    <w:basedOn w:val="25"/>
    <w:next w:val="1"/>
    <w:autoRedefine/>
    <w:qFormat/>
    <w:uiPriority w:val="0"/>
  </w:style>
  <w:style w:type="paragraph" w:styleId="35">
    <w:name w:val="Body Text 2"/>
    <w:basedOn w:val="1"/>
    <w:link w:val="323"/>
    <w:autoRedefine/>
    <w:qFormat/>
    <w:uiPriority w:val="99"/>
    <w:pPr>
      <w:spacing w:after="120" w:line="480" w:lineRule="auto"/>
    </w:pPr>
  </w:style>
  <w:style w:type="paragraph" w:styleId="36">
    <w:name w:val="HTML Preformatted"/>
    <w:basedOn w:val="1"/>
    <w:autoRedefine/>
    <w:qFormat/>
    <w:uiPriority w:val="0"/>
    <w:rPr>
      <w:rFonts w:ascii="Courier New" w:hAnsi="Courier New" w:cs="Courier New"/>
      <w:sz w:val="20"/>
      <w:szCs w:val="20"/>
    </w:rPr>
  </w:style>
  <w:style w:type="paragraph" w:styleId="3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link w:val="308"/>
    <w:autoRedefine/>
    <w:qFormat/>
    <w:uiPriority w:val="0"/>
    <w:pPr>
      <w:spacing w:before="240" w:after="60"/>
      <w:jc w:val="center"/>
      <w:outlineLvl w:val="0"/>
    </w:pPr>
    <w:rPr>
      <w:rFonts w:ascii="Arial" w:hAnsi="Arial" w:cs="Arial"/>
      <w:b/>
      <w:bCs/>
      <w:sz w:val="32"/>
      <w:szCs w:val="32"/>
    </w:rPr>
  </w:style>
  <w:style w:type="paragraph" w:styleId="39">
    <w:name w:val="annotation subject"/>
    <w:basedOn w:val="20"/>
    <w:next w:val="20"/>
    <w:link w:val="289"/>
    <w:autoRedefine/>
    <w:qFormat/>
    <w:uiPriority w:val="0"/>
    <w:rPr>
      <w:b/>
      <w:bCs/>
    </w:rPr>
  </w:style>
  <w:style w:type="paragraph" w:styleId="40">
    <w:name w:val="Body Text First Indent"/>
    <w:basedOn w:val="21"/>
    <w:autoRedefine/>
    <w:qFormat/>
    <w:uiPriority w:val="0"/>
    <w:rPr>
      <w:szCs w:val="20"/>
    </w:rPr>
  </w:style>
  <w:style w:type="table" w:styleId="42">
    <w:name w:val="Table Grid"/>
    <w:basedOn w:val="41"/>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44">
    <w:name w:val="Strong"/>
    <w:autoRedefine/>
    <w:qFormat/>
    <w:uiPriority w:val="22"/>
    <w:rPr>
      <w:b/>
      <w:bCs/>
    </w:rPr>
  </w:style>
  <w:style w:type="character" w:styleId="45">
    <w:name w:val="page number"/>
    <w:autoRedefine/>
    <w:qFormat/>
    <w:uiPriority w:val="0"/>
    <w:rPr>
      <w:rFonts w:ascii="Times New Roman" w:hAnsi="Times New Roman" w:eastAsia="宋体"/>
      <w:sz w:val="18"/>
    </w:rPr>
  </w:style>
  <w:style w:type="character" w:styleId="46">
    <w:name w:val="FollowedHyperlink"/>
    <w:autoRedefine/>
    <w:unhideWhenUsed/>
    <w:qFormat/>
    <w:uiPriority w:val="0"/>
    <w:rPr>
      <w:color w:val="800080"/>
      <w:u w:val="single"/>
    </w:rPr>
  </w:style>
  <w:style w:type="character" w:styleId="47">
    <w:name w:val="HTML Definition"/>
    <w:autoRedefine/>
    <w:qFormat/>
    <w:uiPriority w:val="0"/>
    <w:rPr>
      <w:i/>
      <w:iCs/>
    </w:rPr>
  </w:style>
  <w:style w:type="character" w:styleId="48">
    <w:name w:val="HTML Typewriter"/>
    <w:autoRedefine/>
    <w:qFormat/>
    <w:uiPriority w:val="0"/>
    <w:rPr>
      <w:rFonts w:ascii="Courier New" w:hAnsi="Courier New"/>
      <w:sz w:val="20"/>
      <w:szCs w:val="20"/>
    </w:rPr>
  </w:style>
  <w:style w:type="character" w:styleId="49">
    <w:name w:val="HTML Acronym"/>
    <w:basedOn w:val="43"/>
    <w:qFormat/>
    <w:uiPriority w:val="0"/>
  </w:style>
  <w:style w:type="character" w:styleId="50">
    <w:name w:val="HTML Variable"/>
    <w:autoRedefine/>
    <w:qFormat/>
    <w:uiPriority w:val="0"/>
    <w:rPr>
      <w:i/>
      <w:iCs/>
    </w:rPr>
  </w:style>
  <w:style w:type="character" w:styleId="51">
    <w:name w:val="Hyperlink"/>
    <w:basedOn w:val="43"/>
    <w:autoRedefine/>
    <w:qFormat/>
    <w:uiPriority w:val="99"/>
    <w:rPr>
      <w:rFonts w:ascii="Times New Roman" w:hAnsi="Times New Roman" w:eastAsia="宋体"/>
      <w:color w:val="auto"/>
      <w:spacing w:val="0"/>
      <w:w w:val="100"/>
      <w:position w:val="0"/>
      <w:sz w:val="21"/>
      <w:u w:val="none"/>
    </w:rPr>
  </w:style>
  <w:style w:type="character" w:styleId="52">
    <w:name w:val="HTML Code"/>
    <w:qFormat/>
    <w:uiPriority w:val="0"/>
    <w:rPr>
      <w:rFonts w:ascii="Courier New" w:hAnsi="Courier New"/>
      <w:sz w:val="20"/>
      <w:szCs w:val="20"/>
    </w:rPr>
  </w:style>
  <w:style w:type="character" w:styleId="53">
    <w:name w:val="annotation reference"/>
    <w:autoRedefine/>
    <w:qFormat/>
    <w:uiPriority w:val="0"/>
    <w:rPr>
      <w:sz w:val="21"/>
      <w:szCs w:val="21"/>
    </w:rPr>
  </w:style>
  <w:style w:type="character" w:styleId="54">
    <w:name w:val="HTML Cite"/>
    <w:autoRedefine/>
    <w:qFormat/>
    <w:uiPriority w:val="0"/>
    <w:rPr>
      <w:i/>
      <w:iCs/>
    </w:rPr>
  </w:style>
  <w:style w:type="character" w:styleId="55">
    <w:name w:val="footnote reference"/>
    <w:autoRedefine/>
    <w:qFormat/>
    <w:uiPriority w:val="0"/>
    <w:rPr>
      <w:vertAlign w:val="superscript"/>
    </w:rPr>
  </w:style>
  <w:style w:type="character" w:styleId="56">
    <w:name w:val="HTML Keyboard"/>
    <w:autoRedefine/>
    <w:qFormat/>
    <w:uiPriority w:val="0"/>
    <w:rPr>
      <w:rFonts w:ascii="Courier New" w:hAnsi="Courier New"/>
      <w:sz w:val="20"/>
      <w:szCs w:val="20"/>
    </w:rPr>
  </w:style>
  <w:style w:type="character" w:styleId="57">
    <w:name w:val="HTML Sample"/>
    <w:autoRedefine/>
    <w:qFormat/>
    <w:uiPriority w:val="0"/>
    <w:rPr>
      <w:rFonts w:ascii="Courier New" w:hAnsi="Courier New"/>
    </w:rPr>
  </w:style>
  <w:style w:type="paragraph" w:customStyle="1" w:styleId="58">
    <w:name w:val="段"/>
    <w:link w:val="275"/>
    <w:autoRedefine/>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9">
    <w:name w:val="二级条标题"/>
    <w:basedOn w:val="60"/>
    <w:next w:val="58"/>
    <w:link w:val="277"/>
    <w:autoRedefine/>
    <w:qFormat/>
    <w:uiPriority w:val="0"/>
    <w:pPr>
      <w:numPr>
        <w:ilvl w:val="3"/>
      </w:numPr>
      <w:outlineLvl w:val="3"/>
    </w:pPr>
    <w:rPr>
      <w:rFonts w:hAnsi="黑体"/>
      <w:color w:val="000000" w:themeColor="text1"/>
      <w:spacing w:val="-6"/>
      <w14:textFill>
        <w14:solidFill>
          <w14:schemeClr w14:val="tx1"/>
        </w14:solidFill>
      </w14:textFill>
    </w:rPr>
  </w:style>
  <w:style w:type="paragraph" w:customStyle="1" w:styleId="60">
    <w:name w:val="一级条标题"/>
    <w:basedOn w:val="61"/>
    <w:next w:val="58"/>
    <w:link w:val="279"/>
    <w:autoRedefine/>
    <w:qFormat/>
    <w:uiPriority w:val="0"/>
    <w:pPr>
      <w:numPr>
        <w:ilvl w:val="2"/>
      </w:numPr>
      <w:spacing w:beforeLines="0" w:afterLines="0" w:line="300" w:lineRule="auto"/>
      <w:outlineLvl w:val="2"/>
    </w:pPr>
    <w:rPr>
      <w:color w:val="FF0000"/>
      <w:spacing w:val="-4"/>
      <w:szCs w:val="24"/>
    </w:rPr>
  </w:style>
  <w:style w:type="paragraph" w:customStyle="1" w:styleId="61">
    <w:name w:val="章标题"/>
    <w:next w:val="58"/>
    <w:link w:val="278"/>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2">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3">
    <w:name w:val="封面标准号2"/>
    <w:basedOn w:val="64"/>
    <w:autoRedefine/>
    <w:qFormat/>
    <w:uiPriority w:val="0"/>
    <w:pPr>
      <w:adjustRightInd w:val="0"/>
      <w:spacing w:before="357" w:line="280" w:lineRule="exact"/>
    </w:pPr>
  </w:style>
  <w:style w:type="paragraph" w:customStyle="1" w:styleId="6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5">
    <w:name w:val="附录标识"/>
    <w:basedOn w:val="66"/>
    <w:link w:val="300"/>
    <w:autoRedefine/>
    <w:qFormat/>
    <w:uiPriority w:val="0"/>
    <w:pPr>
      <w:numPr>
        <w:ilvl w:val="0"/>
        <w:numId w:val="2"/>
      </w:numPr>
      <w:tabs>
        <w:tab w:val="left" w:pos="6405"/>
      </w:tabs>
      <w:spacing w:after="200"/>
    </w:pPr>
    <w:rPr>
      <w:sz w:val="21"/>
    </w:rPr>
  </w:style>
  <w:style w:type="paragraph" w:customStyle="1" w:styleId="66">
    <w:name w:val="前言、引言标题"/>
    <w:next w:val="1"/>
    <w:autoRedefine/>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8">
    <w:name w:val="发布部门"/>
    <w:next w:val="58"/>
    <w:qFormat/>
    <w:uiPriority w:val="0"/>
    <w:pPr>
      <w:jc w:val="center"/>
    </w:pPr>
    <w:rPr>
      <w:rFonts w:ascii="宋体" w:hAnsi="Times New Roman" w:eastAsia="宋体" w:cs="Times New Roman"/>
      <w:b/>
      <w:spacing w:val="20"/>
      <w:w w:val="135"/>
      <w:sz w:val="36"/>
      <w:lang w:val="en-US" w:eastAsia="zh-CN" w:bidi="ar-SA"/>
    </w:rPr>
  </w:style>
  <w:style w:type="paragraph" w:customStyle="1" w:styleId="69">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70">
    <w:name w:val="四级条标题"/>
    <w:basedOn w:val="71"/>
    <w:next w:val="58"/>
    <w:autoRedefine/>
    <w:qFormat/>
    <w:uiPriority w:val="0"/>
    <w:pPr>
      <w:numPr>
        <w:ilvl w:val="5"/>
      </w:numPr>
      <w:outlineLvl w:val="5"/>
    </w:pPr>
  </w:style>
  <w:style w:type="paragraph" w:customStyle="1" w:styleId="71">
    <w:name w:val="三级条标题"/>
    <w:basedOn w:val="59"/>
    <w:next w:val="58"/>
    <w:link w:val="281"/>
    <w:autoRedefine/>
    <w:qFormat/>
    <w:uiPriority w:val="0"/>
    <w:pPr>
      <w:numPr>
        <w:ilvl w:val="4"/>
      </w:numPr>
      <w:outlineLvl w:val="4"/>
    </w:pPr>
  </w:style>
  <w:style w:type="paragraph" w:customStyle="1" w:styleId="72">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4">
    <w:name w:val="参考文献、索引标题"/>
    <w:basedOn w:val="66"/>
    <w:next w:val="1"/>
    <w:autoRedefine/>
    <w:qFormat/>
    <w:uiPriority w:val="0"/>
    <w:pPr>
      <w:numPr>
        <w:numId w:val="0"/>
      </w:numPr>
      <w:spacing w:after="200"/>
    </w:pPr>
    <w:rPr>
      <w:sz w:val="21"/>
    </w:rPr>
  </w:style>
  <w:style w:type="paragraph" w:customStyle="1" w:styleId="75">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实施日期"/>
    <w:basedOn w:val="77"/>
    <w:autoRedefine/>
    <w:qFormat/>
    <w:uiPriority w:val="0"/>
    <w:pPr>
      <w:jc w:val="right"/>
    </w:pPr>
  </w:style>
  <w:style w:type="paragraph" w:customStyle="1" w:styleId="77">
    <w:name w:val="发布日期"/>
    <w:autoRedefine/>
    <w:qFormat/>
    <w:uiPriority w:val="0"/>
    <w:rPr>
      <w:rFonts w:ascii="Times New Roman" w:hAnsi="Times New Roman" w:eastAsia="黑体" w:cs="Times New Roman"/>
      <w:sz w:val="28"/>
      <w:lang w:val="en-US" w:eastAsia="zh-CN" w:bidi="ar-SA"/>
    </w:rPr>
  </w:style>
  <w:style w:type="paragraph" w:customStyle="1" w:styleId="78">
    <w:name w:val="条文脚注"/>
    <w:basedOn w:val="32"/>
    <w:qFormat/>
    <w:uiPriority w:val="0"/>
    <w:pPr>
      <w:ind w:left="780" w:leftChars="200" w:hanging="360" w:hangingChars="200"/>
      <w:jc w:val="both"/>
    </w:pPr>
    <w:rPr>
      <w:rFonts w:ascii="宋体"/>
    </w:rPr>
  </w:style>
  <w:style w:type="paragraph" w:customStyle="1" w:styleId="79">
    <w:name w:val="附录章标题"/>
    <w:next w:val="58"/>
    <w:autoRedefine/>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注×："/>
    <w:autoRedefine/>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1">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2">
    <w:name w:val="图表脚注"/>
    <w:next w:val="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3">
    <w:name w:val="五级无标题条"/>
    <w:basedOn w:val="1"/>
    <w:autoRedefine/>
    <w:qFormat/>
    <w:uiPriority w:val="0"/>
    <w:pPr>
      <w:numPr>
        <w:ilvl w:val="6"/>
        <w:numId w:val="5"/>
      </w:numPr>
    </w:pPr>
  </w:style>
  <w:style w:type="paragraph" w:customStyle="1" w:styleId="84">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5">
    <w:name w:val="Char"/>
    <w:basedOn w:val="1"/>
    <w:autoRedefine/>
    <w:qFormat/>
    <w:uiPriority w:val="0"/>
    <w:pPr>
      <w:widowControl/>
      <w:spacing w:after="160" w:line="240" w:lineRule="exact"/>
      <w:jc w:val="left"/>
    </w:pPr>
  </w:style>
  <w:style w:type="paragraph" w:customStyle="1" w:styleId="86">
    <w:name w:val="无标题条"/>
    <w:next w:val="58"/>
    <w:autoRedefine/>
    <w:qFormat/>
    <w:uiPriority w:val="0"/>
    <w:pPr>
      <w:jc w:val="both"/>
    </w:pPr>
    <w:rPr>
      <w:rFonts w:ascii="Times New Roman" w:hAnsi="Times New Roman" w:eastAsia="宋体" w:cs="Times New Roman"/>
      <w:sz w:val="21"/>
      <w:lang w:val="en-US" w:eastAsia="zh-CN" w:bidi="ar-SA"/>
    </w:rPr>
  </w:style>
  <w:style w:type="paragraph" w:customStyle="1" w:styleId="87">
    <w:name w:val="五级条标题"/>
    <w:basedOn w:val="70"/>
    <w:next w:val="58"/>
    <w:qFormat/>
    <w:uiPriority w:val="0"/>
    <w:pPr>
      <w:numPr>
        <w:ilvl w:val="6"/>
      </w:numPr>
      <w:outlineLvl w:val="6"/>
    </w:pPr>
  </w:style>
  <w:style w:type="paragraph" w:customStyle="1" w:styleId="88">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0">
    <w:name w:val="正文图标题"/>
    <w:next w:val="58"/>
    <w:autoRedefine/>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1">
    <w:name w:val="注："/>
    <w:next w:val="58"/>
    <w:link w:val="284"/>
    <w:autoRedefine/>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2">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3">
    <w:name w:val="标准书眉_偶数页"/>
    <w:basedOn w:val="89"/>
    <w:next w:val="1"/>
    <w:autoRedefine/>
    <w:qFormat/>
    <w:uiPriority w:val="0"/>
    <w:pPr>
      <w:jc w:val="left"/>
    </w:pPr>
  </w:style>
  <w:style w:type="paragraph" w:customStyle="1" w:styleId="94">
    <w:name w:val="二级无标题条"/>
    <w:basedOn w:val="1"/>
    <w:autoRedefine/>
    <w:qFormat/>
    <w:uiPriority w:val="0"/>
    <w:pPr>
      <w:numPr>
        <w:ilvl w:val="3"/>
        <w:numId w:val="5"/>
      </w:numPr>
    </w:pPr>
  </w:style>
  <w:style w:type="paragraph" w:customStyle="1" w:styleId="95">
    <w:name w:val="附录表标题"/>
    <w:next w:val="58"/>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6">
    <w:name w:val="文献分类号"/>
    <w:autoRedefine/>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7">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98">
    <w:name w:val="封面正文"/>
    <w:autoRedefine/>
    <w:qFormat/>
    <w:uiPriority w:val="0"/>
    <w:pPr>
      <w:jc w:val="both"/>
    </w:pPr>
    <w:rPr>
      <w:rFonts w:ascii="Times New Roman" w:hAnsi="Times New Roman" w:eastAsia="宋体" w:cs="Times New Roman"/>
      <w:lang w:val="en-US" w:eastAsia="zh-CN" w:bidi="ar-SA"/>
    </w:rPr>
  </w:style>
  <w:style w:type="paragraph" w:customStyle="1" w:styleId="99">
    <w:name w:val="附录五级条标题"/>
    <w:basedOn w:val="100"/>
    <w:next w:val="58"/>
    <w:autoRedefine/>
    <w:qFormat/>
    <w:uiPriority w:val="0"/>
    <w:pPr>
      <w:numPr>
        <w:ilvl w:val="6"/>
      </w:numPr>
      <w:outlineLvl w:val="6"/>
    </w:pPr>
  </w:style>
  <w:style w:type="paragraph" w:customStyle="1" w:styleId="100">
    <w:name w:val="附录四级条标题"/>
    <w:basedOn w:val="101"/>
    <w:next w:val="58"/>
    <w:qFormat/>
    <w:uiPriority w:val="0"/>
    <w:pPr>
      <w:numPr>
        <w:ilvl w:val="5"/>
      </w:numPr>
      <w:outlineLvl w:val="5"/>
    </w:pPr>
  </w:style>
  <w:style w:type="paragraph" w:customStyle="1" w:styleId="101">
    <w:name w:val="附录三级条标题"/>
    <w:basedOn w:val="102"/>
    <w:next w:val="58"/>
    <w:qFormat/>
    <w:uiPriority w:val="0"/>
    <w:pPr>
      <w:numPr>
        <w:ilvl w:val="4"/>
      </w:numPr>
      <w:outlineLvl w:val="4"/>
    </w:pPr>
  </w:style>
  <w:style w:type="paragraph" w:customStyle="1" w:styleId="102">
    <w:name w:val="附录二级条标题"/>
    <w:basedOn w:val="103"/>
    <w:next w:val="58"/>
    <w:autoRedefine/>
    <w:qFormat/>
    <w:uiPriority w:val="0"/>
    <w:pPr>
      <w:numPr>
        <w:ilvl w:val="3"/>
      </w:numPr>
      <w:outlineLvl w:val="3"/>
    </w:pPr>
  </w:style>
  <w:style w:type="paragraph" w:customStyle="1" w:styleId="103">
    <w:name w:val="附录一级条标题"/>
    <w:basedOn w:val="79"/>
    <w:next w:val="58"/>
    <w:autoRedefine/>
    <w:qFormat/>
    <w:uiPriority w:val="0"/>
    <w:pPr>
      <w:numPr>
        <w:ilvl w:val="2"/>
      </w:numPr>
      <w:autoSpaceDN w:val="0"/>
      <w:spacing w:beforeLines="0" w:afterLines="0"/>
      <w:outlineLvl w:val="2"/>
    </w:pPr>
  </w:style>
  <w:style w:type="paragraph" w:customStyle="1" w:styleId="104">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5">
    <w:name w:val="附录图标题"/>
    <w:next w:val="58"/>
    <w:autoRedefine/>
    <w:qFormat/>
    <w:uiPriority w:val="0"/>
    <w:pPr>
      <w:jc w:val="center"/>
    </w:pPr>
    <w:rPr>
      <w:rFonts w:ascii="黑体" w:hAnsi="Times New Roman" w:eastAsia="黑体" w:cs="Times New Roman"/>
      <w:sz w:val="21"/>
      <w:lang w:val="en-US" w:eastAsia="zh-CN" w:bidi="ar-SA"/>
    </w:rPr>
  </w:style>
  <w:style w:type="paragraph" w:customStyle="1" w:styleId="106">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7">
    <w:name w:val="正文表标题"/>
    <w:next w:val="58"/>
    <w:autoRedefine/>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8">
    <w:name w:val="示例"/>
    <w:next w:val="58"/>
    <w:autoRedefine/>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9">
    <w:name w:val="篇"/>
    <w:basedOn w:val="1"/>
    <w:next w:val="1"/>
    <w:autoRedefine/>
    <w:qFormat/>
    <w:uiPriority w:val="0"/>
    <w:pPr>
      <w:adjustRightInd w:val="0"/>
      <w:spacing w:line="360" w:lineRule="atLeast"/>
      <w:jc w:val="center"/>
      <w:textAlignment w:val="baseline"/>
    </w:pPr>
    <w:rPr>
      <w:rFonts w:eastAsia="黑体"/>
      <w:kern w:val="0"/>
      <w:sz w:val="24"/>
      <w:szCs w:val="20"/>
    </w:rPr>
  </w:style>
  <w:style w:type="paragraph" w:customStyle="1" w:styleId="110">
    <w:name w:val="四级无标题条"/>
    <w:basedOn w:val="1"/>
    <w:autoRedefine/>
    <w:qFormat/>
    <w:uiPriority w:val="0"/>
    <w:pPr>
      <w:numPr>
        <w:ilvl w:val="5"/>
        <w:numId w:val="5"/>
      </w:numPr>
    </w:pPr>
  </w:style>
  <w:style w:type="paragraph" w:customStyle="1" w:styleId="111">
    <w:name w:val="目次、标准名称标题"/>
    <w:basedOn w:val="66"/>
    <w:next w:val="58"/>
    <w:autoRedefine/>
    <w:qFormat/>
    <w:uiPriority w:val="0"/>
    <w:pPr>
      <w:numPr>
        <w:numId w:val="0"/>
      </w:numPr>
      <w:spacing w:line="460" w:lineRule="exact"/>
    </w:pPr>
  </w:style>
  <w:style w:type="paragraph" w:customStyle="1" w:styleId="112">
    <w:name w:val="标准书眉一"/>
    <w:autoRedefine/>
    <w:qFormat/>
    <w:uiPriority w:val="0"/>
    <w:pPr>
      <w:jc w:val="both"/>
    </w:pPr>
    <w:rPr>
      <w:rFonts w:ascii="Times New Roman" w:hAnsi="Times New Roman" w:eastAsia="宋体" w:cs="Times New Roman"/>
      <w:lang w:val="en-US" w:eastAsia="zh-CN" w:bidi="ar-SA"/>
    </w:rPr>
  </w:style>
  <w:style w:type="paragraph" w:customStyle="1" w:styleId="113">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4">
    <w:name w:val="其他发布部门"/>
    <w:basedOn w:val="68"/>
    <w:autoRedefine/>
    <w:qFormat/>
    <w:uiPriority w:val="0"/>
    <w:pPr>
      <w:spacing w:line="0" w:lineRule="atLeast"/>
    </w:pPr>
    <w:rPr>
      <w:rFonts w:ascii="黑体" w:eastAsia="黑体"/>
      <w:b w:val="0"/>
    </w:rPr>
  </w:style>
  <w:style w:type="paragraph" w:customStyle="1" w:styleId="115">
    <w:name w:val="列项·"/>
    <w:autoRedefine/>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6">
    <w:name w:val="三级无标题条"/>
    <w:basedOn w:val="1"/>
    <w:autoRedefine/>
    <w:qFormat/>
    <w:uiPriority w:val="0"/>
    <w:pPr>
      <w:numPr>
        <w:ilvl w:val="4"/>
        <w:numId w:val="5"/>
      </w:numPr>
    </w:pPr>
  </w:style>
  <w:style w:type="paragraph" w:customStyle="1" w:styleId="11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18">
    <w:name w:val="一级无标题条"/>
    <w:basedOn w:val="1"/>
    <w:qFormat/>
    <w:uiPriority w:val="0"/>
    <w:pPr>
      <w:numPr>
        <w:ilvl w:val="2"/>
        <w:numId w:val="5"/>
      </w:numPr>
    </w:pPr>
  </w:style>
  <w:style w:type="paragraph" w:customStyle="1" w:styleId="119">
    <w:name w:val="封面标准代替信息"/>
    <w:basedOn w:val="63"/>
    <w:autoRedefine/>
    <w:qFormat/>
    <w:uiPriority w:val="0"/>
    <w:pPr>
      <w:spacing w:before="57"/>
    </w:pPr>
    <w:rPr>
      <w:rFonts w:ascii="宋体"/>
      <w:sz w:val="21"/>
    </w:rPr>
  </w:style>
  <w:style w:type="paragraph" w:customStyle="1" w:styleId="120">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21">
    <w:name w:val="font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3">
    <w:name w:val="font6"/>
    <w:basedOn w:val="1"/>
    <w:autoRedefine/>
    <w:qFormat/>
    <w:uiPriority w:val="0"/>
    <w:pPr>
      <w:widowControl/>
      <w:spacing w:before="100" w:beforeAutospacing="1" w:after="100" w:afterAutospacing="1"/>
      <w:jc w:val="left"/>
    </w:pPr>
    <w:rPr>
      <w:b/>
      <w:bCs/>
      <w:kern w:val="0"/>
      <w:sz w:val="20"/>
      <w:szCs w:val="20"/>
    </w:rPr>
  </w:style>
  <w:style w:type="paragraph" w:customStyle="1" w:styleId="124">
    <w:name w:val="font7"/>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8"/>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9"/>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0"/>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9">
    <w:name w:val="xl78"/>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0">
    <w:name w:val="xl79"/>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1">
    <w:name w:val="xl80"/>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2">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4">
    <w:name w:val="xl83"/>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35">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0">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2">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4">
    <w:name w:val="xl9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xl94"/>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46">
    <w:name w:val="c封面标准名称"/>
    <w:basedOn w:val="1"/>
    <w:autoRedefine/>
    <w:qFormat/>
    <w:uiPriority w:val="0"/>
    <w:pPr>
      <w:adjustRightInd w:val="0"/>
      <w:jc w:val="center"/>
    </w:pPr>
    <w:rPr>
      <w:rFonts w:eastAsia="黑体"/>
      <w:kern w:val="0"/>
      <w:sz w:val="52"/>
      <w:szCs w:val="20"/>
    </w:rPr>
  </w:style>
  <w:style w:type="paragraph" w:customStyle="1" w:styleId="147">
    <w:name w:val="样式2"/>
    <w:basedOn w:val="71"/>
    <w:autoRedefine/>
    <w:qFormat/>
    <w:uiPriority w:val="0"/>
    <w:pPr>
      <w:numPr>
        <w:numId w:val="0"/>
      </w:numPr>
      <w:spacing w:line="240" w:lineRule="auto"/>
      <w:ind w:left="454"/>
    </w:pPr>
    <w:rPr>
      <w:color w:val="auto"/>
      <w:spacing w:val="0"/>
      <w:szCs w:val="20"/>
    </w:rPr>
  </w:style>
  <w:style w:type="paragraph" w:customStyle="1" w:styleId="148">
    <w:name w:val="列出段落1"/>
    <w:basedOn w:val="1"/>
    <w:autoRedefine/>
    <w:qFormat/>
    <w:uiPriority w:val="34"/>
    <w:pPr>
      <w:ind w:firstLine="420" w:firstLineChars="200"/>
    </w:pPr>
    <w:rPr>
      <w:rFonts w:ascii="Calibri" w:hAnsi="Calibri"/>
      <w:szCs w:val="22"/>
    </w:rPr>
  </w:style>
  <w:style w:type="paragraph" w:customStyle="1" w:styleId="149">
    <w:name w:val="图表脚注说明"/>
    <w:basedOn w:val="1"/>
    <w:qFormat/>
    <w:uiPriority w:val="0"/>
    <w:rPr>
      <w:rFonts w:ascii="宋体"/>
      <w:sz w:val="18"/>
      <w:szCs w:val="18"/>
    </w:rPr>
  </w:style>
  <w:style w:type="paragraph" w:customStyle="1" w:styleId="150">
    <w:name w:val="Char11"/>
    <w:basedOn w:val="1"/>
    <w:autoRedefine/>
    <w:qFormat/>
    <w:uiPriority w:val="0"/>
    <w:pPr>
      <w:widowControl/>
      <w:spacing w:after="160" w:line="240" w:lineRule="exact"/>
      <w:jc w:val="left"/>
    </w:pPr>
  </w:style>
  <w:style w:type="paragraph" w:customStyle="1" w:styleId="151">
    <w:name w:val="ordinary-output"/>
    <w:basedOn w:val="1"/>
    <w:autoRedefine/>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2">
    <w:name w:val="列出段落11"/>
    <w:basedOn w:val="1"/>
    <w:autoRedefine/>
    <w:qFormat/>
    <w:uiPriority w:val="34"/>
    <w:pPr>
      <w:ind w:firstLine="420" w:firstLineChars="200"/>
    </w:pPr>
    <w:rPr>
      <w:sz w:val="24"/>
    </w:rPr>
  </w:style>
  <w:style w:type="paragraph" w:customStyle="1" w:styleId="153">
    <w:name w:val="Char1 Char Char Char"/>
    <w:basedOn w:val="1"/>
    <w:autoRedefine/>
    <w:qFormat/>
    <w:uiPriority w:val="0"/>
    <w:rPr>
      <w:szCs w:val="20"/>
    </w:rPr>
  </w:style>
  <w:style w:type="paragraph" w:customStyle="1" w:styleId="154">
    <w:name w:val="Char1"/>
    <w:basedOn w:val="1"/>
    <w:autoRedefine/>
    <w:qFormat/>
    <w:uiPriority w:val="0"/>
    <w:pPr>
      <w:widowControl/>
      <w:spacing w:after="160" w:line="240" w:lineRule="exact"/>
      <w:jc w:val="left"/>
    </w:pPr>
  </w:style>
  <w:style w:type="paragraph" w:customStyle="1" w:styleId="155">
    <w:name w:val="Decimal Aligned"/>
    <w:basedOn w:val="1"/>
    <w:autoRedefine/>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6">
    <w:name w:val="xl6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69"/>
    <w:basedOn w:val="1"/>
    <w:autoRedefine/>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8">
    <w:name w:val="xl121"/>
    <w:basedOn w:val="1"/>
    <w:autoRedefine/>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9">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0">
    <w:name w:val="xl165"/>
    <w:basedOn w:val="1"/>
    <w:autoRedefine/>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1">
    <w:name w:val="xl120"/>
    <w:basedOn w:val="1"/>
    <w:autoRedefine/>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2">
    <w:name w:val="xl106"/>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1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102"/>
    <w:basedOn w:val="1"/>
    <w:autoRedefine/>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97"/>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6">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7">
    <w:name w:val="xl7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8">
    <w:name w:val="xl73"/>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9">
    <w:name w:val="xl183"/>
    <w:basedOn w:val="1"/>
    <w:autoRedefine/>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0">
    <w:name w:val="xl184"/>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1">
    <w:name w:val="xl122"/>
    <w:basedOn w:val="1"/>
    <w:autoRedefine/>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2">
    <w:name w:val="xl75"/>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3">
    <w:name w:val="xl182"/>
    <w:basedOn w:val="1"/>
    <w:autoRedefine/>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4">
    <w:name w:val="xl130"/>
    <w:basedOn w:val="1"/>
    <w:autoRedefine/>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5">
    <w:name w:val="xl71"/>
    <w:basedOn w:val="1"/>
    <w:autoRedefine/>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6">
    <w:name w:val="xl1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7">
    <w:name w:val="xl135"/>
    <w:basedOn w:val="1"/>
    <w:autoRedefine/>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9">
    <w:name w:val="xl63"/>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6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2">
    <w:name w:val="xl6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3">
    <w:name w:val="xl178"/>
    <w:basedOn w:val="1"/>
    <w:autoRedefine/>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4">
    <w:name w:val="xl170"/>
    <w:basedOn w:val="1"/>
    <w:autoRedefine/>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7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6">
    <w:name w:val="xl151"/>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7">
    <w:name w:val="xl176"/>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8">
    <w:name w:val="xl168"/>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9">
    <w:name w:val="xl152"/>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90">
    <w:name w:val="xl74"/>
    <w:basedOn w:val="1"/>
    <w:autoRedefine/>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1">
    <w:name w:val="xl174"/>
    <w:basedOn w:val="1"/>
    <w:autoRedefine/>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2">
    <w:name w:val="xl150"/>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3">
    <w:name w:val="xl129"/>
    <w:basedOn w:val="1"/>
    <w:autoRedefine/>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4">
    <w:name w:val="xl70"/>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5">
    <w:name w:val="xl12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6">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7">
    <w:name w:val="xl72"/>
    <w:basedOn w:val="1"/>
    <w:autoRedefine/>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8">
    <w:name w:val="xl11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00">
    <w:name w:val="xl10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1">
    <w:name w:val="xl117"/>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2">
    <w:name w:val="xl103"/>
    <w:basedOn w:val="1"/>
    <w:autoRedefine/>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3">
    <w:name w:val="xl98"/>
    <w:basedOn w:val="1"/>
    <w:autoRedefine/>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4">
    <w:name w:val="xl162"/>
    <w:basedOn w:val="1"/>
    <w:autoRedefine/>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5">
    <w:name w:val="xl1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6">
    <w:name w:val="xl11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7">
    <w:name w:val="xl159"/>
    <w:basedOn w:val="1"/>
    <w:autoRedefine/>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8">
    <w:name w:val="xl11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9">
    <w:name w:val="xl160"/>
    <w:basedOn w:val="1"/>
    <w:autoRedefine/>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0">
    <w:name w:val="xl95"/>
    <w:basedOn w:val="1"/>
    <w:autoRedefine/>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1">
    <w:name w:val="xl108"/>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2">
    <w:name w:val="xl157"/>
    <w:basedOn w:val="1"/>
    <w:autoRedefine/>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3">
    <w:name w:val="xl118"/>
    <w:basedOn w:val="1"/>
    <w:autoRedefine/>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4">
    <w:name w:val="xl104"/>
    <w:basedOn w:val="1"/>
    <w:autoRedefine/>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5">
    <w:name w:val="xl163"/>
    <w:basedOn w:val="1"/>
    <w:autoRedefine/>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6">
    <w:name w:val="xl155"/>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7">
    <w:name w:val="xl99"/>
    <w:basedOn w:val="1"/>
    <w:autoRedefine/>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8">
    <w:name w:val="xl140"/>
    <w:basedOn w:val="1"/>
    <w:autoRedefine/>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9">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20">
    <w:name w:val="xl14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1">
    <w:name w:val="xl138"/>
    <w:basedOn w:val="1"/>
    <w:autoRedefine/>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2">
    <w:name w:val="xl119"/>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xl105"/>
    <w:basedOn w:val="1"/>
    <w:autoRedefine/>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4">
    <w:name w:val="xl143"/>
    <w:basedOn w:val="1"/>
    <w:autoRedefine/>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5">
    <w:name w:val="xl115"/>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6">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7">
    <w:name w:val="xl144"/>
    <w:basedOn w:val="1"/>
    <w:autoRedefine/>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8">
    <w:name w:val="xl100"/>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9">
    <w:name w:val="xl141"/>
    <w:basedOn w:val="1"/>
    <w:autoRedefine/>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30">
    <w:name w:val="xl96"/>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1">
    <w:name w:val="xl171"/>
    <w:basedOn w:val="1"/>
    <w:autoRedefine/>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2">
    <w:name w:val="xl125"/>
    <w:basedOn w:val="1"/>
    <w:autoRedefine/>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3">
    <w:name w:val="xl18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4">
    <w:name w:val="xl179"/>
    <w:basedOn w:val="1"/>
    <w:autoRedefine/>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3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6">
    <w:name w:val="xl126"/>
    <w:basedOn w:val="1"/>
    <w:autoRedefine/>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7">
    <w:name w:val="xl127"/>
    <w:basedOn w:val="1"/>
    <w:autoRedefine/>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8">
    <w:name w:val="xl12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9">
    <w:name w:val="xl131"/>
    <w:basedOn w:val="1"/>
    <w:autoRedefine/>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0">
    <w:name w:val="xl132"/>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1">
    <w:name w:val="xl177"/>
    <w:basedOn w:val="1"/>
    <w:autoRedefine/>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2">
    <w:name w:val="xl16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3">
    <w:name w:val="xl133"/>
    <w:basedOn w:val="1"/>
    <w:autoRedefine/>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4">
    <w:name w:val="xl1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5">
    <w:name w:val="xl134"/>
    <w:basedOn w:val="1"/>
    <w:autoRedefine/>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6">
    <w:name w:val="xl14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7">
    <w:name w:val="xl137"/>
    <w:basedOn w:val="1"/>
    <w:autoRedefine/>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8">
    <w:name w:val="xl147"/>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9">
    <w:name w:val="xl139"/>
    <w:basedOn w:val="1"/>
    <w:autoRedefine/>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50">
    <w:name w:val="xl142"/>
    <w:basedOn w:val="1"/>
    <w:autoRedefine/>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1">
    <w:name w:val="xl172"/>
    <w:basedOn w:val="1"/>
    <w:autoRedefine/>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2">
    <w:name w:val="xl1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3">
    <w:name w:val="xl173"/>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4">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5">
    <w:name w:val="xl161"/>
    <w:basedOn w:val="1"/>
    <w:autoRedefine/>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53"/>
    <w:basedOn w:val="1"/>
    <w:autoRedefine/>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64"/>
    <w:basedOn w:val="1"/>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8">
    <w:name w:val="xl156"/>
    <w:basedOn w:val="1"/>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9">
    <w:name w:val="xl158"/>
    <w:basedOn w:val="1"/>
    <w:autoRedefine/>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60">
    <w:name w:val="xl166"/>
    <w:basedOn w:val="1"/>
    <w:autoRedefine/>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67"/>
    <w:basedOn w:val="1"/>
    <w:autoRedefine/>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2">
    <w:name w:val="xl18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3">
    <w:name w:val="xl180"/>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xl18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5">
    <w:name w:val="Char2"/>
    <w:basedOn w:val="1"/>
    <w:autoRedefine/>
    <w:qFormat/>
    <w:uiPriority w:val="0"/>
    <w:pPr>
      <w:widowControl/>
      <w:spacing w:after="160" w:line="240" w:lineRule="exact"/>
      <w:jc w:val="left"/>
    </w:pPr>
  </w:style>
  <w:style w:type="paragraph" w:customStyle="1" w:styleId="266">
    <w:name w:val="正文1"/>
    <w:autoRedefine/>
    <w:qFormat/>
    <w:uiPriority w:val="0"/>
    <w:pPr>
      <w:jc w:val="both"/>
    </w:pPr>
    <w:rPr>
      <w:rFonts w:ascii="Calibri" w:hAnsi="Calibri" w:eastAsia="宋体" w:cs="Calibri"/>
      <w:kern w:val="2"/>
      <w:sz w:val="21"/>
      <w:szCs w:val="21"/>
      <w:lang w:val="en-US" w:eastAsia="zh-CN" w:bidi="ar-SA"/>
    </w:rPr>
  </w:style>
  <w:style w:type="paragraph" w:customStyle="1" w:styleId="267">
    <w:name w:val="Char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68">
    <w:name w:val="p0"/>
    <w:basedOn w:val="1"/>
    <w:autoRedefine/>
    <w:qFormat/>
    <w:uiPriority w:val="0"/>
    <w:pPr>
      <w:widowControl/>
      <w:jc w:val="left"/>
    </w:pPr>
    <w:rPr>
      <w:kern w:val="0"/>
      <w:szCs w:val="21"/>
    </w:rPr>
  </w:style>
  <w:style w:type="paragraph" w:customStyle="1" w:styleId="269">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270">
    <w:name w:val="Char4"/>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71">
    <w:name w:val="Char5"/>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72">
    <w:name w:val="Char6"/>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273">
    <w:name w:val="发布"/>
    <w:autoRedefine/>
    <w:qFormat/>
    <w:uiPriority w:val="0"/>
    <w:rPr>
      <w:rFonts w:ascii="黑体" w:eastAsia="黑体"/>
      <w:spacing w:val="22"/>
      <w:w w:val="100"/>
      <w:position w:val="3"/>
      <w:sz w:val="28"/>
    </w:rPr>
  </w:style>
  <w:style w:type="character" w:customStyle="1" w:styleId="274">
    <w:name w:val="个人答复风格"/>
    <w:autoRedefine/>
    <w:qFormat/>
    <w:uiPriority w:val="0"/>
    <w:rPr>
      <w:rFonts w:ascii="Arial" w:hAnsi="Arial" w:eastAsia="宋体" w:cs="Arial"/>
      <w:color w:val="auto"/>
      <w:sz w:val="20"/>
    </w:rPr>
  </w:style>
  <w:style w:type="character" w:customStyle="1" w:styleId="275">
    <w:name w:val="段 Char"/>
    <w:link w:val="58"/>
    <w:autoRedefine/>
    <w:qFormat/>
    <w:uiPriority w:val="0"/>
    <w:rPr>
      <w:rFonts w:ascii="宋体" w:hAnsi="宋体" w:eastAsia="宋体"/>
      <w:sz w:val="21"/>
      <w:lang w:val="en-US" w:eastAsia="zh-CN" w:bidi="ar-SA"/>
    </w:rPr>
  </w:style>
  <w:style w:type="character" w:customStyle="1" w:styleId="276">
    <w:name w:val="个人撰写风格"/>
    <w:autoRedefine/>
    <w:qFormat/>
    <w:uiPriority w:val="0"/>
    <w:rPr>
      <w:rFonts w:ascii="Arial" w:hAnsi="Arial" w:eastAsia="宋体" w:cs="Arial"/>
      <w:color w:val="auto"/>
      <w:sz w:val="20"/>
    </w:rPr>
  </w:style>
  <w:style w:type="character" w:customStyle="1" w:styleId="277">
    <w:name w:val="二级条标题 Char"/>
    <w:link w:val="59"/>
    <w:autoRedefine/>
    <w:qFormat/>
    <w:uiPriority w:val="0"/>
    <w:rPr>
      <w:rFonts w:ascii="黑体" w:hAnsi="黑体" w:eastAsia="黑体" w:cs="Times New Roman"/>
      <w:color w:val="000000" w:themeColor="text1"/>
      <w:spacing w:val="-6"/>
      <w:sz w:val="21"/>
      <w:szCs w:val="24"/>
      <w14:textFill>
        <w14:solidFill>
          <w14:schemeClr w14:val="tx1"/>
        </w14:solidFill>
      </w14:textFill>
    </w:rPr>
  </w:style>
  <w:style w:type="character" w:customStyle="1" w:styleId="278">
    <w:name w:val="章标题 Char"/>
    <w:link w:val="61"/>
    <w:qFormat/>
    <w:uiPriority w:val="0"/>
    <w:rPr>
      <w:rFonts w:ascii="黑体" w:hAnsi="Times New Roman" w:eastAsia="黑体" w:cs="Times New Roman"/>
      <w:sz w:val="21"/>
    </w:rPr>
  </w:style>
  <w:style w:type="character" w:customStyle="1" w:styleId="279">
    <w:name w:val="一级条标题 Char"/>
    <w:link w:val="60"/>
    <w:qFormat/>
    <w:uiPriority w:val="0"/>
    <w:rPr>
      <w:rFonts w:ascii="黑体" w:hAnsi="Times New Roman" w:eastAsia="黑体" w:cs="Times New Roman"/>
      <w:color w:val="FF0000"/>
      <w:spacing w:val="-4"/>
      <w:sz w:val="21"/>
      <w:szCs w:val="24"/>
    </w:rPr>
  </w:style>
  <w:style w:type="character" w:customStyle="1" w:styleId="280">
    <w:name w:val="纯文本 Char"/>
    <w:link w:val="24"/>
    <w:autoRedefine/>
    <w:qFormat/>
    <w:uiPriority w:val="99"/>
    <w:rPr>
      <w:rFonts w:ascii="宋体" w:hAnsi="Courier New" w:cs="Courier New"/>
      <w:kern w:val="2"/>
      <w:sz w:val="21"/>
      <w:szCs w:val="21"/>
    </w:rPr>
  </w:style>
  <w:style w:type="character" w:customStyle="1" w:styleId="281">
    <w:name w:val="三级条标题 Char"/>
    <w:link w:val="71"/>
    <w:autoRedefine/>
    <w:qFormat/>
    <w:uiPriority w:val="0"/>
    <w:rPr>
      <w:rFonts w:ascii="黑体" w:eastAsia="黑体"/>
      <w:color w:val="FF0000"/>
      <w:spacing w:val="-4"/>
      <w:sz w:val="21"/>
      <w:szCs w:val="24"/>
    </w:rPr>
  </w:style>
  <w:style w:type="character" w:customStyle="1" w:styleId="282">
    <w:name w:val="批注框文本 Char"/>
    <w:link w:val="29"/>
    <w:qFormat/>
    <w:uiPriority w:val="0"/>
    <w:rPr>
      <w:kern w:val="2"/>
      <w:sz w:val="18"/>
      <w:szCs w:val="18"/>
    </w:rPr>
  </w:style>
  <w:style w:type="character" w:customStyle="1" w:styleId="283">
    <w:name w:val="正文文本 Char"/>
    <w:link w:val="21"/>
    <w:qFormat/>
    <w:uiPriority w:val="0"/>
    <w:rPr>
      <w:rFonts w:ascii="Times New Roman" w:hAnsi="宋体" w:eastAsia="宋体" w:cs="Times New Roman"/>
      <w:kern w:val="2"/>
      <w:sz w:val="21"/>
      <w:szCs w:val="21"/>
    </w:rPr>
  </w:style>
  <w:style w:type="character" w:customStyle="1" w:styleId="284">
    <w:name w:val="注： Char"/>
    <w:link w:val="91"/>
    <w:qFormat/>
    <w:uiPriority w:val="0"/>
    <w:rPr>
      <w:rFonts w:ascii="宋体"/>
      <w:sz w:val="18"/>
    </w:rPr>
  </w:style>
  <w:style w:type="character" w:customStyle="1" w:styleId="285">
    <w:name w:val="页脚 Char"/>
    <w:link w:val="30"/>
    <w:qFormat/>
    <w:uiPriority w:val="99"/>
    <w:rPr>
      <w:kern w:val="2"/>
      <w:sz w:val="18"/>
      <w:szCs w:val="18"/>
    </w:rPr>
  </w:style>
  <w:style w:type="character" w:customStyle="1" w:styleId="286">
    <w:name w:val="正文文本缩进 Char"/>
    <w:link w:val="22"/>
    <w:qFormat/>
    <w:uiPriority w:val="0"/>
    <w:rPr>
      <w:kern w:val="2"/>
      <w:sz w:val="24"/>
    </w:rPr>
  </w:style>
  <w:style w:type="character" w:customStyle="1" w:styleId="287">
    <w:name w:val="表中文字"/>
    <w:qFormat/>
    <w:uiPriority w:val="0"/>
    <w:rPr>
      <w:rFonts w:ascii="宋体" w:eastAsia="宋体"/>
      <w:sz w:val="18"/>
    </w:rPr>
  </w:style>
  <w:style w:type="character" w:customStyle="1" w:styleId="288">
    <w:name w:val="批注文字 Char"/>
    <w:link w:val="20"/>
    <w:qFormat/>
    <w:uiPriority w:val="0"/>
    <w:rPr>
      <w:kern w:val="2"/>
      <w:sz w:val="21"/>
      <w:szCs w:val="24"/>
    </w:rPr>
  </w:style>
  <w:style w:type="character" w:customStyle="1" w:styleId="289">
    <w:name w:val="批注主题 Char"/>
    <w:link w:val="39"/>
    <w:qFormat/>
    <w:uiPriority w:val="0"/>
    <w:rPr>
      <w:b/>
      <w:bCs/>
      <w:kern w:val="2"/>
      <w:sz w:val="21"/>
      <w:szCs w:val="24"/>
    </w:rPr>
  </w:style>
  <w:style w:type="character" w:customStyle="1" w:styleId="290">
    <w:name w:val="页眉 Char"/>
    <w:link w:val="31"/>
    <w:qFormat/>
    <w:uiPriority w:val="99"/>
    <w:rPr>
      <w:kern w:val="2"/>
      <w:sz w:val="18"/>
      <w:szCs w:val="18"/>
    </w:rPr>
  </w:style>
  <w:style w:type="character" w:customStyle="1" w:styleId="291">
    <w:name w:val="正文文本缩进 2 Char"/>
    <w:link w:val="27"/>
    <w:qFormat/>
    <w:uiPriority w:val="0"/>
    <w:rPr>
      <w:kern w:val="2"/>
      <w:sz w:val="21"/>
      <w:szCs w:val="24"/>
    </w:rPr>
  </w:style>
  <w:style w:type="character" w:customStyle="1" w:styleId="292">
    <w:name w:val="日期 Char"/>
    <w:link w:val="26"/>
    <w:qFormat/>
    <w:uiPriority w:val="99"/>
    <w:rPr>
      <w:kern w:val="2"/>
      <w:sz w:val="24"/>
    </w:rPr>
  </w:style>
  <w:style w:type="character" w:customStyle="1" w:styleId="293">
    <w:name w:val="访问过的超链接1"/>
    <w:qFormat/>
    <w:uiPriority w:val="99"/>
    <w:rPr>
      <w:color w:val="800080"/>
      <w:u w:val="single"/>
    </w:rPr>
  </w:style>
  <w:style w:type="character" w:customStyle="1" w:styleId="294">
    <w:name w:val="段 Char Char Char Char"/>
    <w:qFormat/>
    <w:uiPriority w:val="0"/>
    <w:rPr>
      <w:rFonts w:ascii="宋体"/>
      <w:sz w:val="21"/>
      <w:lang w:val="en-US" w:eastAsia="zh-CN" w:bidi="ar-SA"/>
    </w:rPr>
  </w:style>
  <w:style w:type="character" w:customStyle="1" w:styleId="295">
    <w:name w:val="章标题 Char Char"/>
    <w:qFormat/>
    <w:uiPriority w:val="0"/>
    <w:rPr>
      <w:rFonts w:ascii="黑体" w:eastAsia="黑体"/>
      <w:sz w:val="21"/>
      <w:lang w:val="en-US" w:eastAsia="zh-CN" w:bidi="ar-SA"/>
    </w:rPr>
  </w:style>
  <w:style w:type="character" w:customStyle="1" w:styleId="296">
    <w:name w:val="正文文本缩进 Char1"/>
    <w:qFormat/>
    <w:uiPriority w:val="0"/>
    <w:rPr>
      <w:kern w:val="2"/>
      <w:sz w:val="21"/>
      <w:szCs w:val="24"/>
    </w:rPr>
  </w:style>
  <w:style w:type="character" w:customStyle="1" w:styleId="297">
    <w:name w:val="font21"/>
    <w:autoRedefine/>
    <w:qFormat/>
    <w:uiPriority w:val="0"/>
    <w:rPr>
      <w:rFonts w:hint="eastAsia" w:ascii="宋体" w:hAnsi="宋体" w:eastAsia="宋体" w:cs="宋体"/>
      <w:b/>
      <w:color w:val="FF0000"/>
      <w:sz w:val="21"/>
      <w:szCs w:val="21"/>
      <w:u w:val="none"/>
    </w:rPr>
  </w:style>
  <w:style w:type="character" w:customStyle="1" w:styleId="298">
    <w:name w:val="font41"/>
    <w:autoRedefine/>
    <w:qFormat/>
    <w:uiPriority w:val="0"/>
    <w:rPr>
      <w:rFonts w:hint="eastAsia" w:ascii="宋体" w:hAnsi="宋体" w:eastAsia="宋体" w:cs="宋体"/>
      <w:b/>
      <w:color w:val="FF0000"/>
      <w:sz w:val="21"/>
      <w:szCs w:val="21"/>
      <w:u w:val="none"/>
    </w:rPr>
  </w:style>
  <w:style w:type="character" w:customStyle="1" w:styleId="299">
    <w:name w:val="font01"/>
    <w:autoRedefine/>
    <w:qFormat/>
    <w:uiPriority w:val="0"/>
    <w:rPr>
      <w:rFonts w:hint="eastAsia" w:ascii="宋体" w:hAnsi="宋体" w:eastAsia="宋体"/>
      <w:color w:val="000000"/>
      <w:sz w:val="24"/>
      <w:szCs w:val="24"/>
      <w:u w:val="none"/>
    </w:rPr>
  </w:style>
  <w:style w:type="character" w:customStyle="1" w:styleId="300">
    <w:name w:val="附录标识 Char"/>
    <w:link w:val="65"/>
    <w:autoRedefine/>
    <w:qFormat/>
    <w:uiPriority w:val="0"/>
    <w:rPr>
      <w:sz w:val="21"/>
    </w:rPr>
  </w:style>
  <w:style w:type="character" w:customStyle="1" w:styleId="301">
    <w:name w:val="font31"/>
    <w:autoRedefine/>
    <w:qFormat/>
    <w:uiPriority w:val="0"/>
    <w:rPr>
      <w:rFonts w:hint="eastAsia" w:ascii="宋体" w:hAnsi="宋体" w:eastAsia="宋体" w:cs="宋体"/>
      <w:color w:val="000000"/>
      <w:sz w:val="22"/>
      <w:szCs w:val="22"/>
      <w:u w:val="none"/>
    </w:rPr>
  </w:style>
  <w:style w:type="paragraph" w:styleId="302">
    <w:name w:val="List Paragraph"/>
    <w:basedOn w:val="1"/>
    <w:autoRedefine/>
    <w:qFormat/>
    <w:uiPriority w:val="34"/>
    <w:pPr>
      <w:ind w:firstLine="420" w:firstLineChars="200"/>
    </w:pPr>
  </w:style>
  <w:style w:type="paragraph" w:customStyle="1" w:styleId="303">
    <w:name w:val="Table Paragraph"/>
    <w:basedOn w:val="1"/>
    <w:autoRedefine/>
    <w:qFormat/>
    <w:uiPriority w:val="1"/>
    <w:pPr>
      <w:autoSpaceDE w:val="0"/>
      <w:autoSpaceDN w:val="0"/>
      <w:jc w:val="left"/>
    </w:pPr>
    <w:rPr>
      <w:rFonts w:ascii="仿宋" w:hAnsi="仿宋" w:eastAsia="仿宋" w:cs="仿宋"/>
      <w:kern w:val="0"/>
      <w:sz w:val="22"/>
      <w:szCs w:val="22"/>
      <w:lang w:val="zh-CN" w:bidi="zh-CN"/>
    </w:rPr>
  </w:style>
  <w:style w:type="character" w:customStyle="1" w:styleId="304">
    <w:name w:val="fontstyle01"/>
    <w:basedOn w:val="43"/>
    <w:autoRedefine/>
    <w:qFormat/>
    <w:uiPriority w:val="0"/>
    <w:rPr>
      <w:rFonts w:hint="eastAsia" w:ascii="宋体" w:hAnsi="宋体" w:eastAsia="宋体"/>
      <w:color w:val="000000"/>
      <w:sz w:val="24"/>
      <w:szCs w:val="24"/>
    </w:rPr>
  </w:style>
  <w:style w:type="character" w:customStyle="1" w:styleId="305">
    <w:name w:val="标题 1 Char"/>
    <w:basedOn w:val="43"/>
    <w:link w:val="2"/>
    <w:autoRedefine/>
    <w:qFormat/>
    <w:uiPriority w:val="0"/>
    <w:rPr>
      <w:rFonts w:ascii="Times New Roman" w:hAnsi="Times New Roman" w:eastAsia="黑体" w:cs="Times New Roman"/>
      <w:b/>
      <w:bCs/>
      <w:kern w:val="44"/>
      <w:sz w:val="28"/>
      <w:szCs w:val="44"/>
    </w:rPr>
  </w:style>
  <w:style w:type="character" w:customStyle="1" w:styleId="306">
    <w:name w:val="标题 2 Char"/>
    <w:basedOn w:val="43"/>
    <w:link w:val="3"/>
    <w:autoRedefine/>
    <w:qFormat/>
    <w:uiPriority w:val="0"/>
    <w:rPr>
      <w:rFonts w:ascii="Arial" w:hAnsi="Arial" w:eastAsia="黑体" w:cs="Times New Roman"/>
      <w:b/>
      <w:bCs/>
      <w:kern w:val="2"/>
      <w:sz w:val="24"/>
      <w:szCs w:val="32"/>
    </w:rPr>
  </w:style>
  <w:style w:type="character" w:customStyle="1" w:styleId="307">
    <w:name w:val="标题 3 Char"/>
    <w:basedOn w:val="43"/>
    <w:link w:val="4"/>
    <w:autoRedefine/>
    <w:qFormat/>
    <w:uiPriority w:val="0"/>
    <w:rPr>
      <w:rFonts w:ascii="Times New Roman" w:hAnsi="Times New Roman" w:eastAsia="黑体" w:cs="Times New Roman"/>
      <w:b/>
      <w:bCs/>
      <w:kern w:val="2"/>
      <w:sz w:val="21"/>
      <w:szCs w:val="32"/>
    </w:rPr>
  </w:style>
  <w:style w:type="character" w:customStyle="1" w:styleId="308">
    <w:name w:val="标题 Char"/>
    <w:link w:val="38"/>
    <w:autoRedefine/>
    <w:qFormat/>
    <w:uiPriority w:val="0"/>
    <w:rPr>
      <w:rFonts w:ascii="Arial" w:hAnsi="Arial" w:eastAsia="宋体" w:cs="Arial"/>
      <w:b/>
      <w:bCs/>
      <w:kern w:val="2"/>
      <w:sz w:val="32"/>
      <w:szCs w:val="32"/>
    </w:rPr>
  </w:style>
  <w:style w:type="character" w:customStyle="1" w:styleId="309">
    <w:name w:val="脚注文本 Char"/>
    <w:link w:val="32"/>
    <w:autoRedefine/>
    <w:qFormat/>
    <w:uiPriority w:val="0"/>
    <w:rPr>
      <w:rFonts w:ascii="Times New Roman" w:hAnsi="Times New Roman" w:eastAsia="宋体" w:cs="Times New Roman"/>
      <w:kern w:val="2"/>
      <w:sz w:val="18"/>
      <w:szCs w:val="18"/>
    </w:rPr>
  </w:style>
  <w:style w:type="character" w:customStyle="1" w:styleId="310">
    <w:name w:val="未处理的提及1"/>
    <w:autoRedefine/>
    <w:unhideWhenUsed/>
    <w:qFormat/>
    <w:uiPriority w:val="99"/>
    <w:rPr>
      <w:color w:val="605E5C"/>
      <w:shd w:val="clear" w:color="auto" w:fill="E1DFDD"/>
    </w:rPr>
  </w:style>
  <w:style w:type="character" w:customStyle="1" w:styleId="311">
    <w:name w:val="批注框文本 Char1"/>
    <w:basedOn w:val="43"/>
    <w:autoRedefine/>
    <w:semiHidden/>
    <w:qFormat/>
    <w:uiPriority w:val="99"/>
    <w:rPr>
      <w:rFonts w:ascii="Calibri" w:hAnsi="Calibri" w:eastAsia="宋体" w:cs="Times New Roman"/>
      <w:sz w:val="18"/>
      <w:szCs w:val="18"/>
    </w:rPr>
  </w:style>
  <w:style w:type="character" w:customStyle="1" w:styleId="312">
    <w:name w:val="脚注文本 Char1"/>
    <w:basedOn w:val="43"/>
    <w:autoRedefine/>
    <w:semiHidden/>
    <w:qFormat/>
    <w:uiPriority w:val="99"/>
    <w:rPr>
      <w:rFonts w:ascii="Calibri" w:hAnsi="Calibri" w:eastAsia="宋体" w:cs="Times New Roman"/>
      <w:sz w:val="18"/>
      <w:szCs w:val="18"/>
    </w:rPr>
  </w:style>
  <w:style w:type="character" w:customStyle="1" w:styleId="313">
    <w:name w:val="标题 Char1"/>
    <w:basedOn w:val="43"/>
    <w:autoRedefine/>
    <w:qFormat/>
    <w:uiPriority w:val="10"/>
    <w:rPr>
      <w:rFonts w:eastAsia="宋体" w:asciiTheme="majorHAnsi" w:hAnsiTheme="majorHAnsi" w:cstheme="majorBidi"/>
      <w:b/>
      <w:bCs/>
      <w:sz w:val="32"/>
      <w:szCs w:val="32"/>
    </w:rPr>
  </w:style>
  <w:style w:type="paragraph" w:customStyle="1" w:styleId="314">
    <w:name w:val="默认段落字体 Para Char Char Char Char Char Char Char Char Char Char"/>
    <w:basedOn w:val="1"/>
    <w:autoRedefine/>
    <w:qFormat/>
    <w:uiPriority w:val="0"/>
  </w:style>
  <w:style w:type="paragraph" w:customStyle="1" w:styleId="315">
    <w:name w:val="WPSOffice手动目录 1"/>
    <w:autoRedefine/>
    <w:qFormat/>
    <w:uiPriority w:val="0"/>
    <w:rPr>
      <w:rFonts w:ascii="Calibri" w:hAnsi="Calibri" w:eastAsia="宋体" w:cs="Times New Roman"/>
      <w:lang w:val="en-US" w:eastAsia="zh-CN" w:bidi="ar-SA"/>
    </w:rPr>
  </w:style>
  <w:style w:type="paragraph" w:customStyle="1" w:styleId="316">
    <w:name w:val="1"/>
    <w:basedOn w:val="1"/>
    <w:next w:val="22"/>
    <w:autoRedefine/>
    <w:qFormat/>
    <w:uiPriority w:val="0"/>
    <w:pPr>
      <w:adjustRightInd w:val="0"/>
      <w:spacing w:line="360" w:lineRule="auto"/>
      <w:ind w:firstLine="480" w:firstLineChars="200"/>
      <w:textAlignment w:val="baseline"/>
      <w:outlineLvl w:val="0"/>
    </w:pPr>
    <w:rPr>
      <w:kern w:val="0"/>
      <w:sz w:val="24"/>
      <w:szCs w:val="20"/>
    </w:rPr>
  </w:style>
  <w:style w:type="paragraph" w:customStyle="1" w:styleId="317">
    <w:name w:val="Char Char"/>
    <w:basedOn w:val="1"/>
    <w:autoRedefine/>
    <w:qFormat/>
    <w:uiPriority w:val="0"/>
  </w:style>
  <w:style w:type="paragraph" w:customStyle="1" w:styleId="318">
    <w:name w:val="WPSOffice手动目录 2"/>
    <w:autoRedefine/>
    <w:qFormat/>
    <w:uiPriority w:val="0"/>
    <w:pPr>
      <w:ind w:left="200" w:leftChars="200"/>
    </w:pPr>
    <w:rPr>
      <w:rFonts w:ascii="Calibri" w:hAnsi="Calibri" w:eastAsia="宋体" w:cs="Times New Roman"/>
      <w:lang w:val="en-US" w:eastAsia="zh-CN" w:bidi="ar-SA"/>
    </w:rPr>
  </w:style>
  <w:style w:type="table" w:customStyle="1" w:styleId="319">
    <w:name w:val="网格型1"/>
    <w:basedOn w:val="41"/>
    <w:autoRedefine/>
    <w:qFormat/>
    <w:uiPriority w:val="0"/>
    <w:pPr>
      <w:widowControl w:val="0"/>
      <w:jc w:val="both"/>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0">
    <w:name w:val="Placeholder Text"/>
    <w:basedOn w:val="43"/>
    <w:autoRedefine/>
    <w:semiHidden/>
    <w:qFormat/>
    <w:uiPriority w:val="99"/>
    <w:rPr>
      <w:color w:val="808080"/>
    </w:rPr>
  </w:style>
  <w:style w:type="table" w:customStyle="1" w:styleId="321">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22">
    <w:name w:val="标题 21"/>
    <w:basedOn w:val="1"/>
    <w:autoRedefine/>
    <w:qFormat/>
    <w:uiPriority w:val="1"/>
    <w:pPr>
      <w:autoSpaceDE w:val="0"/>
      <w:autoSpaceDN w:val="0"/>
      <w:ind w:left="216"/>
      <w:jc w:val="left"/>
      <w:outlineLvl w:val="2"/>
    </w:pPr>
    <w:rPr>
      <w:rFonts w:eastAsia="Times New Roman"/>
      <w:kern w:val="0"/>
      <w:sz w:val="28"/>
      <w:szCs w:val="28"/>
      <w:lang w:eastAsia="en-US" w:bidi="en-US"/>
    </w:rPr>
  </w:style>
  <w:style w:type="character" w:customStyle="1" w:styleId="323">
    <w:name w:val="正文文本 2 Char"/>
    <w:basedOn w:val="43"/>
    <w:link w:val="35"/>
    <w:autoRedefine/>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1CCB32-0AC4-485E-8244-BECF9197554E}">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12</Pages>
  <Words>7312</Words>
  <Characters>7743</Characters>
  <Lines>52</Lines>
  <Paragraphs>14</Paragraphs>
  <TotalTime>0</TotalTime>
  <ScaleCrop>false</ScaleCrop>
  <LinksUpToDate>false</LinksUpToDate>
  <CharactersWithSpaces>7989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2022-01-09T10:10:00Z</dcterms:created>
  <dc:creator>标准李瑞山9585</dc:creator>
  <cp:lastModifiedBy>Administrator</cp:lastModifiedBy>
  <cp:lastPrinted>2016-10-20T04:13:00Z</cp:lastPrinted>
  <dcterms:modified xsi:type="dcterms:W3CDTF">2024-09-20T07:23:28Z</dcterms:modified>
  <dc:title>标准名称</dc:title>
  <cp:revision>257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1AF6B1942E934CBA9084FA9CF9CCD4B5</vt:lpwstr>
  </property>
</Properties>
</file>