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jc w:val="center"/>
        <w:rPr>
          <w:rFonts w:eastAsia="黑体"/>
          <w:sz w:val="24"/>
          <w:szCs w:val="24"/>
        </w:rPr>
      </w:pPr>
      <w:bookmarkStart w:id="0" w:name="_Toc464728891"/>
      <w:bookmarkStart w:id="1" w:name="SectionMark4"/>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int="eastAsia" w:hAnsi="黑体" w:cs="黑体"/>
                                <w:sz w:val="44"/>
                                <w:szCs w:val="44"/>
                              </w:rPr>
                            </w:pPr>
                            <w:bookmarkStart w:id="84" w:name="_Hlk23687263"/>
                            <w:r>
                              <w:rPr>
                                <w:rFonts w:hint="eastAsia" w:hAnsi="黑体" w:cs="黑体"/>
                                <w:sz w:val="44"/>
                                <w:szCs w:val="44"/>
                              </w:rPr>
                              <w:t>JJF（有色金属）021—2023</w:t>
                            </w:r>
                          </w:p>
                          <w:bookmarkEnd w:id="84"/>
                          <w:p>
                            <w:pPr>
                              <w:pStyle w:val="75"/>
                              <w:rPr>
                                <w:rFonts w:hint="eastAsia" w:hAnsi="黑体" w:cs="黑体"/>
                                <w:szCs w:val="52"/>
                              </w:rPr>
                            </w:pPr>
                            <w:r>
                              <w:rPr>
                                <w:rFonts w:hint="eastAsia" w:hAnsi="黑体" w:cs="黑体"/>
                                <w:szCs w:val="52"/>
                              </w:rPr>
                              <w:t>脉冲电火花检漏仪校准规范</w:t>
                            </w:r>
                          </w:p>
                          <w:p>
                            <w:pPr>
                              <w:jc w:val="center"/>
                              <w:rPr>
                                <w:rFonts w:hint="eastAsia"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int="eastAsia" w:hAnsi="黑体" w:cs="黑体"/>
                          <w:sz w:val="44"/>
                          <w:szCs w:val="44"/>
                        </w:rPr>
                      </w:pPr>
                      <w:bookmarkStart w:id="84" w:name="_Hlk23687263"/>
                      <w:r>
                        <w:rPr>
                          <w:rFonts w:hint="eastAsia" w:hAnsi="黑体" w:cs="黑体"/>
                          <w:sz w:val="44"/>
                          <w:szCs w:val="44"/>
                        </w:rPr>
                        <w:t>JJF（有色金属）021—2023</w:t>
                      </w:r>
                    </w:p>
                    <w:bookmarkEnd w:id="84"/>
                    <w:p>
                      <w:pPr>
                        <w:pStyle w:val="75"/>
                        <w:rPr>
                          <w:rFonts w:hint="eastAsia" w:hAnsi="黑体" w:cs="黑体"/>
                          <w:szCs w:val="52"/>
                        </w:rPr>
                      </w:pPr>
                      <w:r>
                        <w:rPr>
                          <w:rFonts w:hint="eastAsia" w:hAnsi="黑体" w:cs="黑体"/>
                          <w:szCs w:val="52"/>
                        </w:rPr>
                        <w:t>脉冲电火花检漏仪校准规范</w:t>
                      </w:r>
                    </w:p>
                    <w:p>
                      <w:pPr>
                        <w:jc w:val="center"/>
                        <w:rPr>
                          <w:rFonts w:hint="eastAsia"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hint="eastAsia" w:ascii="黑体" w:hAnsi="黑体" w:eastAsia="黑体"/>
                                <w:sz w:val="36"/>
                                <w:szCs w:val="36"/>
                              </w:rPr>
                            </w:pPr>
                            <w:r>
                              <w:rPr>
                                <w:rFonts w:hint="eastAsia" w:ascii="黑体" w:hAnsi="黑体" w:eastAsia="黑体"/>
                                <w:sz w:val="36"/>
                                <w:szCs w:val="36"/>
                              </w:rPr>
                              <w:t>审定稿</w:t>
                            </w:r>
                          </w:p>
                          <w:p>
                            <w:pPr>
                              <w:pStyle w:val="67"/>
                              <w:spacing w:before="600"/>
                              <w:rPr>
                                <w:rFonts w:hint="eastAsia"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4-09</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pPr>
                        <w:pStyle w:val="67"/>
                        <w:spacing w:before="600"/>
                        <w:rPr>
                          <w:rFonts w:hint="eastAsia" w:ascii="黑体" w:hAnsi="黑体" w:eastAsia="黑体"/>
                          <w:sz w:val="36"/>
                          <w:szCs w:val="36"/>
                        </w:rPr>
                      </w:pPr>
                      <w:r>
                        <w:rPr>
                          <w:rFonts w:hint="eastAsia" w:ascii="黑体" w:hAnsi="黑体" w:eastAsia="黑体"/>
                          <w:sz w:val="36"/>
                          <w:szCs w:val="36"/>
                        </w:rPr>
                        <w:t>审定稿</w:t>
                      </w:r>
                    </w:p>
                    <w:p>
                      <w:pPr>
                        <w:pStyle w:val="67"/>
                        <w:spacing w:before="600"/>
                        <w:rPr>
                          <w:rFonts w:hint="eastAsia"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4-09</w:t>
                      </w:r>
                    </w:p>
                  </w:txbxContent>
                </v:textbox>
                <w10:anchorlock/>
              </v:rect>
            </w:pict>
          </mc:Fallback>
        </mc:AlternateContent>
      </w: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hint="eastAsia" w:ascii="宋体" w:hAnsi="宋体" w:eastAsia="宋体" w:cs="宋体"/>
                                <w:spacing w:val="58"/>
                                <w:w w:val="120"/>
                                <w:kern w:val="2"/>
                                <w:sz w:val="28"/>
                                <w:szCs w:val="28"/>
                              </w:rPr>
                            </w:pPr>
                          </w:p>
                          <w:p>
                            <w:pPr>
                              <w:jc w:val="center"/>
                              <w:rPr>
                                <w:rFonts w:hint="eastAsia" w:ascii="宋体" w:hAnsi="宋体" w:cs="宋体"/>
                                <w:spacing w:val="58"/>
                                <w:w w:val="120"/>
                                <w:sz w:val="28"/>
                                <w:szCs w:val="28"/>
                              </w:rPr>
                            </w:pPr>
                            <w:r>
                              <w:rPr>
                                <w:rFonts w:hint="eastAsia" w:ascii="宋体" w:hAnsi="宋体" w:cs="宋体"/>
                                <w:spacing w:val="58"/>
                                <w:w w:val="120"/>
                                <w:sz w:val="28"/>
                                <w:szCs w:val="28"/>
                              </w:rPr>
                              <w:t>脉冲电火花检漏仪校准规范</w:t>
                            </w:r>
                          </w:p>
                          <w:p>
                            <w:pPr>
                              <w:jc w:val="center"/>
                              <w:rPr>
                                <w:rFonts w:hint="eastAsia" w:ascii="宋体" w:hAnsi="宋体" w:cs="宋体"/>
                                <w:sz w:val="28"/>
                                <w:szCs w:val="28"/>
                              </w:rPr>
                            </w:pPr>
                            <w:r>
                              <w:rPr>
                                <w:rFonts w:hint="eastAsia" w:ascii="宋体" w:hAnsi="宋体" w:cs="宋体"/>
                                <w:spacing w:val="58"/>
                                <w:w w:val="120"/>
                                <w:sz w:val="28"/>
                                <w:szCs w:val="28"/>
                              </w:rPr>
                              <w:t>编制组</w:t>
                            </w:r>
                          </w:p>
                          <w:p>
                            <w:pPr>
                              <w:pStyle w:val="114"/>
                              <w:rPr>
                                <w:rFonts w:hint="eastAsia" w:ascii="宋体" w:hAnsi="宋体" w:eastAsia="宋体" w:cs="宋体"/>
                                <w:sz w:val="28"/>
                                <w:szCs w:val="28"/>
                              </w:rPr>
                            </w:pPr>
                            <w:r>
                              <w:rPr>
                                <w:rFonts w:hint="eastAsia" w:ascii="宋体" w:hAnsi="宋体" w:eastAsia="宋体" w:cs="宋体"/>
                                <w:sz w:val="28"/>
                                <w:szCs w:val="28"/>
                              </w:rPr>
                              <w:t>主编单位：西安汉唐分析检测公司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hint="eastAsia" w:ascii="宋体" w:hAnsi="宋体" w:eastAsia="宋体" w:cs="宋体"/>
                          <w:spacing w:val="58"/>
                          <w:w w:val="120"/>
                          <w:kern w:val="2"/>
                          <w:sz w:val="28"/>
                          <w:szCs w:val="28"/>
                        </w:rPr>
                      </w:pPr>
                    </w:p>
                    <w:p>
                      <w:pPr>
                        <w:jc w:val="center"/>
                        <w:rPr>
                          <w:rFonts w:hint="eastAsia" w:ascii="宋体" w:hAnsi="宋体" w:cs="宋体"/>
                          <w:spacing w:val="58"/>
                          <w:w w:val="120"/>
                          <w:sz w:val="28"/>
                          <w:szCs w:val="28"/>
                        </w:rPr>
                      </w:pPr>
                      <w:r>
                        <w:rPr>
                          <w:rFonts w:hint="eastAsia" w:ascii="宋体" w:hAnsi="宋体" w:cs="宋体"/>
                          <w:spacing w:val="58"/>
                          <w:w w:val="120"/>
                          <w:sz w:val="28"/>
                          <w:szCs w:val="28"/>
                        </w:rPr>
                        <w:t>脉冲电火花检漏仪校准规范</w:t>
                      </w:r>
                    </w:p>
                    <w:p>
                      <w:pPr>
                        <w:jc w:val="center"/>
                        <w:rPr>
                          <w:rFonts w:hint="eastAsia" w:ascii="宋体" w:hAnsi="宋体" w:cs="宋体"/>
                          <w:sz w:val="28"/>
                          <w:szCs w:val="28"/>
                        </w:rPr>
                      </w:pPr>
                      <w:r>
                        <w:rPr>
                          <w:rFonts w:hint="eastAsia" w:ascii="宋体" w:hAnsi="宋体" w:cs="宋体"/>
                          <w:spacing w:val="58"/>
                          <w:w w:val="120"/>
                          <w:sz w:val="28"/>
                          <w:szCs w:val="28"/>
                        </w:rPr>
                        <w:t>编制组</w:t>
                      </w:r>
                    </w:p>
                    <w:p>
                      <w:pPr>
                        <w:pStyle w:val="114"/>
                        <w:rPr>
                          <w:rFonts w:hint="eastAsia" w:ascii="宋体" w:hAnsi="宋体" w:eastAsia="宋体" w:cs="宋体"/>
                          <w:sz w:val="28"/>
                          <w:szCs w:val="28"/>
                        </w:rPr>
                      </w:pPr>
                      <w:r>
                        <w:rPr>
                          <w:rFonts w:hint="eastAsia" w:ascii="宋体" w:hAnsi="宋体" w:eastAsia="宋体" w:cs="宋体"/>
                          <w:sz w:val="28"/>
                          <w:szCs w:val="28"/>
                        </w:rPr>
                        <w:t>主编单位：西安汉唐分析检测公司</w:t>
                      </w:r>
                    </w:p>
                  </w:txbxContent>
                </v:textbox>
                <w10:anchorlock/>
              </v:rect>
            </w:pict>
          </mc:Fallback>
        </mc:AlternateContent>
      </w: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98"/>
        <w:jc w:val="center"/>
        <w:rPr>
          <w:rFonts w:eastAsia="黑体"/>
          <w:sz w:val="24"/>
          <w:szCs w:val="24"/>
        </w:rPr>
      </w:pPr>
    </w:p>
    <w:p>
      <w:pPr>
        <w:pStyle w:val="2"/>
        <w:spacing w:before="156" w:after="156"/>
        <w:rPr>
          <w:b w:val="0"/>
          <w:bCs w:val="0"/>
        </w:rPr>
      </w:pPr>
      <w:r>
        <w:rPr>
          <w:b w:val="0"/>
          <w:bCs w:val="0"/>
        </w:rPr>
        <w:t>一、工作简况</w:t>
      </w:r>
      <w:bookmarkEnd w:id="0"/>
      <w:bookmarkStart w:id="2" w:name="_Toc464728896"/>
    </w:p>
    <w:p>
      <w:pPr>
        <w:pStyle w:val="3"/>
        <w:spacing w:before="156" w:after="156"/>
        <w:rPr>
          <w:rFonts w:ascii="Times New Roman" w:hAnsi="Times New Roman"/>
          <w:b w:val="0"/>
          <w:bCs w:val="0"/>
        </w:rPr>
      </w:pPr>
      <w:r>
        <w:rPr>
          <w:rFonts w:ascii="Times New Roman" w:hAnsi="Times New Roman"/>
          <w:b w:val="0"/>
          <w:bCs w:val="0"/>
        </w:rPr>
        <w:t>1.立项目的</w:t>
      </w:r>
    </w:p>
    <w:p>
      <w:pPr>
        <w:spacing w:line="400" w:lineRule="exact"/>
        <w:ind w:firstLine="555"/>
        <w:rPr>
          <w:szCs w:val="21"/>
        </w:rPr>
      </w:pPr>
      <w:r>
        <w:rPr>
          <w:szCs w:val="21"/>
        </w:rPr>
        <w:t>金属腐蚀问题遍及国民经济的很多领域，比如油气、石化、交通、机械制造等。凡是使用金属材料的地方都存在着腐蚀问题。金属腐蚀给社会带来了许多损失和危害，包括经济损失、环境污染、安全隐患。因此防止金属腐蚀是一个很严重的全球性问题。最常见的金属防腐蚀方法就是给金属涂上防腐层，隔绝金属与空气和水的接触。保证金属表面防腐层完好，就能避免金属腐蚀的现象发生，而电火花检漏仪正是检查金属表面防腐绝缘层的施工质量、老化、腐蚀的微孔的仪器，电火花检漏仪的指标正常，就能够保证其对金属防腐绝缘层的检测时的准确定性。近几年市场对电火花检漏仪的需求较大，相关企业生产的该产品销往全国各地，主要用于化工、石油、橡胶、管道防腐等行业。</w:t>
      </w:r>
    </w:p>
    <w:p>
      <w:pPr>
        <w:spacing w:line="400" w:lineRule="exact"/>
        <w:ind w:firstLine="555"/>
        <w:rPr>
          <w:szCs w:val="21"/>
        </w:rPr>
      </w:pPr>
      <w:r>
        <w:rPr>
          <w:szCs w:val="21"/>
        </w:rPr>
        <w:t>全国无任何检定规程或校准规范，生产企业之间出厂检测项目不一，大量计量器具得不到有效溯源。该规范弥补了国内用于金属防腐绝缘层检测的电火花检漏仪计量性能校准依据的空白。</w:t>
      </w:r>
    </w:p>
    <w:p>
      <w:pPr>
        <w:pStyle w:val="3"/>
        <w:spacing w:before="156" w:after="156"/>
        <w:rPr>
          <w:rFonts w:ascii="Times New Roman" w:hAnsi="Times New Roman"/>
          <w:b w:val="0"/>
          <w:bCs w:val="0"/>
        </w:rPr>
      </w:pPr>
      <w:r>
        <w:rPr>
          <w:rFonts w:ascii="Times New Roman" w:hAnsi="Times New Roman"/>
          <w:b w:val="0"/>
          <w:bCs w:val="0"/>
        </w:rPr>
        <w:t>2.任务来源</w:t>
      </w:r>
      <w:bookmarkEnd w:id="2"/>
    </w:p>
    <w:p>
      <w:pPr>
        <w:pStyle w:val="35"/>
        <w:spacing w:after="0" w:line="400" w:lineRule="exact"/>
        <w:ind w:firstLine="420" w:firstLineChars="200"/>
        <w:rPr>
          <w:szCs w:val="21"/>
        </w:rPr>
      </w:pPr>
      <w:r>
        <w:rPr>
          <w:szCs w:val="21"/>
        </w:rPr>
        <w:t>根据工业和信息化部《关于印发2023年行业计量技术规范制修订计划的通知》（</w:t>
      </w:r>
      <w:r>
        <w:rPr>
          <w:bCs/>
          <w:szCs w:val="21"/>
        </w:rPr>
        <w:t>工信厅科函［2023］476号</w:t>
      </w:r>
      <w:r>
        <w:rPr>
          <w:szCs w:val="21"/>
        </w:rPr>
        <w:t>）文的要求，行业计量技术规范《脉冲电火花检漏仪校准规范》由西安汉唐分析检测有限公司负责起草。该项目计划编号为JJFZ（有色金属）021-2023。</w:t>
      </w:r>
    </w:p>
    <w:p>
      <w:pPr>
        <w:spacing w:line="360" w:lineRule="auto"/>
        <w:ind w:firstLine="420" w:firstLineChars="200"/>
        <w:rPr>
          <w:szCs w:val="21"/>
        </w:rPr>
      </w:pPr>
      <w:r>
        <w:rPr>
          <w:szCs w:val="21"/>
        </w:rPr>
        <w:t>按计划要求，本计量规范应于2024年完成制定。</w:t>
      </w:r>
    </w:p>
    <w:p>
      <w:pPr>
        <w:pStyle w:val="3"/>
        <w:spacing w:before="156" w:after="156"/>
        <w:rPr>
          <w:rFonts w:ascii="Times New Roman" w:hAnsi="Times New Roman"/>
          <w:b w:val="0"/>
          <w:bCs w:val="0"/>
        </w:rPr>
      </w:pPr>
      <w:r>
        <w:rPr>
          <w:rFonts w:ascii="Times New Roman" w:hAnsi="Times New Roman"/>
          <w:b w:val="0"/>
          <w:bCs w:val="0"/>
        </w:rPr>
        <w:t>3.项目编制组单位简况</w:t>
      </w:r>
    </w:p>
    <w:p>
      <w:pPr>
        <w:pStyle w:val="4"/>
        <w:spacing w:before="156" w:after="156"/>
        <w:rPr>
          <w:b w:val="0"/>
          <w:bCs w:val="0"/>
        </w:rPr>
      </w:pPr>
      <w:r>
        <w:rPr>
          <w:b w:val="0"/>
          <w:bCs w:val="0"/>
        </w:rPr>
        <w:t>3.1编制组成员单位</w:t>
      </w:r>
    </w:p>
    <w:p>
      <w:pPr>
        <w:widowControl/>
        <w:autoSpaceDE w:val="0"/>
        <w:autoSpaceDN w:val="0"/>
        <w:spacing w:line="400" w:lineRule="exact"/>
        <w:ind w:firstLine="420" w:firstLineChars="200"/>
        <w:rPr>
          <w:szCs w:val="21"/>
        </w:rPr>
      </w:pPr>
      <w:bookmarkStart w:id="3" w:name="_Toc464728900"/>
      <w:bookmarkStart w:id="4" w:name="_Toc462884344"/>
      <w:r>
        <w:rPr>
          <w:szCs w:val="21"/>
        </w:rPr>
        <w:t>本规范的编制组单位为：西安汉唐分析检测有限公司、陕西天成航空材料有限公司、中国石油集团工程材料研究院有限公司、国标（北京）检验认证有限公司、西南铝业（集团）有限责任公司</w:t>
      </w:r>
      <w:r>
        <w:rPr>
          <w:rFonts w:hint="eastAsia"/>
          <w:szCs w:val="21"/>
          <w:lang w:eastAsia="zh-CN"/>
        </w:rPr>
        <w:t>、西安优耐特容器制造有限公司、青海大学</w:t>
      </w:r>
      <w:r>
        <w:rPr>
          <w:szCs w:val="21"/>
        </w:rPr>
        <w:t>。</w:t>
      </w:r>
    </w:p>
    <w:p>
      <w:pPr>
        <w:pStyle w:val="4"/>
        <w:spacing w:before="156" w:after="156"/>
        <w:rPr>
          <w:b w:val="0"/>
          <w:bCs w:val="0"/>
        </w:rPr>
      </w:pPr>
      <w:r>
        <w:rPr>
          <w:b w:val="0"/>
          <w:bCs w:val="0"/>
        </w:rPr>
        <w:t>3.2 主编单位简介</w:t>
      </w:r>
    </w:p>
    <w:bookmarkEnd w:id="3"/>
    <w:bookmarkEnd w:id="4"/>
    <w:p>
      <w:pPr>
        <w:pStyle w:val="59"/>
        <w:numPr>
          <w:ilvl w:val="3"/>
          <w:numId w:val="0"/>
        </w:numPr>
        <w:rPr>
          <w:rFonts w:ascii="Times New Roman" w:hAnsi="Times New Roman"/>
        </w:rPr>
      </w:pPr>
      <w:r>
        <w:rPr>
          <w:rFonts w:ascii="Times New Roman" w:hAnsi="Times New Roman"/>
        </w:rPr>
        <w:t>西安汉唐分析检测有限公司</w:t>
      </w:r>
    </w:p>
    <w:p>
      <w:pPr>
        <w:spacing w:line="360" w:lineRule="auto"/>
        <w:ind w:firstLine="420" w:firstLineChars="200"/>
        <w:rPr>
          <w:szCs w:val="21"/>
        </w:rPr>
      </w:pPr>
      <w:r>
        <w:rPr>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szCs w:val="21"/>
        </w:rPr>
        <w:t>近10年起草有色金属国家/行业规范共80余项、发表论文120余篇、授权专利30余项。先后荣获中国有色金属工业一等奖、二等奖20余次。</w:t>
      </w:r>
    </w:p>
    <w:p>
      <w:pPr>
        <w:spacing w:line="360" w:lineRule="auto"/>
        <w:ind w:firstLine="420" w:firstLineChars="200"/>
        <w:contextualSpacing/>
        <w:jc w:val="left"/>
        <w:rPr>
          <w:szCs w:val="21"/>
        </w:rPr>
      </w:pPr>
      <w:r>
        <w:rPr>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60"/>
        <w:numPr>
          <w:ilvl w:val="0"/>
          <w:numId w:val="0"/>
        </w:numPr>
        <w:spacing w:before="156" w:beforeLines="50" w:after="156" w:afterLines="50"/>
        <w:rPr>
          <w:rFonts w:ascii="Times New Roman"/>
          <w:color w:val="auto"/>
        </w:rPr>
      </w:pPr>
      <w:bookmarkStart w:id="5" w:name="_Toc464728901"/>
      <w:bookmarkStart w:id="6" w:name="_Toc462884345"/>
      <w:r>
        <w:rPr>
          <w:rFonts w:ascii="Times New Roman"/>
          <w:color w:val="auto"/>
        </w:rPr>
        <w:t>3.3成员单位简介</w:t>
      </w:r>
      <w:bookmarkEnd w:id="5"/>
      <w:bookmarkEnd w:id="6"/>
    </w:p>
    <w:p>
      <w:pPr>
        <w:pStyle w:val="60"/>
        <w:numPr>
          <w:ilvl w:val="2"/>
          <w:numId w:val="0"/>
        </w:numPr>
        <w:rPr>
          <w:rFonts w:ascii="Times New Roman"/>
          <w:color w:val="auto"/>
        </w:rPr>
      </w:pPr>
      <w:bookmarkStart w:id="7" w:name="_Toc462884347"/>
      <w:bookmarkStart w:id="8" w:name="_Toc464728903"/>
      <w:r>
        <w:rPr>
          <w:rFonts w:ascii="Times New Roman"/>
          <w:color w:val="auto"/>
        </w:rPr>
        <w:t>3.3.1陕西天成航空材料有限公司</w:t>
      </w:r>
    </w:p>
    <w:p>
      <w:pPr>
        <w:pStyle w:val="59"/>
        <w:numPr>
          <w:ilvl w:val="3"/>
          <w:numId w:val="0"/>
        </w:numPr>
        <w:spacing w:line="360" w:lineRule="auto"/>
        <w:ind w:firstLine="420" w:firstLineChars="200"/>
        <w:contextualSpacing/>
        <w:outlineLvl w:val="9"/>
        <w:rPr>
          <w:rFonts w:ascii="Times New Roman" w:hAnsi="Times New Roman" w:eastAsia="宋体"/>
          <w:color w:val="auto"/>
          <w:spacing w:val="0"/>
          <w:kern w:val="2"/>
          <w:szCs w:val="21"/>
        </w:rPr>
      </w:pPr>
      <w:r>
        <w:rPr>
          <w:rFonts w:ascii="Times New Roman" w:hAnsi="Times New Roman" w:eastAsia="宋体"/>
          <w:color w:val="auto"/>
          <w:spacing w:val="0"/>
          <w:kern w:val="2"/>
          <w:szCs w:val="21"/>
        </w:rPr>
        <w:t>陕西天成航空材料有限公司天成航材成立于2007年，是专业从事钛合金材料研发、生产的高新技术企业。公司于2008年投产，目前拥有自主知识产权及各项成果100余项，研发人员占比15%，累计研发投入上亿元，是国内较早涉足钛合金产业的技术队伍之一。</w:t>
      </w:r>
    </w:p>
    <w:p>
      <w:pPr>
        <w:pStyle w:val="59"/>
        <w:numPr>
          <w:ilvl w:val="3"/>
          <w:numId w:val="0"/>
        </w:numPr>
        <w:spacing w:line="360" w:lineRule="auto"/>
        <w:ind w:firstLine="420" w:firstLineChars="200"/>
        <w:contextualSpacing/>
        <w:outlineLvl w:val="9"/>
        <w:rPr>
          <w:rFonts w:ascii="Times New Roman" w:hAnsi="Times New Roman" w:eastAsia="宋体"/>
          <w:color w:val="auto"/>
          <w:spacing w:val="0"/>
          <w:kern w:val="2"/>
          <w:szCs w:val="21"/>
        </w:rPr>
      </w:pPr>
      <w:r>
        <w:rPr>
          <w:rFonts w:ascii="Times New Roman" w:hAnsi="Times New Roman" w:eastAsia="宋体"/>
          <w:color w:val="auto"/>
          <w:spacing w:val="0"/>
          <w:kern w:val="2"/>
          <w:szCs w:val="21"/>
        </w:rPr>
        <w:t>公司产品定位于高端钛材应用，主营产品包含钛合金棒材、线材、锻件等，以一流的“航空标准”管理体系支撑钛产业高质量发展。公司自主研发、设计了国内首条航空级钛合金全流程动态多向控温控轧生产线，可为航空、医疗等高端领域用户提供超细晶钛棒及高品质钛盘卷，从材料端创新突破，解决了多项航空材料“卡脖子”难题；大规格棒材生产线采取“以轧代锻、锻轧结合”的方式，进一步优化生产工艺，可为航空终端提供发动机盘、轴件及飞机结构件用原材料，赋能中国航空业态升级。</w:t>
      </w:r>
    </w:p>
    <w:p>
      <w:pPr>
        <w:pStyle w:val="59"/>
        <w:numPr>
          <w:ilvl w:val="3"/>
          <w:numId w:val="0"/>
        </w:numPr>
        <w:spacing w:line="360" w:lineRule="auto"/>
        <w:ind w:firstLine="420" w:firstLineChars="200"/>
        <w:contextualSpacing/>
        <w:outlineLvl w:val="9"/>
        <w:rPr>
          <w:rFonts w:ascii="Times New Roman" w:hAnsi="Times New Roman" w:eastAsia="宋体"/>
          <w:color w:val="auto"/>
          <w:spacing w:val="0"/>
          <w:kern w:val="2"/>
          <w:szCs w:val="21"/>
        </w:rPr>
      </w:pPr>
      <w:r>
        <w:rPr>
          <w:rFonts w:ascii="Times New Roman" w:hAnsi="Times New Roman" w:eastAsia="宋体"/>
          <w:color w:val="auto"/>
          <w:spacing w:val="0"/>
          <w:kern w:val="2"/>
          <w:szCs w:val="21"/>
        </w:rPr>
        <w:t>公司致力于通过先进材料的开发及应用推动航空航天事业的进步与发展，先后获得航天特种工艺Nadcap无损检测认证及AS9100D、ISO13485、ISO14001、ISO45001等资质认证。</w:t>
      </w:r>
    </w:p>
    <w:p>
      <w:pPr>
        <w:pStyle w:val="59"/>
        <w:numPr>
          <w:ilvl w:val="3"/>
          <w:numId w:val="0"/>
        </w:numPr>
        <w:spacing w:line="360" w:lineRule="auto"/>
        <w:ind w:firstLine="420" w:firstLineChars="200"/>
        <w:contextualSpacing/>
        <w:outlineLvl w:val="9"/>
        <w:rPr>
          <w:rFonts w:ascii="Times New Roman" w:hAnsi="Times New Roman"/>
          <w:szCs w:val="21"/>
        </w:rPr>
      </w:pPr>
      <w:r>
        <w:rPr>
          <w:rFonts w:ascii="Times New Roman" w:hAnsi="Times New Roman" w:eastAsia="宋体"/>
          <w:color w:val="auto"/>
          <w:spacing w:val="0"/>
          <w:kern w:val="2"/>
          <w:szCs w:val="21"/>
        </w:rPr>
        <w:t>公司努力寻求高附加值、高技术含量的钛合金产业新突破，投资12.8亿建成的现代化、智能化生产基地已于2019年投入使用，建筑面积达80000㎡，项目配套3000㎡先进材料实验室及企业研发中心，预计到2025年，公司年产能将达到20000吨。</w:t>
      </w:r>
    </w:p>
    <w:p>
      <w:pPr>
        <w:spacing w:line="360" w:lineRule="auto"/>
        <w:rPr>
          <w:rFonts w:eastAsia="黑体"/>
          <w:szCs w:val="21"/>
        </w:rPr>
      </w:pPr>
      <w:r>
        <w:rPr>
          <w:rFonts w:eastAsia="黑体"/>
          <w:szCs w:val="21"/>
        </w:rPr>
        <w:t>3.3.2中国石油集团工程材料研究院有限公司</w:t>
      </w:r>
    </w:p>
    <w:p>
      <w:pPr>
        <w:spacing w:line="360" w:lineRule="auto"/>
        <w:ind w:firstLine="420" w:firstLineChars="200"/>
        <w:contextualSpacing/>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中国石油集团工程材料研究院有限公司组建于1981年，坐落于古城西安高新技术开发区，是中国石油集团（CNPC）直属科研机构，也是国内石油行业在石油管工程技术领域唯一集“科学研究、质量监督、工程技术服务”为一体的综合性技术中心与核心科研机构，是为中国石油集团石油管工程技术提供决策支持的“参谋部”，开展石油管工程技术创新的“研发中心”，保障石油管质量安全的“检测评价中心”，为重大管道工程和油气田勘探开发项目提供石油管技术支持与服务的“技术中心”。</w:t>
      </w:r>
    </w:p>
    <w:p>
      <w:pPr>
        <w:spacing w:line="360" w:lineRule="auto"/>
        <w:ind w:firstLine="420" w:firstLineChars="200"/>
        <w:contextualSpacing/>
        <w:jc w:val="left"/>
        <w:rPr>
          <w:szCs w:val="21"/>
        </w:rPr>
      </w:pPr>
      <w:r>
        <w:rPr>
          <w:color w:val="000000" w:themeColor="text1"/>
          <w:szCs w:val="21"/>
          <w14:textFill>
            <w14:solidFill>
              <w14:schemeClr w14:val="tx1"/>
            </w14:solidFill>
          </w14:textFill>
        </w:rPr>
        <w:t>工程材料研究院有限公司秉承着“创新、致远、严谨、公正”的理念，致力于科技创新。建院四十年来完成国家和省部级科研项目400余项，其中获国家级科技奖励16项，省部级科技奖励150余项（次），专利授权656项（其中发明专利333项），发表论文2900余篇，注册软件95套，制修订国际、国家、行业、企业标准400余项（其中国际标准6项，国家标准40项），参与制修订ISO、API等标准多项。完成质量监督项目近10000余项，失效分析项目1500余项，为西气东输管线、陕京管线、中亚管线等国家重大管道项目建设及塔里木、长庆、新疆、西南等重点油气田勘探开发提供了重要的技术保障。</w:t>
      </w:r>
    </w:p>
    <w:p>
      <w:pPr>
        <w:pStyle w:val="59"/>
        <w:numPr>
          <w:ilvl w:val="3"/>
          <w:numId w:val="0"/>
        </w:numPr>
        <w:spacing w:before="156" w:beforeLines="50" w:after="156" w:afterLines="50"/>
        <w:contextualSpacing/>
        <w:rPr>
          <w:rFonts w:ascii="Times New Roman" w:hAnsi="Times New Roman"/>
        </w:rPr>
      </w:pPr>
      <w:r>
        <w:rPr>
          <w:rFonts w:ascii="Times New Roman" w:hAnsi="Times New Roman"/>
        </w:rPr>
        <w:t>3.3.3国标（北京）检验认证有限公司</w:t>
      </w:r>
    </w:p>
    <w:p>
      <w:pPr>
        <w:spacing w:line="360" w:lineRule="auto"/>
        <w:ind w:firstLine="420" w:firstLineChars="200"/>
        <w:rPr>
          <w:szCs w:val="21"/>
        </w:rPr>
      </w:pPr>
      <w:r>
        <w:rPr>
          <w:szCs w:val="21"/>
        </w:rPr>
        <w:t>标准（北京）检验认证有限公司（简称标准公司，英文简称GTC），是中国的第三方检验认证服务机构，致力于为客户提供一站式质量保障服务。公司前身为北京有色金属研究总院分析测试技术研究所，同时运行管理着“地区有色金属质量监督检验中心”和“地区有色金属及电子材料分析测试中心”，分别由原地区质量技术监督局于1985年批准建立和原地区科委于1983年批准建立。 标准公司通过ISO 17025实验室地区认可(CNAS)、中国计量认证(CMA)、实验室审查认可（CAL）、培训机构资质认证（NTC）等，是地区工业与信息化部挂牌“有色金属标准样品研制单位（YSRK 07-2014）”、 “多晶硅行业准入检测测评实验室”、“工业(有色金属及半导体材料)产品质量控制及评价实验室”；中国有色金属工业协会认定的“有色金属失效分析行业实验室”；中关村高新技术企业园区挂牌的开放实验室；“航天器材料质量机构”；中国船级社检测和试验机构；同时是中国有色金属学会理化检验学术、中国稀土学会理化检验的主任委员单位。 标准公司主营业务涉及第三方检测服务，分析测试仪器装备及配件的研制和销售、标准物质/样品、无损检测设备检定、分析检测人员培训、实验室规划设计、特种功能材料研发与生产等领域。公司是中国第三方金属检测的成员之一者，主要从事有色金属、黑色金属、矿物材料、建筑材料、环境样品等的分析检测服务；服务项目包括化学成分成分、组织结构分析、物理性能测试、力学性能测试、无损探伤检测等。</w:t>
      </w:r>
    </w:p>
    <w:p>
      <w:pPr>
        <w:pStyle w:val="59"/>
        <w:numPr>
          <w:ilvl w:val="3"/>
          <w:numId w:val="0"/>
        </w:numPr>
        <w:spacing w:before="156" w:beforeLines="50" w:after="156" w:afterLines="50"/>
        <w:contextualSpacing/>
        <w:rPr>
          <w:rFonts w:ascii="Times New Roman" w:hAnsi="Times New Roman"/>
        </w:rPr>
      </w:pPr>
      <w:r>
        <w:rPr>
          <w:rFonts w:ascii="Times New Roman" w:hAnsi="Times New Roman"/>
        </w:rPr>
        <w:t>3.3.4西南铝业（集团）有限责任公司</w:t>
      </w:r>
    </w:p>
    <w:p>
      <w:pPr>
        <w:spacing w:line="360" w:lineRule="auto"/>
        <w:ind w:firstLine="420" w:firstLineChars="200"/>
        <w:rPr>
          <w:bCs/>
        </w:rPr>
      </w:pPr>
      <w:r>
        <w:rPr>
          <w:bCs/>
        </w:rPr>
        <w:t>西南铝业（集团）有限责任公司（简称西南铝）位于重庆市九龙坡区西彭镇，前身为冶金部112厂、西南铝加工厂，始建于1965年7月，2000年12月改制成立有限责任公司，是我国为生产重点项目、航空航天所需大规格、新品种、高质量铝及铝合金材料而建设的大型企业。经过50多年的建设发展,西南铝已成为我国综合实力最强的特大型铝加工企业之一,是我国航空航天和重点项目材料研发保障、高精尖铝材研发生产和出口的“核心基地”。现隶属于中国铝业集团有限公司。西南铝培养了中国工程院院士1人、两江学者1人、国家级技能大师1人、享受国务院政府特殊津贴专家30余人，建有院士工作站，拥有国家级企业技术中心，技术研发实力国内领先。率先开发出以地铁车辆用铝型材、易拉罐用铝板材、印刷用铝版基等为代表的大量高品质新型铝合金材料以及全铝家居系列产品，“西南铝”驰名商标已成为具有国际影响力的中国铝加工品牌。</w:t>
      </w:r>
    </w:p>
    <w:p>
      <w:pPr>
        <w:pStyle w:val="59"/>
        <w:numPr>
          <w:ilvl w:val="3"/>
          <w:numId w:val="0"/>
        </w:numPr>
        <w:spacing w:before="156" w:beforeLines="50" w:after="156" w:afterLines="50"/>
        <w:contextualSpacing/>
        <w:rPr>
          <w:rFonts w:ascii="Times New Roman" w:hAnsi="Times New Roman"/>
        </w:rPr>
      </w:pPr>
      <w:r>
        <w:rPr>
          <w:rFonts w:hint="eastAsia" w:ascii="Times New Roman" w:hAnsi="Times New Roman"/>
          <w:lang w:val="en-US" w:eastAsia="zh-CN"/>
        </w:rPr>
        <w:t>3.3.5</w:t>
      </w:r>
      <w:r>
        <w:rPr>
          <w:rFonts w:hint="eastAsia" w:ascii="Times New Roman" w:hAnsi="Times New Roman"/>
        </w:rPr>
        <w:t>西安优耐特容器制造有限公司</w:t>
      </w:r>
    </w:p>
    <w:p>
      <w:pPr>
        <w:pStyle w:val="58"/>
        <w:spacing w:line="360" w:lineRule="auto"/>
        <w:ind w:firstLine="420"/>
        <w:rPr>
          <w:rFonts w:ascii="Times New Roman" w:hAnsi="Times New Roman" w:eastAsia="宋体" w:cs="Times New Roman"/>
          <w:color w:val="auto"/>
          <w:spacing w:val="-6"/>
          <w:kern w:val="2"/>
          <w:sz w:val="21"/>
          <w:szCs w:val="21"/>
          <w:lang w:val="en-US" w:eastAsia="zh-CN" w:bidi="ar-SA"/>
        </w:rPr>
      </w:pPr>
      <w:r>
        <w:rPr>
          <w:rFonts w:hint="eastAsia" w:ascii="Times New Roman" w:hAnsi="Times New Roman" w:eastAsia="宋体" w:cs="Times New Roman"/>
          <w:color w:val="auto"/>
          <w:spacing w:val="-6"/>
          <w:kern w:val="2"/>
          <w:sz w:val="21"/>
          <w:szCs w:val="21"/>
          <w:lang w:val="en-US" w:eastAsia="zh-CN" w:bidi="ar-SA"/>
        </w:rPr>
        <w:t>西安优耐特容器制造有限公司是一家由西北有色金属研究院控股的国家级高新技术企业，‌专注于稀有金属装备的研发、‌制造及工程化服务。‌ 该公司成立于2010年，‌注册资本为1.5亿元，‌由西部材料、‌西部超导、‌凯立新材等三家上市公司参股。‌西安优耐特容器制造有限公司在稀有金属装备制造领域内具有世界领先的钽、‌铌装备制造技术，‌以及国内一流的钛、‌锆、‌镍装备制造技术。‌公司的业务重点服务于核化工、‌新能源和高端精细化工等国家战略需求及新兴产业领域。‌</w:t>
      </w:r>
    </w:p>
    <w:p>
      <w:pPr>
        <w:pStyle w:val="58"/>
        <w:spacing w:line="360" w:lineRule="auto"/>
        <w:ind w:firstLine="420"/>
        <w:rPr>
          <w:rFonts w:ascii="Times New Roman" w:hAnsi="Times New Roman" w:eastAsia="宋体" w:cs="Times New Roman"/>
          <w:color w:val="auto"/>
          <w:spacing w:val="-6"/>
          <w:kern w:val="2"/>
          <w:sz w:val="21"/>
          <w:szCs w:val="21"/>
          <w:lang w:val="en-US" w:eastAsia="zh-CN" w:bidi="ar-SA"/>
        </w:rPr>
      </w:pPr>
      <w:r>
        <w:rPr>
          <w:rFonts w:hint="eastAsia" w:ascii="Times New Roman" w:hAnsi="Times New Roman" w:eastAsia="宋体" w:cs="Times New Roman"/>
          <w:color w:val="auto"/>
          <w:spacing w:val="-6"/>
          <w:kern w:val="2"/>
          <w:sz w:val="21"/>
          <w:szCs w:val="21"/>
          <w:lang w:val="en-US" w:eastAsia="zh-CN" w:bidi="ar-SA"/>
        </w:rPr>
        <w:t>公司拥有多项资质和认证，‌包括民用核安全机械设备制造许可证、‌A2类压力容器设计及制造许可证、‌管道元件（‌元件组合装置）‌制造许可证、‌ASME U证、‌PED证书等。‌这些资质和认证证明了公司在行业内的专业能力和技术水平。‌</w:t>
      </w:r>
    </w:p>
    <w:p>
      <w:pPr>
        <w:pStyle w:val="58"/>
        <w:spacing w:line="360" w:lineRule="auto"/>
        <w:ind w:firstLine="420"/>
        <w:rPr>
          <w:rFonts w:ascii="Times New Roman" w:hAnsi="Times New Roman" w:eastAsia="宋体" w:cs="Times New Roman"/>
          <w:color w:val="auto"/>
          <w:spacing w:val="-6"/>
          <w:kern w:val="2"/>
          <w:sz w:val="21"/>
          <w:szCs w:val="21"/>
          <w:lang w:val="en-US" w:eastAsia="zh-CN" w:bidi="ar-SA"/>
        </w:rPr>
      </w:pPr>
      <w:r>
        <w:rPr>
          <w:rFonts w:hint="eastAsia" w:ascii="Times New Roman" w:hAnsi="Times New Roman" w:eastAsia="宋体" w:cs="Times New Roman"/>
          <w:color w:val="auto"/>
          <w:spacing w:val="-6"/>
          <w:kern w:val="2"/>
          <w:sz w:val="21"/>
          <w:szCs w:val="21"/>
          <w:lang w:val="en-US" w:eastAsia="zh-CN" w:bidi="ar-SA"/>
        </w:rPr>
        <w:t>西安优耐特容器制造有限公司还拥有陕西省“稀有金属装备”共性技术平台、‌陕西省“稀有金属压力容器”工程技术研究中心以及陕西省企业技术中心等研发创新平台。‌这些平台不仅提升了公司的研发能力，‌也为公司的技术创新和产品升级提供了强有力的支持。‌</w:t>
      </w:r>
    </w:p>
    <w:p>
      <w:pPr>
        <w:spacing w:line="360" w:lineRule="auto"/>
        <w:ind w:firstLine="396" w:firstLineChars="200"/>
        <w:rPr>
          <w:rFonts w:hint="eastAsia" w:ascii="Times New Roman" w:hAnsi="Times New Roman" w:eastAsia="宋体" w:cs="Times New Roman"/>
          <w:color w:val="auto"/>
          <w:spacing w:val="-6"/>
          <w:kern w:val="2"/>
          <w:sz w:val="21"/>
          <w:szCs w:val="21"/>
          <w:lang w:val="en-US" w:eastAsia="zh-CN" w:bidi="ar-SA"/>
        </w:rPr>
      </w:pPr>
      <w:r>
        <w:rPr>
          <w:rFonts w:hint="eastAsia" w:ascii="Times New Roman" w:hAnsi="Times New Roman" w:eastAsia="宋体" w:cs="Times New Roman"/>
          <w:color w:val="auto"/>
          <w:spacing w:val="-6"/>
          <w:kern w:val="2"/>
          <w:sz w:val="21"/>
          <w:szCs w:val="21"/>
          <w:lang w:val="en-US" w:eastAsia="zh-CN" w:bidi="ar-SA"/>
        </w:rPr>
        <w:t>该单位积极参与编制组的各项工作会议，对规范的技术指标和校准项目中的部分内容提出了有效建议，在编制组中发挥了主要作用。</w:t>
      </w:r>
    </w:p>
    <w:p>
      <w:pPr>
        <w:pStyle w:val="59"/>
        <w:numPr>
          <w:ilvl w:val="3"/>
          <w:numId w:val="0"/>
        </w:numPr>
        <w:spacing w:before="156" w:beforeLines="50" w:after="156" w:afterLines="50"/>
        <w:contextualSpacing/>
        <w:rPr>
          <w:rFonts w:hint="eastAsia" w:ascii="Times New Roman" w:hAnsi="Times New Roman" w:eastAsia="黑体"/>
          <w:lang w:eastAsia="zh-CN"/>
        </w:rPr>
      </w:pPr>
      <w:r>
        <w:rPr>
          <w:rFonts w:hint="eastAsia" w:ascii="Times New Roman" w:hAnsi="Times New Roman"/>
          <w:lang w:val="en-US" w:eastAsia="zh-CN"/>
        </w:rPr>
        <w:t>3.3.6</w:t>
      </w:r>
      <w:r>
        <w:rPr>
          <w:rFonts w:hint="eastAsia" w:ascii="Times New Roman" w:hAnsi="Times New Roman"/>
          <w:lang w:eastAsia="zh-CN"/>
        </w:rPr>
        <w:t>青海大学</w:t>
      </w:r>
    </w:p>
    <w:p>
      <w:pPr>
        <w:spacing w:line="360" w:lineRule="auto"/>
        <w:ind w:firstLine="396" w:firstLineChars="200"/>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青海大学坐落于高原古城——夏都西宁。学校已发展成为了一所以工、农、医、管、经、理、法、交叉学科协调发展的教学研究型大学。2016年以来，学校获批科研项目3248项，其中主持承担国家重点研发计划11项，科研经费总计达21亿元，鉴定科研成果1104项。获国家科技进步二等奖1项、何梁何利基金科学与技术创新奖1项、全国争先创优奖3项，省部级及以上奖143项、青海省科学技术重大贡献奖3人次。学校积极推进产学研深度融合，主动服务国家战略和区域经济社会发展，在三江源生态保护、高原农牧业、高原医学、藏医药学、盐湖化工、新能源新材料等方面形成了鲜明的学科优势和办学特色，培养了一大批应用型人才，为青海经济建设和社会发展做出了积极贡献。</w:t>
      </w:r>
    </w:p>
    <w:p>
      <w:pPr>
        <w:spacing w:line="360" w:lineRule="auto"/>
        <w:ind w:firstLine="396" w:firstLineChars="200"/>
        <w:rPr>
          <w:rFonts w:hint="eastAsia" w:ascii="Times New Roman" w:hAnsi="Times New Roman" w:eastAsia="宋体" w:cs="Times New Roman"/>
          <w:color w:val="auto"/>
          <w:spacing w:val="-6"/>
          <w:kern w:val="2"/>
          <w:sz w:val="21"/>
          <w:szCs w:val="21"/>
          <w:lang w:val="en-US" w:eastAsia="zh-CN" w:bidi="ar-SA"/>
        </w:rPr>
      </w:pPr>
      <w:r>
        <w:rPr>
          <w:rFonts w:hint="eastAsia" w:ascii="Times New Roman" w:hAnsi="Times New Roman" w:eastAsia="宋体" w:cs="Times New Roman"/>
          <w:color w:val="auto"/>
          <w:spacing w:val="-6"/>
          <w:kern w:val="2"/>
          <w:sz w:val="21"/>
          <w:szCs w:val="21"/>
          <w:lang w:val="en-US" w:eastAsia="zh-CN" w:bidi="ar-SA"/>
        </w:rPr>
        <w:t>该单位积极参与编制组的各项工作会议，对规范的技术指标和校准项目中的部分内容提出了有效建议，在编制组中发挥了主要作用。</w:t>
      </w:r>
    </w:p>
    <w:p>
      <w:pPr>
        <w:pStyle w:val="59"/>
        <w:numPr>
          <w:ilvl w:val="3"/>
          <w:numId w:val="0"/>
        </w:numPr>
        <w:spacing w:before="156" w:beforeLines="50" w:after="156" w:afterLines="50"/>
        <w:contextualSpacing/>
        <w:rPr>
          <w:rFonts w:hint="eastAsia" w:ascii="Times New Roman" w:hAnsi="Times New Roman" w:eastAsia="黑体"/>
          <w:lang w:eastAsia="zh-CN"/>
        </w:rPr>
      </w:pPr>
      <w:r>
        <w:rPr>
          <w:rFonts w:hint="eastAsia" w:ascii="Times New Roman" w:hAnsi="Times New Roman"/>
          <w:lang w:val="en-US" w:eastAsia="zh-CN"/>
        </w:rPr>
        <w:t>3.3.7</w:t>
      </w:r>
      <w:r>
        <w:rPr>
          <w:szCs w:val="21"/>
        </w:rPr>
        <w:t>广东省科学院工业分析检测中心</w:t>
      </w:r>
    </w:p>
    <w:p>
      <w:pPr>
        <w:widowControl/>
        <w:spacing w:line="360" w:lineRule="auto"/>
        <w:ind w:firstLine="560"/>
        <w:jc w:val="left"/>
        <w:rPr>
          <w:szCs w:val="21"/>
        </w:rPr>
      </w:pPr>
      <w:r>
        <w:rPr>
          <w:szCs w:val="21"/>
        </w:rPr>
        <w:t xml:space="preserve">广东省科学院工业分析检测中心始建于1971年，先后隶属于广州有色金属研究院、广东省工业技术研究院，2015年12月经广东省机构编制委员会批准为广东省科学院属下的独立法人事业单位。 </w:t>
      </w:r>
    </w:p>
    <w:p>
      <w:pPr>
        <w:widowControl/>
        <w:spacing w:line="360" w:lineRule="auto"/>
        <w:ind w:firstLine="565"/>
        <w:jc w:val="left"/>
        <w:rPr>
          <w:szCs w:val="21"/>
        </w:rPr>
      </w:pPr>
      <w:r>
        <w:rPr>
          <w:szCs w:val="21"/>
        </w:rPr>
        <w:t xml:space="preserve">中心是国家市场监督管理总局批准的资质认定实验室（CMA）、中国合格评定国家认可委员会批准的检测和校准实验室（CNAS）、运营管理着中国有色工业华南质量检验检测中心、国家矿物及再生金属材料质量检验检测中心、广东省质量监督有色金属产品检验站、广东省质量监督电子产品检验检测中心。本中心是广东省科技成果鉴定检验监督机构、广东省金属材料综合利用检测与评价中心、工业（有色金属及再生有色金属）产品质量控制和技术评价实验室、CQC认证及方圆认证签约实验室。 </w:t>
      </w:r>
    </w:p>
    <w:p>
      <w:pPr>
        <w:widowControl/>
        <w:spacing w:line="360" w:lineRule="auto"/>
        <w:ind w:firstLine="565"/>
        <w:jc w:val="left"/>
        <w:rPr>
          <w:szCs w:val="21"/>
        </w:rPr>
      </w:pPr>
      <w:r>
        <w:rPr>
          <w:szCs w:val="21"/>
        </w:rPr>
        <w:t xml:space="preserve">中心主要从事金属材料、矿物材料、建筑材料、电子电器、新能源电池、化工产品、固体废物、汽车材料、再生资源及金属材料综合利用的检测、咨询、评价及分析测试技术研究和计量校准等服务。同时本中心还开展行业标准制定和技术方法研究及企业科研及标准培训、实验室资质申请及运营咨询、工厂认证检查和产品认证服务。 </w:t>
      </w:r>
    </w:p>
    <w:p>
      <w:pPr>
        <w:spacing w:line="360" w:lineRule="auto"/>
        <w:ind w:firstLine="396" w:firstLineChars="200"/>
        <w:rPr>
          <w:rFonts w:hint="default" w:ascii="Times New Roman" w:hAnsi="Times New Roman" w:eastAsia="宋体" w:cs="Times New Roman"/>
          <w:color w:val="auto"/>
          <w:spacing w:val="-6"/>
          <w:kern w:val="2"/>
          <w:sz w:val="21"/>
          <w:szCs w:val="21"/>
          <w:lang w:val="en-US" w:eastAsia="zh-CN" w:bidi="ar-SA"/>
        </w:rPr>
      </w:pPr>
      <w:r>
        <w:rPr>
          <w:rFonts w:hint="eastAsia" w:ascii="Times New Roman" w:hAnsi="Times New Roman" w:eastAsia="宋体" w:cs="Times New Roman"/>
          <w:color w:val="auto"/>
          <w:spacing w:val="-6"/>
          <w:kern w:val="2"/>
          <w:sz w:val="21"/>
          <w:szCs w:val="21"/>
          <w:lang w:val="en-US" w:eastAsia="zh-CN" w:bidi="ar-SA"/>
        </w:rPr>
        <w:t>该单位积极参与编制组的各项工作会议，对规范的技术指标和校准项目中的部分内容提出了有效建议，</w:t>
      </w:r>
      <w:r>
        <w:rPr>
          <w:rFonts w:hint="eastAsia" w:cs="Times New Roman"/>
          <w:color w:val="auto"/>
          <w:spacing w:val="-6"/>
          <w:kern w:val="2"/>
          <w:sz w:val="21"/>
          <w:szCs w:val="21"/>
          <w:lang w:val="en-US" w:eastAsia="zh-CN" w:bidi="ar-SA"/>
        </w:rPr>
        <w:t>作为验证单位，</w:t>
      </w:r>
      <w:r>
        <w:rPr>
          <w:rFonts w:hint="eastAsia" w:ascii="Times New Roman" w:hAnsi="Times New Roman" w:eastAsia="宋体" w:cs="Times New Roman"/>
          <w:color w:val="auto"/>
          <w:spacing w:val="-6"/>
          <w:kern w:val="2"/>
          <w:sz w:val="21"/>
          <w:szCs w:val="21"/>
          <w:lang w:val="en-US" w:eastAsia="zh-CN" w:bidi="ar-SA"/>
        </w:rPr>
        <w:t>在编制组中发挥了主要作用。</w:t>
      </w:r>
    </w:p>
    <w:p>
      <w:pPr>
        <w:pStyle w:val="60"/>
        <w:numPr>
          <w:ilvl w:val="2"/>
          <w:numId w:val="0"/>
        </w:numPr>
        <w:spacing w:before="156" w:beforeLines="50" w:after="156" w:afterLines="50" w:line="240" w:lineRule="auto"/>
        <w:rPr>
          <w:rFonts w:ascii="Times New Roman" w:eastAsia="宋体"/>
          <w:color w:val="auto"/>
          <w:szCs w:val="21"/>
        </w:rPr>
      </w:pPr>
      <w:r>
        <w:rPr>
          <w:rFonts w:ascii="Times New Roman"/>
          <w:color w:val="auto"/>
        </w:rPr>
        <w:t>3.4</w:t>
      </w:r>
      <w:r>
        <w:rPr>
          <w:rFonts w:ascii="Times New Roman" w:eastAsia="宋体"/>
          <w:color w:val="auto"/>
          <w:szCs w:val="21"/>
        </w:rPr>
        <w:t>各单位分工情况</w:t>
      </w:r>
    </w:p>
    <w:p>
      <w:pPr>
        <w:pStyle w:val="59"/>
        <w:numPr>
          <w:ilvl w:val="3"/>
          <w:numId w:val="0"/>
        </w:numPr>
        <w:spacing w:before="156" w:beforeLines="50" w:after="156" w:afterLines="50"/>
        <w:ind w:left="2"/>
        <w:contextualSpacing/>
        <w:rPr>
          <w:rFonts w:ascii="Times New Roman" w:hAnsi="Times New Roman" w:eastAsia="宋体"/>
          <w:color w:val="auto"/>
          <w:kern w:val="2"/>
          <w:szCs w:val="21"/>
        </w:rPr>
      </w:pPr>
      <w:r>
        <w:rPr>
          <w:rFonts w:ascii="Times New Roman" w:hAnsi="Times New Roman"/>
          <w:color w:val="auto"/>
          <w:kern w:val="2"/>
          <w:szCs w:val="21"/>
        </w:rPr>
        <w:t>3.4.1　</w:t>
      </w:r>
      <w:r>
        <w:rPr>
          <w:rFonts w:ascii="Times New Roman" w:hAnsi="Times New Roman" w:eastAsia="宋体"/>
          <w:szCs w:val="21"/>
        </w:rPr>
        <w:t>编制组依据各单位情况，对整个规范的起草进行了分工。</w:t>
      </w:r>
      <w:r>
        <w:rPr>
          <w:rFonts w:hint="eastAsia" w:ascii="Times New Roman" w:hAnsi="Times New Roman" w:eastAsia="宋体"/>
          <w:szCs w:val="21"/>
        </w:rPr>
        <w:t>西安汉唐分析检测有限公司</w:t>
      </w:r>
      <w:r>
        <w:rPr>
          <w:rFonts w:ascii="Times New Roman" w:hAnsi="Times New Roman" w:eastAsia="宋体"/>
          <w:szCs w:val="21"/>
        </w:rPr>
        <w:t>（主编单位）</w:t>
      </w:r>
      <w:r>
        <w:rPr>
          <w:rFonts w:ascii="Times New Roman" w:hAnsi="Times New Roman" w:eastAsia="宋体"/>
          <w:color w:val="auto"/>
          <w:kern w:val="2"/>
          <w:szCs w:val="21"/>
        </w:rPr>
        <w:t>负责资料的调研、收集，完成分析方法研究工作，撰写标准文稿、编制说明和研究报告。</w:t>
      </w:r>
      <w:r>
        <w:rPr>
          <w:rFonts w:ascii="Times New Roman" w:hAnsi="Times New Roman" w:eastAsia="宋体"/>
          <w:color w:val="auto"/>
          <w:spacing w:val="0"/>
          <w:kern w:val="2"/>
          <w:szCs w:val="21"/>
        </w:rPr>
        <w:t>陕西天成航空材料有限公司</w:t>
      </w:r>
      <w:r>
        <w:rPr>
          <w:rFonts w:ascii="Times New Roman" w:hAnsi="Times New Roman" w:eastAsia="宋体"/>
          <w:szCs w:val="21"/>
        </w:rPr>
        <w:t>、中国石油集团工程材料研究院有限公司、国标（北京）检验认证有限公司、西南铝业（集团）有限责任公司对规范内容提出具体修改意见，</w:t>
      </w:r>
      <w:r>
        <w:rPr>
          <w:rFonts w:ascii="Times New Roman" w:hAnsi="Times New Roman" w:eastAsia="宋体"/>
          <w:color w:val="auto"/>
          <w:kern w:val="2"/>
          <w:szCs w:val="21"/>
        </w:rPr>
        <w:t>提供对规范方法的验证工作及完成相应验证报告，并对标准文稿等提出相应修改意见，分工见表1。</w:t>
      </w:r>
    </w:p>
    <w:p>
      <w:pPr>
        <w:pStyle w:val="58"/>
        <w:ind w:firstLine="0" w:firstLineChars="0"/>
        <w:jc w:val="center"/>
        <w:rPr>
          <w:rFonts w:ascii="Times New Roman" w:hAnsi="Times New Roman"/>
        </w:rPr>
      </w:pPr>
      <w:r>
        <w:rPr>
          <w:rFonts w:ascii="Times New Roman" w:hAnsi="Times New Roman"/>
        </w:rPr>
        <w:t>表1 各单位分工表</w:t>
      </w:r>
    </w:p>
    <w:tbl>
      <w:tblPr>
        <w:tblStyle w:val="42"/>
        <w:tblpPr w:leftFromText="180" w:rightFromText="180" w:vertAnchor="text" w:horzAnchor="page" w:tblpXSpec="center" w:tblpY="24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802"/>
        <w:gridCol w:w="741"/>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Pr>
          <w:p>
            <w:pPr>
              <w:spacing w:line="360" w:lineRule="auto"/>
              <w:jc w:val="center"/>
              <w:rPr>
                <w:szCs w:val="21"/>
              </w:rPr>
            </w:pPr>
            <w:r>
              <w:rPr>
                <w:szCs w:val="21"/>
              </w:rPr>
              <w:t>单位</w:t>
            </w:r>
          </w:p>
        </w:tc>
        <w:tc>
          <w:tcPr>
            <w:tcW w:w="419" w:type="pct"/>
          </w:tcPr>
          <w:p>
            <w:pPr>
              <w:spacing w:line="360" w:lineRule="auto"/>
              <w:jc w:val="center"/>
              <w:rPr>
                <w:szCs w:val="21"/>
              </w:rPr>
            </w:pPr>
            <w:r>
              <w:rPr>
                <w:szCs w:val="21"/>
              </w:rPr>
              <w:t>人员</w:t>
            </w:r>
          </w:p>
        </w:tc>
        <w:tc>
          <w:tcPr>
            <w:tcW w:w="387" w:type="pct"/>
          </w:tcPr>
          <w:p>
            <w:pPr>
              <w:spacing w:line="360" w:lineRule="auto"/>
              <w:jc w:val="center"/>
              <w:rPr>
                <w:szCs w:val="21"/>
              </w:rPr>
            </w:pPr>
            <w:r>
              <w:rPr>
                <w:szCs w:val="21"/>
              </w:rPr>
              <w:t>职称</w:t>
            </w:r>
          </w:p>
        </w:tc>
        <w:tc>
          <w:tcPr>
            <w:tcW w:w="3059" w:type="pct"/>
          </w:tcPr>
          <w:p>
            <w:pPr>
              <w:spacing w:line="360" w:lineRule="auto"/>
              <w:jc w:val="center"/>
              <w:rPr>
                <w:szCs w:val="21"/>
              </w:rPr>
            </w:pPr>
            <w:r>
              <w:rPr>
                <w:szCs w:val="21"/>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Pr>
          <w:p>
            <w:pPr>
              <w:spacing w:line="360" w:lineRule="auto"/>
              <w:jc w:val="center"/>
              <w:rPr>
                <w:szCs w:val="21"/>
              </w:rPr>
            </w:pPr>
            <w:r>
              <w:rPr>
                <w:rFonts w:hint="eastAsia"/>
                <w:szCs w:val="21"/>
              </w:rPr>
              <w:t>西安汉唐分析检测有限公司</w:t>
            </w:r>
          </w:p>
        </w:tc>
        <w:tc>
          <w:tcPr>
            <w:tcW w:w="419" w:type="pct"/>
          </w:tcPr>
          <w:p>
            <w:pPr>
              <w:spacing w:line="360" w:lineRule="auto"/>
              <w:jc w:val="center"/>
              <w:rPr>
                <w:szCs w:val="21"/>
              </w:rPr>
            </w:pPr>
            <w:r>
              <w:rPr>
                <w:rFonts w:hint="eastAsia"/>
                <w:szCs w:val="21"/>
              </w:rPr>
              <w:t>刘泽晨</w:t>
            </w:r>
          </w:p>
        </w:tc>
        <w:tc>
          <w:tcPr>
            <w:tcW w:w="387" w:type="pct"/>
          </w:tcPr>
          <w:p>
            <w:pPr>
              <w:spacing w:line="360" w:lineRule="auto"/>
              <w:jc w:val="center"/>
              <w:rPr>
                <w:szCs w:val="21"/>
              </w:rPr>
            </w:pPr>
            <w:r>
              <w:rPr>
                <w:rFonts w:hint="eastAsia"/>
                <w:szCs w:val="21"/>
              </w:rPr>
              <w:t>工程师</w:t>
            </w:r>
          </w:p>
        </w:tc>
        <w:tc>
          <w:tcPr>
            <w:tcW w:w="3059" w:type="pct"/>
          </w:tcPr>
          <w:p>
            <w:pPr>
              <w:spacing w:line="360" w:lineRule="auto"/>
              <w:jc w:val="center"/>
              <w:rPr>
                <w:szCs w:val="21"/>
              </w:rPr>
            </w:pPr>
            <w:r>
              <w:rPr>
                <w:szCs w:val="21"/>
              </w:rPr>
              <w:t>规范起草编制，试验方案编订，实验数据分析，编制说明的撰写工作，会议纪要整理及规范的完善。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Pr>
          <w:p>
            <w:pPr>
              <w:spacing w:line="360" w:lineRule="auto"/>
              <w:jc w:val="center"/>
              <w:rPr>
                <w:szCs w:val="21"/>
                <w:highlight w:val="yellow"/>
              </w:rPr>
            </w:pPr>
            <w:r>
              <w:rPr>
                <w:rFonts w:hint="eastAsia"/>
                <w:szCs w:val="21"/>
              </w:rPr>
              <w:t>西安汉唐分析检测有限公司</w:t>
            </w:r>
          </w:p>
        </w:tc>
        <w:tc>
          <w:tcPr>
            <w:tcW w:w="419" w:type="pct"/>
          </w:tcPr>
          <w:p>
            <w:pPr>
              <w:spacing w:line="360" w:lineRule="auto"/>
              <w:jc w:val="center"/>
              <w:rPr>
                <w:szCs w:val="21"/>
              </w:rPr>
            </w:pPr>
          </w:p>
        </w:tc>
        <w:tc>
          <w:tcPr>
            <w:tcW w:w="387" w:type="pct"/>
          </w:tcPr>
          <w:p>
            <w:pPr>
              <w:spacing w:line="360" w:lineRule="auto"/>
              <w:jc w:val="center"/>
              <w:rPr>
                <w:szCs w:val="21"/>
              </w:rPr>
            </w:pPr>
          </w:p>
        </w:tc>
        <w:tc>
          <w:tcPr>
            <w:tcW w:w="3059" w:type="pct"/>
          </w:tcPr>
          <w:p>
            <w:pPr>
              <w:spacing w:line="360" w:lineRule="auto"/>
              <w:jc w:val="center"/>
              <w:rPr>
                <w:szCs w:val="21"/>
                <w:highlight w:val="yellow"/>
              </w:rPr>
            </w:pPr>
            <w:r>
              <w:rPr>
                <w:szCs w:val="21"/>
              </w:rPr>
              <w:t>规范实验数据分析及讨论，内容审阅并提出修改意见，会议纪要整理。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Pr>
          <w:p>
            <w:pPr>
              <w:spacing w:line="360" w:lineRule="auto"/>
              <w:jc w:val="center"/>
              <w:rPr>
                <w:szCs w:val="21"/>
              </w:rPr>
            </w:pPr>
            <w:r>
              <w:t>陕西天成航空材料有限公司</w:t>
            </w:r>
          </w:p>
        </w:tc>
        <w:tc>
          <w:tcPr>
            <w:tcW w:w="419" w:type="pct"/>
          </w:tcPr>
          <w:p>
            <w:pPr>
              <w:spacing w:line="360" w:lineRule="auto"/>
              <w:jc w:val="center"/>
              <w:rPr>
                <w:szCs w:val="21"/>
              </w:rPr>
            </w:pPr>
          </w:p>
        </w:tc>
        <w:tc>
          <w:tcPr>
            <w:tcW w:w="387" w:type="pct"/>
          </w:tcPr>
          <w:p>
            <w:pPr>
              <w:spacing w:line="360" w:lineRule="auto"/>
              <w:jc w:val="center"/>
              <w:rPr>
                <w:szCs w:val="21"/>
              </w:rPr>
            </w:pPr>
          </w:p>
        </w:tc>
        <w:tc>
          <w:tcPr>
            <w:tcW w:w="3059" w:type="pct"/>
          </w:tcPr>
          <w:p>
            <w:pPr>
              <w:spacing w:line="360" w:lineRule="auto"/>
              <w:jc w:val="center"/>
              <w:rPr>
                <w:szCs w:val="21"/>
              </w:rPr>
            </w:pPr>
            <w:r>
              <w:rPr>
                <w:szCs w:val="21"/>
              </w:rPr>
              <w:t>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33" w:type="pct"/>
          </w:tcPr>
          <w:p>
            <w:pPr>
              <w:spacing w:line="360" w:lineRule="auto"/>
              <w:jc w:val="center"/>
              <w:rPr>
                <w:szCs w:val="21"/>
              </w:rPr>
            </w:pPr>
            <w:r>
              <w:rPr>
                <w:color w:val="000000" w:themeColor="text1"/>
                <w:szCs w:val="21"/>
                <w14:textFill>
                  <w14:solidFill>
                    <w14:schemeClr w14:val="tx1"/>
                  </w14:solidFill>
                </w14:textFill>
              </w:rPr>
              <w:t>中国石油集团工程材料研究院有限公司</w:t>
            </w:r>
          </w:p>
        </w:tc>
        <w:tc>
          <w:tcPr>
            <w:tcW w:w="419" w:type="pct"/>
          </w:tcPr>
          <w:p>
            <w:pPr>
              <w:spacing w:line="360" w:lineRule="auto"/>
              <w:jc w:val="center"/>
              <w:rPr>
                <w:szCs w:val="21"/>
              </w:rPr>
            </w:pPr>
          </w:p>
        </w:tc>
        <w:tc>
          <w:tcPr>
            <w:tcW w:w="387" w:type="pct"/>
          </w:tcPr>
          <w:p>
            <w:pPr>
              <w:spacing w:line="360" w:lineRule="auto"/>
              <w:jc w:val="center"/>
              <w:rPr>
                <w:szCs w:val="21"/>
              </w:rPr>
            </w:pPr>
          </w:p>
        </w:tc>
        <w:tc>
          <w:tcPr>
            <w:tcW w:w="3059" w:type="pct"/>
          </w:tcPr>
          <w:p>
            <w:pPr>
              <w:spacing w:line="360" w:lineRule="auto"/>
              <w:jc w:val="center"/>
              <w:rPr>
                <w:szCs w:val="21"/>
              </w:rPr>
            </w:pPr>
            <w:r>
              <w:rPr>
                <w:szCs w:val="21"/>
              </w:rPr>
              <w:t>内容审阅并提出修改意见，规范二验工作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Pr>
          <w:p>
            <w:pPr>
              <w:spacing w:line="360" w:lineRule="auto"/>
              <w:jc w:val="center"/>
              <w:rPr>
                <w:szCs w:val="21"/>
              </w:rPr>
            </w:pPr>
            <w:r>
              <w:rPr>
                <w:szCs w:val="21"/>
              </w:rPr>
              <w:t>国标（北京）检验认证有限公司</w:t>
            </w:r>
          </w:p>
        </w:tc>
        <w:tc>
          <w:tcPr>
            <w:tcW w:w="419" w:type="pct"/>
          </w:tcPr>
          <w:p>
            <w:pPr>
              <w:spacing w:line="360" w:lineRule="auto"/>
              <w:jc w:val="center"/>
              <w:rPr>
                <w:szCs w:val="21"/>
              </w:rPr>
            </w:pPr>
          </w:p>
        </w:tc>
        <w:tc>
          <w:tcPr>
            <w:tcW w:w="387" w:type="pct"/>
          </w:tcPr>
          <w:p>
            <w:pPr>
              <w:spacing w:line="360" w:lineRule="auto"/>
              <w:jc w:val="center"/>
              <w:rPr>
                <w:szCs w:val="21"/>
              </w:rPr>
            </w:pPr>
          </w:p>
        </w:tc>
        <w:tc>
          <w:tcPr>
            <w:tcW w:w="3059" w:type="pct"/>
          </w:tcPr>
          <w:p>
            <w:pPr>
              <w:spacing w:line="360" w:lineRule="auto"/>
              <w:jc w:val="center"/>
              <w:rPr>
                <w:szCs w:val="21"/>
              </w:rPr>
            </w:pPr>
            <w:r>
              <w:rPr>
                <w:szCs w:val="21"/>
              </w:rPr>
              <w:t>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Pr>
          <w:p>
            <w:pPr>
              <w:spacing w:line="360" w:lineRule="auto"/>
              <w:jc w:val="center"/>
              <w:rPr>
                <w:szCs w:val="21"/>
              </w:rPr>
            </w:pPr>
            <w:r>
              <w:t>西南铝业（集团）有限责任公司</w:t>
            </w:r>
          </w:p>
        </w:tc>
        <w:tc>
          <w:tcPr>
            <w:tcW w:w="419" w:type="pct"/>
          </w:tcPr>
          <w:p>
            <w:pPr>
              <w:spacing w:line="360" w:lineRule="auto"/>
              <w:jc w:val="center"/>
              <w:rPr>
                <w:szCs w:val="21"/>
                <w:highlight w:val="yellow"/>
              </w:rPr>
            </w:pPr>
          </w:p>
        </w:tc>
        <w:tc>
          <w:tcPr>
            <w:tcW w:w="387" w:type="pct"/>
          </w:tcPr>
          <w:p>
            <w:pPr>
              <w:spacing w:line="360" w:lineRule="auto"/>
              <w:jc w:val="center"/>
              <w:rPr>
                <w:szCs w:val="21"/>
              </w:rPr>
            </w:pPr>
          </w:p>
        </w:tc>
        <w:tc>
          <w:tcPr>
            <w:tcW w:w="3059" w:type="pct"/>
          </w:tcPr>
          <w:p>
            <w:pPr>
              <w:spacing w:line="360" w:lineRule="auto"/>
              <w:jc w:val="center"/>
              <w:rPr>
                <w:szCs w:val="21"/>
              </w:rPr>
            </w:pPr>
            <w:r>
              <w:rPr>
                <w:szCs w:val="21"/>
              </w:rPr>
              <w:t>内容审阅并提出修改意见，规范二验工作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tcPr>
          <w:p>
            <w:pPr>
              <w:spacing w:line="360" w:lineRule="auto"/>
              <w:jc w:val="center"/>
              <w:rPr>
                <w:szCs w:val="21"/>
              </w:rPr>
            </w:pPr>
            <w:r>
              <w:rPr>
                <w:rFonts w:hint="eastAsia"/>
                <w:szCs w:val="21"/>
                <w:lang w:val="en-US" w:eastAsia="zh-CN"/>
              </w:rPr>
              <w:t>西安优耐特容器制造有限公司</w:t>
            </w:r>
          </w:p>
        </w:tc>
        <w:tc>
          <w:tcPr>
            <w:tcW w:w="802" w:type="dxa"/>
          </w:tcPr>
          <w:p>
            <w:pPr>
              <w:spacing w:line="360" w:lineRule="auto"/>
              <w:jc w:val="center"/>
              <w:rPr>
                <w:szCs w:val="21"/>
              </w:rPr>
            </w:pPr>
          </w:p>
        </w:tc>
        <w:tc>
          <w:tcPr>
            <w:tcW w:w="741" w:type="dxa"/>
          </w:tcPr>
          <w:p>
            <w:pPr>
              <w:spacing w:line="360" w:lineRule="auto"/>
              <w:jc w:val="center"/>
              <w:rPr>
                <w:szCs w:val="21"/>
              </w:rPr>
            </w:pPr>
          </w:p>
        </w:tc>
        <w:tc>
          <w:tcPr>
            <w:tcW w:w="3059" w:type="pct"/>
          </w:tcPr>
          <w:p>
            <w:pPr>
              <w:spacing w:line="360" w:lineRule="auto"/>
              <w:jc w:val="center"/>
              <w:rPr>
                <w:szCs w:val="21"/>
              </w:rPr>
            </w:pPr>
            <w:r>
              <w:rPr>
                <w:szCs w:val="21"/>
              </w:rPr>
              <w:t>实验方案讨论，内容审阅并提出修改意见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tcPr>
          <w:p>
            <w:pPr>
              <w:spacing w:line="360" w:lineRule="auto"/>
              <w:jc w:val="center"/>
              <w:rPr>
                <w:rFonts w:hint="eastAsia"/>
                <w:szCs w:val="21"/>
                <w:lang w:val="en-US" w:eastAsia="zh-CN"/>
              </w:rPr>
            </w:pPr>
            <w:r>
              <w:rPr>
                <w:rFonts w:hint="eastAsia"/>
                <w:szCs w:val="21"/>
                <w:lang w:val="en-US" w:eastAsia="zh-CN"/>
              </w:rPr>
              <w:t>青海大学</w:t>
            </w:r>
          </w:p>
        </w:tc>
        <w:tc>
          <w:tcPr>
            <w:tcW w:w="802" w:type="dxa"/>
          </w:tcPr>
          <w:p>
            <w:pPr>
              <w:spacing w:line="360" w:lineRule="auto"/>
              <w:jc w:val="center"/>
              <w:rPr>
                <w:szCs w:val="21"/>
              </w:rPr>
            </w:pPr>
          </w:p>
        </w:tc>
        <w:tc>
          <w:tcPr>
            <w:tcW w:w="741" w:type="dxa"/>
          </w:tcPr>
          <w:p>
            <w:pPr>
              <w:spacing w:line="360" w:lineRule="auto"/>
              <w:jc w:val="center"/>
              <w:rPr>
                <w:szCs w:val="21"/>
              </w:rPr>
            </w:pPr>
          </w:p>
        </w:tc>
        <w:tc>
          <w:tcPr>
            <w:tcW w:w="3059" w:type="pct"/>
          </w:tcPr>
          <w:p>
            <w:pPr>
              <w:spacing w:line="360" w:lineRule="auto"/>
              <w:jc w:val="center"/>
              <w:rPr>
                <w:szCs w:val="21"/>
              </w:rPr>
            </w:pPr>
            <w:r>
              <w:rPr>
                <w:szCs w:val="21"/>
              </w:rPr>
              <w:t>实验数据分析及讨论，内容审阅并提出修改意见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tcPr>
          <w:p>
            <w:pPr>
              <w:spacing w:line="360" w:lineRule="auto"/>
              <w:jc w:val="center"/>
              <w:rPr>
                <w:rFonts w:hint="eastAsia"/>
                <w:szCs w:val="21"/>
                <w:lang w:val="en-US" w:eastAsia="zh-CN"/>
              </w:rPr>
            </w:pPr>
            <w:r>
              <w:rPr>
                <w:rFonts w:hint="eastAsia"/>
                <w:szCs w:val="21"/>
                <w:lang w:val="en-US" w:eastAsia="zh-CN"/>
              </w:rPr>
              <w:t>广东省科学院工业分析检测中心</w:t>
            </w:r>
          </w:p>
        </w:tc>
        <w:tc>
          <w:tcPr>
            <w:tcW w:w="802" w:type="dxa"/>
          </w:tcPr>
          <w:p>
            <w:pPr>
              <w:spacing w:line="360" w:lineRule="auto"/>
              <w:jc w:val="center"/>
              <w:rPr>
                <w:szCs w:val="21"/>
              </w:rPr>
            </w:pPr>
          </w:p>
        </w:tc>
        <w:tc>
          <w:tcPr>
            <w:tcW w:w="741" w:type="dxa"/>
          </w:tcPr>
          <w:p>
            <w:pPr>
              <w:spacing w:line="360" w:lineRule="auto"/>
              <w:jc w:val="center"/>
              <w:rPr>
                <w:szCs w:val="21"/>
              </w:rPr>
            </w:pPr>
          </w:p>
        </w:tc>
        <w:tc>
          <w:tcPr>
            <w:tcW w:w="3059" w:type="pct"/>
          </w:tcPr>
          <w:p>
            <w:pPr>
              <w:spacing w:line="360" w:lineRule="auto"/>
              <w:jc w:val="center"/>
              <w:rPr>
                <w:szCs w:val="21"/>
              </w:rPr>
            </w:pPr>
            <w:r>
              <w:rPr>
                <w:szCs w:val="21"/>
              </w:rPr>
              <w:t>内容审阅并提出修改意见，规范二验工作</w:t>
            </w:r>
          </w:p>
        </w:tc>
      </w:tr>
    </w:tbl>
    <w:p>
      <w:pPr>
        <w:pStyle w:val="58"/>
        <w:ind w:firstLine="420"/>
        <w:rPr>
          <w:rFonts w:ascii="Times New Roman" w:hAnsi="Times New Roman"/>
        </w:rPr>
      </w:pPr>
    </w:p>
    <w:bookmarkEnd w:id="7"/>
    <w:bookmarkEnd w:id="8"/>
    <w:p>
      <w:pPr>
        <w:pStyle w:val="4"/>
        <w:spacing w:before="156" w:after="156"/>
        <w:rPr>
          <w:b w:val="0"/>
          <w:bCs w:val="0"/>
        </w:rPr>
      </w:pPr>
      <w:bookmarkStart w:id="9" w:name="_Toc462884357"/>
      <w:bookmarkStart w:id="10" w:name="_Toc464728913"/>
      <w:r>
        <w:rPr>
          <w:b w:val="0"/>
          <w:bCs w:val="0"/>
        </w:rPr>
        <w:t>4.主要工作过程</w:t>
      </w:r>
      <w:bookmarkEnd w:id="9"/>
      <w:bookmarkEnd w:id="10"/>
    </w:p>
    <w:p>
      <w:pPr>
        <w:spacing w:line="360" w:lineRule="auto"/>
        <w:ind w:firstLine="420" w:firstLineChars="200"/>
        <w:rPr>
          <w:bCs/>
        </w:rPr>
      </w:pPr>
      <w:bookmarkStart w:id="11" w:name="_Hlk134448643"/>
      <w:r>
        <w:rPr>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420" w:firstLineChars="200"/>
        <w:rPr>
          <w:bCs/>
        </w:rPr>
      </w:pPr>
      <w:r>
        <w:rPr>
          <w:bCs/>
        </w:rPr>
        <w:t>1）2023年8月成立了计量规范编制组，明确编制组成员各自的工作内容及任务，对被校对象的使用单位进行了校准需求调研，收集相关资料。</w:t>
      </w:r>
    </w:p>
    <w:p>
      <w:pPr>
        <w:spacing w:line="400" w:lineRule="exact"/>
        <w:ind w:firstLine="420" w:firstLineChars="200"/>
        <w:rPr>
          <w:bCs/>
        </w:rPr>
      </w:pPr>
      <w:r>
        <w:rPr>
          <w:bCs/>
        </w:rPr>
        <w:t>2）2023年9月~2024年3月编制组成员对校准规范中的计量特性及校准方法进行了讨论，确定了校准项目及方法，在2024年3月形成了校准规范讨论稿。</w:t>
      </w:r>
    </w:p>
    <w:p>
      <w:pPr>
        <w:spacing w:line="400" w:lineRule="exact"/>
        <w:ind w:firstLine="420" w:firstLineChars="200"/>
        <w:rPr>
          <w:szCs w:val="21"/>
        </w:rPr>
      </w:pPr>
      <w:r>
        <w:t>3）</w:t>
      </w:r>
      <w:r>
        <w:rPr>
          <w:bCs/>
        </w:rPr>
        <w:t>2024年3月6日~8日</w:t>
      </w:r>
      <w:r>
        <w:t>，在</w:t>
      </w:r>
      <w:r>
        <w:rPr>
          <w:rFonts w:hint="eastAsia"/>
        </w:rPr>
        <w:t>普洱</w:t>
      </w:r>
      <w:r>
        <w:t>市召开有色金属计量技术规范研讨会，</w:t>
      </w:r>
      <w:r>
        <w:rPr>
          <w:szCs w:val="21"/>
        </w:rPr>
        <w:t>会上对《</w:t>
      </w:r>
      <w:r>
        <w:rPr>
          <w:rFonts w:hint="eastAsia"/>
          <w:szCs w:val="21"/>
        </w:rPr>
        <w:t>脉冲电火花检漏仪</w:t>
      </w:r>
      <w:r>
        <w:rPr>
          <w:szCs w:val="21"/>
        </w:rPr>
        <w:t>校准规范-讨论稿》进行了讨论，会上有来自不同单位的计量委员会委员、专家、代表就《</w:t>
      </w:r>
      <w:r>
        <w:rPr>
          <w:rFonts w:hint="eastAsia"/>
          <w:szCs w:val="21"/>
        </w:rPr>
        <w:t>脉冲电火花检漏仪</w:t>
      </w:r>
      <w:r>
        <w:rPr>
          <w:szCs w:val="21"/>
        </w:rPr>
        <w:t>校准规范-讨论稿》中的</w:t>
      </w:r>
      <w:r>
        <w:rPr>
          <w:rFonts w:hint="eastAsia"/>
          <w:szCs w:val="21"/>
        </w:rPr>
        <w:t>计量特性、校准项目和测量标准</w:t>
      </w:r>
      <w:r>
        <w:rPr>
          <w:szCs w:val="21"/>
        </w:rPr>
        <w:t>等提出了修改建议和意见</w:t>
      </w:r>
      <w:r>
        <w:rPr>
          <w:rFonts w:hint="eastAsia"/>
          <w:szCs w:val="21"/>
        </w:rPr>
        <w:t>。</w:t>
      </w:r>
      <w:r>
        <w:rPr>
          <w:szCs w:val="21"/>
        </w:rPr>
        <w:t>同时，</w:t>
      </w:r>
      <w:r>
        <w:t>会上确定了项目的参编单位及一验、二验单位，明确了各项工作时间进度要求，具体内容见表1。修改后形成了</w:t>
      </w:r>
      <w:r>
        <w:rPr>
          <w:szCs w:val="21"/>
        </w:rPr>
        <w:t>《</w:t>
      </w:r>
      <w:r>
        <w:rPr>
          <w:rFonts w:hint="eastAsia"/>
          <w:szCs w:val="21"/>
        </w:rPr>
        <w:t>脉冲电火花检漏仪</w:t>
      </w:r>
      <w:r>
        <w:rPr>
          <w:szCs w:val="21"/>
        </w:rPr>
        <w:t>校准规范-</w:t>
      </w:r>
      <w:r>
        <w:t>征求意见稿</w:t>
      </w:r>
      <w:r>
        <w:rPr>
          <w:szCs w:val="21"/>
        </w:rPr>
        <w:t>》。</w:t>
      </w:r>
    </w:p>
    <w:p>
      <w:pPr>
        <w:spacing w:line="360" w:lineRule="auto"/>
        <w:ind w:firstLine="210" w:firstLineChars="100"/>
        <w:jc w:val="center"/>
      </w:pPr>
      <w:r>
        <w:t>表2 《</w:t>
      </w:r>
      <w:r>
        <w:rPr>
          <w:rFonts w:hint="eastAsia"/>
          <w:szCs w:val="21"/>
        </w:rPr>
        <w:t>脉冲电火花检漏仪</w:t>
      </w:r>
      <w:r>
        <w:rPr>
          <w:szCs w:val="21"/>
        </w:rPr>
        <w:t>校准规范</w:t>
      </w:r>
      <w:r>
        <w:t>-讨论稿》工作安排</w:t>
      </w:r>
    </w:p>
    <w:tbl>
      <w:tblPr>
        <w:tblStyle w:val="41"/>
        <w:tblW w:w="4764" w:type="pct"/>
        <w:jc w:val="center"/>
        <w:tblLayout w:type="fixed"/>
        <w:tblCellMar>
          <w:top w:w="0" w:type="dxa"/>
          <w:left w:w="108" w:type="dxa"/>
          <w:bottom w:w="0" w:type="dxa"/>
          <w:right w:w="108" w:type="dxa"/>
        </w:tblCellMar>
      </w:tblPr>
      <w:tblGrid>
        <w:gridCol w:w="1864"/>
        <w:gridCol w:w="7257"/>
      </w:tblGrid>
      <w:tr>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pPr>
            <w:r>
              <w:t>拟参与编制单位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pPr>
              <w:widowControl/>
              <w:ind w:firstLine="420" w:firstLineChars="200"/>
              <w:jc w:val="left"/>
            </w:pPr>
            <w:r>
              <w:rPr>
                <w:szCs w:val="21"/>
              </w:rPr>
              <w:t>陕西天成航空材料有限公司、中国石油集团工程材料研究院有限公司、国标（北京）检验认证有限公司、西南铝业（集团）有限责任公司</w:t>
            </w:r>
          </w:p>
        </w:tc>
      </w:tr>
      <w:tr>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pPr>
            <w:r>
              <w:t>一验单位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pPr>
            <w:r>
              <w:rPr>
                <w:szCs w:val="21"/>
              </w:rPr>
              <w:t>西南铝业（集团）有限责任公司</w:t>
            </w:r>
          </w:p>
        </w:tc>
      </w:tr>
      <w:tr>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pPr>
            <w:r>
              <w:t>二验单位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pPr>
            <w:r>
              <w:rPr>
                <w:rFonts w:hint="eastAsia"/>
                <w:szCs w:val="21"/>
                <w:lang w:val="en-US" w:eastAsia="zh-CN"/>
              </w:rPr>
              <w:t>广东省科学院工业分析检测中心</w:t>
            </w:r>
          </w:p>
        </w:tc>
      </w:tr>
      <w:tr>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pPr>
            <w:r>
              <w:t>时间节点安排</w:t>
            </w:r>
          </w:p>
        </w:tc>
        <w:tc>
          <w:tcPr>
            <w:tcW w:w="7257"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pPr>
            <w:r>
              <w:t>202</w:t>
            </w:r>
            <w:r>
              <w:rPr>
                <w:rFonts w:hint="eastAsia"/>
              </w:rPr>
              <w:t>4</w:t>
            </w:r>
            <w:r>
              <w:t>年</w:t>
            </w:r>
            <w:r>
              <w:rPr>
                <w:rFonts w:hint="eastAsia"/>
              </w:rPr>
              <w:t>5</w:t>
            </w:r>
            <w:r>
              <w:t>月完成试验验证，2024年</w:t>
            </w:r>
            <w:r>
              <w:rPr>
                <w:rFonts w:hint="eastAsia"/>
              </w:rPr>
              <w:t>9</w:t>
            </w:r>
            <w:r>
              <w:t>月完成规范报批</w:t>
            </w:r>
          </w:p>
        </w:tc>
      </w:tr>
      <w:bookmarkEnd w:id="11"/>
    </w:tbl>
    <w:p>
      <w:pPr>
        <w:spacing w:line="400" w:lineRule="exact"/>
        <w:ind w:firstLine="420" w:firstLineChars="200"/>
        <w:rPr>
          <w:color w:val="auto"/>
        </w:rPr>
      </w:pPr>
      <w:r>
        <w:rPr>
          <w:rFonts w:hint="eastAsia"/>
          <w:color w:val="auto"/>
        </w:rPr>
        <w:t>4）2024年</w:t>
      </w:r>
      <w:r>
        <w:rPr>
          <w:rFonts w:hint="eastAsia"/>
          <w:color w:val="auto"/>
          <w:lang w:val="en-US" w:eastAsia="zh-CN"/>
        </w:rPr>
        <w:t>5</w:t>
      </w:r>
      <w:r>
        <w:rPr>
          <w:rFonts w:hint="eastAsia"/>
          <w:color w:val="auto"/>
        </w:rPr>
        <w:t>月，</w:t>
      </w:r>
      <w:r>
        <w:rPr>
          <w:rFonts w:hint="eastAsia" w:ascii="宋体" w:hAnsi="宋体" w:cs="宋体"/>
          <w:color w:val="auto"/>
        </w:rPr>
        <w:t>向</w:t>
      </w:r>
      <w:r>
        <w:rPr>
          <w:rFonts w:hint="eastAsia"/>
          <w:color w:val="auto"/>
        </w:rPr>
        <w:t>社会广泛征求意见</w:t>
      </w:r>
      <w:r>
        <w:rPr>
          <w:rFonts w:hint="eastAsia"/>
          <w:color w:val="auto"/>
          <w:lang w:eastAsia="zh-CN"/>
        </w:rPr>
        <w:t>，根据收到的意见进行修改，</w:t>
      </w:r>
      <w:r>
        <w:rPr>
          <w:rFonts w:hint="eastAsia"/>
          <w:color w:val="auto"/>
        </w:rPr>
        <w:t>修改后形成</w:t>
      </w:r>
      <w:r>
        <w:rPr>
          <w:rFonts w:hint="eastAsia" w:eastAsiaTheme="minorEastAsia"/>
          <w:color w:val="auto"/>
          <w:szCs w:val="21"/>
        </w:rPr>
        <w:t>《</w:t>
      </w:r>
      <w:r>
        <w:rPr>
          <w:rFonts w:hint="eastAsia"/>
          <w:szCs w:val="21"/>
        </w:rPr>
        <w:t>脉冲电火花检漏仪</w:t>
      </w:r>
      <w:r>
        <w:rPr>
          <w:szCs w:val="21"/>
        </w:rPr>
        <w:t>校准规范</w:t>
      </w:r>
      <w:r>
        <w:rPr>
          <w:rFonts w:hint="eastAsia" w:hAnsi="宋体"/>
          <w:color w:val="auto"/>
          <w:szCs w:val="21"/>
          <w:lang w:val="en-US" w:eastAsia="zh-CN"/>
        </w:rPr>
        <w:t>-</w:t>
      </w:r>
      <w:r>
        <w:rPr>
          <w:rFonts w:hint="eastAsia" w:hAnsi="宋体"/>
          <w:color w:val="auto"/>
          <w:szCs w:val="21"/>
          <w:lang w:eastAsia="zh-CN"/>
        </w:rPr>
        <w:t>预审</w:t>
      </w:r>
      <w:r>
        <w:rPr>
          <w:rFonts w:hint="eastAsia" w:hAnsi="宋体"/>
          <w:color w:val="auto"/>
          <w:szCs w:val="21"/>
        </w:rPr>
        <w:t>稿</w:t>
      </w:r>
      <w:r>
        <w:rPr>
          <w:rFonts w:hint="eastAsia" w:eastAsiaTheme="minorEastAsia"/>
          <w:color w:val="auto"/>
          <w:szCs w:val="21"/>
        </w:rPr>
        <w:t>》</w:t>
      </w:r>
      <w:r>
        <w:rPr>
          <w:rFonts w:hint="eastAsia"/>
          <w:color w:val="auto"/>
        </w:rPr>
        <w:t>。</w:t>
      </w:r>
    </w:p>
    <w:p>
      <w:pPr>
        <w:spacing w:line="360" w:lineRule="auto"/>
        <w:ind w:firstLine="420" w:firstLineChars="200"/>
      </w:pPr>
      <w:r>
        <w:rPr>
          <w:rFonts w:eastAsiaTheme="minorEastAsia"/>
        </w:rPr>
        <w:t>5）202</w:t>
      </w:r>
      <w:r>
        <w:rPr>
          <w:rFonts w:hint="eastAsia" w:eastAsiaTheme="minorEastAsia"/>
        </w:rPr>
        <w:t>4</w:t>
      </w:r>
      <w:r>
        <w:rPr>
          <w:rFonts w:eastAsiaTheme="minorEastAsia"/>
        </w:rPr>
        <w:t>年</w:t>
      </w:r>
      <w:r>
        <w:rPr>
          <w:rFonts w:hint="eastAsia" w:eastAsiaTheme="minorEastAsia"/>
        </w:rPr>
        <w:t>6</w:t>
      </w:r>
      <w:r>
        <w:rPr>
          <w:rFonts w:eastAsiaTheme="minorEastAsia"/>
        </w:rPr>
        <w:t>月在</w:t>
      </w:r>
      <w:r>
        <w:rPr>
          <w:rFonts w:hint="eastAsia" w:eastAsiaTheme="minorEastAsia"/>
        </w:rPr>
        <w:t>嘉峪关</w:t>
      </w:r>
      <w:r>
        <w:rPr>
          <w:rFonts w:eastAsiaTheme="minorEastAsia"/>
        </w:rPr>
        <w:t>举行有色金属计量技术规范研讨会，</w:t>
      </w:r>
      <w:r>
        <w:rPr>
          <w:rFonts w:eastAsiaTheme="minorEastAsia"/>
          <w:szCs w:val="21"/>
        </w:rPr>
        <w:t>会上对《</w:t>
      </w:r>
      <w:r>
        <w:rPr>
          <w:rFonts w:hint="eastAsia"/>
          <w:szCs w:val="21"/>
        </w:rPr>
        <w:t>脉冲电火花检漏仪</w:t>
      </w:r>
      <w:r>
        <w:rPr>
          <w:szCs w:val="21"/>
        </w:rPr>
        <w:t>校准规范</w:t>
      </w:r>
      <w:r>
        <w:rPr>
          <w:rFonts w:eastAsiaTheme="minorEastAsia"/>
          <w:szCs w:val="21"/>
        </w:rPr>
        <w:t>》进行了预审，会上有来自不同单位的计量委员会委员、专家、代表对《</w:t>
      </w:r>
      <w:r>
        <w:rPr>
          <w:rFonts w:hint="eastAsia"/>
          <w:szCs w:val="21"/>
        </w:rPr>
        <w:t>脉冲电火花检漏仪</w:t>
      </w:r>
      <w:r>
        <w:rPr>
          <w:szCs w:val="21"/>
        </w:rPr>
        <w:t>校准规范</w:t>
      </w:r>
      <w:r>
        <w:rPr>
          <w:rFonts w:eastAsiaTheme="minorEastAsia"/>
          <w:szCs w:val="21"/>
        </w:rPr>
        <w:t>》提出了修改建议和意见。</w:t>
      </w:r>
      <w:r>
        <w:t>修改后形成</w:t>
      </w:r>
      <w:r>
        <w:rPr>
          <w:rFonts w:eastAsiaTheme="minorEastAsia"/>
          <w:szCs w:val="21"/>
        </w:rPr>
        <w:t>《</w:t>
      </w:r>
      <w:r>
        <w:rPr>
          <w:rFonts w:hint="eastAsia"/>
          <w:szCs w:val="21"/>
        </w:rPr>
        <w:t>脉冲电火花检漏仪</w:t>
      </w:r>
      <w:r>
        <w:rPr>
          <w:szCs w:val="21"/>
        </w:rPr>
        <w:t>校准规范-</w:t>
      </w:r>
      <w:r>
        <w:rPr>
          <w:rFonts w:hint="eastAsia"/>
          <w:szCs w:val="21"/>
        </w:rPr>
        <w:t>审定</w:t>
      </w:r>
      <w:r>
        <w:rPr>
          <w:szCs w:val="21"/>
        </w:rPr>
        <w:t>稿</w:t>
      </w:r>
      <w:r>
        <w:rPr>
          <w:rFonts w:eastAsiaTheme="minorEastAsia"/>
          <w:szCs w:val="21"/>
        </w:rPr>
        <w:t>》</w:t>
      </w:r>
      <w:r>
        <w:t>。</w:t>
      </w:r>
    </w:p>
    <w:p>
      <w:pPr>
        <w:spacing w:line="360" w:lineRule="auto"/>
        <w:ind w:firstLine="210" w:firstLineChars="100"/>
        <w:jc w:val="center"/>
      </w:pPr>
      <w:r>
        <w:rPr>
          <w:rFonts w:eastAsiaTheme="minorEastAsia"/>
        </w:rPr>
        <w:tab/>
      </w:r>
      <w:r>
        <w:rPr>
          <w:rFonts w:eastAsiaTheme="minorEastAsia"/>
        </w:rPr>
        <w:tab/>
      </w:r>
      <w:r>
        <w:t>表2 有色金属计量技术规范研讨会会议纪要（预审稿）</w:t>
      </w:r>
      <w:bookmarkStart w:id="85" w:name="_GoBack"/>
      <w:bookmarkEnd w:id="85"/>
    </w:p>
    <w:tbl>
      <w:tblPr>
        <w:tblStyle w:val="41"/>
        <w:tblW w:w="4765" w:type="pct"/>
        <w:tblInd w:w="-5" w:type="dxa"/>
        <w:tblLayout w:type="fixed"/>
        <w:tblCellMar>
          <w:top w:w="0" w:type="dxa"/>
          <w:left w:w="108" w:type="dxa"/>
          <w:bottom w:w="0" w:type="dxa"/>
          <w:right w:w="108" w:type="dxa"/>
        </w:tblCellMar>
      </w:tblPr>
      <w:tblGrid>
        <w:gridCol w:w="840"/>
        <w:gridCol w:w="1024"/>
        <w:gridCol w:w="4428"/>
        <w:gridCol w:w="1409"/>
        <w:gridCol w:w="1420"/>
      </w:tblGrid>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序号</w:t>
            </w:r>
          </w:p>
        </w:tc>
        <w:tc>
          <w:tcPr>
            <w:tcW w:w="561"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标准章条编号</w:t>
            </w:r>
          </w:p>
        </w:tc>
        <w:tc>
          <w:tcPr>
            <w:tcW w:w="24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意见内容</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提出单位</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处理意见</w:t>
            </w:r>
          </w:p>
        </w:tc>
      </w:tr>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jc w:val="center"/>
              <w:rPr>
                <w:color w:val="000000"/>
                <w:kern w:val="0"/>
                <w:szCs w:val="21"/>
              </w:rPr>
            </w:pPr>
          </w:p>
        </w:tc>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4章节</w:t>
            </w:r>
          </w:p>
        </w:tc>
        <w:tc>
          <w:tcPr>
            <w:tcW w:w="2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4.1中最大允许误差不能以范围形式表述。</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eastAsia="宋体"/>
                <w:color w:val="000000"/>
                <w:kern w:val="0"/>
                <w:szCs w:val="21"/>
                <w:lang w:eastAsia="zh-CN"/>
              </w:rPr>
            </w:pPr>
            <w:r>
              <w:rPr>
                <w:rFonts w:hint="eastAsia"/>
                <w:szCs w:val="21"/>
                <w:lang w:eastAsia="zh-CN"/>
              </w:rPr>
              <w:t>青海大学</w:t>
            </w:r>
          </w:p>
        </w:tc>
        <w:tc>
          <w:tcPr>
            <w:tcW w:w="77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采纳</w:t>
            </w:r>
          </w:p>
        </w:tc>
      </w:tr>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jc w:val="center"/>
              <w:rPr>
                <w:color w:val="000000"/>
                <w:kern w:val="0"/>
                <w:szCs w:val="21"/>
              </w:rPr>
            </w:pPr>
          </w:p>
        </w:tc>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5章节</w:t>
            </w:r>
          </w:p>
        </w:tc>
        <w:tc>
          <w:tcPr>
            <w:tcW w:w="2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5.2表1中数显卡尺量程改为0~150mm</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szCs w:val="21"/>
              </w:rPr>
              <w:t>国标（北京）检验认证有限公司</w:t>
            </w:r>
          </w:p>
        </w:tc>
        <w:tc>
          <w:tcPr>
            <w:tcW w:w="77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采纳</w:t>
            </w:r>
          </w:p>
        </w:tc>
      </w:tr>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jc w:val="center"/>
              <w:rPr>
                <w:color w:val="000000"/>
                <w:kern w:val="0"/>
                <w:szCs w:val="21"/>
              </w:rPr>
            </w:pPr>
          </w:p>
        </w:tc>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附录A</w:t>
            </w:r>
          </w:p>
        </w:tc>
        <w:tc>
          <w:tcPr>
            <w:tcW w:w="2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校准原始记录参考格式中加入校准前检查内容</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szCs w:val="21"/>
              </w:rPr>
              <w:t>西南铝业（集团）有限责任公司</w:t>
            </w:r>
          </w:p>
        </w:tc>
        <w:tc>
          <w:tcPr>
            <w:tcW w:w="77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采纳</w:t>
            </w:r>
          </w:p>
        </w:tc>
      </w:tr>
      <w:tr>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2"/>
              <w:widowControl/>
              <w:numPr>
                <w:ilvl w:val="0"/>
                <w:numId w:val="11"/>
              </w:numPr>
              <w:ind w:firstLineChars="0"/>
              <w:jc w:val="center"/>
              <w:rPr>
                <w:color w:val="000000"/>
                <w:kern w:val="0"/>
                <w:szCs w:val="21"/>
              </w:rPr>
            </w:pPr>
          </w:p>
        </w:tc>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附录C</w:t>
            </w:r>
          </w:p>
        </w:tc>
        <w:tc>
          <w:tcPr>
            <w:tcW w:w="2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C.3.5扩展不确定度中增加相对扩展不确定度表示方法</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szCs w:val="21"/>
                <w:lang w:val="en-US" w:eastAsia="zh-CN"/>
              </w:rPr>
              <w:t>西安优耐特容器制造有限公司</w:t>
            </w:r>
          </w:p>
        </w:tc>
        <w:tc>
          <w:tcPr>
            <w:tcW w:w="77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color w:val="000000"/>
                <w:kern w:val="0"/>
                <w:szCs w:val="21"/>
              </w:rPr>
              <w:t>采纳</w:t>
            </w:r>
          </w:p>
        </w:tc>
      </w:tr>
    </w:tbl>
    <w:p>
      <w:pPr>
        <w:pStyle w:val="2"/>
        <w:spacing w:before="156" w:after="156"/>
        <w:rPr>
          <w:b w:val="0"/>
          <w:bCs w:val="0"/>
        </w:rPr>
      </w:pPr>
      <w:r>
        <w:rPr>
          <w:b w:val="0"/>
          <w:bCs w:val="0"/>
        </w:rPr>
        <w:t>二、编制原则和依据</w:t>
      </w:r>
    </w:p>
    <w:p>
      <w:pPr>
        <w:pStyle w:val="3"/>
        <w:spacing w:before="156" w:after="156"/>
        <w:rPr>
          <w:rFonts w:ascii="Times New Roman" w:hAnsi="Times New Roman"/>
          <w:b w:val="0"/>
          <w:bCs w:val="0"/>
        </w:rPr>
      </w:pPr>
      <w:bookmarkStart w:id="12" w:name="_Toc464728925"/>
      <w:r>
        <w:rPr>
          <w:rFonts w:ascii="Times New Roman" w:hAnsi="Times New Roman"/>
          <w:b w:val="0"/>
          <w:bCs w:val="0"/>
        </w:rPr>
        <w:t>（一）编制原则</w:t>
      </w:r>
      <w:bookmarkEnd w:id="12"/>
    </w:p>
    <w:p>
      <w:pPr>
        <w:pStyle w:val="58"/>
        <w:spacing w:line="324" w:lineRule="auto"/>
        <w:ind w:firstLineChars="0"/>
        <w:rPr>
          <w:rFonts w:ascii="Times New Roman" w:hAnsi="Times New Roman"/>
          <w:kern w:val="2"/>
          <w:szCs w:val="21"/>
        </w:rPr>
      </w:pPr>
      <w:bookmarkStart w:id="13" w:name="_Toc464728926"/>
      <w:r>
        <w:rPr>
          <w:rFonts w:ascii="Times New Roman" w:hAnsi="Times New Roman"/>
          <w:kern w:val="2"/>
          <w:szCs w:val="21"/>
        </w:rPr>
        <w:t>本规范是以JJF 1071-2010《国家计量校准规范编写规则》、JJF 1001-2011《通用计量术语及定义》和JJF 1059.1-2012《测量不确定度评定与表示》为基础性系列规范进行编写。</w:t>
      </w:r>
    </w:p>
    <w:p>
      <w:pPr>
        <w:spacing w:line="360" w:lineRule="auto"/>
        <w:ind w:firstLine="420" w:firstLineChars="200"/>
        <w:rPr>
          <w:szCs w:val="21"/>
        </w:rPr>
      </w:pPr>
      <w:r>
        <w:rPr>
          <w:szCs w:val="21"/>
        </w:rPr>
        <w:t>本规范引用了GB/T 16927.2-2013  高压电实验技术、GB/T 19285-2014  埋地钢制管道腐蚀防护工程检验、GB4793.1-2007  测量、控制和实验室用电气设备的安全要求 第一部分 通用要求等相关内容。</w:t>
      </w:r>
    </w:p>
    <w:p>
      <w:pPr>
        <w:pStyle w:val="3"/>
        <w:spacing w:before="156" w:after="156"/>
        <w:rPr>
          <w:rFonts w:ascii="Times New Roman" w:hAnsi="Times New Roman"/>
          <w:b w:val="0"/>
          <w:bCs w:val="0"/>
        </w:rPr>
      </w:pPr>
      <w:r>
        <w:rPr>
          <w:rFonts w:ascii="Times New Roman" w:hAnsi="Times New Roman"/>
          <w:b w:val="0"/>
          <w:bCs w:val="0"/>
        </w:rPr>
        <w:t>（二）确定主要内</w:t>
      </w:r>
      <w:bookmarkEnd w:id="13"/>
      <w:r>
        <w:rPr>
          <w:rFonts w:ascii="Times New Roman" w:hAnsi="Times New Roman"/>
          <w:b w:val="0"/>
          <w:bCs w:val="0"/>
        </w:rPr>
        <w:t>容</w:t>
      </w:r>
    </w:p>
    <w:p>
      <w:pPr>
        <w:pStyle w:val="61"/>
        <w:spacing w:before="156" w:after="156"/>
        <w:rPr>
          <w:rFonts w:ascii="Times New Roman"/>
        </w:rPr>
      </w:pPr>
      <w:bookmarkStart w:id="14" w:name="_Toc193860027"/>
      <w:bookmarkStart w:id="15" w:name="_Toc193860208"/>
      <w:bookmarkStart w:id="16" w:name="_Toc193860177"/>
      <w:bookmarkStart w:id="17" w:name="_Toc23837_WPSOffice_Level1"/>
      <w:bookmarkStart w:id="18" w:name="_Toc500258929"/>
      <w:bookmarkStart w:id="19" w:name="_Toc19851_WPSOffice_Level1"/>
      <w:bookmarkStart w:id="20" w:name="_Toc193860212"/>
      <w:bookmarkStart w:id="21" w:name="_Toc193618953"/>
      <w:bookmarkStart w:id="22" w:name="_Toc193619098"/>
      <w:bookmarkStart w:id="23" w:name="_Toc193860181"/>
      <w:bookmarkStart w:id="24" w:name="_Toc500258938"/>
      <w:bookmarkStart w:id="25" w:name="_Toc193860031"/>
      <w:bookmarkStart w:id="26" w:name="_Toc193619056"/>
      <w:bookmarkStart w:id="27" w:name="_Toc464728964"/>
      <w:r>
        <w:rPr>
          <w:rFonts w:ascii="Times New Roman"/>
        </w:rPr>
        <w:t>1 范围</w:t>
      </w:r>
      <w:bookmarkEnd w:id="14"/>
      <w:bookmarkEnd w:id="15"/>
      <w:bookmarkEnd w:id="16"/>
      <w:bookmarkEnd w:id="17"/>
      <w:bookmarkEnd w:id="18"/>
    </w:p>
    <w:p>
      <w:pPr>
        <w:pStyle w:val="58"/>
        <w:spacing w:line="324" w:lineRule="auto"/>
        <w:ind w:firstLineChars="0"/>
        <w:rPr>
          <w:rFonts w:ascii="Times New Roman" w:hAnsi="Times New Roman"/>
          <w:kern w:val="2"/>
          <w:szCs w:val="21"/>
        </w:rPr>
      </w:pPr>
      <w:bookmarkStart w:id="28" w:name="_Toc193860178"/>
      <w:bookmarkStart w:id="29" w:name="_Toc193860209"/>
      <w:bookmarkStart w:id="30" w:name="_Toc193860028"/>
      <w:bookmarkStart w:id="31" w:name="_Toc7848_WPSOffice_Level1"/>
      <w:bookmarkStart w:id="32" w:name="_Toc500258930"/>
      <w:r>
        <w:rPr>
          <w:rFonts w:ascii="Times New Roman" w:hAnsi="Times New Roman"/>
          <w:kern w:val="2"/>
          <w:szCs w:val="21"/>
        </w:rPr>
        <w:t>本规范适用于输</w:t>
      </w:r>
      <w:r>
        <w:rPr>
          <w:rFonts w:ascii="Times New Roman" w:hAnsi="Times New Roman"/>
          <w:kern w:val="44"/>
          <w:szCs w:val="24"/>
        </w:rPr>
        <w:t>出电压为30kV及以下的</w:t>
      </w:r>
      <w:r>
        <w:rPr>
          <w:rFonts w:ascii="Times New Roman" w:hAnsi="Times New Roman"/>
          <w:kern w:val="2"/>
          <w:szCs w:val="21"/>
        </w:rPr>
        <w:t>用于检测导电基材上非导电涂层缺陷的脉冲式电火花检漏仪的校准。</w:t>
      </w:r>
    </w:p>
    <w:p>
      <w:pPr>
        <w:pStyle w:val="61"/>
        <w:spacing w:before="156" w:after="156"/>
        <w:rPr>
          <w:rFonts w:ascii="Times New Roman"/>
        </w:rPr>
      </w:pPr>
      <w:r>
        <w:rPr>
          <w:rFonts w:ascii="Times New Roman"/>
        </w:rPr>
        <w:t>2 引用文</w:t>
      </w:r>
      <w:bookmarkEnd w:id="28"/>
      <w:bookmarkEnd w:id="29"/>
      <w:bookmarkEnd w:id="30"/>
      <w:r>
        <w:rPr>
          <w:rFonts w:ascii="Times New Roman"/>
        </w:rPr>
        <w:t>件</w:t>
      </w:r>
      <w:bookmarkEnd w:id="31"/>
      <w:bookmarkEnd w:id="32"/>
    </w:p>
    <w:p>
      <w:pPr>
        <w:spacing w:line="360" w:lineRule="auto"/>
        <w:ind w:firstLine="420" w:firstLineChars="200"/>
        <w:rPr>
          <w:kern w:val="44"/>
        </w:rPr>
      </w:pPr>
      <w:bookmarkStart w:id="33" w:name="_Toc193619055"/>
      <w:bookmarkStart w:id="34" w:name="_Toc193619097"/>
      <w:bookmarkStart w:id="35" w:name="_Toc193860030"/>
      <w:bookmarkStart w:id="36" w:name="_Toc193618952"/>
      <w:bookmarkStart w:id="37" w:name="_Toc13054_WPSOffice_Level1"/>
      <w:bookmarkStart w:id="38" w:name="_Toc193860211"/>
      <w:bookmarkStart w:id="39" w:name="_Toc500258937"/>
      <w:bookmarkStart w:id="40" w:name="_Toc193860180"/>
      <w:r>
        <w:rPr>
          <w:kern w:val="44"/>
        </w:rPr>
        <w:t>本规范无引用文件。</w:t>
      </w:r>
    </w:p>
    <w:p>
      <w:pPr>
        <w:pStyle w:val="61"/>
        <w:spacing w:before="156" w:after="156"/>
        <w:rPr>
          <w:rFonts w:ascii="Times New Roman"/>
        </w:rPr>
      </w:pPr>
      <w:r>
        <w:rPr>
          <w:rFonts w:ascii="Times New Roman"/>
        </w:rPr>
        <w:t>3 概述</w:t>
      </w:r>
      <w:bookmarkEnd w:id="33"/>
      <w:bookmarkEnd w:id="34"/>
      <w:bookmarkEnd w:id="35"/>
      <w:bookmarkEnd w:id="36"/>
      <w:bookmarkEnd w:id="37"/>
      <w:bookmarkEnd w:id="38"/>
      <w:bookmarkEnd w:id="39"/>
      <w:bookmarkEnd w:id="40"/>
    </w:p>
    <w:p>
      <w:pPr>
        <w:spacing w:line="400" w:lineRule="exact"/>
        <w:ind w:firstLine="420" w:firstLineChars="200"/>
        <w:rPr>
          <w:kern w:val="44"/>
        </w:rPr>
      </w:pPr>
      <w:r>
        <w:rPr>
          <w:kern w:val="44"/>
        </w:rPr>
        <w:t>检漏仪是用来检测金属基材上的非导电涂层是否存在针孔，裂纹及其他损伤和缺陷的仪器。使用时，该仪器一头接地，另一头是高压探头，仪器通过高压探头发出高压电，当探头经过有缺陷的涂层表面时，仪器会自动声光报警。</w:t>
      </w:r>
    </w:p>
    <w:p>
      <w:pPr>
        <w:spacing w:line="400" w:lineRule="exact"/>
        <w:ind w:firstLine="420" w:firstLineChars="200"/>
        <w:rPr>
          <w:kern w:val="44"/>
        </w:rPr>
      </w:pPr>
      <w:r>
        <w:rPr>
          <w:kern w:val="44"/>
        </w:rPr>
        <w:t>检漏仪由稳压电路、脉冲调制电路、升压整流电路和高压发生器等及部分组成，由电源提供工作电压，通过高压发生器产生（0~30）kV连续脉冲高压信号，并在显示器中显示输出脉冲电压值。</w:t>
      </w:r>
    </w:p>
    <w:p>
      <w:pPr>
        <w:pStyle w:val="4"/>
        <w:spacing w:before="156" w:after="156"/>
        <w:rPr>
          <w:b w:val="0"/>
          <w:bCs w:val="0"/>
        </w:rPr>
      </w:pPr>
      <w:r>
        <w:rPr>
          <w:b w:val="0"/>
          <w:bCs w:val="0"/>
        </w:rPr>
        <w:t>4计量特性</w:t>
      </w:r>
      <w:bookmarkEnd w:id="19"/>
      <w:bookmarkEnd w:id="20"/>
      <w:bookmarkEnd w:id="21"/>
      <w:bookmarkEnd w:id="22"/>
      <w:bookmarkEnd w:id="23"/>
      <w:bookmarkEnd w:id="24"/>
      <w:bookmarkEnd w:id="25"/>
      <w:bookmarkEnd w:id="26"/>
      <w:bookmarkStart w:id="41" w:name="_Toc25829_WPSOffice_Level1"/>
    </w:p>
    <w:p>
      <w:pPr>
        <w:spacing w:line="400" w:lineRule="exact"/>
        <w:ind w:firstLine="420" w:firstLineChars="200"/>
      </w:pPr>
      <w:r>
        <w:rPr>
          <w:kern w:val="44"/>
        </w:rPr>
        <w:t>根据实际使用情况，并与</w:t>
      </w:r>
      <w:r>
        <w:rPr>
          <w:rFonts w:hint="eastAsia"/>
          <w:kern w:val="44"/>
        </w:rPr>
        <w:t>济宁市计量测试所、济宁鲁科</w:t>
      </w:r>
      <w:r>
        <w:rPr>
          <w:kern w:val="44"/>
        </w:rPr>
        <w:t>等单位沟通，确定了</w:t>
      </w:r>
      <w:r>
        <w:rPr>
          <w:rFonts w:hint="eastAsia"/>
          <w:kern w:val="44"/>
        </w:rPr>
        <w:t>脉冲</w:t>
      </w:r>
      <w:r>
        <w:rPr>
          <w:rFonts w:hint="eastAsia"/>
        </w:rPr>
        <w:t>电火花检漏仪</w:t>
      </w:r>
      <w:r>
        <w:t>的计量特性有</w:t>
      </w:r>
      <w:r>
        <w:rPr>
          <w:rFonts w:hint="eastAsia"/>
        </w:rPr>
        <w:t>三</w:t>
      </w:r>
      <w:r>
        <w:t>个：</w:t>
      </w:r>
    </w:p>
    <w:p>
      <w:pPr>
        <w:pStyle w:val="4"/>
        <w:spacing w:before="156" w:after="156"/>
        <w:rPr>
          <w:b w:val="0"/>
          <w:bCs w:val="0"/>
        </w:rPr>
      </w:pPr>
      <w:bookmarkStart w:id="42" w:name="_Toc1921"/>
      <w:bookmarkStart w:id="43" w:name="_Toc166837713"/>
      <w:r>
        <w:rPr>
          <w:b w:val="0"/>
          <w:bCs w:val="0"/>
        </w:rPr>
        <w:t>4.</w:t>
      </w:r>
      <w:bookmarkEnd w:id="42"/>
      <w:r>
        <w:rPr>
          <w:b w:val="0"/>
          <w:bCs w:val="0"/>
        </w:rPr>
        <w:t>1脉冲电压输出示值误差</w:t>
      </w:r>
      <w:bookmarkEnd w:id="43"/>
    </w:p>
    <w:p>
      <w:pPr>
        <w:spacing w:line="400" w:lineRule="exact"/>
        <w:ind w:firstLine="420" w:firstLineChars="200"/>
        <w:rPr>
          <w:kern w:val="44"/>
        </w:rPr>
      </w:pPr>
      <w:r>
        <w:rPr>
          <w:kern w:val="44"/>
        </w:rPr>
        <w:t>数字式检漏仪示值误差用相对误差表示，指针式检漏仪示值误差用引用误差表示。应符合仪器说明书中的要求。</w:t>
      </w:r>
    </w:p>
    <w:p>
      <w:pPr>
        <w:pStyle w:val="4"/>
        <w:spacing w:before="156" w:after="156"/>
        <w:rPr>
          <w:b w:val="0"/>
          <w:bCs w:val="0"/>
        </w:rPr>
      </w:pPr>
      <w:bookmarkStart w:id="44" w:name="_Toc30441"/>
      <w:bookmarkStart w:id="45" w:name="_Toc166837714"/>
      <w:r>
        <w:rPr>
          <w:b w:val="0"/>
          <w:bCs w:val="0"/>
        </w:rPr>
        <w:t>4.</w:t>
      </w:r>
      <w:bookmarkEnd w:id="44"/>
      <w:r>
        <w:rPr>
          <w:b w:val="0"/>
          <w:bCs w:val="0"/>
        </w:rPr>
        <w:t>2脉冲电压输出稳定度</w:t>
      </w:r>
      <w:bookmarkEnd w:id="45"/>
    </w:p>
    <w:p>
      <w:pPr>
        <w:spacing w:line="400" w:lineRule="exact"/>
        <w:ind w:firstLine="420" w:firstLineChars="200"/>
        <w:rPr>
          <w:kern w:val="44"/>
        </w:rPr>
      </w:pPr>
      <w:r>
        <w:rPr>
          <w:kern w:val="44"/>
        </w:rPr>
        <w:t>在1min内，脉冲电压输出值最大变化量与设定值的百分比不大于该测量点最大允许误差的1/5。</w:t>
      </w:r>
    </w:p>
    <w:p>
      <w:pPr>
        <w:pStyle w:val="4"/>
        <w:spacing w:before="156" w:after="156"/>
        <w:rPr>
          <w:b w:val="0"/>
          <w:bCs w:val="0"/>
        </w:rPr>
      </w:pPr>
      <w:bookmarkStart w:id="46" w:name="_Toc166837715"/>
      <w:r>
        <w:rPr>
          <w:b w:val="0"/>
          <w:bCs w:val="0"/>
        </w:rPr>
        <w:t>4.3放电距离</w:t>
      </w:r>
      <w:bookmarkEnd w:id="46"/>
    </w:p>
    <w:p>
      <w:pPr>
        <w:spacing w:line="400" w:lineRule="exact"/>
        <w:ind w:firstLine="420" w:firstLineChars="200"/>
        <w:rPr>
          <w:kern w:val="44"/>
        </w:rPr>
      </w:pPr>
      <w:r>
        <w:rPr>
          <w:kern w:val="44"/>
        </w:rPr>
        <w:t>检漏仪高压输出端与接地线裸露点间的电火花产生距离。输出电压取20%和100%量程上限分别进行测试。</w:t>
      </w:r>
    </w:p>
    <w:p>
      <w:pPr>
        <w:pStyle w:val="4"/>
        <w:spacing w:before="156" w:after="156"/>
        <w:rPr>
          <w:b w:val="0"/>
          <w:bCs w:val="0"/>
        </w:rPr>
      </w:pPr>
      <w:r>
        <w:rPr>
          <w:b w:val="0"/>
          <w:bCs w:val="0"/>
        </w:rPr>
        <w:t>5 校准条件</w:t>
      </w:r>
      <w:bookmarkEnd w:id="41"/>
      <w:bookmarkStart w:id="47" w:name="_Toc500258942"/>
      <w:bookmarkStart w:id="48" w:name="_Toc193860033"/>
      <w:bookmarkStart w:id="49" w:name="_Toc193860214"/>
      <w:bookmarkStart w:id="50" w:name="_Toc193860183"/>
    </w:p>
    <w:p>
      <w:pPr>
        <w:spacing w:line="400" w:lineRule="exact"/>
        <w:rPr>
          <w:kern w:val="44"/>
        </w:rPr>
      </w:pPr>
      <w:bookmarkStart w:id="51" w:name="_Toc533963948"/>
      <w:bookmarkStart w:id="52" w:name="_Toc161838411"/>
      <w:r>
        <w:rPr>
          <w:kern w:val="44"/>
        </w:rPr>
        <w:t>5.1 环境条件</w:t>
      </w:r>
      <w:bookmarkEnd w:id="51"/>
      <w:bookmarkEnd w:id="52"/>
    </w:p>
    <w:p>
      <w:pPr>
        <w:spacing w:line="400" w:lineRule="exact"/>
        <w:ind w:firstLine="420" w:firstLineChars="200"/>
        <w:rPr>
          <w:kern w:val="44"/>
        </w:rPr>
      </w:pPr>
      <w:r>
        <w:rPr>
          <w:kern w:val="44"/>
        </w:rPr>
        <w:t>校准前，实验室环境条件根据测距仪的说明书，可确定其温度、湿度、温度波动度应满足要求，</w:t>
      </w:r>
      <w:r>
        <w:rPr>
          <w:rFonts w:hint="eastAsia"/>
          <w:kern w:val="44"/>
        </w:rPr>
        <w:t>为</w:t>
      </w:r>
      <w:r>
        <w:rPr>
          <w:kern w:val="44"/>
        </w:rPr>
        <w:t>环境温度：20℃±5℃；相对湿度：≤80%；电源电压：220V±22V；电源频率：50Hz±0.5Hz；应配备保障校准人员安全的绝缘胶垫、绝缘手套和良好的接地。</w:t>
      </w:r>
    </w:p>
    <w:p>
      <w:pPr>
        <w:spacing w:line="400" w:lineRule="exact"/>
        <w:rPr>
          <w:kern w:val="44"/>
        </w:rPr>
      </w:pPr>
      <w:bookmarkStart w:id="53" w:name="_Toc533963949"/>
      <w:bookmarkStart w:id="54" w:name="_Toc161838412"/>
      <w:r>
        <w:rPr>
          <w:kern w:val="44"/>
        </w:rPr>
        <w:t>5.2</w:t>
      </w:r>
      <w:bookmarkEnd w:id="53"/>
      <w:r>
        <w:rPr>
          <w:kern w:val="44"/>
        </w:rPr>
        <w:t xml:space="preserve"> 测量标准</w:t>
      </w:r>
      <w:bookmarkEnd w:id="54"/>
    </w:p>
    <w:p>
      <w:pPr>
        <w:spacing w:line="324" w:lineRule="auto"/>
        <w:ind w:firstLine="420" w:firstLineChars="200"/>
        <w:outlineLvl w:val="1"/>
        <w:rPr>
          <w:kern w:val="0"/>
        </w:rPr>
      </w:pPr>
      <w:r>
        <w:rPr>
          <w:bCs/>
          <w:color w:val="000000" w:themeColor="text1"/>
          <w14:textFill>
            <w14:solidFill>
              <w14:schemeClr w14:val="tx1"/>
            </w14:solidFill>
          </w14:textFill>
        </w:rPr>
        <w:t>测量标准的技术要求应符合正文中表1的规定</w:t>
      </w:r>
      <w:r>
        <w:rPr>
          <w:kern w:val="0"/>
        </w:rPr>
        <w:t>。</w:t>
      </w:r>
    </w:p>
    <w:p>
      <w:pPr>
        <w:spacing w:line="324" w:lineRule="auto"/>
        <w:ind w:firstLine="420" w:firstLineChars="200"/>
        <w:outlineLvl w:val="1"/>
        <w:rPr>
          <w:szCs w:val="21"/>
        </w:rPr>
      </w:pPr>
      <w:r>
        <w:rPr>
          <w:szCs w:val="21"/>
        </w:rPr>
        <w:t>测量标准及其他设备包括</w:t>
      </w:r>
      <w:r>
        <w:rPr>
          <w:rFonts w:hint="eastAsia"/>
          <w:szCs w:val="21"/>
        </w:rPr>
        <w:t>数字存储示波器、电压探头、数显卡尺、耐电压测试仪、绝缘电阻表。</w:t>
      </w:r>
    </w:p>
    <w:bookmarkEnd w:id="47"/>
    <w:bookmarkEnd w:id="48"/>
    <w:bookmarkEnd w:id="49"/>
    <w:bookmarkEnd w:id="50"/>
    <w:p>
      <w:pPr>
        <w:pStyle w:val="4"/>
        <w:spacing w:before="156" w:after="156"/>
        <w:rPr>
          <w:b w:val="0"/>
          <w:bCs w:val="0"/>
        </w:rPr>
      </w:pPr>
      <w:bookmarkStart w:id="55" w:name="_Toc193618955"/>
      <w:bookmarkStart w:id="56" w:name="_Toc2741_WPSOffice_Level1"/>
      <w:bookmarkStart w:id="57" w:name="_Toc193619058"/>
      <w:bookmarkStart w:id="58" w:name="_Toc193860185"/>
      <w:bookmarkStart w:id="59" w:name="_Toc193860035"/>
      <w:bookmarkStart w:id="60" w:name="_Toc193860216"/>
      <w:bookmarkStart w:id="61" w:name="_Toc193619100"/>
      <w:bookmarkStart w:id="62" w:name="_Toc500258944"/>
      <w:r>
        <w:rPr>
          <w:b w:val="0"/>
          <w:bCs w:val="0"/>
        </w:rPr>
        <w:t>6 校准项目和校准方法</w:t>
      </w:r>
      <w:bookmarkEnd w:id="55"/>
      <w:bookmarkEnd w:id="56"/>
      <w:bookmarkEnd w:id="57"/>
      <w:bookmarkEnd w:id="58"/>
      <w:bookmarkEnd w:id="59"/>
      <w:bookmarkEnd w:id="60"/>
      <w:bookmarkEnd w:id="61"/>
      <w:bookmarkEnd w:id="62"/>
    </w:p>
    <w:p>
      <w:pPr>
        <w:spacing w:line="360" w:lineRule="auto"/>
        <w:ind w:firstLine="420" w:firstLineChars="200"/>
        <w:rPr>
          <w:rFonts w:eastAsiaTheme="minorEastAsia"/>
          <w:kern w:val="0"/>
          <w:szCs w:val="21"/>
        </w:rPr>
      </w:pPr>
      <w:bookmarkStart w:id="63" w:name="_Toc22718_WPSOffice_Level2"/>
      <w:bookmarkStart w:id="64" w:name="_Toc500258945"/>
      <w:r>
        <w:rPr>
          <w:kern w:val="0"/>
          <w:szCs w:val="21"/>
        </w:rPr>
        <w:t>校准项目包含</w:t>
      </w:r>
      <w:r>
        <w:rPr>
          <w:rFonts w:hint="eastAsia"/>
          <w:kern w:val="0"/>
          <w:szCs w:val="21"/>
        </w:rPr>
        <w:t>校准前检查、脉冲电压输出示值误差、脉冲电压输出稳定度、放电距离</w:t>
      </w:r>
      <w:r>
        <w:rPr>
          <w:rFonts w:eastAsiaTheme="minorEastAsia"/>
          <w:kern w:val="0"/>
          <w:szCs w:val="21"/>
        </w:rPr>
        <w:t>以及具体的校准方法。</w:t>
      </w:r>
    </w:p>
    <w:p>
      <w:pPr>
        <w:spacing w:line="360" w:lineRule="auto"/>
        <w:ind w:firstLine="420" w:firstLineChars="200"/>
        <w:rPr>
          <w:rFonts w:eastAsiaTheme="minorEastAsia"/>
          <w:kern w:val="0"/>
          <w:szCs w:val="21"/>
        </w:rPr>
      </w:pPr>
      <w:r>
        <w:rPr>
          <w:rFonts w:hint="eastAsia"/>
        </w:rPr>
        <w:t>脉冲电压输出</w:t>
      </w:r>
      <w:r>
        <w:t>示值误差</w:t>
      </w:r>
      <w:r>
        <w:rPr>
          <w:rFonts w:hint="eastAsia" w:eastAsiaTheme="minorEastAsia"/>
          <w:kern w:val="0"/>
          <w:szCs w:val="21"/>
        </w:rPr>
        <w:t>：对指针式检漏仪和数字式检漏仪进行了区分。对于指针式检漏仪，对所有带数字分度值的点进行校准。对于数字式检漏仪，在其量程的20%到量程上限内均匀选取不少于5个点进行校准。多量程的检漏仪，应选用一个常用量程作为基本量程，校准点选取同上；其他量程为非基本量程，选取其两端和中间值作为校准点（也可根据客户要求选取）。接线方式如正文中图1所示。数字式检漏仪脉冲电压输出示值误差按照正文中公式（1）计算；指针式检漏仪脉冲电压 示值误差按照正文中公式（2）计算。</w:t>
      </w:r>
    </w:p>
    <w:p>
      <w:pPr>
        <w:spacing w:line="360" w:lineRule="auto"/>
        <w:ind w:firstLine="420" w:firstLineChars="200"/>
        <w:rPr>
          <w:rFonts w:eastAsiaTheme="minorEastAsia"/>
          <w:kern w:val="0"/>
          <w:szCs w:val="21"/>
        </w:rPr>
      </w:pPr>
      <w:r>
        <w:rPr>
          <w:rFonts w:hint="eastAsia" w:eastAsiaTheme="minorEastAsia"/>
          <w:kern w:val="0"/>
          <w:szCs w:val="21"/>
        </w:rPr>
        <w:t>脉冲电压输出稳定度：</w:t>
      </w:r>
      <w:r>
        <w:rPr>
          <w:rFonts w:eastAsiaTheme="minorEastAsia"/>
          <w:kern w:val="0"/>
          <w:szCs w:val="21"/>
        </w:rPr>
        <w:t>选取检漏仪基本量程上限的50%点（也可根据客户要求选取）进行试验</w:t>
      </w:r>
      <w:r>
        <w:rPr>
          <w:rFonts w:hint="eastAsia" w:eastAsiaTheme="minorEastAsia"/>
          <w:kern w:val="0"/>
          <w:szCs w:val="21"/>
        </w:rPr>
        <w:t>，接线方式如正文中图1所示。</w:t>
      </w:r>
      <w:r>
        <w:rPr>
          <w:rFonts w:eastAsiaTheme="minorEastAsia"/>
          <w:kern w:val="0"/>
          <w:szCs w:val="21"/>
        </w:rPr>
        <w:t>在1min内，读取并记录相同时间间隔的10个峰值电压值，选取此组数据中的最大值和最小值，按照</w:t>
      </w:r>
      <w:r>
        <w:rPr>
          <w:rFonts w:hint="eastAsia" w:eastAsiaTheme="minorEastAsia"/>
          <w:kern w:val="0"/>
          <w:szCs w:val="21"/>
        </w:rPr>
        <w:t>正文中</w:t>
      </w:r>
      <w:r>
        <w:rPr>
          <w:rFonts w:eastAsiaTheme="minorEastAsia"/>
          <w:kern w:val="0"/>
          <w:szCs w:val="21"/>
        </w:rPr>
        <w:t>公式（3）计算稳定度。</w:t>
      </w:r>
    </w:p>
    <w:p>
      <w:pPr>
        <w:spacing w:line="360" w:lineRule="auto"/>
        <w:ind w:firstLine="420" w:firstLineChars="200"/>
        <w:rPr>
          <w:rFonts w:eastAsiaTheme="minorEastAsia"/>
          <w:kern w:val="0"/>
          <w:szCs w:val="21"/>
        </w:rPr>
      </w:pPr>
      <w:r>
        <w:rPr>
          <w:rFonts w:hint="eastAsia" w:eastAsiaTheme="minorEastAsia"/>
          <w:kern w:val="0"/>
          <w:szCs w:val="21"/>
        </w:rPr>
        <w:t>放电距离：</w:t>
      </w:r>
      <w:r>
        <w:rPr>
          <w:rFonts w:eastAsiaTheme="minorEastAsia"/>
          <w:kern w:val="0"/>
          <w:szCs w:val="21"/>
        </w:rPr>
        <w:t>将检漏仪接地线与检漏仪金属连接杆连接，确保与高压输出端在同一个水平直线上，使用数显卡尺标记出特定距离（一般为1mm和10mm）的位置。输出电压取20%和100%量程上限分别进行测试</w:t>
      </w:r>
      <w:r>
        <w:rPr>
          <w:rFonts w:hint="eastAsia" w:eastAsiaTheme="minorEastAsia"/>
          <w:kern w:val="0"/>
          <w:szCs w:val="21"/>
        </w:rPr>
        <w:t>，</w:t>
      </w:r>
      <w:r>
        <w:rPr>
          <w:rFonts w:eastAsiaTheme="minorEastAsia"/>
          <w:kern w:val="0"/>
          <w:szCs w:val="21"/>
        </w:rPr>
        <w:t>将金属连接杆缓慢向标记处移动，观察移动到标记点处或移动过程中是否出现放电及报警现象</w:t>
      </w:r>
      <w:r>
        <w:rPr>
          <w:rFonts w:hint="eastAsia" w:eastAsiaTheme="minorEastAsia"/>
          <w:kern w:val="0"/>
          <w:szCs w:val="21"/>
        </w:rPr>
        <w:t>。</w:t>
      </w:r>
    </w:p>
    <w:bookmarkEnd w:id="63"/>
    <w:bookmarkEnd w:id="64"/>
    <w:p>
      <w:pPr>
        <w:pStyle w:val="4"/>
        <w:spacing w:before="156" w:after="156"/>
        <w:rPr>
          <w:b w:val="0"/>
          <w:bCs w:val="0"/>
        </w:rPr>
      </w:pPr>
      <w:bookmarkStart w:id="65" w:name="_Toc193619059"/>
      <w:bookmarkStart w:id="66" w:name="_Toc193860219"/>
      <w:bookmarkStart w:id="67" w:name="_Toc193860188"/>
      <w:bookmarkStart w:id="68" w:name="_Toc193860038"/>
      <w:bookmarkStart w:id="69" w:name="_Toc193618956"/>
      <w:bookmarkStart w:id="70" w:name="_Toc193619101"/>
      <w:bookmarkStart w:id="71" w:name="_Toc25466_WPSOffice_Level1"/>
      <w:bookmarkStart w:id="72" w:name="_Toc500258947"/>
      <w:r>
        <w:rPr>
          <w:b w:val="0"/>
          <w:bCs w:val="0"/>
        </w:rPr>
        <w:t>7 校准结果</w:t>
      </w:r>
      <w:bookmarkEnd w:id="65"/>
      <w:bookmarkEnd w:id="66"/>
      <w:bookmarkEnd w:id="67"/>
      <w:bookmarkEnd w:id="68"/>
      <w:bookmarkEnd w:id="69"/>
      <w:bookmarkEnd w:id="70"/>
      <w:r>
        <w:rPr>
          <w:b w:val="0"/>
          <w:bCs w:val="0"/>
        </w:rPr>
        <w:t>表达</w:t>
      </w:r>
      <w:bookmarkEnd w:id="71"/>
      <w:bookmarkEnd w:id="72"/>
    </w:p>
    <w:p>
      <w:pPr>
        <w:pStyle w:val="58"/>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根据实验室环境要求、校准项目校准结果、测量不确定度评定结果等，按照JJF 1071-2010推荐的校准报告格式，出具校准证书。</w:t>
      </w:r>
    </w:p>
    <w:p>
      <w:pPr>
        <w:pStyle w:val="4"/>
        <w:spacing w:before="156" w:after="156"/>
        <w:rPr>
          <w:b w:val="0"/>
          <w:bCs w:val="0"/>
        </w:rPr>
      </w:pPr>
      <w:bookmarkStart w:id="73" w:name="_Toc193860189"/>
      <w:bookmarkStart w:id="74" w:name="_Toc5529"/>
      <w:bookmarkStart w:id="75" w:name="_Toc193860040"/>
      <w:bookmarkStart w:id="76" w:name="_Toc14803_WPSOffice_Level1"/>
      <w:bookmarkStart w:id="77" w:name="_Toc193860220"/>
      <w:bookmarkStart w:id="78" w:name="_Toc193860041"/>
      <w:r>
        <w:rPr>
          <w:b w:val="0"/>
          <w:bCs w:val="0"/>
        </w:rPr>
        <w:t>8 复校</w:t>
      </w:r>
      <w:bookmarkEnd w:id="73"/>
      <w:bookmarkEnd w:id="74"/>
      <w:bookmarkEnd w:id="75"/>
      <w:bookmarkEnd w:id="76"/>
      <w:bookmarkEnd w:id="77"/>
      <w:r>
        <w:rPr>
          <w:b w:val="0"/>
          <w:bCs w:val="0"/>
        </w:rPr>
        <w:t>时间间隔</w:t>
      </w:r>
    </w:p>
    <w:bookmarkEnd w:id="78"/>
    <w:p>
      <w:pPr>
        <w:pStyle w:val="58"/>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复校时间间隔的长短取决于其使用情况，使用单位可根据实际使用情况自主决定复校的时间，建议复校时间间隔为1年。</w:t>
      </w:r>
    </w:p>
    <w:p>
      <w:pPr>
        <w:pStyle w:val="4"/>
        <w:spacing w:before="156" w:after="156"/>
        <w:rPr>
          <w:b w:val="0"/>
          <w:bCs w:val="0"/>
        </w:rPr>
      </w:pPr>
      <w:r>
        <w:rPr>
          <w:b w:val="0"/>
          <w:bCs w:val="0"/>
        </w:rPr>
        <w:t>9附录</w:t>
      </w:r>
    </w:p>
    <w:p>
      <w:pPr>
        <w:pStyle w:val="58"/>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附录主要包含校准原始记录参考格式、校准证书内页参考格式、</w:t>
      </w:r>
      <w:r>
        <w:rPr>
          <w:rFonts w:hint="eastAsia" w:ascii="Times New Roman" w:hAnsi="Times New Roman" w:eastAsiaTheme="minorEastAsia"/>
          <w:kern w:val="2"/>
          <w:szCs w:val="21"/>
        </w:rPr>
        <w:t>检漏仪脉冲电压输出示值</w:t>
      </w:r>
      <w:r>
        <w:rPr>
          <w:rFonts w:ascii="Times New Roman" w:hAnsi="Times New Roman" w:eastAsiaTheme="minorEastAsia"/>
          <w:kern w:val="2"/>
          <w:szCs w:val="21"/>
        </w:rPr>
        <w:t>误差测量不确定度评定示例。</w:t>
      </w:r>
    </w:p>
    <w:p>
      <w:pPr>
        <w:adjustRightInd w:val="0"/>
        <w:snapToGrid w:val="0"/>
        <w:spacing w:line="360" w:lineRule="auto"/>
        <w:ind w:firstLine="420" w:firstLineChars="200"/>
      </w:pPr>
      <w:r>
        <w:t>本规范设置了3个附录，便于校准时参考和规范化。</w:t>
      </w:r>
    </w:p>
    <w:p>
      <w:pPr>
        <w:adjustRightInd w:val="0"/>
        <w:snapToGrid w:val="0"/>
        <w:spacing w:line="360" w:lineRule="auto"/>
        <w:ind w:firstLine="420" w:firstLineChars="200"/>
      </w:pPr>
      <w:r>
        <w:t xml:space="preserve">附录A </w:t>
      </w:r>
      <w:r>
        <w:rPr>
          <w:rFonts w:hint="eastAsia"/>
        </w:rPr>
        <w:t>脉冲电火花检漏仪</w:t>
      </w:r>
      <w:r>
        <w:t>校准记录参考格式</w:t>
      </w:r>
    </w:p>
    <w:p>
      <w:pPr>
        <w:adjustRightInd w:val="0"/>
        <w:snapToGrid w:val="0"/>
        <w:spacing w:line="360" w:lineRule="auto"/>
        <w:ind w:firstLine="420" w:firstLineChars="200"/>
      </w:pPr>
      <w:r>
        <w:t xml:space="preserve">附录B </w:t>
      </w:r>
      <w:r>
        <w:rPr>
          <w:rFonts w:hint="eastAsia"/>
        </w:rPr>
        <w:t>脉冲电火花检漏仪</w:t>
      </w:r>
      <w:r>
        <w:t>校准证书内页参考格式</w:t>
      </w:r>
    </w:p>
    <w:p>
      <w:pPr>
        <w:adjustRightInd w:val="0"/>
        <w:snapToGrid w:val="0"/>
        <w:spacing w:line="360" w:lineRule="auto"/>
        <w:ind w:firstLine="420" w:firstLineChars="200"/>
      </w:pPr>
      <w:r>
        <w:t xml:space="preserve">附录C </w:t>
      </w:r>
      <w:r>
        <w:rPr>
          <w:rFonts w:hint="eastAsia"/>
        </w:rPr>
        <w:t>检漏仪脉冲电压输出示值误差测量不确定度评定示例</w:t>
      </w:r>
    </w:p>
    <w:bookmarkEnd w:id="1"/>
    <w:bookmarkEnd w:id="27"/>
    <w:p>
      <w:pPr>
        <w:pStyle w:val="2"/>
        <w:spacing w:before="156" w:after="156"/>
        <w:rPr>
          <w:b w:val="0"/>
          <w:bCs w:val="0"/>
        </w:rPr>
      </w:pPr>
      <w:bookmarkStart w:id="79" w:name="_Toc464728965"/>
      <w:r>
        <w:rPr>
          <w:b w:val="0"/>
          <w:bCs w:val="0"/>
        </w:rPr>
        <w:t>三、实践检测情况</w:t>
      </w:r>
    </w:p>
    <w:p>
      <w:pPr>
        <w:adjustRightInd w:val="0"/>
        <w:spacing w:line="360" w:lineRule="auto"/>
        <w:ind w:firstLine="420" w:firstLineChars="200"/>
      </w:pPr>
      <w:r>
        <w:rPr>
          <w:szCs w:val="21"/>
        </w:rPr>
        <w:t>西南铝业（集团）有限责任公司</w:t>
      </w:r>
      <w:r>
        <w:rPr>
          <w:rFonts w:hint="eastAsia"/>
          <w:szCs w:val="21"/>
        </w:rPr>
        <w:t>、</w:t>
      </w:r>
      <w:r>
        <w:rPr>
          <w:rFonts w:hint="eastAsia"/>
          <w:szCs w:val="21"/>
          <w:lang w:val="en-US" w:eastAsia="zh-CN"/>
        </w:rPr>
        <w:t>广东省科学院工业分析检测中心</w:t>
      </w:r>
      <w:r>
        <w:t>根据本规范的校准项目对</w:t>
      </w:r>
      <w:r>
        <w:rPr>
          <w:rFonts w:hint="eastAsia"/>
        </w:rPr>
        <w:t>脉冲电火花检漏仪</w:t>
      </w:r>
      <w:r>
        <w:t>进行了全计量特性的校准，内容详见校准报告。</w:t>
      </w:r>
    </w:p>
    <w:p>
      <w:pPr>
        <w:pStyle w:val="2"/>
        <w:spacing w:before="156" w:after="156"/>
        <w:rPr>
          <w:b w:val="0"/>
          <w:bCs w:val="0"/>
        </w:rPr>
      </w:pPr>
      <w:r>
        <w:rPr>
          <w:b w:val="0"/>
          <w:bCs w:val="0"/>
        </w:rPr>
        <w:t>四、规范水平分析</w:t>
      </w:r>
      <w:bookmarkEnd w:id="79"/>
    </w:p>
    <w:p>
      <w:pPr>
        <w:adjustRightInd w:val="0"/>
        <w:spacing w:line="360" w:lineRule="auto"/>
        <w:ind w:firstLine="420" w:firstLineChars="200"/>
        <w:rPr>
          <w:szCs w:val="21"/>
        </w:rPr>
      </w:pPr>
      <w:r>
        <w:t>目前，国家和各省检定规程和校准规范中，类似的校准规范如JJF(</w:t>
      </w:r>
      <w:r>
        <w:rPr>
          <w:rFonts w:hint="eastAsia"/>
        </w:rPr>
        <w:t>新</w:t>
      </w:r>
      <w:r>
        <w:t>)32-2019《</w:t>
      </w:r>
      <w:r>
        <w:rPr>
          <w:rFonts w:hint="eastAsia"/>
        </w:rPr>
        <w:t>脉冲电火花检漏仪校准规范</w:t>
      </w:r>
      <w:r>
        <w:t>》只针对</w:t>
      </w:r>
      <w:r>
        <w:rPr>
          <w:rFonts w:hint="eastAsia"/>
        </w:rPr>
        <w:t>检漏仪的脉冲电压提出了校准要求，并未考虑到检漏仪放电距离的校准问题</w:t>
      </w:r>
      <w:r>
        <w:rPr>
          <w:szCs w:val="21"/>
        </w:rPr>
        <w:t>。</w:t>
      </w:r>
    </w:p>
    <w:p>
      <w:pPr>
        <w:adjustRightInd w:val="0"/>
        <w:spacing w:line="360" w:lineRule="auto"/>
        <w:ind w:firstLine="420" w:firstLineChars="200"/>
        <w:rPr>
          <w:szCs w:val="21"/>
        </w:rPr>
      </w:pPr>
      <w:r>
        <w:rPr>
          <w:szCs w:val="21"/>
        </w:rPr>
        <w:t>目前国外没有相关技术规范，本规范水平达到国内先进水平。本规范的制定填补了有色金属行业</w:t>
      </w:r>
      <w:r>
        <w:rPr>
          <w:rFonts w:hint="eastAsia"/>
          <w:szCs w:val="21"/>
        </w:rPr>
        <w:t>脉冲电火花检漏仪</w:t>
      </w:r>
      <w:r>
        <w:rPr>
          <w:szCs w:val="21"/>
        </w:rPr>
        <w:t>的校准空白</w:t>
      </w:r>
      <w:r>
        <w:rPr>
          <w:rFonts w:hint="eastAsia"/>
          <w:szCs w:val="21"/>
        </w:rPr>
        <w:t>。</w:t>
      </w:r>
    </w:p>
    <w:p>
      <w:pPr>
        <w:pStyle w:val="2"/>
        <w:spacing w:before="156" w:after="156"/>
        <w:rPr>
          <w:b w:val="0"/>
          <w:bCs w:val="0"/>
        </w:rPr>
      </w:pPr>
      <w:r>
        <w:rPr>
          <w:b w:val="0"/>
          <w:bCs w:val="0"/>
        </w:rPr>
        <w:t>五、与有关的现行法律、法规和强制性国家标准的关系</w:t>
      </w:r>
    </w:p>
    <w:p>
      <w:pPr>
        <w:pStyle w:val="58"/>
        <w:spacing w:line="300" w:lineRule="auto"/>
        <w:ind w:firstLine="420"/>
        <w:rPr>
          <w:rFonts w:ascii="Times New Roman" w:hAnsi="Times New Roman"/>
        </w:rPr>
      </w:pPr>
      <w:r>
        <w:rPr>
          <w:rFonts w:ascii="Times New Roman" w:hAnsi="Times New Roman"/>
        </w:rPr>
        <w:t>本规范所引用的规程、规范及标准均为我国现行有效的计量规程及规范，是本规范的一部分，引用这些文件后，使本规范的要求与现行的相关法律、法规、规章及相关规程规范的关系不矛盾、不冲突，相互关系协调。</w:t>
      </w:r>
    </w:p>
    <w:p>
      <w:pPr>
        <w:pStyle w:val="2"/>
        <w:spacing w:before="156" w:after="156"/>
        <w:rPr>
          <w:b w:val="0"/>
          <w:bCs w:val="0"/>
        </w:rPr>
      </w:pPr>
      <w:bookmarkStart w:id="80" w:name="_Toc464728973"/>
      <w:r>
        <w:rPr>
          <w:b w:val="0"/>
          <w:bCs w:val="0"/>
        </w:rPr>
        <w:t>六、规范中涉及的专利或知识产权说明</w:t>
      </w:r>
      <w:bookmarkEnd w:id="80"/>
    </w:p>
    <w:p>
      <w:pPr>
        <w:pStyle w:val="58"/>
        <w:spacing w:line="300" w:lineRule="auto"/>
        <w:ind w:firstLineChars="0"/>
        <w:contextualSpacing/>
        <w:rPr>
          <w:rFonts w:ascii="Times New Roman" w:hAnsi="Times New Roman"/>
          <w:szCs w:val="21"/>
        </w:rPr>
      </w:pPr>
      <w:bookmarkStart w:id="81" w:name="_Toc464728974"/>
      <w:r>
        <w:rPr>
          <w:rFonts w:ascii="Times New Roman" w:hAnsi="Times New Roman"/>
          <w:szCs w:val="21"/>
        </w:rPr>
        <w:t>无。</w:t>
      </w:r>
    </w:p>
    <w:p>
      <w:pPr>
        <w:pStyle w:val="2"/>
        <w:spacing w:before="156" w:after="156"/>
        <w:rPr>
          <w:b w:val="0"/>
          <w:bCs w:val="0"/>
        </w:rPr>
      </w:pPr>
      <w:r>
        <w:rPr>
          <w:b w:val="0"/>
          <w:bCs w:val="0"/>
        </w:rPr>
        <w:t>七、重大分歧意见的处理经过和依据</w:t>
      </w:r>
      <w:bookmarkEnd w:id="81"/>
    </w:p>
    <w:p>
      <w:pPr>
        <w:pStyle w:val="58"/>
        <w:spacing w:line="300" w:lineRule="auto"/>
        <w:ind w:firstLine="420"/>
        <w:contextualSpacing/>
        <w:rPr>
          <w:rFonts w:ascii="Times New Roman" w:hAnsi="Times New Roman"/>
          <w:szCs w:val="21"/>
        </w:rPr>
      </w:pPr>
      <w:r>
        <w:rPr>
          <w:rFonts w:ascii="Times New Roman" w:hAnsi="Times New Roman"/>
          <w:szCs w:val="21"/>
        </w:rPr>
        <w:t>无。</w:t>
      </w:r>
    </w:p>
    <w:p>
      <w:pPr>
        <w:pStyle w:val="2"/>
        <w:spacing w:before="156" w:after="156"/>
        <w:rPr>
          <w:b w:val="0"/>
          <w:bCs w:val="0"/>
        </w:rPr>
      </w:pPr>
      <w:r>
        <w:rPr>
          <w:b w:val="0"/>
          <w:bCs w:val="0"/>
        </w:rPr>
        <w:t>八、规范作为国家（或行业）计量技术规范的建议</w:t>
      </w:r>
    </w:p>
    <w:p>
      <w:pPr>
        <w:adjustRightInd w:val="0"/>
        <w:spacing w:line="360" w:lineRule="auto"/>
        <w:ind w:firstLine="420" w:firstLineChars="200"/>
        <w:rPr>
          <w:szCs w:val="21"/>
        </w:rPr>
      </w:pPr>
      <w:r>
        <w:rPr>
          <w:szCs w:val="21"/>
        </w:rPr>
        <w:t>建议本规范作为行业计量技术规范，供行业企业参考使用。必要时可根据实际需要，结合其他行业使用要求，申报国家计量技术规范，以满足校准需要。</w:t>
      </w:r>
    </w:p>
    <w:p>
      <w:pPr>
        <w:pStyle w:val="2"/>
        <w:spacing w:before="156" w:after="156"/>
        <w:rPr>
          <w:b w:val="0"/>
          <w:bCs w:val="0"/>
        </w:rPr>
      </w:pPr>
      <w:bookmarkStart w:id="82" w:name="_Toc464728976"/>
      <w:r>
        <w:rPr>
          <w:b w:val="0"/>
          <w:bCs w:val="0"/>
        </w:rPr>
        <w:t>九、贯彻规范的要求和措施建议</w:t>
      </w:r>
      <w:bookmarkEnd w:id="82"/>
    </w:p>
    <w:p>
      <w:pPr>
        <w:pStyle w:val="58"/>
        <w:spacing w:line="300" w:lineRule="auto"/>
        <w:ind w:firstLine="420"/>
        <w:contextualSpacing/>
        <w:rPr>
          <w:rFonts w:ascii="Times New Roman" w:hAnsi="Times New Roman"/>
          <w:szCs w:val="21"/>
        </w:rPr>
      </w:pPr>
      <w:r>
        <w:rPr>
          <w:rFonts w:ascii="Times New Roman" w:hAnsi="Times New Roman"/>
          <w:szCs w:val="21"/>
        </w:rPr>
        <w:t>本规范发布后，中国有色金属行业协会和有色金属行业计量技术委员会应加强本规范的宣传力度，以促进我国企业的技术进步和产品质量上档次，提高我国产品在国际国内市场的竞争能力。</w:t>
      </w:r>
    </w:p>
    <w:p>
      <w:pPr>
        <w:pStyle w:val="2"/>
        <w:spacing w:before="156" w:after="156"/>
        <w:rPr>
          <w:b w:val="0"/>
          <w:bCs w:val="0"/>
        </w:rPr>
      </w:pPr>
      <w:bookmarkStart w:id="83" w:name="_Toc464728977"/>
      <w:r>
        <w:rPr>
          <w:b w:val="0"/>
          <w:bCs w:val="0"/>
        </w:rPr>
        <w:t>十、废止现行有关规范的建议</w:t>
      </w:r>
      <w:bookmarkEnd w:id="83"/>
    </w:p>
    <w:p>
      <w:pPr>
        <w:pStyle w:val="58"/>
        <w:spacing w:line="300" w:lineRule="auto"/>
        <w:ind w:firstLine="420"/>
        <w:contextualSpacing/>
        <w:rPr>
          <w:rFonts w:ascii="Times New Roman" w:hAnsi="Times New Roman"/>
          <w:szCs w:val="21"/>
        </w:rPr>
      </w:pPr>
      <w:r>
        <w:rPr>
          <w:rFonts w:ascii="Times New Roman" w:hAnsi="Times New Roman"/>
          <w:szCs w:val="21"/>
        </w:rPr>
        <w:t>无。</w:t>
      </w:r>
    </w:p>
    <w:p>
      <w:pPr>
        <w:pStyle w:val="2"/>
        <w:spacing w:before="156" w:after="156"/>
        <w:rPr>
          <w:b w:val="0"/>
          <w:bCs w:val="0"/>
        </w:rPr>
      </w:pPr>
      <w:r>
        <w:rPr>
          <w:b w:val="0"/>
          <w:bCs w:val="0"/>
        </w:rPr>
        <w:t>十一、预期效果</w:t>
      </w:r>
    </w:p>
    <w:p>
      <w:pPr>
        <w:ind w:firstLine="420" w:firstLineChars="200"/>
        <w:rPr>
          <w:kern w:val="0"/>
          <w:szCs w:val="21"/>
        </w:rPr>
      </w:pPr>
      <w:r>
        <w:rPr>
          <w:kern w:val="0"/>
          <w:szCs w:val="21"/>
        </w:rPr>
        <w:t>本规范发布后，能解决</w:t>
      </w:r>
      <w:r>
        <w:rPr>
          <w:rFonts w:hint="eastAsia"/>
          <w:kern w:val="0"/>
          <w:szCs w:val="21"/>
        </w:rPr>
        <w:t>脉冲电火花检漏仪</w:t>
      </w:r>
      <w:r>
        <w:rPr>
          <w:kern w:val="0"/>
          <w:szCs w:val="21"/>
        </w:rPr>
        <w:t>校准方法不</w:t>
      </w:r>
      <w:r>
        <w:rPr>
          <w:rFonts w:hint="eastAsia"/>
          <w:kern w:val="0"/>
          <w:szCs w:val="21"/>
        </w:rPr>
        <w:t>全</w:t>
      </w:r>
      <w:r>
        <w:rPr>
          <w:kern w:val="0"/>
          <w:szCs w:val="21"/>
        </w:rPr>
        <w:t>、计量标准技术指标不明确、</w:t>
      </w:r>
      <w:r>
        <w:rPr>
          <w:rFonts w:hint="eastAsia"/>
          <w:kern w:val="0"/>
          <w:szCs w:val="21"/>
        </w:rPr>
        <w:t>脉冲电火花检漏仪</w:t>
      </w:r>
      <w:r>
        <w:rPr>
          <w:kern w:val="0"/>
          <w:szCs w:val="21"/>
        </w:rPr>
        <w:t>的校准方法未规定等问题，弥补</w:t>
      </w:r>
      <w:r>
        <w:rPr>
          <w:rFonts w:hint="eastAsia"/>
          <w:kern w:val="0"/>
          <w:szCs w:val="21"/>
        </w:rPr>
        <w:t>脉冲电火花检漏仪</w:t>
      </w:r>
      <w:r>
        <w:rPr>
          <w:kern w:val="0"/>
          <w:szCs w:val="21"/>
        </w:rPr>
        <w:t>校准的空白，为保证</w:t>
      </w:r>
      <w:r>
        <w:rPr>
          <w:rFonts w:hint="eastAsia"/>
          <w:kern w:val="0"/>
          <w:szCs w:val="21"/>
        </w:rPr>
        <w:t>脉冲电火花检漏仪在使用时</w:t>
      </w:r>
      <w:r>
        <w:rPr>
          <w:kern w:val="0"/>
          <w:szCs w:val="21"/>
        </w:rPr>
        <w:t>测试结果的准确可靠提供保证。</w:t>
      </w:r>
    </w:p>
    <w:p>
      <w:pPr>
        <w:pStyle w:val="2"/>
        <w:spacing w:before="156" w:after="156"/>
        <w:rPr>
          <w:b w:val="0"/>
          <w:bCs w:val="0"/>
        </w:rPr>
      </w:pPr>
      <w:r>
        <w:rPr>
          <w:b w:val="0"/>
          <w:bCs w:val="0"/>
        </w:rPr>
        <w:t>十二、其他应予说明的事项</w:t>
      </w:r>
    </w:p>
    <w:p>
      <w:pPr>
        <w:pStyle w:val="58"/>
        <w:spacing w:line="300" w:lineRule="auto"/>
        <w:ind w:firstLineChars="0"/>
        <w:contextualSpacing/>
        <w:rPr>
          <w:rFonts w:ascii="Times New Roman" w:hAnsi="Times New Roman"/>
          <w:szCs w:val="21"/>
        </w:rPr>
      </w:pPr>
      <w:r>
        <w:rPr>
          <w:rFonts w:ascii="Times New Roman" w:hAnsi="Times New Roman"/>
          <w:szCs w:val="21"/>
        </w:rPr>
        <w:t>无。</w:t>
      </w:r>
    </w:p>
    <w:p>
      <w:pPr>
        <w:pStyle w:val="58"/>
        <w:spacing w:line="300" w:lineRule="auto"/>
        <w:ind w:firstLineChars="0"/>
        <w:contextualSpacing/>
        <w:rPr>
          <w:rFonts w:ascii="Times New Roman" w:hAnsi="Times New Roman"/>
          <w:szCs w:val="21"/>
        </w:rPr>
      </w:pPr>
    </w:p>
    <w:p>
      <w:pPr>
        <w:pStyle w:val="58"/>
        <w:spacing w:line="300" w:lineRule="auto"/>
        <w:ind w:firstLineChars="0"/>
        <w:contextualSpacing/>
        <w:jc w:val="right"/>
        <w:rPr>
          <w:rFonts w:ascii="Times New Roman" w:hAnsi="Times New Roman" w:eastAsia="黑体"/>
        </w:rPr>
      </w:pPr>
      <w:r>
        <w:rPr>
          <w:rFonts w:ascii="Times New Roman" w:hAnsi="Times New Roman" w:eastAsia="黑体"/>
        </w:rPr>
        <w:t xml:space="preserve"> </w:t>
      </w:r>
    </w:p>
    <w:p>
      <w:pPr>
        <w:pStyle w:val="58"/>
        <w:spacing w:line="300" w:lineRule="auto"/>
        <w:ind w:firstLineChars="0"/>
        <w:contextualSpacing/>
        <w:jc w:val="right"/>
        <w:rPr>
          <w:rFonts w:ascii="Times New Roman" w:hAnsi="Times New Roman" w:eastAsia="黑体"/>
        </w:rPr>
      </w:pPr>
    </w:p>
    <w:p>
      <w:pPr>
        <w:pStyle w:val="58"/>
        <w:spacing w:line="300" w:lineRule="auto"/>
        <w:ind w:firstLineChars="0"/>
        <w:contextualSpacing/>
        <w:jc w:val="right"/>
        <w:rPr>
          <w:rFonts w:ascii="Times New Roman" w:hAnsi="Times New Roman" w:eastAsia="方正行楷简体"/>
          <w:szCs w:val="21"/>
        </w:rPr>
      </w:pPr>
      <w:r>
        <w:rPr>
          <w:rFonts w:ascii="Times New Roman" w:hAnsi="Times New Roman" w:eastAsia="方正行楷简体"/>
          <w:szCs w:val="21"/>
        </w:rPr>
        <w:t>《</w:t>
      </w:r>
      <w:r>
        <w:rPr>
          <w:rFonts w:hint="eastAsia" w:ascii="Times New Roman" w:hAnsi="Times New Roman"/>
          <w:szCs w:val="21"/>
        </w:rPr>
        <w:t>脉冲电火花检漏仪</w:t>
      </w:r>
      <w:r>
        <w:rPr>
          <w:rFonts w:ascii="Times New Roman" w:hAnsi="Times New Roman"/>
          <w:szCs w:val="21"/>
        </w:rPr>
        <w:t>校准规范</w:t>
      </w:r>
      <w:r>
        <w:rPr>
          <w:rFonts w:ascii="Times New Roman" w:hAnsi="Times New Roman" w:eastAsia="方正行楷简体"/>
          <w:szCs w:val="21"/>
        </w:rPr>
        <w:t xml:space="preserve">》编制组  </w:t>
      </w:r>
    </w:p>
    <w:p>
      <w:pPr>
        <w:pStyle w:val="58"/>
        <w:spacing w:line="300" w:lineRule="auto"/>
        <w:ind w:firstLineChars="0"/>
        <w:contextualSpacing/>
        <w:jc w:val="right"/>
        <w:rPr>
          <w:rFonts w:ascii="Times New Roman" w:hAnsi="Times New Roman"/>
          <w:szCs w:val="21"/>
        </w:rPr>
      </w:pPr>
      <w:r>
        <w:rPr>
          <w:rFonts w:ascii="Times New Roman" w:hAnsi="Times New Roman" w:eastAsia="方正行楷简体"/>
          <w:szCs w:val="21"/>
        </w:rPr>
        <w:t>2024年9月14日</w:t>
      </w: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hint="eastAsia"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C69374D"/>
    <w:multiLevelType w:val="multilevel"/>
    <w:tmpl w:val="3C6937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IyNzk4M2Q5MzBiN2E3MzA0OGE1YzlkODY0MjQifQ=="/>
  </w:docVars>
  <w:rsids>
    <w:rsidRoot w:val="00693668"/>
    <w:rsid w:val="000038F0"/>
    <w:rsid w:val="00004648"/>
    <w:rsid w:val="00014C66"/>
    <w:rsid w:val="000211BF"/>
    <w:rsid w:val="000237D4"/>
    <w:rsid w:val="000309D7"/>
    <w:rsid w:val="00032F98"/>
    <w:rsid w:val="00034584"/>
    <w:rsid w:val="00036A21"/>
    <w:rsid w:val="00036F02"/>
    <w:rsid w:val="000421FA"/>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859F4"/>
    <w:rsid w:val="0019431C"/>
    <w:rsid w:val="001A4F75"/>
    <w:rsid w:val="001C13CE"/>
    <w:rsid w:val="001C7BB8"/>
    <w:rsid w:val="001D0501"/>
    <w:rsid w:val="001E0288"/>
    <w:rsid w:val="001E09C6"/>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1E34"/>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707309"/>
    <w:rsid w:val="007229FB"/>
    <w:rsid w:val="00724E03"/>
    <w:rsid w:val="00733C71"/>
    <w:rsid w:val="00735A75"/>
    <w:rsid w:val="007373AB"/>
    <w:rsid w:val="00740702"/>
    <w:rsid w:val="00743BA2"/>
    <w:rsid w:val="00743BAC"/>
    <w:rsid w:val="00746BAC"/>
    <w:rsid w:val="00750ED3"/>
    <w:rsid w:val="00764D0A"/>
    <w:rsid w:val="00765621"/>
    <w:rsid w:val="007901C0"/>
    <w:rsid w:val="007902D1"/>
    <w:rsid w:val="007957D7"/>
    <w:rsid w:val="00796CF0"/>
    <w:rsid w:val="007A3BEE"/>
    <w:rsid w:val="007C15E3"/>
    <w:rsid w:val="007D5B84"/>
    <w:rsid w:val="007E56C9"/>
    <w:rsid w:val="00804BC8"/>
    <w:rsid w:val="00820F69"/>
    <w:rsid w:val="00824B04"/>
    <w:rsid w:val="00826DAA"/>
    <w:rsid w:val="008443B8"/>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A12AB"/>
    <w:rsid w:val="009B4929"/>
    <w:rsid w:val="009B6168"/>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088D"/>
    <w:rsid w:val="00CB3949"/>
    <w:rsid w:val="00CB750D"/>
    <w:rsid w:val="00CB7CDF"/>
    <w:rsid w:val="00CC3C55"/>
    <w:rsid w:val="00CC3DDD"/>
    <w:rsid w:val="00CC491D"/>
    <w:rsid w:val="00CC52E3"/>
    <w:rsid w:val="00CD2D13"/>
    <w:rsid w:val="00CD759E"/>
    <w:rsid w:val="00CF3CAA"/>
    <w:rsid w:val="00D01726"/>
    <w:rsid w:val="00D16568"/>
    <w:rsid w:val="00D17115"/>
    <w:rsid w:val="00D23221"/>
    <w:rsid w:val="00D436F5"/>
    <w:rsid w:val="00D6471A"/>
    <w:rsid w:val="00D81C1D"/>
    <w:rsid w:val="00D85454"/>
    <w:rsid w:val="00D86648"/>
    <w:rsid w:val="00D903E4"/>
    <w:rsid w:val="00DA22D1"/>
    <w:rsid w:val="00DB4F65"/>
    <w:rsid w:val="00DC5058"/>
    <w:rsid w:val="00DD6769"/>
    <w:rsid w:val="00DD7D39"/>
    <w:rsid w:val="00DE144C"/>
    <w:rsid w:val="00E002FF"/>
    <w:rsid w:val="00E019C6"/>
    <w:rsid w:val="00E15312"/>
    <w:rsid w:val="00E179CE"/>
    <w:rsid w:val="00E22714"/>
    <w:rsid w:val="00E23465"/>
    <w:rsid w:val="00E31A7B"/>
    <w:rsid w:val="00E32480"/>
    <w:rsid w:val="00E71DCC"/>
    <w:rsid w:val="00E82471"/>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04CB"/>
    <w:rsid w:val="00FC7BF3"/>
    <w:rsid w:val="00FD235D"/>
    <w:rsid w:val="00FD7FCA"/>
    <w:rsid w:val="00FE0C1C"/>
    <w:rsid w:val="00FE17CA"/>
    <w:rsid w:val="00FE1932"/>
    <w:rsid w:val="00FE1A74"/>
    <w:rsid w:val="00FF5630"/>
    <w:rsid w:val="02F703B0"/>
    <w:rsid w:val="04731467"/>
    <w:rsid w:val="05F125DB"/>
    <w:rsid w:val="06716757"/>
    <w:rsid w:val="074E75D6"/>
    <w:rsid w:val="07DC0ED5"/>
    <w:rsid w:val="0904785D"/>
    <w:rsid w:val="09573966"/>
    <w:rsid w:val="0A781AE7"/>
    <w:rsid w:val="0CB9457A"/>
    <w:rsid w:val="0CCA0314"/>
    <w:rsid w:val="0D8022CA"/>
    <w:rsid w:val="0E6513CA"/>
    <w:rsid w:val="0F916866"/>
    <w:rsid w:val="11471F43"/>
    <w:rsid w:val="13877F6B"/>
    <w:rsid w:val="13B1031D"/>
    <w:rsid w:val="14317D7D"/>
    <w:rsid w:val="14FE0CE9"/>
    <w:rsid w:val="158E7867"/>
    <w:rsid w:val="16A67923"/>
    <w:rsid w:val="174C2AB4"/>
    <w:rsid w:val="17E64F25"/>
    <w:rsid w:val="18A20777"/>
    <w:rsid w:val="1C172896"/>
    <w:rsid w:val="1C803B53"/>
    <w:rsid w:val="1E713A82"/>
    <w:rsid w:val="1F5A1A25"/>
    <w:rsid w:val="1F714057"/>
    <w:rsid w:val="1FAB00D4"/>
    <w:rsid w:val="208E75B3"/>
    <w:rsid w:val="218A16C9"/>
    <w:rsid w:val="21BE3478"/>
    <w:rsid w:val="21D04080"/>
    <w:rsid w:val="22423DCF"/>
    <w:rsid w:val="225C10E7"/>
    <w:rsid w:val="23A74BBD"/>
    <w:rsid w:val="23D43A72"/>
    <w:rsid w:val="277C51D7"/>
    <w:rsid w:val="27BD3A55"/>
    <w:rsid w:val="28A00A66"/>
    <w:rsid w:val="29846CB3"/>
    <w:rsid w:val="29E46257"/>
    <w:rsid w:val="2A4110A1"/>
    <w:rsid w:val="2A636980"/>
    <w:rsid w:val="2AB85E2C"/>
    <w:rsid w:val="2C147130"/>
    <w:rsid w:val="2C281A12"/>
    <w:rsid w:val="2E772BB0"/>
    <w:rsid w:val="2F656952"/>
    <w:rsid w:val="2FBE527A"/>
    <w:rsid w:val="31B57A58"/>
    <w:rsid w:val="325F3B1A"/>
    <w:rsid w:val="34745E77"/>
    <w:rsid w:val="34CD5E22"/>
    <w:rsid w:val="36AE69D8"/>
    <w:rsid w:val="38B6063A"/>
    <w:rsid w:val="39E63C45"/>
    <w:rsid w:val="3A910669"/>
    <w:rsid w:val="3BFA1058"/>
    <w:rsid w:val="3EBA5BC3"/>
    <w:rsid w:val="3FE25D82"/>
    <w:rsid w:val="420E5348"/>
    <w:rsid w:val="425F603B"/>
    <w:rsid w:val="4286740D"/>
    <w:rsid w:val="43A67182"/>
    <w:rsid w:val="44100726"/>
    <w:rsid w:val="44347A9B"/>
    <w:rsid w:val="44CE02A0"/>
    <w:rsid w:val="456D3D97"/>
    <w:rsid w:val="45E87405"/>
    <w:rsid w:val="46474D73"/>
    <w:rsid w:val="465C4787"/>
    <w:rsid w:val="473A498E"/>
    <w:rsid w:val="47552183"/>
    <w:rsid w:val="48211129"/>
    <w:rsid w:val="48BE5C4B"/>
    <w:rsid w:val="49214E6F"/>
    <w:rsid w:val="49A26661"/>
    <w:rsid w:val="49CC7405"/>
    <w:rsid w:val="4AE6291D"/>
    <w:rsid w:val="4AEA403C"/>
    <w:rsid w:val="4B8C5809"/>
    <w:rsid w:val="4B933E1A"/>
    <w:rsid w:val="4D432356"/>
    <w:rsid w:val="4E3430C7"/>
    <w:rsid w:val="4FA7278A"/>
    <w:rsid w:val="50011CA3"/>
    <w:rsid w:val="51051BD9"/>
    <w:rsid w:val="51442F7B"/>
    <w:rsid w:val="52A97DDB"/>
    <w:rsid w:val="55152B55"/>
    <w:rsid w:val="56154CA2"/>
    <w:rsid w:val="56A00E5A"/>
    <w:rsid w:val="57676F98"/>
    <w:rsid w:val="579905E2"/>
    <w:rsid w:val="590A235B"/>
    <w:rsid w:val="5A931503"/>
    <w:rsid w:val="5A971C98"/>
    <w:rsid w:val="5AC42DA1"/>
    <w:rsid w:val="5AFA5C95"/>
    <w:rsid w:val="5CDE078E"/>
    <w:rsid w:val="5DC655CC"/>
    <w:rsid w:val="5F776EED"/>
    <w:rsid w:val="605176D9"/>
    <w:rsid w:val="61690122"/>
    <w:rsid w:val="63F828E6"/>
    <w:rsid w:val="654D6460"/>
    <w:rsid w:val="6760797E"/>
    <w:rsid w:val="678844F9"/>
    <w:rsid w:val="694F496D"/>
    <w:rsid w:val="69BC4907"/>
    <w:rsid w:val="6AB57C02"/>
    <w:rsid w:val="6AE574EF"/>
    <w:rsid w:val="6AF7022D"/>
    <w:rsid w:val="6B27051F"/>
    <w:rsid w:val="6B753BDA"/>
    <w:rsid w:val="6B770841"/>
    <w:rsid w:val="6D281A14"/>
    <w:rsid w:val="6E8A0C2B"/>
    <w:rsid w:val="6E9A1846"/>
    <w:rsid w:val="6EF60757"/>
    <w:rsid w:val="70757340"/>
    <w:rsid w:val="70A61265"/>
    <w:rsid w:val="70FA146A"/>
    <w:rsid w:val="710228B1"/>
    <w:rsid w:val="73A7009A"/>
    <w:rsid w:val="73B95B2E"/>
    <w:rsid w:val="74130018"/>
    <w:rsid w:val="74D35BFF"/>
    <w:rsid w:val="77CE2BEC"/>
    <w:rsid w:val="78931FA4"/>
    <w:rsid w:val="78CE2872"/>
    <w:rsid w:val="78DB44BD"/>
    <w:rsid w:val="795C2ECE"/>
    <w:rsid w:val="7AC757F1"/>
    <w:rsid w:val="7B207CB9"/>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autoRedefine/>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autoRedefine/>
    <w:qFormat/>
    <w:uiPriority w:val="0"/>
    <w:pPr>
      <w:keepNext/>
      <w:keepLines/>
      <w:spacing w:before="50" w:beforeLines="50" w:after="50" w:afterLines="50"/>
      <w:outlineLvl w:val="2"/>
    </w:pPr>
    <w:rPr>
      <w:rFonts w:eastAsia="黑体"/>
      <w:b/>
      <w:bCs/>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uiPriority w:val="1"/>
  </w:style>
  <w:style w:type="table" w:default="1" w:styleId="41">
    <w:name w:val="Normal Table"/>
    <w:autoRedefine/>
    <w:semiHidden/>
    <w:unhideWhenUsed/>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autoRedefine/>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2"/>
      </w:numPr>
      <w:tabs>
        <w:tab w:val="left" w:pos="6405"/>
      </w:tabs>
      <w:spacing w:after="200"/>
    </w:pPr>
    <w:rPr>
      <w:sz w:val="21"/>
    </w:rPr>
  </w:style>
  <w:style w:type="paragraph" w:customStyle="1" w:styleId="66">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numPr>
        <w:ilvl w:val="5"/>
      </w:numPr>
      <w:outlineLvl w:val="5"/>
    </w:pPr>
  </w:style>
  <w:style w:type="paragraph" w:customStyle="1" w:styleId="71">
    <w:name w:val="三级条标题"/>
    <w:basedOn w:val="59"/>
    <w:next w:val="58"/>
    <w:link w:val="281"/>
    <w:autoRedefine/>
    <w:qFormat/>
    <w:uiPriority w:val="0"/>
    <w:pPr>
      <w:numPr>
        <w:ilvl w:val="4"/>
      </w:numPr>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autoRedefine/>
    <w:qFormat/>
    <w:uiPriority w:val="0"/>
    <w:rPr>
      <w:rFonts w:ascii="Times New Roman" w:hAnsi="Times New Roman" w:eastAsia="黑体" w:cs="Times New Roman"/>
      <w:sz w:val="28"/>
      <w:lang w:val="en-US" w:eastAsia="zh-CN" w:bidi="ar-SA"/>
    </w:rPr>
  </w:style>
  <w:style w:type="paragraph" w:customStyle="1" w:styleId="78">
    <w:name w:val="条文脚注"/>
    <w:basedOn w:val="32"/>
    <w:autoRedefine/>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autoRedefine/>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numPr>
        <w:ilvl w:val="6"/>
      </w:numPr>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autoRedefine/>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numPr>
        <w:numId w:val="0"/>
      </w:num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autoRedefine/>
    <w:qFormat/>
    <w:uiPriority w:val="0"/>
    <w:rPr>
      <w:rFonts w:ascii="黑体" w:hAnsi="Times New Roman" w:eastAsia="黑体" w:cs="Times New Roman"/>
      <w:sz w:val="21"/>
    </w:rPr>
  </w:style>
  <w:style w:type="character" w:customStyle="1" w:styleId="279">
    <w:name w:val="一级条标题 Char"/>
    <w:link w:val="60"/>
    <w:autoRedefine/>
    <w:qFormat/>
    <w:uiPriority w:val="0"/>
    <w:rPr>
      <w:rFonts w:ascii="黑体" w:hAnsi="Times New Roman" w:eastAsia="黑体" w:cs="Times New Roman"/>
      <w:color w:val="FF0000"/>
      <w:spacing w:val="-4"/>
      <w:sz w:val="21"/>
      <w:szCs w:val="24"/>
    </w:rPr>
  </w:style>
  <w:style w:type="character" w:customStyle="1" w:styleId="280">
    <w:name w:val="纯文本 字符"/>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字符"/>
    <w:link w:val="29"/>
    <w:autoRedefine/>
    <w:qFormat/>
    <w:uiPriority w:val="0"/>
    <w:rPr>
      <w:kern w:val="2"/>
      <w:sz w:val="18"/>
      <w:szCs w:val="18"/>
    </w:rPr>
  </w:style>
  <w:style w:type="character" w:customStyle="1" w:styleId="283">
    <w:name w:val="正文文本 字符"/>
    <w:link w:val="21"/>
    <w:qFormat/>
    <w:uiPriority w:val="0"/>
    <w:rPr>
      <w:kern w:val="2"/>
      <w:sz w:val="21"/>
      <w:szCs w:val="24"/>
    </w:rPr>
  </w:style>
  <w:style w:type="character" w:customStyle="1" w:styleId="284">
    <w:name w:val="注： Char"/>
    <w:link w:val="91"/>
    <w:autoRedefine/>
    <w:qFormat/>
    <w:uiPriority w:val="0"/>
    <w:rPr>
      <w:rFonts w:ascii="宋体"/>
      <w:sz w:val="18"/>
    </w:rPr>
  </w:style>
  <w:style w:type="character" w:customStyle="1" w:styleId="285">
    <w:name w:val="页脚 字符"/>
    <w:link w:val="30"/>
    <w:autoRedefine/>
    <w:qFormat/>
    <w:uiPriority w:val="99"/>
    <w:rPr>
      <w:kern w:val="2"/>
      <w:sz w:val="18"/>
      <w:szCs w:val="18"/>
    </w:rPr>
  </w:style>
  <w:style w:type="character" w:customStyle="1" w:styleId="286">
    <w:name w:val="正文文本缩进 字符"/>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字符"/>
    <w:link w:val="20"/>
    <w:autoRedefine/>
    <w:qFormat/>
    <w:uiPriority w:val="0"/>
    <w:rPr>
      <w:kern w:val="2"/>
      <w:sz w:val="21"/>
      <w:szCs w:val="24"/>
    </w:rPr>
  </w:style>
  <w:style w:type="character" w:customStyle="1" w:styleId="289">
    <w:name w:val="批注主题 字符"/>
    <w:link w:val="39"/>
    <w:autoRedefine/>
    <w:qFormat/>
    <w:uiPriority w:val="0"/>
    <w:rPr>
      <w:b/>
      <w:bCs/>
      <w:kern w:val="2"/>
      <w:sz w:val="21"/>
      <w:szCs w:val="24"/>
    </w:rPr>
  </w:style>
  <w:style w:type="character" w:customStyle="1" w:styleId="290">
    <w:name w:val="页眉 字符"/>
    <w:link w:val="31"/>
    <w:autoRedefine/>
    <w:qFormat/>
    <w:uiPriority w:val="99"/>
    <w:rPr>
      <w:kern w:val="2"/>
      <w:sz w:val="18"/>
      <w:szCs w:val="18"/>
    </w:rPr>
  </w:style>
  <w:style w:type="character" w:customStyle="1" w:styleId="291">
    <w:name w:val="正文文本缩进 2 字符"/>
    <w:link w:val="27"/>
    <w:autoRedefine/>
    <w:qFormat/>
    <w:uiPriority w:val="0"/>
    <w:rPr>
      <w:kern w:val="2"/>
      <w:sz w:val="21"/>
      <w:szCs w:val="24"/>
    </w:rPr>
  </w:style>
  <w:style w:type="character" w:customStyle="1" w:styleId="292">
    <w:name w:val="日期 字符"/>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字符"/>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字符"/>
    <w:basedOn w:val="43"/>
    <w:link w:val="3"/>
    <w:autoRedefine/>
    <w:qFormat/>
    <w:uiPriority w:val="0"/>
    <w:rPr>
      <w:rFonts w:ascii="Arial" w:hAnsi="Arial" w:eastAsia="黑体" w:cs="Times New Roman"/>
      <w:b/>
      <w:bCs/>
      <w:kern w:val="2"/>
      <w:sz w:val="24"/>
      <w:szCs w:val="32"/>
    </w:rPr>
  </w:style>
  <w:style w:type="character" w:customStyle="1" w:styleId="307">
    <w:name w:val="标题 3 字符"/>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字符"/>
    <w:link w:val="38"/>
    <w:autoRedefine/>
    <w:qFormat/>
    <w:uiPriority w:val="0"/>
    <w:rPr>
      <w:rFonts w:ascii="Arial" w:hAnsi="Arial" w:eastAsia="宋体" w:cs="Arial"/>
      <w:b/>
      <w:bCs/>
      <w:kern w:val="2"/>
      <w:sz w:val="32"/>
      <w:szCs w:val="32"/>
    </w:rPr>
  </w:style>
  <w:style w:type="character" w:customStyle="1" w:styleId="309">
    <w:name w:val="脚注文本 字符"/>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字符"/>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56207-3DD0-4153-9C8F-0D63332378C2}">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10</Pages>
  <Words>1162</Words>
  <Characters>6627</Characters>
  <Lines>55</Lines>
  <Paragraphs>15</Paragraphs>
  <TotalTime>0</TotalTime>
  <ScaleCrop>false</ScaleCrop>
  <LinksUpToDate>false</LinksUpToDate>
  <CharactersWithSpaces>7774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Administrator</cp:lastModifiedBy>
  <cp:lastPrinted>2016-10-20T04:13:00Z</cp:lastPrinted>
  <dcterms:modified xsi:type="dcterms:W3CDTF">2024-09-20T07:30:35Z</dcterms:modified>
  <dc:title>标准名称</dc:title>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5219326BEFDE482DAFE920CA0C890018_13</vt:lpwstr>
  </property>
</Properties>
</file>