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6513A">
      <w:pPr>
        <w:pStyle w:val="98"/>
        <w:jc w:val="center"/>
        <w:rPr>
          <w:rFonts w:ascii="黑体" w:hAnsi="黑体" w:eastAsia="黑体"/>
          <w:b w:val="0"/>
          <w:bCs w:val="0"/>
          <w:sz w:val="24"/>
          <w:szCs w:val="24"/>
        </w:rPr>
      </w:pPr>
      <w:bookmarkStart w:id="0" w:name="_Toc464728891"/>
      <w:bookmarkStart w:id="1" w:name="SectionMark4"/>
    </w:p>
    <w:p w14:paraId="261607E6">
      <w:pPr>
        <w:pStyle w:val="98"/>
        <w:jc w:val="center"/>
        <w:rPr>
          <w:rFonts w:ascii="黑体" w:hAnsi="黑体" w:eastAsia="黑体"/>
          <w:b w:val="0"/>
          <w:bCs w:val="0"/>
          <w:sz w:val="24"/>
          <w:szCs w:val="24"/>
        </w:rPr>
      </w:pPr>
    </w:p>
    <w:p w14:paraId="5CCD06B1">
      <w:pPr>
        <w:pStyle w:val="98"/>
        <w:jc w:val="center"/>
        <w:rPr>
          <w:rFonts w:ascii="黑体" w:hAnsi="黑体" w:eastAsia="黑体"/>
          <w:b w:val="0"/>
          <w:bCs w:val="0"/>
          <w:sz w:val="24"/>
          <w:szCs w:val="24"/>
        </w:rPr>
      </w:pPr>
    </w:p>
    <w:p w14:paraId="23A4CA42">
      <w:pPr>
        <w:pStyle w:val="98"/>
        <w:jc w:val="center"/>
        <w:rPr>
          <w:rFonts w:ascii="黑体" w:hAnsi="黑体" w:eastAsia="黑体"/>
          <w:b w:val="0"/>
          <w:bCs w:val="0"/>
          <w:sz w:val="24"/>
          <w:szCs w:val="24"/>
        </w:rPr>
      </w:pPr>
    </w:p>
    <w:p w14:paraId="1CEAA560">
      <w:pPr>
        <w:pStyle w:val="98"/>
        <w:jc w:val="center"/>
        <w:rPr>
          <w:rFonts w:ascii="黑体" w:hAnsi="黑体" w:eastAsia="黑体"/>
          <w:b w:val="0"/>
          <w:bCs w:val="0"/>
          <w:sz w:val="24"/>
          <w:szCs w:val="24"/>
        </w:rPr>
      </w:pPr>
    </w:p>
    <w:p w14:paraId="1E5655C1">
      <w:pPr>
        <w:pStyle w:val="98"/>
        <w:jc w:val="center"/>
        <w:rPr>
          <w:rFonts w:ascii="黑体" w:hAnsi="黑体" w:eastAsia="黑体"/>
          <w:b w:val="0"/>
          <w:bCs w:val="0"/>
          <w:sz w:val="24"/>
          <w:szCs w:val="24"/>
        </w:rPr>
      </w:pPr>
    </w:p>
    <w:p w14:paraId="365DF92E">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3BF3227D">
                            <w:pPr>
                              <w:pStyle w:val="75"/>
                              <w:rPr>
                                <w:rFonts w:hAnsi="黑体" w:cs="黑体"/>
                                <w:sz w:val="44"/>
                                <w:szCs w:val="44"/>
                              </w:rPr>
                            </w:pPr>
                            <w:bookmarkStart w:id="75"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5"/>
                          <w:p w14:paraId="011E22CF">
                            <w:pPr>
                              <w:pStyle w:val="75"/>
                              <w:rPr>
                                <w:rFonts w:hAnsi="黑体" w:cs="黑体"/>
                                <w:szCs w:val="52"/>
                              </w:rPr>
                            </w:pPr>
                            <w:r>
                              <w:rPr>
                                <w:rFonts w:hint="eastAsia" w:hAnsi="黑体" w:cs="黑体"/>
                                <w:szCs w:val="52"/>
                                <w:lang w:val="en-US" w:eastAsia="zh-CN"/>
                              </w:rPr>
                              <w:t>铝及铝合金压滤法测渣仪</w:t>
                            </w:r>
                            <w:r>
                              <w:rPr>
                                <w:rFonts w:hint="eastAsia" w:hAnsi="黑体" w:cs="黑体"/>
                                <w:szCs w:val="52"/>
                              </w:rPr>
                              <w:t>校准规范</w:t>
                            </w:r>
                          </w:p>
                          <w:p w14:paraId="72F6B995">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14:paraId="3BF3227D">
                      <w:pPr>
                        <w:pStyle w:val="75"/>
                        <w:rPr>
                          <w:rFonts w:hAnsi="黑体" w:cs="黑体"/>
                          <w:sz w:val="44"/>
                          <w:szCs w:val="44"/>
                        </w:rPr>
                      </w:pPr>
                      <w:bookmarkStart w:id="75"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5"/>
                    <w:p w14:paraId="011E22CF">
                      <w:pPr>
                        <w:pStyle w:val="75"/>
                        <w:rPr>
                          <w:rFonts w:hAnsi="黑体" w:cs="黑体"/>
                          <w:szCs w:val="52"/>
                        </w:rPr>
                      </w:pPr>
                      <w:r>
                        <w:rPr>
                          <w:rFonts w:hint="eastAsia" w:hAnsi="黑体" w:cs="黑体"/>
                          <w:szCs w:val="52"/>
                          <w:lang w:val="en-US" w:eastAsia="zh-CN"/>
                        </w:rPr>
                        <w:t>铝及铝合金压滤法测渣仪</w:t>
                      </w:r>
                      <w:r>
                        <w:rPr>
                          <w:rFonts w:hint="eastAsia" w:hAnsi="黑体" w:cs="黑体"/>
                          <w:szCs w:val="52"/>
                        </w:rPr>
                        <w:t>校准规范</w:t>
                      </w:r>
                    </w:p>
                    <w:p w14:paraId="72F6B995">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14:paraId="657F1709">
      <w:pPr>
        <w:pStyle w:val="98"/>
        <w:jc w:val="center"/>
        <w:rPr>
          <w:rFonts w:ascii="黑体" w:hAnsi="黑体" w:eastAsia="黑体"/>
          <w:b w:val="0"/>
          <w:bCs w:val="0"/>
          <w:sz w:val="24"/>
          <w:szCs w:val="24"/>
        </w:rPr>
      </w:pPr>
    </w:p>
    <w:p w14:paraId="5B12077C">
      <w:pPr>
        <w:pStyle w:val="98"/>
        <w:jc w:val="center"/>
        <w:rPr>
          <w:rFonts w:ascii="黑体" w:hAnsi="黑体" w:eastAsia="黑体"/>
          <w:b w:val="0"/>
          <w:bCs w:val="0"/>
          <w:sz w:val="24"/>
          <w:szCs w:val="24"/>
        </w:rPr>
      </w:pPr>
    </w:p>
    <w:p w14:paraId="4B6D4267">
      <w:pPr>
        <w:pStyle w:val="98"/>
        <w:jc w:val="center"/>
        <w:rPr>
          <w:rFonts w:ascii="黑体" w:hAnsi="黑体" w:eastAsia="黑体"/>
          <w:b w:val="0"/>
          <w:bCs w:val="0"/>
          <w:sz w:val="24"/>
          <w:szCs w:val="24"/>
        </w:rPr>
      </w:pPr>
    </w:p>
    <w:p w14:paraId="5CEE8E5D">
      <w:pPr>
        <w:pStyle w:val="98"/>
        <w:jc w:val="center"/>
        <w:rPr>
          <w:rFonts w:ascii="黑体" w:hAnsi="黑体" w:eastAsia="黑体"/>
          <w:b w:val="0"/>
          <w:bCs w:val="0"/>
          <w:sz w:val="24"/>
          <w:szCs w:val="24"/>
        </w:rPr>
      </w:pPr>
    </w:p>
    <w:p w14:paraId="520DE93F">
      <w:pPr>
        <w:pStyle w:val="98"/>
        <w:jc w:val="center"/>
        <w:rPr>
          <w:rFonts w:ascii="黑体" w:hAnsi="黑体" w:eastAsia="黑体"/>
          <w:b w:val="0"/>
          <w:bCs w:val="0"/>
          <w:sz w:val="24"/>
          <w:szCs w:val="24"/>
        </w:rPr>
      </w:pPr>
    </w:p>
    <w:p w14:paraId="4DC0BF17">
      <w:pPr>
        <w:pStyle w:val="98"/>
        <w:jc w:val="center"/>
        <w:rPr>
          <w:rFonts w:ascii="黑体" w:hAnsi="黑体" w:eastAsia="黑体"/>
          <w:b w:val="0"/>
          <w:bCs w:val="0"/>
          <w:sz w:val="24"/>
          <w:szCs w:val="24"/>
        </w:rPr>
      </w:pPr>
    </w:p>
    <w:p w14:paraId="4A8606C4">
      <w:pPr>
        <w:pStyle w:val="98"/>
        <w:jc w:val="center"/>
        <w:rPr>
          <w:rFonts w:ascii="黑体" w:hAnsi="黑体" w:eastAsia="黑体"/>
          <w:b w:val="0"/>
          <w:bCs w:val="0"/>
          <w:sz w:val="24"/>
          <w:szCs w:val="24"/>
        </w:rPr>
      </w:pPr>
    </w:p>
    <w:p w14:paraId="426E253B">
      <w:pPr>
        <w:pStyle w:val="98"/>
        <w:jc w:val="center"/>
        <w:rPr>
          <w:rFonts w:ascii="黑体" w:hAnsi="黑体" w:eastAsia="黑体"/>
          <w:b w:val="0"/>
          <w:bCs w:val="0"/>
          <w:sz w:val="24"/>
          <w:szCs w:val="24"/>
        </w:rPr>
      </w:pPr>
    </w:p>
    <w:p w14:paraId="7AF395CF">
      <w:pPr>
        <w:pStyle w:val="98"/>
        <w:jc w:val="center"/>
        <w:rPr>
          <w:rFonts w:ascii="黑体" w:hAnsi="黑体" w:eastAsia="黑体"/>
          <w:b w:val="0"/>
          <w:bCs w:val="0"/>
          <w:sz w:val="24"/>
          <w:szCs w:val="24"/>
        </w:rPr>
      </w:pPr>
    </w:p>
    <w:p w14:paraId="7E7C99B0">
      <w:pPr>
        <w:pStyle w:val="98"/>
        <w:jc w:val="center"/>
        <w:rPr>
          <w:rFonts w:ascii="黑体" w:hAnsi="黑体" w:eastAsia="黑体"/>
          <w:b w:val="0"/>
          <w:bCs w:val="0"/>
          <w:sz w:val="24"/>
          <w:szCs w:val="24"/>
        </w:rPr>
      </w:pPr>
    </w:p>
    <w:p w14:paraId="44A9AD4F">
      <w:pPr>
        <w:pStyle w:val="98"/>
        <w:jc w:val="center"/>
        <w:rPr>
          <w:rFonts w:ascii="黑体" w:hAnsi="黑体" w:eastAsia="黑体"/>
          <w:b w:val="0"/>
          <w:bCs w:val="0"/>
          <w:sz w:val="24"/>
          <w:szCs w:val="24"/>
        </w:rPr>
      </w:pPr>
    </w:p>
    <w:p w14:paraId="02AC33B4">
      <w:pPr>
        <w:pStyle w:val="98"/>
        <w:jc w:val="center"/>
        <w:rPr>
          <w:rFonts w:ascii="黑体" w:hAnsi="黑体" w:eastAsia="黑体"/>
          <w:b w:val="0"/>
          <w:bCs w:val="0"/>
          <w:sz w:val="24"/>
          <w:szCs w:val="24"/>
        </w:rPr>
      </w:pPr>
    </w:p>
    <w:p w14:paraId="6C0AC297">
      <w:pPr>
        <w:pStyle w:val="98"/>
        <w:jc w:val="center"/>
        <w:rPr>
          <w:rFonts w:ascii="黑体" w:hAnsi="黑体" w:eastAsia="黑体"/>
          <w:b w:val="0"/>
          <w:bCs w:val="0"/>
          <w:sz w:val="24"/>
          <w:szCs w:val="24"/>
        </w:rPr>
      </w:pPr>
    </w:p>
    <w:p w14:paraId="6ED72D46">
      <w:pPr>
        <w:pStyle w:val="98"/>
        <w:jc w:val="center"/>
        <w:rPr>
          <w:rFonts w:ascii="黑体" w:hAnsi="黑体" w:eastAsia="黑体"/>
          <w:b w:val="0"/>
          <w:bCs w:val="0"/>
          <w:sz w:val="24"/>
          <w:szCs w:val="24"/>
        </w:rPr>
      </w:pPr>
    </w:p>
    <w:p w14:paraId="4D140896">
      <w:pPr>
        <w:pStyle w:val="98"/>
        <w:jc w:val="center"/>
        <w:rPr>
          <w:rFonts w:ascii="黑体" w:hAnsi="黑体" w:eastAsia="黑体"/>
          <w:b w:val="0"/>
          <w:bCs w:val="0"/>
          <w:sz w:val="24"/>
          <w:szCs w:val="24"/>
        </w:rPr>
      </w:pPr>
    </w:p>
    <w:p w14:paraId="276BDB7B">
      <w:pPr>
        <w:pStyle w:val="98"/>
        <w:jc w:val="center"/>
        <w:rPr>
          <w:rFonts w:ascii="黑体" w:hAnsi="黑体" w:eastAsia="黑体"/>
          <w:b w:val="0"/>
          <w:bCs w:val="0"/>
          <w:sz w:val="24"/>
          <w:szCs w:val="24"/>
        </w:rPr>
      </w:pPr>
    </w:p>
    <w:p w14:paraId="55981809">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6D583F56">
                            <w:pPr>
                              <w:pStyle w:val="67"/>
                              <w:spacing w:before="600"/>
                              <w:rPr>
                                <w:rFonts w:ascii="黑体" w:hAnsi="黑体" w:eastAsia="黑体"/>
                                <w:sz w:val="36"/>
                                <w:szCs w:val="36"/>
                              </w:rPr>
                            </w:pPr>
                            <w:r>
                              <w:rPr>
                                <w:rFonts w:hint="eastAsia" w:ascii="黑体" w:hAnsi="黑体" w:eastAsia="黑体"/>
                                <w:sz w:val="36"/>
                                <w:szCs w:val="36"/>
                                <w:lang w:val="en-US" w:eastAsia="zh-CN"/>
                              </w:rPr>
                              <w:t>预审</w:t>
                            </w:r>
                            <w:r>
                              <w:rPr>
                                <w:rFonts w:hint="eastAsia" w:ascii="黑体" w:hAnsi="黑体" w:eastAsia="黑体"/>
                                <w:sz w:val="36"/>
                                <w:szCs w:val="36"/>
                              </w:rPr>
                              <w:t>稿</w:t>
                            </w:r>
                          </w:p>
                          <w:p w14:paraId="15A726FB">
                            <w:pPr>
                              <w:pStyle w:val="67"/>
                              <w:spacing w:before="600"/>
                              <w:rPr>
                                <w:rFonts w:hint="eastAsia" w:ascii="黑体" w:hAnsi="黑体" w:eastAsia="黑体"/>
                                <w:sz w:val="36"/>
                                <w:szCs w:val="36"/>
                                <w:lang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4</w:t>
                            </w:r>
                            <w:r>
                              <w:rPr>
                                <w:rFonts w:hint="eastAsia" w:ascii="黑体" w:hAnsi="黑体" w:eastAsia="黑体"/>
                                <w:sz w:val="36"/>
                                <w:szCs w:val="36"/>
                              </w:rPr>
                              <w:t>-</w:t>
                            </w:r>
                            <w:r>
                              <w:rPr>
                                <w:rFonts w:hint="eastAsia" w:ascii="黑体" w:hAnsi="黑体" w:eastAsia="黑体"/>
                                <w:sz w:val="36"/>
                                <w:szCs w:val="36"/>
                                <w:lang w:val="en-US" w:eastAsia="zh-CN"/>
                              </w:rPr>
                              <w:t>9</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14:paraId="6D583F56">
                      <w:pPr>
                        <w:pStyle w:val="67"/>
                        <w:spacing w:before="600"/>
                        <w:rPr>
                          <w:rFonts w:ascii="黑体" w:hAnsi="黑体" w:eastAsia="黑体"/>
                          <w:sz w:val="36"/>
                          <w:szCs w:val="36"/>
                        </w:rPr>
                      </w:pPr>
                      <w:r>
                        <w:rPr>
                          <w:rFonts w:hint="eastAsia" w:ascii="黑体" w:hAnsi="黑体" w:eastAsia="黑体"/>
                          <w:sz w:val="36"/>
                          <w:szCs w:val="36"/>
                          <w:lang w:val="en-US" w:eastAsia="zh-CN"/>
                        </w:rPr>
                        <w:t>预审</w:t>
                      </w:r>
                      <w:r>
                        <w:rPr>
                          <w:rFonts w:hint="eastAsia" w:ascii="黑体" w:hAnsi="黑体" w:eastAsia="黑体"/>
                          <w:sz w:val="36"/>
                          <w:szCs w:val="36"/>
                        </w:rPr>
                        <w:t>稿</w:t>
                      </w:r>
                    </w:p>
                    <w:p w14:paraId="15A726FB">
                      <w:pPr>
                        <w:pStyle w:val="67"/>
                        <w:spacing w:before="600"/>
                        <w:rPr>
                          <w:rFonts w:hint="eastAsia" w:ascii="黑体" w:hAnsi="黑体" w:eastAsia="黑体"/>
                          <w:sz w:val="36"/>
                          <w:szCs w:val="36"/>
                          <w:lang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lang w:val="en-US" w:eastAsia="zh-CN"/>
                        </w:rPr>
                        <w:t>4</w:t>
                      </w:r>
                      <w:r>
                        <w:rPr>
                          <w:rFonts w:hint="eastAsia" w:ascii="黑体" w:hAnsi="黑体" w:eastAsia="黑体"/>
                          <w:sz w:val="36"/>
                          <w:szCs w:val="36"/>
                        </w:rPr>
                        <w:t>-</w:t>
                      </w:r>
                      <w:r>
                        <w:rPr>
                          <w:rFonts w:hint="eastAsia" w:ascii="黑体" w:hAnsi="黑体" w:eastAsia="黑体"/>
                          <w:sz w:val="36"/>
                          <w:szCs w:val="36"/>
                          <w:lang w:val="en-US" w:eastAsia="zh-CN"/>
                        </w:rPr>
                        <w:t>9</w:t>
                      </w:r>
                    </w:p>
                  </w:txbxContent>
                </v:textbox>
                <w10:anchorlock/>
              </v:rect>
            </w:pict>
          </mc:Fallback>
        </mc:AlternateContent>
      </w:r>
    </w:p>
    <w:p w14:paraId="60A4B863">
      <w:pPr>
        <w:pStyle w:val="98"/>
        <w:jc w:val="center"/>
        <w:rPr>
          <w:rFonts w:ascii="黑体" w:hAnsi="黑体" w:eastAsia="黑体"/>
          <w:b w:val="0"/>
          <w:bCs w:val="0"/>
          <w:sz w:val="24"/>
          <w:szCs w:val="24"/>
        </w:rPr>
      </w:pPr>
    </w:p>
    <w:p w14:paraId="5485B151">
      <w:pPr>
        <w:pStyle w:val="98"/>
        <w:jc w:val="center"/>
        <w:rPr>
          <w:rFonts w:ascii="黑体" w:hAnsi="黑体" w:eastAsia="黑体"/>
          <w:b w:val="0"/>
          <w:bCs w:val="0"/>
          <w:sz w:val="24"/>
          <w:szCs w:val="24"/>
        </w:rPr>
      </w:pPr>
    </w:p>
    <w:p w14:paraId="6EAE2478">
      <w:pPr>
        <w:pStyle w:val="98"/>
        <w:jc w:val="center"/>
        <w:rPr>
          <w:rFonts w:ascii="黑体" w:hAnsi="黑体" w:eastAsia="黑体"/>
          <w:b w:val="0"/>
          <w:bCs w:val="0"/>
          <w:sz w:val="24"/>
          <w:szCs w:val="24"/>
        </w:rPr>
      </w:pPr>
    </w:p>
    <w:p w14:paraId="51704646">
      <w:pPr>
        <w:pStyle w:val="98"/>
        <w:jc w:val="center"/>
        <w:rPr>
          <w:rFonts w:ascii="黑体" w:hAnsi="黑体" w:eastAsia="黑体"/>
          <w:b w:val="0"/>
          <w:bCs w:val="0"/>
          <w:sz w:val="24"/>
          <w:szCs w:val="24"/>
        </w:rPr>
      </w:pPr>
    </w:p>
    <w:p w14:paraId="7E453036">
      <w:pPr>
        <w:pStyle w:val="98"/>
        <w:jc w:val="center"/>
        <w:rPr>
          <w:rFonts w:ascii="黑体" w:hAnsi="黑体" w:eastAsia="黑体"/>
          <w:b w:val="0"/>
          <w:bCs w:val="0"/>
          <w:sz w:val="24"/>
          <w:szCs w:val="24"/>
        </w:rPr>
      </w:pPr>
    </w:p>
    <w:p w14:paraId="642EA6C2">
      <w:pPr>
        <w:pStyle w:val="98"/>
        <w:jc w:val="center"/>
        <w:rPr>
          <w:rFonts w:ascii="黑体" w:hAnsi="黑体" w:eastAsia="黑体"/>
          <w:b w:val="0"/>
          <w:bCs w:val="0"/>
          <w:sz w:val="24"/>
          <w:szCs w:val="24"/>
        </w:rPr>
      </w:pPr>
    </w:p>
    <w:p w14:paraId="0082894A">
      <w:pPr>
        <w:pStyle w:val="98"/>
        <w:jc w:val="center"/>
        <w:rPr>
          <w:rFonts w:ascii="黑体" w:hAnsi="黑体" w:eastAsia="黑体"/>
          <w:b w:val="0"/>
          <w:bCs w:val="0"/>
          <w:sz w:val="24"/>
          <w:szCs w:val="24"/>
        </w:rPr>
      </w:pPr>
    </w:p>
    <w:p w14:paraId="0709B332">
      <w:pPr>
        <w:pStyle w:val="98"/>
        <w:jc w:val="center"/>
        <w:rPr>
          <w:rFonts w:ascii="黑体" w:hAnsi="黑体" w:eastAsia="黑体"/>
          <w:b w:val="0"/>
          <w:bCs w:val="0"/>
          <w:sz w:val="24"/>
          <w:szCs w:val="24"/>
        </w:rPr>
      </w:pPr>
    </w:p>
    <w:p w14:paraId="5258344D">
      <w:pPr>
        <w:pStyle w:val="98"/>
        <w:jc w:val="center"/>
        <w:rPr>
          <w:rFonts w:ascii="黑体" w:hAnsi="黑体" w:eastAsia="黑体"/>
          <w:b w:val="0"/>
          <w:bCs w:val="0"/>
          <w:sz w:val="24"/>
          <w:szCs w:val="24"/>
        </w:rPr>
      </w:pPr>
    </w:p>
    <w:p w14:paraId="660B44CE">
      <w:pPr>
        <w:pStyle w:val="98"/>
        <w:jc w:val="center"/>
        <w:rPr>
          <w:rFonts w:ascii="黑体" w:hAnsi="黑体" w:eastAsia="黑体"/>
          <w:b w:val="0"/>
          <w:bCs w:val="0"/>
          <w:sz w:val="24"/>
          <w:szCs w:val="24"/>
        </w:rPr>
      </w:pPr>
    </w:p>
    <w:p w14:paraId="29D1196A">
      <w:pPr>
        <w:pStyle w:val="98"/>
        <w:jc w:val="center"/>
        <w:rPr>
          <w:rFonts w:ascii="黑体" w:hAnsi="黑体" w:eastAsia="黑体"/>
          <w:b w:val="0"/>
          <w:bCs w:val="0"/>
          <w:sz w:val="24"/>
          <w:szCs w:val="24"/>
        </w:rPr>
      </w:pPr>
    </w:p>
    <w:p w14:paraId="60223242">
      <w:pPr>
        <w:pStyle w:val="98"/>
        <w:jc w:val="center"/>
        <w:rPr>
          <w:rFonts w:ascii="黑体" w:hAnsi="黑体" w:eastAsia="黑体"/>
          <w:b w:val="0"/>
          <w:bCs w:val="0"/>
          <w:sz w:val="24"/>
          <w:szCs w:val="24"/>
        </w:rPr>
      </w:pPr>
    </w:p>
    <w:p w14:paraId="7AAF4CC4">
      <w:pPr>
        <w:pStyle w:val="98"/>
        <w:jc w:val="center"/>
        <w:rPr>
          <w:rFonts w:ascii="黑体" w:hAnsi="黑体" w:eastAsia="黑体"/>
          <w:b w:val="0"/>
          <w:bCs w:val="0"/>
          <w:sz w:val="24"/>
          <w:szCs w:val="24"/>
        </w:rPr>
      </w:pPr>
    </w:p>
    <w:p w14:paraId="75E989CA">
      <w:pPr>
        <w:pStyle w:val="98"/>
        <w:jc w:val="center"/>
        <w:rPr>
          <w:rFonts w:ascii="黑体" w:hAnsi="黑体" w:eastAsia="黑体"/>
          <w:b w:val="0"/>
          <w:bCs w:val="0"/>
          <w:sz w:val="24"/>
          <w:szCs w:val="24"/>
        </w:rPr>
      </w:pPr>
      <w:r>
        <w:rPr>
          <w:b w:val="0"/>
          <w:bCs w:val="0"/>
        </w:rP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6FD6E607">
                            <w:pPr>
                              <w:pStyle w:val="75"/>
                              <w:rPr>
                                <w:rFonts w:ascii="宋体" w:hAnsi="宋体" w:eastAsia="宋体" w:cs="宋体"/>
                                <w:spacing w:val="58"/>
                                <w:w w:val="120"/>
                                <w:kern w:val="2"/>
                                <w:sz w:val="28"/>
                                <w:szCs w:val="28"/>
                              </w:rPr>
                            </w:pPr>
                          </w:p>
                          <w:p w14:paraId="47B6C924">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铝及铝合金压滤法测渣仪</w:t>
                            </w:r>
                            <w:r>
                              <w:rPr>
                                <w:rFonts w:hint="eastAsia" w:ascii="宋体" w:hAnsi="宋体" w:cs="宋体"/>
                                <w:spacing w:val="58"/>
                                <w:w w:val="120"/>
                                <w:sz w:val="28"/>
                                <w:szCs w:val="28"/>
                              </w:rPr>
                              <w:t>校准规范</w:t>
                            </w:r>
                          </w:p>
                          <w:p w14:paraId="06143CAA">
                            <w:pPr>
                              <w:jc w:val="center"/>
                              <w:rPr>
                                <w:rFonts w:ascii="宋体" w:hAnsi="宋体" w:cs="宋体"/>
                                <w:sz w:val="28"/>
                                <w:szCs w:val="28"/>
                              </w:rPr>
                            </w:pPr>
                            <w:r>
                              <w:rPr>
                                <w:rFonts w:hint="eastAsia" w:ascii="宋体" w:hAnsi="宋体" w:cs="宋体"/>
                                <w:spacing w:val="58"/>
                                <w:w w:val="120"/>
                                <w:sz w:val="28"/>
                                <w:szCs w:val="28"/>
                              </w:rPr>
                              <w:t>编制组</w:t>
                            </w:r>
                          </w:p>
                          <w:p w14:paraId="703B9137">
                            <w:pPr>
                              <w:pStyle w:val="114"/>
                              <w:rPr>
                                <w:rFonts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西南铝业（集团）有限责任</w:t>
                            </w:r>
                            <w:r>
                              <w:rPr>
                                <w:rFonts w:hint="eastAsia" w:ascii="宋体" w:hAnsi="宋体" w:eastAsia="宋体" w:cs="宋体"/>
                                <w:sz w:val="28"/>
                                <w:szCs w:val="28"/>
                              </w:rPr>
                              <w:t>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6FD6E607">
                      <w:pPr>
                        <w:pStyle w:val="75"/>
                        <w:rPr>
                          <w:rFonts w:ascii="宋体" w:hAnsi="宋体" w:eastAsia="宋体" w:cs="宋体"/>
                          <w:spacing w:val="58"/>
                          <w:w w:val="120"/>
                          <w:kern w:val="2"/>
                          <w:sz w:val="28"/>
                          <w:szCs w:val="28"/>
                        </w:rPr>
                      </w:pPr>
                    </w:p>
                    <w:p w14:paraId="47B6C924">
                      <w:pPr>
                        <w:jc w:val="center"/>
                        <w:rPr>
                          <w:rFonts w:ascii="宋体" w:hAnsi="宋体" w:cs="宋体"/>
                          <w:spacing w:val="58"/>
                          <w:w w:val="120"/>
                          <w:sz w:val="28"/>
                          <w:szCs w:val="28"/>
                        </w:rPr>
                      </w:pPr>
                      <w:r>
                        <w:rPr>
                          <w:rFonts w:hint="eastAsia" w:ascii="宋体" w:hAnsi="宋体" w:cs="宋体"/>
                          <w:spacing w:val="58"/>
                          <w:w w:val="120"/>
                          <w:sz w:val="28"/>
                          <w:szCs w:val="28"/>
                          <w:lang w:val="en-US" w:eastAsia="zh-CN"/>
                        </w:rPr>
                        <w:t>铝及铝合金压滤法测渣仪</w:t>
                      </w:r>
                      <w:r>
                        <w:rPr>
                          <w:rFonts w:hint="eastAsia" w:ascii="宋体" w:hAnsi="宋体" w:cs="宋体"/>
                          <w:spacing w:val="58"/>
                          <w:w w:val="120"/>
                          <w:sz w:val="28"/>
                          <w:szCs w:val="28"/>
                        </w:rPr>
                        <w:t>校准规范</w:t>
                      </w:r>
                    </w:p>
                    <w:p w14:paraId="06143CAA">
                      <w:pPr>
                        <w:jc w:val="center"/>
                        <w:rPr>
                          <w:rFonts w:ascii="宋体" w:hAnsi="宋体" w:cs="宋体"/>
                          <w:sz w:val="28"/>
                          <w:szCs w:val="28"/>
                        </w:rPr>
                      </w:pPr>
                      <w:r>
                        <w:rPr>
                          <w:rFonts w:hint="eastAsia" w:ascii="宋体" w:hAnsi="宋体" w:cs="宋体"/>
                          <w:spacing w:val="58"/>
                          <w:w w:val="120"/>
                          <w:sz w:val="28"/>
                          <w:szCs w:val="28"/>
                        </w:rPr>
                        <w:t>编制组</w:t>
                      </w:r>
                    </w:p>
                    <w:p w14:paraId="703B9137">
                      <w:pPr>
                        <w:pStyle w:val="114"/>
                        <w:rPr>
                          <w:rFonts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val="en-US" w:eastAsia="zh-CN"/>
                        </w:rPr>
                        <w:t>西南铝业（集团）有限责任</w:t>
                      </w:r>
                      <w:r>
                        <w:rPr>
                          <w:rFonts w:hint="eastAsia" w:ascii="宋体" w:hAnsi="宋体" w:eastAsia="宋体" w:cs="宋体"/>
                          <w:sz w:val="28"/>
                          <w:szCs w:val="28"/>
                        </w:rPr>
                        <w:t>公司</w:t>
                      </w:r>
                    </w:p>
                  </w:txbxContent>
                </v:textbox>
                <w10:anchorlock/>
              </v:rect>
            </w:pict>
          </mc:Fallback>
        </mc:AlternateContent>
      </w:r>
    </w:p>
    <w:p w14:paraId="08C76235">
      <w:pPr>
        <w:pStyle w:val="98"/>
        <w:jc w:val="center"/>
        <w:rPr>
          <w:rFonts w:ascii="黑体" w:hAnsi="黑体" w:eastAsia="黑体"/>
          <w:b w:val="0"/>
          <w:bCs w:val="0"/>
          <w:sz w:val="24"/>
          <w:szCs w:val="24"/>
        </w:rPr>
      </w:pPr>
    </w:p>
    <w:p w14:paraId="207D3399">
      <w:pPr>
        <w:pStyle w:val="98"/>
        <w:jc w:val="center"/>
        <w:rPr>
          <w:rFonts w:ascii="黑体" w:hAnsi="黑体" w:eastAsia="黑体"/>
          <w:b w:val="0"/>
          <w:bCs w:val="0"/>
          <w:sz w:val="24"/>
          <w:szCs w:val="24"/>
        </w:rPr>
      </w:pPr>
    </w:p>
    <w:p w14:paraId="2A2979CC">
      <w:pPr>
        <w:pStyle w:val="98"/>
        <w:jc w:val="center"/>
        <w:rPr>
          <w:rFonts w:ascii="黑体" w:hAnsi="黑体" w:eastAsia="黑体"/>
          <w:b w:val="0"/>
          <w:bCs w:val="0"/>
          <w:sz w:val="24"/>
          <w:szCs w:val="24"/>
        </w:rPr>
      </w:pPr>
    </w:p>
    <w:p w14:paraId="1C6E7CC3">
      <w:pPr>
        <w:pStyle w:val="98"/>
        <w:jc w:val="center"/>
        <w:rPr>
          <w:rFonts w:ascii="黑体" w:hAnsi="黑体" w:eastAsia="黑体"/>
          <w:b w:val="0"/>
          <w:bCs w:val="0"/>
          <w:sz w:val="24"/>
          <w:szCs w:val="24"/>
        </w:rPr>
      </w:pPr>
    </w:p>
    <w:p w14:paraId="1F92AC1C">
      <w:pPr>
        <w:pStyle w:val="98"/>
        <w:jc w:val="center"/>
        <w:rPr>
          <w:rFonts w:ascii="黑体" w:hAnsi="黑体" w:eastAsia="黑体"/>
          <w:b w:val="0"/>
          <w:bCs w:val="0"/>
          <w:sz w:val="24"/>
          <w:szCs w:val="24"/>
        </w:rPr>
      </w:pPr>
    </w:p>
    <w:p w14:paraId="0C6A8990">
      <w:pPr>
        <w:pStyle w:val="98"/>
        <w:jc w:val="center"/>
        <w:rPr>
          <w:rFonts w:ascii="黑体" w:hAnsi="黑体" w:eastAsia="黑体"/>
          <w:b w:val="0"/>
          <w:bCs w:val="0"/>
          <w:sz w:val="24"/>
          <w:szCs w:val="24"/>
        </w:rPr>
      </w:pPr>
    </w:p>
    <w:p w14:paraId="6F63AF80">
      <w:pPr>
        <w:pStyle w:val="98"/>
        <w:jc w:val="center"/>
        <w:rPr>
          <w:rFonts w:ascii="黑体" w:hAnsi="黑体" w:eastAsia="黑体"/>
          <w:b w:val="0"/>
          <w:bCs w:val="0"/>
          <w:sz w:val="24"/>
          <w:szCs w:val="24"/>
        </w:rPr>
      </w:pPr>
    </w:p>
    <w:p w14:paraId="4518B1F7">
      <w:pPr>
        <w:pStyle w:val="2"/>
        <w:spacing w:before="156" w:after="156"/>
        <w:rPr>
          <w:b w:val="0"/>
          <w:bCs w:val="0"/>
        </w:rPr>
      </w:pPr>
      <w:r>
        <w:rPr>
          <w:rFonts w:hint="eastAsia"/>
          <w:b w:val="0"/>
          <w:bCs w:val="0"/>
        </w:rPr>
        <w:t>一、工作简况</w:t>
      </w:r>
      <w:bookmarkEnd w:id="0"/>
      <w:bookmarkStart w:id="2" w:name="_Toc464728896"/>
    </w:p>
    <w:p w14:paraId="75FBB674">
      <w:pPr>
        <w:pStyle w:val="3"/>
        <w:spacing w:before="156" w:after="156"/>
        <w:rPr>
          <w:b w:val="0"/>
          <w:bCs w:val="0"/>
        </w:rPr>
      </w:pPr>
      <w:r>
        <w:rPr>
          <w:rFonts w:hint="eastAsia"/>
          <w:b w:val="0"/>
          <w:bCs w:val="0"/>
        </w:rPr>
        <w:t>1.立项目的</w:t>
      </w:r>
    </w:p>
    <w:p w14:paraId="7FA149FF">
      <w:pPr>
        <w:pStyle w:val="21"/>
        <w:spacing w:line="400" w:lineRule="exact"/>
        <w:ind w:firstLine="420" w:firstLineChars="200"/>
        <w:rPr>
          <w:rFonts w:hint="eastAsia" w:hAnsi="宋体"/>
          <w:b w:val="0"/>
          <w:bCs w:val="0"/>
          <w:szCs w:val="21"/>
        </w:rPr>
      </w:pPr>
      <w:r>
        <w:rPr>
          <w:rFonts w:hint="eastAsia" w:hAnsi="宋体"/>
          <w:b w:val="0"/>
          <w:bCs w:val="0"/>
          <w:szCs w:val="21"/>
        </w:rPr>
        <w:t>在铝合金熔铸过程中，将产生氧化物等夹渣进入铸锭，影响铸锭的冶金质量，从而降低铝产品的力学性能、加工性能、疲劳性能、抗蚀性与阳极氧化等，因而需采用熔体净化工艺除去铝熔体中的夹渣，铝及铝合金测渣仪是用来检测和评价铝熔体中夹渣含量与除渣工艺效果的关键检测仪器，对提高铝产品质量具有重要意义。铝及铝合金测渣仪根据测量方法不同，可分为压滤法、无损检测法、现场快速试验法、化学分析法等，目前压滤法测渣仪是常用仪器之一，在熔铸生产现场得到应用。为保证铝及铝合金压滤法测渣仪测试结果的准确可靠，需要对其进行校准，以有利于铝产业质量提升，有利于设备的研制和推广应用。</w:t>
      </w:r>
    </w:p>
    <w:p w14:paraId="33748486">
      <w:pPr>
        <w:pStyle w:val="3"/>
        <w:spacing w:before="156" w:after="156"/>
        <w:rPr>
          <w:b w:val="0"/>
          <w:bCs w:val="0"/>
        </w:rPr>
      </w:pPr>
      <w:r>
        <w:rPr>
          <w:rFonts w:hint="eastAsia"/>
          <w:b w:val="0"/>
          <w:bCs w:val="0"/>
        </w:rPr>
        <w:t>2.任务来源</w:t>
      </w:r>
      <w:bookmarkEnd w:id="2"/>
    </w:p>
    <w:p w14:paraId="6C4EC016">
      <w:pPr>
        <w:spacing w:after="0" w:line="360" w:lineRule="auto"/>
        <w:ind w:firstLine="420" w:firstLineChars="200"/>
        <w:rPr>
          <w:rFonts w:hint="eastAsia"/>
          <w:szCs w:val="21"/>
        </w:rPr>
      </w:pPr>
      <w:r>
        <w:rPr>
          <w:rFonts w:hint="eastAsia"/>
          <w:szCs w:val="21"/>
        </w:rPr>
        <w:t>根据工业和信息化部《关于印发2023年行业计量技术规范制修订计划的通知》（工厅科［2023］476号）文的要求，行业计量技术规范《铝及铝合金压滤法测渣仪校准规范》由西南铝业（集团）有限责任公司负责起草。该项目计划编号为JJFZ（有色金属）001-2023。按计划要求，本计量规范应于202</w:t>
      </w:r>
      <w:r>
        <w:rPr>
          <w:rFonts w:hint="eastAsia"/>
          <w:szCs w:val="21"/>
          <w:lang w:val="en-US" w:eastAsia="zh-CN"/>
        </w:rPr>
        <w:t>4</w:t>
      </w:r>
      <w:r>
        <w:rPr>
          <w:rFonts w:hint="eastAsia"/>
          <w:szCs w:val="21"/>
        </w:rPr>
        <w:t>年</w:t>
      </w:r>
      <w:r>
        <w:rPr>
          <w:rFonts w:hint="eastAsia"/>
          <w:szCs w:val="21"/>
          <w:lang w:val="en-US" w:eastAsia="zh-CN"/>
        </w:rPr>
        <w:t>11月</w:t>
      </w:r>
      <w:r>
        <w:rPr>
          <w:rFonts w:hint="eastAsia"/>
          <w:szCs w:val="21"/>
        </w:rPr>
        <w:t>完成制定。</w:t>
      </w:r>
    </w:p>
    <w:p w14:paraId="7285DE43">
      <w:pPr>
        <w:pStyle w:val="3"/>
        <w:spacing w:before="156" w:after="156"/>
        <w:rPr>
          <w:b w:val="0"/>
          <w:bCs w:val="0"/>
        </w:rPr>
      </w:pPr>
      <w:r>
        <w:rPr>
          <w:rFonts w:hint="eastAsia"/>
          <w:b w:val="0"/>
          <w:bCs w:val="0"/>
        </w:rPr>
        <w:t>3.项目编制组单位简况</w:t>
      </w:r>
    </w:p>
    <w:p w14:paraId="5C80AFEB">
      <w:pPr>
        <w:pStyle w:val="4"/>
        <w:spacing w:before="156" w:after="156"/>
        <w:rPr>
          <w:b w:val="0"/>
          <w:bCs w:val="0"/>
        </w:rPr>
      </w:pPr>
      <w:r>
        <w:rPr>
          <w:rFonts w:hint="eastAsia"/>
          <w:b w:val="0"/>
          <w:bCs w:val="0"/>
        </w:rPr>
        <w:t>3.1编制组成员单位</w:t>
      </w:r>
    </w:p>
    <w:p w14:paraId="40014D57">
      <w:pPr>
        <w:widowControl/>
        <w:autoSpaceDE w:val="0"/>
        <w:autoSpaceDN w:val="0"/>
        <w:spacing w:line="400" w:lineRule="exact"/>
        <w:ind w:firstLine="420" w:firstLineChars="200"/>
        <w:rPr>
          <w:rFonts w:hint="default"/>
          <w:b w:val="0"/>
          <w:bCs w:val="0"/>
          <w:szCs w:val="21"/>
        </w:rPr>
      </w:pPr>
      <w:bookmarkStart w:id="3" w:name="_Toc462884344"/>
      <w:bookmarkStart w:id="4" w:name="_Toc464728900"/>
      <w:r>
        <w:rPr>
          <w:rFonts w:hint="eastAsia"/>
          <w:b w:val="0"/>
          <w:bCs w:val="0"/>
          <w:szCs w:val="21"/>
        </w:rPr>
        <w:t>本规范的编制组单位为：西南铝业（集团）有限责任公司</w:t>
      </w:r>
      <w:r>
        <w:rPr>
          <w:rFonts w:hint="eastAsia"/>
          <w:b w:val="0"/>
          <w:bCs w:val="0"/>
          <w:szCs w:val="21"/>
          <w:lang w:eastAsia="zh-CN"/>
        </w:rPr>
        <w:t>、有色金属技术经济研究院有限责任公司</w:t>
      </w:r>
      <w:r>
        <w:rPr>
          <w:rFonts w:hint="eastAsia"/>
          <w:b w:val="0"/>
          <w:bCs w:val="0"/>
          <w:szCs w:val="21"/>
        </w:rPr>
        <w:t>、</w:t>
      </w:r>
      <w:r>
        <w:rPr>
          <w:rFonts w:hint="eastAsia"/>
          <w:b w:val="0"/>
          <w:bCs w:val="0"/>
          <w:szCs w:val="21"/>
          <w:lang w:val="en-US" w:eastAsia="zh-CN"/>
        </w:rPr>
        <w:t>中铝材料应用研究院有限公司、东北轻合金有限公司、山东南山铝业股份有限公司、国标（北京）检验认证有限公司、西安汉唐分析检测有限公司、广东省科学院工业分析检测中心</w:t>
      </w:r>
      <w:r>
        <w:rPr>
          <w:rFonts w:hint="eastAsia"/>
          <w:b w:val="0"/>
          <w:bCs w:val="0"/>
          <w:szCs w:val="21"/>
        </w:rPr>
        <w:t>。</w:t>
      </w:r>
    </w:p>
    <w:p w14:paraId="7D4F1A94">
      <w:pPr>
        <w:pStyle w:val="4"/>
        <w:spacing w:before="156" w:after="156"/>
        <w:rPr>
          <w:b w:val="0"/>
          <w:bCs w:val="0"/>
        </w:rPr>
      </w:pPr>
      <w:r>
        <w:rPr>
          <w:rFonts w:hint="eastAsia"/>
          <w:b w:val="0"/>
          <w:bCs w:val="0"/>
        </w:rPr>
        <w:t>3.2 主编单位简介</w:t>
      </w:r>
    </w:p>
    <w:bookmarkEnd w:id="3"/>
    <w:bookmarkEnd w:id="4"/>
    <w:p w14:paraId="515BC23A">
      <w:pPr>
        <w:spacing w:line="400" w:lineRule="exact"/>
        <w:ind w:firstLine="420" w:firstLineChars="200"/>
        <w:contextualSpacing/>
        <w:jc w:val="left"/>
        <w:rPr>
          <w:rFonts w:hint="eastAsia"/>
          <w:b w:val="0"/>
          <w:bCs w:val="0"/>
          <w:szCs w:val="21"/>
          <w:lang w:val="en-US" w:eastAsia="zh-CN"/>
        </w:rPr>
      </w:pPr>
      <w:r>
        <w:rPr>
          <w:rFonts w:hint="eastAsia"/>
          <w:b w:val="0"/>
          <w:bCs w:val="0"/>
          <w:szCs w:val="21"/>
          <w:lang w:val="en-US" w:eastAsia="zh-CN"/>
        </w:rPr>
        <w:t>西南铝业(集团)有限责任公司(简称西南铝)位于重庆市九龙坡区西彭镇,前身为冶金部112厂、西南铝加工厂，始建于1965年7月，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拥有国家级企业技术中心。西南铝建有校准实验室与检测实验室，均通过了CNAS认可，具备对闭路循环法铝及铝合金液态测氢仪、衡器、电子天平、压力表、数字压力计、温度显示仪等166项测量仪器的CNAS校准能力，检测实验室是空客、赛峰等民用航空授权试验室，具备铝合金材料的力学性能、硬度、制耳率、深冲性能、疲劳、断裂韧性等性能检测能力，具备铝合金材料的化学成分、固态测氢等分析检测能力，具备铝合金材料的晶间腐蚀、剥落腐蚀、C形环应力腐蚀、拉伸应力腐蚀等腐蚀性能检测能力，具备铝合金材料显微组织结构、SEM分析、微区组分等分析检测能力，具备铝合金材料的失效分析检测能力，可为铝产业提供金相、机械性能、腐蚀、化学成分等专业检测服务。西南铝主持和参与国家、行业标准277项，作为主编单位起草了《行业校准规范《闭路循环法铝及铝合金液态测氢仪校准规范》、《电热恒温水浴锅校准规范》、《电子式温湿度计校准规范》、《油膜测厚仪校准规范校准规范》、《支辊式弯曲试验机校准规范》、《叉式热电偶校准规范》、《铝板带在线测厚仪校准规范》，参与了行业标准《铝及铝合金熔体离线渣含量检测方法  压滤法》的起草。</w:t>
      </w:r>
    </w:p>
    <w:p w14:paraId="1BFEC3A0">
      <w:pPr>
        <w:spacing w:line="400" w:lineRule="exact"/>
        <w:ind w:firstLine="420" w:firstLineChars="200"/>
        <w:contextualSpacing/>
        <w:jc w:val="left"/>
        <w:rPr>
          <w:rFonts w:hint="eastAsia"/>
          <w:b w:val="0"/>
          <w:bCs w:val="0"/>
          <w:szCs w:val="21"/>
        </w:rPr>
      </w:pPr>
      <w:r>
        <w:rPr>
          <w:rFonts w:hint="eastAsia"/>
          <w:b w:val="0"/>
          <w:bCs w:val="0"/>
          <w:szCs w:val="21"/>
          <w:lang w:val="en-US" w:eastAsia="zh-CN"/>
        </w:rPr>
        <w:t>该单位主要负责本规范的起草工作，成立编制组并根据委员会的工作安排组织编制组成员单位开展相关校准工作，组织各单位对规范的《征求意见稿》、《预审稿》及《送审稿》进行认真的讨论，并就提出的意见和建议进行反馈和修改，在编制组中发挥了主要带头作用。</w:t>
      </w:r>
    </w:p>
    <w:p w14:paraId="6220CB61">
      <w:pPr>
        <w:pStyle w:val="60"/>
        <w:numPr>
          <w:ilvl w:val="0"/>
          <w:numId w:val="0"/>
        </w:numPr>
        <w:spacing w:before="156" w:beforeLines="50" w:after="156" w:afterLines="50"/>
        <w:rPr>
          <w:b w:val="0"/>
          <w:bCs w:val="0"/>
          <w:color w:val="auto"/>
        </w:rPr>
      </w:pPr>
      <w:bookmarkStart w:id="5" w:name="_Toc464728901"/>
      <w:bookmarkStart w:id="6" w:name="_Toc462884345"/>
      <w:r>
        <w:rPr>
          <w:rFonts w:hint="eastAsia"/>
          <w:b w:val="0"/>
          <w:bCs w:val="0"/>
          <w:color w:val="auto"/>
        </w:rPr>
        <w:t>3.3成员单位简介</w:t>
      </w:r>
      <w:bookmarkEnd w:id="5"/>
      <w:bookmarkEnd w:id="6"/>
    </w:p>
    <w:p w14:paraId="129C725A">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3.3.1</w:t>
      </w:r>
      <w:r>
        <w:rPr>
          <w:rFonts w:hint="eastAsia" w:ascii="Times New Roman"/>
          <w:b w:val="0"/>
          <w:bCs w:val="0"/>
        </w:rPr>
        <w:t xml:space="preserve">  </w:t>
      </w:r>
      <w:r>
        <w:rPr>
          <w:rFonts w:hint="eastAsia"/>
          <w:b w:val="0"/>
          <w:bCs w:val="0"/>
          <w:szCs w:val="21"/>
          <w:lang w:eastAsia="zh-CN"/>
        </w:rPr>
        <w:t>有色金属技术经济研究院有限责任公司</w:t>
      </w:r>
    </w:p>
    <w:p w14:paraId="110FE7A0">
      <w:pPr>
        <w:spacing w:line="400" w:lineRule="exact"/>
        <w:ind w:firstLine="420" w:firstLineChars="200"/>
        <w:rPr>
          <w:rFonts w:hint="eastAsia"/>
          <w:b w:val="0"/>
          <w:bCs w:val="0"/>
          <w:szCs w:val="21"/>
          <w:lang w:eastAsia="zh-CN"/>
        </w:rPr>
      </w:pPr>
      <w:r>
        <w:rPr>
          <w:rFonts w:hint="eastAsia"/>
          <w:bCs/>
          <w:color w:val="auto"/>
          <w:lang w:val="en-US" w:eastAsia="zh-CN"/>
        </w:rPr>
        <w:t>有色金属技术经济研究院有限责任公司成立于1983年3月，是中央所属242家转制科研院所之一，于1999年7月由国家全额拨款科研事业单位转制为科技型企业，变更为现名称。隶属于中国有色金属工业协会（以下简称“协会”），获批设立了国家级博士后科研工作站，是国家级高新技术企业和北京市高新技术企业。有五个主要业务板块，分别为信息咨询、标准专利、媒体宣传、分会工作及贸易投资，是我国有色金属行业专职从事产业发展战略研究与规划、市场信息服务与咨询、标准质量研究与专利查新、行业期刊出版发行、行业会议策划与组织的综合性科技服务机构，对外又称“中国有色金属工业信息中心”和“中国有色金属工业标准计量质量研究所”。有色金属行业计量技术委员会是有色金属技术经济研究院有限责任公司下属机构，负责有色金属金属行业计量技术规范制修订工作。该机构旨在充分发挥有色金属行业生产、科研、教学、质量检验和计量器具生产诸方面计量专家的作用，更好地开展有色金属行业的量值溯源、规范制修订、能力验证和提高计量标准建设与完善计量技术及其管理体系等工作。有色计量委员会是国家市场监督管理总局统一规划，受工业和信息化部的业务管理，由中国有色金属工业协会组建，从事有色金属行业计量技术及其管理工作的技术性组织，负责本行业计量技术规范的计划制定、修订、宣贯及有关政策的咨询工作。目前已发布行业规范20余项，在研40余项。</w:t>
      </w:r>
    </w:p>
    <w:p w14:paraId="74754524">
      <w:pPr>
        <w:spacing w:line="400" w:lineRule="exact"/>
        <w:ind w:firstLine="420" w:firstLineChars="200"/>
        <w:rPr>
          <w:rFonts w:hint="eastAsia"/>
          <w:b w:val="0"/>
          <w:bCs w:val="0"/>
          <w:szCs w:val="21"/>
          <w:lang w:eastAsia="zh-CN"/>
        </w:rPr>
      </w:pPr>
      <w:r>
        <w:rPr>
          <w:rFonts w:hint="eastAsia"/>
          <w:b w:val="0"/>
          <w:bCs w:val="0"/>
          <w:szCs w:val="21"/>
          <w:lang w:val="en-US" w:eastAsia="zh-CN"/>
        </w:rPr>
        <w:t>该</w:t>
      </w:r>
      <w:r>
        <w:rPr>
          <w:rFonts w:hint="eastAsia"/>
          <w:b w:val="0"/>
          <w:bCs w:val="0"/>
          <w:szCs w:val="21"/>
        </w:rPr>
        <w:t>单位积极</w:t>
      </w:r>
      <w:r>
        <w:rPr>
          <w:rFonts w:hint="eastAsia"/>
          <w:b w:val="0"/>
          <w:bCs w:val="0"/>
          <w:szCs w:val="21"/>
          <w:lang w:val="en-US" w:eastAsia="zh-CN"/>
        </w:rPr>
        <w:t>参与</w:t>
      </w:r>
      <w:r>
        <w:rPr>
          <w:rFonts w:hint="eastAsia"/>
          <w:b w:val="0"/>
          <w:bCs w:val="0"/>
          <w:szCs w:val="21"/>
        </w:rPr>
        <w:t>编制组</w:t>
      </w:r>
      <w:r>
        <w:rPr>
          <w:rFonts w:hint="eastAsia"/>
          <w:b w:val="0"/>
          <w:bCs w:val="0"/>
          <w:szCs w:val="21"/>
          <w:lang w:val="en-US" w:eastAsia="zh-CN"/>
        </w:rPr>
        <w:t>的</w:t>
      </w:r>
      <w:r>
        <w:rPr>
          <w:rFonts w:hint="eastAsia"/>
          <w:b w:val="0"/>
          <w:bCs w:val="0"/>
          <w:szCs w:val="21"/>
        </w:rPr>
        <w:t>各</w:t>
      </w:r>
      <w:r>
        <w:rPr>
          <w:rFonts w:hint="eastAsia"/>
          <w:b w:val="0"/>
          <w:bCs w:val="0"/>
          <w:szCs w:val="21"/>
          <w:lang w:val="en-US" w:eastAsia="zh-CN"/>
        </w:rPr>
        <w:t>项</w:t>
      </w:r>
      <w:r>
        <w:rPr>
          <w:rFonts w:hint="eastAsia"/>
          <w:b w:val="0"/>
          <w:bCs w:val="0"/>
          <w:szCs w:val="21"/>
        </w:rPr>
        <w:t>工作会议，</w:t>
      </w:r>
      <w:r>
        <w:rPr>
          <w:rFonts w:hint="eastAsia"/>
          <w:b w:val="0"/>
          <w:bCs w:val="0"/>
          <w:szCs w:val="21"/>
          <w:lang w:val="en-US" w:eastAsia="zh-CN"/>
        </w:rPr>
        <w:t>对规范的技术指标、校准方法等内容提出了有效建议，</w:t>
      </w:r>
      <w:r>
        <w:rPr>
          <w:rFonts w:hint="eastAsia"/>
          <w:b w:val="0"/>
          <w:bCs w:val="0"/>
          <w:szCs w:val="21"/>
        </w:rPr>
        <w:t>在编制组中发挥了</w:t>
      </w:r>
      <w:r>
        <w:rPr>
          <w:rFonts w:hint="eastAsia"/>
          <w:b w:val="0"/>
          <w:bCs w:val="0"/>
          <w:szCs w:val="21"/>
          <w:lang w:val="en-US" w:eastAsia="zh-CN"/>
        </w:rPr>
        <w:t>主要</w:t>
      </w:r>
      <w:r>
        <w:rPr>
          <w:rFonts w:hint="eastAsia"/>
          <w:b w:val="0"/>
          <w:bCs w:val="0"/>
          <w:szCs w:val="21"/>
        </w:rPr>
        <w:t>作用。</w:t>
      </w:r>
    </w:p>
    <w:p w14:paraId="7DA48B2F">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2</w:t>
      </w:r>
      <w:r>
        <w:rPr>
          <w:rFonts w:hint="eastAsia" w:ascii="Times New Roman"/>
          <w:b w:val="0"/>
          <w:bCs w:val="0"/>
        </w:rPr>
        <w:t xml:space="preserve">   </w:t>
      </w:r>
      <w:r>
        <w:rPr>
          <w:rFonts w:hint="eastAsia"/>
          <w:b w:val="0"/>
          <w:bCs w:val="0"/>
          <w:szCs w:val="21"/>
          <w:lang w:eastAsia="zh-CN"/>
        </w:rPr>
        <w:t>东北轻合金有限责任公司</w:t>
      </w:r>
    </w:p>
    <w:p w14:paraId="75FC8A2E">
      <w:pPr>
        <w:spacing w:line="400" w:lineRule="exact"/>
        <w:ind w:firstLine="420" w:firstLineChars="200"/>
        <w:contextualSpacing/>
        <w:jc w:val="left"/>
        <w:rPr>
          <w:rFonts w:hint="eastAsia"/>
          <w:b w:val="0"/>
          <w:bCs w:val="0"/>
          <w:szCs w:val="21"/>
          <w:lang w:eastAsia="zh-CN"/>
        </w:rPr>
      </w:pPr>
      <w:r>
        <w:rPr>
          <w:rFonts w:hint="eastAsia"/>
          <w:b w:val="0"/>
          <w:bCs w:val="0"/>
          <w:szCs w:val="21"/>
          <w:lang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AAA级测量管理体系认证证书。</w:t>
      </w:r>
    </w:p>
    <w:p w14:paraId="7437F14A">
      <w:pPr>
        <w:spacing w:line="400" w:lineRule="exact"/>
        <w:ind w:firstLine="420" w:firstLineChars="200"/>
        <w:contextualSpacing/>
        <w:jc w:val="left"/>
        <w:rPr>
          <w:rFonts w:hint="default"/>
          <w:b w:val="0"/>
          <w:bCs w:val="0"/>
          <w:szCs w:val="21"/>
          <w:lang w:val="en-US" w:eastAsia="zh-CN"/>
        </w:rPr>
      </w:pPr>
      <w:r>
        <w:rPr>
          <w:rFonts w:hint="eastAsia"/>
          <w:b w:val="0"/>
          <w:bCs w:val="0"/>
          <w:szCs w:val="21"/>
          <w:lang w:val="en-US" w:eastAsia="zh-CN"/>
        </w:rPr>
        <w:t>该</w:t>
      </w:r>
      <w:r>
        <w:rPr>
          <w:rFonts w:hint="eastAsia"/>
          <w:b w:val="0"/>
          <w:bCs w:val="0"/>
          <w:szCs w:val="21"/>
        </w:rPr>
        <w:t>单位积极</w:t>
      </w:r>
      <w:r>
        <w:rPr>
          <w:rFonts w:hint="eastAsia"/>
          <w:b w:val="0"/>
          <w:bCs w:val="0"/>
          <w:szCs w:val="21"/>
          <w:lang w:val="en-US" w:eastAsia="zh-CN"/>
        </w:rPr>
        <w:t>参与</w:t>
      </w:r>
      <w:r>
        <w:rPr>
          <w:rFonts w:hint="eastAsia"/>
          <w:b w:val="0"/>
          <w:bCs w:val="0"/>
          <w:szCs w:val="21"/>
        </w:rPr>
        <w:t>编制组</w:t>
      </w:r>
      <w:r>
        <w:rPr>
          <w:rFonts w:hint="eastAsia"/>
          <w:b w:val="0"/>
          <w:bCs w:val="0"/>
          <w:szCs w:val="21"/>
          <w:lang w:val="en-US" w:eastAsia="zh-CN"/>
        </w:rPr>
        <w:t>的</w:t>
      </w:r>
      <w:r>
        <w:rPr>
          <w:rFonts w:hint="eastAsia"/>
          <w:b w:val="0"/>
          <w:bCs w:val="0"/>
          <w:szCs w:val="21"/>
        </w:rPr>
        <w:t>各</w:t>
      </w:r>
      <w:r>
        <w:rPr>
          <w:rFonts w:hint="eastAsia"/>
          <w:b w:val="0"/>
          <w:bCs w:val="0"/>
          <w:szCs w:val="21"/>
          <w:lang w:val="en-US" w:eastAsia="zh-CN"/>
        </w:rPr>
        <w:t>项</w:t>
      </w:r>
      <w:r>
        <w:rPr>
          <w:rFonts w:hint="eastAsia"/>
          <w:b w:val="0"/>
          <w:bCs w:val="0"/>
          <w:szCs w:val="21"/>
        </w:rPr>
        <w:t>工作会议，</w:t>
      </w:r>
      <w:r>
        <w:rPr>
          <w:rFonts w:hint="eastAsia"/>
          <w:b w:val="0"/>
          <w:bCs w:val="0"/>
          <w:szCs w:val="21"/>
          <w:lang w:val="en-US" w:eastAsia="zh-CN"/>
        </w:rPr>
        <w:t>对规范的校准方法提出了有效建议，是该规范的验证单位（附验证报告），</w:t>
      </w:r>
      <w:r>
        <w:rPr>
          <w:rFonts w:hint="eastAsia"/>
          <w:b w:val="0"/>
          <w:bCs w:val="0"/>
          <w:szCs w:val="21"/>
        </w:rPr>
        <w:t>在编制组中发挥了</w:t>
      </w:r>
      <w:r>
        <w:rPr>
          <w:rFonts w:hint="eastAsia"/>
          <w:b w:val="0"/>
          <w:bCs w:val="0"/>
          <w:szCs w:val="21"/>
          <w:lang w:val="en-US" w:eastAsia="zh-CN"/>
        </w:rPr>
        <w:t>主要</w:t>
      </w:r>
      <w:r>
        <w:rPr>
          <w:rFonts w:hint="eastAsia"/>
          <w:b w:val="0"/>
          <w:bCs w:val="0"/>
          <w:szCs w:val="21"/>
        </w:rPr>
        <w:t>作用。</w:t>
      </w:r>
    </w:p>
    <w:p w14:paraId="767FB130">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2</w:t>
      </w:r>
      <w:r>
        <w:rPr>
          <w:rFonts w:hint="eastAsia" w:ascii="Times New Roman"/>
          <w:b w:val="0"/>
          <w:bCs w:val="0"/>
        </w:rPr>
        <w:t xml:space="preserve"> </w:t>
      </w:r>
      <w:r>
        <w:rPr>
          <w:rFonts w:hint="eastAsia" w:ascii="Times New Roman"/>
          <w:b w:val="0"/>
          <w:bCs w:val="0"/>
          <w:lang w:val="en-US" w:eastAsia="zh-CN"/>
        </w:rPr>
        <w:t xml:space="preserve"> </w:t>
      </w:r>
      <w:r>
        <w:rPr>
          <w:rFonts w:hint="eastAsia"/>
          <w:b w:val="0"/>
          <w:bCs w:val="0"/>
          <w:szCs w:val="21"/>
          <w:lang w:eastAsia="zh-CN"/>
        </w:rPr>
        <w:t>中铝材料应用研究院有限公司</w:t>
      </w:r>
    </w:p>
    <w:p w14:paraId="0529FE9D">
      <w:pPr>
        <w:pStyle w:val="58"/>
        <w:spacing w:line="360" w:lineRule="auto"/>
        <w:rPr>
          <w:rFonts w:hint="eastAsia" w:cs="Times New Roman"/>
          <w:color w:val="auto"/>
          <w:highlight w:val="none"/>
          <w:lang w:val="en-US" w:eastAsia="zh-CN"/>
        </w:rPr>
      </w:pPr>
      <w:r>
        <w:rPr>
          <w:rFonts w:hint="eastAsia" w:cs="Times New Roman"/>
          <w:color w:val="auto"/>
          <w:highlight w:val="none"/>
          <w:lang w:val="en-US" w:eastAsia="zh-CN"/>
        </w:rPr>
        <w:t>中铝材料应用研究院有限公司是中国高端制造直属的核心研究院，现有员工165人，其中科研人员134人，“千人计划”专家4人，高级以上职称41人，硕士88人，博士41人。试验检验中心（北京、苏州各设一个）为国家CNAS认可机构，具备开展有色金属材料研究和应用技术开发的基本硬件条件。累计承担科研项目98项，其中国家级项目3项，省部级项目4项。</w:t>
      </w:r>
    </w:p>
    <w:p w14:paraId="76846B53">
      <w:pPr>
        <w:pStyle w:val="58"/>
        <w:spacing w:line="360" w:lineRule="auto"/>
        <w:rPr>
          <w:rFonts w:hint="eastAsia" w:cs="Times New Roman"/>
          <w:color w:val="auto"/>
          <w:highlight w:val="none"/>
          <w:lang w:val="en-US" w:eastAsia="zh-CN"/>
        </w:rPr>
      </w:pPr>
      <w:r>
        <w:rPr>
          <w:rFonts w:hint="eastAsia"/>
          <w:b w:val="0"/>
          <w:bCs w:val="0"/>
          <w:szCs w:val="21"/>
          <w:lang w:val="en-US" w:eastAsia="zh-CN"/>
        </w:rPr>
        <w:t>该</w:t>
      </w:r>
      <w:r>
        <w:rPr>
          <w:rFonts w:hint="eastAsia"/>
          <w:b w:val="0"/>
          <w:bCs w:val="0"/>
          <w:szCs w:val="21"/>
        </w:rPr>
        <w:t>单位积极</w:t>
      </w:r>
      <w:r>
        <w:rPr>
          <w:rFonts w:hint="eastAsia"/>
          <w:b w:val="0"/>
          <w:bCs w:val="0"/>
          <w:szCs w:val="21"/>
          <w:lang w:val="en-US" w:eastAsia="zh-CN"/>
        </w:rPr>
        <w:t>参与</w:t>
      </w:r>
      <w:r>
        <w:rPr>
          <w:rFonts w:hint="eastAsia"/>
          <w:b w:val="0"/>
          <w:bCs w:val="0"/>
          <w:szCs w:val="21"/>
        </w:rPr>
        <w:t>编制组</w:t>
      </w:r>
      <w:r>
        <w:rPr>
          <w:rFonts w:hint="eastAsia"/>
          <w:b w:val="0"/>
          <w:bCs w:val="0"/>
          <w:szCs w:val="21"/>
          <w:lang w:val="en-US" w:eastAsia="zh-CN"/>
        </w:rPr>
        <w:t>的</w:t>
      </w:r>
      <w:r>
        <w:rPr>
          <w:rFonts w:hint="eastAsia"/>
          <w:b w:val="0"/>
          <w:bCs w:val="0"/>
          <w:szCs w:val="21"/>
        </w:rPr>
        <w:t>各</w:t>
      </w:r>
      <w:r>
        <w:rPr>
          <w:rFonts w:hint="eastAsia"/>
          <w:b w:val="0"/>
          <w:bCs w:val="0"/>
          <w:szCs w:val="21"/>
          <w:lang w:val="en-US" w:eastAsia="zh-CN"/>
        </w:rPr>
        <w:t>项</w:t>
      </w:r>
      <w:r>
        <w:rPr>
          <w:rFonts w:hint="eastAsia"/>
          <w:b w:val="0"/>
          <w:bCs w:val="0"/>
          <w:szCs w:val="21"/>
        </w:rPr>
        <w:t>工作会议，</w:t>
      </w:r>
      <w:r>
        <w:rPr>
          <w:rFonts w:hint="eastAsia"/>
          <w:b w:val="0"/>
          <w:bCs w:val="0"/>
          <w:szCs w:val="21"/>
          <w:lang w:val="en-US" w:eastAsia="zh-CN"/>
        </w:rPr>
        <w:t>对规范的校准方法提出了有效建议，是该规范的验证单位（附验证报告），</w:t>
      </w:r>
      <w:r>
        <w:rPr>
          <w:rFonts w:hint="eastAsia"/>
          <w:b w:val="0"/>
          <w:bCs w:val="0"/>
          <w:szCs w:val="21"/>
        </w:rPr>
        <w:t>在编制组中发挥了</w:t>
      </w:r>
      <w:r>
        <w:rPr>
          <w:rFonts w:hint="eastAsia"/>
          <w:b w:val="0"/>
          <w:bCs w:val="0"/>
          <w:szCs w:val="21"/>
          <w:lang w:val="en-US" w:eastAsia="zh-CN"/>
        </w:rPr>
        <w:t>主要</w:t>
      </w:r>
      <w:r>
        <w:rPr>
          <w:rFonts w:hint="eastAsia"/>
          <w:b w:val="0"/>
          <w:bCs w:val="0"/>
          <w:szCs w:val="21"/>
        </w:rPr>
        <w:t>作用。</w:t>
      </w:r>
    </w:p>
    <w:p w14:paraId="282F26AF">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3</w:t>
      </w:r>
      <w:r>
        <w:rPr>
          <w:rFonts w:hint="eastAsia" w:ascii="Times New Roman"/>
          <w:b w:val="0"/>
          <w:bCs w:val="0"/>
        </w:rPr>
        <w:t xml:space="preserve">  </w:t>
      </w:r>
      <w:r>
        <w:rPr>
          <w:rFonts w:hint="eastAsia"/>
          <w:b w:val="0"/>
          <w:bCs w:val="0"/>
          <w:szCs w:val="21"/>
          <w:lang w:eastAsia="zh-CN"/>
        </w:rPr>
        <w:t>国标（北京）检验认证有限公司</w:t>
      </w:r>
    </w:p>
    <w:p w14:paraId="03AE46CE">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国标（北京）检验认证有限公司是我国有色行业的材料研究和材料检测的权威机构。该公司运行着国家有色金属质量监督检验中心，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14:paraId="3FC1F886">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4</w:t>
      </w:r>
      <w:r>
        <w:rPr>
          <w:rFonts w:hint="eastAsia" w:ascii="Times New Roman"/>
          <w:b w:val="0"/>
          <w:bCs w:val="0"/>
        </w:rPr>
        <w:t xml:space="preserve">  </w:t>
      </w:r>
      <w:r>
        <w:rPr>
          <w:rFonts w:hint="eastAsia"/>
          <w:b w:val="0"/>
          <w:bCs w:val="0"/>
          <w:szCs w:val="21"/>
          <w:lang w:eastAsia="zh-CN"/>
        </w:rPr>
        <w:t>西安汉唐分析检测有限公司</w:t>
      </w:r>
    </w:p>
    <w:p w14:paraId="5A0B5D24">
      <w:pPr>
        <w:pStyle w:val="58"/>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14:paraId="519A8DC5">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5</w:t>
      </w:r>
      <w:r>
        <w:rPr>
          <w:rFonts w:hint="eastAsia" w:ascii="Times New Roman"/>
          <w:b w:val="0"/>
          <w:bCs w:val="0"/>
        </w:rPr>
        <w:t xml:space="preserve">  </w:t>
      </w:r>
      <w:r>
        <w:rPr>
          <w:rFonts w:hint="eastAsia"/>
          <w:b w:val="0"/>
          <w:bCs w:val="0"/>
          <w:szCs w:val="21"/>
          <w:lang w:eastAsia="zh-CN"/>
        </w:rPr>
        <w:t>山东南山铝业股份有限公司</w:t>
      </w:r>
    </w:p>
    <w:p w14:paraId="728D9484">
      <w:pPr>
        <w:pStyle w:val="58"/>
        <w:spacing w:line="360" w:lineRule="auto"/>
        <w:rPr>
          <w:rFonts w:hint="eastAsia"/>
          <w:color w:val="auto"/>
          <w:highlight w:val="none"/>
          <w:lang w:val="en-US" w:eastAsia="zh-CN"/>
        </w:rPr>
      </w:pPr>
      <w:r>
        <w:rPr>
          <w:rFonts w:hint="eastAsia"/>
          <w:color w:val="auto"/>
          <w:highlight w:val="none"/>
          <w:lang w:val="en-US" w:eastAsia="zh-CN"/>
        </w:rPr>
        <w:t>山东南山铝业股份有限公司拥有目前全球最短最完整的铝加工产业链，拥有国家级企业技术中心，南山科学技术研究院等一流研发机构，其中国家铝合金压力加工工程技术研究中心是行业唯一国家级工程技术研究中心，公司主持起草十几项国家标准，获得全国有色金属标准化技术委员会“技术标准优秀奖”。计量中心为山东南山铝业股份有限公司设立的计量技术机构，计量中心拥有国际、国内先进的精密标准装置和仪器30多台（套），经质量技术监督等部门的考核建立了长、热、力、电等企业最高计量标准，并通过中国合格评定国家认可委员会实验室认可（CNAS）。计量中心建有“精密露点仪标准装置”企业最高计量标准，该标准装置由Optidew Vision 401型冷镜式露点仪、PR710A型精密数字温度计、PR381A型温湿度标准箱以及数显温湿度计、空盒气压表等组成，能够开展各类温湿度计的量值传递工作。</w:t>
      </w:r>
    </w:p>
    <w:p w14:paraId="18665C02">
      <w:pPr>
        <w:pStyle w:val="58"/>
        <w:spacing w:line="360" w:lineRule="auto"/>
        <w:rPr>
          <w:rFonts w:hint="eastAsia"/>
          <w:color w:val="auto"/>
          <w:highlight w:val="none"/>
          <w:lang w:val="en-US" w:eastAsia="zh-CN"/>
        </w:rPr>
      </w:pPr>
      <w:r>
        <w:rPr>
          <w:rFonts w:hint="eastAsia"/>
          <w:color w:val="auto"/>
          <w:highlight w:val="none"/>
          <w:lang w:val="en-US" w:eastAsia="zh-CN"/>
        </w:rPr>
        <w:t>该单位积极参与编制组的各项工作会议，对规范的校准方法提出了有效建议，在编制组中发挥了主要作用。</w:t>
      </w:r>
    </w:p>
    <w:p w14:paraId="00B2244F">
      <w:pPr>
        <w:pStyle w:val="59"/>
        <w:numPr>
          <w:ilvl w:val="0"/>
          <w:numId w:val="0"/>
        </w:numPr>
        <w:spacing w:before="156" w:beforeLines="50" w:after="156" w:afterLines="50"/>
        <w:contextualSpacing/>
        <w:rPr>
          <w:rFonts w:hint="eastAsia"/>
          <w:b w:val="0"/>
          <w:bCs w:val="0"/>
          <w:szCs w:val="21"/>
          <w:lang w:eastAsia="zh-CN"/>
        </w:rPr>
      </w:pPr>
      <w:r>
        <w:rPr>
          <w:rFonts w:hint="eastAsia"/>
          <w:b w:val="0"/>
          <w:bCs w:val="0"/>
        </w:rPr>
        <w:t>3.3.</w:t>
      </w:r>
      <w:r>
        <w:rPr>
          <w:rFonts w:hint="eastAsia"/>
          <w:b w:val="0"/>
          <w:bCs w:val="0"/>
          <w:lang w:val="en-US" w:eastAsia="zh-CN"/>
        </w:rPr>
        <w:t>6</w:t>
      </w:r>
      <w:r>
        <w:rPr>
          <w:rFonts w:hint="eastAsia" w:ascii="Times New Roman"/>
          <w:b w:val="0"/>
          <w:bCs w:val="0"/>
        </w:rPr>
        <w:t xml:space="preserve">  </w:t>
      </w:r>
      <w:r>
        <w:rPr>
          <w:rFonts w:hint="eastAsia"/>
          <w:b w:val="0"/>
          <w:bCs w:val="0"/>
          <w:szCs w:val="21"/>
          <w:lang w:eastAsia="zh-CN"/>
        </w:rPr>
        <w:t>广东省科学院工业分析检测中心</w:t>
      </w:r>
    </w:p>
    <w:p w14:paraId="6465E5CC">
      <w:pPr>
        <w:pStyle w:val="58"/>
        <w:spacing w:line="360" w:lineRule="auto"/>
        <w:rPr>
          <w:rFonts w:hint="eastAsia"/>
          <w:lang w:eastAsia="zh-CN"/>
        </w:rPr>
      </w:pPr>
      <w:r>
        <w:rPr>
          <w:rFonts w:hint="eastAsia"/>
          <w:color w:val="auto"/>
          <w:highlight w:val="none"/>
          <w:lang w:val="en-US" w:eastAsia="zh-CN"/>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100余人，其中教授有15人，高级工程师24人，硕博士20人，具有中级职称以上科技人员占80%。累计申请专利19件，其中授权发明专利8件、授权实用新型专利2件。承担国家、省级各类项目50余项，主持和参与国家、行业标准200余项，发表专著5部，发表论文300余篇。</w:t>
      </w:r>
    </w:p>
    <w:p w14:paraId="18374AD4">
      <w:pPr>
        <w:spacing w:line="400" w:lineRule="exact"/>
        <w:ind w:firstLine="420" w:firstLineChars="200"/>
        <w:contextualSpacing/>
        <w:jc w:val="left"/>
        <w:rPr>
          <w:rFonts w:hint="eastAsia"/>
          <w:b w:val="0"/>
          <w:bCs w:val="0"/>
          <w:szCs w:val="21"/>
          <w:lang w:eastAsia="zh-CN"/>
        </w:rPr>
      </w:pPr>
      <w:r>
        <w:rPr>
          <w:rFonts w:hint="eastAsia"/>
          <w:b w:val="0"/>
          <w:bCs w:val="0"/>
          <w:szCs w:val="21"/>
          <w:lang w:eastAsia="zh-CN"/>
        </w:rPr>
        <w:t>该单位积极参与编制组的各项工作会议，对规范的校准方法提出了有效建议，在编制组中发挥了主要作用。</w:t>
      </w:r>
    </w:p>
    <w:p w14:paraId="1CA26D8A">
      <w:pPr>
        <w:pStyle w:val="60"/>
        <w:numPr>
          <w:ilvl w:val="2"/>
          <w:numId w:val="0"/>
        </w:numPr>
        <w:spacing w:before="156" w:beforeLines="50" w:after="156" w:afterLines="50" w:line="240" w:lineRule="auto"/>
        <w:ind w:leftChars="0"/>
        <w:rPr>
          <w:rFonts w:hint="default" w:ascii="Times New Roman" w:hAnsi="Times New Roman" w:eastAsia="宋体" w:cs="Times New Roman"/>
          <w:color w:val="auto"/>
          <w:sz w:val="21"/>
          <w:szCs w:val="21"/>
        </w:rPr>
      </w:pPr>
      <w:bookmarkStart w:id="7" w:name="_Toc462884347"/>
      <w:bookmarkStart w:id="8" w:name="_Toc464728903"/>
      <w:r>
        <w:rPr>
          <w:rFonts w:hint="eastAsia"/>
          <w:b w:val="0"/>
          <w:bCs w:val="0"/>
          <w:color w:val="auto"/>
        </w:rPr>
        <w:t>3.</w:t>
      </w:r>
      <w:r>
        <w:rPr>
          <w:rFonts w:hint="eastAsia"/>
          <w:b w:val="0"/>
          <w:bCs w:val="0"/>
          <w:color w:val="auto"/>
          <w:lang w:val="en-US" w:eastAsia="zh-CN"/>
        </w:rPr>
        <w:t>4</w:t>
      </w:r>
      <w:r>
        <w:rPr>
          <w:rFonts w:hint="eastAsia" w:ascii="Times New Roman" w:eastAsia="宋体" w:cs="Times New Roman"/>
          <w:color w:val="auto"/>
          <w:sz w:val="21"/>
          <w:szCs w:val="21"/>
          <w:lang w:eastAsia="zh-CN"/>
        </w:rPr>
        <w:t>各单位分工情况</w:t>
      </w:r>
    </w:p>
    <w:p w14:paraId="2F76861B">
      <w:pPr>
        <w:pStyle w:val="58"/>
        <w:spacing w:line="360" w:lineRule="auto"/>
        <w:ind w:left="0" w:leftChars="0" w:firstLine="0" w:firstLineChars="0"/>
        <w:rPr>
          <w:rFonts w:hint="default"/>
          <w:lang w:val="en-US" w:eastAsia="zh-CN"/>
        </w:rPr>
      </w:pPr>
      <w:r>
        <w:rPr>
          <w:rFonts w:hint="eastAsia" w:hAnsi="Times New Roman" w:cs="宋体"/>
          <w:b w:val="0"/>
          <w:bCs w:val="0"/>
          <w:i w:val="0"/>
          <w:color w:val="auto"/>
          <w:spacing w:val="-6"/>
          <w:kern w:val="2"/>
          <w:sz w:val="21"/>
          <w:szCs w:val="21"/>
          <w:lang w:val="en-US" w:eastAsia="zh-CN" w:bidi="ar-SA"/>
        </w:rPr>
        <w:t>3</w:t>
      </w:r>
      <w:r>
        <w:rPr>
          <w:rFonts w:hint="eastAsia" w:ascii="黑体" w:hAnsi="Times New Roman" w:eastAsia="黑体" w:cs="宋体"/>
          <w:b w:val="0"/>
          <w:bCs w:val="0"/>
          <w:i w:val="0"/>
          <w:color w:val="auto"/>
          <w:spacing w:val="-6"/>
          <w:kern w:val="2"/>
          <w:sz w:val="21"/>
          <w:szCs w:val="21"/>
          <w:lang w:val="en-US" w:eastAsia="zh-CN" w:bidi="ar-SA"/>
        </w:rPr>
        <w:t>.</w:t>
      </w:r>
      <w:r>
        <w:rPr>
          <w:rFonts w:hint="eastAsia" w:hAnsi="Times New Roman" w:cs="宋体"/>
          <w:b w:val="0"/>
          <w:bCs w:val="0"/>
          <w:i w:val="0"/>
          <w:color w:val="auto"/>
          <w:spacing w:val="-6"/>
          <w:kern w:val="2"/>
          <w:sz w:val="21"/>
          <w:szCs w:val="21"/>
          <w:lang w:val="en-US" w:eastAsia="zh-CN" w:bidi="ar-SA"/>
        </w:rPr>
        <w:t>4</w:t>
      </w:r>
      <w:r>
        <w:rPr>
          <w:rFonts w:hint="eastAsia" w:ascii="黑体" w:hAnsi="Times New Roman" w:eastAsia="黑体" w:cs="宋体"/>
          <w:b w:val="0"/>
          <w:bCs w:val="0"/>
          <w:i w:val="0"/>
          <w:color w:val="auto"/>
          <w:spacing w:val="-6"/>
          <w:kern w:val="2"/>
          <w:sz w:val="21"/>
          <w:szCs w:val="21"/>
          <w:lang w:val="en-US" w:eastAsia="zh-CN" w:bidi="ar-SA"/>
        </w:rPr>
        <w:t>.1　</w:t>
      </w:r>
      <w:r>
        <w:rPr>
          <w:rFonts w:hint="eastAsia" w:ascii="Times New Roman" w:hAnsi="Times New Roman" w:eastAsia="宋体" w:cs="Times New Roman"/>
          <w:sz w:val="21"/>
          <w:szCs w:val="21"/>
          <w:lang w:val="en-US" w:eastAsia="zh-CN"/>
        </w:rPr>
        <w:t>编制组依据各单位情况，对整个规范的起草进行了分工。西南铝业（集团）有限责任公司（主编单位）负责</w:t>
      </w:r>
      <w:r>
        <w:rPr>
          <w:rFonts w:hint="eastAsia"/>
          <w:color w:val="auto"/>
          <w:highlight w:val="none"/>
          <w:lang w:val="en-US" w:eastAsia="zh-CN"/>
        </w:rPr>
        <w:t>资料</w:t>
      </w:r>
      <w:r>
        <w:rPr>
          <w:rFonts w:hint="eastAsia" w:ascii="Times New Roman" w:hAnsi="Times New Roman" w:eastAsia="宋体" w:cs="Times New Roman"/>
          <w:sz w:val="21"/>
          <w:szCs w:val="21"/>
          <w:lang w:val="en-US" w:eastAsia="zh-CN"/>
        </w:rPr>
        <w:t>的调研、收集，完成分析方法研究工作，撰写标准文稿、编制说明和研究报告。有色金属技术经济研究院有限责任公司、西安汉唐分析检测有限公司、东北轻合金有限责任公司、国标（北京）检验认证有限公司、广东省科学院工业分析检测中心、山东南山铝业股份有限公司、中铝材料应用研究院有限公司对规范内容提出具体修改意见，提供对规范方法的验证工作及完成相应验证报告，并对标准文稿等提出相应修改意见。</w:t>
      </w:r>
    </w:p>
    <w:bookmarkEnd w:id="7"/>
    <w:bookmarkEnd w:id="8"/>
    <w:p w14:paraId="3126F503">
      <w:pPr>
        <w:pStyle w:val="4"/>
        <w:spacing w:before="156" w:after="156"/>
        <w:rPr>
          <w:b w:val="0"/>
          <w:bCs w:val="0"/>
        </w:rPr>
      </w:pPr>
      <w:bookmarkStart w:id="9" w:name="_Toc462884357"/>
      <w:bookmarkStart w:id="10" w:name="_Toc464728913"/>
      <w:r>
        <w:rPr>
          <w:rFonts w:hint="eastAsia"/>
          <w:b w:val="0"/>
          <w:bCs w:val="0"/>
        </w:rPr>
        <w:t>4.主要工作过程</w:t>
      </w:r>
      <w:bookmarkEnd w:id="9"/>
      <w:bookmarkEnd w:id="10"/>
    </w:p>
    <w:p w14:paraId="4E957C5B">
      <w:pPr>
        <w:spacing w:line="400" w:lineRule="exact"/>
        <w:ind w:firstLine="420" w:firstLineChars="200"/>
        <w:rPr>
          <w:b w:val="0"/>
          <w:bCs w:val="0"/>
        </w:rPr>
      </w:pPr>
      <w:bookmarkStart w:id="11" w:name="_Hlk134448643"/>
      <w:r>
        <w:rPr>
          <w:rFonts w:hint="eastAsia"/>
          <w:bCs/>
          <w:color w:val="auto"/>
          <w:highlight w:val="none"/>
          <w:lang w:val="en-US" w:eastAsia="zh-CN"/>
        </w:rPr>
        <w:t>西南铝业（集团）有限责任公司于2023年5月</w:t>
      </w:r>
      <w:r>
        <w:rPr>
          <w:rFonts w:hint="eastAsia"/>
          <w:bCs/>
          <w:color w:val="auto"/>
          <w:highlight w:val="none"/>
        </w:rPr>
        <w:t>接到有色金属行业计量技术委员会转发下达的制定任务后，成立了计量规范编</w:t>
      </w:r>
      <w:r>
        <w:rPr>
          <w:rFonts w:hint="eastAsia"/>
          <w:bCs/>
          <w:color w:val="auto"/>
          <w:highlight w:val="none"/>
          <w:lang w:val="en-US" w:eastAsia="zh-CN"/>
        </w:rPr>
        <w:t>制组。对计量技术规范编写工作进行了部署和分工，制定了制定原则及计划工作。本项目主要工作过程经过了以下几个阶段</w:t>
      </w:r>
      <w:r>
        <w:rPr>
          <w:rFonts w:hint="eastAsia"/>
          <w:b w:val="0"/>
          <w:bCs w:val="0"/>
        </w:rPr>
        <w:t>：</w:t>
      </w:r>
    </w:p>
    <w:p w14:paraId="29266DD1">
      <w:pPr>
        <w:spacing w:line="400" w:lineRule="exact"/>
        <w:ind w:firstLine="420" w:firstLineChars="200"/>
        <w:rPr>
          <w:b w:val="0"/>
          <w:bCs w:val="0"/>
        </w:rPr>
      </w:pPr>
      <w:r>
        <w:rPr>
          <w:b w:val="0"/>
          <w:bCs w:val="0"/>
        </w:rPr>
        <w:t>1</w:t>
      </w:r>
      <w:r>
        <w:rPr>
          <w:rFonts w:hint="eastAsia"/>
          <w:b w:val="0"/>
          <w:bCs w:val="0"/>
        </w:rPr>
        <w:t>）</w:t>
      </w:r>
      <w:r>
        <w:rPr>
          <w:b w:val="0"/>
          <w:bCs w:val="0"/>
        </w:rPr>
        <w:t>20</w:t>
      </w:r>
      <w:r>
        <w:rPr>
          <w:rFonts w:hint="eastAsia"/>
          <w:b w:val="0"/>
          <w:bCs w:val="0"/>
        </w:rPr>
        <w:t>2</w:t>
      </w:r>
      <w:r>
        <w:rPr>
          <w:rFonts w:hint="eastAsia"/>
          <w:b w:val="0"/>
          <w:bCs w:val="0"/>
          <w:lang w:val="en-US" w:eastAsia="zh-CN"/>
        </w:rPr>
        <w:t>3</w:t>
      </w:r>
      <w:r>
        <w:rPr>
          <w:rFonts w:hint="eastAsia"/>
          <w:b w:val="0"/>
          <w:bCs w:val="0"/>
        </w:rPr>
        <w:t>年</w:t>
      </w:r>
      <w:r>
        <w:rPr>
          <w:rFonts w:hint="eastAsia"/>
          <w:b w:val="0"/>
          <w:bCs w:val="0"/>
          <w:lang w:val="en-US" w:eastAsia="zh-CN"/>
        </w:rPr>
        <w:t>7</w:t>
      </w:r>
      <w:r>
        <w:rPr>
          <w:rFonts w:hint="eastAsia"/>
          <w:b w:val="0"/>
          <w:bCs w:val="0"/>
        </w:rPr>
        <w:t>月成立了计量规范编制组，明确了编制组成员各自的工作内容和任务。</w:t>
      </w:r>
    </w:p>
    <w:p w14:paraId="3117B2B9">
      <w:pPr>
        <w:spacing w:line="400" w:lineRule="exact"/>
        <w:ind w:firstLine="420" w:firstLineChars="200"/>
        <w:rPr>
          <w:rFonts w:hint="eastAsia"/>
          <w:b w:val="0"/>
          <w:bCs w:val="0"/>
        </w:rPr>
      </w:pPr>
      <w:r>
        <w:rPr>
          <w:rFonts w:hint="eastAsia" w:ascii="Times New Roman" w:hAnsi="Times New Roman" w:cs="Times New Roman"/>
          <w:b w:val="0"/>
          <w:bCs w:val="0"/>
          <w:lang w:val="en-US" w:eastAsia="zh-CN"/>
        </w:rPr>
        <w:t>2</w:t>
      </w:r>
      <w:r>
        <w:rPr>
          <w:rFonts w:hint="eastAsia" w:ascii="Times New Roman" w:hAnsi="Times New Roman" w:cs="Times New Roman"/>
          <w:b w:val="0"/>
          <w:bCs w:val="0"/>
          <w:lang w:eastAsia="zh-CN"/>
        </w:rPr>
        <w:t>）</w:t>
      </w:r>
      <w:r>
        <w:rPr>
          <w:rFonts w:hint="eastAsia" w:ascii="Times New Roman" w:hAnsi="Times New Roman" w:cs="Times New Roman"/>
          <w:b w:val="0"/>
          <w:bCs w:val="0"/>
        </w:rPr>
        <w:t>2023</w:t>
      </w:r>
      <w:r>
        <w:rPr>
          <w:rFonts w:hint="eastAsia"/>
          <w:b w:val="0"/>
          <w:bCs w:val="0"/>
        </w:rPr>
        <w:t>年8月～2024年</w:t>
      </w:r>
      <w:r>
        <w:rPr>
          <w:rFonts w:hint="eastAsia"/>
          <w:b w:val="0"/>
          <w:bCs w:val="0"/>
          <w:lang w:val="en-US" w:eastAsia="zh-CN"/>
        </w:rPr>
        <w:t>4</w:t>
      </w:r>
      <w:r>
        <w:rPr>
          <w:rFonts w:hint="eastAsia"/>
          <w:b w:val="0"/>
          <w:bCs w:val="0"/>
        </w:rPr>
        <w:t>月计量规范编制组成员对有</w:t>
      </w:r>
      <w:r>
        <w:rPr>
          <w:rFonts w:hint="eastAsia"/>
          <w:szCs w:val="21"/>
        </w:rPr>
        <w:t>铝及铝合金压滤法测渣仪校准规范</w:t>
      </w:r>
      <w:r>
        <w:rPr>
          <w:rFonts w:hint="eastAsia"/>
          <w:b w:val="0"/>
          <w:bCs w:val="0"/>
        </w:rPr>
        <w:t>中的计量特性及校准方法进行了讨论，确定了校准项目和方法，在202</w:t>
      </w:r>
      <w:r>
        <w:rPr>
          <w:rFonts w:hint="eastAsia"/>
          <w:b w:val="0"/>
          <w:bCs w:val="0"/>
          <w:lang w:val="en-US" w:eastAsia="zh-CN"/>
        </w:rPr>
        <w:t>4</w:t>
      </w:r>
      <w:r>
        <w:rPr>
          <w:rFonts w:hint="eastAsia"/>
          <w:b w:val="0"/>
          <w:bCs w:val="0"/>
        </w:rPr>
        <w:t>年</w:t>
      </w:r>
      <w:r>
        <w:rPr>
          <w:rFonts w:hint="eastAsia"/>
          <w:b w:val="0"/>
          <w:bCs w:val="0"/>
          <w:lang w:val="en-US" w:eastAsia="zh-CN"/>
        </w:rPr>
        <w:t>4</w:t>
      </w:r>
      <w:r>
        <w:rPr>
          <w:rFonts w:hint="eastAsia"/>
          <w:b w:val="0"/>
          <w:bCs w:val="0"/>
        </w:rPr>
        <w:t>月形成了计量规范讨论稿。</w:t>
      </w:r>
    </w:p>
    <w:p w14:paraId="62374531">
      <w:pPr>
        <w:spacing w:line="400" w:lineRule="exact"/>
        <w:ind w:firstLine="420" w:firstLineChars="200"/>
        <w:rPr>
          <w:rFonts w:hint="eastAsia" w:ascii="Times New Roman" w:hAnsi="Times New Roman" w:cs="Times New Roman"/>
          <w:b w:val="0"/>
          <w:bCs w:val="0"/>
          <w:lang w:val="en-US" w:eastAsia="zh-CN"/>
        </w:rPr>
      </w:pPr>
      <w:r>
        <w:rPr>
          <w:rFonts w:hint="eastAsia"/>
          <w:bCs/>
          <w:highlight w:val="none"/>
          <w:lang w:val="en-US" w:eastAsia="zh-CN"/>
        </w:rPr>
        <w:t>3）2024</w:t>
      </w:r>
      <w:r>
        <w:rPr>
          <w:rFonts w:hint="eastAsia" w:ascii="Times New Roman" w:hAnsi="Times New Roman" w:cs="Times New Roman"/>
          <w:b w:val="0"/>
          <w:bCs w:val="0"/>
          <w:lang w:val="en-US" w:eastAsia="zh-CN"/>
        </w:rPr>
        <w:t>年4月23日-25日，计量规范编制组成员参加了由有色金属行业计量技术委员会组织的在湖南长沙召开的2024年有色金属行业计量技术规范讨论会，</w:t>
      </w:r>
      <w:r>
        <w:rPr>
          <w:rFonts w:hint="eastAsia"/>
          <w:b w:val="0"/>
          <w:bCs w:val="0"/>
          <w:szCs w:val="21"/>
        </w:rPr>
        <w:t>会上对《</w:t>
      </w:r>
      <w:r>
        <w:rPr>
          <w:rFonts w:hint="eastAsia"/>
          <w:szCs w:val="21"/>
        </w:rPr>
        <w:t>铝及铝合金压滤法测渣仪校准规范</w:t>
      </w:r>
      <w:r>
        <w:rPr>
          <w:rFonts w:hint="eastAsia"/>
          <w:b w:val="0"/>
          <w:bCs w:val="0"/>
          <w:szCs w:val="21"/>
        </w:rPr>
        <w:t>-讨论稿》进行了讨论，</w:t>
      </w:r>
      <w:r>
        <w:rPr>
          <w:rFonts w:hint="eastAsia" w:ascii="Times New Roman" w:hAnsi="Times New Roman" w:cs="Times New Roman"/>
          <w:b w:val="0"/>
          <w:bCs w:val="0"/>
          <w:lang w:val="en-US" w:eastAsia="zh-CN"/>
        </w:rPr>
        <w:t>与会专家、代表对本校准规范的讨论稿提出了宝贵的意见和建议。</w:t>
      </w:r>
    </w:p>
    <w:p w14:paraId="7CEC114C">
      <w:pPr>
        <w:spacing w:line="400" w:lineRule="exact"/>
        <w:ind w:firstLine="420" w:firstLineChars="200"/>
        <w:rPr>
          <w:rFonts w:hint="eastAsia"/>
          <w:b w:val="0"/>
          <w:bCs w:val="0"/>
          <w:szCs w:val="21"/>
          <w:highlight w:val="none"/>
        </w:rPr>
      </w:pPr>
      <w:r>
        <w:rPr>
          <w:rFonts w:hint="eastAsia" w:cs="Times New Roman"/>
          <w:b w:val="0"/>
          <w:bCs w:val="0"/>
          <w:lang w:val="en-US" w:eastAsia="zh-CN"/>
        </w:rPr>
        <w:t>4）</w:t>
      </w:r>
      <w:r>
        <w:rPr>
          <w:rFonts w:hint="eastAsia" w:ascii="Times New Roman" w:hAnsi="Times New Roman" w:cs="Times New Roman"/>
          <w:b w:val="0"/>
          <w:bCs w:val="0"/>
          <w:lang w:val="en-US" w:eastAsia="zh-CN"/>
        </w:rPr>
        <w:t>2024年4月～5月，针对4月的长沙讨论会中代表们提出的修改意见和建议，编制组开会讨论并修改了校准规范</w:t>
      </w:r>
      <w:r>
        <w:rPr>
          <w:rFonts w:hint="eastAsia" w:cs="Times New Roman"/>
          <w:b w:val="0"/>
          <w:bCs w:val="0"/>
          <w:lang w:val="en-US" w:eastAsia="zh-CN"/>
        </w:rPr>
        <w:t>，</w:t>
      </w:r>
      <w:r>
        <w:rPr>
          <w:rFonts w:hint="eastAsia"/>
          <w:b w:val="0"/>
          <w:bCs w:val="0"/>
          <w:highlight w:val="none"/>
        </w:rPr>
        <w:t>形成</w:t>
      </w:r>
      <w:r>
        <w:rPr>
          <w:rFonts w:hint="eastAsia"/>
          <w:b w:val="0"/>
          <w:bCs w:val="0"/>
          <w:highlight w:val="none"/>
          <w:lang w:val="en-US" w:eastAsia="zh-CN"/>
        </w:rPr>
        <w:t>了</w:t>
      </w:r>
      <w:r>
        <w:rPr>
          <w:rFonts w:hint="eastAsia"/>
          <w:b w:val="0"/>
          <w:bCs w:val="0"/>
          <w:szCs w:val="21"/>
          <w:highlight w:val="none"/>
        </w:rPr>
        <w:t>《</w:t>
      </w:r>
      <w:r>
        <w:rPr>
          <w:rFonts w:hint="eastAsia"/>
          <w:szCs w:val="21"/>
        </w:rPr>
        <w:t>铝及铝合金压滤法测渣仪校准规范</w:t>
      </w:r>
      <w:r>
        <w:rPr>
          <w:rFonts w:hint="eastAsia"/>
          <w:b w:val="0"/>
          <w:bCs w:val="0"/>
          <w:szCs w:val="21"/>
          <w:highlight w:val="none"/>
        </w:rPr>
        <w:t>-</w:t>
      </w:r>
      <w:r>
        <w:rPr>
          <w:rFonts w:hint="eastAsia"/>
          <w:b w:val="0"/>
          <w:bCs w:val="0"/>
          <w:highlight w:val="none"/>
        </w:rPr>
        <w:t>征求意见稿</w:t>
      </w:r>
      <w:r>
        <w:rPr>
          <w:rFonts w:hint="eastAsia"/>
          <w:b w:val="0"/>
          <w:bCs w:val="0"/>
          <w:szCs w:val="21"/>
          <w:highlight w:val="none"/>
        </w:rPr>
        <w:t>》</w:t>
      </w:r>
    </w:p>
    <w:p w14:paraId="31EAF0EC">
      <w:pPr>
        <w:spacing w:line="400" w:lineRule="exact"/>
        <w:ind w:firstLine="420" w:firstLineChars="200"/>
        <w:rPr>
          <w:rFonts w:hint="eastAsia"/>
          <w:b w:val="0"/>
          <w:bCs w:val="0"/>
          <w:highlight w:val="none"/>
        </w:rPr>
      </w:pPr>
      <w:r>
        <w:rPr>
          <w:rFonts w:hint="eastAsia"/>
          <w:b w:val="0"/>
          <w:bCs w:val="0"/>
          <w:szCs w:val="21"/>
          <w:highlight w:val="none"/>
          <w:lang w:val="en-US" w:eastAsia="zh-CN"/>
        </w:rPr>
        <w:t>5）</w:t>
      </w:r>
      <w:r>
        <w:rPr>
          <w:rFonts w:hint="eastAsia"/>
          <w:b w:val="0"/>
          <w:bCs w:val="0"/>
          <w:highlight w:val="none"/>
        </w:rPr>
        <w:t>202</w:t>
      </w:r>
      <w:r>
        <w:rPr>
          <w:rFonts w:hint="eastAsia"/>
          <w:b w:val="0"/>
          <w:bCs w:val="0"/>
          <w:highlight w:val="none"/>
          <w:lang w:val="en-US" w:eastAsia="zh-CN"/>
        </w:rPr>
        <w:t>4</w:t>
      </w:r>
      <w:r>
        <w:rPr>
          <w:rFonts w:hint="eastAsia"/>
          <w:b w:val="0"/>
          <w:bCs w:val="0"/>
          <w:highlight w:val="none"/>
        </w:rPr>
        <w:t>年</w:t>
      </w:r>
      <w:r>
        <w:rPr>
          <w:rFonts w:hint="eastAsia"/>
          <w:b w:val="0"/>
          <w:bCs w:val="0"/>
          <w:highlight w:val="none"/>
          <w:lang w:val="en-US" w:eastAsia="zh-CN"/>
        </w:rPr>
        <w:t>5</w:t>
      </w:r>
      <w:r>
        <w:rPr>
          <w:rFonts w:hint="eastAsia"/>
          <w:b w:val="0"/>
          <w:bCs w:val="0"/>
          <w:highlight w:val="none"/>
        </w:rPr>
        <w:t>月</w:t>
      </w:r>
      <w:r>
        <w:rPr>
          <w:rFonts w:hint="eastAsia"/>
          <w:b w:val="0"/>
          <w:bCs w:val="0"/>
          <w:highlight w:val="none"/>
          <w:lang w:eastAsia="zh-CN"/>
        </w:rPr>
        <w:t>，</w:t>
      </w:r>
      <w:r>
        <w:rPr>
          <w:rFonts w:hint="eastAsia"/>
          <w:b w:val="0"/>
          <w:bCs w:val="0"/>
          <w:highlight w:val="none"/>
          <w:lang w:val="en-US" w:eastAsia="zh-CN"/>
        </w:rPr>
        <w:t>中国有色金属工业协会发文《关于对&lt;</w:t>
      </w:r>
      <w:r>
        <w:rPr>
          <w:rFonts w:hint="eastAsia"/>
          <w:szCs w:val="21"/>
        </w:rPr>
        <w:t>铝及铝合金压滤法测渣仪</w:t>
      </w:r>
      <w:r>
        <w:rPr>
          <w:rFonts w:hint="eastAsia"/>
          <w:b w:val="0"/>
          <w:bCs w:val="0"/>
          <w:highlight w:val="none"/>
          <w:lang w:val="en-US" w:eastAsia="zh-CN"/>
        </w:rPr>
        <w:t>校准规范&gt;等13项有色金属行业计量技术规范征求意见的函》</w:t>
      </w:r>
      <w:r>
        <w:rPr>
          <w:rFonts w:hint="eastAsia" w:ascii="宋体" w:hAnsi="宋体" w:cs="宋体"/>
          <w:b w:val="0"/>
          <w:bCs w:val="0"/>
          <w:highlight w:val="none"/>
          <w:lang w:val="en-US" w:eastAsia="zh-CN"/>
        </w:rPr>
        <w:t>（中色计量委字〔</w:t>
      </w:r>
      <w:r>
        <w:rPr>
          <w:rFonts w:hint="eastAsia" w:ascii="宋体" w:hAnsi="宋体" w:eastAsia="宋体" w:cs="宋体"/>
          <w:b w:val="0"/>
          <w:bCs w:val="0"/>
          <w:highlight w:val="none"/>
          <w:lang w:val="en-US" w:eastAsia="zh-CN"/>
        </w:rPr>
        <w:t>202</w:t>
      </w:r>
      <w:r>
        <w:rPr>
          <w:rFonts w:hint="eastAsia" w:ascii="宋体" w:hAnsi="宋体" w:cs="宋体"/>
          <w:b w:val="0"/>
          <w:bCs w:val="0"/>
          <w:highlight w:val="none"/>
          <w:lang w:val="en-US" w:eastAsia="zh-CN"/>
        </w:rPr>
        <w:t>4〕7</w:t>
      </w:r>
      <w:r>
        <w:rPr>
          <w:rFonts w:hint="eastAsia" w:ascii="宋体" w:hAnsi="宋体" w:eastAsia="宋体" w:cs="宋体"/>
          <w:b w:val="0"/>
          <w:bCs w:val="0"/>
          <w:highlight w:val="none"/>
          <w:lang w:val="en-US" w:eastAsia="zh-CN"/>
        </w:rPr>
        <w:t>号</w:t>
      </w:r>
      <w:r>
        <w:rPr>
          <w:rFonts w:hint="eastAsia" w:ascii="宋体" w:hAnsi="宋体" w:cs="宋体"/>
          <w:b w:val="0"/>
          <w:bCs w:val="0"/>
          <w:highlight w:val="none"/>
          <w:lang w:val="en-US" w:eastAsia="zh-CN"/>
        </w:rPr>
        <w:t>），向</w:t>
      </w:r>
      <w:r>
        <w:rPr>
          <w:rFonts w:hint="eastAsia"/>
          <w:b w:val="0"/>
          <w:bCs w:val="0"/>
          <w:highlight w:val="none"/>
          <w:lang w:val="en-US" w:eastAsia="zh-CN"/>
        </w:rPr>
        <w:t>社会广泛征求意见</w:t>
      </w:r>
      <w:r>
        <w:rPr>
          <w:rFonts w:hint="eastAsia"/>
          <w:b w:val="0"/>
          <w:bCs w:val="0"/>
          <w:highlight w:val="none"/>
        </w:rPr>
        <w:t>。</w:t>
      </w:r>
    </w:p>
    <w:p w14:paraId="7318E826">
      <w:pPr>
        <w:spacing w:line="400" w:lineRule="exact"/>
        <w:ind w:firstLine="420" w:firstLineChars="200"/>
        <w:rPr>
          <w:rFonts w:hint="eastAsia" w:eastAsia="宋体"/>
          <w:b w:val="0"/>
          <w:bCs w:val="0"/>
          <w:highlight w:val="none"/>
          <w:lang w:val="en-US" w:eastAsia="zh-CN"/>
        </w:rPr>
      </w:pPr>
      <w:r>
        <w:rPr>
          <w:rFonts w:hint="eastAsia"/>
          <w:b w:val="0"/>
          <w:bCs w:val="0"/>
          <w:highlight w:val="none"/>
          <w:lang w:val="en-US" w:eastAsia="zh-CN"/>
        </w:rPr>
        <w:t>6）2024年6月</w:t>
      </w:r>
      <w:r>
        <w:rPr>
          <w:rFonts w:hint="eastAsia"/>
          <w:b w:val="0"/>
          <w:bCs w:val="0"/>
          <w:szCs w:val="21"/>
          <w:highlight w:val="none"/>
          <w:lang w:val="en-US" w:eastAsia="zh-CN"/>
        </w:rPr>
        <w:t>主编单位西南铝业（集团）有限责任公司对意见进行了收集整理，根据收集的意见，对规范进行了修改，形成了预审稿，验证单位根据校准规范对规范的全计量特性进行了验证，出具了校准报告。</w:t>
      </w:r>
    </w:p>
    <w:bookmarkEnd w:id="11"/>
    <w:p w14:paraId="35C3C864">
      <w:pPr>
        <w:pStyle w:val="2"/>
        <w:spacing w:before="156" w:after="156"/>
        <w:rPr>
          <w:b w:val="0"/>
          <w:bCs w:val="0"/>
        </w:rPr>
      </w:pPr>
      <w:r>
        <w:rPr>
          <w:rFonts w:hint="eastAsia"/>
          <w:b w:val="0"/>
          <w:bCs w:val="0"/>
        </w:rPr>
        <w:t>二、编制原则和依据</w:t>
      </w:r>
    </w:p>
    <w:p w14:paraId="3F1A852F">
      <w:pPr>
        <w:pStyle w:val="3"/>
        <w:spacing w:before="156" w:after="156"/>
        <w:rPr>
          <w:b w:val="0"/>
          <w:bCs w:val="0"/>
        </w:rPr>
      </w:pPr>
      <w:bookmarkStart w:id="12" w:name="_Toc464728925"/>
      <w:r>
        <w:rPr>
          <w:rFonts w:hint="eastAsia"/>
          <w:b w:val="0"/>
          <w:bCs w:val="0"/>
        </w:rPr>
        <w:t>（一）编制原则</w:t>
      </w:r>
      <w:bookmarkEnd w:id="12"/>
    </w:p>
    <w:p w14:paraId="0AD6C02E">
      <w:pPr>
        <w:spacing w:line="400" w:lineRule="exact"/>
        <w:ind w:firstLine="420" w:firstLineChars="200"/>
        <w:rPr>
          <w:rFonts w:hint="eastAsia"/>
          <w:b w:val="0"/>
          <w:bCs w:val="0"/>
          <w:szCs w:val="21"/>
        </w:rPr>
      </w:pPr>
      <w:bookmarkStart w:id="13" w:name="_Toc464728926"/>
      <w:r>
        <w:rPr>
          <w:rFonts w:hint="eastAsia"/>
          <w:b w:val="0"/>
          <w:bCs w:val="0"/>
          <w:szCs w:val="21"/>
        </w:rPr>
        <w:t>本规范是以JJF 1071-2010《国家计量校准规范编写规则》、JJF 1001-2011《通用计量术语及定义》和JJF 1059.1-2012《测量不确定度评定与表示》为基础性系列规范进行编写。</w:t>
      </w:r>
    </w:p>
    <w:p w14:paraId="54330B67">
      <w:pPr>
        <w:spacing w:line="400" w:lineRule="exact"/>
        <w:ind w:firstLine="420" w:firstLineChars="200"/>
        <w:rPr>
          <w:rFonts w:hint="eastAsia" w:eastAsia="宋体"/>
          <w:b w:val="0"/>
          <w:bCs w:val="0"/>
          <w:szCs w:val="21"/>
          <w:lang w:eastAsia="zh-CN"/>
        </w:rPr>
      </w:pPr>
      <w:r>
        <w:rPr>
          <w:rFonts w:hint="eastAsia"/>
          <w:b w:val="0"/>
          <w:bCs w:val="0"/>
          <w:szCs w:val="21"/>
        </w:rPr>
        <w:t>本规范</w:t>
      </w:r>
      <w:r>
        <w:rPr>
          <w:rFonts w:hint="eastAsia"/>
          <w:b w:val="0"/>
          <w:bCs w:val="0"/>
          <w:szCs w:val="21"/>
          <w:lang w:val="en-US" w:eastAsia="zh-CN"/>
        </w:rPr>
        <w:t>参照JJF 1664-2017 《温度显示仪校准规范》、JJG 539-2016 《数字指示秤》、JJG 52-2013 《弹性元件式一般压力表、压力真空表和真空表》、JJG 875-2019 《数字压力计》的技术内容，</w:t>
      </w:r>
      <w:r>
        <w:rPr>
          <w:rFonts w:hint="eastAsia"/>
          <w:b w:val="0"/>
          <w:bCs w:val="0"/>
          <w:szCs w:val="21"/>
        </w:rPr>
        <w:t>对校准</w:t>
      </w:r>
      <w:r>
        <w:rPr>
          <w:rFonts w:hint="eastAsia" w:asciiTheme="minorEastAsia" w:hAnsiTheme="minorEastAsia" w:eastAsiaTheme="minorEastAsia" w:cstheme="minorEastAsia"/>
          <w:bCs/>
          <w:sz w:val="21"/>
          <w:szCs w:val="21"/>
          <w:highlight w:val="none"/>
          <w:lang w:val="en-US" w:eastAsia="zh-CN"/>
        </w:rPr>
        <w:t>铝及铝合金压滤法测渣仪</w:t>
      </w:r>
      <w:r>
        <w:rPr>
          <w:rFonts w:hint="eastAsia" w:asciiTheme="minorEastAsia" w:hAnsiTheme="minorEastAsia" w:eastAsiaTheme="minorEastAsia" w:cstheme="minorEastAsia"/>
          <w:bCs/>
          <w:sz w:val="21"/>
          <w:szCs w:val="21"/>
          <w:highlight w:val="none"/>
          <w:lang w:eastAsia="zh-CN"/>
        </w:rPr>
        <w:t>校准规范</w:t>
      </w:r>
      <w:r>
        <w:rPr>
          <w:rFonts w:hint="eastAsia"/>
          <w:b w:val="0"/>
          <w:bCs w:val="0"/>
          <w:szCs w:val="21"/>
        </w:rPr>
        <w:t>计量特性的校准方法进行了详细描述，对</w:t>
      </w:r>
      <w:r>
        <w:rPr>
          <w:rFonts w:hint="eastAsia" w:asciiTheme="minorEastAsia" w:hAnsiTheme="minorEastAsia" w:eastAsiaTheme="minorEastAsia" w:cstheme="minorEastAsia"/>
          <w:bCs/>
          <w:sz w:val="21"/>
          <w:szCs w:val="21"/>
          <w:highlight w:val="none"/>
          <w:lang w:val="en-US" w:eastAsia="zh-CN"/>
        </w:rPr>
        <w:t>铝及铝合金压滤法测渣仪</w:t>
      </w:r>
      <w:r>
        <w:rPr>
          <w:rFonts w:hint="eastAsia" w:asciiTheme="minorEastAsia" w:hAnsiTheme="minorEastAsia" w:eastAsiaTheme="minorEastAsia" w:cstheme="minorEastAsia"/>
          <w:bCs/>
          <w:sz w:val="21"/>
          <w:szCs w:val="21"/>
          <w:highlight w:val="none"/>
          <w:lang w:eastAsia="zh-CN"/>
        </w:rPr>
        <w:t>校准规范</w:t>
      </w:r>
      <w:r>
        <w:rPr>
          <w:rFonts w:hint="eastAsia"/>
          <w:b w:val="0"/>
          <w:bCs w:val="0"/>
          <w:szCs w:val="21"/>
        </w:rPr>
        <w:t>的校准方法和误差计算方法进行了详细的描述；对校准标准装置进行了详细的规定，对校准点也明确列出规定。本规范填补了国内对</w:t>
      </w:r>
      <w:r>
        <w:rPr>
          <w:rFonts w:hint="eastAsia" w:asciiTheme="minorEastAsia" w:hAnsiTheme="minorEastAsia" w:eastAsiaTheme="minorEastAsia" w:cstheme="minorEastAsia"/>
          <w:bCs/>
          <w:sz w:val="21"/>
          <w:szCs w:val="21"/>
          <w:highlight w:val="none"/>
          <w:lang w:val="en-US" w:eastAsia="zh-CN"/>
        </w:rPr>
        <w:t>铝及铝合金压滤法测渣仪</w:t>
      </w:r>
      <w:r>
        <w:rPr>
          <w:rFonts w:hint="eastAsia"/>
          <w:b w:val="0"/>
          <w:bCs w:val="0"/>
          <w:szCs w:val="21"/>
        </w:rPr>
        <w:t>无校准规范的空白</w:t>
      </w:r>
      <w:r>
        <w:rPr>
          <w:rFonts w:hint="eastAsia"/>
          <w:b w:val="0"/>
          <w:bCs w:val="0"/>
          <w:szCs w:val="21"/>
          <w:lang w:eastAsia="zh-CN"/>
        </w:rPr>
        <w:t>。</w:t>
      </w:r>
    </w:p>
    <w:p w14:paraId="30DE95D9">
      <w:pPr>
        <w:pStyle w:val="3"/>
        <w:spacing w:before="156" w:after="156"/>
        <w:rPr>
          <w:rFonts w:ascii="宋体" w:hAnsi="宋体"/>
          <w:b w:val="0"/>
          <w:bCs w:val="0"/>
        </w:rPr>
      </w:pPr>
      <w:r>
        <w:rPr>
          <w:rFonts w:hint="eastAsia"/>
          <w:b w:val="0"/>
          <w:bCs w:val="0"/>
        </w:rPr>
        <w:t>（二）确定主要内</w:t>
      </w:r>
      <w:bookmarkEnd w:id="13"/>
      <w:r>
        <w:rPr>
          <w:rFonts w:hint="eastAsia"/>
          <w:b w:val="0"/>
          <w:bCs w:val="0"/>
        </w:rPr>
        <w:t>容</w:t>
      </w:r>
    </w:p>
    <w:p w14:paraId="3099D9D4">
      <w:pPr>
        <w:pStyle w:val="4"/>
        <w:spacing w:before="156" w:after="156"/>
        <w:rPr>
          <w:b w:val="0"/>
          <w:bCs w:val="0"/>
        </w:rPr>
      </w:pPr>
      <w:bookmarkStart w:id="14" w:name="_Toc193860027"/>
      <w:bookmarkStart w:id="15" w:name="_Toc193860177"/>
      <w:bookmarkStart w:id="16" w:name="_Toc193860208"/>
      <w:bookmarkStart w:id="17" w:name="_Toc23837_WPSOffice_Level1"/>
      <w:bookmarkStart w:id="18" w:name="_Toc500258929"/>
      <w:bookmarkStart w:id="19" w:name="_Toc464728964"/>
      <w:r>
        <w:rPr>
          <w:rFonts w:hint="eastAsia"/>
          <w:b w:val="0"/>
          <w:bCs w:val="0"/>
        </w:rPr>
        <w:t>1范围</w:t>
      </w:r>
      <w:bookmarkEnd w:id="14"/>
      <w:bookmarkEnd w:id="15"/>
      <w:bookmarkEnd w:id="16"/>
      <w:bookmarkEnd w:id="17"/>
      <w:bookmarkEnd w:id="18"/>
    </w:p>
    <w:p w14:paraId="35A4A0B9">
      <w:pPr>
        <w:spacing w:line="400" w:lineRule="exact"/>
        <w:ind w:firstLine="420" w:firstLineChars="200"/>
        <w:rPr>
          <w:rFonts w:hint="default" w:eastAsiaTheme="minorEastAsia"/>
          <w:b w:val="0"/>
          <w:bCs w:val="0"/>
          <w:kern w:val="0"/>
          <w:szCs w:val="21"/>
        </w:rPr>
      </w:pPr>
      <w:r>
        <w:rPr>
          <w:rFonts w:hint="eastAsia" w:ascii="宋体" w:hAnsi="宋体" w:cs="宋体"/>
          <w:bCs/>
          <w:szCs w:val="21"/>
          <w:highlight w:val="none"/>
        </w:rPr>
        <w:t>本规范</w:t>
      </w:r>
      <w:r>
        <w:rPr>
          <w:rFonts w:hint="eastAsia" w:ascii="宋体" w:hAnsi="宋体" w:cs="宋体"/>
          <w:bCs/>
          <w:szCs w:val="21"/>
          <w:highlight w:val="none"/>
          <w:lang w:val="en-US" w:eastAsia="zh-CN"/>
        </w:rPr>
        <w:t>适用于铝及铝合金压滤法测渣仪（以下简称测渣仪）的校准</w:t>
      </w:r>
      <w:r>
        <w:rPr>
          <w:rFonts w:hint="eastAsia" w:eastAsiaTheme="minorEastAsia"/>
          <w:b w:val="0"/>
          <w:bCs w:val="0"/>
          <w:kern w:val="0"/>
          <w:szCs w:val="21"/>
          <w:lang w:val="en-US" w:eastAsia="zh-CN"/>
        </w:rPr>
        <w:t>。</w:t>
      </w:r>
    </w:p>
    <w:p w14:paraId="152DB701">
      <w:pPr>
        <w:pStyle w:val="4"/>
        <w:spacing w:before="156" w:after="156"/>
        <w:rPr>
          <w:b w:val="0"/>
          <w:bCs w:val="0"/>
        </w:rPr>
      </w:pPr>
      <w:bookmarkStart w:id="20" w:name="_Toc193860178"/>
      <w:bookmarkStart w:id="21" w:name="_Toc193860028"/>
      <w:bookmarkStart w:id="22" w:name="_Toc193860209"/>
      <w:bookmarkStart w:id="23" w:name="_Toc7848_WPSOffice_Level1"/>
      <w:bookmarkStart w:id="24" w:name="_Toc500258930"/>
      <w:r>
        <w:rPr>
          <w:rFonts w:hint="eastAsia"/>
          <w:b w:val="0"/>
          <w:bCs w:val="0"/>
        </w:rPr>
        <w:t>2 引用文</w:t>
      </w:r>
      <w:bookmarkEnd w:id="20"/>
      <w:bookmarkEnd w:id="21"/>
      <w:bookmarkEnd w:id="22"/>
      <w:r>
        <w:rPr>
          <w:rFonts w:hint="eastAsia"/>
          <w:b w:val="0"/>
          <w:bCs w:val="0"/>
        </w:rPr>
        <w:t>件</w:t>
      </w:r>
      <w:bookmarkEnd w:id="23"/>
      <w:bookmarkEnd w:id="24"/>
    </w:p>
    <w:p w14:paraId="6DB06A5A">
      <w:pPr>
        <w:spacing w:line="360" w:lineRule="auto"/>
        <w:ind w:firstLine="420" w:firstLineChars="200"/>
        <w:rPr>
          <w:rFonts w:hint="eastAsia" w:ascii="宋体" w:hAnsi="宋体" w:cs="宋体"/>
          <w:bCs/>
          <w:szCs w:val="21"/>
          <w:highlight w:val="none"/>
        </w:rPr>
      </w:pPr>
      <w:r>
        <w:rPr>
          <w:rFonts w:hint="eastAsia" w:hAnsi="宋体"/>
          <w:bCs/>
          <w:szCs w:val="21"/>
          <w:highlight w:val="none"/>
        </w:rPr>
        <w:t>本规</w:t>
      </w:r>
      <w:r>
        <w:rPr>
          <w:rFonts w:hint="eastAsia" w:ascii="宋体" w:hAnsi="宋体" w:cs="宋体"/>
          <w:bCs/>
          <w:szCs w:val="21"/>
          <w:highlight w:val="none"/>
        </w:rPr>
        <w:t>范引用了下列文件：</w:t>
      </w:r>
    </w:p>
    <w:p w14:paraId="68C70FDB">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JJG 99  砝码</w:t>
      </w:r>
    </w:p>
    <w:p w14:paraId="4133810B">
      <w:pPr>
        <w:spacing w:line="400" w:lineRule="exact"/>
        <w:ind w:firstLine="420" w:firstLineChars="200"/>
        <w:rPr>
          <w:rFonts w:eastAsiaTheme="minorEastAsia"/>
          <w:b w:val="0"/>
          <w:bCs w:val="0"/>
          <w:kern w:val="0"/>
          <w:szCs w:val="21"/>
          <w:highlight w:val="none"/>
        </w:rPr>
      </w:pPr>
      <w:r>
        <w:rPr>
          <w:rFonts w:hint="eastAsia" w:ascii="宋体" w:hAnsi="宋体" w:cs="宋体"/>
          <w:bCs/>
          <w:szCs w:val="21"/>
          <w:highlight w:val="none"/>
        </w:rPr>
        <w:t>凡是注</w:t>
      </w:r>
      <w:r>
        <w:rPr>
          <w:rFonts w:hint="eastAsia" w:hAnsi="宋体"/>
          <w:bCs/>
          <w:szCs w:val="21"/>
          <w:highlight w:val="none"/>
        </w:rPr>
        <w:t>日期的引用文件，仅注日期的版本适用于本规范；凡是不注日期的引用文件，其最新版本（包括所有的修改单）适用于本规范</w:t>
      </w:r>
      <w:r>
        <w:rPr>
          <w:rFonts w:hint="eastAsia" w:eastAsiaTheme="minorEastAsia"/>
          <w:b w:val="0"/>
          <w:bCs w:val="0"/>
          <w:kern w:val="0"/>
          <w:szCs w:val="21"/>
          <w:highlight w:val="none"/>
        </w:rPr>
        <w:t>。</w:t>
      </w:r>
    </w:p>
    <w:p w14:paraId="6EB93489">
      <w:pPr>
        <w:pStyle w:val="4"/>
        <w:spacing w:before="156" w:after="156"/>
        <w:rPr>
          <w:b w:val="0"/>
          <w:bCs w:val="0"/>
        </w:rPr>
      </w:pPr>
      <w:bookmarkStart w:id="25" w:name="_Toc13054_WPSOffice_Level1"/>
      <w:bookmarkStart w:id="26" w:name="_Toc193860211"/>
      <w:bookmarkStart w:id="27" w:name="_Toc500258937"/>
      <w:bookmarkStart w:id="28" w:name="_Toc193618952"/>
      <w:bookmarkStart w:id="29" w:name="_Toc193860180"/>
      <w:bookmarkStart w:id="30" w:name="_Toc193619055"/>
      <w:bookmarkStart w:id="31" w:name="_Toc193860030"/>
      <w:bookmarkStart w:id="32" w:name="_Toc193619097"/>
      <w:r>
        <w:rPr>
          <w:rFonts w:hint="eastAsia"/>
          <w:b w:val="0"/>
          <w:bCs w:val="0"/>
        </w:rPr>
        <w:t>3 概述</w:t>
      </w:r>
      <w:bookmarkEnd w:id="25"/>
      <w:bookmarkEnd w:id="26"/>
      <w:bookmarkEnd w:id="27"/>
      <w:bookmarkEnd w:id="28"/>
      <w:bookmarkEnd w:id="29"/>
      <w:bookmarkEnd w:id="30"/>
      <w:bookmarkEnd w:id="31"/>
      <w:bookmarkEnd w:id="32"/>
    </w:p>
    <w:p w14:paraId="04882E78">
      <w:pPr>
        <w:pStyle w:val="58"/>
        <w:bidi w:val="0"/>
        <w:spacing w:line="360" w:lineRule="auto"/>
        <w:rPr>
          <w:rFonts w:hint="eastAsia" w:ascii="Times New Roman" w:hAnsi="Times New Roman" w:cs="Times New Roman"/>
          <w:color w:val="auto"/>
          <w:sz w:val="21"/>
          <w:highlight w:val="none"/>
          <w:lang w:val="en-US" w:eastAsia="zh-CN"/>
        </w:rPr>
      </w:pPr>
      <w:r>
        <w:rPr>
          <w:rFonts w:hint="eastAsia" w:ascii="Times New Roman" w:hAnsi="Times New Roman" w:cs="Times New Roman"/>
          <w:color w:val="auto"/>
          <w:sz w:val="21"/>
          <w:highlight w:val="none"/>
          <w:lang w:val="en-US" w:eastAsia="zh-CN"/>
        </w:rPr>
        <w:t>测渣仪分为正压型与负压型。</w:t>
      </w:r>
    </w:p>
    <w:p w14:paraId="3CBC7A6F">
      <w:pPr>
        <w:pStyle w:val="58"/>
        <w:bidi w:val="0"/>
        <w:spacing w:line="360" w:lineRule="auto"/>
        <w:rPr>
          <w:rStyle w:val="324"/>
          <w:rFonts w:hint="eastAsia"/>
          <w:color w:val="auto"/>
          <w:highlight w:val="none"/>
          <w:lang w:val="en-US" w:eastAsia="zh-CN"/>
        </w:rPr>
      </w:pPr>
      <w:r>
        <w:rPr>
          <w:rFonts w:hint="eastAsia" w:ascii="Times New Roman" w:hAnsi="Times New Roman" w:cs="Times New Roman"/>
          <w:color w:val="auto"/>
          <w:sz w:val="21"/>
          <w:highlight w:val="none"/>
          <w:lang w:val="en-US" w:eastAsia="zh-CN"/>
        </w:rPr>
        <w:t>负压型测渣仪由真空泵、称重装置、坩埚、</w:t>
      </w:r>
      <w:r>
        <w:rPr>
          <w:rFonts w:hint="eastAsia" w:ascii="Times New Roman" w:hAnsi="Times New Roman" w:cs="Times New Roman"/>
          <w:sz w:val="21"/>
          <w:lang w:val="en-US" w:eastAsia="zh-CN"/>
        </w:rPr>
        <w:t>多孔</w:t>
      </w:r>
      <w:r>
        <w:rPr>
          <w:rFonts w:hint="eastAsia" w:ascii="Times New Roman" w:hAnsi="Times New Roman" w:cs="Times New Roman"/>
          <w:sz w:val="21"/>
        </w:rPr>
        <w:t>过滤</w:t>
      </w:r>
      <w:r>
        <w:rPr>
          <w:rFonts w:hint="eastAsia" w:ascii="Times New Roman" w:hAnsi="Times New Roman" w:cs="Times New Roman"/>
          <w:sz w:val="21"/>
          <w:lang w:val="en-US" w:eastAsia="zh-CN"/>
        </w:rPr>
        <w:t>片</w:t>
      </w:r>
      <w:r>
        <w:rPr>
          <w:rFonts w:hint="eastAsia" w:ascii="Times New Roman" w:hAnsi="Times New Roman" w:cs="Times New Roman"/>
          <w:color w:val="auto"/>
          <w:sz w:val="21"/>
          <w:highlight w:val="none"/>
          <w:lang w:val="en-US" w:eastAsia="zh-CN"/>
        </w:rPr>
        <w:t>、重量控制器等部件组成，其工作原理是：真空泵工作使压力室内形成负压，</w:t>
      </w:r>
      <w:r>
        <w:rPr>
          <w:rFonts w:hint="eastAsia" w:ascii="Times New Roman" w:hAnsi="Times New Roman" w:cs="Times New Roman"/>
          <w:sz w:val="21"/>
          <w:lang w:val="en-US" w:eastAsia="zh-CN"/>
        </w:rPr>
        <w:t>多孔过滤片上、下表面形成压差，导致坩埚内的铝熔体通过多孔过滤片流入称重盘，当称重盘内铝熔体重量达到称量设定值，测渣仪释放压力室内压力，铝熔体停止流入称重盘，测渣仪完成对铝熔体的采样工作。</w:t>
      </w:r>
    </w:p>
    <w:p w14:paraId="1B002FCA">
      <w:pPr>
        <w:pStyle w:val="58"/>
        <w:bidi w:val="0"/>
        <w:spacing w:line="360" w:lineRule="auto"/>
        <w:rPr>
          <w:rFonts w:hint="eastAsia" w:ascii="Times New Roman" w:hAnsi="Times New Roman" w:cs="Times New Roman"/>
          <w:sz w:val="21"/>
        </w:rPr>
      </w:pPr>
      <w:r>
        <w:rPr>
          <w:rFonts w:hint="eastAsia" w:ascii="Times New Roman" w:hAnsi="Times New Roman" w:cs="Times New Roman"/>
          <w:color w:val="auto"/>
          <w:sz w:val="21"/>
          <w:highlight w:val="none"/>
          <w:lang w:val="en-US" w:eastAsia="zh-CN"/>
        </w:rPr>
        <w:t>正压型测渣仪由气源、称重装置、计时器、测温装置、坩埚、</w:t>
      </w:r>
      <w:r>
        <w:rPr>
          <w:rFonts w:hint="eastAsia" w:ascii="Times New Roman" w:hAnsi="Times New Roman" w:cs="Times New Roman"/>
          <w:sz w:val="21"/>
          <w:lang w:val="en-US" w:eastAsia="zh-CN"/>
        </w:rPr>
        <w:t>多孔</w:t>
      </w:r>
      <w:r>
        <w:rPr>
          <w:rFonts w:hint="eastAsia" w:ascii="Times New Roman" w:hAnsi="Times New Roman" w:cs="Times New Roman"/>
          <w:sz w:val="21"/>
        </w:rPr>
        <w:t>过滤</w:t>
      </w:r>
      <w:r>
        <w:rPr>
          <w:rFonts w:hint="eastAsia" w:ascii="Times New Roman" w:hAnsi="Times New Roman" w:cs="Times New Roman"/>
          <w:sz w:val="21"/>
          <w:lang w:val="en-US" w:eastAsia="zh-CN"/>
        </w:rPr>
        <w:t>片、</w:t>
      </w:r>
      <w:r>
        <w:rPr>
          <w:rFonts w:hint="eastAsia" w:ascii="Times New Roman" w:hAnsi="Times New Roman" w:cs="Times New Roman"/>
          <w:color w:val="auto"/>
          <w:sz w:val="21"/>
          <w:highlight w:val="none"/>
          <w:lang w:val="en-US" w:eastAsia="zh-CN"/>
        </w:rPr>
        <w:t>重量控制器等部件组成，其工作原理是：在测渣仪的</w:t>
      </w:r>
      <w:r>
        <w:rPr>
          <w:rFonts w:hint="eastAsia" w:ascii="Times New Roman" w:hAnsi="Times New Roman" w:cs="Times New Roman"/>
          <w:sz w:val="21"/>
        </w:rPr>
        <w:t>压力室通入一定压力的气体，迫使</w:t>
      </w:r>
      <w:r>
        <w:rPr>
          <w:rFonts w:hint="eastAsia" w:ascii="Times New Roman" w:hAnsi="Times New Roman" w:cs="Times New Roman"/>
          <w:sz w:val="21"/>
          <w:lang w:val="en-US" w:eastAsia="zh-CN"/>
        </w:rPr>
        <w:t>坩埚内的铝熔体</w:t>
      </w:r>
      <w:r>
        <w:rPr>
          <w:rFonts w:hint="eastAsia" w:ascii="Times New Roman" w:hAnsi="Times New Roman" w:cs="Times New Roman"/>
          <w:sz w:val="21"/>
        </w:rPr>
        <w:t>通过</w:t>
      </w:r>
      <w:r>
        <w:rPr>
          <w:rFonts w:hint="eastAsia" w:ascii="Times New Roman" w:hAnsi="Times New Roman" w:cs="Times New Roman"/>
          <w:sz w:val="21"/>
          <w:lang w:val="en-US" w:eastAsia="zh-CN"/>
        </w:rPr>
        <w:t>多孔</w:t>
      </w:r>
      <w:r>
        <w:rPr>
          <w:rFonts w:hint="eastAsia" w:ascii="Times New Roman" w:hAnsi="Times New Roman" w:cs="Times New Roman"/>
          <w:sz w:val="21"/>
        </w:rPr>
        <w:t>过滤</w:t>
      </w:r>
      <w:r>
        <w:rPr>
          <w:rFonts w:hint="eastAsia" w:ascii="Times New Roman" w:hAnsi="Times New Roman" w:cs="Times New Roman"/>
          <w:sz w:val="21"/>
          <w:lang w:val="en-US" w:eastAsia="zh-CN"/>
        </w:rPr>
        <w:t>片流入称重盘内</w:t>
      </w:r>
      <w:r>
        <w:rPr>
          <w:rFonts w:hint="eastAsia" w:ascii="Times New Roman" w:hAnsi="Times New Roman" w:cs="Times New Roman"/>
          <w:sz w:val="21"/>
        </w:rPr>
        <w:t>，</w:t>
      </w:r>
      <w:r>
        <w:rPr>
          <w:rFonts w:hint="eastAsia" w:ascii="Times New Roman" w:hAnsi="Times New Roman" w:cs="Times New Roman"/>
          <w:sz w:val="21"/>
          <w:lang w:val="en-US" w:eastAsia="zh-CN"/>
        </w:rPr>
        <w:t>测渣仪不断对称重盘重量进行称量，并显示累积重量与经过时间的曲线，当达到预设时间或称量设定值时，停止向压力室通入气体，释放压力，铝熔体停止流入称重盘，测渣仪完成对铝熔体的采样工作</w:t>
      </w:r>
      <w:r>
        <w:rPr>
          <w:rFonts w:hint="eastAsia" w:ascii="Times New Roman" w:hAnsi="Times New Roman" w:cs="Times New Roman"/>
          <w:sz w:val="21"/>
        </w:rPr>
        <w:t>。</w:t>
      </w:r>
    </w:p>
    <w:p w14:paraId="6AFE3000">
      <w:pPr>
        <w:autoSpaceDE w:val="0"/>
        <w:autoSpaceDN w:val="0"/>
        <w:adjustRightInd w:val="0"/>
        <w:spacing w:line="400" w:lineRule="exact"/>
        <w:ind w:firstLine="420" w:firstLineChars="200"/>
        <w:rPr>
          <w:rFonts w:eastAsiaTheme="minorEastAsia"/>
          <w:b w:val="0"/>
          <w:bCs w:val="0"/>
          <w:color w:val="FF0000"/>
          <w:kern w:val="0"/>
          <w:szCs w:val="21"/>
        </w:rPr>
      </w:pPr>
      <w:r>
        <w:rPr>
          <w:rFonts w:hint="eastAsia" w:ascii="Times New Roman" w:cs="Times New Roman"/>
          <w:sz w:val="21"/>
          <w:lang w:val="en-US" w:eastAsia="zh-CN"/>
        </w:rPr>
        <w:t>根据2024年4月讨论稿的意见，将图1、图2的颜色调整为了黑白色，对图中的图注进行了修改。</w:t>
      </w:r>
    </w:p>
    <w:p w14:paraId="3F711BA5">
      <w:pPr>
        <w:pStyle w:val="4"/>
        <w:spacing w:before="156" w:after="156"/>
        <w:rPr>
          <w:b w:val="0"/>
          <w:bCs w:val="0"/>
        </w:rPr>
      </w:pPr>
      <w:bookmarkStart w:id="33" w:name="_Toc193619056"/>
      <w:bookmarkStart w:id="34" w:name="_Toc193619098"/>
      <w:bookmarkStart w:id="35" w:name="_Toc193860212"/>
      <w:bookmarkStart w:id="36" w:name="_Toc193860181"/>
      <w:bookmarkStart w:id="37" w:name="_Toc500258938"/>
      <w:bookmarkStart w:id="38" w:name="_Toc193618953"/>
      <w:bookmarkStart w:id="39" w:name="_Toc19851_WPSOffice_Level1"/>
      <w:bookmarkStart w:id="40" w:name="_Toc193860031"/>
      <w:r>
        <w:rPr>
          <w:rFonts w:hint="eastAsia"/>
          <w:b w:val="0"/>
          <w:bCs w:val="0"/>
        </w:rPr>
        <w:t>4计量特性</w:t>
      </w:r>
      <w:bookmarkEnd w:id="33"/>
      <w:bookmarkEnd w:id="34"/>
      <w:bookmarkEnd w:id="35"/>
      <w:bookmarkEnd w:id="36"/>
      <w:bookmarkEnd w:id="37"/>
      <w:bookmarkEnd w:id="38"/>
      <w:bookmarkEnd w:id="39"/>
      <w:bookmarkEnd w:id="40"/>
      <w:bookmarkStart w:id="41" w:name="_Toc25829_WPSOffice_Level1"/>
    </w:p>
    <w:p w14:paraId="68F8C4FE">
      <w:pPr>
        <w:adjustRightInd w:val="0"/>
        <w:snapToGrid w:val="0"/>
        <w:spacing w:line="360" w:lineRule="auto"/>
        <w:ind w:firstLine="420" w:firstLineChars="200"/>
        <w:rPr>
          <w:rFonts w:hint="eastAsia"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仪表的计量特性主要为称量示值误差、</w:t>
      </w:r>
      <w:r>
        <w:rPr>
          <w:rFonts w:hint="eastAsia" w:hAnsi="宋体" w:cs="Times New Roman"/>
          <w:bCs/>
          <w:szCs w:val="21"/>
          <w:highlight w:val="none"/>
          <w:lang w:val="en-US" w:eastAsia="zh-CN"/>
        </w:rPr>
        <w:t>称量重复性、称量设定点偏差、温度示值误差、压力示值误差</w:t>
      </w:r>
      <w:r>
        <w:rPr>
          <w:rFonts w:hint="eastAsia" w:ascii="Times New Roman" w:hAnsi="宋体" w:cs="Times New Roman"/>
          <w:bCs/>
          <w:szCs w:val="21"/>
          <w:highlight w:val="none"/>
          <w:lang w:val="en-US" w:eastAsia="zh-CN"/>
        </w:rPr>
        <w:t>。</w:t>
      </w:r>
    </w:p>
    <w:p w14:paraId="263D25A5">
      <w:pPr>
        <w:spacing w:line="400" w:lineRule="exact"/>
        <w:ind w:firstLine="480"/>
        <w:rPr>
          <w:rFonts w:cstheme="majorBidi"/>
          <w:b w:val="0"/>
          <w:bCs w:val="0"/>
          <w:kern w:val="44"/>
        </w:rPr>
      </w:pPr>
      <w:r>
        <w:rPr>
          <w:rFonts w:hint="eastAsia" w:ascii="Times New Roman" w:cs="Times New Roman"/>
          <w:sz w:val="21"/>
          <w:lang w:val="en-US" w:eastAsia="zh-CN"/>
        </w:rPr>
        <w:t>根据2024年4月讨论稿的意见，</w:t>
      </w:r>
      <w:r>
        <w:rPr>
          <w:rFonts w:hint="eastAsia" w:cs="Times New Roman"/>
          <w:sz w:val="21"/>
          <w:lang w:val="en-US" w:eastAsia="zh-CN"/>
        </w:rPr>
        <w:t>将各计量特性以表格形式表述</w:t>
      </w:r>
      <w:r>
        <w:rPr>
          <w:rFonts w:hint="eastAsia" w:cstheme="majorBidi"/>
          <w:b w:val="0"/>
          <w:bCs w:val="0"/>
          <w:kern w:val="44"/>
        </w:rPr>
        <w:t>。</w:t>
      </w:r>
    </w:p>
    <w:p w14:paraId="160736D5">
      <w:pPr>
        <w:pStyle w:val="4"/>
        <w:spacing w:before="156" w:after="156"/>
        <w:rPr>
          <w:b w:val="0"/>
          <w:bCs w:val="0"/>
        </w:rPr>
      </w:pPr>
      <w:r>
        <w:rPr>
          <w:rFonts w:hint="eastAsia"/>
          <w:b w:val="0"/>
          <w:bCs w:val="0"/>
        </w:rPr>
        <w:t>5 校准条件</w:t>
      </w:r>
      <w:bookmarkEnd w:id="41"/>
      <w:bookmarkStart w:id="42" w:name="_Toc193860214"/>
      <w:bookmarkStart w:id="43" w:name="_Toc193860033"/>
      <w:bookmarkStart w:id="44" w:name="_Toc193860183"/>
      <w:bookmarkStart w:id="45" w:name="_Toc500258942"/>
    </w:p>
    <w:p w14:paraId="0B2503B7">
      <w:pPr>
        <w:spacing w:line="360" w:lineRule="auto"/>
        <w:ind w:firstLine="420" w:firstLineChars="200"/>
        <w:rPr>
          <w:rFonts w:hint="eastAsia"/>
          <w:bCs/>
          <w:highlight w:val="none"/>
          <w:lang w:val="en-US" w:eastAsia="zh-CN"/>
        </w:rPr>
      </w:pPr>
      <w:r>
        <w:rPr>
          <w:rFonts w:hint="eastAsia"/>
          <w:bCs/>
          <w:highlight w:val="none"/>
          <w:lang w:val="en-US" w:eastAsia="zh-CN"/>
        </w:rPr>
        <w:t>校准条件包括校准用计量标准、其他设备、校准环境条件和其它条件，为了使测量结果具有尽可能小的不确定度，需要建立一种较优越的环境条件，降低环境因素对计量标准带来的附加误差；需要具备一定准确度要求的计量标准及其他设备以满足用户对测量不确定度的要求、能覆盖被校设备实际校准范围。本规范是按上述原则确定校准条件的。</w:t>
      </w:r>
    </w:p>
    <w:p w14:paraId="4772E7EE">
      <w:pPr>
        <w:spacing w:line="360" w:lineRule="auto"/>
        <w:ind w:firstLine="420" w:firstLineChars="200"/>
        <w:rPr>
          <w:rFonts w:hint="eastAsia" w:cs="Times New Roman"/>
          <w:sz w:val="21"/>
          <w:lang w:val="en-US" w:eastAsia="zh-CN"/>
        </w:rPr>
      </w:pPr>
      <w:r>
        <w:rPr>
          <w:rFonts w:hint="eastAsia" w:ascii="Times New Roman" w:cs="Times New Roman"/>
          <w:sz w:val="21"/>
          <w:lang w:val="en-US" w:eastAsia="zh-CN"/>
        </w:rPr>
        <w:t>根据2024年4月讨论稿的意见，</w:t>
      </w:r>
      <w:r>
        <w:rPr>
          <w:rFonts w:hint="eastAsia" w:cs="Times New Roman"/>
          <w:sz w:val="21"/>
          <w:lang w:val="en-US" w:eastAsia="zh-CN"/>
        </w:rPr>
        <w:t>修改计量标准器“</w:t>
      </w:r>
      <w:r>
        <w:rPr>
          <w:rStyle w:val="324"/>
          <w:rFonts w:hint="eastAsia"/>
          <w:b w:val="0"/>
          <w:color w:val="000000"/>
          <w:highlight w:val="none"/>
          <w:lang w:val="en-US" w:eastAsia="zh-CN"/>
        </w:rPr>
        <w:t>标准数字压力计，0.05级</w:t>
      </w:r>
      <w:r>
        <w:rPr>
          <w:rFonts w:hint="eastAsia" w:cs="Times New Roman"/>
          <w:sz w:val="21"/>
          <w:lang w:val="en-US" w:eastAsia="zh-CN"/>
        </w:rPr>
        <w:t>”为“压力数据采集仪，MPE：</w:t>
      </w:r>
      <w:r>
        <w:rPr>
          <w:rFonts w:hint="eastAsia" w:ascii="宋体" w:hAnsi="宋体" w:eastAsia="宋体" w:cs="宋体"/>
          <w:sz w:val="21"/>
          <w:lang w:val="en-US" w:eastAsia="zh-CN"/>
        </w:rPr>
        <w:t>±</w:t>
      </w:r>
      <w:r>
        <w:rPr>
          <w:rFonts w:hint="eastAsia" w:ascii="宋体" w:hAnsi="宋体" w:cs="宋体"/>
          <w:sz w:val="21"/>
          <w:lang w:val="en-US" w:eastAsia="zh-CN"/>
        </w:rPr>
        <w:t>1kPa</w:t>
      </w:r>
      <w:r>
        <w:rPr>
          <w:rFonts w:hint="eastAsia" w:cs="Times New Roman"/>
          <w:sz w:val="21"/>
          <w:lang w:val="en-US" w:eastAsia="zh-CN"/>
        </w:rPr>
        <w:t>”</w:t>
      </w:r>
    </w:p>
    <w:p w14:paraId="675FF281">
      <w:pPr>
        <w:spacing w:line="360" w:lineRule="auto"/>
        <w:ind w:firstLine="420" w:firstLineChars="200"/>
        <w:rPr>
          <w:rFonts w:hint="default" w:cs="Times New Roman"/>
          <w:sz w:val="21"/>
          <w:lang w:val="en-US" w:eastAsia="zh-CN"/>
        </w:rPr>
      </w:pPr>
      <w:r>
        <w:rPr>
          <w:rFonts w:hint="eastAsia" w:cs="Times New Roman"/>
          <w:sz w:val="21"/>
          <w:lang w:val="en-US" w:eastAsia="zh-CN"/>
        </w:rPr>
        <w:t>根据征求意见稿的意见征集，对环境条件的规定作出解释：</w:t>
      </w:r>
    </w:p>
    <w:p w14:paraId="36514684">
      <w:pPr>
        <w:spacing w:line="324" w:lineRule="auto"/>
        <w:ind w:firstLine="420" w:firstLineChars="200"/>
        <w:outlineLvl w:val="1"/>
        <w:rPr>
          <w:rFonts w:hint="eastAsia"/>
          <w:szCs w:val="21"/>
        </w:rPr>
      </w:pPr>
      <w:r>
        <w:rPr>
          <w:rFonts w:hint="eastAsia" w:cs="Times New Roman"/>
          <w:sz w:val="21"/>
          <w:lang w:val="en-US" w:eastAsia="zh-CN"/>
        </w:rPr>
        <w:t>“</w:t>
      </w:r>
      <w:r>
        <w:rPr>
          <w:rFonts w:hint="default" w:cs="Times New Roman"/>
          <w:sz w:val="21"/>
          <w:lang w:val="en-US" w:eastAsia="zh-CN"/>
        </w:rPr>
        <w:t>温度为（15～25）℃，相对湿度不大于75%</w:t>
      </w:r>
      <w:r>
        <w:rPr>
          <w:rFonts w:hint="eastAsia" w:cs="Times New Roman"/>
          <w:sz w:val="21"/>
          <w:lang w:val="en-US" w:eastAsia="zh-CN"/>
        </w:rPr>
        <w:t>”</w:t>
      </w:r>
      <w:r>
        <w:rPr>
          <w:rFonts w:hint="default" w:cs="Times New Roman"/>
          <w:sz w:val="21"/>
          <w:lang w:val="en-US" w:eastAsia="zh-CN"/>
        </w:rPr>
        <w:t>，</w:t>
      </w:r>
      <w:r>
        <w:rPr>
          <w:rFonts w:hint="eastAsia" w:cs="Times New Roman"/>
          <w:sz w:val="21"/>
          <w:lang w:val="en-US" w:eastAsia="zh-CN"/>
        </w:rPr>
        <w:t>JJG 539-2016检定环境要求一般为-10</w:t>
      </w:r>
      <w:r>
        <w:rPr>
          <w:rFonts w:hint="eastAsia" w:ascii="宋体" w:hAnsi="宋体" w:eastAsia="宋体" w:cs="宋体"/>
          <w:sz w:val="21"/>
          <w:lang w:val="en-US" w:eastAsia="zh-CN"/>
        </w:rPr>
        <w:t>℃～</w:t>
      </w:r>
      <w:r>
        <w:rPr>
          <w:rFonts w:hint="eastAsia" w:cs="Times New Roman"/>
          <w:sz w:val="21"/>
          <w:lang w:val="en-US" w:eastAsia="zh-CN"/>
        </w:rPr>
        <w:t>40</w:t>
      </w:r>
      <w:r>
        <w:rPr>
          <w:rFonts w:hint="eastAsia" w:ascii="宋体" w:hAnsi="宋体" w:eastAsia="宋体" w:cs="宋体"/>
          <w:sz w:val="21"/>
          <w:lang w:val="en-US" w:eastAsia="zh-CN"/>
        </w:rPr>
        <w:t>℃</w:t>
      </w:r>
      <w:r>
        <w:rPr>
          <w:rFonts w:hint="eastAsia" w:cs="Times New Roman"/>
          <w:sz w:val="21"/>
          <w:lang w:val="en-US" w:eastAsia="zh-CN"/>
        </w:rPr>
        <w:t>，温度变化一般不超过5</w:t>
      </w:r>
      <w:r>
        <w:rPr>
          <w:rFonts w:hint="eastAsia" w:ascii="宋体" w:hAnsi="宋体" w:eastAsia="宋体" w:cs="宋体"/>
          <w:sz w:val="21"/>
          <w:lang w:val="en-US" w:eastAsia="zh-CN"/>
        </w:rPr>
        <w:t>℃</w:t>
      </w:r>
      <w:r>
        <w:rPr>
          <w:rFonts w:hint="eastAsia" w:cs="Times New Roman"/>
          <w:sz w:val="21"/>
          <w:lang w:val="en-US" w:eastAsia="zh-CN"/>
        </w:rPr>
        <w:t>/h；JJG875-2019检定环境要求：温度（20</w:t>
      </w:r>
      <w:r>
        <w:rPr>
          <w:rFonts w:hint="eastAsia" w:ascii="宋体" w:hAnsi="宋体" w:eastAsia="宋体" w:cs="宋体"/>
          <w:sz w:val="21"/>
          <w:lang w:val="en-US" w:eastAsia="zh-CN"/>
        </w:rPr>
        <w:t>±</w:t>
      </w:r>
      <w:r>
        <w:rPr>
          <w:rFonts w:hint="eastAsia" w:cs="Times New Roman"/>
          <w:sz w:val="21"/>
          <w:lang w:val="en-US" w:eastAsia="zh-CN"/>
        </w:rPr>
        <w:t>5）</w:t>
      </w:r>
      <w:r>
        <w:rPr>
          <w:rFonts w:hint="eastAsia" w:ascii="宋体" w:hAnsi="宋体" w:eastAsia="宋体" w:cs="宋体"/>
          <w:sz w:val="21"/>
          <w:lang w:val="en-US" w:eastAsia="zh-CN"/>
        </w:rPr>
        <w:t>℃</w:t>
      </w:r>
      <w:r>
        <w:rPr>
          <w:rFonts w:hint="eastAsia" w:cs="Times New Roman"/>
          <w:sz w:val="21"/>
          <w:lang w:val="en-US" w:eastAsia="zh-CN"/>
        </w:rPr>
        <w:t>，相对湿度不大于75%；JJG52-2013检定环境要求：温度（20</w:t>
      </w:r>
      <w:r>
        <w:rPr>
          <w:rFonts w:hint="eastAsia" w:ascii="宋体" w:hAnsi="宋体" w:eastAsia="宋体" w:cs="宋体"/>
          <w:sz w:val="21"/>
          <w:lang w:val="en-US" w:eastAsia="zh-CN"/>
        </w:rPr>
        <w:t>±</w:t>
      </w:r>
      <w:r>
        <w:rPr>
          <w:rFonts w:hint="eastAsia" w:cs="Times New Roman"/>
          <w:sz w:val="21"/>
          <w:lang w:val="en-US" w:eastAsia="zh-CN"/>
        </w:rPr>
        <w:t>5）</w:t>
      </w:r>
      <w:r>
        <w:rPr>
          <w:rFonts w:hint="eastAsia" w:ascii="宋体" w:hAnsi="宋体" w:eastAsia="宋体" w:cs="宋体"/>
          <w:sz w:val="21"/>
          <w:lang w:val="en-US" w:eastAsia="zh-CN"/>
        </w:rPr>
        <w:t>℃</w:t>
      </w:r>
      <w:r>
        <w:rPr>
          <w:rFonts w:hint="eastAsia" w:cs="Times New Roman"/>
          <w:sz w:val="21"/>
          <w:lang w:val="en-US" w:eastAsia="zh-CN"/>
        </w:rPr>
        <w:t>，相对湿度不大于85%；JJF1664-2017校准环境要求：温度15</w:t>
      </w:r>
      <w:r>
        <w:rPr>
          <w:rFonts w:hint="eastAsia" w:ascii="宋体" w:hAnsi="宋体" w:eastAsia="宋体" w:cs="宋体"/>
          <w:sz w:val="21"/>
          <w:lang w:val="en-US" w:eastAsia="zh-CN"/>
        </w:rPr>
        <w:t>℃～</w:t>
      </w:r>
      <w:r>
        <w:rPr>
          <w:rFonts w:hint="eastAsia" w:cs="Times New Roman"/>
          <w:sz w:val="21"/>
          <w:lang w:val="en-US" w:eastAsia="zh-CN"/>
        </w:rPr>
        <w:t>25</w:t>
      </w:r>
      <w:r>
        <w:rPr>
          <w:rFonts w:hint="eastAsia" w:ascii="宋体" w:hAnsi="宋体" w:eastAsia="宋体" w:cs="宋体"/>
          <w:sz w:val="21"/>
          <w:lang w:val="en-US" w:eastAsia="zh-CN"/>
        </w:rPr>
        <w:t>℃</w:t>
      </w:r>
      <w:r>
        <w:rPr>
          <w:rFonts w:hint="eastAsia" w:cs="Times New Roman"/>
          <w:sz w:val="21"/>
          <w:lang w:val="en-US" w:eastAsia="zh-CN"/>
        </w:rPr>
        <w:t>，相对湿度：45%</w:t>
      </w:r>
      <w:r>
        <w:rPr>
          <w:rFonts w:hint="eastAsia" w:ascii="宋体" w:hAnsi="宋体" w:eastAsia="宋体" w:cs="宋体"/>
          <w:sz w:val="21"/>
          <w:lang w:val="en-US" w:eastAsia="zh-CN"/>
        </w:rPr>
        <w:t>～</w:t>
      </w:r>
      <w:r>
        <w:rPr>
          <w:rFonts w:hint="eastAsia" w:cs="Times New Roman"/>
          <w:sz w:val="21"/>
          <w:lang w:val="en-US" w:eastAsia="zh-CN"/>
        </w:rPr>
        <w:t>85%</w:t>
      </w:r>
      <w:r>
        <w:rPr>
          <w:rFonts w:hint="eastAsia"/>
          <w:szCs w:val="21"/>
        </w:rPr>
        <w:t>。</w:t>
      </w:r>
    </w:p>
    <w:bookmarkEnd w:id="42"/>
    <w:bookmarkEnd w:id="43"/>
    <w:bookmarkEnd w:id="44"/>
    <w:bookmarkEnd w:id="45"/>
    <w:p w14:paraId="1DA18AC2">
      <w:pPr>
        <w:pStyle w:val="4"/>
        <w:spacing w:before="156" w:after="156"/>
        <w:rPr>
          <w:rFonts w:hint="eastAsia"/>
          <w:b w:val="0"/>
          <w:bCs w:val="0"/>
        </w:rPr>
      </w:pPr>
      <w:bookmarkStart w:id="46" w:name="_Toc193618955"/>
      <w:bookmarkStart w:id="47" w:name="_Toc2741_WPSOffice_Level1"/>
      <w:bookmarkStart w:id="48" w:name="_Toc193619100"/>
      <w:bookmarkStart w:id="49" w:name="_Toc193860185"/>
      <w:bookmarkStart w:id="50" w:name="_Toc193619058"/>
      <w:bookmarkStart w:id="51" w:name="_Toc193860216"/>
      <w:bookmarkStart w:id="52" w:name="_Toc500258944"/>
      <w:bookmarkStart w:id="53" w:name="_Toc193860035"/>
      <w:r>
        <w:rPr>
          <w:rFonts w:hint="eastAsia"/>
          <w:b w:val="0"/>
          <w:bCs w:val="0"/>
        </w:rPr>
        <w:t>6 校准项目和校准方法</w:t>
      </w:r>
      <w:bookmarkEnd w:id="46"/>
      <w:bookmarkEnd w:id="47"/>
      <w:bookmarkEnd w:id="48"/>
      <w:bookmarkEnd w:id="49"/>
      <w:bookmarkEnd w:id="50"/>
      <w:bookmarkEnd w:id="51"/>
      <w:bookmarkEnd w:id="52"/>
      <w:bookmarkEnd w:id="53"/>
    </w:p>
    <w:p w14:paraId="06E15B86">
      <w:pPr>
        <w:adjustRightInd w:val="0"/>
        <w:snapToGrid w:val="0"/>
        <w:spacing w:line="360" w:lineRule="auto"/>
        <w:ind w:firstLine="420" w:firstLineChars="200"/>
        <w:rPr>
          <w:rFonts w:hint="eastAsia" w:hAnsi="宋体" w:cs="Times New Roman"/>
          <w:bCs/>
          <w:szCs w:val="21"/>
          <w:highlight w:val="none"/>
          <w:lang w:val="en-US" w:eastAsia="zh-CN"/>
        </w:rPr>
      </w:pPr>
      <w:bookmarkStart w:id="54" w:name="_Toc500258945"/>
      <w:bookmarkStart w:id="55" w:name="_Toc22718_WPSOffice_Level2"/>
      <w:r>
        <w:rPr>
          <w:rFonts w:hint="eastAsia" w:hAnsi="宋体" w:cs="Times New Roman"/>
          <w:bCs/>
          <w:szCs w:val="21"/>
          <w:highlight w:val="none"/>
          <w:lang w:val="en-US" w:eastAsia="zh-CN"/>
        </w:rPr>
        <w:t>规范对测渣仪的校准点的选择进行了描述，规范对测渣仪计量特性称量示值误差、称量重复性、称量设定点偏差、压力示值误差、温度示值误差的校准方法进行了详细描述，给出了相应的示值误差、重复性、称量设定点偏差计算公式。规范能较好地指导校准人员对测渣仪进行校准，具有较强的可操作性。</w:t>
      </w:r>
    </w:p>
    <w:p w14:paraId="71FFE4BA">
      <w:pPr>
        <w:numPr>
          <w:ilvl w:val="0"/>
          <w:numId w:val="11"/>
        </w:numPr>
        <w:adjustRightInd w:val="0"/>
        <w:snapToGrid w:val="0"/>
        <w:spacing w:line="360" w:lineRule="auto"/>
        <w:ind w:left="0" w:leftChars="0" w:firstLine="420" w:firstLineChars="200"/>
        <w:rPr>
          <w:rFonts w:hint="eastAsia" w:cs="Times New Roman"/>
          <w:sz w:val="21"/>
          <w:lang w:val="en-US" w:eastAsia="zh-CN"/>
        </w:rPr>
      </w:pPr>
      <w:r>
        <w:rPr>
          <w:rFonts w:hint="eastAsia" w:ascii="Times New Roman" w:cs="Times New Roman"/>
          <w:sz w:val="21"/>
          <w:lang w:val="en-US" w:eastAsia="zh-CN"/>
        </w:rPr>
        <w:t>根据2024年4月讨论稿的意见</w:t>
      </w:r>
      <w:r>
        <w:rPr>
          <w:rFonts w:hint="eastAsia" w:cs="Times New Roman"/>
          <w:sz w:val="21"/>
          <w:lang w:val="en-US" w:eastAsia="zh-CN"/>
        </w:rPr>
        <w:t>：</w:t>
      </w:r>
    </w:p>
    <w:p w14:paraId="43655BB2">
      <w:pPr>
        <w:adjustRightInd w:val="0"/>
        <w:snapToGrid w:val="0"/>
        <w:spacing w:line="360" w:lineRule="auto"/>
        <w:ind w:firstLine="420" w:firstLineChars="200"/>
        <w:rPr>
          <w:rFonts w:hint="eastAsia" w:hAnsi="宋体" w:cs="Times New Roman"/>
          <w:bCs/>
          <w:szCs w:val="21"/>
          <w:highlight w:val="none"/>
          <w:lang w:val="en-US" w:eastAsia="zh-CN"/>
        </w:rPr>
      </w:pPr>
      <w:r>
        <w:rPr>
          <w:rFonts w:hint="eastAsia" w:hAnsi="宋体" w:cs="Times New Roman"/>
          <w:bCs/>
          <w:szCs w:val="21"/>
          <w:highlight w:val="none"/>
          <w:lang w:val="en-US" w:eastAsia="zh-CN"/>
        </w:rPr>
        <w:t>将6.2.1 准备工作</w:t>
      </w:r>
    </w:p>
    <w:p w14:paraId="6D9F3627">
      <w:pPr>
        <w:adjustRightInd w:val="0"/>
        <w:snapToGrid w:val="0"/>
        <w:spacing w:line="360" w:lineRule="auto"/>
        <w:ind w:firstLine="420" w:firstLineChars="200"/>
        <w:rPr>
          <w:rFonts w:hint="eastAsia" w:hAnsi="宋体" w:cs="Times New Roman"/>
          <w:bCs/>
          <w:szCs w:val="21"/>
          <w:highlight w:val="none"/>
          <w:lang w:val="en-US" w:eastAsia="zh-CN"/>
        </w:rPr>
      </w:pPr>
      <w:r>
        <w:rPr>
          <w:rFonts w:hint="eastAsia" w:hAnsi="宋体" w:cs="Times New Roman"/>
          <w:bCs/>
          <w:szCs w:val="21"/>
          <w:highlight w:val="none"/>
          <w:lang w:val="en-US" w:eastAsia="zh-CN"/>
        </w:rPr>
        <w:t xml:space="preserve">“准备好压缩空气，过滤精度不低于40 </w:t>
      </w:r>
      <w:r>
        <w:rPr>
          <w:rFonts w:hint="default" w:hAnsi="宋体" w:cs="Times New Roman"/>
          <w:bCs/>
          <w:szCs w:val="21"/>
          <w:highlight w:val="none"/>
          <w:lang w:val="en-US" w:eastAsia="zh-CN"/>
        </w:rPr>
        <w:t>μ</w:t>
      </w:r>
      <w:r>
        <w:rPr>
          <w:rFonts w:hint="eastAsia" w:hAnsi="宋体" w:cs="Times New Roman"/>
          <w:bCs/>
          <w:szCs w:val="21"/>
          <w:highlight w:val="none"/>
          <w:lang w:val="en-US" w:eastAsia="zh-CN"/>
        </w:rPr>
        <w:t>m。”</w:t>
      </w:r>
    </w:p>
    <w:p w14:paraId="570BDFCC">
      <w:pPr>
        <w:adjustRightInd w:val="0"/>
        <w:snapToGrid w:val="0"/>
        <w:spacing w:line="360" w:lineRule="auto"/>
        <w:ind w:firstLine="420" w:firstLineChars="200"/>
        <w:rPr>
          <w:rFonts w:hint="eastAsia" w:hAnsi="宋体" w:cs="Times New Roman"/>
          <w:bCs/>
          <w:szCs w:val="21"/>
          <w:highlight w:val="none"/>
          <w:lang w:val="en-US" w:eastAsia="zh-CN"/>
        </w:rPr>
      </w:pPr>
      <w:r>
        <w:rPr>
          <w:rFonts w:hint="eastAsia" w:hAnsi="宋体" w:cs="Times New Roman"/>
          <w:bCs/>
          <w:szCs w:val="21"/>
          <w:highlight w:val="none"/>
          <w:lang w:val="en-US" w:eastAsia="zh-CN"/>
        </w:rPr>
        <w:t>修改为：</w:t>
      </w:r>
    </w:p>
    <w:p w14:paraId="23EF7A75">
      <w:pPr>
        <w:spacing w:line="360" w:lineRule="auto"/>
        <w:ind w:firstLine="420" w:firstLineChars="200"/>
        <w:rPr>
          <w:rFonts w:hint="eastAsia" w:hAnsi="宋体" w:cs="Times New Roman"/>
          <w:bCs/>
          <w:szCs w:val="21"/>
          <w:highlight w:val="none"/>
          <w:lang w:val="en-US" w:eastAsia="zh-CN"/>
        </w:rPr>
      </w:pPr>
      <w:r>
        <w:rPr>
          <w:rFonts w:hint="eastAsia" w:hAnsi="宋体" w:cs="Times New Roman"/>
          <w:bCs/>
          <w:szCs w:val="21"/>
          <w:highlight w:val="none"/>
          <w:lang w:val="en-US" w:eastAsia="zh-CN"/>
        </w:rPr>
        <w:t>“准备好压缩空气或惰性气体，气体技术要求按照测渣仪说明书。”</w:t>
      </w:r>
    </w:p>
    <w:p w14:paraId="013196A6">
      <w:pPr>
        <w:numPr>
          <w:ilvl w:val="0"/>
          <w:numId w:val="11"/>
        </w:numPr>
        <w:adjustRightInd w:val="0"/>
        <w:snapToGrid w:val="0"/>
        <w:spacing w:line="360" w:lineRule="auto"/>
        <w:ind w:left="0" w:leftChars="0" w:firstLine="420" w:firstLineChars="200"/>
        <w:rPr>
          <w:rFonts w:hint="eastAsia" w:cs="Times New Roman"/>
          <w:sz w:val="21"/>
          <w:lang w:val="en-US" w:eastAsia="zh-CN"/>
        </w:rPr>
      </w:pPr>
      <w:r>
        <w:rPr>
          <w:rFonts w:hint="eastAsia" w:cs="Times New Roman"/>
          <w:sz w:val="21"/>
          <w:lang w:val="en-US" w:eastAsia="zh-CN"/>
        </w:rPr>
        <w:t>根据对征求意见稿意见的收集：</w:t>
      </w:r>
    </w:p>
    <w:p w14:paraId="0AE7A845">
      <w:pPr>
        <w:pStyle w:val="58"/>
        <w:spacing w:line="360" w:lineRule="auto"/>
        <w:rPr>
          <w:rFonts w:hint="eastAsia"/>
          <w:lang w:val="en-US" w:eastAsia="zh-CN"/>
        </w:rPr>
      </w:pPr>
      <w:r>
        <w:rPr>
          <w:rFonts w:hint="eastAsia" w:cs="Times New Roman"/>
          <w:sz w:val="21"/>
          <w:lang w:val="en-US" w:eastAsia="zh-CN"/>
        </w:rPr>
        <w:t>在6.2.2.2，</w:t>
      </w:r>
      <w:r>
        <w:rPr>
          <w:rFonts w:hint="eastAsia" w:cs="Times New Roman"/>
          <w:lang w:val="en-US" w:eastAsia="zh-CN"/>
        </w:rPr>
        <w:t>增加</w:t>
      </w:r>
      <w:r>
        <w:rPr>
          <w:rFonts w:hint="eastAsia"/>
          <w:lang w:val="en-US" w:eastAsia="zh-CN"/>
        </w:rPr>
        <w:t>公式：</w:t>
      </w:r>
    </w:p>
    <w:p w14:paraId="6F456E13">
      <w:pPr>
        <w:widowControl w:val="0"/>
        <w:numPr>
          <w:ilvl w:val="0"/>
          <w:numId w:val="0"/>
        </w:numPr>
        <w:adjustRightInd w:val="0"/>
        <w:snapToGrid w:val="0"/>
        <w:spacing w:line="360" w:lineRule="auto"/>
        <w:jc w:val="center"/>
        <w:rPr>
          <w:rFonts w:hint="default" w:cs="Times New Roman"/>
          <w:sz w:val="21"/>
          <w:lang w:val="en-US" w:eastAsia="zh-CN"/>
        </w:rPr>
      </w:pPr>
      <w:r>
        <w:rPr>
          <w:rFonts w:hint="default"/>
          <w:position w:val="-6"/>
          <w:sz w:val="21"/>
          <w:szCs w:val="21"/>
          <w:highlight w:val="none"/>
          <w:lang w:val="en-US" w:eastAsia="zh-CN"/>
        </w:rPr>
        <w:object>
          <v:shape id="_x0000_i1025" o:spt="75" type="#_x0000_t75" style="height:13.95pt;width:87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p>
    <w:p w14:paraId="5B91F9D2">
      <w:pPr>
        <w:numPr>
          <w:ilvl w:val="0"/>
          <w:numId w:val="11"/>
        </w:numPr>
        <w:adjustRightInd w:val="0"/>
        <w:snapToGrid w:val="0"/>
        <w:spacing w:line="360" w:lineRule="auto"/>
        <w:ind w:left="0" w:leftChars="0" w:firstLine="420" w:firstLineChars="200"/>
        <w:rPr>
          <w:rFonts w:hint="eastAsia" w:cs="Times New Roman"/>
          <w:sz w:val="21"/>
          <w:lang w:val="en-US" w:eastAsia="zh-CN"/>
        </w:rPr>
      </w:pPr>
      <w:r>
        <w:rPr>
          <w:rFonts w:hint="eastAsia" w:ascii="Times New Roman" w:cs="Times New Roman"/>
          <w:sz w:val="21"/>
          <w:lang w:val="en-US" w:eastAsia="zh-CN"/>
        </w:rPr>
        <w:t>根据2024年4月讨论稿的意见</w:t>
      </w:r>
      <w:r>
        <w:rPr>
          <w:rFonts w:hint="eastAsia" w:cs="Times New Roman"/>
          <w:sz w:val="21"/>
          <w:lang w:val="en-US" w:eastAsia="zh-CN"/>
        </w:rPr>
        <w:t>：</w:t>
      </w:r>
    </w:p>
    <w:p w14:paraId="02D94F4D">
      <w:pPr>
        <w:adjustRightInd w:val="0"/>
        <w:snapToGrid w:val="0"/>
        <w:spacing w:line="360" w:lineRule="auto"/>
        <w:ind w:firstLine="420" w:firstLineChars="200"/>
        <w:rPr>
          <w:rFonts w:hint="eastAsia" w:cs="Times New Roman"/>
          <w:sz w:val="21"/>
          <w:lang w:val="en-US" w:eastAsia="zh-CN"/>
        </w:rPr>
      </w:pPr>
      <w:r>
        <w:rPr>
          <w:rFonts w:hint="eastAsia" w:cs="Times New Roman"/>
          <w:sz w:val="21"/>
          <w:lang w:val="en-US" w:eastAsia="zh-CN"/>
        </w:rPr>
        <w:t>将6.2.5 压力示值误差</w:t>
      </w:r>
    </w:p>
    <w:p w14:paraId="1D4F4F65">
      <w:pPr>
        <w:adjustRightInd w:val="0"/>
        <w:snapToGrid w:val="0"/>
        <w:spacing w:line="360" w:lineRule="auto"/>
        <w:ind w:firstLine="420" w:firstLineChars="200"/>
        <w:rPr>
          <w:rFonts w:hint="eastAsia" w:hAnsi="宋体" w:cs="Times New Roman"/>
          <w:bCs/>
          <w:szCs w:val="21"/>
          <w:highlight w:val="none"/>
          <w:lang w:val="en-US" w:eastAsia="zh-CN"/>
        </w:rPr>
      </w:pPr>
      <w:r>
        <w:rPr>
          <w:rFonts w:hint="eastAsia" w:hAnsi="宋体" w:cs="Times New Roman"/>
          <w:bCs/>
          <w:szCs w:val="21"/>
          <w:highlight w:val="none"/>
          <w:lang w:val="en-US" w:eastAsia="zh-CN"/>
        </w:rPr>
        <w:t>修改为：</w:t>
      </w:r>
    </w:p>
    <w:p w14:paraId="36FD8BC7">
      <w:pPr>
        <w:pStyle w:val="58"/>
        <w:spacing w:line="360" w:lineRule="auto"/>
        <w:rPr>
          <w:rFonts w:hint="default"/>
          <w:lang w:val="en-US" w:eastAsia="zh-CN"/>
        </w:rPr>
      </w:pPr>
      <w:r>
        <w:rPr>
          <w:rFonts w:hint="eastAsia"/>
          <w:lang w:val="en-US" w:eastAsia="zh-CN"/>
        </w:rPr>
        <w:t>压力示值误差的校准采用标准器示值与测渣仪压力示值直接比较的方法。将压力室的铝液流出口堵住，在压力室中放入压力数据采集仪，采集得到此时的大气压atm；然后关闭压力室，启动测渣仪测试功能，压力室内外形成压差，待压力室内压力平衡稳定后，读取测渣仪压力显示值并记录对应的时刻，连续读取三次数据后，关闭测渣仪测试功能。打开压力室取出压力数据采集仪，读取相应时刻记录的压力测量值；具备实时传输功能的压力数据采集仪可同步读取测渣仪压力示值和压力数据采集仪的示值。按式（5）计算得到压力示值误差。</w:t>
      </w:r>
    </w:p>
    <w:p w14:paraId="7BE546F5">
      <w:pPr>
        <w:pStyle w:val="58"/>
        <w:spacing w:line="360" w:lineRule="auto"/>
        <w:jc w:val="right"/>
        <w:rPr>
          <w:rFonts w:hint="default"/>
          <w:lang w:val="en-US" w:eastAsia="zh-CN"/>
        </w:rPr>
      </w:pPr>
      <w:r>
        <w:rPr>
          <w:rFonts w:hint="default"/>
          <w:position w:val="-24"/>
          <w:lang w:val="en-US" w:eastAsia="zh-CN"/>
        </w:rPr>
        <w:object>
          <v:shape id="_x0000_i1026" o:spt="75" type="#_x0000_t75" style="height:48pt;width:121.95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lang w:val="en-US" w:eastAsia="zh-CN"/>
        </w:rPr>
        <w:t xml:space="preserve">                            （5）</w:t>
      </w:r>
    </w:p>
    <w:p w14:paraId="78E3B9E2">
      <w:pPr>
        <w:pStyle w:val="58"/>
        <w:spacing w:line="360" w:lineRule="auto"/>
        <w:rPr>
          <w:rFonts w:hint="default"/>
          <w:lang w:val="en-US" w:eastAsia="zh-CN"/>
        </w:rPr>
      </w:pPr>
      <w:r>
        <w:rPr>
          <w:rFonts w:hint="default"/>
          <w:lang w:val="en-US" w:eastAsia="zh-CN"/>
        </w:rPr>
        <w:t>式中</w:t>
      </w:r>
      <w:r>
        <w:rPr>
          <w:rFonts w:hint="eastAsia"/>
          <w:lang w:val="en-US" w:eastAsia="zh-CN"/>
        </w:rPr>
        <w:t>：</w:t>
      </w:r>
    </w:p>
    <w:p w14:paraId="7EAFF871">
      <w:pPr>
        <w:pStyle w:val="58"/>
        <w:spacing w:line="360" w:lineRule="auto"/>
        <w:rPr>
          <w:rFonts w:hint="eastAsia"/>
          <w:lang w:val="en-US" w:eastAsia="zh-CN"/>
        </w:rPr>
      </w:pPr>
      <w:r>
        <w:rPr>
          <w:rFonts w:hint="default" w:ascii="Times New Roman" w:hAnsi="Times New Roman" w:cs="Times New Roman"/>
          <w:lang w:val="en-US" w:eastAsia="zh-CN"/>
        </w:rPr>
        <w:t>Δ</w:t>
      </w:r>
      <w:r>
        <w:rPr>
          <w:rFonts w:hint="eastAsia"/>
          <w:i/>
          <w:iCs/>
          <w:lang w:val="en-US" w:eastAsia="zh-CN"/>
        </w:rPr>
        <w:t>P</w:t>
      </w:r>
      <w:r>
        <w:rPr>
          <w:rFonts w:hint="eastAsia"/>
          <w:lang w:val="en-US" w:eastAsia="zh-CN"/>
        </w:rPr>
        <w:t>——测渣仪压力示值误差</w:t>
      </w:r>
      <w:r>
        <w:rPr>
          <w:rFonts w:hint="default"/>
          <w:lang w:val="en-US" w:eastAsia="zh-CN"/>
        </w:rPr>
        <w:t>，kPa</w:t>
      </w:r>
      <w:r>
        <w:rPr>
          <w:rFonts w:hint="eastAsia"/>
          <w:lang w:val="en-US" w:eastAsia="zh-CN"/>
        </w:rPr>
        <w:t>；</w:t>
      </w:r>
    </w:p>
    <w:p w14:paraId="14981089">
      <w:pPr>
        <w:pStyle w:val="58"/>
        <w:spacing w:line="360" w:lineRule="auto"/>
        <w:ind w:left="0" w:leftChars="0" w:firstLine="420" w:firstLineChars="200"/>
        <w:rPr>
          <w:rFonts w:hint="default"/>
          <w:lang w:val="en-US" w:eastAsia="zh-CN"/>
        </w:rPr>
      </w:pPr>
      <w:r>
        <w:rPr>
          <w:rFonts w:hint="eastAsia"/>
          <w:i/>
          <w:iCs/>
          <w:lang w:val="en-US" w:eastAsia="zh-CN"/>
        </w:rPr>
        <w:t>n</w:t>
      </w:r>
      <w:r>
        <w:rPr>
          <w:rFonts w:hint="eastAsia"/>
          <w:lang w:val="en-US" w:eastAsia="zh-CN"/>
        </w:rPr>
        <w:t>——测量次数，</w:t>
      </w:r>
      <w:r>
        <w:rPr>
          <w:rFonts w:hint="eastAsia"/>
          <w:i/>
          <w:iCs/>
          <w:lang w:val="en-US" w:eastAsia="zh-CN"/>
        </w:rPr>
        <w:t>n</w:t>
      </w:r>
      <w:r>
        <w:rPr>
          <w:rFonts w:hint="eastAsia"/>
          <w:lang w:val="en-US" w:eastAsia="zh-CN"/>
        </w:rPr>
        <w:t>=3；</w:t>
      </w:r>
    </w:p>
    <w:p w14:paraId="064B449C">
      <w:pPr>
        <w:pStyle w:val="58"/>
        <w:spacing w:line="360" w:lineRule="auto"/>
        <w:rPr>
          <w:rFonts w:hint="default"/>
          <w:lang w:val="en-US" w:eastAsia="zh-CN"/>
        </w:rPr>
      </w:pPr>
      <w:r>
        <w:rPr>
          <w:rFonts w:hint="eastAsia"/>
          <w:i/>
          <w:iCs/>
          <w:lang w:val="en-US" w:eastAsia="zh-CN"/>
        </w:rPr>
        <w:t>P</w:t>
      </w:r>
      <w:r>
        <w:rPr>
          <w:rFonts w:hint="eastAsia"/>
          <w:i/>
          <w:iCs/>
          <w:vertAlign w:val="subscript"/>
          <w:lang w:val="en-US" w:eastAsia="zh-CN"/>
        </w:rPr>
        <w:t>Ri</w:t>
      </w:r>
      <w:r>
        <w:rPr>
          <w:rFonts w:hint="eastAsia"/>
          <w:i/>
          <w:iCs/>
          <w:vertAlign w:val="baseline"/>
          <w:lang w:val="en-US" w:eastAsia="zh-CN"/>
        </w:rPr>
        <w:t>——</w:t>
      </w:r>
      <w:r>
        <w:rPr>
          <w:rFonts w:hint="eastAsia"/>
          <w:lang w:val="en-US" w:eastAsia="zh-CN"/>
        </w:rPr>
        <w:t>测渣仪第</w:t>
      </w:r>
      <w:r>
        <w:rPr>
          <w:rFonts w:hint="eastAsia"/>
          <w:i/>
          <w:iCs/>
          <w:lang w:val="en-US" w:eastAsia="zh-CN"/>
        </w:rPr>
        <w:t>i</w:t>
      </w:r>
      <w:r>
        <w:rPr>
          <w:rFonts w:hint="eastAsia"/>
          <w:lang w:val="en-US" w:eastAsia="zh-CN"/>
        </w:rPr>
        <w:t>次压力</w:t>
      </w:r>
      <w:r>
        <w:rPr>
          <w:rFonts w:hint="default"/>
          <w:lang w:val="en-US" w:eastAsia="zh-CN"/>
        </w:rPr>
        <w:t>示值</w:t>
      </w:r>
      <w:r>
        <w:rPr>
          <w:rFonts w:hint="eastAsia"/>
          <w:lang w:val="en-US" w:eastAsia="zh-CN"/>
        </w:rPr>
        <w:t>，</w:t>
      </w:r>
      <w:r>
        <w:rPr>
          <w:rFonts w:hint="default"/>
          <w:lang w:val="en-US" w:eastAsia="zh-CN"/>
        </w:rPr>
        <w:t>kPa</w:t>
      </w:r>
      <w:r>
        <w:rPr>
          <w:rFonts w:hint="eastAsia"/>
          <w:lang w:val="en-US" w:eastAsia="zh-CN"/>
        </w:rPr>
        <w:t>；</w:t>
      </w:r>
    </w:p>
    <w:p w14:paraId="38A1A0D6">
      <w:pPr>
        <w:pStyle w:val="58"/>
        <w:spacing w:line="360" w:lineRule="auto"/>
        <w:rPr>
          <w:rFonts w:hint="eastAsia"/>
          <w:lang w:val="en-US" w:eastAsia="zh-CN"/>
        </w:rPr>
      </w:pPr>
      <w:r>
        <w:rPr>
          <w:rFonts w:hint="default"/>
          <w:i/>
          <w:iCs/>
          <w:lang w:val="en-US" w:eastAsia="zh-CN"/>
        </w:rPr>
        <w:t>P</w:t>
      </w:r>
      <w:r>
        <w:rPr>
          <w:rFonts w:hint="eastAsia"/>
          <w:i/>
          <w:iCs/>
          <w:vertAlign w:val="subscript"/>
          <w:lang w:val="en-US" w:eastAsia="zh-CN"/>
        </w:rPr>
        <w:t>Si</w:t>
      </w:r>
      <w:r>
        <w:rPr>
          <w:rFonts w:hint="eastAsia"/>
          <w:lang w:val="en-US" w:eastAsia="zh-CN"/>
        </w:rPr>
        <w:t>——标准器第</w:t>
      </w:r>
      <w:r>
        <w:rPr>
          <w:rFonts w:hint="eastAsia"/>
          <w:i/>
          <w:iCs/>
          <w:lang w:val="en-US" w:eastAsia="zh-CN"/>
        </w:rPr>
        <w:t>i</w:t>
      </w:r>
      <w:r>
        <w:rPr>
          <w:rFonts w:hint="eastAsia"/>
          <w:lang w:val="en-US" w:eastAsia="zh-CN"/>
        </w:rPr>
        <w:t>次压力示值</w:t>
      </w:r>
      <w:r>
        <w:rPr>
          <w:rFonts w:hint="default"/>
          <w:lang w:val="en-US" w:eastAsia="zh-CN"/>
        </w:rPr>
        <w:t>，kPa</w:t>
      </w:r>
      <w:r>
        <w:rPr>
          <w:rFonts w:hint="eastAsia"/>
          <w:lang w:val="en-US" w:eastAsia="zh-CN"/>
        </w:rPr>
        <w:t>；</w:t>
      </w:r>
    </w:p>
    <w:p w14:paraId="7DA92673">
      <w:pPr>
        <w:pStyle w:val="58"/>
        <w:spacing w:line="360" w:lineRule="auto"/>
        <w:rPr>
          <w:rFonts w:hint="eastAsia"/>
          <w:lang w:val="en-US" w:eastAsia="zh-CN"/>
        </w:rPr>
      </w:pPr>
      <w:r>
        <w:rPr>
          <w:rFonts w:hint="eastAsia"/>
          <w:lang w:val="en-US" w:eastAsia="zh-CN"/>
        </w:rPr>
        <w:t>atm——大气压强，</w:t>
      </w:r>
      <w:r>
        <w:rPr>
          <w:rFonts w:hint="default"/>
          <w:lang w:val="en-US" w:eastAsia="zh-CN"/>
        </w:rPr>
        <w:t>kPa</w:t>
      </w:r>
      <w:r>
        <w:rPr>
          <w:rFonts w:hint="eastAsia"/>
          <w:lang w:val="en-US" w:eastAsia="zh-CN"/>
        </w:rPr>
        <w:t>。</w:t>
      </w:r>
    </w:p>
    <w:p w14:paraId="0F03C52E">
      <w:pPr>
        <w:pStyle w:val="58"/>
        <w:rPr>
          <w:rFonts w:hint="default" w:eastAsia="仿宋"/>
          <w:sz w:val="18"/>
          <w:lang w:val="en-US" w:eastAsia="zh-CN"/>
        </w:rPr>
      </w:pPr>
      <w:r>
        <w:rPr>
          <w:rFonts w:hint="eastAsia" w:eastAsia="仿宋"/>
          <w:sz w:val="18"/>
          <w:lang w:val="en-US" w:eastAsia="zh-CN"/>
        </w:rPr>
        <w:t>注：若测渣仪压力示值为压力表的示值，读取数据前应轻敲表壳。</w:t>
      </w:r>
    </w:p>
    <w:p w14:paraId="49943954">
      <w:pPr>
        <w:spacing w:line="360" w:lineRule="auto"/>
        <w:ind w:firstLine="420" w:firstLineChars="200"/>
        <w:rPr>
          <w:rFonts w:hint="eastAsia" w:hAnsi="宋体" w:cs="Times New Roman"/>
          <w:bCs/>
          <w:szCs w:val="21"/>
          <w:highlight w:val="none"/>
          <w:lang w:val="en-US" w:eastAsia="zh-CN"/>
        </w:rPr>
      </w:pPr>
      <w:r>
        <w:rPr>
          <w:rFonts w:hint="eastAsia" w:hAnsi="宋体" w:cs="Times New Roman"/>
          <w:bCs/>
          <w:szCs w:val="21"/>
          <w:highlight w:val="none"/>
          <w:lang w:val="en-US" w:eastAsia="zh-CN"/>
        </w:rPr>
        <w:t>根据征求意见稿的意见收集及编制组讨论，修改为：</w:t>
      </w:r>
    </w:p>
    <w:p w14:paraId="3D44F056">
      <w:pPr>
        <w:pStyle w:val="58"/>
        <w:spacing w:line="360" w:lineRule="auto"/>
        <w:rPr>
          <w:rFonts w:hint="default"/>
          <w:lang w:val="en-US" w:eastAsia="zh-CN"/>
        </w:rPr>
      </w:pPr>
      <w:r>
        <w:rPr>
          <w:rFonts w:hint="eastAsia"/>
          <w:lang w:val="en-US" w:eastAsia="zh-CN"/>
        </w:rPr>
        <w:t>压力示值误差的校准采用标准器示值与测渣仪压力示值直接比较的方法。</w:t>
      </w:r>
      <w:r>
        <w:rPr>
          <w:rFonts w:hint="eastAsia"/>
          <w:highlight w:val="none"/>
          <w:lang w:val="en-US" w:eastAsia="zh-CN"/>
        </w:rPr>
        <w:t>将正压型测渣仪压力室铝液流出口或负压型测渣仪压力室铝液流入口堵住</w:t>
      </w:r>
      <w:r>
        <w:rPr>
          <w:rFonts w:hint="eastAsia"/>
          <w:lang w:val="en-US" w:eastAsia="zh-CN"/>
        </w:rPr>
        <w:t>，在压力室中放入压力数据采集仪，然后关闭压力室。启动测渣仪测试功能，压力室内外形成压差，待压力室内压力平衡稳定后，读取测渣仪压力显示值并记录对应的时刻，连续读取三次数据后，关闭测渣仪测试功能。打开压力室取出压力数据采集仪，读取相应时刻记录的压力测量值；</w:t>
      </w:r>
      <w:r>
        <w:rPr>
          <w:rFonts w:hint="eastAsia"/>
          <w:color w:val="auto"/>
          <w:lang w:val="en-US" w:eastAsia="zh-CN"/>
        </w:rPr>
        <w:t>具备实时传输功能的压力数据采集仪可同步读取测渣仪压力示值和压力数据采集仪的示值</w:t>
      </w:r>
      <w:r>
        <w:rPr>
          <w:rFonts w:hint="eastAsia"/>
          <w:lang w:val="en-US" w:eastAsia="zh-CN"/>
        </w:rPr>
        <w:t>。按式（6）计算得到压力示值误差。</w:t>
      </w:r>
    </w:p>
    <w:p w14:paraId="7E5192C5">
      <w:pPr>
        <w:spacing w:line="360" w:lineRule="auto"/>
        <w:ind w:firstLine="420" w:firstLineChars="200"/>
        <w:jc w:val="right"/>
        <w:rPr>
          <w:rFonts w:hint="default" w:hAnsi="宋体" w:cs="Times New Roman"/>
          <w:bCs/>
          <w:szCs w:val="21"/>
          <w:highlight w:val="none"/>
          <w:lang w:val="en-US" w:eastAsia="zh-CN"/>
        </w:rPr>
      </w:pPr>
      <w:r>
        <w:rPr>
          <w:rFonts w:hint="default"/>
          <w:position w:val="-24"/>
          <w:lang w:val="en-US" w:eastAsia="zh-CN"/>
        </w:rPr>
        <w:object>
          <v:shape id="_x0000_i1027" o:spt="75" type="#_x0000_t75" style="height:48pt;width:93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r>
        <w:rPr>
          <w:rFonts w:hint="eastAsia"/>
          <w:lang w:val="en-US" w:eastAsia="zh-CN"/>
        </w:rPr>
        <w:t xml:space="preserve">                            （6）</w:t>
      </w:r>
    </w:p>
    <w:bookmarkEnd w:id="54"/>
    <w:bookmarkEnd w:id="55"/>
    <w:p w14:paraId="20CB6028">
      <w:pPr>
        <w:pStyle w:val="4"/>
        <w:spacing w:before="156" w:after="156"/>
        <w:rPr>
          <w:b w:val="0"/>
          <w:bCs w:val="0"/>
        </w:rPr>
      </w:pPr>
      <w:bookmarkStart w:id="56" w:name="_Toc193860038"/>
      <w:bookmarkStart w:id="57" w:name="_Toc193619059"/>
      <w:bookmarkStart w:id="58" w:name="_Toc193860219"/>
      <w:bookmarkStart w:id="59" w:name="_Toc193619101"/>
      <w:bookmarkStart w:id="60" w:name="_Toc193618956"/>
      <w:bookmarkStart w:id="61" w:name="_Toc193860188"/>
      <w:bookmarkStart w:id="62" w:name="_Toc500258947"/>
      <w:bookmarkStart w:id="63" w:name="_Toc25466_WPSOffice_Level1"/>
      <w:r>
        <w:rPr>
          <w:rFonts w:hint="eastAsia"/>
          <w:b w:val="0"/>
          <w:bCs w:val="0"/>
        </w:rPr>
        <w:t>7 校准结果</w:t>
      </w:r>
      <w:bookmarkEnd w:id="56"/>
      <w:bookmarkEnd w:id="57"/>
      <w:bookmarkEnd w:id="58"/>
      <w:bookmarkEnd w:id="59"/>
      <w:bookmarkEnd w:id="60"/>
      <w:bookmarkEnd w:id="61"/>
      <w:r>
        <w:rPr>
          <w:rFonts w:hint="eastAsia"/>
          <w:b w:val="0"/>
          <w:bCs w:val="0"/>
        </w:rPr>
        <w:t>表达</w:t>
      </w:r>
      <w:bookmarkEnd w:id="62"/>
      <w:bookmarkEnd w:id="63"/>
    </w:p>
    <w:p w14:paraId="51CF54D2">
      <w:pPr>
        <w:pStyle w:val="58"/>
        <w:spacing w:line="360" w:lineRule="auto"/>
        <w:ind w:firstLine="420"/>
        <w:rPr>
          <w:rFonts w:ascii="Times New Roman" w:hAnsi="Times New Roman" w:eastAsiaTheme="minorEastAsia"/>
          <w:b w:val="0"/>
          <w:bCs w:val="0"/>
          <w:kern w:val="2"/>
          <w:szCs w:val="21"/>
        </w:rPr>
      </w:pPr>
      <w:r>
        <w:rPr>
          <w:rFonts w:hint="eastAsia" w:ascii="Times New Roman" w:hAnsi="Times New Roman" w:eastAsiaTheme="minorEastAsia"/>
          <w:b w:val="0"/>
          <w:bCs w:val="0"/>
          <w:kern w:val="2"/>
          <w:szCs w:val="21"/>
        </w:rPr>
        <w:t>根据实验室环境要求、校准项目校准结果、测量不确定度评定结果等，按照</w:t>
      </w:r>
      <w:r>
        <w:rPr>
          <w:rFonts w:hint="eastAsia" w:ascii="Times New Roman" w:hAnsi="Times New Roman" w:eastAsiaTheme="minorEastAsia"/>
          <w:b w:val="0"/>
          <w:bCs w:val="0"/>
          <w:kern w:val="2"/>
          <w:szCs w:val="21"/>
          <w:lang w:val="en-US" w:eastAsia="zh-CN"/>
        </w:rPr>
        <w:t>JJF 1071-2010</w:t>
      </w:r>
      <w:r>
        <w:rPr>
          <w:rFonts w:hint="eastAsia" w:ascii="Times New Roman" w:hAnsi="Times New Roman" w:eastAsiaTheme="minorEastAsia"/>
          <w:b w:val="0"/>
          <w:bCs w:val="0"/>
          <w:kern w:val="2"/>
          <w:szCs w:val="21"/>
        </w:rPr>
        <w:t>推荐的校准报告格式，出具校准证书。</w:t>
      </w:r>
    </w:p>
    <w:p w14:paraId="0813B1C4">
      <w:pPr>
        <w:pStyle w:val="4"/>
        <w:spacing w:before="156" w:after="156"/>
        <w:rPr>
          <w:b w:val="0"/>
          <w:bCs w:val="0"/>
        </w:rPr>
      </w:pPr>
      <w:bookmarkStart w:id="64" w:name="_Toc193860189"/>
      <w:bookmarkStart w:id="65" w:name="_Toc193860220"/>
      <w:bookmarkStart w:id="66" w:name="_Toc14803_WPSOffice_Level1"/>
      <w:bookmarkStart w:id="67" w:name="_Toc193860040"/>
      <w:bookmarkStart w:id="68" w:name="_Toc5529"/>
      <w:bookmarkStart w:id="69" w:name="_Toc193860041"/>
      <w:r>
        <w:rPr>
          <w:rFonts w:hint="eastAsia"/>
          <w:b w:val="0"/>
          <w:bCs w:val="0"/>
        </w:rPr>
        <w:t>8 复校</w:t>
      </w:r>
      <w:bookmarkEnd w:id="64"/>
      <w:bookmarkEnd w:id="65"/>
      <w:bookmarkEnd w:id="66"/>
      <w:bookmarkEnd w:id="67"/>
      <w:bookmarkEnd w:id="68"/>
      <w:r>
        <w:rPr>
          <w:rFonts w:hint="eastAsia"/>
          <w:b w:val="0"/>
          <w:bCs w:val="0"/>
        </w:rPr>
        <w:t>时间间隔</w:t>
      </w:r>
    </w:p>
    <w:bookmarkEnd w:id="69"/>
    <w:p w14:paraId="6CCF1CC2">
      <w:pPr>
        <w:pStyle w:val="58"/>
        <w:spacing w:line="360" w:lineRule="auto"/>
        <w:ind w:firstLine="420"/>
        <w:rPr>
          <w:rFonts w:hint="eastAsia" w:ascii="Times New Roman" w:hAnsi="Times New Roman" w:eastAsiaTheme="minorEastAsia"/>
          <w:b w:val="0"/>
          <w:bCs w:val="0"/>
          <w:kern w:val="2"/>
          <w:szCs w:val="21"/>
          <w:lang w:eastAsia="zh-CN"/>
        </w:rPr>
      </w:pPr>
      <w:r>
        <w:rPr>
          <w:rFonts w:hint="eastAsia" w:ascii="Times New Roman" w:hAnsi="Times New Roman" w:eastAsiaTheme="minorEastAsia"/>
          <w:b w:val="0"/>
          <w:bCs w:val="0"/>
          <w:kern w:val="2"/>
          <w:szCs w:val="21"/>
        </w:rPr>
        <w:t>建议复校时间间隔为1年。送校单位可根据使用情况自主决定复校时间间隔，在使用过程中盐水比重计经过修理、更换重要部件的需要重新校准</w:t>
      </w:r>
      <w:r>
        <w:rPr>
          <w:rFonts w:hint="eastAsia" w:ascii="Times New Roman" w:hAnsi="Times New Roman" w:eastAsiaTheme="minorEastAsia"/>
          <w:b w:val="0"/>
          <w:bCs w:val="0"/>
          <w:kern w:val="2"/>
          <w:szCs w:val="21"/>
          <w:lang w:eastAsia="zh-CN"/>
        </w:rPr>
        <w:t>。</w:t>
      </w:r>
    </w:p>
    <w:p w14:paraId="07668B45">
      <w:pPr>
        <w:pStyle w:val="4"/>
        <w:spacing w:before="156" w:after="156"/>
        <w:rPr>
          <w:b w:val="0"/>
          <w:bCs w:val="0"/>
        </w:rPr>
      </w:pPr>
      <w:r>
        <w:rPr>
          <w:rFonts w:hint="eastAsia"/>
          <w:b w:val="0"/>
          <w:bCs w:val="0"/>
        </w:rPr>
        <w:t>9附录</w:t>
      </w:r>
    </w:p>
    <w:p w14:paraId="2E83D7CB">
      <w:pPr>
        <w:pStyle w:val="58"/>
        <w:spacing w:line="360" w:lineRule="auto"/>
        <w:ind w:firstLine="420"/>
        <w:rPr>
          <w:rFonts w:ascii="Times New Roman" w:hAnsi="Times New Roman" w:eastAsiaTheme="minorEastAsia"/>
          <w:b w:val="0"/>
          <w:bCs w:val="0"/>
          <w:kern w:val="2"/>
          <w:szCs w:val="21"/>
        </w:rPr>
      </w:pPr>
      <w:r>
        <w:rPr>
          <w:rFonts w:hint="eastAsia" w:ascii="Times New Roman" w:hAnsi="Times New Roman" w:eastAsiaTheme="minorEastAsia"/>
          <w:b w:val="0"/>
          <w:bCs w:val="0"/>
          <w:kern w:val="2"/>
          <w:szCs w:val="21"/>
        </w:rPr>
        <w:t>附录主要包含校准原始记录参考格式、校准证书内页参考格式、</w:t>
      </w:r>
      <w:r>
        <w:rPr>
          <w:rFonts w:hint="eastAsia"/>
          <w:bCs/>
          <w:highlight w:val="none"/>
          <w:lang w:val="en-US" w:eastAsia="zh-CN"/>
        </w:rPr>
        <w:t>测渣仪称量示值误差测量结果的不确定度评定示例</w:t>
      </w:r>
      <w:r>
        <w:rPr>
          <w:rFonts w:hint="eastAsia" w:ascii="Times New Roman" w:hAnsi="Times New Roman" w:eastAsiaTheme="minorEastAsia"/>
          <w:b w:val="0"/>
          <w:bCs w:val="0"/>
          <w:kern w:val="2"/>
          <w:szCs w:val="21"/>
        </w:rPr>
        <w:t>。</w:t>
      </w:r>
    </w:p>
    <w:p w14:paraId="23184B3A">
      <w:pPr>
        <w:adjustRightInd w:val="0"/>
        <w:snapToGrid w:val="0"/>
        <w:spacing w:line="360" w:lineRule="auto"/>
        <w:ind w:firstLine="420" w:firstLineChars="200"/>
        <w:rPr>
          <w:b w:val="0"/>
          <w:bCs w:val="0"/>
        </w:rPr>
      </w:pPr>
      <w:r>
        <w:rPr>
          <w:rFonts w:hint="eastAsia"/>
          <w:b w:val="0"/>
          <w:bCs w:val="0"/>
          <w:lang w:val="en-US" w:eastAsia="zh-CN"/>
        </w:rPr>
        <w:t>本规范</w:t>
      </w:r>
      <w:r>
        <w:rPr>
          <w:rFonts w:hint="eastAsia"/>
          <w:b w:val="0"/>
          <w:bCs w:val="0"/>
        </w:rPr>
        <w:t>设置了</w:t>
      </w:r>
      <w:r>
        <w:rPr>
          <w:b w:val="0"/>
          <w:bCs w:val="0"/>
        </w:rPr>
        <w:t>3</w:t>
      </w:r>
      <w:r>
        <w:rPr>
          <w:rFonts w:hint="eastAsia"/>
          <w:b w:val="0"/>
          <w:bCs w:val="0"/>
        </w:rPr>
        <w:t>个附录，便于校准时参考和规范化。</w:t>
      </w:r>
    </w:p>
    <w:p w14:paraId="5744D170">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附录A 测渣仪校准记录参考格式</w:t>
      </w:r>
    </w:p>
    <w:p w14:paraId="2AC804DD">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附录B 测渣仪校准证书内页参考格式</w:t>
      </w:r>
    </w:p>
    <w:p w14:paraId="41DC2255">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附录C 测渣仪称量示值误差测量结果的不确定度评定示例</w:t>
      </w:r>
    </w:p>
    <w:p w14:paraId="1B50615D">
      <w:pPr>
        <w:adjustRightInd w:val="0"/>
        <w:snapToGrid w:val="0"/>
        <w:spacing w:line="360" w:lineRule="auto"/>
        <w:ind w:firstLine="420" w:firstLineChars="200"/>
        <w:rPr>
          <w:rFonts w:hint="eastAsia"/>
          <w:b w:val="0"/>
          <w:bCs w:val="0"/>
        </w:rPr>
      </w:pPr>
      <w:r>
        <w:rPr>
          <w:rFonts w:hint="eastAsia" w:ascii="Times New Roman" w:cs="Times New Roman"/>
          <w:sz w:val="21"/>
          <w:lang w:val="en-US" w:eastAsia="zh-CN"/>
        </w:rPr>
        <w:t>根据2024年4月讨论稿的意见，</w:t>
      </w:r>
      <w:r>
        <w:rPr>
          <w:rFonts w:hint="eastAsia" w:cs="Times New Roman"/>
          <w:sz w:val="21"/>
          <w:lang w:val="en-US" w:eastAsia="zh-CN"/>
        </w:rPr>
        <w:t>将“</w:t>
      </w:r>
      <w:r>
        <w:t>M</w:t>
      </w:r>
      <w:r>
        <w:rPr>
          <w:vertAlign w:val="subscript"/>
        </w:rPr>
        <w:t>1</w:t>
      </w:r>
      <w:r>
        <w:rPr>
          <w:rFonts w:hint="eastAsia"/>
        </w:rPr>
        <w:t>等级标准砝码</w:t>
      </w:r>
      <w:r>
        <w:rPr>
          <w:rFonts w:hint="eastAsia"/>
          <w:lang w:val="en-US" w:eastAsia="zh-CN"/>
        </w:rPr>
        <w:t>质量值</w:t>
      </w:r>
      <w:r>
        <w:rPr>
          <w:rFonts w:hint="eastAsia"/>
        </w:rPr>
        <w:t>的扩展不确定度</w:t>
      </w:r>
      <w:r>
        <w:rPr>
          <w:rFonts w:hint="eastAsia"/>
          <w:position w:val="-24"/>
          <w:lang w:eastAsia="zh-CN"/>
        </w:rPr>
        <w:object>
          <v:shape id="_x0000_i1028" o:spt="75" type="#_x0000_t75" style="height:33pt;width:62pt;" o:ole="t" filled="f" o:preferrelative="t" stroked="f" coordsize="21600,21600">
            <v:path/>
            <v:fill on="f" focussize="0,0"/>
            <v:stroke on="f"/>
            <v:imagedata r:id="rId14" o:title=""/>
            <o:lock v:ext="edit" aspectratio="t"/>
            <w10:wrap type="none"/>
            <w10:anchorlock/>
          </v:shape>
          <o:OLEObject Type="Embed" ProgID="Equation.KSEE3" ShapeID="_x0000_i1028" DrawAspect="Content" ObjectID="_1468075728" r:id="rId13">
            <o:LockedField>false</o:LockedField>
          </o:OLEObject>
        </w:object>
      </w:r>
      <w:r>
        <w:rPr>
          <w:rFonts w:hint="eastAsia"/>
        </w:rPr>
        <w:t>（包含因子</w:t>
      </w:r>
      <w:r>
        <w:rPr>
          <w:rFonts w:hint="eastAsia"/>
          <w:i/>
          <w:iCs/>
        </w:rPr>
        <w:t>k</w:t>
      </w:r>
      <w:r>
        <w:rPr>
          <w:rFonts w:hint="eastAsia"/>
        </w:rPr>
        <w:t>=2）</w:t>
      </w:r>
      <w:r>
        <w:rPr>
          <w:rFonts w:hint="eastAsia" w:cs="Times New Roman"/>
          <w:sz w:val="21"/>
          <w:lang w:val="en-US" w:eastAsia="zh-CN"/>
        </w:rPr>
        <w:t>”修改为“</w:t>
      </w:r>
      <w:r>
        <w:t>M</w:t>
      </w:r>
      <w:r>
        <w:rPr>
          <w:vertAlign w:val="subscript"/>
        </w:rPr>
        <w:t>1</w:t>
      </w:r>
      <w:r>
        <w:rPr>
          <w:rFonts w:hint="eastAsia"/>
        </w:rPr>
        <w:t>等级标准砝码</w:t>
      </w:r>
      <w:r>
        <w:rPr>
          <w:rFonts w:hint="eastAsia"/>
          <w:lang w:val="en-US" w:eastAsia="zh-CN"/>
        </w:rPr>
        <w:t>质量值</w:t>
      </w:r>
      <w:r>
        <w:rPr>
          <w:rFonts w:hint="eastAsia"/>
        </w:rPr>
        <w:t>的扩展不确定度</w:t>
      </w:r>
      <w:r>
        <w:rPr>
          <w:rFonts w:hint="eastAsia"/>
          <w:position w:val="-12"/>
        </w:rPr>
        <w:object>
          <v:shape id="_x0000_i1029" o:spt="75" type="#_x0000_t75" style="height:18pt;width:18pt;" o:ole="t" filled="f" o:preferrelative="t" stroked="f" coordsize="21600,21600">
            <v:path/>
            <v:fill on="f" focussize="0,0"/>
            <v:stroke on="f"/>
            <v:imagedata r:id="rId16" o:title=""/>
            <o:lock v:ext="edit" aspectratio="t"/>
            <w10:wrap type="none"/>
            <w10:anchorlock/>
          </v:shape>
          <o:OLEObject Type="Embed" ProgID="Equation.KSEE3" ShapeID="_x0000_i1029" DrawAspect="Content" ObjectID="_1468075729" r:id="rId15">
            <o:LockedField>false</o:LockedField>
          </o:OLEObject>
        </w:object>
      </w:r>
      <w:r>
        <w:rPr>
          <w:rFonts w:hint="eastAsia"/>
          <w:lang w:val="en-US" w:eastAsia="zh-CN"/>
        </w:rPr>
        <w:t>不大于砝码最大允许误差绝对值的1/3，</w:t>
      </w:r>
      <w:r>
        <w:rPr>
          <w:rFonts w:hint="eastAsia"/>
        </w:rPr>
        <w:t>包含因子</w:t>
      </w:r>
      <w:r>
        <w:rPr>
          <w:rFonts w:hint="eastAsia"/>
          <w:i/>
          <w:iCs/>
        </w:rPr>
        <w:t>k</w:t>
      </w:r>
      <w:r>
        <w:rPr>
          <w:rFonts w:hint="eastAsia"/>
        </w:rPr>
        <w:t>=2</w:t>
      </w:r>
      <w:r>
        <w:rPr>
          <w:rFonts w:hint="eastAsia" w:cs="Times New Roman"/>
          <w:sz w:val="21"/>
          <w:lang w:val="en-US" w:eastAsia="zh-CN"/>
        </w:rPr>
        <w:t>”。</w:t>
      </w:r>
    </w:p>
    <w:bookmarkEnd w:id="1"/>
    <w:bookmarkEnd w:id="19"/>
    <w:p w14:paraId="162FAECD">
      <w:pPr>
        <w:pStyle w:val="2"/>
        <w:spacing w:before="156" w:after="156"/>
        <w:rPr>
          <w:rFonts w:hint="eastAsia"/>
          <w:b w:val="0"/>
          <w:bCs w:val="0"/>
        </w:rPr>
      </w:pPr>
      <w:bookmarkStart w:id="70" w:name="_Toc464728965"/>
      <w:r>
        <w:rPr>
          <w:rFonts w:hint="eastAsia"/>
          <w:b w:val="0"/>
          <w:bCs w:val="0"/>
        </w:rPr>
        <w:t>三、实践检测情况</w:t>
      </w:r>
    </w:p>
    <w:p w14:paraId="16136252">
      <w:pPr>
        <w:adjustRightInd w:val="0"/>
        <w:spacing w:line="360" w:lineRule="auto"/>
        <w:ind w:firstLine="420" w:firstLineChars="200"/>
        <w:rPr>
          <w:rFonts w:hint="default"/>
          <w:b w:val="0"/>
          <w:bCs w:val="0"/>
          <w:sz w:val="21"/>
          <w:szCs w:val="24"/>
        </w:rPr>
      </w:pPr>
      <w:r>
        <w:rPr>
          <w:rFonts w:hint="eastAsia"/>
          <w:b w:val="0"/>
          <w:bCs w:val="0"/>
          <w:sz w:val="21"/>
          <w:szCs w:val="24"/>
          <w:lang w:val="en-US" w:eastAsia="zh-CN"/>
        </w:rPr>
        <w:t>西南铝业（集团）有限责任公司、</w:t>
      </w:r>
      <w:r>
        <w:rPr>
          <w:rFonts w:hint="default"/>
          <w:b w:val="0"/>
          <w:bCs w:val="0"/>
          <w:sz w:val="21"/>
          <w:szCs w:val="24"/>
        </w:rPr>
        <w:t>中铝材料应用研究院有限公司</w:t>
      </w:r>
      <w:r>
        <w:rPr>
          <w:rFonts w:hint="eastAsia"/>
          <w:b w:val="0"/>
          <w:bCs w:val="0"/>
          <w:sz w:val="21"/>
          <w:szCs w:val="24"/>
          <w:lang w:eastAsia="zh-CN"/>
        </w:rPr>
        <w:t>、</w:t>
      </w:r>
      <w:bookmarkStart w:id="76" w:name="_GoBack"/>
      <w:r>
        <w:rPr>
          <w:rFonts w:hint="eastAsia"/>
          <w:b w:val="0"/>
          <w:bCs w:val="0"/>
          <w:sz w:val="21"/>
          <w:szCs w:val="24"/>
          <w:lang w:val="en-US" w:eastAsia="zh-CN"/>
        </w:rPr>
        <w:t>东北轻合金有限公司</w:t>
      </w:r>
      <w:bookmarkEnd w:id="76"/>
      <w:r>
        <w:rPr>
          <w:rFonts w:hint="default"/>
          <w:b w:val="0"/>
          <w:bCs w:val="0"/>
          <w:sz w:val="21"/>
          <w:szCs w:val="24"/>
        </w:rPr>
        <w:t>根据本</w:t>
      </w:r>
      <w:r>
        <w:rPr>
          <w:rFonts w:hint="default"/>
          <w:b w:val="0"/>
          <w:bCs w:val="0"/>
          <w:sz w:val="21"/>
          <w:szCs w:val="24"/>
          <w:lang w:val="en-US" w:eastAsia="zh-CN"/>
        </w:rPr>
        <w:t>规范</w:t>
      </w:r>
      <w:r>
        <w:rPr>
          <w:rFonts w:hint="eastAsia"/>
          <w:b w:val="0"/>
          <w:bCs w:val="0"/>
          <w:sz w:val="21"/>
          <w:szCs w:val="24"/>
          <w:lang w:val="en-US" w:eastAsia="zh-CN"/>
        </w:rPr>
        <w:t>的校准项目</w:t>
      </w:r>
      <w:r>
        <w:rPr>
          <w:rFonts w:hint="default"/>
          <w:b w:val="0"/>
          <w:bCs w:val="0"/>
          <w:sz w:val="21"/>
          <w:szCs w:val="24"/>
        </w:rPr>
        <w:t>对</w:t>
      </w:r>
      <w:r>
        <w:rPr>
          <w:rFonts w:hint="eastAsia"/>
          <w:b w:val="0"/>
          <w:bCs w:val="0"/>
          <w:sz w:val="21"/>
          <w:szCs w:val="24"/>
          <w:lang w:val="en-US" w:eastAsia="zh-CN"/>
        </w:rPr>
        <w:t>铝及铝合金压滤法测渣仪</w:t>
      </w:r>
      <w:r>
        <w:rPr>
          <w:rFonts w:hint="default"/>
          <w:b w:val="0"/>
          <w:bCs w:val="0"/>
          <w:sz w:val="21"/>
          <w:szCs w:val="24"/>
        </w:rPr>
        <w:t>进行了全计量特性的校准，内容详见校准报告。</w:t>
      </w:r>
    </w:p>
    <w:p w14:paraId="7AA329CC">
      <w:pPr>
        <w:pStyle w:val="2"/>
        <w:spacing w:before="156" w:after="156"/>
        <w:rPr>
          <w:b w:val="0"/>
          <w:bCs w:val="0"/>
        </w:rPr>
      </w:pPr>
      <w:r>
        <w:rPr>
          <w:rFonts w:hint="eastAsia"/>
          <w:b w:val="0"/>
          <w:bCs w:val="0"/>
          <w:lang w:val="en-US" w:eastAsia="zh-CN"/>
        </w:rPr>
        <w:t>四</w:t>
      </w:r>
      <w:r>
        <w:rPr>
          <w:rFonts w:hint="eastAsia"/>
          <w:b w:val="0"/>
          <w:bCs w:val="0"/>
        </w:rPr>
        <w:t>、规范水平分析</w:t>
      </w:r>
      <w:bookmarkEnd w:id="70"/>
    </w:p>
    <w:p w14:paraId="47AD13F6">
      <w:pPr>
        <w:adjustRightInd w:val="0"/>
        <w:spacing w:line="360" w:lineRule="auto"/>
        <w:ind w:firstLine="420" w:firstLineChars="200"/>
        <w:rPr>
          <w:rFonts w:hint="eastAsia" w:ascii="宋体" w:hAnsi="宋体"/>
          <w:b w:val="0"/>
          <w:bCs w:val="0"/>
          <w:sz w:val="21"/>
          <w:szCs w:val="21"/>
        </w:rPr>
      </w:pPr>
      <w:r>
        <w:rPr>
          <w:rFonts w:hint="eastAsia" w:ascii="宋体" w:hAnsi="宋体"/>
          <w:bCs/>
          <w:color w:val="auto"/>
          <w:sz w:val="21"/>
          <w:szCs w:val="21"/>
          <w:highlight w:val="none"/>
          <w:lang w:val="en-US" w:eastAsia="zh-CN"/>
        </w:rPr>
        <w:t>本规范填补了国内对测渣仪无校准规范的空白，规范对测渣仪计量特性的校准，标准板的制作进行了详细描述，可操作性强，水平达到国内领先</w:t>
      </w:r>
      <w:r>
        <w:rPr>
          <w:rFonts w:hint="eastAsia"/>
          <w:b w:val="0"/>
          <w:bCs w:val="0"/>
          <w:sz w:val="21"/>
          <w:szCs w:val="21"/>
        </w:rPr>
        <w:t>。</w:t>
      </w:r>
    </w:p>
    <w:p w14:paraId="25294A3D">
      <w:pPr>
        <w:pStyle w:val="2"/>
        <w:spacing w:before="156" w:after="156"/>
        <w:rPr>
          <w:b w:val="0"/>
          <w:bCs w:val="0"/>
        </w:rPr>
      </w:pPr>
      <w:r>
        <w:rPr>
          <w:rFonts w:hint="eastAsia"/>
          <w:b w:val="0"/>
          <w:bCs w:val="0"/>
        </w:rPr>
        <w:t>五、与有关的现行法律、法规和强制性国家标准的关系</w:t>
      </w:r>
    </w:p>
    <w:p w14:paraId="4BF94920">
      <w:pPr>
        <w:pStyle w:val="58"/>
        <w:spacing w:line="300" w:lineRule="auto"/>
        <w:ind w:firstLine="0"/>
        <w:rPr>
          <w:b w:val="0"/>
          <w:bCs w:val="0"/>
        </w:rPr>
      </w:pPr>
      <w:r>
        <w:rPr>
          <w:rFonts w:hint="eastAsia"/>
          <w:b w:val="0"/>
          <w:bCs w:val="0"/>
        </w:rPr>
        <w:t>本规范所引用的规程</w:t>
      </w:r>
      <w:r>
        <w:rPr>
          <w:rFonts w:hint="eastAsia"/>
          <w:b w:val="0"/>
          <w:bCs w:val="0"/>
          <w:lang w:eastAsia="zh-CN"/>
        </w:rPr>
        <w:t>、</w:t>
      </w:r>
      <w:r>
        <w:rPr>
          <w:rFonts w:hint="eastAsia"/>
          <w:b w:val="0"/>
          <w:bCs w:val="0"/>
        </w:rPr>
        <w:t>规范</w:t>
      </w:r>
      <w:r>
        <w:rPr>
          <w:rFonts w:hint="eastAsia"/>
          <w:b w:val="0"/>
          <w:bCs w:val="0"/>
          <w:lang w:val="en-US" w:eastAsia="zh-CN"/>
        </w:rPr>
        <w:t>及标准</w:t>
      </w:r>
      <w:r>
        <w:rPr>
          <w:rFonts w:hint="eastAsia"/>
          <w:b w:val="0"/>
          <w:bCs w:val="0"/>
        </w:rPr>
        <w:t>均为我国现行有效的计量规程及规范，是本规范的一部分，引用这些</w:t>
      </w:r>
      <w:r>
        <w:rPr>
          <w:rFonts w:hint="eastAsia"/>
          <w:b w:val="0"/>
          <w:bCs w:val="0"/>
          <w:lang w:val="en-US" w:eastAsia="zh-CN"/>
        </w:rPr>
        <w:t>文件</w:t>
      </w:r>
      <w:r>
        <w:rPr>
          <w:rFonts w:hint="eastAsia"/>
          <w:b w:val="0"/>
          <w:bCs w:val="0"/>
        </w:rPr>
        <w:t>后，使本规范的要求与现行的相关法律、法规、规章及相关规程规范的关系不矛盾、不冲突，相互关系协调。</w:t>
      </w:r>
    </w:p>
    <w:p w14:paraId="167DC1A0">
      <w:pPr>
        <w:pStyle w:val="2"/>
        <w:spacing w:before="156" w:after="156"/>
        <w:rPr>
          <w:b w:val="0"/>
          <w:bCs w:val="0"/>
        </w:rPr>
      </w:pPr>
      <w:bookmarkStart w:id="71" w:name="_Toc464728973"/>
      <w:r>
        <w:rPr>
          <w:rFonts w:hint="eastAsia"/>
          <w:b w:val="0"/>
          <w:bCs w:val="0"/>
        </w:rPr>
        <w:t>六、规范中涉及的专利或知识产权说明</w:t>
      </w:r>
      <w:bookmarkEnd w:id="71"/>
    </w:p>
    <w:p w14:paraId="54E002EC">
      <w:pPr>
        <w:pStyle w:val="58"/>
        <w:spacing w:line="300" w:lineRule="auto"/>
        <w:ind w:firstLineChars="0"/>
        <w:contextualSpacing/>
        <w:rPr>
          <w:rFonts w:hint="eastAsia" w:eastAsia="宋体"/>
          <w:b w:val="0"/>
          <w:bCs w:val="0"/>
          <w:szCs w:val="21"/>
          <w:lang w:eastAsia="zh-CN"/>
        </w:rPr>
      </w:pPr>
      <w:bookmarkStart w:id="72" w:name="_Toc464728974"/>
      <w:r>
        <w:rPr>
          <w:rFonts w:hint="eastAsia"/>
          <w:b w:val="0"/>
          <w:bCs w:val="0"/>
          <w:szCs w:val="21"/>
        </w:rPr>
        <w:t>无</w:t>
      </w:r>
      <w:r>
        <w:rPr>
          <w:rFonts w:hint="eastAsia"/>
          <w:b w:val="0"/>
          <w:bCs w:val="0"/>
          <w:szCs w:val="21"/>
          <w:lang w:eastAsia="zh-CN"/>
        </w:rPr>
        <w:t>。</w:t>
      </w:r>
    </w:p>
    <w:p w14:paraId="7D8DB3BE">
      <w:pPr>
        <w:pStyle w:val="2"/>
        <w:spacing w:before="156" w:after="156"/>
        <w:rPr>
          <w:b w:val="0"/>
          <w:bCs w:val="0"/>
        </w:rPr>
      </w:pPr>
      <w:r>
        <w:rPr>
          <w:rFonts w:hint="eastAsia"/>
          <w:b w:val="0"/>
          <w:bCs w:val="0"/>
        </w:rPr>
        <w:t>七、重大分歧意见的处理经过和依据</w:t>
      </w:r>
      <w:bookmarkEnd w:id="72"/>
    </w:p>
    <w:p w14:paraId="17CCC10A">
      <w:pPr>
        <w:pStyle w:val="58"/>
        <w:spacing w:line="300" w:lineRule="auto"/>
        <w:ind w:firstLine="420"/>
        <w:contextualSpacing/>
        <w:rPr>
          <w:rFonts w:hint="eastAsia" w:eastAsia="宋体"/>
          <w:b w:val="0"/>
          <w:bCs w:val="0"/>
          <w:szCs w:val="21"/>
          <w:lang w:eastAsia="zh-CN"/>
        </w:rPr>
      </w:pPr>
      <w:r>
        <w:rPr>
          <w:rFonts w:hint="eastAsia"/>
          <w:b w:val="0"/>
          <w:bCs w:val="0"/>
          <w:szCs w:val="21"/>
        </w:rPr>
        <w:t>无</w:t>
      </w:r>
      <w:r>
        <w:rPr>
          <w:rFonts w:hint="eastAsia"/>
          <w:b w:val="0"/>
          <w:bCs w:val="0"/>
          <w:szCs w:val="21"/>
          <w:lang w:eastAsia="zh-CN"/>
        </w:rPr>
        <w:t>。</w:t>
      </w:r>
    </w:p>
    <w:p w14:paraId="5CD0AA0C">
      <w:pPr>
        <w:pStyle w:val="2"/>
        <w:spacing w:before="156" w:after="156"/>
        <w:rPr>
          <w:b w:val="0"/>
          <w:bCs w:val="0"/>
        </w:rPr>
      </w:pPr>
      <w:r>
        <w:rPr>
          <w:rFonts w:hint="eastAsia"/>
          <w:b w:val="0"/>
          <w:bCs w:val="0"/>
        </w:rPr>
        <w:t>八、规范作为国家（或行业）</w:t>
      </w:r>
      <w:r>
        <w:rPr>
          <w:rFonts w:hint="eastAsia"/>
          <w:b w:val="0"/>
          <w:bCs w:val="0"/>
          <w:lang w:val="en-US" w:eastAsia="zh-CN"/>
        </w:rPr>
        <w:t>计量技术规范</w:t>
      </w:r>
      <w:r>
        <w:rPr>
          <w:rFonts w:hint="eastAsia"/>
          <w:b w:val="0"/>
          <w:bCs w:val="0"/>
        </w:rPr>
        <w:t>的建议</w:t>
      </w:r>
    </w:p>
    <w:p w14:paraId="5BC96BFC">
      <w:pPr>
        <w:adjustRightInd w:val="0"/>
        <w:spacing w:line="360" w:lineRule="auto"/>
        <w:ind w:firstLine="420" w:firstLineChars="200"/>
        <w:rPr>
          <w:rFonts w:hint="default" w:hAnsi="宋体"/>
          <w:b w:val="0"/>
          <w:bCs w:val="0"/>
          <w:szCs w:val="21"/>
        </w:rPr>
      </w:pPr>
      <w:r>
        <w:rPr>
          <w:rFonts w:hint="eastAsia" w:hAnsi="宋体"/>
          <w:b w:val="0"/>
          <w:bCs w:val="0"/>
          <w:szCs w:val="21"/>
        </w:rPr>
        <w:t>建议本规范作为行业计量技术规范，供行业</w:t>
      </w:r>
      <w:r>
        <w:rPr>
          <w:rFonts w:hint="eastAsia" w:hAnsi="宋体"/>
          <w:b w:val="0"/>
          <w:bCs w:val="0"/>
          <w:szCs w:val="21"/>
          <w:lang w:val="en-US" w:eastAsia="zh-CN"/>
        </w:rPr>
        <w:t>企业</w:t>
      </w:r>
      <w:r>
        <w:rPr>
          <w:rFonts w:hint="eastAsia" w:hAnsi="宋体"/>
          <w:b w:val="0"/>
          <w:bCs w:val="0"/>
          <w:szCs w:val="21"/>
        </w:rPr>
        <w:t>参考</w:t>
      </w:r>
      <w:r>
        <w:rPr>
          <w:rFonts w:hint="eastAsia" w:hAnsi="宋体"/>
          <w:b w:val="0"/>
          <w:bCs w:val="0"/>
          <w:szCs w:val="21"/>
          <w:lang w:val="en-US" w:eastAsia="zh-CN"/>
        </w:rPr>
        <w:t>使用</w:t>
      </w:r>
      <w:r>
        <w:rPr>
          <w:rFonts w:hint="eastAsia" w:hAnsi="宋体"/>
          <w:b w:val="0"/>
          <w:bCs w:val="0"/>
          <w:szCs w:val="21"/>
        </w:rPr>
        <w:t>。</w:t>
      </w:r>
      <w:r>
        <w:rPr>
          <w:rFonts w:hint="eastAsia" w:hAnsi="宋体"/>
          <w:b w:val="0"/>
          <w:bCs w:val="0"/>
          <w:szCs w:val="21"/>
          <w:lang w:val="en-US" w:eastAsia="zh-CN"/>
        </w:rPr>
        <w:t>必要时可根据实际需要，结合其他行业使用要求，申报国家计量技术规范，以满足校准需要。</w:t>
      </w:r>
    </w:p>
    <w:p w14:paraId="54A64974">
      <w:pPr>
        <w:pStyle w:val="2"/>
        <w:spacing w:before="156" w:after="156"/>
        <w:rPr>
          <w:b w:val="0"/>
          <w:bCs w:val="0"/>
        </w:rPr>
      </w:pPr>
      <w:bookmarkStart w:id="73" w:name="_Toc464728976"/>
      <w:r>
        <w:rPr>
          <w:rFonts w:hint="eastAsia"/>
          <w:b w:val="0"/>
          <w:bCs w:val="0"/>
        </w:rPr>
        <w:t>九、贯彻规范的要求和措施建议</w:t>
      </w:r>
      <w:bookmarkEnd w:id="73"/>
    </w:p>
    <w:p w14:paraId="1B58E1C8">
      <w:pPr>
        <w:pStyle w:val="58"/>
        <w:spacing w:line="300" w:lineRule="auto"/>
        <w:ind w:firstLine="420"/>
        <w:contextualSpacing/>
        <w:rPr>
          <w:b w:val="0"/>
          <w:bCs w:val="0"/>
          <w:szCs w:val="21"/>
        </w:rPr>
      </w:pPr>
      <w:r>
        <w:rPr>
          <w:rFonts w:hint="eastAsia"/>
          <w:b w:val="0"/>
          <w:bCs w:val="0"/>
          <w:szCs w:val="21"/>
        </w:rPr>
        <w:t>本规范发布后，中国有色金属行业协会和有色金属行业计量技术委员会应加强本规范的宣传力度，以促进我国企业的技术进步和产品质量上档次，提高我国产品在国际国内市场的竞争能力。</w:t>
      </w:r>
    </w:p>
    <w:p w14:paraId="30254EEA">
      <w:pPr>
        <w:pStyle w:val="2"/>
        <w:spacing w:before="156" w:after="156"/>
        <w:rPr>
          <w:b w:val="0"/>
          <w:bCs w:val="0"/>
        </w:rPr>
      </w:pPr>
      <w:bookmarkStart w:id="74" w:name="_Toc464728977"/>
      <w:r>
        <w:rPr>
          <w:rFonts w:hint="eastAsia"/>
          <w:b w:val="0"/>
          <w:bCs w:val="0"/>
        </w:rPr>
        <w:t>十、废止现行有关规范的建议</w:t>
      </w:r>
      <w:bookmarkEnd w:id="74"/>
    </w:p>
    <w:p w14:paraId="39E87E15">
      <w:pPr>
        <w:pStyle w:val="58"/>
        <w:spacing w:line="300" w:lineRule="auto"/>
        <w:ind w:firstLine="420"/>
        <w:contextualSpacing/>
        <w:rPr>
          <w:b w:val="0"/>
          <w:bCs w:val="0"/>
          <w:szCs w:val="21"/>
        </w:rPr>
      </w:pPr>
      <w:r>
        <w:rPr>
          <w:rFonts w:hint="eastAsia"/>
          <w:b w:val="0"/>
          <w:bCs w:val="0"/>
          <w:szCs w:val="21"/>
        </w:rPr>
        <w:t>无。</w:t>
      </w:r>
    </w:p>
    <w:p w14:paraId="348B930C">
      <w:pPr>
        <w:pStyle w:val="2"/>
        <w:spacing w:before="156" w:after="156"/>
        <w:rPr>
          <w:b w:val="0"/>
          <w:bCs w:val="0"/>
        </w:rPr>
      </w:pPr>
      <w:r>
        <w:rPr>
          <w:rFonts w:hint="eastAsia"/>
          <w:b w:val="0"/>
          <w:bCs w:val="0"/>
          <w:lang w:val="en-US" w:eastAsia="zh-CN"/>
        </w:rPr>
        <w:t>十一</w:t>
      </w:r>
      <w:r>
        <w:rPr>
          <w:rFonts w:hint="eastAsia"/>
          <w:b w:val="0"/>
          <w:bCs w:val="0"/>
        </w:rPr>
        <w:t>、预期效果</w:t>
      </w:r>
    </w:p>
    <w:p w14:paraId="6FBF4B3B">
      <w:pPr>
        <w:ind w:firstLine="420" w:firstLineChars="200"/>
        <w:rPr>
          <w:rFonts w:ascii="宋体" w:hAnsi="宋体"/>
          <w:b w:val="0"/>
          <w:bCs w:val="0"/>
          <w:kern w:val="0"/>
          <w:szCs w:val="21"/>
        </w:rPr>
      </w:pPr>
      <w:r>
        <w:rPr>
          <w:rFonts w:hint="eastAsia"/>
          <w:bCs/>
          <w:highlight w:val="none"/>
        </w:rPr>
        <w:t>本规范的制定使</w:t>
      </w:r>
      <w:r>
        <w:rPr>
          <w:rFonts w:hint="eastAsia"/>
          <w:bCs/>
          <w:highlight w:val="none"/>
          <w:lang w:val="en-US" w:eastAsia="zh-CN"/>
        </w:rPr>
        <w:t>测渣仪的校准</w:t>
      </w:r>
      <w:r>
        <w:rPr>
          <w:rFonts w:hint="eastAsia" w:ascii="宋体" w:eastAsia="方正行楷简体"/>
          <w:bCs/>
          <w:kern w:val="0"/>
          <w:szCs w:val="21"/>
          <w:highlight w:val="none"/>
        </w:rPr>
        <w:t>有了可靠依据</w:t>
      </w:r>
      <w:r>
        <w:rPr>
          <w:rFonts w:hint="eastAsia" w:ascii="宋体" w:eastAsia="方正行楷简体"/>
          <w:bCs/>
          <w:kern w:val="0"/>
          <w:szCs w:val="21"/>
          <w:highlight w:val="none"/>
          <w:lang w:eastAsia="zh-CN"/>
        </w:rPr>
        <w:t>，</w:t>
      </w:r>
      <w:r>
        <w:rPr>
          <w:rFonts w:hint="eastAsia" w:ascii="宋体" w:eastAsia="方正行楷简体"/>
          <w:bCs/>
          <w:kern w:val="0"/>
          <w:szCs w:val="21"/>
          <w:highlight w:val="none"/>
          <w:lang w:val="en-US" w:eastAsia="zh-CN"/>
        </w:rPr>
        <w:t>对测渣仪的评价有了统一标准，能很好地用于指导生产</w:t>
      </w:r>
      <w:r>
        <w:rPr>
          <w:rFonts w:ascii="宋体" w:hAnsi="宋体"/>
          <w:b w:val="0"/>
          <w:bCs w:val="0"/>
          <w:kern w:val="0"/>
          <w:szCs w:val="21"/>
        </w:rPr>
        <w:t>。</w:t>
      </w:r>
    </w:p>
    <w:p w14:paraId="56F595F0">
      <w:pPr>
        <w:pStyle w:val="2"/>
        <w:spacing w:before="156" w:after="156"/>
        <w:rPr>
          <w:b w:val="0"/>
          <w:bCs w:val="0"/>
        </w:rPr>
      </w:pPr>
      <w:r>
        <w:rPr>
          <w:rFonts w:hint="eastAsia"/>
          <w:b w:val="0"/>
          <w:bCs w:val="0"/>
        </w:rPr>
        <w:t>十</w:t>
      </w:r>
      <w:r>
        <w:rPr>
          <w:rFonts w:hint="eastAsia"/>
          <w:b w:val="0"/>
          <w:bCs w:val="0"/>
          <w:lang w:val="en-US" w:eastAsia="zh-CN"/>
        </w:rPr>
        <w:t>二</w:t>
      </w:r>
      <w:r>
        <w:rPr>
          <w:rFonts w:hint="eastAsia"/>
          <w:b w:val="0"/>
          <w:bCs w:val="0"/>
        </w:rPr>
        <w:t>、其他应予说明的事项</w:t>
      </w:r>
    </w:p>
    <w:p w14:paraId="5513842A">
      <w:pPr>
        <w:pStyle w:val="58"/>
        <w:spacing w:line="300" w:lineRule="auto"/>
        <w:ind w:firstLineChars="0"/>
        <w:contextualSpacing/>
        <w:rPr>
          <w:rFonts w:hint="eastAsia"/>
          <w:b w:val="0"/>
          <w:bCs w:val="0"/>
          <w:szCs w:val="21"/>
        </w:rPr>
      </w:pPr>
      <w:r>
        <w:rPr>
          <w:rFonts w:hint="eastAsia"/>
          <w:b w:val="0"/>
          <w:bCs w:val="0"/>
          <w:szCs w:val="21"/>
        </w:rPr>
        <w:t>无。</w:t>
      </w:r>
    </w:p>
    <w:p w14:paraId="5BAC7404">
      <w:pPr>
        <w:pStyle w:val="58"/>
        <w:spacing w:line="300" w:lineRule="auto"/>
        <w:ind w:firstLineChars="0"/>
        <w:contextualSpacing/>
        <w:rPr>
          <w:rFonts w:hint="eastAsia"/>
          <w:b w:val="0"/>
          <w:bCs w:val="0"/>
          <w:szCs w:val="21"/>
        </w:rPr>
      </w:pPr>
    </w:p>
    <w:p w14:paraId="053C011A">
      <w:pPr>
        <w:pStyle w:val="58"/>
        <w:spacing w:line="300" w:lineRule="auto"/>
        <w:ind w:firstLineChars="0"/>
        <w:contextualSpacing/>
        <w:jc w:val="right"/>
        <w:rPr>
          <w:rFonts w:ascii="Times New Roman" w:hAnsi="Times New Roman" w:eastAsia="黑体"/>
          <w:b w:val="0"/>
          <w:bCs w:val="0"/>
        </w:rPr>
      </w:pPr>
      <w:r>
        <w:rPr>
          <w:rFonts w:ascii="Times New Roman" w:hAnsi="Times New Roman" w:eastAsia="黑体"/>
          <w:b w:val="0"/>
          <w:bCs w:val="0"/>
        </w:rPr>
        <w:t xml:space="preserve"> </w:t>
      </w:r>
    </w:p>
    <w:p w14:paraId="32741746">
      <w:pPr>
        <w:pStyle w:val="58"/>
        <w:spacing w:line="300" w:lineRule="auto"/>
        <w:ind w:firstLineChars="0"/>
        <w:contextualSpacing/>
        <w:jc w:val="right"/>
        <w:rPr>
          <w:rFonts w:ascii="Times New Roman" w:hAnsi="Times New Roman" w:eastAsia="黑体"/>
          <w:b w:val="0"/>
          <w:bCs w:val="0"/>
        </w:rPr>
      </w:pPr>
    </w:p>
    <w:p w14:paraId="617FCDFA">
      <w:pPr>
        <w:pStyle w:val="58"/>
        <w:spacing w:line="300" w:lineRule="auto"/>
        <w:ind w:firstLineChars="0"/>
        <w:contextualSpacing/>
        <w:jc w:val="right"/>
        <w:rPr>
          <w:rFonts w:ascii="Times New Roman" w:hAnsi="Times New Roman" w:eastAsia="方正行楷简体"/>
          <w:b w:val="0"/>
          <w:bCs w:val="0"/>
          <w:szCs w:val="21"/>
        </w:rPr>
      </w:pPr>
      <w:r>
        <w:rPr>
          <w:rFonts w:ascii="Times New Roman" w:hAnsi="Times New Roman" w:eastAsia="方正行楷简体"/>
          <w:b w:val="0"/>
          <w:bCs w:val="0"/>
          <w:szCs w:val="21"/>
        </w:rPr>
        <w:t>《</w:t>
      </w:r>
      <w:r>
        <w:rPr>
          <w:rFonts w:hint="eastAsia" w:asciiTheme="minorEastAsia" w:hAnsiTheme="minorEastAsia" w:eastAsiaTheme="minorEastAsia" w:cstheme="minorEastAsia"/>
          <w:bCs/>
          <w:sz w:val="21"/>
          <w:szCs w:val="21"/>
          <w:highlight w:val="none"/>
          <w:lang w:val="en-US" w:eastAsia="zh-CN"/>
        </w:rPr>
        <w:t>铝及铝合金压滤法测渣仪</w:t>
      </w:r>
      <w:r>
        <w:rPr>
          <w:rFonts w:hint="eastAsia" w:asciiTheme="minorEastAsia" w:hAnsiTheme="minorEastAsia" w:eastAsiaTheme="minorEastAsia" w:cstheme="minorEastAsia"/>
          <w:bCs/>
          <w:sz w:val="21"/>
          <w:szCs w:val="21"/>
          <w:highlight w:val="none"/>
          <w:lang w:eastAsia="zh-CN"/>
        </w:rPr>
        <w:t>校准规范</w:t>
      </w:r>
      <w:r>
        <w:rPr>
          <w:rFonts w:ascii="Times New Roman" w:hAnsi="Times New Roman" w:eastAsia="方正行楷简体"/>
          <w:b w:val="0"/>
          <w:bCs w:val="0"/>
          <w:szCs w:val="21"/>
        </w:rPr>
        <w:t xml:space="preserve">》编制组  </w:t>
      </w:r>
    </w:p>
    <w:p w14:paraId="62FF3414">
      <w:pPr>
        <w:pStyle w:val="58"/>
        <w:spacing w:line="300" w:lineRule="auto"/>
        <w:ind w:firstLineChars="0"/>
        <w:contextualSpacing/>
        <w:jc w:val="right"/>
        <w:rPr>
          <w:b w:val="0"/>
          <w:bCs w:val="0"/>
          <w:szCs w:val="21"/>
        </w:rPr>
      </w:pPr>
      <w:r>
        <w:rPr>
          <w:rFonts w:ascii="Times New Roman" w:hAnsi="Times New Roman" w:eastAsia="方正行楷简体"/>
          <w:b w:val="0"/>
          <w:bCs w:val="0"/>
          <w:szCs w:val="21"/>
        </w:rPr>
        <w:t>202</w:t>
      </w:r>
      <w:r>
        <w:rPr>
          <w:rFonts w:hint="eastAsia" w:ascii="Times New Roman" w:hAnsi="Times New Roman" w:eastAsia="方正行楷简体"/>
          <w:b w:val="0"/>
          <w:bCs w:val="0"/>
          <w:szCs w:val="21"/>
          <w:lang w:val="en-US" w:eastAsia="zh-CN"/>
        </w:rPr>
        <w:t>4</w:t>
      </w:r>
      <w:r>
        <w:rPr>
          <w:rFonts w:ascii="Times New Roman" w:hAnsi="Times New Roman" w:eastAsia="方正行楷简体"/>
          <w:b w:val="0"/>
          <w:bCs w:val="0"/>
          <w:szCs w:val="21"/>
        </w:rPr>
        <w:t>年</w:t>
      </w:r>
      <w:r>
        <w:rPr>
          <w:rFonts w:hint="eastAsia" w:ascii="Times New Roman" w:hAnsi="Times New Roman" w:eastAsia="方正行楷简体"/>
          <w:b w:val="0"/>
          <w:bCs w:val="0"/>
          <w:szCs w:val="21"/>
          <w:lang w:val="en-US" w:eastAsia="zh-CN"/>
        </w:rPr>
        <w:t>9</w:t>
      </w:r>
      <w:r>
        <w:rPr>
          <w:rFonts w:ascii="Times New Roman" w:hAnsi="Times New Roman" w:eastAsia="方正行楷简体"/>
          <w:b w:val="0"/>
          <w:bCs w:val="0"/>
          <w:szCs w:val="21"/>
        </w:rPr>
        <w:t>月</w:t>
      </w:r>
      <w:r>
        <w:rPr>
          <w:rFonts w:hint="eastAsia" w:ascii="Times New Roman" w:hAnsi="Times New Roman" w:eastAsia="方正行楷简体"/>
          <w:b w:val="0"/>
          <w:bCs w:val="0"/>
          <w:szCs w:val="21"/>
          <w:lang w:val="en-US" w:eastAsia="zh-CN"/>
        </w:rPr>
        <w:t>15</w:t>
      </w:r>
      <w:r>
        <w:rPr>
          <w:rFonts w:ascii="Times New Roman" w:hAnsi="Times New Roman" w:eastAsia="方正行楷简体"/>
          <w:b w:val="0"/>
          <w:bCs w:val="0"/>
          <w:szCs w:val="21"/>
        </w:rPr>
        <w:t>日</w:t>
      </w:r>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B03B6">
    <w:pPr>
      <w:pStyle w:val="73"/>
      <w:jc w:val="center"/>
      <w:rPr>
        <w:rStyle w:val="45"/>
      </w:rPr>
    </w:pPr>
    <w:r>
      <w:fldChar w:fldCharType="begin"/>
    </w:r>
    <w:r>
      <w:rPr>
        <w:rStyle w:val="45"/>
      </w:rPr>
      <w:instrText xml:space="preserve">PAGE  </w:instrText>
    </w:r>
    <w:r>
      <w:fldChar w:fldCharType="separate"/>
    </w:r>
    <w:r>
      <w:rPr>
        <w:rStyle w:val="45"/>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3C842">
    <w:pPr>
      <w:pStyle w:val="30"/>
      <w:jc w:val="both"/>
    </w:pPr>
  </w:p>
  <w:p w14:paraId="4A90730C">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B392">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BF39ACE"/>
    <w:multiLevelType w:val="singleLevel"/>
    <w:tmpl w:val="5BF39ACE"/>
    <w:lvl w:ilvl="0" w:tentative="0">
      <w:start w:val="1"/>
      <w:numFmt w:val="decimal"/>
      <w:lvlText w:val="%1)"/>
      <w:lvlJc w:val="left"/>
      <w:pPr>
        <w:ind w:left="425" w:hanging="425"/>
      </w:pPr>
      <w:rPr>
        <w:rFonts w:hint="default"/>
      </w:r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1F88"/>
    <w:rsid w:val="000C772A"/>
    <w:rsid w:val="000F15FB"/>
    <w:rsid w:val="000F714B"/>
    <w:rsid w:val="00100912"/>
    <w:rsid w:val="00104CBC"/>
    <w:rsid w:val="001164A0"/>
    <w:rsid w:val="0012155C"/>
    <w:rsid w:val="00122AD8"/>
    <w:rsid w:val="00136813"/>
    <w:rsid w:val="0014120B"/>
    <w:rsid w:val="00150062"/>
    <w:rsid w:val="00151323"/>
    <w:rsid w:val="001527ED"/>
    <w:rsid w:val="001859F4"/>
    <w:rsid w:val="0019431C"/>
    <w:rsid w:val="001A4F75"/>
    <w:rsid w:val="001C13CE"/>
    <w:rsid w:val="001C7BB8"/>
    <w:rsid w:val="001D0501"/>
    <w:rsid w:val="001E0288"/>
    <w:rsid w:val="001E09C6"/>
    <w:rsid w:val="00235374"/>
    <w:rsid w:val="00244291"/>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6AF1"/>
    <w:rsid w:val="00373555"/>
    <w:rsid w:val="00397407"/>
    <w:rsid w:val="003B0148"/>
    <w:rsid w:val="003C2376"/>
    <w:rsid w:val="003C685D"/>
    <w:rsid w:val="003E10E7"/>
    <w:rsid w:val="003E237F"/>
    <w:rsid w:val="003F2C11"/>
    <w:rsid w:val="00400BF2"/>
    <w:rsid w:val="0040777C"/>
    <w:rsid w:val="00411DC2"/>
    <w:rsid w:val="00415481"/>
    <w:rsid w:val="004257BB"/>
    <w:rsid w:val="00425D1F"/>
    <w:rsid w:val="004265F2"/>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9243E"/>
    <w:rsid w:val="00693668"/>
    <w:rsid w:val="006B3185"/>
    <w:rsid w:val="006B43C4"/>
    <w:rsid w:val="006C188A"/>
    <w:rsid w:val="006C2258"/>
    <w:rsid w:val="006C2AF8"/>
    <w:rsid w:val="006D1B98"/>
    <w:rsid w:val="006D7E99"/>
    <w:rsid w:val="006E11F0"/>
    <w:rsid w:val="00707309"/>
    <w:rsid w:val="00724E03"/>
    <w:rsid w:val="00733C71"/>
    <w:rsid w:val="00735A75"/>
    <w:rsid w:val="007373AB"/>
    <w:rsid w:val="00740702"/>
    <w:rsid w:val="00743BA2"/>
    <w:rsid w:val="00743BAC"/>
    <w:rsid w:val="00746BAC"/>
    <w:rsid w:val="00750ED3"/>
    <w:rsid w:val="00764D0A"/>
    <w:rsid w:val="00765621"/>
    <w:rsid w:val="007901C0"/>
    <w:rsid w:val="007902D1"/>
    <w:rsid w:val="00796CF0"/>
    <w:rsid w:val="007A3BEE"/>
    <w:rsid w:val="007C15E3"/>
    <w:rsid w:val="007D5B84"/>
    <w:rsid w:val="007E56C9"/>
    <w:rsid w:val="00804BC8"/>
    <w:rsid w:val="00820F69"/>
    <w:rsid w:val="00824B04"/>
    <w:rsid w:val="00826DAA"/>
    <w:rsid w:val="008461B6"/>
    <w:rsid w:val="0085122B"/>
    <w:rsid w:val="00854EC4"/>
    <w:rsid w:val="0086056F"/>
    <w:rsid w:val="0086378F"/>
    <w:rsid w:val="008754EE"/>
    <w:rsid w:val="00876D87"/>
    <w:rsid w:val="008B22FC"/>
    <w:rsid w:val="008C672E"/>
    <w:rsid w:val="008E415E"/>
    <w:rsid w:val="008F5DCA"/>
    <w:rsid w:val="009052E4"/>
    <w:rsid w:val="009111C1"/>
    <w:rsid w:val="00913ED1"/>
    <w:rsid w:val="00930DB4"/>
    <w:rsid w:val="00933D2C"/>
    <w:rsid w:val="00946B7D"/>
    <w:rsid w:val="009513C5"/>
    <w:rsid w:val="009542EF"/>
    <w:rsid w:val="00954DA4"/>
    <w:rsid w:val="00967A11"/>
    <w:rsid w:val="00971240"/>
    <w:rsid w:val="00977A4A"/>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662E8"/>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27476"/>
    <w:rsid w:val="00B369B6"/>
    <w:rsid w:val="00B43636"/>
    <w:rsid w:val="00B45E9C"/>
    <w:rsid w:val="00B53389"/>
    <w:rsid w:val="00B60FA7"/>
    <w:rsid w:val="00B614F2"/>
    <w:rsid w:val="00B706F7"/>
    <w:rsid w:val="00B7116A"/>
    <w:rsid w:val="00B75677"/>
    <w:rsid w:val="00B817F8"/>
    <w:rsid w:val="00B911AF"/>
    <w:rsid w:val="00BB316D"/>
    <w:rsid w:val="00BB4554"/>
    <w:rsid w:val="00BB7985"/>
    <w:rsid w:val="00BC66A0"/>
    <w:rsid w:val="00BC6B82"/>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B3949"/>
    <w:rsid w:val="00CB750D"/>
    <w:rsid w:val="00CB7CDF"/>
    <w:rsid w:val="00CC3C55"/>
    <w:rsid w:val="00CC3DDD"/>
    <w:rsid w:val="00CC491D"/>
    <w:rsid w:val="00CC52E3"/>
    <w:rsid w:val="00CD2D13"/>
    <w:rsid w:val="00CD759E"/>
    <w:rsid w:val="00CF3CAA"/>
    <w:rsid w:val="00D01726"/>
    <w:rsid w:val="00D16568"/>
    <w:rsid w:val="00D17115"/>
    <w:rsid w:val="00D23221"/>
    <w:rsid w:val="00D436F5"/>
    <w:rsid w:val="00D6471A"/>
    <w:rsid w:val="00D81C1D"/>
    <w:rsid w:val="00D85454"/>
    <w:rsid w:val="00D86648"/>
    <w:rsid w:val="00D903E4"/>
    <w:rsid w:val="00DA22D1"/>
    <w:rsid w:val="00DB4F65"/>
    <w:rsid w:val="00DD6769"/>
    <w:rsid w:val="00DD7D39"/>
    <w:rsid w:val="00DE144C"/>
    <w:rsid w:val="00E002FF"/>
    <w:rsid w:val="00E019C6"/>
    <w:rsid w:val="00E15312"/>
    <w:rsid w:val="00E179CE"/>
    <w:rsid w:val="00E22714"/>
    <w:rsid w:val="00E23465"/>
    <w:rsid w:val="00E31A7B"/>
    <w:rsid w:val="00E32480"/>
    <w:rsid w:val="00E71DCC"/>
    <w:rsid w:val="00E82471"/>
    <w:rsid w:val="00E911BC"/>
    <w:rsid w:val="00EB2994"/>
    <w:rsid w:val="00EC149D"/>
    <w:rsid w:val="00ED5F91"/>
    <w:rsid w:val="00EE5988"/>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2F703B0"/>
    <w:rsid w:val="04731467"/>
    <w:rsid w:val="05F125DB"/>
    <w:rsid w:val="06716757"/>
    <w:rsid w:val="07DC0ED5"/>
    <w:rsid w:val="0904785D"/>
    <w:rsid w:val="09573966"/>
    <w:rsid w:val="0A781AE7"/>
    <w:rsid w:val="0CB9457A"/>
    <w:rsid w:val="0CCA0314"/>
    <w:rsid w:val="0CCF275B"/>
    <w:rsid w:val="0D8022CA"/>
    <w:rsid w:val="0E6513CA"/>
    <w:rsid w:val="11471F43"/>
    <w:rsid w:val="13877F6B"/>
    <w:rsid w:val="13B1031D"/>
    <w:rsid w:val="14317D7D"/>
    <w:rsid w:val="14FE0CE9"/>
    <w:rsid w:val="158E7867"/>
    <w:rsid w:val="16A67923"/>
    <w:rsid w:val="174C2AB4"/>
    <w:rsid w:val="17E64F25"/>
    <w:rsid w:val="1C803B53"/>
    <w:rsid w:val="1E713A82"/>
    <w:rsid w:val="1F5A1A25"/>
    <w:rsid w:val="1F714057"/>
    <w:rsid w:val="1FAB00D4"/>
    <w:rsid w:val="208E75B3"/>
    <w:rsid w:val="218A16C9"/>
    <w:rsid w:val="21BE3478"/>
    <w:rsid w:val="21D04080"/>
    <w:rsid w:val="22423DCF"/>
    <w:rsid w:val="225C10E7"/>
    <w:rsid w:val="23A74BBD"/>
    <w:rsid w:val="23D43A72"/>
    <w:rsid w:val="262B706A"/>
    <w:rsid w:val="277C51D7"/>
    <w:rsid w:val="27BD3A55"/>
    <w:rsid w:val="28A00A66"/>
    <w:rsid w:val="28B93971"/>
    <w:rsid w:val="29846CB3"/>
    <w:rsid w:val="298C1931"/>
    <w:rsid w:val="29E46257"/>
    <w:rsid w:val="2A4110A1"/>
    <w:rsid w:val="2A636980"/>
    <w:rsid w:val="2AB85E2C"/>
    <w:rsid w:val="2C147130"/>
    <w:rsid w:val="2C281A12"/>
    <w:rsid w:val="2CEE1EA1"/>
    <w:rsid w:val="2E772BB0"/>
    <w:rsid w:val="2F656952"/>
    <w:rsid w:val="2FBE527A"/>
    <w:rsid w:val="31B57A58"/>
    <w:rsid w:val="325F3B1A"/>
    <w:rsid w:val="340D295B"/>
    <w:rsid w:val="34745E77"/>
    <w:rsid w:val="34CD5E22"/>
    <w:rsid w:val="36AE69D8"/>
    <w:rsid w:val="38B6063A"/>
    <w:rsid w:val="39E63C45"/>
    <w:rsid w:val="3A910669"/>
    <w:rsid w:val="3BFA1058"/>
    <w:rsid w:val="3EBA5BC3"/>
    <w:rsid w:val="3F7D4FB4"/>
    <w:rsid w:val="3FE25D82"/>
    <w:rsid w:val="404D430C"/>
    <w:rsid w:val="420E5348"/>
    <w:rsid w:val="425F603B"/>
    <w:rsid w:val="4286740D"/>
    <w:rsid w:val="43A67182"/>
    <w:rsid w:val="44100726"/>
    <w:rsid w:val="44347A9B"/>
    <w:rsid w:val="44CE02A0"/>
    <w:rsid w:val="456D3D97"/>
    <w:rsid w:val="45E87405"/>
    <w:rsid w:val="46474D73"/>
    <w:rsid w:val="465C4787"/>
    <w:rsid w:val="473A498E"/>
    <w:rsid w:val="47552183"/>
    <w:rsid w:val="48211129"/>
    <w:rsid w:val="48BE5C4B"/>
    <w:rsid w:val="49214E6F"/>
    <w:rsid w:val="49A26661"/>
    <w:rsid w:val="4AE6291D"/>
    <w:rsid w:val="4AEA403C"/>
    <w:rsid w:val="4B8C5809"/>
    <w:rsid w:val="4B933E1A"/>
    <w:rsid w:val="4D432356"/>
    <w:rsid w:val="4E3430C7"/>
    <w:rsid w:val="4FA7278A"/>
    <w:rsid w:val="4FB3450E"/>
    <w:rsid w:val="50011CA3"/>
    <w:rsid w:val="51051BD9"/>
    <w:rsid w:val="51442F7B"/>
    <w:rsid w:val="52A97DDB"/>
    <w:rsid w:val="52B70715"/>
    <w:rsid w:val="55152B55"/>
    <w:rsid w:val="56154CA2"/>
    <w:rsid w:val="56A00E5A"/>
    <w:rsid w:val="57676F98"/>
    <w:rsid w:val="579905E2"/>
    <w:rsid w:val="590A235B"/>
    <w:rsid w:val="5A931503"/>
    <w:rsid w:val="5A971C98"/>
    <w:rsid w:val="5AC42DA1"/>
    <w:rsid w:val="5AFA5C95"/>
    <w:rsid w:val="5CDE078E"/>
    <w:rsid w:val="5DC655CC"/>
    <w:rsid w:val="5F776EED"/>
    <w:rsid w:val="605176D9"/>
    <w:rsid w:val="61690122"/>
    <w:rsid w:val="63F828E6"/>
    <w:rsid w:val="654D6460"/>
    <w:rsid w:val="6760797E"/>
    <w:rsid w:val="68D661D6"/>
    <w:rsid w:val="694F496D"/>
    <w:rsid w:val="69BC4907"/>
    <w:rsid w:val="6AB57C02"/>
    <w:rsid w:val="6AE574EF"/>
    <w:rsid w:val="6AF7022D"/>
    <w:rsid w:val="6B27051F"/>
    <w:rsid w:val="6B753BDA"/>
    <w:rsid w:val="6B770841"/>
    <w:rsid w:val="6D281A14"/>
    <w:rsid w:val="6E8A0C2B"/>
    <w:rsid w:val="6E9A1846"/>
    <w:rsid w:val="6EF60757"/>
    <w:rsid w:val="70757340"/>
    <w:rsid w:val="70A61265"/>
    <w:rsid w:val="70FA146A"/>
    <w:rsid w:val="710228B1"/>
    <w:rsid w:val="73A7009A"/>
    <w:rsid w:val="73B95B2E"/>
    <w:rsid w:val="74130018"/>
    <w:rsid w:val="74D35BFF"/>
    <w:rsid w:val="77CE2BEC"/>
    <w:rsid w:val="78931FA4"/>
    <w:rsid w:val="78CE2872"/>
    <w:rsid w:val="78DB44BD"/>
    <w:rsid w:val="795C2ECE"/>
    <w:rsid w:val="7AC757F1"/>
    <w:rsid w:val="7B207CB9"/>
    <w:rsid w:val="7CE33A32"/>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50" w:beforeLines="50" w:after="50" w:afterLines="50"/>
      <w:outlineLvl w:val="0"/>
    </w:pPr>
    <w:rPr>
      <w:rFonts w:eastAsia="黑体"/>
      <w:b/>
      <w:bCs/>
      <w:kern w:val="44"/>
      <w:sz w:val="28"/>
      <w:szCs w:val="44"/>
    </w:rPr>
  </w:style>
  <w:style w:type="paragraph" w:styleId="3">
    <w:name w:val="heading 2"/>
    <w:basedOn w:val="1"/>
    <w:next w:val="1"/>
    <w:link w:val="306"/>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50" w:beforeLines="50" w:after="50" w:afterLines="50"/>
      <w:outlineLvl w:val="2"/>
    </w:pPr>
    <w:rPr>
      <w:rFonts w:eastAsia="黑体"/>
      <w:b/>
      <w:bCs/>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qFormat/>
    <w:uiPriority w:val="0"/>
    <w:rPr>
      <w:sz w:val="18"/>
      <w:szCs w:val="18"/>
    </w:rPr>
  </w:style>
  <w:style w:type="paragraph" w:styleId="30">
    <w:name w:val="footer"/>
    <w:basedOn w:val="1"/>
    <w:link w:val="285"/>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qFormat/>
    <w:uiPriority w:val="0"/>
  </w:style>
  <w:style w:type="character" w:styleId="50">
    <w:name w:val="HTML Variabl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qFormat/>
    <w:uiPriority w:val="0"/>
    <w:rPr>
      <w:i/>
      <w:iCs/>
    </w:rPr>
  </w:style>
  <w:style w:type="character" w:styleId="55">
    <w:name w:val="footnote referenc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qFormat/>
    <w:uiPriority w:val="0"/>
    <w:pPr>
      <w:numPr>
        <w:ilvl w:val="5"/>
      </w:numPr>
      <w:outlineLvl w:val="5"/>
    </w:pPr>
  </w:style>
  <w:style w:type="paragraph" w:customStyle="1" w:styleId="71">
    <w:name w:val="三级条标题"/>
    <w:basedOn w:val="59"/>
    <w:next w:val="58"/>
    <w:link w:val="281"/>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qFormat/>
    <w:uiPriority w:val="0"/>
    <w:pPr>
      <w:numPr>
        <w:ilvl w:val="2"/>
      </w:numPr>
      <w:autoSpaceDN w:val="0"/>
      <w:spacing w:beforeLines="0" w:afterLines="0"/>
      <w:outlineLvl w:val="2"/>
    </w:p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qFormat/>
    <w:uiPriority w:val="0"/>
    <w:rPr>
      <w:rFonts w:ascii="Arial" w:hAnsi="Arial" w:eastAsia="宋体" w:cs="Arial"/>
      <w:color w:val="auto"/>
      <w:sz w:val="20"/>
    </w:rPr>
  </w:style>
  <w:style w:type="character" w:customStyle="1" w:styleId="275">
    <w:name w:val="段 Char"/>
    <w:link w:val="58"/>
    <w:qFormat/>
    <w:uiPriority w:val="0"/>
    <w:rPr>
      <w:rFonts w:ascii="宋体" w:hAnsi="宋体" w:eastAsia="宋体"/>
      <w:sz w:val="21"/>
      <w:lang w:val="en-US" w:eastAsia="zh-CN" w:bidi="ar-SA"/>
    </w:rPr>
  </w:style>
  <w:style w:type="character" w:customStyle="1" w:styleId="276">
    <w:name w:val="个人撰写风格"/>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Char"/>
    <w:link w:val="24"/>
    <w:qFormat/>
    <w:uiPriority w:val="99"/>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Char"/>
    <w:link w:val="29"/>
    <w:qFormat/>
    <w:uiPriority w:val="0"/>
    <w:rPr>
      <w:kern w:val="2"/>
      <w:sz w:val="18"/>
      <w:szCs w:val="18"/>
    </w:rPr>
  </w:style>
  <w:style w:type="character" w:customStyle="1" w:styleId="283">
    <w:name w:val="正文文本 Char"/>
    <w:link w:val="21"/>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Char"/>
    <w:link w:val="30"/>
    <w:qFormat/>
    <w:uiPriority w:val="99"/>
    <w:rPr>
      <w:kern w:val="2"/>
      <w:sz w:val="18"/>
      <w:szCs w:val="18"/>
    </w:rPr>
  </w:style>
  <w:style w:type="character" w:customStyle="1" w:styleId="286">
    <w:name w:val="正文文本缩进 Char"/>
    <w:link w:val="22"/>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Char"/>
    <w:link w:val="20"/>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1"/>
    <w:qFormat/>
    <w:uiPriority w:val="99"/>
    <w:rPr>
      <w:kern w:val="2"/>
      <w:sz w:val="18"/>
      <w:szCs w:val="18"/>
    </w:rPr>
  </w:style>
  <w:style w:type="character" w:customStyle="1" w:styleId="291">
    <w:name w:val="正文文本缩进 2 Char"/>
    <w:link w:val="27"/>
    <w:qFormat/>
    <w:uiPriority w:val="0"/>
    <w:rPr>
      <w:kern w:val="2"/>
      <w:sz w:val="21"/>
      <w:szCs w:val="24"/>
    </w:rPr>
  </w:style>
  <w:style w:type="character" w:customStyle="1" w:styleId="292">
    <w:name w:val="日期 Char"/>
    <w:link w:val="26"/>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 w:type="character" w:customStyle="1" w:styleId="324">
    <w:name w:val="图题及表格"/>
    <w:basedOn w:val="43"/>
    <w:autoRedefine/>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56207-3DD0-4153-9C8F-0D63332378C2}">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11</Pages>
  <Words>7900</Words>
  <Characters>8387</Characters>
  <Lines>40</Lines>
  <Paragraphs>11</Paragraphs>
  <TotalTime>4</TotalTime>
  <ScaleCrop>false</ScaleCrop>
  <LinksUpToDate>false</LinksUpToDate>
  <CharactersWithSpaces>8497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张国栋</cp:lastModifiedBy>
  <cp:lastPrinted>2016-10-20T04:13:00Z</cp:lastPrinted>
  <dcterms:modified xsi:type="dcterms:W3CDTF">2024-09-17T01:37:12Z</dcterms:modified>
  <dc:title>标准名称</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CA503A54F9A3477EAF71C09F85C55C5A_13</vt:lpwstr>
  </property>
</Properties>
</file>