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wrap="around"/>
        <w:rPr>
          <w:rFonts w:hAnsi="黑体" w:cs="黑体"/>
        </w:rPr>
      </w:pPr>
      <w:r>
        <w:rPr>
          <w:rFonts w:hint="eastAsia" w:hAnsi="黑体" w:cs="黑体"/>
          <w:color w:val="000000" w:themeColor="text1"/>
          <w14:textFill>
            <w14:solidFill>
              <w14:schemeClr w14:val="tx1"/>
            </w14:solidFill>
          </w14:textFill>
        </w:rPr>
        <w:t>ICS </w:t>
      </w:r>
      <w:r>
        <w:rPr>
          <w:rFonts w:hAnsi="黑体" w:cs="黑体"/>
        </w:rPr>
        <w:t>77.040</w:t>
      </w:r>
    </w:p>
    <w:p>
      <w:pPr>
        <w:pStyle w:val="126"/>
        <w:framePr w:wrap="around"/>
      </w:pPr>
      <w:r>
        <w:t>CCS H</w:t>
      </w:r>
      <w:r>
        <w:rPr>
          <w:rFonts w:hint="eastAsia"/>
        </w:rPr>
        <w:t xml:space="preserve"> </w:t>
      </w:r>
      <w:r>
        <w:t>21</w:t>
      </w:r>
    </w:p>
    <w:p>
      <w:pPr>
        <w:pStyle w:val="69"/>
        <w:framePr w:wrap="around"/>
        <w:rPr>
          <w:color w:val="000000"/>
        </w:rPr>
      </w:pPr>
      <w:r>
        <w:rPr>
          <w:color w:val="000000"/>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70"/>
        <w:framePr w:wrap="around"/>
        <w:rPr>
          <w:color w:val="000000"/>
        </w:rPr>
      </w:pPr>
      <w:r>
        <w:rPr>
          <w:rFonts w:hint="eastAsia"/>
          <w:color w:val="000000"/>
        </w:rPr>
        <w:t>中华人民共和国国家标准</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50"/>
              <w:framePr w:wrap="around"/>
              <w:rPr>
                <w:color w:val="FF0000"/>
              </w:rPr>
            </w:pPr>
            <w:r>
              <w:rPr>
                <w:rFonts w:hint="eastAsia" w:hAnsi="黑体" w:cs="黑体"/>
                <w:color w:val="000000" w:themeColor="text1"/>
                <w14:textFill>
                  <w14:solidFill>
                    <w14:schemeClr w14:val="tx1"/>
                  </w14:solidFill>
                </w14:textFill>
              </w:rPr>
              <w:t>GB/T XXXXX—XXXX</w:t>
            </w:r>
            <w:r>
              <w:rPr>
                <w:color w:val="FF0000"/>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JagRug4CAAArBAAADgAAAAAAAAAB&#10;ACAAAAAlAQAAZHJzL2Uyb0RvYy54bWxQSwUGAAAAAAYABgBZAQAApQUAAAAA&#10;">
                      <v:fill on="t" focussize="0,0"/>
                      <v:stroke on="f"/>
                      <v:imagedata o:title=""/>
                      <o:lock v:ext="edit" aspectratio="f"/>
                      <v:textbox>
                        <w:txbxContent>
                          <w:p>
                            <w:pPr>
                              <w:jc w:val="center"/>
                            </w:pPr>
                          </w:p>
                        </w:txbxContent>
                      </v:textbox>
                    </v:rect>
                  </w:pict>
                </mc:Fallback>
              </mc:AlternateContent>
            </w:r>
          </w:p>
        </w:tc>
      </w:tr>
    </w:tbl>
    <w:p>
      <w:pPr>
        <w:pStyle w:val="50"/>
        <w:framePr w:wrap="around"/>
        <w:rPr>
          <w:color w:val="000000"/>
        </w:rPr>
      </w:pPr>
    </w:p>
    <w:p>
      <w:pPr>
        <w:pStyle w:val="50"/>
        <w:framePr w:wrap="around"/>
        <w:rPr>
          <w:color w:val="000000"/>
        </w:rPr>
      </w:pPr>
    </w:p>
    <w:p>
      <w:pPr>
        <w:pStyle w:val="81"/>
        <w:framePr w:wrap="around" w:x="1126" w:y="6391"/>
        <w:rPr>
          <w:color w:val="000000" w:themeColor="text1"/>
          <w14:textFill>
            <w14:solidFill>
              <w14:schemeClr w14:val="tx1"/>
            </w14:solidFill>
          </w14:textFill>
        </w:rPr>
      </w:pPr>
      <w:r>
        <w:rPr>
          <w:rFonts w:hint="eastAsia"/>
          <w:color w:val="000000" w:themeColor="text1"/>
          <w14:textFill>
            <w14:solidFill>
              <w14:schemeClr w14:val="tx1"/>
            </w14:solidFill>
          </w14:textFill>
        </w:rPr>
        <w:t>碳化硅单晶片厚度和平整度测试方法</w:t>
      </w:r>
    </w:p>
    <w:p>
      <w:pPr>
        <w:pStyle w:val="82"/>
        <w:framePr w:wrap="around" w:x="1126" w:y="6391"/>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Test method for thickness and fltaness of monocrystalline silicon carbide wafers</w:t>
      </w:r>
      <w:r>
        <w:rPr>
          <w:color w:val="000000" w:themeColor="text1"/>
          <w14:textFill>
            <w14:solidFill>
              <w14:schemeClr w14:val="tx1"/>
            </w14:solidFill>
          </w14:textFill>
        </w:rPr>
        <w:t xml:space="preserve"> </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4"/>
              <w:framePr w:wrap="around" w:x="1126" w:y="6391"/>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JrpLVAAAACgEAAA8AAAAAAAAAAQAgAAAA&#10;IgAAAGRycy9kb3ducmV2LnhtbFBLAQIUABQAAAAIAIdO4kDxrCcFDgIAACsEAAAOAAAAAAAAAAEA&#10;IAAAACQBAABkcnMvZTJvRG9jLnhtbFBLBQYAAAAABgAGAFkBAACkBQAAAAA=&#10;">
                      <v:fill on="t" focussize="0,0"/>
                      <v:stroke on="f"/>
                      <v:imagedata o:title=""/>
                      <o:lock v:ext="edit" aspectratio="f"/>
                      <v:textbox>
                        <w:txbxContent>
                          <w:p>
                            <w:pPr>
                              <w:jc w:val="center"/>
                            </w:pPr>
                          </w:p>
                        </w:txbxContent>
                      </v:textbox>
                      <w10:anchorlock/>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BXXBOzDQIAACsEAAAOAAAAAAAAAAEA&#10;IAAAACUBAABkcnMvZTJvRG9jLnhtbFBLBQYAAAAABgAGAFkBAACkBQAAAAA=&#10;">
                      <v:fill on="t" focussize="0,0"/>
                      <v:stroke on="f"/>
                      <v:imagedata o:title=""/>
                      <o:lock v:ext="edit" aspectratio="f"/>
                      <v:textbox>
                        <w:txbxContent>
                          <w:p>
                            <w:pPr>
                              <w:jc w:val="center"/>
                            </w:pPr>
                          </w:p>
                        </w:txbxContent>
                      </v:textbox>
                    </v:rect>
                  </w:pict>
                </mc:Fallback>
              </mc:AlternateConten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送审稿</w:t>
            </w:r>
            <w:r>
              <w:rPr>
                <w:rFonts w:hint="eastAsia"/>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5"/>
              <w:framePr w:wrap="around" w:x="1126" w:y="6391"/>
              <w:rPr>
                <w:color w:val="000000"/>
              </w:rPr>
            </w:pPr>
          </w:p>
        </w:tc>
      </w:tr>
    </w:tbl>
    <w:p>
      <w:pPr>
        <w:pStyle w:val="133"/>
        <w:framePr w:wrap="around" w:hAnchor="page" w:x="1257" w:y="14087"/>
        <w:rPr>
          <w:color w:val="000000"/>
        </w:rPr>
      </w:pPr>
      <w:r>
        <w:rPr>
          <w:rFonts w:ascii="黑体"/>
          <w:color w:val="000000"/>
        </w:rPr>
        <w:fldChar w:fldCharType="begin">
          <w:ffData>
            <w:name w:val="FY"/>
            <w:enabled/>
            <w:calcOnExit w:val="0"/>
            <w:textInput>
              <w:default w:val="XXXX"/>
              <w:maxLength w:val="4"/>
            </w:textInput>
          </w:ffData>
        </w:fldChar>
      </w:r>
      <w:bookmarkStart w:id="0" w:name="F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0"/>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bookmarkStart w:id="1" w:name="F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1"/>
      <w:r>
        <w:rPr>
          <w:color w:val="000000"/>
        </w:rPr>
        <w:t xml:space="preserve"> </w:t>
      </w:r>
      <w:r>
        <w:rPr>
          <w:rFonts w:ascii="黑体"/>
          <w:color w:val="000000"/>
        </w:rPr>
        <w:t>-</w:t>
      </w:r>
      <w:r>
        <w:rPr>
          <w:color w:val="000000"/>
        </w:rPr>
        <w:t xml:space="preserve"> </w:t>
      </w:r>
      <w:r>
        <w:rPr>
          <w:rFonts w:ascii="黑体"/>
          <w:color w:val="000000"/>
        </w:rPr>
        <w:fldChar w:fldCharType="begin">
          <w:ffData>
            <w:name w:val="FD"/>
            <w:enabled/>
            <w:calcOnExit w:val="0"/>
            <w:textInput>
              <w:default w:val="XX"/>
              <w:maxLength w:val="2"/>
            </w:textInput>
          </w:ffData>
        </w:fldChar>
      </w:r>
      <w:bookmarkStart w:id="2" w:name="F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2"/>
      <w:r>
        <w:rPr>
          <w:rFonts w:hint="eastAsia"/>
          <w:color w:val="000000"/>
        </w:rPr>
        <w:t>发布</w:t>
      </w:r>
    </w:p>
    <w:p>
      <w:pPr>
        <w:pStyle w:val="134"/>
        <w:framePr w:wrap="around" w:hAnchor="page" w:x="6924" w:y="14069"/>
        <w:rPr>
          <w:color w:val="000000"/>
        </w:rPr>
      </w:pPr>
      <w:r>
        <w:rPr>
          <w:rFonts w:ascii="黑体"/>
          <w:color w:val="000000"/>
        </w:rPr>
        <w:fldChar w:fldCharType="begin">
          <w:ffData>
            <w:name w:val="SY"/>
            <w:enabled/>
            <w:calcOnExit w:val="0"/>
            <w:textInput>
              <w:default w:val="XXXX"/>
              <w:maxLength w:val="4"/>
            </w:textInput>
          </w:ffData>
        </w:fldChar>
      </w:r>
      <w:bookmarkStart w:id="3" w:name="S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3"/>
      <w:r>
        <w:rPr>
          <w:color w:val="000000"/>
        </w:rPr>
        <w:t xml:space="preserve"> </w:t>
      </w:r>
      <w:r>
        <w:rPr>
          <w:rFonts w:ascii="黑体"/>
          <w:color w:val="000000"/>
        </w:rPr>
        <w:t>-</w:t>
      </w:r>
      <w:r>
        <w:rPr>
          <w:color w:val="000000"/>
        </w:rPr>
        <w:t xml:space="preserve"> </w:t>
      </w:r>
      <w:r>
        <w:rPr>
          <w:rFonts w:ascii="黑体"/>
          <w:color w:val="000000"/>
        </w:rPr>
        <w:fldChar w:fldCharType="begin">
          <w:ffData>
            <w:name w:val="SM"/>
            <w:enabled/>
            <w:calcOnExit w:val="0"/>
            <w:textInput>
              <w:default w:val="XX"/>
              <w:maxLength w:val="2"/>
            </w:textInput>
          </w:ffData>
        </w:fldChar>
      </w:r>
      <w:bookmarkStart w:id="4" w:name="S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4"/>
      <w:r>
        <w:rPr>
          <w:color w:val="000000"/>
        </w:rPr>
        <w:t xml:space="preserve"> </w:t>
      </w:r>
      <w:r>
        <w:rPr>
          <w:rFonts w:ascii="黑体"/>
          <w:color w:val="000000"/>
        </w:rPr>
        <w:t>-</w:t>
      </w:r>
      <w:r>
        <w:rPr>
          <w:color w:val="000000"/>
        </w:rPr>
        <w:t xml:space="preserve"> </w:t>
      </w:r>
      <w:r>
        <w:rPr>
          <w:rFonts w:ascii="黑体"/>
          <w:color w:val="000000"/>
        </w:rPr>
        <w:fldChar w:fldCharType="begin">
          <w:ffData>
            <w:name w:val="SD"/>
            <w:enabled/>
            <w:calcOnExit w:val="0"/>
            <w:textInput>
              <w:default w:val="XX"/>
              <w:maxLength w:val="2"/>
            </w:textInput>
          </w:ffData>
        </w:fldChar>
      </w:r>
      <w:bookmarkStart w:id="5" w:name="S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5"/>
      <w:r>
        <w:rPr>
          <w:rFonts w:hint="eastAsia"/>
          <w:color w:val="000000"/>
        </w:rPr>
        <w:t>实施</w:t>
      </w:r>
    </w:p>
    <w:p>
      <w:pPr>
        <w:pStyle w:val="77"/>
        <w:framePr w:wrap="around"/>
        <w:rPr>
          <w:color w:val="000000"/>
        </w:rPr>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25"/>
        <w:rPr>
          <w:color w:val="000000"/>
        </w:rPr>
        <w:sectPr>
          <w:pgSz w:w="11906" w:h="16838"/>
          <w:pgMar w:top="567" w:right="850" w:bottom="1134" w:left="1418" w:header="0" w:footer="0" w:gutter="0"/>
          <w:pgNumType w:fmt="upperRoman" w:start="1"/>
          <w:cols w:space="425" w:num="1"/>
          <w:docGrid w:type="lines" w:linePitch="312" w:charSpace="0"/>
        </w:sectPr>
      </w:pPr>
      <w:r>
        <w:rPr>
          <w:color w:val="000000"/>
        </w:rPr>
        <mc:AlternateContent>
          <mc:Choice Requires="wps">
            <w:drawing>
              <wp:anchor distT="0" distB="0" distL="114300" distR="114300" simplePos="0" relativeHeight="251663360" behindDoc="0" locked="0" layoutInCell="1" allowOverlap="1">
                <wp:simplePos x="0" y="0"/>
                <wp:positionH relativeFrom="column">
                  <wp:posOffset>-120015</wp:posOffset>
                </wp:positionH>
                <wp:positionV relativeFrom="paragraph">
                  <wp:posOffset>8954770</wp:posOffset>
                </wp:positionV>
                <wp:extent cx="6120130" cy="0"/>
                <wp:effectExtent l="0" t="0" r="0" b="0"/>
                <wp:wrapNone/>
                <wp:docPr id="8"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9.45pt;margin-top:705.1pt;height:0pt;width:481.9pt;z-index:251663360;mso-width-relative:page;mso-height-relative:page;" filled="f" stroked="t" coordsize="21600,21600" o:gfxdata="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k5r98LRwrfGa1bXWZoxYEMZa7+L&#10;mZw8+aewBfkbmYf1IHyvy4jP50B1paJ6VZINDNRgP34HRTnikKDodOqiy5CkADuVdZxv69CnxCQ5&#10;72vS5DNtSl5jlWiuhSFi+qbBsXxpuaWhC7A4bjHR6JR6Tcl9PDwaa8u2rWdjy7/eLe5KAYI1Kgdz&#10;GsZ+v7aRHUV+L+XLOhDYq7QIB68mv/UUvvKcFNuDOu9iDmc/La4AXB5Zfhl/2yXr5cda/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iAtwz1wAAAA0BAAAPAAAAAAAAAAEAIAAAACIAAABkcnMvZG93&#10;bnJldi54bWxQSwECFAAUAAAACACHTuJA5/9g1cgBAACgAwAADgAAAAAAAAABACAAAAAmAQAAZHJz&#10;L2Uyb0RvYy54bWxQSwUGAAAAAAYABgBZAQAAYAUAAAAA&#10;">
                <v:fill on="f" focussize="0,0"/>
                <v:stroke color="#000000" joinstyle="round"/>
                <v:imagedata o:title=""/>
                <o:lock v:ext="edit" aspectratio="f"/>
              </v:lin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15"/>
        <w:rPr>
          <w:color w:val="000000"/>
        </w:rPr>
      </w:pPr>
      <w:r>
        <w:rPr>
          <w:rFonts w:hint="eastAsia"/>
          <w:color w:val="000000"/>
        </w:rPr>
        <w:t>前</w:t>
      </w:r>
      <w:bookmarkStart w:id="6" w:name="BKQY"/>
      <w:r>
        <w:rPr>
          <w:color w:val="000000"/>
        </w:rPr>
        <w:t>  </w:t>
      </w:r>
      <w:r>
        <w:rPr>
          <w:rFonts w:hint="eastAsia"/>
          <w:color w:val="000000"/>
        </w:rPr>
        <w:t>言</w:t>
      </w:r>
      <w:bookmarkEnd w:id="6"/>
    </w:p>
    <w:p>
      <w:pPr>
        <w:pStyle w:val="25"/>
        <w:rPr>
          <w:rFonts w:hint="eastAsia"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5"/>
        <w:rPr>
          <w:rFonts w:hint="eastAsia" w:hAnsi="宋体"/>
          <w:szCs w:val="21"/>
          <w:highlight w:val="none"/>
          <w:lang w:eastAsia="zh-CN"/>
        </w:rPr>
      </w:pPr>
      <w:r>
        <w:rPr>
          <w:rFonts w:hint="eastAsia" w:hAnsi="宋体"/>
          <w:szCs w:val="21"/>
          <w:highlight w:val="none"/>
        </w:rPr>
        <w:t>本文件代替</w:t>
      </w:r>
      <w:r>
        <w:rPr>
          <w:rFonts w:hint="eastAsia" w:hAnsi="宋体"/>
          <w:szCs w:val="21"/>
          <w:highlight w:val="none"/>
          <w:lang w:val="en-US" w:eastAsia="zh-CN"/>
        </w:rPr>
        <w:t>GB/T 32278-2015《碳化硅单晶片平整度测试方法》和</w:t>
      </w:r>
      <w:r>
        <w:rPr>
          <w:rFonts w:hint="eastAsia" w:eastAsia="宋体"/>
          <w:sz w:val="21"/>
          <w:highlight w:val="none"/>
          <w:lang w:val="en-US" w:eastAsia="zh-CN"/>
        </w:rPr>
        <w:t>GB/T 30867</w:t>
      </w:r>
      <w:r>
        <w:rPr>
          <w:rFonts w:hint="eastAsia"/>
          <w:sz w:val="21"/>
          <w:highlight w:val="none"/>
          <w:lang w:val="en-US" w:eastAsia="zh-CN"/>
        </w:rPr>
        <w:t>-2014</w:t>
      </w:r>
      <w:r>
        <w:rPr>
          <w:rFonts w:hint="eastAsia" w:eastAsia="宋体"/>
          <w:sz w:val="21"/>
          <w:highlight w:val="none"/>
          <w:lang w:val="en-US" w:eastAsia="zh-CN"/>
        </w:rPr>
        <w:t>《碳化硅单晶片厚度和总厚度变化测试方法》</w:t>
      </w:r>
      <w:r>
        <w:rPr>
          <w:rFonts w:hint="eastAsia" w:hAnsi="宋体"/>
          <w:szCs w:val="21"/>
          <w:highlight w:val="none"/>
        </w:rPr>
        <w:t>，与</w:t>
      </w:r>
      <w:r>
        <w:rPr>
          <w:rFonts w:hint="eastAsia" w:hAnsi="宋体"/>
          <w:szCs w:val="21"/>
          <w:highlight w:val="none"/>
          <w:lang w:val="en-US" w:eastAsia="zh-CN"/>
        </w:rPr>
        <w:t>GB/T 32278、</w:t>
      </w:r>
      <w:r>
        <w:rPr>
          <w:rFonts w:hint="eastAsia" w:eastAsia="宋体"/>
          <w:sz w:val="21"/>
          <w:highlight w:val="none"/>
          <w:lang w:val="en-US" w:eastAsia="zh-CN"/>
        </w:rPr>
        <w:t>GB/T 30867</w:t>
      </w:r>
      <w:r>
        <w:rPr>
          <w:rFonts w:hint="eastAsia" w:hAnsi="宋体"/>
          <w:szCs w:val="21"/>
          <w:highlight w:val="none"/>
        </w:rPr>
        <w:t>相比，除结构调整和编辑性改动外，主要技术变化如下</w:t>
      </w:r>
      <w:r>
        <w:rPr>
          <w:rFonts w:hint="eastAsia" w:hAnsi="宋体"/>
          <w:szCs w:val="21"/>
          <w:highlight w:val="none"/>
          <w:lang w:eastAsia="zh-CN"/>
        </w:rPr>
        <w:t>：</w:t>
      </w:r>
    </w:p>
    <w:p>
      <w:pPr>
        <w:pStyle w:val="25"/>
        <w:numPr>
          <w:ilvl w:val="0"/>
          <w:numId w:val="18"/>
        </w:numPr>
        <w:tabs>
          <w:tab w:val="center" w:pos="840"/>
          <w:tab w:val="clear" w:pos="4201"/>
        </w:tabs>
        <w:ind w:firstLineChars="0"/>
        <w:rPr>
          <w:highlight w:val="none"/>
        </w:rPr>
      </w:pPr>
      <w:r>
        <w:rPr>
          <w:rFonts w:hint="eastAsia" w:hAnsi="宋体"/>
          <w:szCs w:val="21"/>
          <w:highlight w:val="none"/>
          <w:lang w:val="en-US" w:eastAsia="zh-CN"/>
        </w:rPr>
        <w:t>更</w:t>
      </w:r>
      <w:r>
        <w:rPr>
          <w:rFonts w:hint="eastAsia" w:hAnsi="宋体"/>
          <w:szCs w:val="21"/>
          <w:highlight w:val="none"/>
        </w:rPr>
        <w:t>改了标准范围中规定内容和适用范围</w:t>
      </w:r>
      <w:r>
        <w:rPr>
          <w:rFonts w:hint="eastAsia" w:hAnsi="宋体"/>
          <w:szCs w:val="21"/>
          <w:highlight w:val="none"/>
          <w:lang w:eastAsia="zh-CN"/>
        </w:rPr>
        <w:t>，</w:t>
      </w:r>
      <w:r>
        <w:rPr>
          <w:rFonts w:hint="eastAsia" w:hAnsi="宋体"/>
          <w:szCs w:val="21"/>
          <w:highlight w:val="none"/>
          <w:lang w:val="en-US" w:eastAsia="zh-CN"/>
        </w:rPr>
        <w:t>增加150mm、200mm碳化硅单晶片内容</w:t>
      </w:r>
      <w:r>
        <w:rPr>
          <w:rFonts w:hint="eastAsia" w:hAnsi="宋体"/>
          <w:szCs w:val="21"/>
          <w:highlight w:val="none"/>
        </w:rPr>
        <w:t>（见第1章，</w:t>
      </w:r>
      <w:r>
        <w:rPr>
          <w:rFonts w:hint="eastAsia" w:hAnsi="宋体"/>
          <w:szCs w:val="21"/>
          <w:highlight w:val="none"/>
          <w:lang w:val="en-US" w:eastAsia="zh-CN"/>
        </w:rPr>
        <w:t>GB/T 32278-2015</w:t>
      </w:r>
      <w:r>
        <w:rPr>
          <w:rFonts w:hint="eastAsia" w:hAnsi="宋体"/>
          <w:szCs w:val="21"/>
          <w:highlight w:val="none"/>
        </w:rPr>
        <w:t>版的第1章</w:t>
      </w:r>
      <w:r>
        <w:rPr>
          <w:rFonts w:hint="eastAsia" w:hAnsi="宋体"/>
          <w:szCs w:val="21"/>
          <w:highlight w:val="none"/>
          <w:lang w:eastAsia="zh-CN"/>
        </w:rPr>
        <w:t>、</w:t>
      </w:r>
      <w:r>
        <w:rPr>
          <w:rFonts w:hint="eastAsia" w:eastAsia="宋体"/>
          <w:sz w:val="21"/>
          <w:highlight w:val="none"/>
          <w:lang w:val="en-US" w:eastAsia="zh-CN"/>
        </w:rPr>
        <w:t>GB/T 30867</w:t>
      </w:r>
      <w:r>
        <w:rPr>
          <w:rFonts w:hint="eastAsia"/>
          <w:sz w:val="21"/>
          <w:highlight w:val="none"/>
          <w:lang w:val="en-US" w:eastAsia="zh-CN"/>
        </w:rPr>
        <w:t>-2014的第1章</w:t>
      </w:r>
      <w:r>
        <w:rPr>
          <w:rFonts w:hint="eastAsia" w:hAnsi="宋体"/>
          <w:szCs w:val="21"/>
          <w:highlight w:val="none"/>
        </w:rPr>
        <w:t>）；</w:t>
      </w:r>
    </w:p>
    <w:p>
      <w:pPr>
        <w:pStyle w:val="25"/>
        <w:numPr>
          <w:ilvl w:val="0"/>
          <w:numId w:val="18"/>
        </w:numPr>
        <w:tabs>
          <w:tab w:val="center" w:pos="840"/>
          <w:tab w:val="clear" w:pos="4201"/>
        </w:tabs>
        <w:ind w:firstLineChars="0"/>
        <w:rPr>
          <w:highlight w:val="none"/>
        </w:rPr>
      </w:pPr>
      <w:r>
        <w:rPr>
          <w:rFonts w:hint="eastAsia" w:hAnsi="宋体"/>
          <w:szCs w:val="21"/>
          <w:highlight w:val="none"/>
          <w:lang w:val="en-US" w:eastAsia="zh-CN"/>
        </w:rPr>
        <w:t>更改了规范性引用文件</w:t>
      </w:r>
      <w:r>
        <w:rPr>
          <w:rFonts w:hint="eastAsia" w:hAnsi="宋体"/>
          <w:szCs w:val="21"/>
          <w:highlight w:val="none"/>
        </w:rPr>
        <w:t>（见第</w:t>
      </w:r>
      <w:r>
        <w:rPr>
          <w:rFonts w:hint="eastAsia" w:hAnsi="宋体"/>
          <w:szCs w:val="21"/>
          <w:highlight w:val="none"/>
          <w:lang w:val="en-US" w:eastAsia="zh-CN"/>
        </w:rPr>
        <w:t>2</w:t>
      </w:r>
      <w:r>
        <w:rPr>
          <w:rFonts w:hint="eastAsia" w:hAnsi="宋体"/>
          <w:szCs w:val="21"/>
          <w:highlight w:val="none"/>
        </w:rPr>
        <w:t>章，</w:t>
      </w:r>
      <w:r>
        <w:rPr>
          <w:rFonts w:hint="eastAsia" w:hAnsi="宋体"/>
          <w:szCs w:val="21"/>
          <w:highlight w:val="none"/>
          <w:lang w:val="en-US" w:eastAsia="zh-CN"/>
        </w:rPr>
        <w:t>GB/T 32278-2015</w:t>
      </w:r>
      <w:r>
        <w:rPr>
          <w:rFonts w:hint="eastAsia" w:hAnsi="宋体"/>
          <w:szCs w:val="21"/>
          <w:highlight w:val="none"/>
        </w:rPr>
        <w:t>版的第1章</w:t>
      </w:r>
      <w:r>
        <w:rPr>
          <w:rFonts w:hint="eastAsia" w:hAnsi="宋体"/>
          <w:szCs w:val="21"/>
          <w:highlight w:val="none"/>
          <w:lang w:eastAsia="zh-CN"/>
        </w:rPr>
        <w:t>、</w:t>
      </w:r>
      <w:r>
        <w:rPr>
          <w:rFonts w:hint="eastAsia" w:eastAsia="宋体"/>
          <w:sz w:val="21"/>
          <w:highlight w:val="none"/>
          <w:lang w:val="en-US" w:eastAsia="zh-CN"/>
        </w:rPr>
        <w:t>GB/T 30867</w:t>
      </w:r>
      <w:r>
        <w:rPr>
          <w:rFonts w:hint="eastAsia"/>
          <w:sz w:val="21"/>
          <w:highlight w:val="none"/>
          <w:lang w:val="en-US" w:eastAsia="zh-CN"/>
        </w:rPr>
        <w:t>-2014的第1章</w:t>
      </w:r>
      <w:r>
        <w:rPr>
          <w:rFonts w:hint="eastAsia" w:hAnsi="宋体"/>
          <w:szCs w:val="21"/>
          <w:highlight w:val="none"/>
        </w:rPr>
        <w:t>）</w:t>
      </w:r>
      <w:r>
        <w:rPr>
          <w:rFonts w:hint="eastAsia" w:hAnsi="宋体"/>
          <w:szCs w:val="21"/>
          <w:highlight w:val="none"/>
          <w:lang w:eastAsia="zh-CN"/>
        </w:rPr>
        <w:t>；</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更改了接触式测量方法的原理（</w:t>
      </w:r>
      <w:r>
        <w:rPr>
          <w:rFonts w:hint="eastAsia" w:hAnsi="宋体"/>
          <w:szCs w:val="21"/>
          <w:highlight w:val="none"/>
        </w:rPr>
        <w:t>见第</w:t>
      </w:r>
      <w:r>
        <w:rPr>
          <w:rFonts w:hint="eastAsia" w:hAnsi="宋体"/>
          <w:szCs w:val="21"/>
          <w:highlight w:val="none"/>
          <w:lang w:val="en-US" w:eastAsia="zh-CN"/>
        </w:rPr>
        <w:t>4</w:t>
      </w:r>
      <w:r>
        <w:rPr>
          <w:rFonts w:hint="eastAsia" w:hAnsi="宋体"/>
          <w:szCs w:val="21"/>
          <w:highlight w:val="none"/>
        </w:rPr>
        <w:t>章，</w:t>
      </w:r>
      <w:r>
        <w:rPr>
          <w:rFonts w:hint="eastAsia" w:eastAsia="宋体"/>
          <w:sz w:val="21"/>
          <w:highlight w:val="none"/>
          <w:lang w:val="en-US" w:eastAsia="zh-CN"/>
        </w:rPr>
        <w:t>GB/T 30867</w:t>
      </w:r>
      <w:r>
        <w:rPr>
          <w:rFonts w:hint="eastAsia"/>
          <w:sz w:val="21"/>
          <w:highlight w:val="none"/>
          <w:lang w:val="en-US" w:eastAsia="zh-CN"/>
        </w:rPr>
        <w:t>-2014的4.1</w:t>
      </w:r>
      <w:r>
        <w:rPr>
          <w:rFonts w:hint="eastAsia" w:hAnsi="宋体"/>
          <w:szCs w:val="21"/>
          <w:highlight w:val="none"/>
        </w:rPr>
        <w:t>）</w:t>
      </w:r>
      <w:r>
        <w:rPr>
          <w:rFonts w:hint="eastAsia" w:hAnsi="宋体"/>
          <w:szCs w:val="21"/>
          <w:highlight w:val="none"/>
          <w:lang w:eastAsia="zh-CN"/>
        </w:rPr>
        <w:t>；</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增加了接触式测量方法的干扰因素（见第5章）；</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更改了接触式测量方法的仪器设备的内容（见第7章，</w:t>
      </w:r>
      <w:r>
        <w:rPr>
          <w:rFonts w:hint="eastAsia" w:eastAsia="宋体"/>
          <w:sz w:val="21"/>
          <w:highlight w:val="none"/>
          <w:lang w:val="en-US" w:eastAsia="zh-CN"/>
        </w:rPr>
        <w:t>GB/T 30867</w:t>
      </w:r>
      <w:r>
        <w:rPr>
          <w:rFonts w:hint="eastAsia"/>
          <w:sz w:val="21"/>
          <w:highlight w:val="none"/>
          <w:lang w:val="en-US" w:eastAsia="zh-CN"/>
        </w:rPr>
        <w:t>-2014的5.1</w:t>
      </w:r>
      <w:r>
        <w:rPr>
          <w:rFonts w:hint="eastAsia" w:hAnsi="宋体"/>
          <w:szCs w:val="21"/>
          <w:highlight w:val="none"/>
          <w:lang w:val="en-US" w:eastAsia="zh-CN"/>
        </w:rPr>
        <w:t>）；</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更改了接触式测量方法的试验步骤，增加了校准、测量点分布的要求（见第9章）；</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增加了接触式测量方法的试验数据处理（见第10章）；</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更改了自动非接触式测量方</w:t>
      </w:r>
      <w:r>
        <w:rPr>
          <w:rFonts w:hint="eastAsia" w:hAnsi="宋体"/>
          <w:szCs w:val="21"/>
          <w:highlight w:val="none"/>
        </w:rPr>
        <w:t>法</w:t>
      </w:r>
      <w:r>
        <w:rPr>
          <w:rFonts w:hint="eastAsia" w:hAnsi="宋体"/>
          <w:szCs w:val="21"/>
          <w:highlight w:val="none"/>
          <w:lang w:val="en-US" w:eastAsia="zh-CN"/>
        </w:rPr>
        <w:t>的测试光路示意图（见第13章，GB/T 32278-2015的第4章）；</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更改了自动非接触式测量方</w:t>
      </w:r>
      <w:r>
        <w:rPr>
          <w:rFonts w:hint="eastAsia" w:hAnsi="宋体"/>
          <w:szCs w:val="21"/>
          <w:highlight w:val="none"/>
        </w:rPr>
        <w:t>法</w:t>
      </w:r>
      <w:r>
        <w:rPr>
          <w:rFonts w:hint="eastAsia" w:hAnsi="宋体"/>
          <w:szCs w:val="21"/>
          <w:highlight w:val="none"/>
          <w:lang w:val="en-US" w:eastAsia="zh-CN"/>
        </w:rPr>
        <w:t>的干扰因素（见第14章，GB/T 32278-2015的第6章）；</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更改了自动非接触式测量方</w:t>
      </w:r>
      <w:r>
        <w:rPr>
          <w:rFonts w:hint="eastAsia" w:hAnsi="宋体"/>
          <w:szCs w:val="21"/>
          <w:highlight w:val="none"/>
        </w:rPr>
        <w:t>法</w:t>
      </w:r>
      <w:r>
        <w:rPr>
          <w:rFonts w:hint="eastAsia" w:hAnsi="宋体"/>
          <w:szCs w:val="21"/>
          <w:highlight w:val="none"/>
          <w:lang w:val="en-US" w:eastAsia="zh-CN"/>
        </w:rPr>
        <w:t>的仪器设备（见第16章，GB/T 32278-2015的第5章）；</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更改了自动非接触式测量方</w:t>
      </w:r>
      <w:r>
        <w:rPr>
          <w:rFonts w:hint="eastAsia" w:hAnsi="宋体"/>
          <w:szCs w:val="21"/>
          <w:highlight w:val="none"/>
        </w:rPr>
        <w:t>法</w:t>
      </w:r>
      <w:r>
        <w:rPr>
          <w:rFonts w:hint="eastAsia" w:hAnsi="宋体"/>
          <w:szCs w:val="21"/>
          <w:highlight w:val="none"/>
          <w:lang w:val="en-US" w:eastAsia="zh-CN"/>
        </w:rPr>
        <w:t>的样品要求（见第17章，GB/T 32278-2015的第8章）；</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更改了自动非接触式测量方</w:t>
      </w:r>
      <w:r>
        <w:rPr>
          <w:rFonts w:hint="eastAsia" w:hAnsi="宋体"/>
          <w:szCs w:val="21"/>
          <w:highlight w:val="none"/>
        </w:rPr>
        <w:t>法</w:t>
      </w:r>
      <w:r>
        <w:rPr>
          <w:rFonts w:hint="eastAsia" w:hAnsi="宋体"/>
          <w:szCs w:val="21"/>
          <w:highlight w:val="none"/>
          <w:lang w:val="en-US" w:eastAsia="zh-CN"/>
        </w:rPr>
        <w:t>的试验步骤（见第18章，GB/T 32278-2015的第9章）；</w:t>
      </w:r>
    </w:p>
    <w:p>
      <w:pPr>
        <w:ind w:firstLine="420" w:firstLineChars="200"/>
        <w:rPr>
          <w:rFonts w:hint="eastAsia" w:ascii="宋体"/>
        </w:rPr>
      </w:pPr>
    </w:p>
    <w:p>
      <w:pPr>
        <w:ind w:firstLine="420" w:firstLineChars="200"/>
        <w:rPr>
          <w:rFonts w:ascii="宋体"/>
        </w:rPr>
      </w:pPr>
      <w:r>
        <w:rPr>
          <w:rFonts w:hint="eastAsia" w:ascii="宋体"/>
        </w:rPr>
        <w:t>请注意本文件的某些内容可能涉及专利。本文件的发布机构不承担识别专利的责任。</w:t>
      </w:r>
    </w:p>
    <w:p>
      <w:pPr>
        <w:pStyle w:val="25"/>
        <w:rPr>
          <w:color w:val="000000"/>
        </w:rPr>
      </w:pPr>
      <w:bookmarkStart w:id="7" w:name="_Hlk87952285"/>
      <w:r>
        <w:rPr>
          <w:rFonts w:hint="eastAsia"/>
          <w:color w:val="000000"/>
        </w:rPr>
        <w:t>本文件由全国半导体设备和材料标准化技术委员会（SAC/TC203）与全国半导体设备和材料标准化技术委员会材料分技术委员会（SAC/TC203/SC2）共同提出并归口。</w:t>
      </w:r>
    </w:p>
    <w:p>
      <w:pPr>
        <w:pStyle w:val="25"/>
        <w:ind w:left="420" w:leftChars="200" w:firstLine="0" w:firstLineChars="0"/>
        <w:rPr>
          <w:rFonts w:hint="eastAsia" w:eastAsia="宋体"/>
          <w:color w:val="000000"/>
          <w:highlight w:val="none"/>
          <w:lang w:val="en-US" w:eastAsia="zh-CN"/>
        </w:rPr>
      </w:pPr>
      <w:r>
        <w:rPr>
          <w:rFonts w:hint="eastAsia"/>
          <w:color w:val="000000"/>
        </w:rPr>
        <w:t>本文件起草单位：</w:t>
      </w:r>
      <w:r>
        <w:rPr>
          <w:rFonts w:hint="eastAsia"/>
          <w:color w:val="auto"/>
          <w:lang w:val="en-US" w:eastAsia="zh-CN"/>
        </w:rPr>
        <w:t>北京天科合达半导体股份有限公司、</w:t>
      </w:r>
      <w:r>
        <w:rPr>
          <w:rFonts w:hint="eastAsia"/>
          <w:color w:val="auto"/>
        </w:rPr>
        <w:t>中国电子科技集团公司第四十六研究所、有色金属技术经济研究院有限责任公司</w:t>
      </w:r>
      <w:r>
        <w:rPr>
          <w:rFonts w:hint="eastAsia"/>
          <w:color w:val="auto"/>
          <w:lang w:eastAsia="zh-CN"/>
        </w:rPr>
        <w:t>、</w:t>
      </w:r>
      <w:r>
        <w:rPr>
          <w:rFonts w:hint="eastAsia"/>
          <w:color w:val="auto"/>
        </w:rPr>
        <w:t>中关村天合宽禁带半导体技术创新联盟</w:t>
      </w:r>
      <w:r>
        <w:rPr>
          <w:rFonts w:hint="eastAsia"/>
          <w:color w:val="auto"/>
          <w:lang w:eastAsia="zh-CN"/>
        </w:rPr>
        <w:t>、</w:t>
      </w:r>
      <w:r>
        <w:rPr>
          <w:rFonts w:hint="eastAsia"/>
          <w:color w:val="auto"/>
        </w:rPr>
        <w:t>有色金属技术经济研究院有限责任公司</w:t>
      </w:r>
      <w:r>
        <w:rPr>
          <w:rFonts w:hint="eastAsia"/>
          <w:color w:val="auto"/>
          <w:lang w:eastAsia="zh-CN"/>
        </w:rPr>
        <w:t>、</w:t>
      </w:r>
      <w:r>
        <w:rPr>
          <w:rFonts w:hint="eastAsia"/>
          <w:color w:val="auto"/>
        </w:rPr>
        <w:t>南京国盛电子有限公司</w:t>
      </w:r>
      <w:r>
        <w:rPr>
          <w:rFonts w:hint="eastAsia"/>
          <w:color w:val="auto"/>
          <w:lang w:eastAsia="zh-CN"/>
        </w:rPr>
        <w:t>、</w:t>
      </w:r>
      <w:r>
        <w:rPr>
          <w:rFonts w:hint="eastAsia"/>
          <w:color w:val="auto"/>
        </w:rPr>
        <w:t>广东天域半导体股份有限公司</w:t>
      </w:r>
    </w:p>
    <w:p>
      <w:pPr>
        <w:pStyle w:val="25"/>
        <w:rPr>
          <w:rFonts w:hint="eastAsia"/>
          <w:color w:val="000000"/>
        </w:rPr>
      </w:pPr>
      <w:r>
        <w:rPr>
          <w:rFonts w:hint="eastAsia"/>
          <w:color w:val="000000"/>
        </w:rPr>
        <w:t>本文件主要起草人：</w:t>
      </w:r>
    </w:p>
    <w:bookmarkEnd w:id="7"/>
    <w:p>
      <w:pPr>
        <w:pStyle w:val="25"/>
        <w:rPr>
          <w:rFonts w:ascii="Times New Roman" w:hAnsi="Times New Roman" w:eastAsia="宋体"/>
        </w:rPr>
      </w:pPr>
      <w:r>
        <w:rPr>
          <w:rFonts w:hint="eastAsia" w:ascii="Times New Roman" w:hAnsi="Times New Roman" w:eastAsia="宋体"/>
        </w:rPr>
        <w:t>本文件及其所代替文件的历次版本发布情况为：</w:t>
      </w:r>
    </w:p>
    <w:p>
      <w:pPr>
        <w:pStyle w:val="25"/>
        <w:rPr>
          <w:rFonts w:hAnsi="宋体" w:eastAsia="宋体"/>
          <w:szCs w:val="21"/>
        </w:rPr>
      </w:pPr>
      <w:r>
        <w:rPr>
          <w:rFonts w:ascii="Times New Roman" w:hAnsi="Times New Roman" w:eastAsia="宋体" w:cs="Times New Roman"/>
        </w:rPr>
        <w:t>——</w:t>
      </w:r>
      <w:r>
        <w:rPr>
          <w:rFonts w:hint="eastAsia" w:hAnsi="宋体" w:eastAsia="宋体"/>
          <w:szCs w:val="21"/>
        </w:rPr>
        <w:t>GB/T 3</w:t>
      </w:r>
      <w:r>
        <w:rPr>
          <w:rFonts w:hint="eastAsia" w:hAnsi="宋体"/>
          <w:szCs w:val="21"/>
          <w:lang w:val="en-US" w:eastAsia="zh-CN"/>
        </w:rPr>
        <w:t>2278</w:t>
      </w:r>
      <w:r>
        <w:rPr>
          <w:rFonts w:hint="eastAsia" w:hAnsi="宋体" w:eastAsia="宋体"/>
          <w:szCs w:val="21"/>
        </w:rPr>
        <w:t>-201</w:t>
      </w:r>
      <w:r>
        <w:rPr>
          <w:rFonts w:hint="eastAsia" w:hAnsi="宋体"/>
          <w:szCs w:val="21"/>
          <w:lang w:val="en-US" w:eastAsia="zh-CN"/>
        </w:rPr>
        <w:t>5、</w:t>
      </w:r>
      <w:r>
        <w:rPr>
          <w:rFonts w:hint="eastAsia" w:hAnsi="宋体" w:eastAsia="宋体"/>
          <w:szCs w:val="21"/>
        </w:rPr>
        <w:t>GB/T 3</w:t>
      </w:r>
      <w:r>
        <w:rPr>
          <w:rFonts w:hint="eastAsia" w:hAnsi="宋体"/>
          <w:szCs w:val="21"/>
          <w:lang w:val="en-US" w:eastAsia="zh-CN"/>
        </w:rPr>
        <w:t>0867</w:t>
      </w:r>
      <w:r>
        <w:rPr>
          <w:rFonts w:hint="eastAsia" w:hAnsi="宋体" w:eastAsia="宋体"/>
          <w:szCs w:val="21"/>
        </w:rPr>
        <w:t>-201</w:t>
      </w:r>
      <w:r>
        <w:rPr>
          <w:rFonts w:hint="eastAsia" w:hAnsi="宋体"/>
          <w:szCs w:val="21"/>
          <w:lang w:val="en-US" w:eastAsia="zh-CN"/>
        </w:rPr>
        <w:t>4</w:t>
      </w:r>
      <w:r>
        <w:rPr>
          <w:rFonts w:hint="eastAsia" w:hAnsi="宋体" w:eastAsia="宋体"/>
          <w:szCs w:val="21"/>
        </w:rPr>
        <w:t>；</w:t>
      </w:r>
    </w:p>
    <w:p>
      <w:pPr>
        <w:pStyle w:val="25"/>
        <w:rPr>
          <w:rFonts w:hAnsi="宋体"/>
        </w:rPr>
      </w:pPr>
      <w:r>
        <w:rPr>
          <w:rFonts w:hint="eastAsia" w:hAnsi="宋体"/>
          <w:color w:val="000000"/>
        </w:rPr>
        <w:t>——本次为第二次修订。</w:t>
      </w:r>
    </w:p>
    <w:p>
      <w:pPr>
        <w:pStyle w:val="25"/>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bookmarkStart w:id="9" w:name="_GoBack"/>
      <w:bookmarkEnd w:id="9"/>
    </w:p>
    <w:p>
      <w:pPr>
        <w:pStyle w:val="53"/>
        <w:rPr>
          <w:color w:val="FF0000"/>
        </w:rPr>
      </w:pPr>
      <w:r>
        <w:rPr>
          <w:rFonts w:hint="eastAsia"/>
          <w:color w:val="000000" w:themeColor="text1"/>
          <w14:textFill>
            <w14:solidFill>
              <w14:schemeClr w14:val="tx1"/>
            </w14:solidFill>
          </w14:textFill>
        </w:rPr>
        <w:t>碳化硅单晶片厚度和平整度测试方法</w:t>
      </w:r>
    </w:p>
    <w:p>
      <w:pPr>
        <w:pStyle w:val="46"/>
        <w:numPr>
          <w:ilvl w:val="0"/>
          <w:numId w:val="19"/>
        </w:numPr>
        <w:spacing w:before="312" w:after="312"/>
        <w:ind w:left="425" w:hanging="425"/>
        <w:rPr>
          <w:color w:val="000000"/>
        </w:rPr>
      </w:pPr>
      <w:r>
        <w:rPr>
          <w:rFonts w:hint="eastAsia"/>
          <w:color w:val="000000"/>
        </w:rPr>
        <w:t>范围</w:t>
      </w:r>
    </w:p>
    <w:p>
      <w:pPr>
        <w:pStyle w:val="25"/>
        <w:rPr>
          <w:color w:val="000000"/>
        </w:rPr>
      </w:pPr>
      <w:r>
        <w:rPr>
          <w:color w:val="000000"/>
        </w:rPr>
        <w:t>本</w:t>
      </w:r>
      <w:r>
        <w:rPr>
          <w:rFonts w:hint="eastAsia"/>
          <w:color w:val="000000"/>
          <w:lang w:val="en-US" w:eastAsia="zh-CN"/>
        </w:rPr>
        <w:t>文件描述</w:t>
      </w:r>
      <w:r>
        <w:rPr>
          <w:color w:val="000000"/>
        </w:rPr>
        <w:t>了碳化硅</w:t>
      </w:r>
      <w:r>
        <w:rPr>
          <w:rFonts w:hint="eastAsia"/>
          <w:color w:val="000000"/>
        </w:rPr>
        <w:t>单晶片的</w:t>
      </w:r>
      <w:r>
        <w:rPr>
          <w:rFonts w:hint="eastAsia"/>
          <w:color w:val="000000"/>
          <w:lang w:val="en-US" w:eastAsia="zh-CN"/>
        </w:rPr>
        <w:t>厚度和</w:t>
      </w:r>
      <w:r>
        <w:rPr>
          <w:rFonts w:hint="eastAsia"/>
          <w:color w:val="000000"/>
        </w:rPr>
        <w:t>平整度</w:t>
      </w:r>
      <w:r>
        <w:rPr>
          <w:rFonts w:hint="eastAsia"/>
          <w:color w:val="000000"/>
          <w:lang w:val="en-US" w:eastAsia="zh-CN"/>
        </w:rPr>
        <w:t>测试方法</w:t>
      </w:r>
      <w:r>
        <w:rPr>
          <w:rFonts w:hint="eastAsia"/>
          <w:color w:val="000000"/>
        </w:rPr>
        <w:t>，</w:t>
      </w:r>
      <w:r>
        <w:rPr>
          <w:rFonts w:hint="eastAsia"/>
          <w:color w:val="000000"/>
          <w:lang w:val="en-US" w:eastAsia="zh-CN"/>
        </w:rPr>
        <w:t>包括接触式和自动非接触式测试方法；</w:t>
      </w:r>
    </w:p>
    <w:p>
      <w:pPr>
        <w:pStyle w:val="25"/>
        <w:rPr>
          <w:color w:val="000000"/>
        </w:rPr>
      </w:pPr>
      <w:r>
        <w:rPr>
          <w:rFonts w:hint="eastAsia"/>
          <w:color w:val="000000"/>
          <w:lang w:val="en-US" w:eastAsia="zh-CN"/>
        </w:rPr>
        <w:t>本文件</w:t>
      </w:r>
      <w:r>
        <w:rPr>
          <w:color w:val="000000"/>
        </w:rPr>
        <w:t>适用于厚度</w:t>
      </w:r>
      <w:r>
        <w:rPr>
          <w:rFonts w:hint="eastAsia"/>
          <w:color w:val="000000"/>
          <w:lang w:val="en-US" w:eastAsia="zh-CN"/>
        </w:rPr>
        <w:t>为</w:t>
      </w:r>
      <w:r>
        <w:rPr>
          <w:color w:val="000000"/>
        </w:rPr>
        <w:t>0.13mm～1mm</w:t>
      </w:r>
      <w:r>
        <w:rPr>
          <w:rFonts w:hint="eastAsia"/>
          <w:color w:val="000000"/>
          <w:lang w:eastAsia="zh-CN"/>
        </w:rPr>
        <w:t>，</w:t>
      </w:r>
      <w:r>
        <w:rPr>
          <w:color w:val="000000"/>
        </w:rPr>
        <w:t>直径</w:t>
      </w:r>
      <w:r>
        <w:rPr>
          <w:rFonts w:hint="eastAsia"/>
          <w:color w:val="000000"/>
        </w:rPr>
        <w:t>为50.8mm</w:t>
      </w:r>
      <w:r>
        <w:rPr>
          <w:rFonts w:hint="eastAsia"/>
          <w:color w:val="000000"/>
          <w:lang w:eastAsia="zh-CN"/>
        </w:rPr>
        <w:t>、</w:t>
      </w:r>
      <w:r>
        <w:rPr>
          <w:rFonts w:hint="eastAsia"/>
          <w:color w:val="000000"/>
        </w:rPr>
        <w:t>76.2mm、</w:t>
      </w:r>
      <w:r>
        <w:rPr>
          <w:rFonts w:hint="eastAsia"/>
          <w:color w:val="000000"/>
          <w:lang w:val="en-US" w:eastAsia="zh-CN"/>
        </w:rPr>
        <w:t>100mm、150mm、200mm的碳化硅碳化硅单晶片的测试</w:t>
      </w:r>
      <w:r>
        <w:rPr>
          <w:color w:val="000000"/>
        </w:rPr>
        <w:t>。</w:t>
      </w:r>
    </w:p>
    <w:p>
      <w:pPr>
        <w:pStyle w:val="46"/>
        <w:numPr>
          <w:ilvl w:val="0"/>
          <w:numId w:val="19"/>
        </w:numPr>
        <w:spacing w:before="312" w:after="312"/>
        <w:ind w:left="425" w:hanging="425"/>
        <w:rPr>
          <w:color w:val="000000"/>
        </w:rPr>
      </w:pPr>
      <w:r>
        <w:rPr>
          <w:rFonts w:hint="eastAsia"/>
          <w:color w:val="000000"/>
        </w:rPr>
        <w:t>规范性引用文件</w:t>
      </w:r>
    </w:p>
    <w:p>
      <w:pPr>
        <w:pStyle w:val="25"/>
        <w:rPr>
          <w:color w:val="FF0000"/>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adjustRightInd w:val="0"/>
        <w:ind w:firstLine="420" w:firstLineChars="200"/>
        <w:jc w:val="left"/>
      </w:pPr>
      <w:r>
        <w:rPr>
          <w:rFonts w:ascii="宋体" w:hAnsi="宋体" w:cs="AdobeHeitiStd-Regular"/>
          <w:kern w:val="0"/>
          <w:szCs w:val="21"/>
        </w:rPr>
        <w:t xml:space="preserve">GB/T 14264 </w:t>
      </w:r>
      <w:r>
        <w:rPr>
          <w:rFonts w:hint="eastAsia" w:ascii="宋体" w:hAnsi="宋体" w:cs="AdobeHeitiStd-Regular"/>
          <w:kern w:val="0"/>
          <w:szCs w:val="21"/>
        </w:rPr>
        <w:t xml:space="preserve"> 半导体材料术语</w:t>
      </w:r>
    </w:p>
    <w:p>
      <w:pPr>
        <w:pStyle w:val="25"/>
        <w:rPr>
          <w:rFonts w:hint="default" w:ascii="Times New Roman" w:hAnsi="Times New Roman" w:eastAsia="宋体"/>
          <w:szCs w:val="21"/>
          <w:lang w:val="en-US" w:eastAsia="zh-CN"/>
        </w:rPr>
      </w:pPr>
      <w:r>
        <w:rPr>
          <w:rFonts w:hint="default" w:ascii="宋体" w:hAnsi="宋体" w:cs="AdobeHeitiStd-Regular"/>
          <w:color w:val="auto"/>
          <w:szCs w:val="21"/>
          <w:lang w:val="en-US" w:eastAsia="zh-CN"/>
        </w:rPr>
        <w:t>GB/T 25915.1</w:t>
      </w:r>
      <w:r>
        <w:rPr>
          <w:rFonts w:hint="eastAsia" w:hAnsi="宋体" w:cs="AdobeHeitiStd-Regular"/>
          <w:color w:val="auto"/>
          <w:szCs w:val="21"/>
          <w:lang w:val="en-US" w:eastAsia="zh-CN"/>
        </w:rPr>
        <w:t>-2021</w:t>
      </w:r>
      <w:r>
        <w:rPr>
          <w:rFonts w:hint="default" w:ascii="宋体" w:hAnsi="宋体" w:cs="AdobeHeitiStd-Regular"/>
          <w:color w:val="auto"/>
          <w:szCs w:val="21"/>
          <w:lang w:val="en-US" w:eastAsia="zh-CN"/>
        </w:rPr>
        <w:t xml:space="preserve"> </w:t>
      </w:r>
      <w:r>
        <w:rPr>
          <w:rFonts w:hint="eastAsia" w:ascii="Times New Roman"/>
          <w:color w:val="auto"/>
          <w:szCs w:val="21"/>
          <w:lang w:val="en-US" w:eastAsia="zh-CN"/>
        </w:rPr>
        <w:t xml:space="preserve"> </w:t>
      </w:r>
      <w:r>
        <w:rPr>
          <w:rFonts w:hint="default" w:ascii="Times New Roman" w:hAnsi="Times New Roman" w:eastAsia="宋体"/>
          <w:szCs w:val="21"/>
          <w:lang w:val="en-US" w:eastAsia="zh-CN"/>
        </w:rPr>
        <w:t>洁净室及相关受控环境 第1部分:按粒子浓度划分空气洁净度等级</w:t>
      </w:r>
    </w:p>
    <w:p>
      <w:pPr>
        <w:pStyle w:val="25"/>
        <w:rPr>
          <w:rFonts w:hint="default" w:ascii="Times New Roman" w:hAnsi="Times New Roman" w:eastAsia="宋体"/>
          <w:szCs w:val="21"/>
          <w:lang w:val="en-US" w:eastAsia="zh-CN"/>
        </w:rPr>
      </w:pPr>
      <w:r>
        <w:rPr>
          <w:rFonts w:hint="eastAsia" w:ascii="宋体" w:hAnsi="宋体" w:cs="宋体"/>
          <w:szCs w:val="21"/>
        </w:rPr>
        <w:t>GB/T 30656</w:t>
      </w:r>
      <w:r>
        <w:rPr>
          <w:rFonts w:hint="eastAsia" w:hAnsi="宋体" w:cs="宋体"/>
          <w:szCs w:val="21"/>
          <w:lang w:val="en-US" w:eastAsia="zh-CN"/>
        </w:rPr>
        <w:t xml:space="preserve">  碳化硅单晶抛光片</w:t>
      </w:r>
    </w:p>
    <w:p>
      <w:pPr>
        <w:pStyle w:val="46"/>
        <w:numPr>
          <w:ilvl w:val="0"/>
          <w:numId w:val="19"/>
        </w:numPr>
        <w:spacing w:before="312" w:after="312"/>
        <w:ind w:left="425" w:hanging="425"/>
        <w:rPr>
          <w:color w:val="00B050"/>
        </w:rPr>
      </w:pPr>
      <w:r>
        <w:rPr>
          <w:rFonts w:hint="eastAsia"/>
          <w:color w:val="000000"/>
        </w:rPr>
        <w:t>术语和定义</w:t>
      </w:r>
    </w:p>
    <w:p>
      <w:pPr>
        <w:pStyle w:val="25"/>
        <w:rPr>
          <w:color w:val="000000"/>
        </w:rPr>
      </w:pPr>
      <w:r>
        <w:rPr>
          <w:rFonts w:hint="eastAsia"/>
          <w:color w:val="000000"/>
        </w:rPr>
        <w:t>GB/T 14264界定的术语和定义适用于本文件。</w:t>
      </w:r>
    </w:p>
    <w:p>
      <w:pPr>
        <w:pStyle w:val="25"/>
        <w:spacing w:before="156" w:beforeLines="50" w:after="156" w:afterLines="50"/>
        <w:ind w:firstLine="0" w:firstLineChars="0"/>
        <w:jc w:val="center"/>
        <w:rPr>
          <w:rFonts w:hint="eastAsia" w:ascii="黑体" w:hAnsi="黑体" w:eastAsia="黑体"/>
        </w:rPr>
      </w:pPr>
      <w:r>
        <w:rPr>
          <w:rFonts w:hint="eastAsia" w:ascii="黑体" w:hAnsi="黑体" w:eastAsia="黑体"/>
        </w:rPr>
        <w:t xml:space="preserve">方法1  </w:t>
      </w:r>
      <w:r>
        <w:rPr>
          <w:rFonts w:hint="eastAsia" w:ascii="黑体" w:hAnsi="黑体" w:eastAsia="黑体"/>
          <w:lang w:val="en-US" w:eastAsia="zh-CN"/>
        </w:rPr>
        <w:t>接触式测量方</w:t>
      </w:r>
      <w:r>
        <w:rPr>
          <w:rFonts w:hint="eastAsia" w:ascii="黑体" w:hAnsi="黑体" w:eastAsia="黑体"/>
          <w:szCs w:val="22"/>
        </w:rPr>
        <w:t>法</w:t>
      </w:r>
    </w:p>
    <w:p>
      <w:pPr>
        <w:pStyle w:val="46"/>
        <w:numPr>
          <w:ilvl w:val="0"/>
          <w:numId w:val="19"/>
        </w:numPr>
        <w:spacing w:before="312" w:beforeLines="50" w:after="157" w:afterLines="50"/>
        <w:ind w:left="0" w:firstLine="0"/>
        <w:rPr>
          <w:rFonts w:hint="eastAsia" w:ascii="黑体" w:hAnsi="黑体" w:eastAsia="黑体" w:cs="黑体"/>
          <w:sz w:val="21"/>
          <w:szCs w:val="21"/>
          <w:lang w:val="en-US" w:eastAsia="zh-CN" w:bidi="ar-SA"/>
        </w:rPr>
      </w:pPr>
      <w:r>
        <w:rPr>
          <w:rFonts w:hint="eastAsia"/>
          <w:lang w:val="en-US" w:eastAsia="zh-CN"/>
        </w:rPr>
        <w:t>方法</w:t>
      </w:r>
      <w:r>
        <w:rPr>
          <w:rFonts w:hint="eastAsia"/>
        </w:rPr>
        <w:t>原理</w:t>
      </w:r>
    </w:p>
    <w:p>
      <w:pPr>
        <w:pStyle w:val="45"/>
        <w:numPr>
          <w:ilvl w:val="-1"/>
          <w:numId w:val="0"/>
        </w:numPr>
        <w:spacing w:beforeLines="0" w:afterLines="0"/>
        <w:ind w:left="0" w:firstLine="420" w:firstLineChars="20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接触式测量方法是采用物理接触的方式进行测量，将测量头放置在被测样品的表面，施加适当的压力以确保测量头与样品表面良好接触。当被测样品的厚度变化时，测量头会相应地向内或向外移动。测量头的位移通过主轴传递到传感器，传感器将机械位移转换为电信号并传输到内部的处理电路。处理电路对信号进行放大和转换，计算出相应的位移值。</w:t>
      </w:r>
    </w:p>
    <w:p>
      <w:pPr>
        <w:pStyle w:val="45"/>
        <w:numPr>
          <w:ilvl w:val="-1"/>
          <w:numId w:val="0"/>
        </w:numPr>
        <w:spacing w:beforeLines="0" w:afterLines="0"/>
        <w:ind w:left="0" w:firstLine="420" w:firstLineChars="20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该方法适用于碳化硅单晶片厚度和总厚度变化的测试。</w:t>
      </w:r>
    </w:p>
    <w:p>
      <w:pPr>
        <w:pStyle w:val="46"/>
        <w:numPr>
          <w:ilvl w:val="0"/>
          <w:numId w:val="19"/>
        </w:numPr>
        <w:spacing w:before="312" w:after="157" w:afterLines="50"/>
        <w:ind w:left="424" w:hanging="424" w:hangingChars="202"/>
        <w:rPr>
          <w:rFonts w:hint="eastAsia"/>
        </w:rPr>
      </w:pPr>
      <w:r>
        <w:rPr>
          <w:rFonts w:hint="eastAsia"/>
          <w:lang w:val="en-US" w:eastAsia="zh-CN"/>
        </w:rPr>
        <w:t>干扰因素</w:t>
      </w:r>
    </w:p>
    <w:p>
      <w:pPr>
        <w:pStyle w:val="45"/>
        <w:numPr>
          <w:ilvl w:val="1"/>
          <w:numId w:val="19"/>
        </w:numPr>
        <w:spacing w:beforeLines="0" w:afterLines="0"/>
        <w:ind w:left="567" w:hanging="567"/>
        <w:rPr>
          <w:rFonts w:ascii="宋体" w:hAnsi="宋体" w:eastAsia="宋体"/>
        </w:rPr>
      </w:pPr>
      <w:r>
        <w:rPr>
          <w:rFonts w:hint="eastAsia" w:ascii="宋体" w:hAnsi="宋体" w:eastAsia="宋体"/>
          <w:lang w:val="en-US" w:eastAsia="zh-CN"/>
        </w:rPr>
        <w:t>在进行测量时，测量头需要施加适当的压力。过大的压力可能导致被测样品变形，从而影响测量结果。因此接触式测量设备应有限位装置，以确保施加的测量力在合理范围内；</w:t>
      </w:r>
    </w:p>
    <w:p>
      <w:pPr>
        <w:pStyle w:val="45"/>
        <w:numPr>
          <w:ilvl w:val="1"/>
          <w:numId w:val="19"/>
        </w:numPr>
        <w:spacing w:beforeLines="0" w:afterLines="0"/>
        <w:ind w:left="567" w:hanging="567"/>
      </w:pPr>
      <w:r>
        <w:rPr>
          <w:rFonts w:hint="eastAsia" w:ascii="宋体" w:hAnsi="宋体" w:eastAsia="宋体"/>
          <w:lang w:val="en-US" w:eastAsia="zh-CN"/>
        </w:rPr>
        <w:t>样品表面的洁净度对测试结果有影响，测试前样品应经过清洗，确保样品表面洁净；</w:t>
      </w:r>
    </w:p>
    <w:p>
      <w:pPr>
        <w:pStyle w:val="45"/>
        <w:numPr>
          <w:ilvl w:val="1"/>
          <w:numId w:val="19"/>
        </w:numPr>
        <w:spacing w:beforeLines="0" w:afterLines="0"/>
        <w:ind w:left="567" w:hanging="567"/>
        <w:rPr>
          <w:rFonts w:hint="eastAsia" w:ascii="宋体" w:hAnsi="宋体" w:eastAsia="宋体"/>
        </w:rPr>
      </w:pPr>
      <w:r>
        <w:rPr>
          <w:rFonts w:hint="eastAsia" w:ascii="宋体" w:hAnsi="宋体" w:eastAsia="宋体"/>
          <w:lang w:val="en-US" w:eastAsia="zh-CN"/>
        </w:rPr>
        <w:t>接触式测量设备的</w:t>
      </w:r>
      <w:r>
        <w:rPr>
          <w:rFonts w:hint="eastAsia" w:ascii="宋体" w:hAnsi="宋体" w:eastAsia="宋体"/>
        </w:rPr>
        <w:t>测量精度可能受到温度变化的影响，因此在测量时，通常需要在标准温度条件下进行。</w:t>
      </w:r>
    </w:p>
    <w:p>
      <w:pPr>
        <w:pStyle w:val="46"/>
        <w:numPr>
          <w:ilvl w:val="0"/>
          <w:numId w:val="19"/>
        </w:numPr>
        <w:spacing w:before="312" w:after="157" w:afterLines="50"/>
        <w:ind w:left="424" w:hanging="424" w:hangingChars="202"/>
        <w:rPr>
          <w:rFonts w:hint="eastAsia"/>
        </w:rPr>
      </w:pPr>
      <w:r>
        <w:rPr>
          <w:rFonts w:hint="eastAsia"/>
          <w:lang w:val="en-US" w:eastAsia="zh-CN"/>
        </w:rPr>
        <w:t>测试环境</w:t>
      </w:r>
    </w:p>
    <w:p>
      <w:pPr>
        <w:pStyle w:val="45"/>
        <w:numPr>
          <w:ilvl w:val="1"/>
          <w:numId w:val="19"/>
        </w:numPr>
        <w:spacing w:beforeLines="0" w:afterLines="0"/>
        <w:ind w:left="567" w:hanging="567"/>
        <w:rPr>
          <w:rFonts w:hint="eastAsia" w:ascii="宋体" w:hAnsi="宋体" w:eastAsia="宋体"/>
          <w:lang w:val="en-US" w:eastAsia="zh-CN"/>
        </w:rPr>
      </w:pPr>
      <w:r>
        <w:rPr>
          <w:rFonts w:hint="eastAsia" w:ascii="宋体" w:hAnsi="宋体" w:eastAsia="宋体"/>
          <w:lang w:val="en-US" w:eastAsia="zh-CN"/>
        </w:rPr>
        <w:t>温度：（23±3）℃，相对湿度：（60%±20%）RH；</w:t>
      </w:r>
    </w:p>
    <w:p>
      <w:pPr>
        <w:pStyle w:val="46"/>
        <w:keepNext w:val="0"/>
        <w:keepLines w:val="0"/>
        <w:pageBreakBefore w:val="0"/>
        <w:widowControl/>
        <w:numPr>
          <w:ilvl w:val="0"/>
          <w:numId w:val="19"/>
        </w:numPr>
        <w:kinsoku/>
        <w:wordWrap/>
        <w:overflowPunct/>
        <w:topLinePunct w:val="0"/>
        <w:autoSpaceDE/>
        <w:autoSpaceDN/>
        <w:bidi w:val="0"/>
        <w:adjustRightInd/>
        <w:snapToGrid/>
        <w:spacing w:before="312" w:beforeLines="50" w:after="157" w:afterLines="50"/>
        <w:ind w:left="424" w:hanging="424" w:hangingChars="202"/>
        <w:textAlignment w:val="auto"/>
        <w:rPr>
          <w:rFonts w:hint="eastAsia" w:ascii="黑体" w:hAnsi="黑体" w:eastAsia="黑体" w:cs="黑体"/>
          <w:lang w:val="en-US" w:eastAsia="zh-CN"/>
        </w:rPr>
      </w:pPr>
      <w:r>
        <w:rPr>
          <w:rFonts w:hint="eastAsia"/>
          <w:lang w:val="en-US" w:eastAsia="zh-CN"/>
        </w:rPr>
        <w:t>仪器设备</w:t>
      </w:r>
    </w:p>
    <w:p>
      <w:pPr>
        <w:pStyle w:val="45"/>
        <w:numPr>
          <w:ilvl w:val="1"/>
          <w:numId w:val="19"/>
        </w:numPr>
        <w:autoSpaceDE/>
        <w:autoSpaceDN/>
        <w:spacing w:beforeLines="0" w:afterLines="0"/>
        <w:ind w:left="567" w:hanging="567"/>
        <w:rPr>
          <w:rFonts w:hint="eastAsia"/>
          <w:lang w:val="en-US" w:eastAsia="zh-CN"/>
        </w:rPr>
      </w:pPr>
      <w:r>
        <w:rPr>
          <w:rFonts w:hint="eastAsia" w:ascii="宋体" w:hAnsi="宋体" w:eastAsia="宋体" w:cs="宋体"/>
          <w:lang w:val="en-US" w:eastAsia="zh-CN"/>
        </w:rPr>
        <w:t>测量头：包括一个可移动的测量杆，直接与被测物体接触；</w:t>
      </w:r>
    </w:p>
    <w:p>
      <w:pPr>
        <w:pStyle w:val="45"/>
        <w:numPr>
          <w:ilvl w:val="1"/>
          <w:numId w:val="19"/>
        </w:numPr>
        <w:autoSpaceDE/>
        <w:autoSpaceDN/>
        <w:spacing w:beforeLines="0" w:afterLines="0"/>
        <w:ind w:left="567" w:hanging="567"/>
        <w:rPr>
          <w:rFonts w:hint="eastAsia" w:ascii="宋体" w:hAnsi="宋体" w:eastAsia="宋体" w:cs="宋体"/>
          <w:lang w:val="en-US" w:eastAsia="zh-CN"/>
        </w:rPr>
      </w:pPr>
      <w:r>
        <w:rPr>
          <w:rFonts w:hint="eastAsia" w:ascii="宋体" w:hAnsi="宋体" w:eastAsia="宋体" w:cs="宋体"/>
          <w:lang w:val="en-US" w:eastAsia="zh-CN"/>
        </w:rPr>
        <w:t>主轴：连接测量头和电子显示部分，负责测量头的位移。</w:t>
      </w:r>
    </w:p>
    <w:p>
      <w:pPr>
        <w:pStyle w:val="45"/>
        <w:numPr>
          <w:ilvl w:val="1"/>
          <w:numId w:val="19"/>
        </w:numPr>
        <w:autoSpaceDE/>
        <w:autoSpaceDN/>
        <w:spacing w:beforeLines="0" w:afterLines="0"/>
        <w:ind w:left="567" w:hanging="567"/>
        <w:rPr>
          <w:rFonts w:hint="eastAsia" w:ascii="宋体" w:hAnsi="宋体" w:eastAsia="宋体" w:cs="宋体"/>
          <w:lang w:val="en-US" w:eastAsia="zh-CN"/>
        </w:rPr>
      </w:pPr>
      <w:r>
        <w:rPr>
          <w:rFonts w:hint="eastAsia" w:ascii="宋体" w:hAnsi="宋体" w:eastAsia="宋体" w:cs="宋体"/>
          <w:lang w:val="en-US" w:eastAsia="zh-CN"/>
        </w:rPr>
        <w:t>传感器：将机械位移转换为电信号的部件，通常是电容式或电感式传感器。</w:t>
      </w:r>
    </w:p>
    <w:p>
      <w:pPr>
        <w:pStyle w:val="45"/>
        <w:numPr>
          <w:ilvl w:val="1"/>
          <w:numId w:val="19"/>
        </w:numPr>
        <w:autoSpaceDE/>
        <w:autoSpaceDN/>
        <w:spacing w:beforeLines="0" w:afterLines="0"/>
        <w:ind w:left="567" w:hanging="567"/>
        <w:rPr>
          <w:rFonts w:hint="eastAsia" w:ascii="宋体" w:hAnsi="宋体" w:eastAsia="宋体" w:cs="宋体"/>
          <w:lang w:val="en-US" w:eastAsia="zh-CN"/>
        </w:rPr>
      </w:pPr>
      <w:r>
        <w:rPr>
          <w:rFonts w:hint="eastAsia" w:ascii="宋体" w:hAnsi="宋体" w:eastAsia="宋体" w:cs="宋体"/>
          <w:lang w:val="en-US" w:eastAsia="zh-CN"/>
        </w:rPr>
        <w:t>显示屏：数字显示器，用于显示测量结果。</w:t>
      </w:r>
    </w:p>
    <w:p>
      <w:pPr>
        <w:pStyle w:val="45"/>
        <w:numPr>
          <w:ilvl w:val="1"/>
          <w:numId w:val="19"/>
        </w:numPr>
        <w:autoSpaceDE/>
        <w:autoSpaceDN/>
        <w:spacing w:beforeLines="0" w:afterLines="0"/>
        <w:ind w:left="567" w:hanging="567"/>
        <w:rPr>
          <w:rFonts w:hint="eastAsia"/>
          <w:lang w:val="en-US" w:eastAsia="zh-CN"/>
        </w:rPr>
      </w:pPr>
      <w:r>
        <w:rPr>
          <w:rFonts w:hint="eastAsia" w:ascii="宋体" w:hAnsi="宋体" w:eastAsia="宋体" w:cs="宋体"/>
          <w:lang w:val="en-US" w:eastAsia="zh-CN"/>
        </w:rPr>
        <w:t>支撑装置：放置被测量样品的平台或夹具。</w:t>
      </w:r>
    </w:p>
    <w:p>
      <w:pPr>
        <w:pStyle w:val="46"/>
        <w:keepNext w:val="0"/>
        <w:keepLines w:val="0"/>
        <w:pageBreakBefore w:val="0"/>
        <w:widowControl/>
        <w:numPr>
          <w:ilvl w:val="0"/>
          <w:numId w:val="19"/>
        </w:numPr>
        <w:kinsoku/>
        <w:wordWrap/>
        <w:overflowPunct/>
        <w:topLinePunct w:val="0"/>
        <w:autoSpaceDE/>
        <w:autoSpaceDN/>
        <w:bidi w:val="0"/>
        <w:adjustRightInd/>
        <w:snapToGrid/>
        <w:spacing w:before="312" w:beforeLines="50" w:after="157" w:afterLines="50"/>
        <w:ind w:left="424" w:hanging="424" w:hangingChars="202"/>
        <w:textAlignment w:val="auto"/>
        <w:rPr>
          <w:rFonts w:hint="eastAsia" w:ascii="黑体" w:hAnsi="黑体" w:eastAsia="黑体" w:cs="黑体"/>
          <w:lang w:val="en-US" w:eastAsia="zh-CN"/>
        </w:rPr>
      </w:pPr>
      <w:r>
        <w:rPr>
          <w:rFonts w:hint="eastAsia" w:hAnsi="黑体" w:cs="黑体"/>
          <w:lang w:val="en-US" w:eastAsia="zh-CN"/>
        </w:rPr>
        <w:t>样品</w:t>
      </w:r>
    </w:p>
    <w:p>
      <w:pPr>
        <w:pStyle w:val="45"/>
        <w:keepNext w:val="0"/>
        <w:keepLines w:val="0"/>
        <w:pageBreakBefore w:val="0"/>
        <w:widowControl/>
        <w:numPr>
          <w:ilvl w:val="-1"/>
          <w:numId w:val="0"/>
        </w:numPr>
        <w:kinsoku/>
        <w:wordWrap/>
        <w:overflowPunct/>
        <w:topLinePunct w:val="0"/>
        <w:autoSpaceDE/>
        <w:autoSpaceDN/>
        <w:bidi w:val="0"/>
        <w:adjustRightInd/>
        <w:snapToGrid/>
        <w:spacing w:before="156" w:beforeLines="-2147483648" w:after="156" w:afterLines="-2147483648"/>
        <w:ind w:left="0" w:firstLine="420" w:firstLineChars="200"/>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碳化硅单晶片应具有洁净、干燥的表面；</w:t>
      </w:r>
    </w:p>
    <w:p>
      <w:pPr>
        <w:pStyle w:val="46"/>
        <w:keepNext w:val="0"/>
        <w:keepLines w:val="0"/>
        <w:pageBreakBefore w:val="0"/>
        <w:widowControl/>
        <w:numPr>
          <w:ilvl w:val="0"/>
          <w:numId w:val="19"/>
        </w:numPr>
        <w:kinsoku/>
        <w:wordWrap/>
        <w:overflowPunct/>
        <w:topLinePunct w:val="0"/>
        <w:autoSpaceDE/>
        <w:autoSpaceDN/>
        <w:bidi w:val="0"/>
        <w:adjustRightInd/>
        <w:snapToGrid/>
        <w:spacing w:before="312" w:beforeLines="50" w:after="157" w:afterLines="50"/>
        <w:ind w:left="424" w:hanging="424" w:hangingChars="202"/>
        <w:textAlignment w:val="auto"/>
        <w:rPr>
          <w:rFonts w:hint="eastAsia" w:hAnsi="黑体" w:cs="黑体"/>
          <w:lang w:val="en-US" w:eastAsia="zh-CN"/>
        </w:rPr>
      </w:pPr>
      <w:r>
        <w:rPr>
          <w:rFonts w:hint="eastAsia" w:hAnsi="黑体" w:cs="黑体"/>
          <w:lang w:val="en-US" w:eastAsia="zh-CN"/>
        </w:rPr>
        <w:t>试验步骤</w:t>
      </w:r>
    </w:p>
    <w:p>
      <w:pPr>
        <w:pStyle w:val="45"/>
        <w:numPr>
          <w:ilvl w:val="1"/>
          <w:numId w:val="19"/>
        </w:numPr>
        <w:spacing w:before="0" w:beforeLines="0" w:after="0" w:afterLines="0"/>
        <w:ind w:left="567" w:hanging="567"/>
      </w:pPr>
      <w:r>
        <w:rPr>
          <w:rFonts w:hint="eastAsia"/>
        </w:rPr>
        <w:t>校准</w:t>
      </w:r>
    </w:p>
    <w:p>
      <w:pPr>
        <w:pStyle w:val="25"/>
        <w:ind w:firstLine="360"/>
        <w:rPr>
          <w:rFonts w:hint="eastAsia" w:ascii="Times New Roman" w:hAnsi="Times New Roman" w:cs="Times New Roman"/>
          <w:sz w:val="18"/>
          <w:szCs w:val="20"/>
        </w:rPr>
      </w:pPr>
      <w:r>
        <w:rPr>
          <w:rFonts w:hint="eastAsia" w:hAnsi="宋体" w:eastAsia="宋体" w:cs="宋体"/>
        </w:rPr>
        <w:t>为了确保测量的准确性，</w:t>
      </w:r>
      <w:r>
        <w:rPr>
          <w:rFonts w:hint="eastAsia" w:hAnsi="宋体" w:eastAsia="宋体" w:cs="宋体"/>
          <w:lang w:val="en-US" w:eastAsia="zh-CN"/>
        </w:rPr>
        <w:t>接触式测量设备使用前应进行</w:t>
      </w:r>
      <w:r>
        <w:rPr>
          <w:rFonts w:hint="eastAsia" w:hAnsi="宋体" w:eastAsia="宋体" w:cs="宋体"/>
        </w:rPr>
        <w:t>校准。校准通常使用标准厚度块进行，通过与</w:t>
      </w:r>
      <w:r>
        <w:rPr>
          <w:rFonts w:hint="eastAsia" w:hAnsi="宋体" w:eastAsia="宋体" w:cs="宋体"/>
          <w:lang w:val="en-US" w:eastAsia="zh-CN"/>
        </w:rPr>
        <w:t>标准厚度块</w:t>
      </w:r>
      <w:r>
        <w:rPr>
          <w:rFonts w:hint="eastAsia" w:hAnsi="宋体" w:eastAsia="宋体" w:cs="宋体"/>
        </w:rPr>
        <w:t>标准值进行比较，调整</w:t>
      </w:r>
      <w:r>
        <w:rPr>
          <w:rFonts w:hint="eastAsia" w:hAnsi="宋体" w:eastAsia="宋体" w:cs="宋体"/>
          <w:lang w:val="en-US" w:eastAsia="zh-CN"/>
        </w:rPr>
        <w:t>接触式测量设备</w:t>
      </w:r>
      <w:r>
        <w:rPr>
          <w:rFonts w:hint="eastAsia" w:hAnsi="宋体" w:eastAsia="宋体" w:cs="宋体"/>
        </w:rPr>
        <w:t>的读数</w:t>
      </w:r>
      <w:r>
        <w:rPr>
          <w:rFonts w:hint="eastAsia" w:ascii="Times New Roman" w:hAnsi="Times New Roman" w:cs="Times New Roman"/>
          <w:sz w:val="18"/>
          <w:szCs w:val="20"/>
        </w:rPr>
        <w:t>。</w:t>
      </w:r>
    </w:p>
    <w:p>
      <w:pPr>
        <w:pStyle w:val="45"/>
        <w:numPr>
          <w:ilvl w:val="1"/>
          <w:numId w:val="19"/>
        </w:numPr>
        <w:spacing w:beforeLines="0" w:afterLines="0"/>
        <w:ind w:left="567" w:hanging="567" w:firstLineChars="0"/>
        <w:rPr>
          <w:rFonts w:ascii="Times New Roman" w:hAnsi="Times New Roman" w:cs="Times New Roman"/>
        </w:rPr>
      </w:pPr>
      <w:r>
        <w:rPr>
          <w:rFonts w:hint="eastAsia" w:ascii="黑体" w:hAnsi="黑体" w:eastAsia="黑体" w:cs="黑体"/>
        </w:rPr>
        <w:t>测试</w:t>
      </w:r>
    </w:p>
    <w:p>
      <w:pPr>
        <w:rPr>
          <w:szCs w:val="21"/>
        </w:rPr>
      </w:pPr>
      <w:r>
        <w:rPr>
          <w:rFonts w:ascii="黑体" w:eastAsia="黑体"/>
          <w:kern w:val="0"/>
          <w:szCs w:val="21"/>
        </w:rPr>
        <w:t>9.</w:t>
      </w:r>
      <w:r>
        <w:rPr>
          <w:rFonts w:hint="eastAsia" w:ascii="黑体" w:eastAsia="黑体"/>
          <w:kern w:val="0"/>
          <w:szCs w:val="21"/>
        </w:rPr>
        <w:t>2.1</w:t>
      </w:r>
      <w:r>
        <w:rPr>
          <w:rFonts w:ascii="黑体" w:eastAsia="黑体"/>
          <w:kern w:val="0"/>
          <w:szCs w:val="21"/>
        </w:rPr>
        <w:t xml:space="preserve"> </w:t>
      </w:r>
      <w:r>
        <w:rPr>
          <w:rFonts w:hint="eastAsia" w:ascii="黑体" w:eastAsia="黑体"/>
          <w:kern w:val="0"/>
          <w:szCs w:val="21"/>
        </w:rPr>
        <w:t xml:space="preserve"> </w:t>
      </w:r>
      <w:r>
        <w:rPr>
          <w:rFonts w:hint="eastAsia" w:ascii="宋体" w:hAnsi="宋体" w:eastAsia="宋体" w:cs="宋体"/>
          <w:lang w:val="en-US" w:eastAsia="zh-CN"/>
        </w:rPr>
        <w:t>调整测厚仪的零点</w:t>
      </w:r>
      <w:r>
        <w:rPr>
          <w:rFonts w:hint="eastAsia" w:ascii="宋体" w:hAnsi="宋体" w:cs="宋体"/>
          <w:lang w:val="en-US" w:eastAsia="zh-CN"/>
        </w:rPr>
        <w:t>，</w:t>
      </w:r>
      <w:r>
        <w:rPr>
          <w:szCs w:val="21"/>
        </w:rPr>
        <w:t>将待测</w:t>
      </w:r>
      <w:r>
        <w:rPr>
          <w:rFonts w:hint="eastAsia"/>
          <w:szCs w:val="21"/>
        </w:rPr>
        <w:t>样品</w:t>
      </w:r>
      <w:r>
        <w:rPr>
          <w:rFonts w:hint="eastAsia" w:ascii="宋体" w:hAnsi="宋体" w:eastAsia="宋体" w:cs="宋体"/>
          <w:lang w:val="en-US" w:eastAsia="zh-CN"/>
        </w:rPr>
        <w:t>将</w:t>
      </w:r>
      <w:r>
        <w:rPr>
          <w:rFonts w:hint="eastAsia" w:ascii="宋体" w:hAnsi="宋体" w:cs="宋体"/>
          <w:lang w:val="en-US" w:eastAsia="zh-CN"/>
        </w:rPr>
        <w:t>硅</w:t>
      </w:r>
      <w:r>
        <w:rPr>
          <w:rFonts w:hint="eastAsia" w:ascii="宋体" w:hAnsi="宋体" w:eastAsia="宋体" w:cs="宋体"/>
          <w:lang w:val="en-US" w:eastAsia="zh-CN"/>
        </w:rPr>
        <w:t>面朝上，置于</w:t>
      </w:r>
      <w:r>
        <w:rPr>
          <w:rFonts w:hint="eastAsia" w:ascii="宋体" w:hAnsi="宋体" w:cs="宋体"/>
          <w:lang w:val="en-US" w:eastAsia="zh-CN"/>
        </w:rPr>
        <w:t>接触式测量设备</w:t>
      </w:r>
      <w:r>
        <w:rPr>
          <w:rFonts w:hint="eastAsia" w:ascii="宋体" w:hAnsi="宋体" w:eastAsia="宋体" w:cs="宋体"/>
          <w:lang w:val="en-US" w:eastAsia="zh-CN"/>
        </w:rPr>
        <w:t>的支撑装置上</w:t>
      </w:r>
      <w:r>
        <w:rPr>
          <w:rFonts w:hint="eastAsia" w:ascii="宋体" w:hAnsi="宋体" w:cs="宋体"/>
          <w:lang w:val="en-US" w:eastAsia="zh-CN"/>
        </w:rPr>
        <w:t>；</w:t>
      </w:r>
    </w:p>
    <w:p>
      <w:pPr>
        <w:rPr>
          <w:rFonts w:hint="eastAsia" w:ascii="宋体" w:hAnsi="宋体" w:cs="宋体"/>
          <w:kern w:val="0"/>
          <w:szCs w:val="21"/>
          <w:vertAlign w:val="subscript"/>
          <w:lang w:val="en-US" w:eastAsia="zh-CN"/>
        </w:rPr>
      </w:pPr>
      <w:r>
        <w:rPr>
          <w:rFonts w:hint="eastAsia" w:ascii="黑体" w:eastAsia="黑体"/>
          <w:kern w:val="0"/>
          <w:szCs w:val="21"/>
        </w:rPr>
        <w:t xml:space="preserve">9.2.2  </w:t>
      </w:r>
      <w:r>
        <w:rPr>
          <w:rFonts w:hint="eastAsia" w:ascii="宋体" w:hAnsi="宋体" w:cs="宋体"/>
          <w:kern w:val="0"/>
          <w:szCs w:val="21"/>
        </w:rPr>
        <w:t>根据</w:t>
      </w:r>
      <w:r>
        <w:rPr>
          <w:szCs w:val="21"/>
        </w:rPr>
        <w:t>待测</w:t>
      </w:r>
      <w:r>
        <w:rPr>
          <w:rFonts w:hint="eastAsia"/>
          <w:szCs w:val="21"/>
        </w:rPr>
        <w:t>样品</w:t>
      </w:r>
      <w:r>
        <w:rPr>
          <w:rFonts w:hint="eastAsia" w:ascii="宋体" w:hAnsi="宋体" w:cs="宋体"/>
          <w:kern w:val="0"/>
          <w:szCs w:val="21"/>
        </w:rPr>
        <w:t>的尺寸</w:t>
      </w:r>
      <w:r>
        <w:rPr>
          <w:rFonts w:hint="eastAsia" w:ascii="宋体" w:hAnsi="宋体" w:cs="宋体"/>
          <w:kern w:val="0"/>
          <w:szCs w:val="21"/>
          <w:lang w:val="en-US" w:eastAsia="zh-CN"/>
        </w:rPr>
        <w:t>确定测量点的分布（见9.3），将接触式测量设备的测量头置于样品的中心位置，测量厚度记为t</w:t>
      </w:r>
      <w:r>
        <w:rPr>
          <w:rFonts w:hint="eastAsia" w:ascii="宋体" w:hAnsi="宋体" w:cs="宋体"/>
          <w:kern w:val="0"/>
          <w:szCs w:val="21"/>
          <w:vertAlign w:val="subscript"/>
          <w:lang w:val="en-US" w:eastAsia="zh-CN"/>
        </w:rPr>
        <w:t>1</w:t>
      </w:r>
      <w:r>
        <w:rPr>
          <w:rFonts w:hint="eastAsia" w:ascii="宋体" w:hAnsi="宋体" w:cs="宋体"/>
          <w:kern w:val="0"/>
          <w:szCs w:val="21"/>
          <w:vertAlign w:val="baseline"/>
          <w:lang w:val="en-US" w:eastAsia="zh-CN"/>
        </w:rPr>
        <w:t>，依次对测量点的其他分布区域进行测量，记为</w:t>
      </w:r>
      <w:r>
        <w:rPr>
          <w:rFonts w:hint="eastAsia" w:ascii="宋体" w:hAnsi="宋体" w:cs="宋体"/>
          <w:kern w:val="0"/>
          <w:szCs w:val="21"/>
          <w:lang w:val="en-US" w:eastAsia="zh-CN"/>
        </w:rPr>
        <w:t>t</w:t>
      </w:r>
      <w:r>
        <w:rPr>
          <w:rFonts w:hint="eastAsia" w:ascii="宋体" w:hAnsi="宋体" w:cs="宋体"/>
          <w:kern w:val="0"/>
          <w:szCs w:val="21"/>
          <w:vertAlign w:val="subscript"/>
          <w:lang w:val="en-US" w:eastAsia="zh-CN"/>
        </w:rPr>
        <w:t>2</w:t>
      </w:r>
      <w:r>
        <w:rPr>
          <w:rFonts w:hint="eastAsia" w:ascii="宋体" w:hAnsi="宋体" w:cs="宋体"/>
          <w:kern w:val="0"/>
          <w:szCs w:val="21"/>
          <w:lang w:val="en-US" w:eastAsia="zh-CN"/>
        </w:rPr>
        <w:t>、t</w:t>
      </w:r>
      <w:r>
        <w:rPr>
          <w:rFonts w:hint="eastAsia" w:ascii="宋体" w:hAnsi="宋体" w:cs="宋体"/>
          <w:kern w:val="0"/>
          <w:szCs w:val="21"/>
          <w:vertAlign w:val="subscript"/>
          <w:lang w:val="en-US" w:eastAsia="zh-CN"/>
        </w:rPr>
        <w:t>3</w:t>
      </w:r>
      <w:r>
        <w:rPr>
          <w:rFonts w:hint="eastAsia" w:ascii="宋体" w:hAnsi="宋体" w:cs="宋体"/>
          <w:kern w:val="0"/>
          <w:szCs w:val="21"/>
          <w:lang w:val="en-US" w:eastAsia="zh-CN"/>
        </w:rPr>
        <w:t>、t</w:t>
      </w:r>
      <w:r>
        <w:rPr>
          <w:rFonts w:hint="eastAsia" w:ascii="宋体" w:hAnsi="宋体" w:cs="宋体"/>
          <w:kern w:val="0"/>
          <w:szCs w:val="21"/>
          <w:vertAlign w:val="subscript"/>
          <w:lang w:val="en-US" w:eastAsia="zh-CN"/>
        </w:rPr>
        <w:t>i</w:t>
      </w:r>
      <w:r>
        <w:rPr>
          <w:rFonts w:hint="eastAsia" w:ascii="宋体" w:hAnsi="宋体" w:cs="宋体"/>
          <w:kern w:val="0"/>
          <w:szCs w:val="21"/>
          <w:vertAlign w:val="baseline"/>
          <w:lang w:val="en-US" w:eastAsia="zh-CN"/>
        </w:rPr>
        <w:t>；</w:t>
      </w:r>
    </w:p>
    <w:p>
      <w:pPr>
        <w:rPr>
          <w:rFonts w:ascii="宋体" w:hAnsi="宋体" w:cs="宋体"/>
          <w:kern w:val="0"/>
          <w:szCs w:val="21"/>
        </w:rPr>
      </w:pPr>
      <w:r>
        <w:rPr>
          <w:rFonts w:hint="eastAsia" w:ascii="黑体" w:eastAsia="黑体"/>
          <w:kern w:val="0"/>
          <w:szCs w:val="21"/>
        </w:rPr>
        <w:t>9.2.</w:t>
      </w:r>
      <w:r>
        <w:rPr>
          <w:rFonts w:hint="eastAsia" w:ascii="黑体" w:eastAsia="黑体"/>
          <w:kern w:val="0"/>
          <w:szCs w:val="21"/>
          <w:lang w:val="en-US" w:eastAsia="zh-CN"/>
        </w:rPr>
        <w:t>3</w:t>
      </w:r>
      <w:r>
        <w:rPr>
          <w:rFonts w:hint="eastAsia" w:ascii="宋体" w:hAnsi="宋体" w:cs="宋体"/>
          <w:kern w:val="0"/>
          <w:szCs w:val="21"/>
        </w:rPr>
        <w:t xml:space="preserve">  测试完毕，取下</w:t>
      </w:r>
      <w:r>
        <w:rPr>
          <w:rFonts w:hint="eastAsia"/>
          <w:szCs w:val="21"/>
        </w:rPr>
        <w:t>样品</w:t>
      </w:r>
      <w:r>
        <w:rPr>
          <w:rFonts w:hint="eastAsia" w:ascii="宋体" w:hAnsi="宋体" w:cs="宋体"/>
          <w:kern w:val="0"/>
          <w:szCs w:val="21"/>
        </w:rPr>
        <w:t>。</w:t>
      </w:r>
    </w:p>
    <w:p>
      <w:pPr>
        <w:pStyle w:val="45"/>
        <w:numPr>
          <w:ilvl w:val="255"/>
          <w:numId w:val="0"/>
        </w:numPr>
        <w:tabs>
          <w:tab w:val="left" w:pos="760"/>
        </w:tabs>
        <w:spacing w:before="156" w:after="156"/>
      </w:pPr>
      <w:r>
        <w:rPr>
          <w:rFonts w:hint="eastAsia"/>
        </w:rPr>
        <w:t>9.3 测试点分布</w:t>
      </w:r>
    </w:p>
    <w:p>
      <w:pPr>
        <w:ind w:firstLine="420" w:firstLineChars="200"/>
        <w:rPr>
          <w:rFonts w:hint="eastAsia" w:ascii="宋体" w:hAnsi="宋体" w:cs="宋体"/>
          <w:szCs w:val="21"/>
        </w:rPr>
      </w:pPr>
      <w:r>
        <w:rPr>
          <w:rFonts w:hint="eastAsia" w:ascii="宋体" w:hAnsi="宋体" w:cs="宋体"/>
          <w:szCs w:val="21"/>
        </w:rPr>
        <w:t>测试点边缘去除区应符合GB/T 30656的要求，测试点分布如图</w:t>
      </w:r>
      <w:r>
        <w:rPr>
          <w:rFonts w:hint="eastAsia" w:ascii="宋体" w:hAnsi="宋体" w:cs="宋体"/>
          <w:szCs w:val="21"/>
          <w:lang w:val="en-US" w:eastAsia="zh-CN"/>
        </w:rPr>
        <w:t>1</w:t>
      </w:r>
      <w:r>
        <w:rPr>
          <w:rFonts w:hint="eastAsia" w:ascii="宋体" w:hAnsi="宋体" w:cs="宋体"/>
          <w:szCs w:val="21"/>
        </w:rPr>
        <w:t>所示，具体测试点个数及要求应符合表1的规定。</w:t>
      </w:r>
    </w:p>
    <w:p>
      <w:pPr>
        <w:pStyle w:val="66"/>
        <w:numPr>
          <w:ilvl w:val="0"/>
          <w:numId w:val="0"/>
        </w:numPr>
        <w:spacing w:before="156" w:beforeLines="50" w:after="156" w:afterLines="50"/>
        <w:ind w:firstLine="420" w:firstLineChars="200"/>
        <w:jc w:val="center"/>
        <w:rPr>
          <w:rFonts w:hint="eastAsia" w:ascii="黑体" w:hAnsi="黑体" w:eastAsia="黑体" w:cs="黑体"/>
        </w:rPr>
      </w:pPr>
      <w:r>
        <w:rPr>
          <w:rFonts w:hint="eastAsia" w:ascii="黑体" w:hAnsi="黑体" w:eastAsia="黑体" w:cs="黑体"/>
        </w:rPr>
        <w:t>表1 不同直径碳化硅单晶</w:t>
      </w:r>
      <w:r>
        <w:rPr>
          <w:rFonts w:hint="eastAsia" w:ascii="黑体" w:hAnsi="黑体" w:eastAsia="黑体" w:cs="黑体"/>
          <w:lang w:val="en-US" w:eastAsia="zh-CN"/>
        </w:rPr>
        <w:t>片厚度和平整度</w:t>
      </w:r>
      <w:r>
        <w:rPr>
          <w:rFonts w:hint="eastAsia" w:ascii="黑体" w:hAnsi="黑体" w:eastAsia="黑体" w:cs="黑体"/>
        </w:rPr>
        <w:t>测试点的位置及数量</w:t>
      </w:r>
    </w:p>
    <w:tbl>
      <w:tblPr>
        <w:tblStyle w:val="35"/>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1865"/>
        <w:gridCol w:w="1474"/>
        <w:gridCol w:w="1427"/>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79" w:type="pct"/>
            <w:tcBorders>
              <w:top w:val="single" w:color="auto" w:sz="8" w:space="0"/>
              <w:left w:val="single" w:color="auto" w:sz="8" w:space="0"/>
              <w:bottom w:val="single" w:color="auto" w:sz="8" w:space="0"/>
            </w:tcBorders>
            <w:vAlign w:val="center"/>
          </w:tcPr>
          <w:p>
            <w:pPr>
              <w:pStyle w:val="25"/>
              <w:ind w:firstLine="0" w:firstLineChars="0"/>
              <w:jc w:val="center"/>
              <w:rPr>
                <w:rFonts w:hAnsi="宋体" w:cs="宋体"/>
                <w:szCs w:val="18"/>
              </w:rPr>
            </w:pPr>
            <w:r>
              <w:rPr>
                <w:rFonts w:hint="eastAsia"/>
                <w:sz w:val="18"/>
                <w:szCs w:val="18"/>
              </w:rPr>
              <w:t>碳化硅单晶片直径</w:t>
            </w:r>
            <w:r>
              <w:rPr>
                <w:rFonts w:hint="eastAsia"/>
                <w:sz w:val="18"/>
                <w:szCs w:val="18"/>
                <w:lang w:val="en-US" w:eastAsia="zh-CN"/>
              </w:rPr>
              <w:t>/</w:t>
            </w:r>
            <w:r>
              <w:rPr>
                <w:rFonts w:hint="eastAsia"/>
                <w:sz w:val="18"/>
                <w:szCs w:val="18"/>
              </w:rPr>
              <w:t>mm</w:t>
            </w:r>
          </w:p>
        </w:tc>
        <w:tc>
          <w:tcPr>
            <w:tcW w:w="1828" w:type="pct"/>
            <w:gridSpan w:val="2"/>
            <w:tcBorders>
              <w:top w:val="single" w:color="auto" w:sz="8" w:space="0"/>
              <w:bottom w:val="single" w:color="auto" w:sz="8" w:space="0"/>
            </w:tcBorders>
            <w:vAlign w:val="center"/>
          </w:tcPr>
          <w:p>
            <w:pPr>
              <w:pStyle w:val="25"/>
              <w:ind w:firstLine="360"/>
              <w:jc w:val="center"/>
              <w:rPr>
                <w:rFonts w:hint="eastAsia" w:eastAsia="宋体"/>
                <w:sz w:val="18"/>
                <w:szCs w:val="18"/>
                <w:lang w:val="en-US" w:eastAsia="zh-CN"/>
              </w:rPr>
            </w:pPr>
            <w:r>
              <w:rPr>
                <w:rFonts w:hint="eastAsia"/>
                <w:sz w:val="18"/>
                <w:szCs w:val="18"/>
              </w:rPr>
              <w:t>测试点</w:t>
            </w:r>
            <w:r>
              <w:rPr>
                <w:rFonts w:hint="eastAsia"/>
                <w:sz w:val="18"/>
                <w:szCs w:val="18"/>
                <w:lang w:val="en-US" w:eastAsia="zh-CN"/>
              </w:rPr>
              <w:t>要求</w:t>
            </w:r>
          </w:p>
        </w:tc>
        <w:tc>
          <w:tcPr>
            <w:tcW w:w="781" w:type="pct"/>
            <w:tcBorders>
              <w:top w:val="single" w:color="auto" w:sz="8" w:space="0"/>
              <w:bottom w:val="single" w:color="auto" w:sz="8" w:space="0"/>
              <w:right w:val="single" w:color="auto" w:sz="8" w:space="0"/>
            </w:tcBorders>
            <w:vAlign w:val="center"/>
          </w:tcPr>
          <w:p>
            <w:pPr>
              <w:pStyle w:val="25"/>
              <w:ind w:firstLine="0" w:firstLineChars="0"/>
              <w:jc w:val="center"/>
              <w:rPr>
                <w:rFonts w:hint="default" w:hAnsi="宋体" w:eastAsia="宋体" w:cs="宋体"/>
                <w:szCs w:val="18"/>
                <w:lang w:val="en-US" w:eastAsia="zh-CN"/>
              </w:rPr>
            </w:pPr>
            <w:r>
              <w:rPr>
                <w:rFonts w:hint="eastAsia" w:hAnsi="Times New Roman" w:cs="Times New Roman"/>
                <w:sz w:val="18"/>
                <w:szCs w:val="18"/>
                <w:lang w:val="en-US" w:eastAsia="zh-CN"/>
              </w:rPr>
              <w:t>总计</w:t>
            </w:r>
          </w:p>
        </w:tc>
        <w:tc>
          <w:tcPr>
            <w:tcW w:w="1109" w:type="pct"/>
            <w:tcBorders>
              <w:top w:val="single" w:color="auto" w:sz="8" w:space="0"/>
              <w:bottom w:val="single" w:color="auto" w:sz="8" w:space="0"/>
              <w:right w:val="single" w:color="auto" w:sz="8" w:space="0"/>
            </w:tcBorders>
            <w:vAlign w:val="center"/>
          </w:tcPr>
          <w:p>
            <w:pPr>
              <w:pStyle w:val="25"/>
              <w:ind w:firstLine="0" w:firstLineChars="0"/>
              <w:jc w:val="center"/>
              <w:rPr>
                <w:rFonts w:hint="default" w:eastAsia="宋体"/>
                <w:sz w:val="18"/>
                <w:szCs w:val="18"/>
                <w:lang w:val="en-US" w:eastAsia="zh-CN"/>
              </w:rPr>
            </w:pPr>
            <w:r>
              <w:rPr>
                <w:rFonts w:hint="eastAsia"/>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279" w:type="pct"/>
            <w:vMerge w:val="restart"/>
            <w:tcBorders>
              <w:top w:val="single" w:color="auto" w:sz="8" w:space="0"/>
              <w:left w:val="single" w:color="auto" w:sz="8" w:space="0"/>
            </w:tcBorders>
            <w:vAlign w:val="center"/>
          </w:tcPr>
          <w:p>
            <w:pPr>
              <w:pStyle w:val="25"/>
              <w:ind w:firstLine="0" w:firstLineChars="0"/>
              <w:jc w:val="center"/>
              <w:rPr>
                <w:rFonts w:hAnsi="宋体" w:cs="宋体"/>
                <w:szCs w:val="18"/>
              </w:rPr>
            </w:pPr>
            <w:r>
              <w:rPr>
                <w:rFonts w:hint="eastAsia"/>
                <w:sz w:val="18"/>
                <w:szCs w:val="18"/>
              </w:rPr>
              <w:t>50.8</w:t>
            </w:r>
          </w:p>
        </w:tc>
        <w:tc>
          <w:tcPr>
            <w:tcW w:w="1021" w:type="pct"/>
            <w:tcBorders>
              <w:top w:val="single" w:color="auto" w:sz="8" w:space="0"/>
            </w:tcBorders>
            <w:vAlign w:val="center"/>
          </w:tcPr>
          <w:p>
            <w:pPr>
              <w:pStyle w:val="25"/>
              <w:ind w:firstLine="0" w:firstLineChars="0"/>
              <w:jc w:val="left"/>
              <w:rPr>
                <w:rFonts w:hAnsi="宋体" w:cs="宋体"/>
                <w:sz w:val="18"/>
                <w:szCs w:val="18"/>
              </w:rPr>
            </w:pPr>
            <w:r>
              <w:rPr>
                <w:rFonts w:hint="eastAsia"/>
                <w:sz w:val="18"/>
                <w:szCs w:val="18"/>
              </w:rPr>
              <w:t>中心点</w:t>
            </w:r>
          </w:p>
        </w:tc>
        <w:tc>
          <w:tcPr>
            <w:tcW w:w="807" w:type="pct"/>
            <w:tcBorders>
              <w:top w:val="single" w:color="auto" w:sz="8" w:space="0"/>
            </w:tcBorders>
            <w:vAlign w:val="center"/>
          </w:tcPr>
          <w:p>
            <w:pPr>
              <w:pStyle w:val="25"/>
              <w:ind w:firstLine="0" w:firstLineChars="0"/>
              <w:jc w:val="center"/>
              <w:rPr>
                <w:rFonts w:hint="eastAsia" w:hAnsi="宋体" w:eastAsia="宋体" w:cs="宋体"/>
                <w:sz w:val="18"/>
                <w:szCs w:val="18"/>
                <w:lang w:val="en-US" w:eastAsia="zh-CN"/>
              </w:rPr>
            </w:pPr>
            <w:r>
              <w:rPr>
                <w:rFonts w:hint="eastAsia" w:hAnsi="宋体" w:cs="宋体"/>
                <w:sz w:val="18"/>
                <w:szCs w:val="18"/>
                <w:lang w:val="en-US" w:eastAsia="zh-CN"/>
              </w:rPr>
              <w:t>1</w:t>
            </w:r>
          </w:p>
        </w:tc>
        <w:tc>
          <w:tcPr>
            <w:tcW w:w="781" w:type="pct"/>
            <w:vMerge w:val="restart"/>
            <w:tcBorders>
              <w:top w:val="single" w:color="auto" w:sz="8" w:space="0"/>
              <w:right w:val="single" w:color="auto" w:sz="8" w:space="0"/>
            </w:tcBorders>
            <w:vAlign w:val="center"/>
          </w:tcPr>
          <w:p>
            <w:pPr>
              <w:pStyle w:val="25"/>
              <w:ind w:firstLine="0" w:firstLineChars="0"/>
              <w:jc w:val="center"/>
              <w:rPr>
                <w:rFonts w:hint="eastAsia" w:hAnsi="宋体" w:eastAsia="宋体" w:cs="宋体"/>
                <w:sz w:val="18"/>
                <w:szCs w:val="18"/>
                <w:lang w:val="en-US" w:eastAsia="zh-CN"/>
              </w:rPr>
            </w:pPr>
            <w:r>
              <w:rPr>
                <w:rFonts w:hint="eastAsia" w:hAnsi="宋体" w:cs="宋体"/>
                <w:sz w:val="18"/>
                <w:szCs w:val="18"/>
                <w:lang w:val="en-US" w:eastAsia="zh-CN"/>
              </w:rPr>
              <w:t>5</w:t>
            </w:r>
          </w:p>
        </w:tc>
        <w:tc>
          <w:tcPr>
            <w:tcW w:w="1109" w:type="pct"/>
            <w:vMerge w:val="restart"/>
            <w:tcBorders>
              <w:top w:val="single" w:color="auto" w:sz="8" w:space="0"/>
              <w:right w:val="single" w:color="auto" w:sz="8" w:space="0"/>
            </w:tcBorders>
            <w:vAlign w:val="center"/>
          </w:tcPr>
          <w:p>
            <w:pPr>
              <w:pStyle w:val="25"/>
              <w:ind w:firstLine="0" w:firstLineChars="0"/>
              <w:jc w:val="left"/>
              <w:rPr>
                <w:rFonts w:hAnsi="宋体" w:cs="宋体"/>
                <w:sz w:val="18"/>
                <w:szCs w:val="18"/>
              </w:rPr>
            </w:pPr>
            <w:r>
              <w:rPr>
                <w:rFonts w:ascii="宋体" w:hAnsi="宋体" w:eastAsia="宋体" w:cs="宋体"/>
                <w:sz w:val="18"/>
                <w:szCs w:val="18"/>
                <w:u w:val="single"/>
              </w:rPr>
              <w:t>在选定圆周</w:t>
            </w:r>
            <w:r>
              <w:rPr>
                <w:rFonts w:hint="default" w:ascii="宋体" w:hAnsi="宋体" w:eastAsia="宋体" w:cs="宋体"/>
                <w:sz w:val="18"/>
                <w:szCs w:val="18"/>
                <w:u w:val="single"/>
              </w:rPr>
              <w:t>上均匀取点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279" w:type="pct"/>
            <w:vMerge w:val="continue"/>
            <w:tcBorders>
              <w:left w:val="single" w:color="auto" w:sz="8" w:space="0"/>
              <w:bottom w:val="single" w:color="auto" w:sz="4" w:space="0"/>
            </w:tcBorders>
            <w:vAlign w:val="center"/>
          </w:tcPr>
          <w:p>
            <w:pPr>
              <w:pStyle w:val="25"/>
              <w:ind w:firstLine="360"/>
              <w:jc w:val="center"/>
              <w:rPr>
                <w:szCs w:val="18"/>
              </w:rPr>
            </w:pPr>
          </w:p>
        </w:tc>
        <w:tc>
          <w:tcPr>
            <w:tcW w:w="1021" w:type="pct"/>
            <w:tcBorders>
              <w:top w:val="single" w:color="auto" w:sz="8" w:space="0"/>
            </w:tcBorders>
            <w:vAlign w:val="center"/>
          </w:tcPr>
          <w:p>
            <w:pPr>
              <w:pStyle w:val="25"/>
              <w:ind w:firstLine="0" w:firstLineChars="0"/>
              <w:jc w:val="left"/>
              <w:rPr>
                <w:szCs w:val="18"/>
              </w:rPr>
            </w:pPr>
            <w:r>
              <w:rPr>
                <w:rFonts w:hint="eastAsia"/>
                <w:sz w:val="18"/>
                <w:szCs w:val="18"/>
              </w:rPr>
              <w:t>半径10</w:t>
            </w:r>
            <w:r>
              <w:rPr>
                <w:sz w:val="18"/>
                <w:szCs w:val="18"/>
              </w:rPr>
              <w:t xml:space="preserve"> </w:t>
            </w:r>
            <w:r>
              <w:rPr>
                <w:rFonts w:hint="eastAsia"/>
                <w:sz w:val="18"/>
                <w:szCs w:val="18"/>
              </w:rPr>
              <w:t>mm圆周</w:t>
            </w:r>
          </w:p>
        </w:tc>
        <w:tc>
          <w:tcPr>
            <w:tcW w:w="807" w:type="pct"/>
            <w:tcBorders>
              <w:top w:val="single" w:color="auto" w:sz="8" w:space="0"/>
            </w:tcBorders>
            <w:vAlign w:val="center"/>
          </w:tcPr>
          <w:p>
            <w:pPr>
              <w:pStyle w:val="25"/>
              <w:ind w:firstLine="0" w:firstLineChars="0"/>
              <w:jc w:val="center"/>
              <w:rPr>
                <w:rFonts w:hint="eastAsia" w:hAnsi="宋体" w:eastAsia="宋体" w:cs="宋体"/>
                <w:sz w:val="18"/>
                <w:szCs w:val="18"/>
                <w:lang w:val="en-US" w:eastAsia="zh-CN"/>
              </w:rPr>
            </w:pPr>
            <w:r>
              <w:rPr>
                <w:rFonts w:hint="eastAsia" w:hAnsi="宋体" w:cs="宋体"/>
                <w:sz w:val="18"/>
                <w:szCs w:val="18"/>
                <w:lang w:val="en-US" w:eastAsia="zh-CN"/>
              </w:rPr>
              <w:t>4</w:t>
            </w:r>
          </w:p>
        </w:tc>
        <w:tc>
          <w:tcPr>
            <w:tcW w:w="781" w:type="pct"/>
            <w:vMerge w:val="continue"/>
            <w:tcBorders>
              <w:right w:val="single" w:color="auto" w:sz="8" w:space="0"/>
            </w:tcBorders>
            <w:vAlign w:val="center"/>
          </w:tcPr>
          <w:p>
            <w:pPr>
              <w:pStyle w:val="25"/>
              <w:ind w:firstLine="360"/>
              <w:jc w:val="center"/>
              <w:rPr>
                <w:rFonts w:hAnsi="宋体" w:cs="宋体"/>
                <w:sz w:val="18"/>
                <w:szCs w:val="18"/>
              </w:rPr>
            </w:pPr>
          </w:p>
        </w:tc>
        <w:tc>
          <w:tcPr>
            <w:tcW w:w="1109" w:type="pct"/>
            <w:vMerge w:val="continue"/>
            <w:tcBorders>
              <w:right w:val="single" w:color="auto" w:sz="8" w:space="0"/>
            </w:tcBorders>
            <w:vAlign w:val="center"/>
          </w:tcPr>
          <w:p>
            <w:pPr>
              <w:pStyle w:val="25"/>
              <w:ind w:firstLine="360"/>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9" w:type="pct"/>
            <w:vMerge w:val="restart"/>
            <w:tcBorders>
              <w:top w:val="single" w:color="auto" w:sz="4" w:space="0"/>
              <w:left w:val="single" w:color="auto" w:sz="8" w:space="0"/>
            </w:tcBorders>
            <w:vAlign w:val="center"/>
          </w:tcPr>
          <w:p>
            <w:pPr>
              <w:pStyle w:val="25"/>
              <w:ind w:firstLine="0" w:firstLineChars="0"/>
              <w:jc w:val="center"/>
              <w:rPr>
                <w:rFonts w:hAnsi="宋体" w:cs="宋体"/>
                <w:szCs w:val="18"/>
              </w:rPr>
            </w:pPr>
            <w:r>
              <w:rPr>
                <w:rFonts w:hint="eastAsia"/>
                <w:sz w:val="18"/>
                <w:szCs w:val="18"/>
              </w:rPr>
              <w:t>76.2</w:t>
            </w:r>
          </w:p>
        </w:tc>
        <w:tc>
          <w:tcPr>
            <w:tcW w:w="1021" w:type="pct"/>
            <w:vAlign w:val="center"/>
          </w:tcPr>
          <w:p>
            <w:pPr>
              <w:pStyle w:val="25"/>
              <w:ind w:firstLine="0" w:firstLineChars="0"/>
              <w:jc w:val="left"/>
              <w:rPr>
                <w:rFonts w:ascii="宋体" w:hAnsi="宋体" w:eastAsia="宋体" w:cs="宋体"/>
                <w:sz w:val="18"/>
                <w:szCs w:val="18"/>
                <w:lang w:val="en-US" w:eastAsia="zh-CN" w:bidi="ar-SA"/>
              </w:rPr>
            </w:pPr>
            <w:r>
              <w:rPr>
                <w:rFonts w:hint="eastAsia"/>
                <w:sz w:val="18"/>
                <w:szCs w:val="18"/>
              </w:rPr>
              <w:t>中心点</w:t>
            </w:r>
          </w:p>
        </w:tc>
        <w:tc>
          <w:tcPr>
            <w:tcW w:w="807" w:type="pct"/>
            <w:vAlign w:val="center"/>
          </w:tcPr>
          <w:p>
            <w:pPr>
              <w:pStyle w:val="25"/>
              <w:ind w:firstLine="0" w:firstLineChars="0"/>
              <w:jc w:val="center"/>
              <w:rPr>
                <w:rFonts w:hAnsi="宋体" w:cs="宋体"/>
                <w:sz w:val="18"/>
                <w:szCs w:val="18"/>
              </w:rPr>
            </w:pPr>
            <w:r>
              <w:rPr>
                <w:rFonts w:hint="eastAsia" w:hAnsi="宋体" w:cs="宋体"/>
                <w:sz w:val="18"/>
                <w:szCs w:val="18"/>
                <w:lang w:val="en-US" w:eastAsia="zh-CN"/>
              </w:rPr>
              <w:t>1</w:t>
            </w:r>
          </w:p>
        </w:tc>
        <w:tc>
          <w:tcPr>
            <w:tcW w:w="781" w:type="pct"/>
            <w:vMerge w:val="restart"/>
            <w:tcBorders>
              <w:right w:val="single" w:color="auto" w:sz="8" w:space="0"/>
            </w:tcBorders>
            <w:vAlign w:val="center"/>
          </w:tcPr>
          <w:p>
            <w:pPr>
              <w:pStyle w:val="25"/>
              <w:ind w:firstLine="0" w:firstLineChars="0"/>
              <w:jc w:val="center"/>
              <w:rPr>
                <w:rFonts w:hint="eastAsia" w:hAnsi="宋体" w:eastAsia="宋体" w:cs="宋体"/>
                <w:sz w:val="18"/>
                <w:szCs w:val="18"/>
                <w:lang w:val="en-US" w:eastAsia="zh-CN"/>
              </w:rPr>
            </w:pPr>
            <w:r>
              <w:rPr>
                <w:rFonts w:hint="eastAsia" w:hAnsi="宋体" w:cs="宋体"/>
                <w:sz w:val="18"/>
                <w:szCs w:val="18"/>
                <w:lang w:val="en-US" w:eastAsia="zh-CN"/>
              </w:rPr>
              <w:t>5</w:t>
            </w:r>
          </w:p>
        </w:tc>
        <w:tc>
          <w:tcPr>
            <w:tcW w:w="1109" w:type="pct"/>
            <w:vMerge w:val="continue"/>
            <w:tcBorders>
              <w:right w:val="single" w:color="auto" w:sz="8" w:space="0"/>
            </w:tcBorders>
            <w:vAlign w:val="center"/>
          </w:tcPr>
          <w:p>
            <w:pPr>
              <w:pStyle w:val="25"/>
              <w:ind w:firstLine="360"/>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9" w:type="pct"/>
            <w:vMerge w:val="continue"/>
            <w:tcBorders>
              <w:left w:val="single" w:color="auto" w:sz="8" w:space="0"/>
              <w:bottom w:val="single" w:color="auto" w:sz="4" w:space="0"/>
            </w:tcBorders>
            <w:vAlign w:val="center"/>
          </w:tcPr>
          <w:p>
            <w:pPr>
              <w:pStyle w:val="25"/>
              <w:ind w:firstLine="360"/>
              <w:jc w:val="center"/>
              <w:rPr>
                <w:szCs w:val="18"/>
              </w:rPr>
            </w:pPr>
          </w:p>
        </w:tc>
        <w:tc>
          <w:tcPr>
            <w:tcW w:w="1021" w:type="pct"/>
            <w:vAlign w:val="center"/>
          </w:tcPr>
          <w:p>
            <w:pPr>
              <w:pStyle w:val="25"/>
              <w:ind w:firstLine="0" w:firstLineChars="0"/>
              <w:jc w:val="left"/>
              <w:rPr>
                <w:rFonts w:ascii="宋体" w:hAnsi="Times New Roman" w:eastAsia="宋体" w:cs="Times New Roman"/>
                <w:sz w:val="21"/>
                <w:szCs w:val="18"/>
                <w:lang w:val="en-US" w:eastAsia="zh-CN" w:bidi="ar-SA"/>
              </w:rPr>
            </w:pPr>
            <w:r>
              <w:rPr>
                <w:rFonts w:hint="eastAsia"/>
                <w:sz w:val="18"/>
                <w:szCs w:val="18"/>
              </w:rPr>
              <w:t>半径</w:t>
            </w:r>
            <w:r>
              <w:rPr>
                <w:rFonts w:hint="eastAsia"/>
                <w:sz w:val="18"/>
                <w:szCs w:val="18"/>
                <w:lang w:val="en-US" w:eastAsia="zh-CN"/>
              </w:rPr>
              <w:t>2</w:t>
            </w:r>
            <w:r>
              <w:rPr>
                <w:rFonts w:hint="eastAsia"/>
                <w:sz w:val="18"/>
                <w:szCs w:val="18"/>
              </w:rPr>
              <w:t>0</w:t>
            </w:r>
            <w:r>
              <w:rPr>
                <w:sz w:val="18"/>
                <w:szCs w:val="18"/>
              </w:rPr>
              <w:t xml:space="preserve"> </w:t>
            </w:r>
            <w:r>
              <w:rPr>
                <w:rFonts w:hint="eastAsia"/>
                <w:sz w:val="18"/>
                <w:szCs w:val="18"/>
              </w:rPr>
              <w:t>mm圆周</w:t>
            </w:r>
          </w:p>
        </w:tc>
        <w:tc>
          <w:tcPr>
            <w:tcW w:w="807" w:type="pct"/>
            <w:vAlign w:val="center"/>
          </w:tcPr>
          <w:p>
            <w:pPr>
              <w:pStyle w:val="25"/>
              <w:ind w:firstLine="0" w:firstLineChars="0"/>
              <w:jc w:val="center"/>
              <w:rPr>
                <w:rFonts w:hAnsi="宋体" w:cs="宋体"/>
                <w:sz w:val="18"/>
                <w:szCs w:val="18"/>
              </w:rPr>
            </w:pPr>
            <w:r>
              <w:rPr>
                <w:rFonts w:hint="eastAsia" w:hAnsi="宋体" w:cs="宋体"/>
                <w:sz w:val="18"/>
                <w:szCs w:val="18"/>
                <w:lang w:val="en-US" w:eastAsia="zh-CN"/>
              </w:rPr>
              <w:t>4</w:t>
            </w:r>
          </w:p>
        </w:tc>
        <w:tc>
          <w:tcPr>
            <w:tcW w:w="781" w:type="pct"/>
            <w:vMerge w:val="continue"/>
            <w:tcBorders>
              <w:right w:val="single" w:color="auto" w:sz="8" w:space="0"/>
            </w:tcBorders>
            <w:vAlign w:val="center"/>
          </w:tcPr>
          <w:p>
            <w:pPr>
              <w:pStyle w:val="25"/>
              <w:ind w:firstLine="360"/>
              <w:jc w:val="center"/>
              <w:rPr>
                <w:rFonts w:hAnsi="宋体" w:cs="宋体"/>
                <w:sz w:val="18"/>
                <w:szCs w:val="18"/>
              </w:rPr>
            </w:pPr>
          </w:p>
        </w:tc>
        <w:tc>
          <w:tcPr>
            <w:tcW w:w="1109" w:type="pct"/>
            <w:vMerge w:val="continue"/>
            <w:tcBorders>
              <w:right w:val="single" w:color="auto" w:sz="8" w:space="0"/>
            </w:tcBorders>
            <w:vAlign w:val="center"/>
          </w:tcPr>
          <w:p>
            <w:pPr>
              <w:pStyle w:val="25"/>
              <w:ind w:firstLine="360"/>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9" w:type="pct"/>
            <w:vMerge w:val="restart"/>
            <w:tcBorders>
              <w:top w:val="single" w:color="auto" w:sz="4" w:space="0"/>
              <w:left w:val="single" w:color="auto" w:sz="8" w:space="0"/>
            </w:tcBorders>
            <w:vAlign w:val="center"/>
          </w:tcPr>
          <w:p>
            <w:pPr>
              <w:pStyle w:val="25"/>
              <w:ind w:firstLine="0" w:firstLineChars="0"/>
              <w:jc w:val="center"/>
              <w:rPr>
                <w:rFonts w:hAnsi="宋体" w:cs="宋体"/>
                <w:szCs w:val="18"/>
              </w:rPr>
            </w:pPr>
            <w:r>
              <w:rPr>
                <w:rFonts w:hint="eastAsia"/>
                <w:sz w:val="18"/>
                <w:szCs w:val="18"/>
              </w:rPr>
              <w:t>100.0</w:t>
            </w:r>
          </w:p>
        </w:tc>
        <w:tc>
          <w:tcPr>
            <w:tcW w:w="1021" w:type="pct"/>
            <w:vAlign w:val="center"/>
          </w:tcPr>
          <w:p>
            <w:pPr>
              <w:pStyle w:val="25"/>
              <w:ind w:firstLine="0" w:firstLineChars="0"/>
              <w:jc w:val="left"/>
              <w:rPr>
                <w:rFonts w:ascii="宋体" w:hAnsi="宋体" w:eastAsia="宋体" w:cs="宋体"/>
                <w:sz w:val="18"/>
                <w:szCs w:val="18"/>
                <w:lang w:val="en-US" w:eastAsia="zh-CN" w:bidi="ar-SA"/>
              </w:rPr>
            </w:pPr>
            <w:r>
              <w:rPr>
                <w:rFonts w:hint="eastAsia"/>
                <w:sz w:val="18"/>
                <w:szCs w:val="18"/>
              </w:rPr>
              <w:t>中心点</w:t>
            </w:r>
          </w:p>
        </w:tc>
        <w:tc>
          <w:tcPr>
            <w:tcW w:w="807" w:type="pct"/>
            <w:vAlign w:val="center"/>
          </w:tcPr>
          <w:p>
            <w:pPr>
              <w:pStyle w:val="25"/>
              <w:ind w:firstLine="0" w:firstLineChars="0"/>
              <w:jc w:val="center"/>
              <w:rPr>
                <w:rFonts w:ascii="宋体" w:hAnsi="宋体" w:eastAsia="宋体" w:cs="宋体"/>
                <w:sz w:val="18"/>
                <w:szCs w:val="18"/>
                <w:lang w:val="en-US" w:eastAsia="zh-CN" w:bidi="ar-SA"/>
              </w:rPr>
            </w:pPr>
            <w:r>
              <w:rPr>
                <w:rFonts w:hint="eastAsia" w:hAnsi="宋体" w:cs="宋体"/>
                <w:sz w:val="18"/>
                <w:szCs w:val="18"/>
                <w:lang w:val="en-US" w:eastAsia="zh-CN"/>
              </w:rPr>
              <w:t>1</w:t>
            </w:r>
          </w:p>
        </w:tc>
        <w:tc>
          <w:tcPr>
            <w:tcW w:w="781" w:type="pct"/>
            <w:vMerge w:val="restart"/>
            <w:tcBorders>
              <w:right w:val="single" w:color="auto" w:sz="8" w:space="0"/>
            </w:tcBorders>
            <w:vAlign w:val="center"/>
          </w:tcPr>
          <w:p>
            <w:pPr>
              <w:pStyle w:val="25"/>
              <w:ind w:firstLine="0" w:firstLineChars="0"/>
              <w:jc w:val="center"/>
              <w:rPr>
                <w:rFonts w:hint="eastAsia" w:hAnsi="宋体" w:eastAsia="宋体" w:cs="宋体"/>
                <w:sz w:val="18"/>
                <w:szCs w:val="18"/>
                <w:lang w:val="en-US" w:eastAsia="zh-CN"/>
              </w:rPr>
            </w:pPr>
            <w:r>
              <w:rPr>
                <w:rFonts w:hint="eastAsia" w:hAnsi="宋体" w:cs="宋体"/>
                <w:sz w:val="18"/>
                <w:szCs w:val="18"/>
                <w:lang w:val="en-US" w:eastAsia="zh-CN"/>
              </w:rPr>
              <w:t>5</w:t>
            </w:r>
          </w:p>
        </w:tc>
        <w:tc>
          <w:tcPr>
            <w:tcW w:w="1109" w:type="pct"/>
            <w:vMerge w:val="continue"/>
            <w:tcBorders>
              <w:right w:val="single" w:color="auto" w:sz="8" w:space="0"/>
            </w:tcBorders>
            <w:vAlign w:val="center"/>
          </w:tcPr>
          <w:p>
            <w:pPr>
              <w:pStyle w:val="25"/>
              <w:ind w:firstLine="360"/>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9" w:type="pct"/>
            <w:vMerge w:val="continue"/>
            <w:tcBorders>
              <w:left w:val="single" w:color="auto" w:sz="8" w:space="0"/>
              <w:bottom w:val="single" w:color="auto" w:sz="4" w:space="0"/>
            </w:tcBorders>
            <w:vAlign w:val="center"/>
          </w:tcPr>
          <w:p>
            <w:pPr>
              <w:pStyle w:val="25"/>
              <w:ind w:firstLine="360"/>
              <w:jc w:val="center"/>
              <w:rPr>
                <w:szCs w:val="18"/>
              </w:rPr>
            </w:pPr>
          </w:p>
        </w:tc>
        <w:tc>
          <w:tcPr>
            <w:tcW w:w="1021" w:type="pct"/>
            <w:vAlign w:val="center"/>
          </w:tcPr>
          <w:p>
            <w:pPr>
              <w:pStyle w:val="25"/>
              <w:ind w:firstLine="0" w:firstLineChars="0"/>
              <w:jc w:val="left"/>
              <w:rPr>
                <w:rFonts w:ascii="宋体" w:hAnsi="Times New Roman" w:eastAsia="宋体" w:cs="Times New Roman"/>
                <w:sz w:val="21"/>
                <w:szCs w:val="18"/>
                <w:lang w:val="en-US" w:eastAsia="zh-CN" w:bidi="ar-SA"/>
              </w:rPr>
            </w:pPr>
            <w:r>
              <w:rPr>
                <w:rFonts w:hint="eastAsia"/>
                <w:sz w:val="18"/>
                <w:szCs w:val="18"/>
              </w:rPr>
              <w:t>半径</w:t>
            </w:r>
            <w:r>
              <w:rPr>
                <w:rFonts w:hint="eastAsia"/>
                <w:sz w:val="18"/>
                <w:szCs w:val="18"/>
                <w:lang w:val="en-US" w:eastAsia="zh-CN"/>
              </w:rPr>
              <w:t>3</w:t>
            </w:r>
            <w:r>
              <w:rPr>
                <w:rFonts w:hint="eastAsia"/>
                <w:sz w:val="18"/>
                <w:szCs w:val="18"/>
              </w:rPr>
              <w:t>0</w:t>
            </w:r>
            <w:r>
              <w:rPr>
                <w:sz w:val="18"/>
                <w:szCs w:val="18"/>
              </w:rPr>
              <w:t xml:space="preserve"> </w:t>
            </w:r>
            <w:r>
              <w:rPr>
                <w:rFonts w:hint="eastAsia"/>
                <w:sz w:val="18"/>
                <w:szCs w:val="18"/>
              </w:rPr>
              <w:t>mm圆周</w:t>
            </w:r>
          </w:p>
        </w:tc>
        <w:tc>
          <w:tcPr>
            <w:tcW w:w="807" w:type="pct"/>
            <w:vAlign w:val="center"/>
          </w:tcPr>
          <w:p>
            <w:pPr>
              <w:pStyle w:val="25"/>
              <w:ind w:firstLine="0" w:firstLineChars="0"/>
              <w:jc w:val="center"/>
              <w:rPr>
                <w:rFonts w:ascii="宋体" w:hAnsi="宋体" w:eastAsia="宋体" w:cs="宋体"/>
                <w:sz w:val="18"/>
                <w:szCs w:val="18"/>
                <w:lang w:val="en-US" w:eastAsia="zh-CN" w:bidi="ar-SA"/>
              </w:rPr>
            </w:pPr>
            <w:r>
              <w:rPr>
                <w:rFonts w:hint="eastAsia" w:hAnsi="宋体" w:cs="宋体"/>
                <w:sz w:val="18"/>
                <w:szCs w:val="18"/>
                <w:lang w:val="en-US" w:eastAsia="zh-CN"/>
              </w:rPr>
              <w:t>4</w:t>
            </w:r>
          </w:p>
        </w:tc>
        <w:tc>
          <w:tcPr>
            <w:tcW w:w="781" w:type="pct"/>
            <w:vMerge w:val="continue"/>
            <w:tcBorders>
              <w:right w:val="single" w:color="auto" w:sz="8" w:space="0"/>
            </w:tcBorders>
            <w:vAlign w:val="center"/>
          </w:tcPr>
          <w:p>
            <w:pPr>
              <w:pStyle w:val="25"/>
              <w:ind w:firstLine="360"/>
              <w:jc w:val="center"/>
              <w:rPr>
                <w:rFonts w:hAnsi="宋体" w:cs="宋体"/>
                <w:sz w:val="18"/>
                <w:szCs w:val="18"/>
              </w:rPr>
            </w:pPr>
          </w:p>
        </w:tc>
        <w:tc>
          <w:tcPr>
            <w:tcW w:w="1109" w:type="pct"/>
            <w:vMerge w:val="continue"/>
            <w:tcBorders>
              <w:right w:val="single" w:color="auto" w:sz="8" w:space="0"/>
            </w:tcBorders>
            <w:vAlign w:val="center"/>
          </w:tcPr>
          <w:p>
            <w:pPr>
              <w:pStyle w:val="25"/>
              <w:ind w:firstLine="360"/>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279" w:type="pct"/>
            <w:vMerge w:val="restart"/>
            <w:tcBorders>
              <w:top w:val="single" w:color="auto" w:sz="4" w:space="0"/>
              <w:left w:val="single" w:color="auto" w:sz="8" w:space="0"/>
            </w:tcBorders>
            <w:vAlign w:val="center"/>
          </w:tcPr>
          <w:p>
            <w:pPr>
              <w:pStyle w:val="25"/>
              <w:ind w:firstLine="0" w:firstLineChars="0"/>
              <w:jc w:val="center"/>
              <w:rPr>
                <w:sz w:val="18"/>
                <w:szCs w:val="18"/>
              </w:rPr>
            </w:pPr>
            <w:r>
              <w:rPr>
                <w:rFonts w:hint="eastAsia"/>
                <w:sz w:val="18"/>
                <w:szCs w:val="18"/>
              </w:rPr>
              <w:t>150.0</w:t>
            </w:r>
          </w:p>
        </w:tc>
        <w:tc>
          <w:tcPr>
            <w:tcW w:w="1021" w:type="pct"/>
            <w:vAlign w:val="center"/>
          </w:tcPr>
          <w:p>
            <w:pPr>
              <w:pStyle w:val="25"/>
              <w:ind w:firstLine="0" w:firstLineChars="0"/>
              <w:jc w:val="left"/>
              <w:rPr>
                <w:rFonts w:ascii="宋体" w:hAnsi="宋体" w:eastAsia="宋体" w:cs="宋体"/>
                <w:sz w:val="18"/>
                <w:szCs w:val="18"/>
                <w:lang w:val="en-US" w:eastAsia="zh-CN" w:bidi="ar-SA"/>
              </w:rPr>
            </w:pPr>
            <w:r>
              <w:rPr>
                <w:rFonts w:hint="eastAsia"/>
                <w:sz w:val="18"/>
                <w:szCs w:val="18"/>
              </w:rPr>
              <w:t>中心点</w:t>
            </w:r>
          </w:p>
        </w:tc>
        <w:tc>
          <w:tcPr>
            <w:tcW w:w="807" w:type="pct"/>
            <w:vAlign w:val="center"/>
          </w:tcPr>
          <w:p>
            <w:pPr>
              <w:pStyle w:val="25"/>
              <w:ind w:firstLine="0" w:firstLineChars="0"/>
              <w:jc w:val="center"/>
              <w:rPr>
                <w:rFonts w:ascii="宋体" w:hAnsi="宋体" w:eastAsia="宋体" w:cs="宋体"/>
                <w:sz w:val="18"/>
                <w:szCs w:val="18"/>
                <w:lang w:val="en-US" w:eastAsia="zh-CN" w:bidi="ar-SA"/>
              </w:rPr>
            </w:pPr>
            <w:r>
              <w:rPr>
                <w:rFonts w:hint="eastAsia" w:hAnsi="宋体" w:cs="宋体"/>
                <w:sz w:val="18"/>
                <w:szCs w:val="18"/>
                <w:lang w:val="en-US" w:eastAsia="zh-CN"/>
              </w:rPr>
              <w:t>1</w:t>
            </w:r>
          </w:p>
        </w:tc>
        <w:tc>
          <w:tcPr>
            <w:tcW w:w="781" w:type="pct"/>
            <w:vMerge w:val="restart"/>
            <w:tcBorders>
              <w:right w:val="single" w:color="auto" w:sz="8" w:space="0"/>
            </w:tcBorders>
            <w:vAlign w:val="center"/>
          </w:tcPr>
          <w:p>
            <w:pPr>
              <w:pStyle w:val="25"/>
              <w:ind w:firstLine="0" w:firstLineChars="0"/>
              <w:jc w:val="center"/>
              <w:rPr>
                <w:rFonts w:hint="eastAsia" w:hAnsi="宋体" w:eastAsia="宋体" w:cs="宋体"/>
                <w:sz w:val="18"/>
                <w:szCs w:val="18"/>
                <w:lang w:val="en-US" w:eastAsia="zh-CN"/>
              </w:rPr>
            </w:pPr>
            <w:r>
              <w:rPr>
                <w:rFonts w:hint="eastAsia" w:hAnsi="宋体" w:cs="宋体"/>
                <w:sz w:val="18"/>
                <w:szCs w:val="18"/>
                <w:lang w:val="en-US" w:eastAsia="zh-CN"/>
              </w:rPr>
              <w:t>9</w:t>
            </w:r>
          </w:p>
        </w:tc>
        <w:tc>
          <w:tcPr>
            <w:tcW w:w="1109" w:type="pct"/>
            <w:vMerge w:val="continue"/>
            <w:tcBorders>
              <w:right w:val="single" w:color="auto" w:sz="8" w:space="0"/>
            </w:tcBorders>
            <w:vAlign w:val="center"/>
          </w:tcPr>
          <w:p>
            <w:pPr>
              <w:pStyle w:val="25"/>
              <w:ind w:firstLine="360"/>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279" w:type="pct"/>
            <w:vMerge w:val="continue"/>
            <w:tcBorders>
              <w:left w:val="single" w:color="auto" w:sz="8" w:space="0"/>
            </w:tcBorders>
            <w:vAlign w:val="center"/>
          </w:tcPr>
          <w:p>
            <w:pPr>
              <w:pStyle w:val="25"/>
              <w:ind w:firstLine="360"/>
              <w:jc w:val="center"/>
              <w:rPr>
                <w:szCs w:val="18"/>
              </w:rPr>
            </w:pPr>
          </w:p>
        </w:tc>
        <w:tc>
          <w:tcPr>
            <w:tcW w:w="1021" w:type="pct"/>
            <w:vAlign w:val="center"/>
          </w:tcPr>
          <w:p>
            <w:pPr>
              <w:pStyle w:val="25"/>
              <w:ind w:firstLine="0" w:firstLineChars="0"/>
              <w:jc w:val="left"/>
              <w:rPr>
                <w:rFonts w:ascii="宋体" w:hAnsi="Times New Roman" w:eastAsia="宋体" w:cs="Times New Roman"/>
                <w:sz w:val="21"/>
                <w:szCs w:val="18"/>
                <w:lang w:val="en-US" w:eastAsia="zh-CN" w:bidi="ar-SA"/>
              </w:rPr>
            </w:pPr>
            <w:r>
              <w:rPr>
                <w:rFonts w:hint="eastAsia"/>
                <w:sz w:val="18"/>
                <w:szCs w:val="18"/>
              </w:rPr>
              <w:t>半径</w:t>
            </w:r>
            <w:r>
              <w:rPr>
                <w:rFonts w:hint="eastAsia"/>
                <w:sz w:val="18"/>
                <w:szCs w:val="18"/>
                <w:lang w:val="en-US" w:eastAsia="zh-CN"/>
              </w:rPr>
              <w:t>2</w:t>
            </w:r>
            <w:r>
              <w:rPr>
                <w:rFonts w:hint="eastAsia"/>
                <w:sz w:val="18"/>
                <w:szCs w:val="18"/>
              </w:rPr>
              <w:t>0</w:t>
            </w:r>
            <w:r>
              <w:rPr>
                <w:sz w:val="18"/>
                <w:szCs w:val="18"/>
              </w:rPr>
              <w:t xml:space="preserve"> </w:t>
            </w:r>
            <w:r>
              <w:rPr>
                <w:rFonts w:hint="eastAsia"/>
                <w:sz w:val="18"/>
                <w:szCs w:val="18"/>
              </w:rPr>
              <w:t>mm圆周</w:t>
            </w:r>
          </w:p>
        </w:tc>
        <w:tc>
          <w:tcPr>
            <w:tcW w:w="807" w:type="pct"/>
            <w:vAlign w:val="center"/>
          </w:tcPr>
          <w:p>
            <w:pPr>
              <w:pStyle w:val="25"/>
              <w:ind w:firstLine="0" w:firstLineChars="0"/>
              <w:jc w:val="center"/>
              <w:rPr>
                <w:rFonts w:ascii="宋体" w:hAnsi="宋体" w:eastAsia="宋体" w:cs="宋体"/>
                <w:sz w:val="18"/>
                <w:szCs w:val="18"/>
                <w:lang w:val="en-US" w:eastAsia="zh-CN" w:bidi="ar-SA"/>
              </w:rPr>
            </w:pPr>
            <w:r>
              <w:rPr>
                <w:rFonts w:hint="eastAsia" w:hAnsi="宋体" w:cs="宋体"/>
                <w:sz w:val="18"/>
                <w:szCs w:val="18"/>
                <w:lang w:val="en-US" w:eastAsia="zh-CN"/>
              </w:rPr>
              <w:t>4</w:t>
            </w:r>
          </w:p>
        </w:tc>
        <w:tc>
          <w:tcPr>
            <w:tcW w:w="781" w:type="pct"/>
            <w:vMerge w:val="continue"/>
            <w:tcBorders>
              <w:right w:val="single" w:color="auto" w:sz="8" w:space="0"/>
            </w:tcBorders>
            <w:vAlign w:val="center"/>
          </w:tcPr>
          <w:p>
            <w:pPr>
              <w:pStyle w:val="25"/>
              <w:ind w:firstLine="360"/>
              <w:jc w:val="center"/>
              <w:rPr>
                <w:rFonts w:hAnsi="宋体" w:cs="宋体"/>
                <w:sz w:val="18"/>
                <w:szCs w:val="18"/>
              </w:rPr>
            </w:pPr>
          </w:p>
        </w:tc>
        <w:tc>
          <w:tcPr>
            <w:tcW w:w="1109" w:type="pct"/>
            <w:vMerge w:val="continue"/>
            <w:tcBorders>
              <w:right w:val="single" w:color="auto" w:sz="8" w:space="0"/>
            </w:tcBorders>
            <w:vAlign w:val="center"/>
          </w:tcPr>
          <w:p>
            <w:pPr>
              <w:pStyle w:val="25"/>
              <w:ind w:firstLine="360"/>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279" w:type="pct"/>
            <w:vMerge w:val="continue"/>
            <w:tcBorders>
              <w:left w:val="single" w:color="auto" w:sz="8" w:space="0"/>
              <w:bottom w:val="single" w:color="auto" w:sz="4" w:space="0"/>
            </w:tcBorders>
            <w:vAlign w:val="center"/>
          </w:tcPr>
          <w:p>
            <w:pPr>
              <w:pStyle w:val="25"/>
              <w:ind w:firstLine="360"/>
              <w:jc w:val="center"/>
              <w:rPr>
                <w:rFonts w:hAnsi="宋体" w:cs="宋体"/>
                <w:sz w:val="18"/>
                <w:szCs w:val="18"/>
              </w:rPr>
            </w:pPr>
          </w:p>
        </w:tc>
        <w:tc>
          <w:tcPr>
            <w:tcW w:w="1021" w:type="pct"/>
            <w:vAlign w:val="center"/>
          </w:tcPr>
          <w:p>
            <w:pPr>
              <w:pStyle w:val="25"/>
              <w:ind w:firstLine="0" w:firstLineChars="0"/>
              <w:jc w:val="left"/>
              <w:rPr>
                <w:rFonts w:hAnsi="宋体" w:cs="宋体"/>
                <w:sz w:val="18"/>
                <w:szCs w:val="18"/>
              </w:rPr>
            </w:pPr>
            <w:r>
              <w:rPr>
                <w:rFonts w:hint="eastAsia"/>
                <w:sz w:val="18"/>
                <w:szCs w:val="18"/>
              </w:rPr>
              <w:t>半径</w:t>
            </w:r>
            <w:r>
              <w:rPr>
                <w:rFonts w:hint="eastAsia"/>
                <w:sz w:val="18"/>
                <w:szCs w:val="18"/>
                <w:lang w:val="en-US" w:eastAsia="zh-CN"/>
              </w:rPr>
              <w:t>6</w:t>
            </w:r>
            <w:r>
              <w:rPr>
                <w:rFonts w:hint="eastAsia"/>
                <w:sz w:val="18"/>
                <w:szCs w:val="18"/>
              </w:rPr>
              <w:t>0</w:t>
            </w:r>
            <w:r>
              <w:rPr>
                <w:sz w:val="18"/>
                <w:szCs w:val="18"/>
              </w:rPr>
              <w:t xml:space="preserve"> </w:t>
            </w:r>
            <w:r>
              <w:rPr>
                <w:rFonts w:hint="eastAsia"/>
                <w:sz w:val="18"/>
                <w:szCs w:val="18"/>
              </w:rPr>
              <w:t>mm圆周</w:t>
            </w:r>
          </w:p>
        </w:tc>
        <w:tc>
          <w:tcPr>
            <w:tcW w:w="807" w:type="pct"/>
            <w:vAlign w:val="center"/>
          </w:tcPr>
          <w:p>
            <w:pPr>
              <w:pStyle w:val="25"/>
              <w:ind w:firstLine="0" w:firstLineChars="0"/>
              <w:jc w:val="center"/>
              <w:rPr>
                <w:rFonts w:hint="eastAsia" w:hAnsi="宋体" w:eastAsia="宋体" w:cs="宋体"/>
                <w:sz w:val="18"/>
                <w:szCs w:val="18"/>
                <w:lang w:val="en-US" w:eastAsia="zh-CN"/>
              </w:rPr>
            </w:pPr>
            <w:r>
              <w:rPr>
                <w:rFonts w:hint="eastAsia" w:hAnsi="宋体" w:cs="宋体"/>
                <w:sz w:val="18"/>
                <w:szCs w:val="18"/>
                <w:lang w:val="en-US" w:eastAsia="zh-CN"/>
              </w:rPr>
              <w:t>4</w:t>
            </w:r>
          </w:p>
        </w:tc>
        <w:tc>
          <w:tcPr>
            <w:tcW w:w="781" w:type="pct"/>
            <w:vMerge w:val="continue"/>
            <w:tcBorders>
              <w:right w:val="single" w:color="auto" w:sz="8" w:space="0"/>
            </w:tcBorders>
            <w:vAlign w:val="center"/>
          </w:tcPr>
          <w:p>
            <w:pPr>
              <w:pStyle w:val="25"/>
              <w:ind w:firstLine="360"/>
              <w:jc w:val="center"/>
              <w:rPr>
                <w:rFonts w:hAnsi="宋体" w:cs="宋体"/>
                <w:sz w:val="18"/>
                <w:szCs w:val="18"/>
              </w:rPr>
            </w:pPr>
          </w:p>
        </w:tc>
        <w:tc>
          <w:tcPr>
            <w:tcW w:w="1109" w:type="pct"/>
            <w:vMerge w:val="continue"/>
            <w:tcBorders>
              <w:right w:val="single" w:color="auto" w:sz="8" w:space="0"/>
            </w:tcBorders>
            <w:vAlign w:val="center"/>
          </w:tcPr>
          <w:p>
            <w:pPr>
              <w:pStyle w:val="25"/>
              <w:ind w:firstLine="360"/>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9" w:type="pct"/>
            <w:vMerge w:val="restart"/>
            <w:tcBorders>
              <w:top w:val="single" w:color="auto" w:sz="4" w:space="0"/>
              <w:left w:val="single" w:color="auto" w:sz="8" w:space="0"/>
            </w:tcBorders>
            <w:vAlign w:val="center"/>
          </w:tcPr>
          <w:p>
            <w:pPr>
              <w:pStyle w:val="25"/>
              <w:ind w:firstLine="0" w:firstLineChars="0"/>
              <w:jc w:val="center"/>
              <w:rPr>
                <w:sz w:val="18"/>
                <w:szCs w:val="18"/>
              </w:rPr>
            </w:pPr>
            <w:r>
              <w:rPr>
                <w:rFonts w:hint="eastAsia"/>
                <w:sz w:val="18"/>
                <w:szCs w:val="18"/>
              </w:rPr>
              <w:t>200.0</w:t>
            </w:r>
          </w:p>
        </w:tc>
        <w:tc>
          <w:tcPr>
            <w:tcW w:w="1021" w:type="pct"/>
            <w:tcBorders>
              <w:bottom w:val="single" w:color="auto" w:sz="8" w:space="0"/>
            </w:tcBorders>
            <w:vAlign w:val="center"/>
          </w:tcPr>
          <w:p>
            <w:pPr>
              <w:pStyle w:val="25"/>
              <w:ind w:firstLine="0" w:firstLineChars="0"/>
              <w:jc w:val="left"/>
              <w:rPr>
                <w:rFonts w:ascii="宋体" w:hAnsi="宋体" w:eastAsia="宋体" w:cs="宋体"/>
                <w:sz w:val="18"/>
                <w:szCs w:val="18"/>
                <w:lang w:val="en-US" w:eastAsia="zh-CN" w:bidi="ar-SA"/>
              </w:rPr>
            </w:pPr>
            <w:r>
              <w:rPr>
                <w:rFonts w:hint="eastAsia"/>
                <w:sz w:val="18"/>
                <w:szCs w:val="18"/>
              </w:rPr>
              <w:t>中心点</w:t>
            </w:r>
          </w:p>
        </w:tc>
        <w:tc>
          <w:tcPr>
            <w:tcW w:w="807" w:type="pct"/>
            <w:tcBorders>
              <w:bottom w:val="single" w:color="auto" w:sz="8" w:space="0"/>
            </w:tcBorders>
            <w:vAlign w:val="center"/>
          </w:tcPr>
          <w:p>
            <w:pPr>
              <w:pStyle w:val="25"/>
              <w:ind w:firstLine="0" w:firstLineChars="0"/>
              <w:jc w:val="center"/>
              <w:rPr>
                <w:rFonts w:ascii="宋体" w:hAnsi="宋体" w:eastAsia="宋体" w:cs="宋体"/>
                <w:sz w:val="18"/>
                <w:szCs w:val="18"/>
                <w:lang w:val="en-US" w:eastAsia="zh-CN" w:bidi="ar-SA"/>
              </w:rPr>
            </w:pPr>
            <w:r>
              <w:rPr>
                <w:rFonts w:hint="eastAsia" w:hAnsi="宋体" w:cs="宋体"/>
                <w:sz w:val="18"/>
                <w:szCs w:val="18"/>
                <w:lang w:val="en-US" w:eastAsia="zh-CN"/>
              </w:rPr>
              <w:t>1</w:t>
            </w:r>
          </w:p>
        </w:tc>
        <w:tc>
          <w:tcPr>
            <w:tcW w:w="781" w:type="pct"/>
            <w:vMerge w:val="restart"/>
            <w:tcBorders>
              <w:right w:val="single" w:color="auto" w:sz="8" w:space="0"/>
            </w:tcBorders>
            <w:vAlign w:val="center"/>
          </w:tcPr>
          <w:p>
            <w:pPr>
              <w:pStyle w:val="25"/>
              <w:ind w:firstLine="0" w:firstLineChars="0"/>
              <w:jc w:val="center"/>
              <w:rPr>
                <w:rFonts w:hint="default" w:hAnsi="宋体" w:eastAsia="宋体" w:cs="宋体"/>
                <w:sz w:val="18"/>
                <w:szCs w:val="18"/>
                <w:lang w:val="en-US" w:eastAsia="zh-CN"/>
              </w:rPr>
            </w:pPr>
            <w:r>
              <w:rPr>
                <w:rFonts w:hint="eastAsia" w:hAnsi="宋体" w:cs="宋体"/>
                <w:sz w:val="18"/>
                <w:szCs w:val="18"/>
                <w:lang w:val="en-US" w:eastAsia="zh-CN"/>
              </w:rPr>
              <w:t>13</w:t>
            </w:r>
          </w:p>
        </w:tc>
        <w:tc>
          <w:tcPr>
            <w:tcW w:w="1109" w:type="pct"/>
            <w:vMerge w:val="continue"/>
            <w:tcBorders>
              <w:right w:val="single" w:color="auto" w:sz="8" w:space="0"/>
            </w:tcBorders>
            <w:vAlign w:val="center"/>
          </w:tcPr>
          <w:p>
            <w:pPr>
              <w:pStyle w:val="25"/>
              <w:ind w:firstLine="360"/>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9" w:type="pct"/>
            <w:vMerge w:val="continue"/>
            <w:tcBorders>
              <w:left w:val="single" w:color="auto" w:sz="8" w:space="0"/>
            </w:tcBorders>
            <w:vAlign w:val="center"/>
          </w:tcPr>
          <w:p>
            <w:pPr>
              <w:pStyle w:val="25"/>
              <w:ind w:firstLine="360"/>
              <w:jc w:val="center"/>
              <w:rPr>
                <w:szCs w:val="18"/>
              </w:rPr>
            </w:pPr>
          </w:p>
        </w:tc>
        <w:tc>
          <w:tcPr>
            <w:tcW w:w="1021" w:type="pct"/>
            <w:tcBorders>
              <w:bottom w:val="single" w:color="auto" w:sz="8" w:space="0"/>
            </w:tcBorders>
            <w:vAlign w:val="center"/>
          </w:tcPr>
          <w:p>
            <w:pPr>
              <w:pStyle w:val="25"/>
              <w:ind w:firstLine="0" w:firstLineChars="0"/>
              <w:jc w:val="left"/>
              <w:rPr>
                <w:rFonts w:ascii="宋体" w:hAnsi="Times New Roman" w:eastAsia="宋体" w:cs="Times New Roman"/>
                <w:sz w:val="21"/>
                <w:szCs w:val="18"/>
                <w:lang w:val="en-US" w:eastAsia="zh-CN" w:bidi="ar-SA"/>
              </w:rPr>
            </w:pPr>
            <w:r>
              <w:rPr>
                <w:rFonts w:hint="eastAsia"/>
                <w:sz w:val="18"/>
                <w:szCs w:val="18"/>
              </w:rPr>
              <w:t>半径</w:t>
            </w:r>
            <w:r>
              <w:rPr>
                <w:rFonts w:hint="eastAsia"/>
                <w:sz w:val="18"/>
                <w:szCs w:val="18"/>
                <w:lang w:val="en-US" w:eastAsia="zh-CN"/>
              </w:rPr>
              <w:t>2</w:t>
            </w:r>
            <w:r>
              <w:rPr>
                <w:rFonts w:hint="eastAsia"/>
                <w:sz w:val="18"/>
                <w:szCs w:val="18"/>
              </w:rPr>
              <w:t>0</w:t>
            </w:r>
            <w:r>
              <w:rPr>
                <w:sz w:val="18"/>
                <w:szCs w:val="18"/>
              </w:rPr>
              <w:t xml:space="preserve"> </w:t>
            </w:r>
            <w:r>
              <w:rPr>
                <w:rFonts w:hint="eastAsia"/>
                <w:sz w:val="18"/>
                <w:szCs w:val="18"/>
              </w:rPr>
              <w:t>mm圆周</w:t>
            </w:r>
          </w:p>
        </w:tc>
        <w:tc>
          <w:tcPr>
            <w:tcW w:w="807" w:type="pct"/>
            <w:tcBorders>
              <w:bottom w:val="single" w:color="auto" w:sz="8" w:space="0"/>
            </w:tcBorders>
            <w:vAlign w:val="center"/>
          </w:tcPr>
          <w:p>
            <w:pPr>
              <w:pStyle w:val="25"/>
              <w:ind w:firstLine="0" w:firstLineChars="0"/>
              <w:jc w:val="center"/>
              <w:rPr>
                <w:rFonts w:ascii="宋体" w:hAnsi="宋体" w:eastAsia="宋体" w:cs="宋体"/>
                <w:sz w:val="18"/>
                <w:szCs w:val="18"/>
                <w:lang w:val="en-US" w:eastAsia="zh-CN" w:bidi="ar-SA"/>
              </w:rPr>
            </w:pPr>
            <w:r>
              <w:rPr>
                <w:rFonts w:hint="eastAsia" w:hAnsi="宋体" w:cs="宋体"/>
                <w:sz w:val="18"/>
                <w:szCs w:val="18"/>
                <w:lang w:val="en-US" w:eastAsia="zh-CN"/>
              </w:rPr>
              <w:t>4</w:t>
            </w:r>
          </w:p>
        </w:tc>
        <w:tc>
          <w:tcPr>
            <w:tcW w:w="781" w:type="pct"/>
            <w:vMerge w:val="continue"/>
            <w:tcBorders>
              <w:right w:val="single" w:color="auto" w:sz="8" w:space="0"/>
            </w:tcBorders>
            <w:vAlign w:val="center"/>
          </w:tcPr>
          <w:p>
            <w:pPr>
              <w:pStyle w:val="25"/>
              <w:ind w:firstLine="360"/>
              <w:jc w:val="center"/>
              <w:rPr>
                <w:rFonts w:hAnsi="宋体" w:cs="宋体"/>
                <w:sz w:val="18"/>
                <w:szCs w:val="18"/>
              </w:rPr>
            </w:pPr>
          </w:p>
        </w:tc>
        <w:tc>
          <w:tcPr>
            <w:tcW w:w="1109" w:type="pct"/>
            <w:vMerge w:val="continue"/>
            <w:tcBorders>
              <w:right w:val="single" w:color="auto" w:sz="8" w:space="0"/>
            </w:tcBorders>
            <w:vAlign w:val="center"/>
          </w:tcPr>
          <w:p>
            <w:pPr>
              <w:pStyle w:val="25"/>
              <w:ind w:firstLine="360"/>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279" w:type="pct"/>
            <w:vMerge w:val="continue"/>
            <w:tcBorders>
              <w:left w:val="single" w:color="auto" w:sz="8" w:space="0"/>
            </w:tcBorders>
            <w:vAlign w:val="center"/>
          </w:tcPr>
          <w:p>
            <w:pPr>
              <w:pStyle w:val="25"/>
              <w:ind w:firstLine="360"/>
              <w:jc w:val="center"/>
              <w:rPr>
                <w:szCs w:val="18"/>
              </w:rPr>
            </w:pPr>
          </w:p>
        </w:tc>
        <w:tc>
          <w:tcPr>
            <w:tcW w:w="1021" w:type="pct"/>
            <w:tcBorders>
              <w:bottom w:val="single" w:color="auto" w:sz="8" w:space="0"/>
            </w:tcBorders>
            <w:vAlign w:val="center"/>
          </w:tcPr>
          <w:p>
            <w:pPr>
              <w:pStyle w:val="25"/>
              <w:ind w:firstLine="0" w:firstLineChars="0"/>
              <w:jc w:val="left"/>
              <w:rPr>
                <w:rFonts w:ascii="宋体" w:hAnsi="宋体" w:eastAsia="宋体" w:cs="宋体"/>
                <w:sz w:val="18"/>
                <w:szCs w:val="18"/>
                <w:lang w:val="en-US" w:eastAsia="zh-CN" w:bidi="ar-SA"/>
              </w:rPr>
            </w:pPr>
            <w:r>
              <w:rPr>
                <w:rFonts w:hint="eastAsia"/>
                <w:sz w:val="18"/>
                <w:szCs w:val="18"/>
              </w:rPr>
              <w:t>半径</w:t>
            </w:r>
            <w:r>
              <w:rPr>
                <w:rFonts w:hint="eastAsia"/>
                <w:sz w:val="18"/>
                <w:szCs w:val="18"/>
                <w:lang w:val="en-US" w:eastAsia="zh-CN"/>
              </w:rPr>
              <w:t>4</w:t>
            </w:r>
            <w:r>
              <w:rPr>
                <w:rFonts w:hint="eastAsia"/>
                <w:sz w:val="18"/>
                <w:szCs w:val="18"/>
              </w:rPr>
              <w:t>0</w:t>
            </w:r>
            <w:r>
              <w:rPr>
                <w:sz w:val="18"/>
                <w:szCs w:val="18"/>
              </w:rPr>
              <w:t xml:space="preserve"> </w:t>
            </w:r>
            <w:r>
              <w:rPr>
                <w:rFonts w:hint="eastAsia"/>
                <w:sz w:val="18"/>
                <w:szCs w:val="18"/>
              </w:rPr>
              <w:t>mm圆周</w:t>
            </w:r>
          </w:p>
        </w:tc>
        <w:tc>
          <w:tcPr>
            <w:tcW w:w="807" w:type="pct"/>
            <w:tcBorders>
              <w:bottom w:val="single" w:color="auto" w:sz="8" w:space="0"/>
            </w:tcBorders>
            <w:vAlign w:val="center"/>
          </w:tcPr>
          <w:p>
            <w:pPr>
              <w:pStyle w:val="25"/>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lang w:val="en-US" w:eastAsia="zh-CN"/>
              </w:rPr>
              <w:t>4</w:t>
            </w:r>
          </w:p>
        </w:tc>
        <w:tc>
          <w:tcPr>
            <w:tcW w:w="781" w:type="pct"/>
            <w:vMerge w:val="continue"/>
            <w:tcBorders>
              <w:right w:val="single" w:color="auto" w:sz="8" w:space="0"/>
            </w:tcBorders>
            <w:vAlign w:val="center"/>
          </w:tcPr>
          <w:p>
            <w:pPr>
              <w:pStyle w:val="25"/>
              <w:ind w:firstLine="360"/>
              <w:jc w:val="center"/>
              <w:rPr>
                <w:rFonts w:hAnsi="宋体" w:cs="宋体"/>
                <w:sz w:val="18"/>
                <w:szCs w:val="18"/>
              </w:rPr>
            </w:pPr>
          </w:p>
        </w:tc>
        <w:tc>
          <w:tcPr>
            <w:tcW w:w="1109" w:type="pct"/>
            <w:vMerge w:val="continue"/>
            <w:tcBorders>
              <w:right w:val="single" w:color="auto" w:sz="8" w:space="0"/>
            </w:tcBorders>
            <w:vAlign w:val="center"/>
          </w:tcPr>
          <w:p>
            <w:pPr>
              <w:pStyle w:val="25"/>
              <w:ind w:firstLine="360"/>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279" w:type="pct"/>
            <w:vMerge w:val="continue"/>
            <w:tcBorders>
              <w:left w:val="single" w:color="auto" w:sz="8" w:space="0"/>
              <w:bottom w:val="single" w:color="auto" w:sz="8" w:space="0"/>
            </w:tcBorders>
            <w:vAlign w:val="center"/>
          </w:tcPr>
          <w:p>
            <w:pPr>
              <w:pStyle w:val="25"/>
              <w:ind w:firstLine="360"/>
              <w:jc w:val="center"/>
              <w:rPr>
                <w:rFonts w:hAnsi="宋体" w:cs="宋体"/>
                <w:sz w:val="18"/>
                <w:szCs w:val="18"/>
              </w:rPr>
            </w:pPr>
          </w:p>
        </w:tc>
        <w:tc>
          <w:tcPr>
            <w:tcW w:w="1021" w:type="pct"/>
            <w:tcBorders>
              <w:bottom w:val="single" w:color="auto" w:sz="8" w:space="0"/>
            </w:tcBorders>
            <w:vAlign w:val="center"/>
          </w:tcPr>
          <w:p>
            <w:pPr>
              <w:pStyle w:val="25"/>
              <w:ind w:firstLine="0" w:firstLineChars="0"/>
              <w:jc w:val="left"/>
              <w:rPr>
                <w:rFonts w:hAnsi="宋体" w:cs="宋体"/>
                <w:sz w:val="18"/>
                <w:szCs w:val="18"/>
              </w:rPr>
            </w:pPr>
            <w:r>
              <w:rPr>
                <w:rFonts w:hint="eastAsia"/>
                <w:sz w:val="18"/>
                <w:szCs w:val="18"/>
              </w:rPr>
              <w:t>半径</w:t>
            </w:r>
            <w:r>
              <w:rPr>
                <w:rFonts w:hint="eastAsia"/>
                <w:sz w:val="18"/>
                <w:szCs w:val="18"/>
                <w:lang w:val="en-US" w:eastAsia="zh-CN"/>
              </w:rPr>
              <w:t>8</w:t>
            </w:r>
            <w:r>
              <w:rPr>
                <w:rFonts w:hint="eastAsia"/>
                <w:sz w:val="18"/>
                <w:szCs w:val="18"/>
              </w:rPr>
              <w:t>0</w:t>
            </w:r>
            <w:r>
              <w:rPr>
                <w:sz w:val="18"/>
                <w:szCs w:val="18"/>
              </w:rPr>
              <w:t xml:space="preserve"> </w:t>
            </w:r>
            <w:r>
              <w:rPr>
                <w:rFonts w:hint="eastAsia"/>
                <w:sz w:val="18"/>
                <w:szCs w:val="18"/>
              </w:rPr>
              <w:t>mm圆周</w:t>
            </w:r>
          </w:p>
        </w:tc>
        <w:tc>
          <w:tcPr>
            <w:tcW w:w="807" w:type="pct"/>
            <w:tcBorders>
              <w:bottom w:val="single" w:color="auto" w:sz="8" w:space="0"/>
            </w:tcBorders>
            <w:vAlign w:val="center"/>
          </w:tcPr>
          <w:p>
            <w:pPr>
              <w:pStyle w:val="25"/>
              <w:ind w:firstLine="0" w:firstLineChars="0"/>
              <w:jc w:val="center"/>
              <w:rPr>
                <w:rFonts w:hint="eastAsia" w:hAnsi="宋体" w:eastAsia="宋体" w:cs="宋体"/>
                <w:sz w:val="18"/>
                <w:szCs w:val="18"/>
                <w:lang w:val="en-US" w:eastAsia="zh-CN"/>
              </w:rPr>
            </w:pPr>
            <w:r>
              <w:rPr>
                <w:rFonts w:hint="eastAsia" w:hAnsi="宋体" w:cs="宋体"/>
                <w:sz w:val="18"/>
                <w:szCs w:val="18"/>
                <w:lang w:val="en-US" w:eastAsia="zh-CN"/>
              </w:rPr>
              <w:t>4</w:t>
            </w:r>
          </w:p>
        </w:tc>
        <w:tc>
          <w:tcPr>
            <w:tcW w:w="781" w:type="pct"/>
            <w:vMerge w:val="continue"/>
            <w:tcBorders>
              <w:bottom w:val="single" w:color="auto" w:sz="8" w:space="0"/>
              <w:right w:val="single" w:color="auto" w:sz="8" w:space="0"/>
            </w:tcBorders>
            <w:vAlign w:val="center"/>
          </w:tcPr>
          <w:p>
            <w:pPr>
              <w:pStyle w:val="25"/>
              <w:ind w:firstLine="360"/>
              <w:jc w:val="center"/>
              <w:rPr>
                <w:rFonts w:hAnsi="宋体" w:cs="宋体"/>
                <w:sz w:val="18"/>
                <w:szCs w:val="18"/>
              </w:rPr>
            </w:pPr>
          </w:p>
        </w:tc>
        <w:tc>
          <w:tcPr>
            <w:tcW w:w="1109" w:type="pct"/>
            <w:vMerge w:val="continue"/>
            <w:tcBorders>
              <w:bottom w:val="single" w:color="auto" w:sz="8" w:space="0"/>
              <w:right w:val="single" w:color="auto" w:sz="8" w:space="0"/>
            </w:tcBorders>
            <w:vAlign w:val="center"/>
          </w:tcPr>
          <w:p>
            <w:pPr>
              <w:pStyle w:val="25"/>
              <w:ind w:firstLine="360"/>
              <w:jc w:val="center"/>
              <w:rPr>
                <w:rFonts w:hAnsi="宋体" w:cs="宋体"/>
                <w:sz w:val="18"/>
                <w:szCs w:val="18"/>
              </w:rPr>
            </w:pPr>
          </w:p>
        </w:tc>
      </w:tr>
    </w:tbl>
    <w:p>
      <w:pPr>
        <w:pStyle w:val="46"/>
        <w:numPr>
          <w:ilvl w:val="-1"/>
          <w:numId w:val="0"/>
        </w:numPr>
        <w:spacing w:before="312" w:beforeLines="50" w:after="157" w:afterLines="50"/>
        <w:ind w:left="-424" w:leftChars="-202" w:firstLine="0" w:firstLineChars="0"/>
      </w:pPr>
    </w:p>
    <w:p>
      <w:pPr>
        <w:pStyle w:val="131"/>
        <w:numPr>
          <w:ilvl w:val="-1"/>
          <w:numId w:val="0"/>
        </w:numPr>
        <w:spacing w:before="156" w:after="0" w:afterLines="0"/>
        <w:jc w:val="both"/>
        <w:rPr>
          <w:rFonts w:hint="eastAsia" w:eastAsia="黑体"/>
          <w:lang w:eastAsia="zh-CN"/>
        </w:rPr>
      </w:pPr>
      <w:r>
        <mc:AlternateContent>
          <mc:Choice Requires="wps">
            <w:drawing>
              <wp:anchor distT="0" distB="0" distL="114300" distR="114300" simplePos="0" relativeHeight="251668480" behindDoc="0" locked="0" layoutInCell="1" allowOverlap="1">
                <wp:simplePos x="0" y="0"/>
                <wp:positionH relativeFrom="column">
                  <wp:posOffset>-87630</wp:posOffset>
                </wp:positionH>
                <wp:positionV relativeFrom="paragraph">
                  <wp:posOffset>3364230</wp:posOffset>
                </wp:positionV>
                <wp:extent cx="470535" cy="28829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150mm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264.9pt;height:22.7pt;width:37.05pt;z-index:251668480;mso-width-relative:page;mso-height-relative:page;" filled="f" stroked="f" coordsize="21600,21600" o:gfxdata="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8PkI12wAAAAoBAAAPAAAAAAAAAAEAIAAAACIA&#10;AABkcnMvZG93bnJldi54bWxQSwECFAAUAAAACACHTuJAKQgQ0T8CAABnBAAADgAAAAAAAAABACAA&#10;AAAqAQAAZHJzL2Uyb0RvYy54bWxQSwUGAAAAAAYABgBZAQAA2wU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150mm</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-87630</wp:posOffset>
                </wp:positionH>
                <wp:positionV relativeFrom="paragraph">
                  <wp:posOffset>2659380</wp:posOffset>
                </wp:positionV>
                <wp:extent cx="470535" cy="28829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lang w:val="en-US" w:eastAsia="zh-CN"/>
                              </w:rPr>
                              <w:t>50.8</w:t>
                            </w:r>
                            <w:r>
                              <w:rPr>
                                <w:rFonts w:hint="eastAsia" w:ascii="宋体" w:hAnsi="宋体" w:cs="宋体"/>
                                <w:sz w:val="15"/>
                                <w:szCs w:val="15"/>
                              </w:rPr>
                              <w:t>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209.4pt;height:22.7pt;width:37.05pt;z-index:251672576;mso-width-relative:page;mso-height-relative:page;" filled="f" stroked="f" coordsize="21600,21600" o:gfxdata="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1/kZb2wAAAAoBAAAPAAAAAAAAAAEAIAAAACIA&#10;AABkcnMvZG93bnJldi54bWxQSwECFAAUAAAACACHTuJAi4yW4z8CAABnBAAADgAAAAAAAAABACAA&#10;AAAqAQAAZHJzL2Uyb0RvYy54bWxQSwUGAAAAAAYABgBZAQAA2wU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lang w:val="en-US" w:eastAsia="zh-CN"/>
                        </w:rPr>
                        <w:t>50.8</w:t>
                      </w:r>
                      <w:r>
                        <w:rPr>
                          <w:rFonts w:hint="eastAsia" w:ascii="宋体" w:hAnsi="宋体" w:cs="宋体"/>
                          <w:sz w:val="15"/>
                          <w:szCs w:val="15"/>
                        </w:rPr>
                        <w:t>mm</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-87630</wp:posOffset>
                </wp:positionH>
                <wp:positionV relativeFrom="paragraph">
                  <wp:posOffset>2907030</wp:posOffset>
                </wp:positionV>
                <wp:extent cx="470535" cy="28257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70535" cy="2825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lang w:val="en-US" w:eastAsia="zh-CN"/>
                              </w:rPr>
                              <w:t>76.2</w:t>
                            </w:r>
                            <w:r>
                              <w:rPr>
                                <w:rFonts w:hint="eastAsia" w:ascii="宋体" w:hAnsi="宋体" w:cs="宋体"/>
                                <w:sz w:val="15"/>
                                <w:szCs w:val="15"/>
                              </w:rPr>
                              <w:t>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228.9pt;height:22.25pt;width:37.05pt;z-index:251671552;mso-width-relative:page;mso-height-relative:page;" filled="f" stroked="f" coordsize="21600,21600" o:gfxdata="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Lu2WtwAAAAKAQAADwAAAAAAAAABACAAAAAiAAAA&#10;ZHJzL2Rvd25yZXYueG1sUEsBAhQAFAAAAAgAh07iQHCl5Xo8AgAAZwQAAA4AAAAAAAAAAQAgAAAA&#10;KwEAAGRycy9lMm9Eb2MueG1sUEsFBgAAAAAGAAYAWQEAANkFA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lang w:val="en-US" w:eastAsia="zh-CN"/>
                        </w:rPr>
                        <w:t>76.2</w:t>
                      </w:r>
                      <w:r>
                        <w:rPr>
                          <w:rFonts w:hint="eastAsia" w:ascii="宋体" w:hAnsi="宋体" w:cs="宋体"/>
                          <w:sz w:val="15"/>
                          <w:szCs w:val="15"/>
                        </w:rPr>
                        <w:t>mm</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-87630</wp:posOffset>
                </wp:positionH>
                <wp:positionV relativeFrom="paragraph">
                  <wp:posOffset>3141980</wp:posOffset>
                </wp:positionV>
                <wp:extent cx="470535" cy="28829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1</w:t>
                            </w:r>
                            <w:r>
                              <w:rPr>
                                <w:rFonts w:hint="eastAsia" w:ascii="宋体" w:hAnsi="宋体" w:cs="宋体"/>
                                <w:sz w:val="15"/>
                                <w:szCs w:val="15"/>
                                <w:lang w:val="en-US" w:eastAsia="zh-CN"/>
                              </w:rPr>
                              <w:t>0</w:t>
                            </w:r>
                            <w:r>
                              <w:rPr>
                                <w:rFonts w:hint="eastAsia" w:ascii="宋体" w:hAnsi="宋体" w:cs="宋体"/>
                                <w:sz w:val="15"/>
                                <w:szCs w:val="15"/>
                              </w:rPr>
                              <w:t>0mm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247.4pt;height:22.7pt;width:37.05pt;z-index:251670528;mso-width-relative:page;mso-height-relative:page;" filled="f" stroked="f" coordsize="21600,21600" o:gfxdata="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GcdPj3AAAAAoBAAAPAAAAAAAAAAEAIAAAACIA&#10;AABkcnMvZG93bnJldi54bWxQSwECFAAUAAAACACHTuJAdQYdpT4CAABnBAAADgAAAAAAAAABACAA&#10;AAArAQAAZHJzL2Uyb0RvYy54bWxQSwUGAAAAAAYABgBZAQAA2wU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1</w:t>
                      </w:r>
                      <w:r>
                        <w:rPr>
                          <w:rFonts w:hint="eastAsia" w:ascii="宋体" w:hAnsi="宋体" w:cs="宋体"/>
                          <w:sz w:val="15"/>
                          <w:szCs w:val="15"/>
                          <w:lang w:val="en-US" w:eastAsia="zh-CN"/>
                        </w:rPr>
                        <w:t>0</w:t>
                      </w:r>
                      <w:r>
                        <w:rPr>
                          <w:rFonts w:hint="eastAsia" w:ascii="宋体" w:hAnsi="宋体" w:cs="宋体"/>
                          <w:sz w:val="15"/>
                          <w:szCs w:val="15"/>
                        </w:rPr>
                        <w:t>0mm</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-87630</wp:posOffset>
                </wp:positionH>
                <wp:positionV relativeFrom="paragraph">
                  <wp:posOffset>3630930</wp:posOffset>
                </wp:positionV>
                <wp:extent cx="470535" cy="35814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70535" cy="358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lang w:val="en-US" w:eastAsia="zh-CN"/>
                              </w:rPr>
                              <w:t>20</w:t>
                            </w:r>
                            <w:r>
                              <w:rPr>
                                <w:rFonts w:hint="eastAsia" w:ascii="宋体" w:hAnsi="宋体" w:cs="宋体"/>
                                <w:sz w:val="15"/>
                                <w:szCs w:val="15"/>
                              </w:rPr>
                              <w:t>0mm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285.9pt;height:28.2pt;width:37.05pt;z-index:251669504;mso-width-relative:page;mso-height-relative:page;" filled="f" stroked="f" coordsize="21600,21600" o:gfxdata="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7/WPdsAAAAKAQAADwAAAAAAAAABACAAAAAiAAAA&#10;ZHJzL2Rvd25yZXYueG1sUEsBAhQAFAAAAAgAh07iQMGYcvI9AgAAZwQAAA4AAAAAAAAAAQAgAAAA&#10;KgEAAGRycy9lMm9Eb2MueG1sUEsFBgAAAAAGAAYAWQEAANkFA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lang w:val="en-US" w:eastAsia="zh-CN"/>
                        </w:rPr>
                        <w:t>20</w:t>
                      </w:r>
                      <w:r>
                        <w:rPr>
                          <w:rFonts w:hint="eastAsia" w:ascii="宋体" w:hAnsi="宋体" w:cs="宋体"/>
                          <w:sz w:val="15"/>
                          <w:szCs w:val="15"/>
                        </w:rPr>
                        <w:t>0mm</w:t>
                      </w:r>
                    </w:p>
                  </w:txbxContent>
                </v:textbox>
              </v:shape>
            </w:pict>
          </mc:Fallback>
        </mc:AlternateContent>
      </w:r>
      <w:r>
        <w:rPr>
          <w:rFonts w:hint="eastAsia" w:eastAsia="黑体"/>
          <w:lang w:eastAsia="zh-CN"/>
        </w:rPr>
        <w:drawing>
          <wp:inline distT="0" distB="0" distL="114300" distR="114300">
            <wp:extent cx="5114925" cy="4616450"/>
            <wp:effectExtent l="0" t="0" r="5715" b="1270"/>
            <wp:docPr id="9" name="图片 9" descr="未标题-3--图调整-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未标题-3--图调整-02"/>
                    <pic:cNvPicPr>
                      <a:picLocks noChangeAspect="1"/>
                    </pic:cNvPicPr>
                  </pic:nvPicPr>
                  <pic:blipFill>
                    <a:blip r:embed="rId8"/>
                    <a:stretch>
                      <a:fillRect/>
                    </a:stretch>
                  </pic:blipFill>
                  <pic:spPr>
                    <a:xfrm>
                      <a:off x="0" y="0"/>
                      <a:ext cx="5114925" cy="4616450"/>
                    </a:xfrm>
                    <a:prstGeom prst="rect">
                      <a:avLst/>
                    </a:prstGeom>
                  </pic:spPr>
                </pic:pic>
              </a:graphicData>
            </a:graphic>
          </wp:inline>
        </w:drawing>
      </w:r>
      <w:r>
        <mc:AlternateContent>
          <mc:Choice Requires="wps">
            <w:drawing>
              <wp:anchor distT="0" distB="0" distL="114300" distR="114300" simplePos="0" relativeHeight="251667456" behindDoc="0" locked="0" layoutInCell="1" allowOverlap="1">
                <wp:simplePos x="0" y="0"/>
                <wp:positionH relativeFrom="column">
                  <wp:posOffset>5149215</wp:posOffset>
                </wp:positionH>
                <wp:positionV relativeFrom="paragraph">
                  <wp:posOffset>2230755</wp:posOffset>
                </wp:positionV>
                <wp:extent cx="46990" cy="0"/>
                <wp:effectExtent l="0" t="4445" r="0" b="5080"/>
                <wp:wrapNone/>
                <wp:docPr id="15" name="直接连接符 15"/>
                <wp:cNvGraphicFramePr/>
                <a:graphic xmlns:a="http://schemas.openxmlformats.org/drawingml/2006/main">
                  <a:graphicData uri="http://schemas.microsoft.com/office/word/2010/wordprocessingShape">
                    <wps:wsp>
                      <wps:cNvCnPr/>
                      <wps:spPr>
                        <a:xfrm>
                          <a:off x="0" y="0"/>
                          <a:ext cx="46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5.45pt;margin-top:175.65pt;height:0pt;width:3.7pt;z-index:251667456;mso-width-relative:page;mso-height-relative:page;" filled="f" stroked="t" coordsize="21600,21600" o:gfxdata="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XQ4v1wAAAAsBAAAPAAAAAAAAAAEAIAAAACIAAABkcnMvZG93bnJldi54bWxQSwECFAAUAAAA&#10;CACHTuJAGC4x7+8BAADTAwAADgAAAAAAAAABACAAAAAmAQAAZHJzL2Uyb0RvYy54bWxQSwUGAAAA&#10;AAYABgBZAQAAhwU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2488565</wp:posOffset>
                </wp:positionH>
                <wp:positionV relativeFrom="paragraph">
                  <wp:posOffset>4529455</wp:posOffset>
                </wp:positionV>
                <wp:extent cx="46990" cy="0"/>
                <wp:effectExtent l="0" t="4445" r="0" b="5080"/>
                <wp:wrapNone/>
                <wp:docPr id="49" name="直接连接符 49"/>
                <wp:cNvGraphicFramePr/>
                <a:graphic xmlns:a="http://schemas.openxmlformats.org/drawingml/2006/main">
                  <a:graphicData uri="http://schemas.microsoft.com/office/word/2010/wordprocessingShape">
                    <wps:wsp>
                      <wps:cNvCnPr/>
                      <wps:spPr>
                        <a:xfrm>
                          <a:off x="0" y="0"/>
                          <a:ext cx="46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5.95pt;margin-top:356.65pt;height:0pt;width:3.7pt;z-index:251666432;mso-width-relative:page;mso-height-relative:page;" filled="f" stroked="t" coordsize="21600,21600" o:gfxdata="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7PR1wAAAAsBAAAPAAAAAAAAAAEAIAAAACIAAABkcnMvZG93bnJldi54bWxQSwECFAAUAAAA&#10;CACHTuJAyn1/m+8BAADTAwAADgAAAAAAAAABACAAAAAmAQAAZHJzL2Uyb0RvYy54bWxQSwUGAAAA&#10;AAYABgBZAQAAhwU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2294890</wp:posOffset>
                </wp:positionH>
                <wp:positionV relativeFrom="paragraph">
                  <wp:posOffset>4448175</wp:posOffset>
                </wp:positionV>
                <wp:extent cx="568960" cy="28829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568960"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&lt;1100&gt;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7pt;margin-top:350.25pt;height:22.7pt;width:44.8pt;z-index:251665408;mso-width-relative:page;mso-height-relative:page;" filled="f" stroked="f" coordsize="21600,21600" o:gfxdata="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baWSDcAAAACwEAAA8AAAAAAAAAAQAgAAAAIgAA&#10;AGRycy9kb3ducmV2LnhtbFBLAQIUABQAAAAIAIdO4kDkU66pPQIAAGcEAAAOAAAAAAAAAAEAIAAA&#10;ACsBAABkcnMvZTJvRG9jLnhtbFBLBQYAAAAABgAGAFkBAADaBQ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&lt;1100&gt;</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4912995</wp:posOffset>
                </wp:positionH>
                <wp:positionV relativeFrom="paragraph">
                  <wp:posOffset>2136775</wp:posOffset>
                </wp:positionV>
                <wp:extent cx="568960" cy="2882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568960"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&lt;1120&gt;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6.85pt;margin-top:168.25pt;height:22.7pt;width:44.8pt;z-index:251665408;mso-width-relative:page;mso-height-relative:page;" filled="f" stroked="f" coordsize="21600,21600" o:gfxdata="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9l7m7cAAAACwEAAA8AAAAAAAAAAQAgAAAAIgAA&#10;AGRycy9kb3ducmV2LnhtbFBLAQIUABQAAAAIAIdO4kC+LG1BPQIAAGcEAAAOAAAAAAAAAAEAIAAA&#10;ACsBAABkcnMvZTJvRG9jLnhtbFBLBQYAAAAABgAGAFkBAADaBQ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&lt;1120&gt;</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4250690</wp:posOffset>
                </wp:positionH>
                <wp:positionV relativeFrom="paragraph">
                  <wp:posOffset>4073525</wp:posOffset>
                </wp:positionV>
                <wp:extent cx="470535" cy="2882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cs="宋体"/>
                                <w:sz w:val="15"/>
                                <w:szCs w:val="15"/>
                              </w:rPr>
                            </w:pPr>
                            <w:r>
                              <w:rPr>
                                <w:rFonts w:hint="eastAsia" w:ascii="宋体" w:hAnsi="宋体" w:cs="宋体"/>
                                <w:sz w:val="15"/>
                                <w:szCs w:val="15"/>
                              </w:rPr>
                              <w:t>10mm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7pt;margin-top:320.75pt;height:22.7pt;width:37.05pt;z-index:251664384;mso-width-relative:page;mso-height-relative:page;" filled="f" stroked="f" coordsize="21600,21600" o:gfxdata="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Fu6g3AAAAAsBAAAPAAAAAAAAAAEAIAAAACIA&#10;AABkcnMvZG93bnJldi54bWxQSwECFAAUAAAACACHTuJAxYgxWD4CAABnBAAADgAAAAAAAAABACAA&#10;AAArAQAAZHJzL2Uyb0RvYy54bWxQSwUGAAAAAAYABgBZAQAA2wUAAAAA&#10;">
                <v:fill on="f" focussize="0,0"/>
                <v:stroke on="f" weight="0.5pt"/>
                <v:imagedata o:title=""/>
                <o:lock v:ext="edit" aspectratio="f"/>
                <v:textbox>
                  <w:txbxContent>
                    <w:p>
                      <w:pPr>
                        <w:rPr>
                          <w:rFonts w:ascii="宋体" w:hAnsi="宋体" w:cs="宋体"/>
                          <w:sz w:val="15"/>
                          <w:szCs w:val="15"/>
                        </w:rPr>
                      </w:pPr>
                      <w:r>
                        <w:rPr>
                          <w:rFonts w:hint="eastAsia" w:ascii="宋体" w:hAnsi="宋体" w:cs="宋体"/>
                          <w:sz w:val="15"/>
                          <w:szCs w:val="15"/>
                        </w:rPr>
                        <w:t>10mm</w:t>
                      </w:r>
                    </w:p>
                  </w:txbxContent>
                </v:textbox>
              </v:shape>
            </w:pict>
          </mc:Fallback>
        </mc:AlternateContent>
      </w:r>
    </w:p>
    <w:p>
      <w:pPr>
        <w:pStyle w:val="131"/>
        <w:spacing w:before="0" w:beforeLines="0" w:after="0" w:afterLines="0"/>
      </w:pPr>
      <w:r>
        <w:rPr>
          <w:rFonts w:hint="eastAsia"/>
          <w:szCs w:val="21"/>
        </w:rPr>
        <w:t>不同直径碳化硅单晶</w:t>
      </w:r>
      <w:r>
        <w:rPr>
          <w:rFonts w:hint="eastAsia"/>
          <w:szCs w:val="21"/>
          <w:lang w:val="en-US" w:eastAsia="zh-CN"/>
        </w:rPr>
        <w:t>片厚度和平整度</w:t>
      </w:r>
      <w:r>
        <w:rPr>
          <w:rFonts w:hint="eastAsia"/>
          <w:szCs w:val="21"/>
        </w:rPr>
        <w:t>测试点位置分布图</w:t>
      </w:r>
    </w:p>
    <w:p>
      <w:pPr>
        <w:pStyle w:val="46"/>
        <w:numPr>
          <w:ilvl w:val="0"/>
          <w:numId w:val="19"/>
        </w:numPr>
        <w:spacing w:before="312" w:beforeLines="50" w:after="157" w:afterLines="50"/>
        <w:ind w:left="424" w:hanging="424" w:hangingChars="202"/>
      </w:pPr>
      <w:r>
        <w:rPr>
          <w:rFonts w:hint="eastAsia" w:hAnsi="黑体"/>
        </w:rPr>
        <w:t>试验数据处理</w:t>
      </w:r>
    </w:p>
    <w:p>
      <w:pPr>
        <w:pStyle w:val="45"/>
        <w:numPr>
          <w:ilvl w:val="1"/>
          <w:numId w:val="19"/>
        </w:numPr>
        <w:spacing w:beforeLines="0" w:afterLines="0"/>
        <w:ind w:left="567" w:hanging="567" w:firstLineChars="0"/>
        <w:rPr>
          <w:rFonts w:hint="eastAsia" w:ascii="宋体" w:hAnsi="宋体" w:eastAsia="宋体" w:cs="宋体"/>
        </w:rPr>
      </w:pPr>
      <w:r>
        <w:rPr>
          <w:rFonts w:hint="eastAsia" w:ascii="宋体" w:hAnsi="宋体" w:eastAsia="宋体" w:cs="宋体"/>
          <w:lang w:val="en-US" w:eastAsia="zh-CN"/>
        </w:rPr>
        <w:t>碳化硅单晶片的厚度THK，按照公式（1）计算：</w:t>
      </w:r>
    </w:p>
    <w:p>
      <w:pPr>
        <w:pStyle w:val="66"/>
        <w:numPr>
          <w:ilvl w:val="0"/>
          <w:numId w:val="0"/>
        </w:numPr>
        <w:spacing w:before="0" w:after="0"/>
        <w:ind w:firstLine="480" w:firstLineChars="200"/>
        <w:jc w:val="right"/>
        <w:rPr>
          <w:rFonts w:hAnsi="宋体"/>
          <w:color w:val="000000"/>
        </w:rPr>
      </w:pPr>
      <m:oMath>
        <m:r>
          <m:rPr>
            <m:sty m:val="p"/>
          </m:rPr>
          <w:rPr>
            <w:rFonts w:hint="default" w:ascii="Cambria Math" w:hAnsi="Cambria Math" w:cs="Times New Roman"/>
            <w:sz w:val="24"/>
            <w:szCs w:val="24"/>
            <w:lang w:val="en-US" w:eastAsia="zh-CN"/>
          </w:rPr>
          <m:t>THK</m:t>
        </m:r>
        <m:r>
          <m:rPr>
            <m:sty m:val="p"/>
          </m:rPr>
          <w:rPr>
            <w:rFonts w:ascii="Cambria Math" w:hAnsi="Cambria Math"/>
            <w:sz w:val="24"/>
            <w:szCs w:val="24"/>
          </w:rPr>
          <m:t>=</m:t>
        </m:r>
        <m:f>
          <m:fPr>
            <m:ctrlPr>
              <w:rPr>
                <w:rFonts w:ascii="Cambria Math" w:hAnsi="Cambria Math" w:cs="Times New Roman"/>
                <w:i/>
                <w:sz w:val="24"/>
                <w:szCs w:val="24"/>
              </w:rPr>
            </m:ctrlPr>
          </m:fPr>
          <m:num>
            <m:r>
              <m:rPr/>
              <w:rPr>
                <w:rFonts w:hint="default" w:ascii="Cambria Math" w:hAnsi="Cambria Math" w:cs="Times New Roman"/>
                <w:sz w:val="24"/>
                <w:szCs w:val="24"/>
                <w:lang w:val="en-US" w:eastAsia="zh-CN"/>
              </w:rPr>
              <m:t>1</m:t>
            </m:r>
            <m:ctrlPr>
              <w:rPr>
                <w:rFonts w:ascii="Cambria Math" w:hAnsi="Cambria Math" w:cs="Times New Roman"/>
                <w:i/>
                <w:sz w:val="24"/>
                <w:szCs w:val="24"/>
              </w:rPr>
            </m:ctrlPr>
          </m:num>
          <m:den>
            <m:r>
              <m:rPr/>
              <w:rPr>
                <w:rFonts w:hint="default" w:ascii="Cambria Math" w:hAnsi="Cambria Math" w:cs="Times New Roman"/>
                <w:sz w:val="24"/>
                <w:szCs w:val="24"/>
                <w:lang w:val="en-US" w:eastAsia="zh-CN"/>
              </w:rPr>
              <m:t>n</m:t>
            </m:r>
            <m:ctrlPr>
              <w:rPr>
                <w:rFonts w:ascii="Cambria Math" w:hAnsi="Cambria Math" w:cs="Times New Roman"/>
                <w:i/>
                <w:sz w:val="24"/>
                <w:szCs w:val="24"/>
              </w:rPr>
            </m:ctrlPr>
          </m:den>
        </m:f>
        <m:nary>
          <m:naryPr>
            <m:chr m:val="∑"/>
            <m:limLoc m:val="undOvr"/>
            <m:ctrlPr>
              <w:rPr>
                <w:rFonts w:ascii="Cambria Math" w:hAnsi="Cambria Math" w:cs="Times New Roman"/>
                <w:i/>
                <w:sz w:val="24"/>
                <w:szCs w:val="24"/>
              </w:rPr>
            </m:ctrlPr>
          </m:naryPr>
          <m:sub>
            <m:r>
              <m:rPr/>
              <w:rPr>
                <w:rFonts w:hint="default" w:ascii="Cambria Math" w:hAnsi="Cambria Math" w:cs="Times New Roman"/>
                <w:sz w:val="24"/>
                <w:szCs w:val="24"/>
                <w:lang w:val="en-US" w:eastAsia="zh-CN"/>
              </w:rPr>
              <m:t>i=1</m:t>
            </m:r>
            <m:ctrlPr>
              <w:rPr>
                <w:rFonts w:ascii="Cambria Math" w:hAnsi="Cambria Math" w:cs="Times New Roman"/>
                <w:i/>
                <w:sz w:val="24"/>
                <w:szCs w:val="24"/>
              </w:rPr>
            </m:ctrlPr>
          </m:sub>
          <m:sup>
            <m:r>
              <m:rPr/>
              <w:rPr>
                <w:rFonts w:hint="default" w:ascii="Cambria Math" w:hAnsi="Cambria Math" w:cs="Times New Roman"/>
                <w:sz w:val="24"/>
                <w:szCs w:val="24"/>
                <w:lang w:val="en-US" w:eastAsia="zh-CN"/>
              </w:rPr>
              <m:t>n</m:t>
            </m:r>
            <m:ctrlPr>
              <w:rPr>
                <w:rFonts w:ascii="Cambria Math" w:hAnsi="Cambria Math" w:cs="Times New Roman"/>
                <w:i/>
                <w:sz w:val="24"/>
                <w:szCs w:val="24"/>
              </w:rPr>
            </m:ctrlPr>
          </m:sup>
          <m:e>
            <m:sSub>
              <m:sSubPr>
                <m:ctrlPr>
                  <w:rPr>
                    <w:rFonts w:ascii="Cambria Math" w:hAnsi="Cambria Math" w:cs="Times New Roman"/>
                    <w:i/>
                    <w:sz w:val="24"/>
                    <w:szCs w:val="24"/>
                  </w:rPr>
                </m:ctrlPr>
              </m:sSubPr>
              <m:e>
                <m:r>
                  <m:rPr/>
                  <w:rPr>
                    <w:rFonts w:hint="default" w:ascii="Cambria Math" w:hAnsi="Cambria Math" w:cs="Times New Roman"/>
                    <w:sz w:val="24"/>
                    <w:szCs w:val="24"/>
                    <w:lang w:val="en-US" w:eastAsia="zh-CN"/>
                  </w:rPr>
                  <m:t>t</m:t>
                </m:r>
                <m:ctrlPr>
                  <w:rPr>
                    <w:rFonts w:ascii="Cambria Math" w:hAnsi="Cambria Math" w:cs="Times New Roman"/>
                    <w:i/>
                    <w:sz w:val="24"/>
                    <w:szCs w:val="24"/>
                  </w:rPr>
                </m:ctrlPr>
              </m:e>
              <m:sub>
                <m:r>
                  <m:rPr/>
                  <w:rPr>
                    <w:rFonts w:hint="default" w:ascii="Cambria Math" w:hAnsi="Cambria Math" w:cs="Times New Roman"/>
                    <w:sz w:val="24"/>
                    <w:szCs w:val="24"/>
                    <w:lang w:val="en-US" w:eastAsia="zh-CN"/>
                  </w:rPr>
                  <m:t>i</m:t>
                </m:r>
                <m:ctrlPr>
                  <w:rPr>
                    <w:rFonts w:ascii="Cambria Math" w:hAnsi="Cambria Math" w:cs="Times New Roman"/>
                    <w:i/>
                    <w:sz w:val="24"/>
                    <w:szCs w:val="24"/>
                  </w:rPr>
                </m:ctrlPr>
              </m:sub>
            </m:sSub>
            <m:ctrlPr>
              <w:rPr>
                <w:rFonts w:ascii="Cambria Math" w:hAnsi="Cambria Math" w:cs="Times New Roman"/>
                <w:i/>
                <w:sz w:val="24"/>
                <w:szCs w:val="24"/>
              </w:rPr>
            </m:ctrlPr>
          </m:e>
        </m:nary>
      </m:oMath>
      <w:r>
        <w:rPr>
          <w:rFonts w:hAnsi="宋体"/>
          <w:color w:val="000000"/>
        </w:rPr>
        <w:t>………………………………………………………(</w:t>
      </w:r>
      <w:r>
        <w:rPr>
          <w:rFonts w:hint="eastAsia" w:hAnsi="宋体"/>
          <w:color w:val="000000"/>
        </w:rPr>
        <w:t>1</w:t>
      </w:r>
      <w:r>
        <w:rPr>
          <w:rFonts w:hAnsi="宋体"/>
          <w:color w:val="000000"/>
        </w:rPr>
        <w:t>)</w:t>
      </w:r>
    </w:p>
    <w:p>
      <w:pPr>
        <w:pStyle w:val="25"/>
        <w:rPr>
          <w:rFonts w:ascii="Times New Roman" w:hAnsi="Times New Roman" w:cs="Times New Roman"/>
          <w:szCs w:val="21"/>
        </w:rPr>
      </w:pPr>
      <w:r>
        <w:rPr>
          <w:rFonts w:hint="default" w:ascii="Times New Roman" w:hAnsi="Times New Roman" w:cs="Times New Roman"/>
          <w:szCs w:val="21"/>
        </w:rPr>
        <w:t>式中：</w:t>
      </w:r>
    </w:p>
    <w:p>
      <w:pPr>
        <w:pStyle w:val="25"/>
        <w:rPr>
          <w:rFonts w:hint="default" w:ascii="Times New Roman" w:hAnsi="Times New Roman" w:cs="Times New Roman"/>
          <w:szCs w:val="21"/>
        </w:rPr>
      </w:pPr>
      <w:r>
        <w:rPr>
          <w:rFonts w:hint="default" w:ascii="Times New Roman" w:hAnsi="Times New Roman" w:cs="Times New Roman"/>
          <w:szCs w:val="21"/>
          <w:lang w:val="en-US" w:eastAsia="zh-CN"/>
        </w:rPr>
        <w:t>THK</w:t>
      </w:r>
      <w:r>
        <w:rPr>
          <w:rFonts w:ascii="Times New Roman" w:hAnsi="Times New Roman" w:cs="Times New Roman"/>
          <w:szCs w:val="21"/>
        </w:rPr>
        <w:t>——</w:t>
      </w:r>
      <w:r>
        <w:rPr>
          <w:rFonts w:hint="default" w:ascii="Times New Roman" w:hAnsi="Times New Roman" w:cs="Times New Roman"/>
          <w:szCs w:val="21"/>
          <w:lang w:val="en-US" w:eastAsia="zh-CN"/>
        </w:rPr>
        <w:t>碳化硅单晶片的平均厚度</w:t>
      </w:r>
      <w:r>
        <w:rPr>
          <w:rFonts w:hint="default" w:ascii="Times New Roman" w:hAnsi="Times New Roman" w:cs="Times New Roman"/>
          <w:szCs w:val="21"/>
        </w:rPr>
        <w:t>，单位为</w:t>
      </w:r>
      <w:r>
        <w:rPr>
          <w:rFonts w:hint="default" w:ascii="Times New Roman" w:hAnsi="Times New Roman" w:cs="Times New Roman"/>
          <w:szCs w:val="21"/>
          <w:lang w:val="en-US" w:eastAsia="zh-CN"/>
        </w:rPr>
        <w:t>微米</w:t>
      </w:r>
      <w:r>
        <w:rPr>
          <w:rFonts w:hint="default" w:ascii="Times New Roman" w:hAnsi="Times New Roman" w:cs="Times New Roman"/>
          <w:szCs w:val="21"/>
        </w:rPr>
        <w:t>（</w:t>
      </w:r>
      <w:r>
        <w:rPr>
          <w:rFonts w:hint="default" w:ascii="Times New Roman" w:hAnsi="Times New Roman" w:cs="Times New Roman"/>
          <w:szCs w:val="21"/>
          <w:lang w:val="en-US" w:eastAsia="zh-CN"/>
        </w:rPr>
        <w:t>μm</w:t>
      </w:r>
      <w:r>
        <w:rPr>
          <w:rFonts w:hint="default"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i/>
          <w:iCs/>
          <w:szCs w:val="21"/>
        </w:rPr>
        <w:t>i</w:t>
      </w:r>
      <w:r>
        <w:rPr>
          <w:rFonts w:hint="default" w:ascii="Times New Roman" w:hAnsi="Times New Roman" w:eastAsia="黑体" w:cs="Times New Roman"/>
          <w:szCs w:val="21"/>
        </w:rPr>
        <w:t>——</w:t>
      </w:r>
      <w:r>
        <w:rPr>
          <w:rFonts w:hint="default" w:ascii="Times New Roman" w:hAnsi="Times New Roman" w:cs="Times New Roman"/>
          <w:szCs w:val="21"/>
        </w:rPr>
        <w:t>测试</w:t>
      </w:r>
      <w:r>
        <w:rPr>
          <w:rFonts w:ascii="Times New Roman" w:hAnsi="Times New Roman" w:cs="Times New Roman"/>
          <w:szCs w:val="21"/>
        </w:rPr>
        <w:t>点的数目，</w:t>
      </w:r>
      <w:r>
        <w:rPr>
          <w:rFonts w:ascii="Times New Roman" w:hAnsi="Times New Roman" w:cs="Times New Roman"/>
          <w:i/>
          <w:iCs/>
          <w:szCs w:val="21"/>
        </w:rPr>
        <w:t>i</w:t>
      </w:r>
      <w:r>
        <w:rPr>
          <w:rFonts w:hint="default" w:ascii="Times New Roman" w:hAnsi="Times New Roman" w:cs="Times New Roman"/>
          <w:szCs w:val="21"/>
        </w:rPr>
        <w:t>=</w:t>
      </w:r>
      <w:r>
        <w:rPr>
          <w:rFonts w:ascii="Times New Roman" w:hAnsi="Times New Roman" w:cs="Times New Roman"/>
          <w:szCs w:val="21"/>
        </w:rPr>
        <w:t>1,2,3……</w:t>
      </w:r>
      <w:r>
        <w:rPr>
          <w:rFonts w:ascii="Times New Roman" w:hAnsi="Times New Roman" w:cs="Times New Roman"/>
          <w:i/>
          <w:iCs/>
          <w:szCs w:val="21"/>
        </w:rPr>
        <w:t>n</w:t>
      </w:r>
      <w:r>
        <w:rPr>
          <w:rFonts w:ascii="Times New Roman" w:hAnsi="Times New Roman" w:cs="Times New Roman"/>
          <w:szCs w:val="21"/>
        </w:rPr>
        <w:t>；</w:t>
      </w:r>
    </w:p>
    <w:p>
      <w:pPr>
        <w:ind w:firstLine="420" w:firstLineChars="200"/>
        <w:rPr>
          <w:rFonts w:hint="default" w:ascii="Times New Roman" w:hAnsi="Times New Roman" w:eastAsia="宋体" w:cs="Times New Roman"/>
        </w:rPr>
      </w:pPr>
      <w:r>
        <w:rPr>
          <w:rFonts w:hint="default" w:ascii="Times New Roman" w:hAnsi="Times New Roman" w:cs="Times New Roman"/>
          <w:i/>
          <w:iCs/>
          <w:szCs w:val="21"/>
          <w:lang w:val="en-US" w:eastAsia="zh-CN"/>
        </w:rPr>
        <w:t>t</w:t>
      </w:r>
      <w:r>
        <w:rPr>
          <w:rFonts w:ascii="Times New Roman" w:hAnsi="Times New Roman" w:cs="Times New Roman"/>
          <w:i/>
          <w:iCs/>
          <w:szCs w:val="21"/>
          <w:vertAlign w:val="subscript"/>
        </w:rPr>
        <w:t>i</w:t>
      </w:r>
      <w:r>
        <w:rPr>
          <w:rFonts w:hint="default" w:ascii="Times New Roman" w:hAnsi="Times New Roman" w:eastAsia="黑体" w:cs="Times New Roman"/>
          <w:szCs w:val="21"/>
        </w:rPr>
        <w:t>——</w:t>
      </w:r>
      <w:r>
        <w:rPr>
          <w:rFonts w:ascii="Times New Roman" w:hAnsi="Times New Roman" w:cs="Times New Roman"/>
          <w:szCs w:val="21"/>
        </w:rPr>
        <w:t>第</w:t>
      </w:r>
      <w:r>
        <w:rPr>
          <w:rFonts w:ascii="Times New Roman" w:hAnsi="Times New Roman" w:cs="Times New Roman"/>
          <w:i/>
          <w:iCs/>
          <w:szCs w:val="21"/>
        </w:rPr>
        <w:t>i</w:t>
      </w:r>
      <w:r>
        <w:rPr>
          <w:rFonts w:ascii="Times New Roman" w:hAnsi="Times New Roman" w:cs="Times New Roman"/>
          <w:szCs w:val="21"/>
        </w:rPr>
        <w:t>个</w:t>
      </w:r>
      <w:r>
        <w:rPr>
          <w:rFonts w:hint="default" w:ascii="Times New Roman" w:hAnsi="Times New Roman" w:cs="Times New Roman"/>
          <w:szCs w:val="21"/>
        </w:rPr>
        <w:t>测试</w:t>
      </w:r>
      <w:r>
        <w:rPr>
          <w:rFonts w:ascii="Times New Roman" w:hAnsi="Times New Roman" w:cs="Times New Roman"/>
          <w:szCs w:val="21"/>
        </w:rPr>
        <w:t>点的</w:t>
      </w:r>
      <w:r>
        <w:rPr>
          <w:rFonts w:hint="default" w:ascii="Times New Roman" w:hAnsi="Times New Roman" w:cs="Times New Roman"/>
          <w:szCs w:val="21"/>
          <w:lang w:val="en-US" w:eastAsia="zh-CN"/>
        </w:rPr>
        <w:t>晶片厚度</w:t>
      </w:r>
      <w:r>
        <w:rPr>
          <w:rFonts w:ascii="Times New Roman" w:hAnsi="Times New Roman" w:cs="Times New Roman"/>
          <w:szCs w:val="21"/>
        </w:rPr>
        <w:t>；</w:t>
      </w:r>
    </w:p>
    <w:p>
      <w:pPr>
        <w:pStyle w:val="45"/>
        <w:numPr>
          <w:ilvl w:val="1"/>
          <w:numId w:val="19"/>
        </w:numPr>
        <w:spacing w:beforeLines="0" w:afterLines="0"/>
        <w:ind w:left="567" w:hanging="567" w:firstLineChars="0"/>
        <w:rPr>
          <w:rFonts w:hint="default" w:ascii="Times New Roman" w:hAnsi="Times New Roman" w:eastAsia="宋体" w:cs="Times New Roman"/>
        </w:rPr>
      </w:pPr>
      <w:r>
        <w:rPr>
          <w:rFonts w:hint="default" w:ascii="Times New Roman" w:hAnsi="Times New Roman" w:eastAsia="宋体" w:cs="Times New Roman"/>
          <w:lang w:val="en-US" w:eastAsia="zh-CN"/>
        </w:rPr>
        <w:t>碳化硅单晶片的总厚度变化TTV，按照公式（2）计算：</w:t>
      </w:r>
    </w:p>
    <w:p>
      <w:pPr>
        <w:pStyle w:val="66"/>
        <w:numPr>
          <w:ilvl w:val="0"/>
          <w:numId w:val="0"/>
        </w:numPr>
        <w:spacing w:before="0" w:after="0"/>
        <w:ind w:firstLine="480" w:firstLineChars="200"/>
        <w:jc w:val="right"/>
        <w:rPr>
          <w:rFonts w:ascii="Times New Roman" w:hAnsi="Times New Roman" w:cs="Times New Roman"/>
          <w:color w:val="000000"/>
        </w:rPr>
      </w:pPr>
      <w:r>
        <w:rPr>
          <w:rFonts w:hint="default" w:ascii="Times New Roman" w:hAnsi="Times New Roman" w:cs="Times New Roman"/>
          <w:b w:val="0"/>
          <w:i w:val="0"/>
          <w:sz w:val="24"/>
          <w:szCs w:val="24"/>
          <w:lang w:val="en-US" w:eastAsia="zh-CN"/>
        </w:rPr>
        <w:t>TTV</w:t>
      </w:r>
      <m:oMath>
        <m:r>
          <m:rPr>
            <m:sty m:val="p"/>
          </m:rPr>
          <w:rPr>
            <w:rFonts w:ascii="Cambria Math" w:hAnsi="Cambria Math" w:cs="Times New Roman"/>
            <w:sz w:val="24"/>
            <w:szCs w:val="24"/>
          </w:rPr>
          <m:t>=</m:t>
        </m:r>
      </m:oMath>
      <w:r>
        <w:rPr>
          <w:rFonts w:hint="default" w:ascii="Times New Roman" w:hAnsi="Times New Roman" w:cs="Times New Roman"/>
          <w:b w:val="0"/>
          <w:i w:val="0"/>
          <w:sz w:val="24"/>
          <w:szCs w:val="24"/>
          <w:lang w:val="en-US" w:eastAsia="zh-CN"/>
        </w:rPr>
        <w:t>max(t</w:t>
      </w:r>
      <w:r>
        <w:rPr>
          <w:rFonts w:hint="default" w:ascii="Times New Roman" w:hAnsi="Times New Roman" w:cs="Times New Roman"/>
          <w:b w:val="0"/>
          <w:i/>
          <w:iCs/>
          <w:sz w:val="24"/>
          <w:szCs w:val="24"/>
          <w:vertAlign w:val="subscript"/>
          <w:lang w:val="en-US" w:eastAsia="zh-CN"/>
        </w:rPr>
        <w:t>i</w:t>
      </w:r>
      <w:r>
        <w:rPr>
          <w:rFonts w:hint="default" w:ascii="Times New Roman" w:hAnsi="Times New Roman" w:cs="Times New Roman"/>
          <w:b w:val="0"/>
          <w:i w:val="0"/>
          <w:sz w:val="24"/>
          <w:szCs w:val="24"/>
          <w:lang w:val="en-US" w:eastAsia="zh-CN"/>
        </w:rPr>
        <w:t>)</w:t>
      </w:r>
      <w:r>
        <w:rPr>
          <w:rFonts w:hint="eastAsia" w:ascii="Times New Roman" w:hAnsi="Times New Roman" w:cs="Times New Roman"/>
          <w:b w:val="0"/>
          <w:i w:val="0"/>
          <w:sz w:val="24"/>
          <w:szCs w:val="24"/>
          <w:lang w:val="en-US" w:eastAsia="zh-CN"/>
        </w:rPr>
        <w:t>-min(t</w:t>
      </w:r>
      <w:r>
        <w:rPr>
          <w:rFonts w:hint="eastAsia" w:ascii="Times New Roman" w:hAnsi="Times New Roman" w:cs="Times New Roman"/>
          <w:b w:val="0"/>
          <w:i/>
          <w:iCs/>
          <w:sz w:val="24"/>
          <w:szCs w:val="24"/>
          <w:vertAlign w:val="subscript"/>
          <w:lang w:val="en-US" w:eastAsia="zh-CN"/>
        </w:rPr>
        <w:t>i</w:t>
      </w:r>
      <w:r>
        <w:rPr>
          <w:rFonts w:hint="eastAsia" w:ascii="Times New Roman" w:hAnsi="Times New Roman" w:cs="Times New Roman"/>
          <w:b w:val="0"/>
          <w:i w:val="0"/>
          <w:sz w:val="24"/>
          <w:szCs w:val="24"/>
          <w:lang w:val="en-US" w:eastAsia="zh-CN"/>
        </w:rPr>
        <w:t>)</w:t>
      </w:r>
      <w:r>
        <w:rPr>
          <w:rFonts w:ascii="Times New Roman" w:hAnsi="Times New Roman" w:cs="Times New Roman"/>
          <w:color w:val="000000"/>
        </w:rPr>
        <w:t>………………………………………………………(</w:t>
      </w:r>
      <w:r>
        <w:rPr>
          <w:rFonts w:hint="default" w:ascii="Times New Roman" w:hAnsi="Times New Roman" w:cs="Times New Roman"/>
          <w:color w:val="000000"/>
          <w:lang w:val="en-US" w:eastAsia="zh-CN"/>
        </w:rPr>
        <w:t>2</w:t>
      </w:r>
      <w:r>
        <w:rPr>
          <w:rFonts w:ascii="Times New Roman" w:hAnsi="Times New Roman" w:cs="Times New Roman"/>
          <w:color w:val="000000"/>
        </w:rPr>
        <w:t>)</w:t>
      </w:r>
    </w:p>
    <w:p>
      <w:pPr>
        <w:pStyle w:val="25"/>
        <w:rPr>
          <w:rFonts w:ascii="Times New Roman" w:hAnsi="Times New Roman" w:cs="Times New Roman"/>
          <w:szCs w:val="21"/>
        </w:rPr>
      </w:pPr>
      <w:r>
        <w:rPr>
          <w:rFonts w:hint="default" w:ascii="Times New Roman" w:hAnsi="Times New Roman" w:cs="Times New Roman"/>
          <w:szCs w:val="21"/>
        </w:rPr>
        <w:t>式中：</w:t>
      </w:r>
    </w:p>
    <w:p>
      <w:pPr>
        <w:pStyle w:val="25"/>
        <w:rPr>
          <w:rFonts w:hint="default" w:ascii="Times New Roman" w:hAnsi="Times New Roman" w:cs="Times New Roman"/>
          <w:szCs w:val="21"/>
        </w:rPr>
      </w:pPr>
      <w:r>
        <w:rPr>
          <w:rFonts w:hint="default" w:ascii="Times New Roman" w:hAnsi="Times New Roman" w:cs="Times New Roman"/>
          <w:szCs w:val="21"/>
          <w:lang w:val="en-US" w:eastAsia="zh-CN"/>
        </w:rPr>
        <w:t>T</w:t>
      </w:r>
      <w:r>
        <w:rPr>
          <w:rFonts w:hint="eastAsia" w:ascii="Times New Roman" w:hAnsi="Times New Roman" w:cs="Times New Roman"/>
          <w:szCs w:val="21"/>
          <w:lang w:val="en-US" w:eastAsia="zh-CN"/>
        </w:rPr>
        <w:t>TV</w:t>
      </w:r>
      <w:r>
        <w:rPr>
          <w:rFonts w:ascii="Times New Roman" w:hAnsi="Times New Roman" w:cs="Times New Roman"/>
          <w:szCs w:val="21"/>
        </w:rPr>
        <w:t>——</w:t>
      </w:r>
      <w:r>
        <w:rPr>
          <w:rFonts w:hint="default" w:ascii="Times New Roman" w:hAnsi="Times New Roman" w:cs="Times New Roman"/>
          <w:szCs w:val="21"/>
          <w:lang w:val="en-US" w:eastAsia="zh-CN"/>
        </w:rPr>
        <w:t>碳化硅单晶片的</w:t>
      </w:r>
      <w:r>
        <w:rPr>
          <w:rFonts w:hint="eastAsia" w:ascii="Times New Roman" w:hAnsi="Times New Roman" w:cs="Times New Roman"/>
          <w:szCs w:val="21"/>
          <w:lang w:val="en-US" w:eastAsia="zh-CN"/>
        </w:rPr>
        <w:t>总厚度变化</w:t>
      </w:r>
      <w:r>
        <w:rPr>
          <w:rFonts w:hint="default" w:ascii="Times New Roman" w:hAnsi="Times New Roman" w:cs="Times New Roman"/>
          <w:szCs w:val="21"/>
        </w:rPr>
        <w:t>，单位为</w:t>
      </w:r>
      <w:r>
        <w:rPr>
          <w:rFonts w:hint="default" w:ascii="Times New Roman" w:hAnsi="Times New Roman" w:cs="Times New Roman"/>
          <w:szCs w:val="21"/>
          <w:lang w:val="en-US" w:eastAsia="zh-CN"/>
        </w:rPr>
        <w:t>微米</w:t>
      </w:r>
      <w:r>
        <w:rPr>
          <w:rFonts w:hint="default" w:ascii="Times New Roman" w:hAnsi="Times New Roman" w:cs="Times New Roman"/>
          <w:szCs w:val="21"/>
        </w:rPr>
        <w:t>（</w:t>
      </w:r>
      <w:r>
        <w:rPr>
          <w:rFonts w:hint="default" w:ascii="Times New Roman" w:hAnsi="Times New Roman" w:cs="Times New Roman"/>
          <w:szCs w:val="21"/>
          <w:lang w:val="en-US" w:eastAsia="zh-CN"/>
        </w:rPr>
        <w:t>μm</w:t>
      </w:r>
      <w:r>
        <w:rPr>
          <w:rFonts w:hint="default" w:ascii="Times New Roman" w:hAnsi="Times New Roman" w:cs="Times New Roman"/>
          <w:szCs w:val="21"/>
        </w:rPr>
        <w:t>）；</w:t>
      </w:r>
    </w:p>
    <w:p>
      <w:pPr>
        <w:ind w:firstLine="420" w:firstLineChars="200"/>
        <w:rPr>
          <w:rFonts w:ascii="Times New Roman" w:hAnsi="Times New Roman" w:cs="Times New Roman"/>
          <w:szCs w:val="21"/>
        </w:rPr>
      </w:pPr>
      <w:r>
        <w:rPr>
          <w:rFonts w:hint="eastAsia" w:ascii="Times New Roman" w:hAnsi="Times New Roman" w:cs="Times New Roman"/>
          <w:i w:val="0"/>
          <w:iCs w:val="0"/>
          <w:szCs w:val="21"/>
          <w:lang w:val="en-US" w:eastAsia="zh-CN"/>
        </w:rPr>
        <w:t>Max（</w:t>
      </w:r>
      <w:r>
        <w:rPr>
          <w:rFonts w:hint="default" w:ascii="Times New Roman" w:hAnsi="Times New Roman" w:cs="Times New Roman"/>
          <w:i/>
          <w:iCs/>
          <w:szCs w:val="21"/>
          <w:lang w:val="en-US" w:eastAsia="zh-CN"/>
        </w:rPr>
        <w:t>t</w:t>
      </w:r>
      <w:r>
        <w:rPr>
          <w:rFonts w:ascii="Times New Roman" w:hAnsi="Times New Roman" w:cs="Times New Roman"/>
          <w:i/>
          <w:iCs/>
          <w:szCs w:val="21"/>
          <w:vertAlign w:val="subscript"/>
        </w:rPr>
        <w:t>i</w:t>
      </w:r>
      <w:r>
        <w:rPr>
          <w:rFonts w:hint="eastAsia" w:ascii="Times New Roman" w:hAnsi="Times New Roman" w:cs="Times New Roman"/>
          <w:i w:val="0"/>
          <w:iCs w:val="0"/>
          <w:szCs w:val="21"/>
          <w:lang w:val="en-US" w:eastAsia="zh-CN"/>
        </w:rPr>
        <w:t>）</w:t>
      </w:r>
      <w:r>
        <w:rPr>
          <w:rFonts w:hint="default" w:ascii="Times New Roman" w:hAnsi="Times New Roman" w:eastAsia="黑体" w:cs="Times New Roman"/>
          <w:i w:val="0"/>
          <w:iCs w:val="0"/>
          <w:szCs w:val="21"/>
        </w:rPr>
        <w:t>——</w:t>
      </w:r>
      <w:r>
        <w:rPr>
          <w:rFonts w:ascii="Times New Roman" w:hAnsi="Times New Roman" w:cs="Times New Roman"/>
          <w:szCs w:val="21"/>
        </w:rPr>
        <w:t>第</w:t>
      </w:r>
      <w:r>
        <w:rPr>
          <w:rFonts w:ascii="Times New Roman" w:hAnsi="Times New Roman" w:cs="Times New Roman"/>
          <w:i/>
          <w:iCs/>
          <w:szCs w:val="21"/>
        </w:rPr>
        <w:t>i</w:t>
      </w:r>
      <w:r>
        <w:rPr>
          <w:rFonts w:ascii="Times New Roman" w:hAnsi="Times New Roman" w:cs="Times New Roman"/>
          <w:szCs w:val="21"/>
        </w:rPr>
        <w:t>个</w:t>
      </w:r>
      <w:r>
        <w:rPr>
          <w:rFonts w:hint="default" w:ascii="Times New Roman" w:hAnsi="Times New Roman" w:cs="Times New Roman"/>
          <w:szCs w:val="21"/>
        </w:rPr>
        <w:t>测试</w:t>
      </w:r>
      <w:r>
        <w:rPr>
          <w:rFonts w:ascii="Times New Roman" w:hAnsi="Times New Roman" w:cs="Times New Roman"/>
          <w:szCs w:val="21"/>
        </w:rPr>
        <w:t>点的</w:t>
      </w:r>
      <w:r>
        <w:rPr>
          <w:rFonts w:hint="default" w:ascii="Times New Roman" w:hAnsi="Times New Roman" w:cs="Times New Roman"/>
          <w:szCs w:val="21"/>
          <w:lang w:val="en-US" w:eastAsia="zh-CN"/>
        </w:rPr>
        <w:t>晶片厚度</w:t>
      </w:r>
      <w:r>
        <w:rPr>
          <w:rFonts w:hint="eastAsia" w:cs="Times New Roman"/>
          <w:szCs w:val="21"/>
          <w:lang w:val="en-US" w:eastAsia="zh-CN"/>
        </w:rPr>
        <w:t>最大值</w:t>
      </w:r>
      <w:r>
        <w:rPr>
          <w:rFonts w:ascii="Times New Roman" w:hAnsi="Times New Roman" w:cs="Times New Roman"/>
          <w:szCs w:val="21"/>
        </w:rPr>
        <w:t>，</w:t>
      </w:r>
      <w:r>
        <w:rPr>
          <w:rFonts w:hint="default" w:ascii="Times New Roman" w:hAnsi="Times New Roman" w:cs="Times New Roman"/>
          <w:szCs w:val="21"/>
        </w:rPr>
        <w:t>单位为</w:t>
      </w:r>
      <w:r>
        <w:rPr>
          <w:rFonts w:hint="default" w:ascii="Times New Roman" w:hAnsi="Times New Roman" w:cs="Times New Roman"/>
          <w:szCs w:val="21"/>
          <w:lang w:val="en-US" w:eastAsia="zh-CN"/>
        </w:rPr>
        <w:t>微米</w:t>
      </w:r>
      <w:r>
        <w:rPr>
          <w:rFonts w:hint="default" w:ascii="Times New Roman" w:hAnsi="Times New Roman" w:cs="Times New Roman"/>
          <w:szCs w:val="21"/>
        </w:rPr>
        <w:t>（</w:t>
      </w:r>
      <w:r>
        <w:rPr>
          <w:rFonts w:hint="default" w:ascii="Times New Roman" w:hAnsi="Times New Roman" w:cs="Times New Roman"/>
          <w:szCs w:val="21"/>
          <w:lang w:val="en-US" w:eastAsia="zh-CN"/>
        </w:rPr>
        <w:t>μm</w:t>
      </w:r>
      <w:r>
        <w:rPr>
          <w:rFonts w:hint="default" w:ascii="Times New Roman" w:hAnsi="Times New Roman" w:cs="Times New Roman"/>
          <w:szCs w:val="21"/>
        </w:rPr>
        <w:t>）</w:t>
      </w:r>
      <w:r>
        <w:rPr>
          <w:rFonts w:ascii="Times New Roman" w:hAnsi="Times New Roman" w:cs="Times New Roman"/>
          <w:szCs w:val="21"/>
        </w:rPr>
        <w:t>；</w:t>
      </w:r>
    </w:p>
    <w:p>
      <w:pPr>
        <w:ind w:firstLine="420" w:firstLineChars="200"/>
        <w:rPr>
          <w:rFonts w:hint="default" w:ascii="Times New Roman" w:hAnsi="Times New Roman" w:cs="Times New Roman"/>
          <w:lang w:val="en-US" w:eastAsia="zh-CN"/>
        </w:rPr>
      </w:pPr>
      <w:r>
        <w:rPr>
          <w:rFonts w:hint="eastAsia" w:ascii="Times New Roman" w:hAnsi="Times New Roman" w:cs="Times New Roman"/>
          <w:i w:val="0"/>
          <w:iCs w:val="0"/>
          <w:szCs w:val="21"/>
          <w:lang w:val="en-US" w:eastAsia="zh-CN"/>
        </w:rPr>
        <w:t>M</w:t>
      </w:r>
      <w:r>
        <w:rPr>
          <w:rFonts w:hint="eastAsia" w:cs="Times New Roman"/>
          <w:i w:val="0"/>
          <w:iCs w:val="0"/>
          <w:szCs w:val="21"/>
          <w:lang w:val="en-US" w:eastAsia="zh-CN"/>
        </w:rPr>
        <w:t>in</w:t>
      </w:r>
      <w:r>
        <w:rPr>
          <w:rFonts w:hint="eastAsia" w:ascii="Times New Roman" w:hAnsi="Times New Roman" w:cs="Times New Roman"/>
          <w:i w:val="0"/>
          <w:iCs w:val="0"/>
          <w:szCs w:val="21"/>
          <w:lang w:val="en-US" w:eastAsia="zh-CN"/>
        </w:rPr>
        <w:t>（</w:t>
      </w:r>
      <w:r>
        <w:rPr>
          <w:rFonts w:hint="default" w:ascii="Times New Roman" w:hAnsi="Times New Roman" w:cs="Times New Roman"/>
          <w:i/>
          <w:iCs/>
          <w:szCs w:val="21"/>
          <w:lang w:val="en-US" w:eastAsia="zh-CN"/>
        </w:rPr>
        <w:t>t</w:t>
      </w:r>
      <w:r>
        <w:rPr>
          <w:rFonts w:ascii="Times New Roman" w:hAnsi="Times New Roman" w:cs="Times New Roman"/>
          <w:i/>
          <w:iCs/>
          <w:szCs w:val="21"/>
          <w:vertAlign w:val="subscript"/>
        </w:rPr>
        <w:t>i</w:t>
      </w:r>
      <w:r>
        <w:rPr>
          <w:rFonts w:hint="eastAsia" w:ascii="Times New Roman" w:hAnsi="Times New Roman" w:cs="Times New Roman"/>
          <w:i w:val="0"/>
          <w:iCs w:val="0"/>
          <w:szCs w:val="21"/>
          <w:lang w:val="en-US" w:eastAsia="zh-CN"/>
        </w:rPr>
        <w:t>）</w:t>
      </w:r>
      <w:r>
        <w:rPr>
          <w:rFonts w:hint="default" w:ascii="Times New Roman" w:hAnsi="Times New Roman" w:eastAsia="黑体" w:cs="Times New Roman"/>
          <w:i w:val="0"/>
          <w:iCs w:val="0"/>
          <w:szCs w:val="21"/>
        </w:rPr>
        <w:t>——</w:t>
      </w:r>
      <w:r>
        <w:rPr>
          <w:rFonts w:ascii="Times New Roman" w:hAnsi="Times New Roman" w:cs="Times New Roman"/>
          <w:szCs w:val="21"/>
        </w:rPr>
        <w:t>第</w:t>
      </w:r>
      <w:r>
        <w:rPr>
          <w:rFonts w:ascii="Times New Roman" w:hAnsi="Times New Roman" w:cs="Times New Roman"/>
          <w:i/>
          <w:iCs/>
          <w:szCs w:val="21"/>
        </w:rPr>
        <w:t>i</w:t>
      </w:r>
      <w:r>
        <w:rPr>
          <w:rFonts w:ascii="Times New Roman" w:hAnsi="Times New Roman" w:cs="Times New Roman"/>
          <w:szCs w:val="21"/>
        </w:rPr>
        <w:t>个</w:t>
      </w:r>
      <w:r>
        <w:rPr>
          <w:rFonts w:hint="default" w:ascii="Times New Roman" w:hAnsi="Times New Roman" w:cs="Times New Roman"/>
          <w:szCs w:val="21"/>
        </w:rPr>
        <w:t>测试</w:t>
      </w:r>
      <w:r>
        <w:rPr>
          <w:rFonts w:ascii="Times New Roman" w:hAnsi="Times New Roman" w:cs="Times New Roman"/>
          <w:szCs w:val="21"/>
        </w:rPr>
        <w:t>点的</w:t>
      </w:r>
      <w:r>
        <w:rPr>
          <w:rFonts w:hint="default" w:ascii="Times New Roman" w:hAnsi="Times New Roman" w:cs="Times New Roman"/>
          <w:szCs w:val="21"/>
          <w:lang w:val="en-US" w:eastAsia="zh-CN"/>
        </w:rPr>
        <w:t>晶片厚度</w:t>
      </w:r>
      <w:r>
        <w:rPr>
          <w:rFonts w:hint="eastAsia" w:cs="Times New Roman"/>
          <w:szCs w:val="21"/>
          <w:lang w:val="en-US" w:eastAsia="zh-CN"/>
        </w:rPr>
        <w:t>最小值</w:t>
      </w:r>
      <w:r>
        <w:rPr>
          <w:rFonts w:ascii="Times New Roman" w:hAnsi="Times New Roman" w:cs="Times New Roman"/>
          <w:szCs w:val="21"/>
        </w:rPr>
        <w:t>，</w:t>
      </w:r>
      <w:r>
        <w:rPr>
          <w:rFonts w:hint="default" w:ascii="Times New Roman" w:hAnsi="Times New Roman" w:cs="Times New Roman"/>
          <w:szCs w:val="21"/>
        </w:rPr>
        <w:t>单位为</w:t>
      </w:r>
      <w:r>
        <w:rPr>
          <w:rFonts w:hint="default" w:ascii="Times New Roman" w:hAnsi="Times New Roman" w:cs="Times New Roman"/>
          <w:szCs w:val="21"/>
          <w:lang w:val="en-US" w:eastAsia="zh-CN"/>
        </w:rPr>
        <w:t>微米</w:t>
      </w:r>
      <w:r>
        <w:rPr>
          <w:rFonts w:hint="default" w:ascii="Times New Roman" w:hAnsi="Times New Roman" w:cs="Times New Roman"/>
          <w:szCs w:val="21"/>
        </w:rPr>
        <w:t>（</w:t>
      </w:r>
      <w:r>
        <w:rPr>
          <w:rFonts w:hint="default" w:ascii="Times New Roman" w:hAnsi="Times New Roman" w:cs="Times New Roman"/>
          <w:szCs w:val="21"/>
          <w:lang w:val="en-US" w:eastAsia="zh-CN"/>
        </w:rPr>
        <w:t>μm</w:t>
      </w:r>
      <w:r>
        <w:rPr>
          <w:rFonts w:hint="default" w:ascii="Times New Roman" w:hAnsi="Times New Roman" w:cs="Times New Roman"/>
          <w:szCs w:val="21"/>
        </w:rPr>
        <w:t>）</w:t>
      </w:r>
      <w:r>
        <w:rPr>
          <w:rFonts w:ascii="Times New Roman" w:hAnsi="Times New Roman" w:cs="Times New Roman"/>
          <w:szCs w:val="21"/>
        </w:rPr>
        <w:t>；</w:t>
      </w:r>
    </w:p>
    <w:p>
      <w:pPr>
        <w:pStyle w:val="46"/>
        <w:keepNext w:val="0"/>
        <w:keepLines w:val="0"/>
        <w:pageBreakBefore w:val="0"/>
        <w:widowControl/>
        <w:numPr>
          <w:ilvl w:val="-1"/>
          <w:numId w:val="0"/>
        </w:numPr>
        <w:kinsoku/>
        <w:wordWrap/>
        <w:overflowPunct/>
        <w:topLinePunct w:val="0"/>
        <w:autoSpaceDE/>
        <w:autoSpaceDN/>
        <w:bidi w:val="0"/>
        <w:adjustRightInd/>
        <w:snapToGrid/>
        <w:spacing w:before="312" w:beforeLines="50" w:after="157" w:afterLines="50"/>
        <w:ind w:left="-424" w:leftChars="-202" w:firstLine="0" w:firstLineChars="0"/>
        <w:textAlignment w:val="auto"/>
        <w:rPr>
          <w:rFonts w:hint="eastAsia" w:hAnsi="黑体" w:cs="黑体"/>
          <w:lang w:val="en-US" w:eastAsia="zh-CN"/>
        </w:rPr>
      </w:pPr>
    </w:p>
    <w:p>
      <w:pPr>
        <w:pStyle w:val="46"/>
        <w:keepNext w:val="0"/>
        <w:keepLines w:val="0"/>
        <w:pageBreakBefore w:val="0"/>
        <w:widowControl/>
        <w:numPr>
          <w:ilvl w:val="-1"/>
          <w:numId w:val="0"/>
        </w:numPr>
        <w:kinsoku/>
        <w:wordWrap/>
        <w:overflowPunct/>
        <w:topLinePunct w:val="0"/>
        <w:autoSpaceDE/>
        <w:autoSpaceDN/>
        <w:bidi w:val="0"/>
        <w:adjustRightInd/>
        <w:snapToGrid/>
        <w:spacing w:before="312" w:beforeLines="50" w:after="157" w:afterLines="50"/>
        <w:ind w:left="-424" w:leftChars="-202" w:firstLine="0" w:firstLineChars="0"/>
        <w:textAlignment w:val="auto"/>
        <w:rPr>
          <w:rFonts w:hint="eastAsia" w:hAnsi="黑体" w:cs="黑体"/>
          <w:lang w:val="en-US" w:eastAsia="zh-CN"/>
        </w:rPr>
      </w:pPr>
    </w:p>
    <w:p>
      <w:pPr>
        <w:pStyle w:val="46"/>
        <w:keepNext w:val="0"/>
        <w:keepLines w:val="0"/>
        <w:pageBreakBefore w:val="0"/>
        <w:widowControl/>
        <w:numPr>
          <w:ilvl w:val="0"/>
          <w:numId w:val="19"/>
        </w:numPr>
        <w:kinsoku/>
        <w:wordWrap/>
        <w:overflowPunct/>
        <w:topLinePunct w:val="0"/>
        <w:autoSpaceDE/>
        <w:autoSpaceDN/>
        <w:bidi w:val="0"/>
        <w:adjustRightInd/>
        <w:snapToGrid/>
        <w:spacing w:before="312" w:beforeLines="50" w:after="157" w:afterLines="50"/>
        <w:ind w:left="424" w:hanging="424" w:hangingChars="202"/>
        <w:textAlignment w:val="auto"/>
        <w:rPr>
          <w:rFonts w:hint="eastAsia" w:hAnsi="黑体" w:cs="黑体"/>
          <w:lang w:val="en-US" w:eastAsia="zh-CN"/>
        </w:rPr>
      </w:pPr>
      <w:r>
        <w:rPr>
          <w:rFonts w:hint="eastAsia" w:hAnsi="黑体" w:cs="黑体"/>
          <w:lang w:val="en-US" w:eastAsia="zh-CN"/>
        </w:rPr>
        <w:t>精密度</w:t>
      </w:r>
    </w:p>
    <w:p>
      <w:pPr>
        <w:pStyle w:val="45"/>
        <w:numPr>
          <w:ilvl w:val="-1"/>
          <w:numId w:val="0"/>
        </w:numPr>
        <w:autoSpaceDE/>
        <w:autoSpaceDN/>
        <w:spacing w:beforeLines="0" w:afterLines="0"/>
        <w:ind w:left="0" w:firstLine="420" w:firstLineChars="200"/>
        <w:rPr>
          <w:rFonts w:hint="default"/>
          <w:lang w:val="en-US" w:eastAsia="zh-CN"/>
        </w:rPr>
      </w:pPr>
      <w:r>
        <w:rPr>
          <w:rFonts w:hint="eastAsia" w:ascii="宋体" w:hAnsi="宋体" w:eastAsia="宋体" w:cs="宋体"/>
          <w:lang w:val="en-US" w:eastAsia="zh-CN"/>
        </w:rPr>
        <w:t>单个实验室中，本方法测量碳化硅单晶片的厚度和总厚度变化的重复性相对标准偏差不大于10%；多个实验室中，本方法测量碳化硅单晶片的厚度和总厚度变化的再现性相对标准偏差不大于10%。</w:t>
      </w:r>
    </w:p>
    <w:p>
      <w:pPr>
        <w:pStyle w:val="46"/>
        <w:keepNext w:val="0"/>
        <w:keepLines w:val="0"/>
        <w:pageBreakBefore w:val="0"/>
        <w:widowControl/>
        <w:numPr>
          <w:ilvl w:val="0"/>
          <w:numId w:val="19"/>
        </w:numPr>
        <w:kinsoku/>
        <w:wordWrap/>
        <w:overflowPunct/>
        <w:topLinePunct w:val="0"/>
        <w:autoSpaceDE/>
        <w:autoSpaceDN/>
        <w:bidi w:val="0"/>
        <w:adjustRightInd/>
        <w:snapToGrid/>
        <w:spacing w:before="312" w:beforeLines="50" w:after="157" w:afterLines="50"/>
        <w:ind w:left="424" w:hanging="424" w:hangingChars="202"/>
        <w:textAlignment w:val="auto"/>
        <w:rPr>
          <w:rFonts w:hint="eastAsia" w:ascii="黑体" w:hAnsi="黑体" w:eastAsia="黑体" w:cs="黑体"/>
          <w:lang w:val="en-US" w:eastAsia="zh-CN"/>
        </w:rPr>
      </w:pPr>
      <w:r>
        <w:rPr>
          <w:rFonts w:hint="eastAsia" w:hAnsi="黑体" w:cs="黑体"/>
          <w:lang w:val="en-US" w:eastAsia="zh-CN"/>
        </w:rPr>
        <w:t>试验报告</w:t>
      </w:r>
    </w:p>
    <w:p>
      <w:pPr>
        <w:ind w:firstLine="420" w:firstLineChars="200"/>
        <w:rPr>
          <w:bCs/>
          <w:szCs w:val="21"/>
        </w:rPr>
      </w:pPr>
      <w:r>
        <w:rPr>
          <w:rFonts w:hint="eastAsia" w:hAnsi="宋体"/>
          <w:bCs/>
          <w:szCs w:val="21"/>
        </w:rPr>
        <w:t>试验</w:t>
      </w:r>
      <w:r>
        <w:rPr>
          <w:rFonts w:hAnsi="宋体"/>
          <w:bCs/>
          <w:szCs w:val="21"/>
        </w:rPr>
        <w:t>报告</w:t>
      </w:r>
      <w:r>
        <w:rPr>
          <w:rFonts w:hint="eastAsia" w:hAnsi="宋体"/>
          <w:bCs/>
          <w:szCs w:val="21"/>
        </w:rPr>
        <w:t>应至少包括以下</w:t>
      </w:r>
      <w:r>
        <w:rPr>
          <w:rFonts w:hAnsi="宋体"/>
          <w:bCs/>
          <w:szCs w:val="21"/>
        </w:rPr>
        <w:t>内容：</w:t>
      </w:r>
    </w:p>
    <w:p>
      <w:pPr>
        <w:pStyle w:val="62"/>
        <w:rPr>
          <w:szCs w:val="21"/>
        </w:rPr>
      </w:pPr>
      <w:r>
        <w:rPr>
          <w:rFonts w:hint="eastAsia"/>
          <w:szCs w:val="21"/>
        </w:rPr>
        <w:t>送样单位</w:t>
      </w:r>
      <w:r>
        <w:rPr>
          <w:szCs w:val="21"/>
        </w:rPr>
        <w:t xml:space="preserve">； </w:t>
      </w:r>
    </w:p>
    <w:p>
      <w:pPr>
        <w:pStyle w:val="62"/>
        <w:rPr>
          <w:szCs w:val="21"/>
        </w:rPr>
      </w:pPr>
      <w:r>
        <w:rPr>
          <w:szCs w:val="21"/>
        </w:rPr>
        <w:t>样品</w:t>
      </w:r>
      <w:r>
        <w:rPr>
          <w:rFonts w:hint="eastAsia"/>
          <w:szCs w:val="21"/>
        </w:rPr>
        <w:t>信息，包括（样品直径、编号）</w:t>
      </w:r>
      <w:r>
        <w:rPr>
          <w:szCs w:val="21"/>
        </w:rPr>
        <w:t>；</w:t>
      </w:r>
    </w:p>
    <w:p>
      <w:pPr>
        <w:pStyle w:val="62"/>
        <w:rPr>
          <w:szCs w:val="21"/>
        </w:rPr>
      </w:pPr>
      <w:r>
        <w:rPr>
          <w:rFonts w:hint="eastAsia"/>
          <w:szCs w:val="21"/>
        </w:rPr>
        <w:t>测试日期；</w:t>
      </w:r>
    </w:p>
    <w:p>
      <w:pPr>
        <w:pStyle w:val="62"/>
        <w:rPr>
          <w:szCs w:val="21"/>
        </w:rPr>
      </w:pPr>
      <w:r>
        <w:rPr>
          <w:rFonts w:hint="eastAsia"/>
          <w:szCs w:val="21"/>
          <w:lang w:val="en-US" w:eastAsia="zh-CN"/>
        </w:rPr>
        <w:t>测试结果（THK、TTV）</w:t>
      </w:r>
      <w:r>
        <w:rPr>
          <w:szCs w:val="21"/>
        </w:rPr>
        <w:t>；</w:t>
      </w:r>
    </w:p>
    <w:p>
      <w:pPr>
        <w:pStyle w:val="62"/>
        <w:rPr>
          <w:szCs w:val="21"/>
        </w:rPr>
      </w:pPr>
      <w:r>
        <w:rPr>
          <w:rFonts w:hint="eastAsia"/>
          <w:szCs w:val="21"/>
        </w:rPr>
        <w:t>本文件编号；</w:t>
      </w:r>
    </w:p>
    <w:p>
      <w:pPr>
        <w:pStyle w:val="62"/>
        <w:rPr>
          <w:szCs w:val="21"/>
        </w:rPr>
      </w:pPr>
      <w:r>
        <w:rPr>
          <w:rFonts w:hint="eastAsia"/>
          <w:szCs w:val="21"/>
        </w:rPr>
        <w:t>其他。</w:t>
      </w:r>
    </w:p>
    <w:p>
      <w:pPr>
        <w:pStyle w:val="25"/>
        <w:spacing w:before="156" w:beforeLines="50" w:after="156" w:afterLines="50"/>
        <w:ind w:firstLine="0" w:firstLineChars="0"/>
        <w:jc w:val="center"/>
        <w:rPr>
          <w:rFonts w:hint="eastAsia" w:ascii="黑体" w:hAnsi="黑体" w:eastAsia="黑体"/>
          <w:szCs w:val="22"/>
        </w:rPr>
      </w:pPr>
      <w:r>
        <w:rPr>
          <w:rFonts w:hint="eastAsia" w:ascii="黑体" w:hAnsi="黑体" w:eastAsia="黑体"/>
        </w:rPr>
        <w:t>方法</w:t>
      </w:r>
      <w:r>
        <w:rPr>
          <w:rFonts w:hint="eastAsia" w:ascii="黑体" w:hAnsi="黑体" w:eastAsia="黑体"/>
          <w:lang w:val="en-US" w:eastAsia="zh-CN"/>
        </w:rPr>
        <w:t>2</w:t>
      </w:r>
      <w:r>
        <w:rPr>
          <w:rFonts w:hint="eastAsia" w:ascii="黑体" w:hAnsi="黑体" w:eastAsia="黑体"/>
        </w:rPr>
        <w:t xml:space="preserve">  </w:t>
      </w:r>
      <w:r>
        <w:rPr>
          <w:rFonts w:hint="eastAsia" w:ascii="黑体" w:hAnsi="黑体" w:eastAsia="黑体"/>
          <w:lang w:val="en-US" w:eastAsia="zh-CN"/>
        </w:rPr>
        <w:t>自动非接触式测量方</w:t>
      </w:r>
      <w:r>
        <w:rPr>
          <w:rFonts w:hint="eastAsia" w:ascii="黑体" w:hAnsi="黑体" w:eastAsia="黑体"/>
          <w:szCs w:val="22"/>
        </w:rPr>
        <w:t>法</w:t>
      </w:r>
    </w:p>
    <w:p>
      <w:pPr>
        <w:pStyle w:val="46"/>
        <w:keepNext w:val="0"/>
        <w:keepLines w:val="0"/>
        <w:pageBreakBefore w:val="0"/>
        <w:widowControl/>
        <w:numPr>
          <w:ilvl w:val="0"/>
          <w:numId w:val="19"/>
        </w:numPr>
        <w:kinsoku/>
        <w:wordWrap/>
        <w:overflowPunct/>
        <w:topLinePunct w:val="0"/>
        <w:autoSpaceDE/>
        <w:autoSpaceDN/>
        <w:bidi w:val="0"/>
        <w:adjustRightInd/>
        <w:snapToGrid/>
        <w:spacing w:before="312" w:beforeLines="50" w:after="157" w:afterLines="50"/>
        <w:ind w:left="424" w:hanging="424" w:hangingChars="202"/>
        <w:textAlignment w:val="auto"/>
        <w:rPr>
          <w:rFonts w:hint="eastAsia" w:ascii="黑体" w:hAnsi="黑体" w:eastAsia="黑体" w:cs="黑体"/>
          <w:lang w:val="en-US" w:eastAsia="zh-CN"/>
        </w:rPr>
      </w:pPr>
      <w:r>
        <w:rPr>
          <w:rFonts w:hint="eastAsia" w:hAnsi="黑体" w:cs="黑体"/>
          <w:lang w:val="en-US" w:eastAsia="zh-CN"/>
        </w:rPr>
        <w:t>方法原理</w:t>
      </w:r>
    </w:p>
    <w:p>
      <w:pPr>
        <w:pStyle w:val="45"/>
        <w:numPr>
          <w:ilvl w:val="-1"/>
          <w:numId w:val="0"/>
        </w:numPr>
        <w:spacing w:beforeLines="0" w:after="0" w:afterLines="0"/>
        <w:ind w:left="0" w:firstLine="420" w:firstLineChars="20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一束平行光被分光镜（棱镜）分为两束光，其中一束经过固定</w:t>
      </w:r>
      <w:r>
        <w:rPr>
          <w:rFonts w:hint="eastAsia" w:ascii="宋体" w:hAnsi="宋体" w:eastAsia="宋体" w:cs="Times New Roman"/>
          <w:color w:val="auto"/>
          <w:sz w:val="21"/>
          <w:szCs w:val="21"/>
          <w:lang w:val="en-US" w:eastAsia="zh-CN" w:bidi="ar-SA"/>
        </w:rPr>
        <w:t>的</w:t>
      </w:r>
      <w:r>
        <w:rPr>
          <w:rFonts w:hint="eastAsia" w:ascii="宋体" w:hAnsi="宋体" w:eastAsia="宋体" w:cs="Times New Roman"/>
          <w:color w:val="auto"/>
          <w:sz w:val="21"/>
          <w:szCs w:val="21"/>
          <w:highlight w:val="none"/>
          <w:lang w:val="en-US" w:eastAsia="zh-CN" w:bidi="ar-SA"/>
        </w:rPr>
        <w:t>棱镜底部反射</w:t>
      </w:r>
      <w:r>
        <w:rPr>
          <w:rFonts w:hint="eastAsia" w:ascii="宋体" w:hAnsi="宋体" w:eastAsia="宋体" w:cs="Times New Roman"/>
          <w:sz w:val="21"/>
          <w:szCs w:val="21"/>
          <w:lang w:val="en-US" w:eastAsia="zh-CN" w:bidi="ar-SA"/>
        </w:rPr>
        <w:t>形成参考光，另一束经过移动的反射镜形成测量光，参考光和测量光经过分光镜（棱镜）后汇合。如果两束光相位差稳定，则发生干涉现象，两列光波相位相同时，光波叠加增强，表现为亮条纹，反之，如果两束光波相位相反，光波相互抵消，则表现为暗条纹。通过干涉条纹可反映出样品表面的起伏状态，进而结合入射光的波长、入射角及干涉条纹的宽度和相位差，可计算出样品的厚度和平整度。测试光路图如图2所示。</w:t>
      </w:r>
    </w:p>
    <w:p>
      <w:pPr>
        <w:pStyle w:val="25"/>
        <w:spacing w:after="313" w:afterLines="100"/>
        <w:rPr>
          <w:rFonts w:hint="eastAsia" w:ascii="宋体" w:hAnsi="宋体" w:eastAsia="宋体" w:cs="Times New Roman"/>
          <w:sz w:val="21"/>
          <w:szCs w:val="21"/>
          <w:lang w:val="en-US" w:eastAsia="zh-CN" w:bidi="ar-SA"/>
        </w:rPr>
      </w:pPr>
      <w:r>
        <w:rPr>
          <w:sz w:val="21"/>
        </w:rPr>
        <mc:AlternateContent>
          <mc:Choice Requires="wpg">
            <w:drawing>
              <wp:anchor distT="0" distB="0" distL="114300" distR="114300" simplePos="0" relativeHeight="251673600" behindDoc="0" locked="0" layoutInCell="1" allowOverlap="1">
                <wp:simplePos x="0" y="0"/>
                <wp:positionH relativeFrom="column">
                  <wp:posOffset>1375410</wp:posOffset>
                </wp:positionH>
                <wp:positionV relativeFrom="paragraph">
                  <wp:posOffset>374015</wp:posOffset>
                </wp:positionV>
                <wp:extent cx="4024630" cy="2265680"/>
                <wp:effectExtent l="0" t="0" r="0" b="0"/>
                <wp:wrapNone/>
                <wp:docPr id="37" name="组合 37"/>
                <wp:cNvGraphicFramePr/>
                <a:graphic xmlns:a="http://schemas.openxmlformats.org/drawingml/2006/main">
                  <a:graphicData uri="http://schemas.microsoft.com/office/word/2010/wordprocessingGroup">
                    <wpg:wgp>
                      <wpg:cNvGrpSpPr/>
                      <wpg:grpSpPr>
                        <a:xfrm>
                          <a:off x="0" y="0"/>
                          <a:ext cx="4024630" cy="2265680"/>
                          <a:chOff x="5346" y="94599"/>
                          <a:chExt cx="6338" cy="3568"/>
                        </a:xfrm>
                      </wpg:grpSpPr>
                      <wpg:grpSp>
                        <wpg:cNvPr id="30" name="组合 30"/>
                        <wpg:cNvGrpSpPr/>
                        <wpg:grpSpPr>
                          <a:xfrm>
                            <a:off x="5346" y="94599"/>
                            <a:ext cx="6300" cy="3569"/>
                            <a:chOff x="8425" y="73422"/>
                            <a:chExt cx="6300" cy="3569"/>
                          </a:xfrm>
                        </wpg:grpSpPr>
                        <wps:wsp>
                          <wps:cNvPr id="13" name="直接箭头连接符 13"/>
                          <wps:cNvCnPr/>
                          <wps:spPr>
                            <a:xfrm flipV="1">
                              <a:off x="13086" y="75768"/>
                              <a:ext cx="918" cy="294"/>
                            </a:xfrm>
                            <a:prstGeom prst="straightConnector1">
                              <a:avLst/>
                            </a:prstGeom>
                            <a:ln w="9525">
                              <a:solidFill>
                                <a:srgbClr val="0000FF"/>
                              </a:solidFill>
                              <a:headEnd type="none"/>
                              <a:tailEnd type="none"/>
                            </a:ln>
                          </wps:spPr>
                          <wps:style>
                            <a:lnRef idx="2">
                              <a:schemeClr val="accent1"/>
                            </a:lnRef>
                            <a:fillRef idx="0">
                              <a:srgbClr val="FFFFFF"/>
                            </a:fillRef>
                            <a:effectRef idx="0">
                              <a:srgbClr val="FFFFFF"/>
                            </a:effectRef>
                            <a:fontRef idx="minor">
                              <a:schemeClr val="tx1"/>
                            </a:fontRef>
                          </wps:style>
                          <wps:bodyPr/>
                        </wps:wsp>
                        <wps:wsp>
                          <wps:cNvPr id="19" name="文本框 19"/>
                          <wps:cNvSpPr txBox="1"/>
                          <wps:spPr>
                            <a:xfrm>
                              <a:off x="8425" y="74971"/>
                              <a:ext cx="589" cy="5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直接箭头连接符 20"/>
                          <wps:cNvCnPr/>
                          <wps:spPr>
                            <a:xfrm flipH="1">
                              <a:off x="11244" y="74652"/>
                              <a:ext cx="2004" cy="1344"/>
                            </a:xfrm>
                            <a:prstGeom prst="straightConnector1">
                              <a:avLst/>
                            </a:prstGeom>
                            <a:ln w="9525">
                              <a:solidFill>
                                <a:srgbClr val="0000FF"/>
                              </a:solidFill>
                              <a:headEnd type="none"/>
                              <a:tailEnd type="none"/>
                            </a:ln>
                          </wps:spPr>
                          <wps:style>
                            <a:lnRef idx="2">
                              <a:schemeClr val="accent1"/>
                            </a:lnRef>
                            <a:fillRef idx="0">
                              <a:srgbClr val="FFFFFF"/>
                            </a:fillRef>
                            <a:effectRef idx="0">
                              <a:srgbClr val="FFFFFF"/>
                            </a:effectRef>
                            <a:fontRef idx="minor">
                              <a:schemeClr val="tx1"/>
                            </a:fontRef>
                          </wps:style>
                          <wps:bodyPr/>
                        </wps:wsp>
                        <wps:wsp>
                          <wps:cNvPr id="21" name="直接箭头连接符 21"/>
                          <wps:cNvCnPr/>
                          <wps:spPr>
                            <a:xfrm>
                              <a:off x="10332" y="73848"/>
                              <a:ext cx="576" cy="600"/>
                            </a:xfrm>
                            <a:prstGeom prst="straightConnector1">
                              <a:avLst/>
                            </a:prstGeom>
                            <a:ln w="9525">
                              <a:solidFill>
                                <a:srgbClr val="0000FF"/>
                              </a:solidFill>
                              <a:headEnd type="none"/>
                              <a:tailEnd type="none"/>
                            </a:ln>
                          </wps:spPr>
                          <wps:style>
                            <a:lnRef idx="2">
                              <a:schemeClr val="accent1"/>
                            </a:lnRef>
                            <a:fillRef idx="0">
                              <a:srgbClr val="FFFFFF"/>
                            </a:fillRef>
                            <a:effectRef idx="0">
                              <a:srgbClr val="FFFFFF"/>
                            </a:effectRef>
                            <a:fontRef idx="minor">
                              <a:schemeClr val="tx1"/>
                            </a:fontRef>
                          </wps:style>
                          <wps:bodyPr/>
                        </wps:wsp>
                        <wps:wsp>
                          <wps:cNvPr id="22" name="文本框 22"/>
                          <wps:cNvSpPr txBox="1"/>
                          <wps:spPr>
                            <a:xfrm>
                              <a:off x="12090" y="73894"/>
                              <a:ext cx="589" cy="5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2410" y="74120"/>
                              <a:ext cx="589" cy="5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3176" y="74298"/>
                              <a:ext cx="589" cy="5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3932" y="75426"/>
                              <a:ext cx="589" cy="5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9972" y="73422"/>
                              <a:ext cx="589" cy="5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14136" y="76590"/>
                              <a:ext cx="589" cy="4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接箭头连接符 29"/>
                          <wps:cNvCnPr/>
                          <wps:spPr>
                            <a:xfrm flipV="1">
                              <a:off x="14058" y="76823"/>
                              <a:ext cx="210" cy="3"/>
                            </a:xfrm>
                            <a:prstGeom prst="straightConnector1">
                              <a:avLst/>
                            </a:prstGeom>
                            <a:ln w="9525">
                              <a:solidFill>
                                <a:srgbClr val="0000FF"/>
                              </a:solidFill>
                              <a:headEnd type="none"/>
                              <a:tailEnd type="none"/>
                            </a:ln>
                          </wps:spPr>
                          <wps:style>
                            <a:lnRef idx="2">
                              <a:schemeClr val="accent1"/>
                            </a:lnRef>
                            <a:fillRef idx="0">
                              <a:srgbClr val="FFFFFF"/>
                            </a:fillRef>
                            <a:effectRef idx="0">
                              <a:srgbClr val="FFFFFF"/>
                            </a:effectRef>
                            <a:fontRef idx="minor">
                              <a:schemeClr val="tx1"/>
                            </a:fontRef>
                          </wps:style>
                          <wps:bodyPr/>
                        </wps:wsp>
                      </wpg:grpSp>
                      <wps:wsp>
                        <wps:cNvPr id="35" name="文本框 35"/>
                        <wps:cNvSpPr txBox="1"/>
                        <wps:spPr>
                          <a:xfrm>
                            <a:off x="11096" y="97416"/>
                            <a:ext cx="589" cy="5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直接箭头连接符 36"/>
                        <wps:cNvCnPr/>
                        <wps:spPr>
                          <a:xfrm flipV="1">
                            <a:off x="10822" y="97682"/>
                            <a:ext cx="367" cy="50"/>
                          </a:xfrm>
                          <a:prstGeom prst="straightConnector1">
                            <a:avLst/>
                          </a:prstGeom>
                          <a:ln w="9525">
                            <a:solidFill>
                              <a:srgbClr val="0000FF"/>
                            </a:solidFill>
                            <a:headEnd type="none"/>
                            <a:tailEnd type="none"/>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08.3pt;margin-top:29.45pt;height:178.4pt;width:316.9pt;z-index:251673600;mso-width-relative:page;mso-height-relative:page;" coordorigin="5346,94599" coordsize="6338,3568" o:gfxdata="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">
                <o:lock v:ext="edit" aspectratio="f"/>
                <v:group id="_x0000_s1026" o:spid="_x0000_s1026" o:spt="203" style="position:absolute;left:5346;top:94599;height:3569;width:6300;" coordorigin="8425,73422" coordsize="6300,3569"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_x0000_s1026" o:spid="_x0000_s1026" o:spt="32" type="#_x0000_t32" style="position:absolute;left:13086;top:75768;flip:y;height:294;width:918;" filled="f" stroked="t" coordsize="21600,21600" o:gfxdata="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3JLVugAAANsA&#10;AAAPAAAAAAAAAAEAIAAAACIAAABkcnMvZG93bnJldi54bWxQSwECFAAUAAAACACHTuJAMy8FnjsA&#10;AAA5AAAAEAAAAAAAAAABACAAAAAJAQAAZHJzL3NoYXBleG1sLnhtbFBLBQYAAAAABgAGAFsBAACz&#10;AwAAAAA=&#10;">
                    <v:fill on="f" focussize="0,0"/>
                    <v:stroke color="#0000FF [3204]" joinstyle="round"/>
                    <v:imagedata o:title=""/>
                    <o:lock v:ext="edit" aspectratio="f"/>
                  </v:shape>
                  <v:shape id="_x0000_s1026" o:spid="_x0000_s1026" o:spt="202" type="#_x0000_t202" style="position:absolute;left:8425;top:74971;height:576;width:589;"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eastAsia="宋体"/>
                              <w:lang w:val="en-US" w:eastAsia="zh-CN"/>
                            </w:rPr>
                          </w:pPr>
                          <w:r>
                            <w:rPr>
                              <w:rFonts w:hint="eastAsia"/>
                              <w:lang w:val="en-US" w:eastAsia="zh-CN"/>
                            </w:rPr>
                            <w:t>①</w:t>
                          </w:r>
                        </w:p>
                      </w:txbxContent>
                    </v:textbox>
                  </v:shape>
                  <v:shape id="_x0000_s1026" o:spid="_x0000_s1026" o:spt="32" type="#_x0000_t32" style="position:absolute;left:11244;top:74652;flip:x;height:1344;width:2004;" filled="f" stroked="t" coordsize="21600,21600" o:gfxdata="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YsYfugAAANsA&#10;AAAPAAAAAAAAAAEAIAAAACIAAABkcnMvZG93bnJldi54bWxQSwECFAAUAAAACACHTuJAMy8FnjsA&#10;AAA5AAAAEAAAAAAAAAABACAAAAAJAQAAZHJzL3NoYXBleG1sLnhtbFBLBQYAAAAABgAGAFsBAACz&#10;AwAAAAA=&#10;">
                    <v:fill on="f" focussize="0,0"/>
                    <v:stroke color="#0000FF [3204]" joinstyle="round"/>
                    <v:imagedata o:title=""/>
                    <o:lock v:ext="edit" aspectratio="f"/>
                  </v:shape>
                  <v:shape id="_x0000_s1026" o:spid="_x0000_s1026" o:spt="32" type="#_x0000_t32" style="position:absolute;left:10332;top:73848;height:600;width:576;" filled="f" stroked="t" coordsize="21600,21600" o:gfxdata="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0k1w74A&#10;AADbAAAADwAAAAAAAAABACAAAAAiAAAAZHJzL2Rvd25yZXYueG1sUEsBAhQAFAAAAAgAh07iQDMv&#10;BZ47AAAAOQAAABAAAAAAAAAAAQAgAAAADQEAAGRycy9zaGFwZXhtbC54bWxQSwUGAAAAAAYABgBb&#10;AQAAtwMAAAAA&#10;">
                    <v:fill on="f" focussize="0,0"/>
                    <v:stroke color="#0000FF [3204]" joinstyle="round"/>
                    <v:imagedata o:title=""/>
                    <o:lock v:ext="edit" aspectratio="f"/>
                  </v:shape>
                  <v:shape id="_x0000_s1026" o:spid="_x0000_s1026" o:spt="202" type="#_x0000_t202" style="position:absolute;left:12090;top:73894;height:576;width:589;"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lang w:val="en-US" w:eastAsia="zh-CN"/>
                            </w:rPr>
                          </w:pPr>
                          <w:r>
                            <w:rPr>
                              <w:rFonts w:hint="eastAsia"/>
                              <w:lang w:val="en-US" w:eastAsia="zh-CN"/>
                            </w:rPr>
                            <w:t>②</w:t>
                          </w:r>
                        </w:p>
                      </w:txbxContent>
                    </v:textbox>
                  </v:shape>
                  <v:shape id="_x0000_s1026" o:spid="_x0000_s1026" o:spt="202" type="#_x0000_t202" style="position:absolute;left:12410;top:74120;height:576;width:589;"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lang w:val="en-US" w:eastAsia="zh-CN"/>
                            </w:rPr>
                          </w:pPr>
                          <w:r>
                            <w:rPr>
                              <w:rFonts w:hint="eastAsia"/>
                              <w:lang w:val="en-US" w:eastAsia="zh-CN"/>
                            </w:rPr>
                            <w:t>③</w:t>
                          </w:r>
                        </w:p>
                      </w:txbxContent>
                    </v:textbox>
                  </v:shape>
                  <v:shape id="_x0000_s1026" o:spid="_x0000_s1026" o:spt="202" type="#_x0000_t202" style="position:absolute;left:13176;top:74298;height:576;width:589;"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lang w:val="en-US" w:eastAsia="zh-CN"/>
                            </w:rPr>
                          </w:pPr>
                          <w:r>
                            <w:rPr>
                              <w:rFonts w:hint="eastAsia"/>
                              <w:lang w:val="en-US" w:eastAsia="zh-CN"/>
                            </w:rPr>
                            <w:t>④</w:t>
                          </w:r>
                        </w:p>
                      </w:txbxContent>
                    </v:textbox>
                  </v:shape>
                  <v:shape id="_x0000_s1026" o:spid="_x0000_s1026" o:spt="202" type="#_x0000_t202" style="position:absolute;left:13932;top:75426;height:576;width:589;"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lang w:val="en-US" w:eastAsia="zh-CN"/>
                            </w:rPr>
                          </w:pPr>
                          <w:r>
                            <w:rPr>
                              <w:rFonts w:hint="eastAsia"/>
                              <w:lang w:val="en-US" w:eastAsia="zh-CN"/>
                            </w:rPr>
                            <w:t>⑤</w:t>
                          </w:r>
                        </w:p>
                      </w:txbxContent>
                    </v:textbox>
                  </v:shape>
                  <v:shape id="_x0000_s1026" o:spid="_x0000_s1026" o:spt="202" type="#_x0000_t202" style="position:absolute;left:9972;top:73422;height:576;width:589;"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eastAsia="宋体"/>
                              <w:lang w:val="en-US" w:eastAsia="zh-CN"/>
                            </w:rPr>
                          </w:pPr>
                          <w:r>
                            <w:rPr>
                              <w:rFonts w:hint="eastAsia"/>
                              <w:lang w:val="en-US" w:eastAsia="zh-CN"/>
                            </w:rPr>
                            <w:t>⑥</w:t>
                          </w:r>
                        </w:p>
                      </w:txbxContent>
                    </v:textbox>
                  </v:shape>
                  <v:shape id="_x0000_s1026" o:spid="_x0000_s1026" o:spt="202" type="#_x0000_t202" style="position:absolute;left:14136;top:76590;height:401;width:589;" filled="f" stroked="f" coordsize="21600,21600" o:gfxdata="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Po87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default" w:eastAsia="宋体"/>
                              <w:lang w:val="en-US" w:eastAsia="zh-CN"/>
                            </w:rPr>
                          </w:pPr>
                          <w:r>
                            <w:rPr>
                              <w:rFonts w:hint="eastAsia"/>
                              <w:lang w:val="en-US" w:eastAsia="zh-CN"/>
                            </w:rPr>
                            <w:t>⑦</w:t>
                          </w:r>
                        </w:p>
                      </w:txbxContent>
                    </v:textbox>
                  </v:shape>
                  <v:shape id="_x0000_s1026" o:spid="_x0000_s1026" o:spt="32" type="#_x0000_t32" style="position:absolute;left:14058;top:76823;flip:y;height:3;width:210;" filled="f" stroked="t" coordsize="21600,21600" o:gfxdata="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WG+CvQAA&#10;ANsAAAAPAAAAAAAAAAEAIAAAACIAAABkcnMvZG93bnJldi54bWxQSwECFAAUAAAACACHTuJAMy8F&#10;njsAAAA5AAAAEAAAAAAAAAABACAAAAAMAQAAZHJzL3NoYXBleG1sLnhtbFBLBQYAAAAABgAGAFsB&#10;AAC2AwAAAAA=&#10;">
                    <v:fill on="f" focussize="0,0"/>
                    <v:stroke color="#0000FF [3204]" joinstyle="round"/>
                    <v:imagedata o:title=""/>
                    <o:lock v:ext="edit" aspectratio="f"/>
                  </v:shape>
                </v:group>
                <v:shape id="_x0000_s1026" o:spid="_x0000_s1026" o:spt="202" type="#_x0000_t202" style="position:absolute;left:11096;top:97416;height:576;width:589;" filled="f" stroked="f" coordsize="21600,21600" o:gfxdata="UEsDBAoAAAAAAIdO4kAAAAAAAAAAAAAAAAAEAAAAZHJzL1BLAwQUAAAACACHTuJAkOa2eL8AAADb&#10;AAAADwAAAGRycy9kb3ducmV2LnhtbEWPQWvCQBSE7wX/w/IEb3UTS4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mtni/&#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lang w:val="en-US" w:eastAsia="zh-CN"/>
                          </w:rPr>
                        </w:pPr>
                        <w:r>
                          <w:rPr>
                            <w:rFonts w:hint="eastAsia"/>
                            <w:lang w:val="en-US" w:eastAsia="zh-CN"/>
                          </w:rPr>
                          <w:t>⑧</w:t>
                        </w:r>
                      </w:p>
                    </w:txbxContent>
                  </v:textbox>
                </v:shape>
                <v:shape id="_x0000_s1026" o:spid="_x0000_s1026" o:spt="32" type="#_x0000_t32" style="position:absolute;left:10822;top:97682;flip:y;height:50;width:367;" filled="f" stroked="t" coordsize="21600,21600" o:gfxdata="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5tLb4A&#10;AADbAAAADwAAAAAAAAABACAAAAAiAAAAZHJzL2Rvd25yZXYueG1sUEsBAhQAFAAAAAgAh07iQDMv&#10;BZ47AAAAOQAAABAAAAAAAAAAAQAgAAAADQEAAGRycy9zaGFwZXhtbC54bWxQSwUGAAAAAAYABgBb&#10;AQAAtwMAAAAA&#10;">
                  <v:fill on="f" focussize="0,0"/>
                  <v:stroke color="#0000FF [3204]" joinstyle="round"/>
                  <v:imagedata o:title=""/>
                  <o:lock v:ext="edit" aspectratio="f"/>
                </v:shape>
              </v:group>
            </w:pict>
          </mc:Fallback>
        </mc:AlternateContent>
      </w:r>
      <w:r>
        <w:rPr>
          <w:rFonts w:hint="eastAsia" w:ascii="宋体" w:hAnsi="宋体" w:eastAsia="宋体" w:cs="Times New Roman"/>
          <w:sz w:val="21"/>
          <w:szCs w:val="21"/>
          <w:lang w:val="en-US" w:eastAsia="zh-CN" w:bidi="ar-SA"/>
        </w:rPr>
        <w:t>该方法适用于碳化硅单晶片厚度和</w:t>
      </w:r>
      <w:r>
        <w:rPr>
          <w:rFonts w:hint="eastAsia" w:hAnsi="宋体" w:cs="Times New Roman"/>
          <w:sz w:val="21"/>
          <w:szCs w:val="21"/>
          <w:lang w:val="en-US" w:eastAsia="zh-CN" w:bidi="ar-SA"/>
        </w:rPr>
        <w:t>平整度（即厚度THK、总厚度变化TTV、局部厚度变化LTV、弯曲度BOW、翘曲度Warp）</w:t>
      </w:r>
      <w:r>
        <w:rPr>
          <w:rFonts w:hint="eastAsia" w:ascii="宋体" w:hAnsi="宋体" w:eastAsia="宋体" w:cs="Times New Roman"/>
          <w:sz w:val="21"/>
          <w:szCs w:val="21"/>
          <w:lang w:val="en-US" w:eastAsia="zh-CN" w:bidi="ar-SA"/>
        </w:rPr>
        <w:t>的测试。</w:t>
      </w:r>
    </w:p>
    <w:p>
      <w:pPr>
        <w:pStyle w:val="25"/>
        <w:jc w:val="center"/>
        <w:rPr>
          <w:rFonts w:hint="eastAsia"/>
          <w:lang w:val="en-US" w:eastAsia="zh-CN"/>
        </w:rPr>
      </w:pPr>
      <w:r>
        <w:rPr>
          <w:rFonts w:hint="eastAsia"/>
          <w:lang w:val="en-US" w:eastAsia="zh-CN"/>
        </w:rPr>
        <w:drawing>
          <wp:inline distT="0" distB="0" distL="114300" distR="114300">
            <wp:extent cx="3832860" cy="2114550"/>
            <wp:effectExtent l="0" t="0" r="7620" b="3810"/>
            <wp:docPr id="11" name="图片 11" descr="未标题-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未标题-11-01"/>
                    <pic:cNvPicPr>
                      <a:picLocks noChangeAspect="1"/>
                    </pic:cNvPicPr>
                  </pic:nvPicPr>
                  <pic:blipFill>
                    <a:blip r:embed="rId9"/>
                    <a:stretch>
                      <a:fillRect/>
                    </a:stretch>
                  </pic:blipFill>
                  <pic:spPr>
                    <a:xfrm>
                      <a:off x="0" y="0"/>
                      <a:ext cx="3832860" cy="2114550"/>
                    </a:xfrm>
                    <a:prstGeom prst="rect">
                      <a:avLst/>
                    </a:prstGeom>
                  </pic:spPr>
                </pic:pic>
              </a:graphicData>
            </a:graphic>
          </wp:inline>
        </w:drawing>
      </w:r>
    </w:p>
    <w:p>
      <w:pPr>
        <w:pStyle w:val="25"/>
        <w:ind w:firstLine="0" w:firstLineChars="0"/>
        <w:jc w:val="both"/>
        <w:rPr>
          <w:rFonts w:hint="default" w:eastAsia="宋体"/>
          <w:lang w:val="en-US" w:eastAsia="zh-CN"/>
        </w:rPr>
      </w:pPr>
      <w:r>
        <w:rPr>
          <w:rFonts w:hint="eastAsia"/>
          <w:sz w:val="18"/>
          <w:szCs w:val="18"/>
          <w:lang w:val="en-US" w:eastAsia="zh-CN"/>
        </w:rPr>
        <w:t>其中</w:t>
      </w:r>
      <w:r>
        <w:rPr>
          <w:rFonts w:hint="eastAsia"/>
          <w:sz w:val="18"/>
          <w:szCs w:val="18"/>
        </w:rPr>
        <w:t>：</w:t>
      </w:r>
      <w:r>
        <w:rPr>
          <w:rFonts w:hint="eastAsia" w:hAnsi="宋体" w:cs="宋体"/>
          <w:color w:val="000000"/>
          <w:sz w:val="18"/>
          <w:szCs w:val="18"/>
          <w:lang w:val="en-US" w:eastAsia="zh-CN"/>
        </w:rPr>
        <w:t>①</w:t>
      </w:r>
      <w:r>
        <w:rPr>
          <w:rFonts w:ascii="Times New Roman"/>
          <w:color w:val="000000"/>
          <w:sz w:val="18"/>
          <w:szCs w:val="18"/>
        </w:rPr>
        <w:t>—</w:t>
      </w:r>
      <w:r>
        <w:rPr>
          <w:rFonts w:hint="eastAsia" w:ascii="Times New Roman"/>
          <w:color w:val="000000"/>
          <w:sz w:val="18"/>
          <w:szCs w:val="18"/>
          <w:lang w:val="en-US" w:eastAsia="zh-CN"/>
        </w:rPr>
        <w:t>平行光</w:t>
      </w:r>
      <w:r>
        <w:rPr>
          <w:rFonts w:hint="eastAsia" w:ascii="宋体" w:hAnsi="宋体" w:eastAsia="宋体" w:cs="宋体"/>
          <w:color w:val="000000"/>
          <w:sz w:val="18"/>
          <w:szCs w:val="18"/>
        </w:rPr>
        <w:t>；</w:t>
      </w:r>
      <w:r>
        <w:rPr>
          <w:rFonts w:hint="eastAsia" w:hAnsi="宋体" w:cs="宋体"/>
          <w:color w:val="000000"/>
          <w:sz w:val="18"/>
          <w:szCs w:val="18"/>
          <w:lang w:val="en-US" w:eastAsia="zh-CN"/>
        </w:rPr>
        <w:t>②</w:t>
      </w:r>
      <w:r>
        <w:rPr>
          <w:rFonts w:ascii="Times New Roman"/>
          <w:color w:val="000000"/>
          <w:sz w:val="18"/>
          <w:szCs w:val="18"/>
        </w:rPr>
        <w:t>—</w:t>
      </w:r>
      <w:r>
        <w:rPr>
          <w:rFonts w:hint="eastAsia" w:ascii="Times New Roman"/>
          <w:color w:val="000000"/>
          <w:sz w:val="18"/>
          <w:szCs w:val="18"/>
          <w:lang w:val="en-US" w:eastAsia="zh-CN"/>
        </w:rPr>
        <w:t>参考光束</w:t>
      </w:r>
      <w:r>
        <w:rPr>
          <w:rFonts w:hint="eastAsia" w:ascii="宋体" w:hAnsi="宋体" w:eastAsia="宋体" w:cs="宋体"/>
          <w:sz w:val="18"/>
          <w:szCs w:val="18"/>
        </w:rPr>
        <w:t>；</w:t>
      </w:r>
      <w:r>
        <w:rPr>
          <w:rFonts w:hint="eastAsia" w:hAnsi="宋体" w:cs="宋体"/>
          <w:sz w:val="18"/>
          <w:szCs w:val="18"/>
          <w:lang w:val="en-US" w:eastAsia="zh-CN"/>
        </w:rPr>
        <w:t>③</w:t>
      </w:r>
      <w:r>
        <w:rPr>
          <w:rFonts w:ascii="Times New Roman"/>
          <w:color w:val="000000"/>
          <w:sz w:val="18"/>
          <w:szCs w:val="18"/>
        </w:rPr>
        <w:t>—</w:t>
      </w:r>
      <w:r>
        <w:rPr>
          <w:rFonts w:hint="eastAsia" w:ascii="Times New Roman"/>
          <w:color w:val="000000"/>
          <w:sz w:val="18"/>
          <w:szCs w:val="18"/>
          <w:lang w:val="en-US" w:eastAsia="zh-CN"/>
        </w:rPr>
        <w:t>测量光束</w:t>
      </w:r>
      <w:r>
        <w:rPr>
          <w:rFonts w:hint="eastAsia" w:ascii="宋体" w:hAnsi="宋体" w:eastAsia="宋体" w:cs="宋体"/>
          <w:sz w:val="18"/>
          <w:szCs w:val="18"/>
        </w:rPr>
        <w:t>；</w:t>
      </w:r>
      <w:r>
        <w:rPr>
          <w:rFonts w:hint="eastAsia" w:hAnsi="宋体" w:cs="宋体"/>
          <w:sz w:val="18"/>
          <w:szCs w:val="18"/>
          <w:lang w:val="en-US" w:eastAsia="zh-CN"/>
        </w:rPr>
        <w:t>④</w:t>
      </w:r>
      <w:r>
        <w:rPr>
          <w:rFonts w:ascii="Times New Roman"/>
          <w:color w:val="000000"/>
          <w:sz w:val="18"/>
          <w:szCs w:val="18"/>
        </w:rPr>
        <w:t>—</w:t>
      </w:r>
      <w:r>
        <w:rPr>
          <w:rFonts w:hint="eastAsia" w:ascii="Times New Roman"/>
          <w:color w:val="000000"/>
          <w:sz w:val="18"/>
          <w:szCs w:val="18"/>
          <w:lang w:val="en-US" w:eastAsia="zh-CN"/>
        </w:rPr>
        <w:t>参考面</w:t>
      </w:r>
      <w:r>
        <w:rPr>
          <w:rFonts w:hint="eastAsia" w:ascii="宋体" w:hAnsi="宋体" w:eastAsia="宋体" w:cs="宋体"/>
          <w:sz w:val="18"/>
          <w:szCs w:val="18"/>
        </w:rPr>
        <w:t>；</w:t>
      </w:r>
      <w:r>
        <w:rPr>
          <w:rFonts w:hint="eastAsia" w:hAnsi="宋体" w:cs="宋体"/>
          <w:sz w:val="18"/>
          <w:szCs w:val="18"/>
          <w:lang w:val="en-US" w:eastAsia="zh-CN"/>
        </w:rPr>
        <w:t>⑤</w:t>
      </w:r>
      <w:r>
        <w:rPr>
          <w:rFonts w:ascii="Times New Roman"/>
          <w:color w:val="000000"/>
          <w:sz w:val="18"/>
          <w:szCs w:val="18"/>
        </w:rPr>
        <w:t>—</w:t>
      </w:r>
      <w:r>
        <w:rPr>
          <w:rFonts w:hint="eastAsia" w:ascii="Times New Roman"/>
          <w:color w:val="000000"/>
          <w:sz w:val="18"/>
          <w:szCs w:val="18"/>
          <w:lang w:val="en-US" w:eastAsia="zh-CN"/>
        </w:rPr>
        <w:t>空气间隙</w:t>
      </w:r>
      <w:r>
        <w:rPr>
          <w:rFonts w:hint="eastAsia" w:ascii="宋体" w:hAnsi="宋体" w:eastAsia="宋体" w:cs="宋体"/>
          <w:sz w:val="18"/>
          <w:szCs w:val="18"/>
        </w:rPr>
        <w:t>；</w:t>
      </w:r>
      <w:r>
        <w:rPr>
          <w:rFonts w:hint="eastAsia" w:hAnsi="宋体" w:cs="宋体"/>
          <w:sz w:val="18"/>
          <w:szCs w:val="18"/>
          <w:lang w:val="en-US" w:eastAsia="zh-CN"/>
        </w:rPr>
        <w:t>⑥</w:t>
      </w:r>
      <w:r>
        <w:rPr>
          <w:rFonts w:ascii="Times New Roman"/>
          <w:color w:val="000000"/>
          <w:sz w:val="18"/>
          <w:szCs w:val="18"/>
        </w:rPr>
        <w:t>—</w:t>
      </w:r>
      <w:r>
        <w:rPr>
          <w:rFonts w:hint="eastAsia" w:ascii="Times New Roman"/>
          <w:color w:val="000000"/>
          <w:sz w:val="18"/>
          <w:szCs w:val="18"/>
          <w:lang w:val="en-US" w:eastAsia="zh-CN"/>
        </w:rPr>
        <w:t>棱镜</w:t>
      </w:r>
      <w:r>
        <w:rPr>
          <w:rFonts w:hint="eastAsia" w:ascii="宋体" w:hAnsi="宋体" w:eastAsia="宋体" w:cs="宋体"/>
          <w:sz w:val="18"/>
          <w:szCs w:val="18"/>
        </w:rPr>
        <w:t>；</w:t>
      </w:r>
      <w:r>
        <w:rPr>
          <w:rFonts w:hint="eastAsia" w:ascii="Times New Roman"/>
          <w:color w:val="000000"/>
          <w:sz w:val="18"/>
          <w:szCs w:val="18"/>
          <w:lang w:val="en-US" w:eastAsia="zh-CN"/>
        </w:rPr>
        <w:t>⑦</w:t>
      </w:r>
      <w:r>
        <w:rPr>
          <w:rFonts w:ascii="Times New Roman"/>
          <w:color w:val="000000"/>
          <w:sz w:val="18"/>
          <w:szCs w:val="18"/>
        </w:rPr>
        <w:t>—</w:t>
      </w:r>
      <w:r>
        <w:rPr>
          <w:rFonts w:hint="eastAsia" w:ascii="Times New Roman"/>
          <w:color w:val="000000"/>
          <w:sz w:val="18"/>
          <w:szCs w:val="18"/>
          <w:lang w:val="en-US" w:eastAsia="zh-CN"/>
        </w:rPr>
        <w:t>吸盘</w:t>
      </w:r>
      <w:r>
        <w:rPr>
          <w:rFonts w:hint="eastAsia" w:ascii="宋体" w:hAnsi="宋体" w:eastAsia="宋体" w:cs="宋体"/>
          <w:sz w:val="18"/>
          <w:szCs w:val="18"/>
        </w:rPr>
        <w:t>；</w:t>
      </w:r>
      <w:r>
        <w:rPr>
          <w:rFonts w:hint="eastAsia" w:hAnsi="宋体" w:cs="宋体"/>
          <w:sz w:val="18"/>
          <w:szCs w:val="18"/>
          <w:lang w:val="en-US" w:eastAsia="zh-CN"/>
        </w:rPr>
        <w:t>⑧</w:t>
      </w:r>
      <w:r>
        <w:rPr>
          <w:rFonts w:ascii="Times New Roman"/>
          <w:color w:val="000000"/>
          <w:sz w:val="18"/>
          <w:szCs w:val="18"/>
        </w:rPr>
        <w:t>—</w:t>
      </w:r>
      <w:r>
        <w:rPr>
          <w:rFonts w:hint="eastAsia" w:ascii="Times New Roman"/>
          <w:color w:val="000000"/>
          <w:sz w:val="18"/>
          <w:szCs w:val="18"/>
          <w:lang w:val="en-US" w:eastAsia="zh-CN"/>
        </w:rPr>
        <w:t>测试样品</w:t>
      </w:r>
    </w:p>
    <w:p>
      <w:pPr>
        <w:pStyle w:val="131"/>
        <w:numPr>
          <w:ilvl w:val="0"/>
          <w:numId w:val="17"/>
        </w:numPr>
        <w:spacing w:before="156" w:after="156"/>
      </w:pPr>
      <w:r>
        <w:rPr>
          <w:rFonts w:hint="eastAsia"/>
          <w:lang w:val="en-US" w:eastAsia="zh-CN"/>
        </w:rPr>
        <w:t>测试光路示意图</w:t>
      </w:r>
    </w:p>
    <w:p>
      <w:pPr>
        <w:pStyle w:val="46"/>
        <w:numPr>
          <w:ilvl w:val="0"/>
          <w:numId w:val="19"/>
        </w:numPr>
        <w:spacing w:before="312" w:after="157" w:afterLines="50"/>
        <w:ind w:left="425" w:hanging="425"/>
        <w:outlineLvl w:val="0"/>
      </w:pPr>
      <w:r>
        <w:rPr>
          <w:rFonts w:hint="eastAsia"/>
          <w:szCs w:val="22"/>
        </w:rPr>
        <w:t>干扰因素</w:t>
      </w:r>
    </w:p>
    <w:p>
      <w:pPr>
        <w:pStyle w:val="45"/>
        <w:numPr>
          <w:ilvl w:val="1"/>
          <w:numId w:val="19"/>
        </w:numPr>
        <w:spacing w:beforeLines="0" w:afterLines="0"/>
        <w:ind w:left="567" w:hanging="567"/>
        <w:rPr>
          <w:rFonts w:ascii="宋体" w:hAnsi="宋体" w:eastAsia="宋体"/>
        </w:rPr>
      </w:pPr>
      <w:r>
        <w:rPr>
          <w:rFonts w:hint="eastAsia" w:ascii="宋体" w:hAnsi="宋体" w:eastAsia="宋体"/>
          <w:lang w:val="en-US" w:eastAsia="zh-CN"/>
        </w:rPr>
        <w:t>晶片表面上或测试机台上的颗粒会对测试结果产生影响，因此测试机台应放置在 GB/T 25915.1 -2021规定的ISO 6级及以上的洁净室，并且样品应经过清洗，确保晶片表面清洁</w:t>
      </w:r>
      <w:r>
        <w:rPr>
          <w:rFonts w:hint="eastAsia" w:ascii="宋体" w:hAnsi="宋体" w:eastAsia="宋体"/>
        </w:rPr>
        <w:t>。</w:t>
      </w:r>
    </w:p>
    <w:p>
      <w:pPr>
        <w:pStyle w:val="45"/>
        <w:numPr>
          <w:ilvl w:val="1"/>
          <w:numId w:val="19"/>
        </w:numPr>
        <w:spacing w:beforeLines="0" w:afterLines="0"/>
        <w:ind w:left="567" w:hanging="567"/>
        <w:rPr>
          <w:rFonts w:ascii="宋体" w:hAnsi="宋体" w:eastAsia="宋体"/>
          <w:color w:val="auto"/>
        </w:rPr>
      </w:pPr>
      <w:r>
        <w:rPr>
          <w:rFonts w:hint="eastAsia" w:ascii="宋体" w:hAnsi="宋体" w:eastAsia="宋体"/>
          <w:lang w:val="en-US" w:eastAsia="zh-CN"/>
        </w:rPr>
        <w:t>温度变化可能导致材料膨胀或收缩，进而对测试结果产生影响，因此每小时温度变化应不超过1 ℃。</w:t>
      </w:r>
      <w:r>
        <w:rPr>
          <w:rFonts w:hint="eastAsia" w:ascii="宋体" w:hAnsi="宋体" w:eastAsia="宋体"/>
          <w:color w:val="auto"/>
          <w:lang w:eastAsia="zh-CN"/>
        </w:rPr>
        <w:t>；</w:t>
      </w:r>
    </w:p>
    <w:p>
      <w:pPr>
        <w:pStyle w:val="45"/>
        <w:numPr>
          <w:ilvl w:val="1"/>
          <w:numId w:val="19"/>
        </w:numPr>
        <w:spacing w:beforeLines="0" w:afterLines="0"/>
        <w:ind w:left="567" w:hanging="567"/>
      </w:pPr>
      <w:r>
        <w:rPr>
          <w:rFonts w:hint="eastAsia" w:ascii="宋体" w:hAnsi="宋体" w:eastAsia="宋体"/>
          <w:lang w:val="en-US" w:eastAsia="zh-CN"/>
        </w:rPr>
        <w:t>静电、振动测试环境，会对测试结果产生影响,因此测试过程中应采取屏蔽措施；</w:t>
      </w:r>
    </w:p>
    <w:p>
      <w:pPr>
        <w:pStyle w:val="45"/>
        <w:numPr>
          <w:ilvl w:val="1"/>
          <w:numId w:val="19"/>
        </w:numPr>
        <w:spacing w:beforeLines="0" w:afterLines="0"/>
        <w:ind w:left="567" w:hanging="567"/>
        <w:rPr>
          <w:rFonts w:hint="eastAsia" w:ascii="宋体" w:hAnsi="宋体" w:eastAsia="宋体"/>
        </w:rPr>
      </w:pPr>
      <w:r>
        <w:rPr>
          <w:rFonts w:hint="eastAsia" w:ascii="宋体" w:hAnsi="宋体" w:eastAsia="宋体"/>
        </w:rPr>
        <w:t>被测</w:t>
      </w:r>
      <w:r>
        <w:rPr>
          <w:rFonts w:hint="eastAsia" w:ascii="宋体" w:hAnsi="宋体" w:eastAsia="宋体"/>
          <w:lang w:val="en-US" w:eastAsia="zh-CN"/>
        </w:rPr>
        <w:t>晶片</w:t>
      </w:r>
      <w:r>
        <w:rPr>
          <w:rFonts w:hint="eastAsia" w:ascii="宋体" w:hAnsi="宋体" w:eastAsia="宋体"/>
        </w:rPr>
        <w:t>表面的粗糙度会</w:t>
      </w:r>
      <w:r>
        <w:rPr>
          <w:rFonts w:hint="eastAsia" w:ascii="宋体" w:hAnsi="宋体" w:eastAsia="宋体"/>
          <w:lang w:val="en-US" w:eastAsia="zh-CN"/>
        </w:rPr>
        <w:t>对</w:t>
      </w:r>
      <w:r>
        <w:rPr>
          <w:rFonts w:hint="eastAsia" w:ascii="宋体" w:hAnsi="宋体" w:eastAsia="宋体"/>
        </w:rPr>
        <w:t>测量光束的反射</w:t>
      </w:r>
      <w:r>
        <w:rPr>
          <w:rFonts w:hint="eastAsia" w:ascii="宋体" w:hAnsi="宋体" w:eastAsia="宋体"/>
          <w:lang w:val="en-US" w:eastAsia="zh-CN"/>
        </w:rPr>
        <w:t>和透射造成</w:t>
      </w:r>
      <w:r>
        <w:rPr>
          <w:rFonts w:hint="eastAsia" w:ascii="宋体" w:hAnsi="宋体" w:eastAsia="宋体"/>
        </w:rPr>
        <w:t>干扰</w:t>
      </w:r>
      <w:r>
        <w:rPr>
          <w:rFonts w:hint="eastAsia" w:ascii="宋体" w:hAnsi="宋体" w:eastAsia="宋体"/>
          <w:lang w:eastAsia="zh-CN"/>
        </w:rPr>
        <w:t>，</w:t>
      </w:r>
      <w:r>
        <w:rPr>
          <w:rFonts w:hint="eastAsia" w:ascii="宋体" w:hAnsi="宋体" w:eastAsia="宋体"/>
          <w:lang w:val="en-US" w:eastAsia="zh-CN"/>
        </w:rPr>
        <w:t>进而对测试结果产生影响，因此测试样品表面粗糙度应符合GB/T 30656的要求。</w:t>
      </w:r>
    </w:p>
    <w:p>
      <w:pPr>
        <w:pStyle w:val="46"/>
        <w:numPr>
          <w:ilvl w:val="0"/>
          <w:numId w:val="19"/>
        </w:numPr>
        <w:spacing w:before="312" w:after="157" w:afterLines="50"/>
        <w:ind w:left="425" w:hanging="425"/>
        <w:outlineLvl w:val="0"/>
        <w:rPr>
          <w:rFonts w:hint="eastAsia" w:ascii="黑体" w:hAnsi="Times New Roman" w:eastAsia="黑体" w:cs="Times New Roman"/>
          <w:szCs w:val="22"/>
        </w:rPr>
      </w:pPr>
      <w:r>
        <w:rPr>
          <w:rFonts w:hint="eastAsia"/>
          <w:szCs w:val="22"/>
          <w:lang w:val="en-US" w:eastAsia="zh-CN"/>
        </w:rPr>
        <w:t>测试环境</w:t>
      </w:r>
    </w:p>
    <w:p>
      <w:pPr>
        <w:pStyle w:val="45"/>
        <w:numPr>
          <w:ilvl w:val="1"/>
          <w:numId w:val="19"/>
        </w:numPr>
        <w:spacing w:beforeLines="0" w:afterLines="0"/>
        <w:ind w:left="567" w:hanging="567"/>
        <w:rPr>
          <w:rFonts w:hint="eastAsia" w:ascii="宋体" w:hAnsi="宋体" w:eastAsia="宋体"/>
          <w:lang w:val="en-US" w:eastAsia="zh-CN"/>
        </w:rPr>
      </w:pPr>
      <w:r>
        <w:rPr>
          <w:rFonts w:hint="eastAsia" w:ascii="宋体" w:hAnsi="宋体" w:eastAsia="宋体"/>
          <w:lang w:val="en-US" w:eastAsia="zh-CN"/>
        </w:rPr>
        <w:t>温度：（23±3）℃，相对湿度：（60 %±20 %）RH；</w:t>
      </w:r>
    </w:p>
    <w:p>
      <w:pPr>
        <w:pStyle w:val="45"/>
        <w:numPr>
          <w:ilvl w:val="1"/>
          <w:numId w:val="19"/>
        </w:numPr>
        <w:spacing w:beforeLines="0" w:afterLines="0"/>
        <w:ind w:left="567" w:hanging="567"/>
        <w:rPr>
          <w:rFonts w:ascii="宋体" w:hAnsi="宋体" w:eastAsia="宋体"/>
        </w:rPr>
      </w:pPr>
      <w:r>
        <w:rPr>
          <w:rFonts w:hint="eastAsia" w:ascii="宋体" w:hAnsi="宋体" w:eastAsia="宋体"/>
          <w:highlight w:val="none"/>
          <w:lang w:val="en-US" w:eastAsia="zh-CN"/>
        </w:rPr>
        <w:t>洁净区空气等级：GB/T 25915.1-2021中</w:t>
      </w:r>
      <w:r>
        <w:rPr>
          <w:rFonts w:hint="eastAsia" w:ascii="宋体" w:hAnsi="宋体" w:eastAsia="宋体"/>
          <w:color w:val="auto"/>
          <w:highlight w:val="none"/>
          <w:lang w:val="en-US" w:eastAsia="zh-CN"/>
        </w:rPr>
        <w:t>规定的ISO 6</w:t>
      </w:r>
      <w:r>
        <w:rPr>
          <w:rFonts w:hint="eastAsia" w:ascii="宋体" w:hAnsi="宋体" w:eastAsia="宋体"/>
          <w:color w:val="auto"/>
          <w:highlight w:val="none"/>
        </w:rPr>
        <w:t>级</w:t>
      </w:r>
      <w:r>
        <w:rPr>
          <w:rFonts w:hint="eastAsia" w:ascii="宋体" w:hAnsi="宋体" w:eastAsia="宋体"/>
          <w:color w:val="auto"/>
          <w:highlight w:val="none"/>
          <w:lang w:val="en-US" w:eastAsia="zh-CN"/>
        </w:rPr>
        <w:t>及以上</w:t>
      </w:r>
      <w:r>
        <w:rPr>
          <w:rFonts w:hint="eastAsia" w:ascii="宋体" w:hAnsi="宋体" w:eastAsia="宋体"/>
          <w:color w:val="auto"/>
          <w:highlight w:val="none"/>
          <w:lang w:eastAsia="zh-CN"/>
        </w:rPr>
        <w:t>。</w:t>
      </w:r>
    </w:p>
    <w:p>
      <w:pPr>
        <w:pStyle w:val="46"/>
        <w:numPr>
          <w:ilvl w:val="0"/>
          <w:numId w:val="19"/>
        </w:numPr>
        <w:spacing w:before="313" w:beforeLines="100" w:after="157" w:afterLines="50"/>
        <w:ind w:left="425" w:hanging="425"/>
        <w:rPr>
          <w:rFonts w:ascii="宋体" w:hAnsi="宋体" w:eastAsia="宋体" w:cs="宋体"/>
        </w:rPr>
      </w:pPr>
      <w:r>
        <w:rPr>
          <w:rFonts w:hint="eastAsia"/>
          <w:szCs w:val="21"/>
        </w:rPr>
        <w:t>仪器设备</w:t>
      </w:r>
    </w:p>
    <w:p>
      <w:pPr>
        <w:pStyle w:val="45"/>
        <w:keepNext w:val="0"/>
        <w:keepLines w:val="0"/>
        <w:pageBreakBefore w:val="0"/>
        <w:widowControl/>
        <w:numPr>
          <w:ilvl w:val="1"/>
          <w:numId w:val="19"/>
        </w:numPr>
        <w:kinsoku/>
        <w:wordWrap/>
        <w:overflowPunct/>
        <w:topLinePunct w:val="0"/>
        <w:autoSpaceDE/>
        <w:autoSpaceDN/>
        <w:bidi w:val="0"/>
        <w:adjustRightInd/>
        <w:snapToGrid/>
        <w:spacing w:beforeLines="0" w:afterLines="0"/>
        <w:ind w:left="567" w:hanging="567"/>
        <w:textAlignment w:val="auto"/>
        <w:rPr>
          <w:rFonts w:hint="eastAsia"/>
          <w:lang w:val="en-US" w:eastAsia="zh-CN"/>
        </w:rPr>
      </w:pPr>
      <w:r>
        <w:rPr>
          <w:rFonts w:hint="eastAsia" w:ascii="宋体" w:hAnsi="宋体" w:eastAsia="宋体" w:cs="宋体"/>
          <w:b w:val="0"/>
          <w:bCs w:val="0"/>
          <w:lang w:val="en-US" w:eastAsia="zh-CN"/>
        </w:rPr>
        <w:t>激光干涉仪测量系统：主要由激光、组合光学棱镜和反射镜、高速相机、电机等组成；</w:t>
      </w:r>
    </w:p>
    <w:p>
      <w:pPr>
        <w:pStyle w:val="45"/>
        <w:keepNext w:val="0"/>
        <w:keepLines w:val="0"/>
        <w:pageBreakBefore w:val="0"/>
        <w:widowControl/>
        <w:numPr>
          <w:ilvl w:val="1"/>
          <w:numId w:val="19"/>
        </w:numPr>
        <w:kinsoku/>
        <w:wordWrap/>
        <w:overflowPunct/>
        <w:topLinePunct w:val="0"/>
        <w:autoSpaceDE/>
        <w:autoSpaceDN/>
        <w:bidi w:val="0"/>
        <w:adjustRightInd/>
        <w:snapToGrid/>
        <w:spacing w:beforeLines="0" w:afterLines="0"/>
        <w:ind w:left="567" w:hanging="567"/>
        <w:textAlignment w:val="auto"/>
        <w:rPr>
          <w:rFonts w:hint="eastAsia"/>
          <w:lang w:val="en-US" w:eastAsia="zh-CN"/>
        </w:rPr>
      </w:pPr>
      <w:r>
        <w:rPr>
          <w:rFonts w:hint="eastAsia" w:ascii="宋体" w:hAnsi="宋体" w:eastAsia="宋体" w:cs="宋体"/>
          <w:lang w:val="en-US" w:eastAsia="zh-CN"/>
        </w:rPr>
        <w:t>吸盘：放置被测量晶片的平台；</w:t>
      </w:r>
    </w:p>
    <w:p>
      <w:pPr>
        <w:pStyle w:val="45"/>
        <w:numPr>
          <w:ilvl w:val="1"/>
          <w:numId w:val="19"/>
        </w:numPr>
        <w:autoSpaceDE/>
        <w:autoSpaceDN/>
        <w:spacing w:beforeLines="0" w:afterLines="0"/>
        <w:ind w:left="567" w:hanging="567" w:firstLineChars="0"/>
        <w:rPr>
          <w:rFonts w:hint="eastAsia"/>
          <w:lang w:val="en-US" w:eastAsia="zh-CN"/>
        </w:rPr>
      </w:pPr>
      <w:r>
        <w:rPr>
          <w:rFonts w:hint="eastAsia" w:ascii="宋体" w:hAnsi="宋体" w:eastAsia="宋体" w:cs="宋体"/>
          <w:lang w:val="en-US" w:eastAsia="zh-CN"/>
        </w:rPr>
        <w:t>光学标准盘：用于校验设备灵敏度；</w:t>
      </w:r>
    </w:p>
    <w:p>
      <w:pPr>
        <w:pStyle w:val="45"/>
        <w:keepNext w:val="0"/>
        <w:keepLines w:val="0"/>
        <w:pageBreakBefore w:val="0"/>
        <w:widowControl/>
        <w:numPr>
          <w:ilvl w:val="1"/>
          <w:numId w:val="19"/>
        </w:numPr>
        <w:kinsoku/>
        <w:wordWrap/>
        <w:overflowPunct/>
        <w:topLinePunct w:val="0"/>
        <w:autoSpaceDE/>
        <w:autoSpaceDN/>
        <w:bidi w:val="0"/>
        <w:adjustRightInd/>
        <w:snapToGrid/>
        <w:spacing w:beforeLines="0" w:afterLines="0"/>
        <w:ind w:left="567" w:hanging="567"/>
        <w:textAlignment w:val="auto"/>
        <w:rPr>
          <w:rFonts w:hint="eastAsia" w:ascii="宋体" w:hAnsi="宋体" w:eastAsia="宋体" w:cs="宋体"/>
        </w:rPr>
      </w:pPr>
      <w:r>
        <w:rPr>
          <w:rFonts w:hint="eastAsia" w:ascii="宋体" w:hAnsi="宋体" w:eastAsia="宋体" w:cs="宋体"/>
          <w:lang w:val="en-US" w:eastAsia="zh-CN"/>
        </w:rPr>
        <w:t>控制系统及人机界面；</w:t>
      </w:r>
    </w:p>
    <w:p>
      <w:pPr>
        <w:pStyle w:val="45"/>
        <w:keepNext w:val="0"/>
        <w:keepLines w:val="0"/>
        <w:pageBreakBefore w:val="0"/>
        <w:widowControl/>
        <w:numPr>
          <w:ilvl w:val="1"/>
          <w:numId w:val="19"/>
        </w:numPr>
        <w:kinsoku/>
        <w:wordWrap/>
        <w:overflowPunct/>
        <w:topLinePunct w:val="0"/>
        <w:autoSpaceDE/>
        <w:autoSpaceDN/>
        <w:bidi w:val="0"/>
        <w:adjustRightInd/>
        <w:snapToGrid/>
        <w:spacing w:beforeLines="0" w:afterLines="0"/>
        <w:ind w:left="567" w:hanging="567"/>
        <w:textAlignment w:val="auto"/>
        <w:rPr>
          <w:rFonts w:hint="default" w:eastAsia="宋体"/>
          <w:highlight w:val="yellow"/>
          <w:lang w:val="en-US" w:eastAsia="zh-CN"/>
        </w:rPr>
      </w:pPr>
      <w:r>
        <w:rPr>
          <w:rFonts w:hint="eastAsia" w:ascii="宋体" w:hAnsi="宋体" w:eastAsia="宋体" w:cs="宋体"/>
          <w:lang w:val="en-US" w:eastAsia="zh-CN"/>
        </w:rPr>
        <w:t>壳体结构支撑系；</w:t>
      </w:r>
    </w:p>
    <w:p>
      <w:pPr>
        <w:pStyle w:val="46"/>
        <w:numPr>
          <w:ilvl w:val="0"/>
          <w:numId w:val="19"/>
        </w:numPr>
        <w:spacing w:before="313" w:after="157" w:afterLines="50"/>
        <w:ind w:left="425" w:hanging="425"/>
        <w:rPr>
          <w:rFonts w:hint="eastAsia"/>
          <w:color w:val="auto"/>
          <w:szCs w:val="21"/>
        </w:rPr>
      </w:pPr>
      <w:r>
        <w:rPr>
          <w:rFonts w:hint="eastAsia"/>
          <w:color w:val="auto"/>
          <w:szCs w:val="21"/>
        </w:rPr>
        <w:t>样品</w:t>
      </w:r>
    </w:p>
    <w:p>
      <w:pPr>
        <w:pStyle w:val="45"/>
        <w:numPr>
          <w:ilvl w:val="1"/>
          <w:numId w:val="19"/>
        </w:numPr>
        <w:spacing w:before="156" w:after="156"/>
        <w:ind w:left="567" w:hanging="567"/>
        <w:rPr>
          <w:rFonts w:hint="eastAsia"/>
        </w:rPr>
      </w:pPr>
      <w:r>
        <w:rPr>
          <w:rFonts w:hint="eastAsia" w:ascii="宋体" w:hAnsi="宋体" w:eastAsia="宋体" w:cs="宋体"/>
          <w:b w:val="0"/>
          <w:bCs w:val="0"/>
          <w:lang w:val="en-US" w:eastAsia="zh-CN"/>
        </w:rPr>
        <w:t>碳化硅单晶片应具有洁净、干燥的表面，其符合GB/T30656的要求；</w:t>
      </w:r>
    </w:p>
    <w:p>
      <w:pPr>
        <w:pStyle w:val="46"/>
        <w:keepNext w:val="0"/>
        <w:keepLines w:val="0"/>
        <w:pageBreakBefore w:val="0"/>
        <w:widowControl/>
        <w:numPr>
          <w:ilvl w:val="0"/>
          <w:numId w:val="19"/>
        </w:numPr>
        <w:kinsoku/>
        <w:wordWrap/>
        <w:overflowPunct/>
        <w:topLinePunct w:val="0"/>
        <w:autoSpaceDE/>
        <w:autoSpaceDN/>
        <w:bidi w:val="0"/>
        <w:adjustRightInd/>
        <w:snapToGrid/>
        <w:spacing w:before="313" w:beforeLines="100" w:after="157" w:afterLines="50"/>
        <w:ind w:left="425" w:hanging="425" w:firstLineChars="0"/>
        <w:textAlignment w:val="auto"/>
        <w:rPr>
          <w:rFonts w:hint="eastAsia" w:hAnsi="Times New Roman" w:cs="Times New Roman"/>
          <w:szCs w:val="21"/>
          <w:lang w:val="en-US" w:eastAsia="zh-CN"/>
        </w:rPr>
      </w:pPr>
      <w:bookmarkStart w:id="8" w:name="_Toc41299125"/>
      <w:r>
        <w:rPr>
          <w:rFonts w:hint="eastAsia" w:hAnsi="Times New Roman" w:cs="Times New Roman"/>
          <w:szCs w:val="21"/>
          <w:lang w:val="en-US" w:eastAsia="zh-CN"/>
        </w:rPr>
        <w:t>试验步骤</w:t>
      </w:r>
    </w:p>
    <w:p>
      <w:pPr>
        <w:pStyle w:val="45"/>
        <w:numPr>
          <w:ilvl w:val="1"/>
          <w:numId w:val="19"/>
        </w:numPr>
        <w:spacing w:before="0" w:beforeLines="0" w:after="0" w:afterLines="0"/>
        <w:ind w:left="567" w:hanging="567"/>
      </w:pPr>
      <w:r>
        <w:rPr>
          <w:rFonts w:hint="eastAsia"/>
        </w:rPr>
        <w:t>校准</w:t>
      </w:r>
    </w:p>
    <w:p>
      <w:pPr>
        <w:pStyle w:val="25"/>
        <w:ind w:firstLine="360"/>
        <w:rPr>
          <w:rFonts w:hint="eastAsia" w:ascii="Times New Roman" w:hAnsi="Times New Roman" w:cs="Times New Roman"/>
          <w:sz w:val="18"/>
          <w:szCs w:val="20"/>
        </w:rPr>
      </w:pPr>
      <w:r>
        <w:rPr>
          <w:rFonts w:hint="eastAsia" w:hAnsi="宋体" w:eastAsia="宋体" w:cs="宋体"/>
        </w:rPr>
        <w:t>为了确保测量的准确性，</w:t>
      </w:r>
      <w:r>
        <w:rPr>
          <w:rFonts w:hint="eastAsia" w:hAnsi="宋体" w:cs="宋体"/>
          <w:lang w:val="en-US" w:eastAsia="zh-CN"/>
        </w:rPr>
        <w:t>自动非</w:t>
      </w:r>
      <w:r>
        <w:rPr>
          <w:rFonts w:hint="eastAsia" w:hAnsi="宋体" w:eastAsia="宋体" w:cs="宋体"/>
          <w:lang w:val="en-US" w:eastAsia="zh-CN"/>
        </w:rPr>
        <w:t>接触式测量设备使用前应进行</w:t>
      </w:r>
      <w:r>
        <w:rPr>
          <w:rFonts w:hint="eastAsia" w:hAnsi="宋体" w:eastAsia="宋体" w:cs="宋体"/>
        </w:rPr>
        <w:t>校准。校准使用</w:t>
      </w:r>
      <w:r>
        <w:rPr>
          <w:rFonts w:hint="eastAsia" w:hAnsi="宋体" w:cs="宋体"/>
          <w:lang w:val="en-US" w:eastAsia="zh-CN"/>
        </w:rPr>
        <w:t>标准盘</w:t>
      </w:r>
      <w:r>
        <w:rPr>
          <w:rFonts w:hint="eastAsia" w:hAnsi="宋体" w:eastAsia="宋体" w:cs="宋体"/>
        </w:rPr>
        <w:t>进行，</w:t>
      </w:r>
      <w:r>
        <w:rPr>
          <w:rFonts w:hint="eastAsia" w:hAnsi="宋体" w:cs="宋体"/>
          <w:lang w:val="en-US" w:eastAsia="zh-CN"/>
        </w:rPr>
        <w:t>校准测试的结果应满足标准盘的参数要求</w:t>
      </w:r>
      <w:r>
        <w:rPr>
          <w:rFonts w:hint="eastAsia" w:ascii="Times New Roman" w:hAnsi="Times New Roman" w:cs="Times New Roman"/>
          <w:sz w:val="18"/>
          <w:szCs w:val="20"/>
        </w:rPr>
        <w:t>。</w:t>
      </w:r>
    </w:p>
    <w:p>
      <w:pPr>
        <w:pStyle w:val="45"/>
        <w:keepNext w:val="0"/>
        <w:keepLines w:val="0"/>
        <w:pageBreakBefore w:val="0"/>
        <w:widowControl/>
        <w:numPr>
          <w:ilvl w:val="1"/>
          <w:numId w:val="19"/>
        </w:numPr>
        <w:kinsoku/>
        <w:wordWrap/>
        <w:overflowPunct/>
        <w:topLinePunct w:val="0"/>
        <w:autoSpaceDE/>
        <w:autoSpaceDN/>
        <w:bidi w:val="0"/>
        <w:adjustRightInd/>
        <w:snapToGrid/>
        <w:spacing w:before="0" w:beforeLines="0" w:after="0" w:afterLines="0"/>
        <w:ind w:left="567" w:hanging="424" w:hangingChars="202"/>
        <w:textAlignment w:val="auto"/>
        <w:rPr>
          <w:rFonts w:hint="eastAsia" w:hAnsi="Times New Roman" w:cs="Times New Roman"/>
          <w:szCs w:val="21"/>
          <w:lang w:val="en-US" w:eastAsia="zh-CN"/>
        </w:rPr>
      </w:pPr>
      <w:r>
        <w:rPr>
          <w:rFonts w:hint="eastAsia"/>
          <w:lang w:val="en-US" w:eastAsia="zh-CN"/>
        </w:rPr>
        <w:t>测试</w:t>
      </w:r>
    </w:p>
    <w:p>
      <w:pPr>
        <w:pStyle w:val="45"/>
        <w:numPr>
          <w:ilvl w:val="2"/>
          <w:numId w:val="19"/>
        </w:numPr>
        <w:autoSpaceDE/>
        <w:autoSpaceDN/>
        <w:spacing w:before="0" w:beforeLines="0" w:after="0" w:afterLines="0"/>
        <w:ind w:left="709" w:hanging="709"/>
        <w:rPr>
          <w:rFonts w:hint="eastAsia" w:ascii="Times New Roman" w:hAnsi="Times New Roman" w:eastAsia="宋体" w:cs="Times New Roman"/>
          <w:szCs w:val="21"/>
          <w:lang w:val="en-US" w:eastAsia="zh-CN"/>
        </w:rPr>
      </w:pPr>
      <w:r>
        <w:rPr>
          <w:rFonts w:hint="eastAsia" w:ascii="Times New Roman" w:eastAsia="宋体" w:cs="Times New Roman"/>
          <w:szCs w:val="21"/>
          <w:lang w:val="en-US" w:eastAsia="zh-CN"/>
        </w:rPr>
        <w:t>碳化硅单晶片测试点边缘去除区应符合GB/T 30656的要求，测试时</w:t>
      </w:r>
      <w:r>
        <w:rPr>
          <w:rFonts w:hint="eastAsia" w:ascii="Times New Roman" w:hAnsi="Times New Roman" w:eastAsia="宋体" w:cs="Times New Roman"/>
          <w:szCs w:val="21"/>
          <w:lang w:val="en-US" w:eastAsia="zh-CN"/>
        </w:rPr>
        <w:t>将待测样品放置在</w:t>
      </w:r>
      <w:r>
        <w:rPr>
          <w:rFonts w:hint="eastAsia" w:ascii="Times New Roman" w:eastAsia="宋体" w:cs="Times New Roman"/>
          <w:szCs w:val="21"/>
          <w:lang w:val="en-US" w:eastAsia="zh-CN"/>
        </w:rPr>
        <w:t>测试吸盘</w:t>
      </w:r>
      <w:r>
        <w:rPr>
          <w:rFonts w:hint="eastAsia" w:ascii="Times New Roman" w:hAnsi="Times New Roman" w:eastAsia="宋体" w:cs="Times New Roman"/>
          <w:szCs w:val="21"/>
          <w:lang w:val="en-US" w:eastAsia="zh-CN"/>
        </w:rPr>
        <w:t>上，根据待测样品的尺寸选择对应的</w:t>
      </w:r>
      <w:r>
        <w:rPr>
          <w:rFonts w:hint="eastAsia" w:ascii="Times New Roman" w:eastAsia="宋体" w:cs="Times New Roman"/>
          <w:szCs w:val="21"/>
          <w:lang w:val="en-US" w:eastAsia="zh-CN"/>
        </w:rPr>
        <w:t>菜单</w:t>
      </w:r>
      <w:r>
        <w:rPr>
          <w:rFonts w:hint="eastAsia" w:ascii="Times New Roman" w:hAnsi="Times New Roman" w:eastAsia="宋体" w:cs="Times New Roman"/>
          <w:szCs w:val="21"/>
          <w:lang w:val="en-US" w:eastAsia="zh-CN"/>
        </w:rPr>
        <w:t>，输入样品编号</w:t>
      </w:r>
      <w:r>
        <w:rPr>
          <w:rFonts w:hint="eastAsia" w:ascii="Times New Roman" w:eastAsia="宋体" w:cs="Times New Roman"/>
          <w:szCs w:val="21"/>
          <w:lang w:val="en-US" w:eastAsia="zh-CN"/>
        </w:rPr>
        <w:t>，</w:t>
      </w:r>
      <w:r>
        <w:rPr>
          <w:rFonts w:hint="eastAsia" w:ascii="Times New Roman" w:hAnsi="Times New Roman" w:eastAsia="宋体" w:cs="Times New Roman"/>
          <w:szCs w:val="21"/>
          <w:lang w:val="en-US" w:eastAsia="zh-CN"/>
        </w:rPr>
        <w:t>点击开始测试，</w:t>
      </w:r>
      <w:r>
        <w:rPr>
          <w:rFonts w:hint="eastAsia" w:ascii="Times New Roman" w:eastAsia="宋体" w:cs="Times New Roman"/>
          <w:szCs w:val="21"/>
          <w:lang w:val="en-US" w:eastAsia="zh-CN"/>
        </w:rPr>
        <w:t>设备进行自动调焦和测量，自动生成面型数据（THK、LTV、TTV、BOW、Warp）和面型图；</w:t>
      </w:r>
    </w:p>
    <w:p>
      <w:pPr>
        <w:pStyle w:val="45"/>
        <w:numPr>
          <w:ilvl w:val="2"/>
          <w:numId w:val="19"/>
        </w:numPr>
        <w:autoSpaceDE/>
        <w:autoSpaceDN/>
        <w:spacing w:before="0" w:beforeLines="0" w:after="0" w:afterLines="0"/>
        <w:ind w:left="709" w:hanging="709"/>
        <w:rPr>
          <w:rFonts w:hint="eastAsia" w:ascii="Times New Roman" w:hAnsi="Times New Roman" w:eastAsia="宋体" w:cs="Times New Roman"/>
          <w:szCs w:val="21"/>
          <w:lang w:val="en-US" w:eastAsia="zh-CN"/>
        </w:rPr>
      </w:pPr>
      <w:r>
        <w:rPr>
          <w:rFonts w:hint="eastAsia" w:ascii="Times New Roman" w:eastAsia="宋体" w:cs="Times New Roman"/>
          <w:szCs w:val="21"/>
          <w:lang w:val="en-US" w:eastAsia="zh-CN"/>
        </w:rPr>
        <w:t>测试完毕，取下样品。</w:t>
      </w:r>
    </w:p>
    <w:p>
      <w:pPr>
        <w:pStyle w:val="46"/>
        <w:numPr>
          <w:ilvl w:val="0"/>
          <w:numId w:val="19"/>
        </w:numPr>
        <w:spacing w:before="312" w:after="312"/>
        <w:ind w:left="425" w:hanging="425"/>
      </w:pPr>
      <w:r>
        <w:rPr>
          <w:rFonts w:hint="eastAsia"/>
        </w:rPr>
        <w:t>精密度</w:t>
      </w:r>
    </w:p>
    <w:p>
      <w:pPr>
        <w:pStyle w:val="10"/>
        <w:ind w:firstLine="420" w:firstLineChars="200"/>
        <w:rPr>
          <w:rFonts w:hint="eastAsia"/>
          <w:sz w:val="21"/>
          <w:szCs w:val="21"/>
        </w:rPr>
      </w:pPr>
      <w:r>
        <w:rPr>
          <w:rFonts w:hint="eastAsia"/>
          <w:sz w:val="21"/>
          <w:szCs w:val="21"/>
        </w:rPr>
        <w:t>本方法的精密度是由起草单位和验证单位在同样条件下，对碳化硅单晶进行重复性验证，并根据相对标准偏差公式和重复性试验数据计算得出重复性和再现性的精密度。</w:t>
      </w:r>
    </w:p>
    <w:p>
      <w:pPr>
        <w:pStyle w:val="10"/>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sz w:val="21"/>
          <w:szCs w:val="21"/>
        </w:rPr>
        <w:t>对于</w:t>
      </w:r>
      <w:r>
        <w:rPr>
          <w:rFonts w:hint="eastAsia"/>
          <w:sz w:val="21"/>
          <w:szCs w:val="21"/>
          <w:lang w:val="en-US" w:eastAsia="zh-CN"/>
        </w:rPr>
        <w:t>接触式测量方法</w:t>
      </w:r>
      <w:r>
        <w:rPr>
          <w:rFonts w:hint="eastAsia"/>
          <w:sz w:val="21"/>
          <w:szCs w:val="21"/>
          <w:lang w:eastAsia="zh-CN"/>
        </w:rPr>
        <w:t>，</w:t>
      </w:r>
      <w:r>
        <w:rPr>
          <w:rFonts w:hint="eastAsia"/>
          <w:sz w:val="21"/>
          <w:szCs w:val="21"/>
        </w:rPr>
        <w:t>本方法的精密度使用</w:t>
      </w:r>
      <w:r>
        <w:rPr>
          <w:rFonts w:hint="eastAsia"/>
          <w:sz w:val="21"/>
          <w:szCs w:val="21"/>
          <w:lang w:val="en-US" w:eastAsia="zh-CN"/>
        </w:rPr>
        <w:t>2</w:t>
      </w:r>
      <w:r>
        <w:rPr>
          <w:rFonts w:hint="eastAsia"/>
          <w:sz w:val="21"/>
          <w:szCs w:val="21"/>
        </w:rPr>
        <w:t>片直径分别为100mm、150mm碳化硅单晶片，在3个测试单位巡回测试得到。</w:t>
      </w:r>
      <w:r>
        <w:rPr>
          <w:rFonts w:hint="eastAsia" w:asciiTheme="minorEastAsia" w:hAnsiTheme="minorEastAsia" w:cstheme="minorEastAsia"/>
          <w:color w:val="000000" w:themeColor="text1"/>
          <w:sz w:val="21"/>
          <w:szCs w:val="21"/>
          <w14:textFill>
            <w14:solidFill>
              <w14:schemeClr w14:val="tx1"/>
            </w14:solidFill>
          </w14:textFill>
        </w:rPr>
        <w:t>单个测试单位重复性测试的相对标准偏差不大于10%，3个测试单位的再现性相对标准偏</w:t>
      </w:r>
      <w:r>
        <w:rPr>
          <w:rFonts w:hint="eastAsia" w:asciiTheme="minorEastAsia" w:hAnsiTheme="minorEastAsia" w:cstheme="minorEastAsia"/>
          <w:sz w:val="21"/>
          <w:szCs w:val="21"/>
        </w:rPr>
        <w:t>差不大于10%</w:t>
      </w:r>
      <w:r>
        <w:rPr>
          <w:rFonts w:hint="eastAsia" w:asciiTheme="minorEastAsia" w:hAnsiTheme="minorEastAsia" w:cstheme="minorEastAsia"/>
          <w:color w:val="000000" w:themeColor="text1"/>
          <w:sz w:val="21"/>
          <w:szCs w:val="21"/>
          <w14:textFill>
            <w14:solidFill>
              <w14:schemeClr w14:val="tx1"/>
            </w14:solidFill>
          </w14:textFill>
        </w:rPr>
        <w:t>。</w:t>
      </w:r>
    </w:p>
    <w:p>
      <w:pPr>
        <w:pStyle w:val="10"/>
        <w:ind w:firstLine="420" w:firstLineChars="200"/>
      </w:pPr>
      <w:r>
        <w:rPr>
          <w:rFonts w:hint="eastAsia"/>
          <w:sz w:val="21"/>
          <w:szCs w:val="21"/>
        </w:rPr>
        <w:t>对于</w:t>
      </w:r>
      <w:r>
        <w:rPr>
          <w:rFonts w:hint="eastAsia"/>
          <w:sz w:val="21"/>
          <w:szCs w:val="21"/>
          <w:lang w:val="en-US" w:eastAsia="zh-CN"/>
        </w:rPr>
        <w:t>非接触式测量方法</w:t>
      </w:r>
      <w:r>
        <w:rPr>
          <w:rFonts w:hint="eastAsia"/>
          <w:sz w:val="21"/>
          <w:szCs w:val="21"/>
          <w:lang w:eastAsia="zh-CN"/>
        </w:rPr>
        <w:t>，</w:t>
      </w:r>
      <w:r>
        <w:rPr>
          <w:rFonts w:hint="eastAsia"/>
          <w:sz w:val="21"/>
          <w:szCs w:val="21"/>
        </w:rPr>
        <w:t>本方法的精密度使用2片直径分别为100mm、150mm碳化硅单晶片，在</w:t>
      </w:r>
      <w:r>
        <w:rPr>
          <w:rFonts w:hint="eastAsia"/>
          <w:sz w:val="21"/>
          <w:szCs w:val="21"/>
          <w:lang w:val="en-US" w:eastAsia="zh-CN"/>
        </w:rPr>
        <w:t>4</w:t>
      </w:r>
      <w:r>
        <w:rPr>
          <w:rFonts w:hint="eastAsia"/>
          <w:sz w:val="21"/>
          <w:szCs w:val="21"/>
        </w:rPr>
        <w:t>个测试单位巡回测试得到。</w:t>
      </w:r>
      <w:r>
        <w:rPr>
          <w:rFonts w:hint="eastAsia" w:asciiTheme="minorEastAsia" w:hAnsiTheme="minorEastAsia" w:cstheme="minorEastAsia"/>
          <w:color w:val="000000" w:themeColor="text1"/>
          <w:sz w:val="21"/>
          <w:szCs w:val="21"/>
          <w14:textFill>
            <w14:solidFill>
              <w14:schemeClr w14:val="tx1"/>
            </w14:solidFill>
          </w14:textFill>
        </w:rPr>
        <w:t>单个测试单位重复性测试的相对标准偏差不大于10%，</w:t>
      </w: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cstheme="minorEastAsia"/>
          <w:color w:val="000000" w:themeColor="text1"/>
          <w:sz w:val="21"/>
          <w:szCs w:val="21"/>
          <w14:textFill>
            <w14:solidFill>
              <w14:schemeClr w14:val="tx1"/>
            </w14:solidFill>
          </w14:textFill>
        </w:rPr>
        <w:t>个测试单位的再现性相对标准偏差</w:t>
      </w:r>
      <w:r>
        <w:rPr>
          <w:rFonts w:hint="eastAsia" w:asciiTheme="minorEastAsia" w:hAnsiTheme="minorEastAsia" w:cstheme="minorEastAsia"/>
          <w:sz w:val="21"/>
          <w:szCs w:val="21"/>
        </w:rPr>
        <w:t>不大于10%。</w:t>
      </w:r>
    </w:p>
    <w:p>
      <w:pPr>
        <w:pStyle w:val="25"/>
        <w:rPr>
          <w:rFonts w:hint="default"/>
          <w:lang w:val="en-US" w:eastAsia="zh-CN"/>
        </w:rPr>
      </w:pPr>
    </w:p>
    <w:bookmarkEnd w:id="8"/>
    <w:p>
      <w:pPr>
        <w:pStyle w:val="46"/>
        <w:numPr>
          <w:ilvl w:val="0"/>
          <w:numId w:val="19"/>
        </w:numPr>
        <w:spacing w:before="312" w:after="312"/>
        <w:ind w:left="425" w:hanging="425"/>
      </w:pPr>
      <w:r>
        <w:rPr>
          <w:rFonts w:hint="eastAsia"/>
        </w:rPr>
        <w:t>试验报告</w:t>
      </w:r>
    </w:p>
    <w:p>
      <w:pPr>
        <w:ind w:firstLine="420" w:firstLineChars="200"/>
        <w:rPr>
          <w:bCs/>
          <w:szCs w:val="21"/>
        </w:rPr>
      </w:pPr>
      <w:r>
        <w:rPr>
          <w:rFonts w:hint="eastAsia" w:hAnsi="宋体"/>
          <w:bCs/>
          <w:szCs w:val="21"/>
        </w:rPr>
        <w:t>试验</w:t>
      </w:r>
      <w:r>
        <w:rPr>
          <w:rFonts w:hAnsi="宋体"/>
          <w:bCs/>
          <w:szCs w:val="21"/>
        </w:rPr>
        <w:t>报告</w:t>
      </w:r>
      <w:r>
        <w:rPr>
          <w:rFonts w:hint="eastAsia" w:hAnsi="宋体"/>
          <w:bCs/>
          <w:szCs w:val="21"/>
        </w:rPr>
        <w:t>应至少包括以下</w:t>
      </w:r>
      <w:r>
        <w:rPr>
          <w:rFonts w:hAnsi="宋体"/>
          <w:bCs/>
          <w:szCs w:val="21"/>
        </w:rPr>
        <w:t>内容：</w:t>
      </w:r>
    </w:p>
    <w:p>
      <w:pPr>
        <w:pStyle w:val="62"/>
        <w:rPr>
          <w:szCs w:val="21"/>
        </w:rPr>
      </w:pPr>
      <w:r>
        <w:rPr>
          <w:rFonts w:hint="eastAsia"/>
          <w:szCs w:val="21"/>
        </w:rPr>
        <w:t>送样单位</w:t>
      </w:r>
      <w:r>
        <w:rPr>
          <w:szCs w:val="21"/>
        </w:rPr>
        <w:t xml:space="preserve">； </w:t>
      </w:r>
    </w:p>
    <w:p>
      <w:pPr>
        <w:pStyle w:val="62"/>
        <w:rPr>
          <w:szCs w:val="21"/>
        </w:rPr>
      </w:pPr>
      <w:r>
        <w:rPr>
          <w:szCs w:val="21"/>
        </w:rPr>
        <w:t>样品</w:t>
      </w:r>
      <w:r>
        <w:rPr>
          <w:rFonts w:hint="eastAsia"/>
          <w:szCs w:val="21"/>
        </w:rPr>
        <w:t>信息，包括（样品直径、编号）</w:t>
      </w:r>
      <w:r>
        <w:rPr>
          <w:szCs w:val="21"/>
        </w:rPr>
        <w:t>；</w:t>
      </w:r>
    </w:p>
    <w:p>
      <w:pPr>
        <w:pStyle w:val="62"/>
        <w:rPr>
          <w:szCs w:val="21"/>
        </w:rPr>
      </w:pPr>
      <w:r>
        <w:rPr>
          <w:rFonts w:hint="eastAsia"/>
          <w:szCs w:val="21"/>
        </w:rPr>
        <w:t>测试日期；</w:t>
      </w:r>
    </w:p>
    <w:p>
      <w:pPr>
        <w:pStyle w:val="62"/>
        <w:rPr>
          <w:szCs w:val="21"/>
        </w:rPr>
      </w:pPr>
      <w:r>
        <w:rPr>
          <w:rFonts w:hint="eastAsia"/>
          <w:szCs w:val="21"/>
          <w:lang w:val="en-US" w:eastAsia="zh-CN"/>
        </w:rPr>
        <w:t>测试结果（THK、LTV、TTV、BOW、Warp）</w:t>
      </w:r>
      <w:r>
        <w:rPr>
          <w:szCs w:val="21"/>
        </w:rPr>
        <w:t>；</w:t>
      </w:r>
    </w:p>
    <w:p>
      <w:pPr>
        <w:pStyle w:val="62"/>
        <w:rPr>
          <w:szCs w:val="21"/>
        </w:rPr>
      </w:pPr>
      <w:r>
        <w:rPr>
          <w:rFonts w:hint="eastAsia"/>
          <w:szCs w:val="21"/>
          <w:lang w:val="en-US" w:eastAsia="zh-CN"/>
        </w:rPr>
        <w:t>测试扫描图</w:t>
      </w:r>
      <w:r>
        <w:rPr>
          <w:rFonts w:hint="eastAsia"/>
          <w:szCs w:val="21"/>
        </w:rPr>
        <w:t>；</w:t>
      </w:r>
    </w:p>
    <w:p>
      <w:pPr>
        <w:pStyle w:val="62"/>
        <w:rPr>
          <w:szCs w:val="21"/>
        </w:rPr>
      </w:pPr>
      <w:r>
        <w:rPr>
          <w:rFonts w:hint="eastAsia"/>
          <w:szCs w:val="21"/>
        </w:rPr>
        <w:t>本文件编号；</w:t>
      </w:r>
    </w:p>
    <w:p>
      <w:pPr>
        <w:pStyle w:val="62"/>
        <w:rPr>
          <w:szCs w:val="21"/>
        </w:rPr>
      </w:pPr>
      <w:r>
        <w:rPr>
          <w:rFonts w:hint="eastAsia"/>
          <w:szCs w:val="21"/>
        </w:rPr>
        <w:t>其他。</w:t>
      </w:r>
    </w:p>
    <w:p>
      <w:pPr>
        <w:pStyle w:val="62"/>
        <w:numPr>
          <w:ilvl w:val="255"/>
          <w:numId w:val="0"/>
        </w:numPr>
        <w:jc w:val="center"/>
        <w:rPr>
          <w:rFonts w:ascii="黑体" w:hAnsi="黑体" w:eastAsia="黑体" w:cs="宋体"/>
        </w:rPr>
      </w:pPr>
      <w:r>
        <w:rPr>
          <w:color w:val="000000"/>
        </w:rP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MS UI Gothic"/>
    <w:panose1 w:val="02020609040205080304"/>
    <w:charset w:val="80"/>
    <w:family w:val="modern"/>
    <w:pitch w:val="default"/>
    <w:sig w:usb0="00000000" w:usb1="00000000" w:usb2="08000012" w:usb3="00000000" w:csb0="4002009F" w:csb1="DFD70000"/>
  </w:font>
  <w:font w:name="Arial Unicode MS">
    <w:panose1 w:val="020B0604020202020204"/>
    <w:charset w:val="86"/>
    <w:family w:val="swiss"/>
    <w:pitch w:val="default"/>
    <w:sig w:usb0="FFFFFFFF" w:usb1="E9FFFFFF" w:usb2="0000003F" w:usb3="00000000" w:csb0="603F01FF" w:csb1="FFFF0000"/>
  </w:font>
  <w:font w:name="AdobeHeitiStd-Regular">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t xml:space="preserve">GB/T </w:t>
    </w:r>
    <w:r>
      <w:rPr>
        <w:rFonts w:hint="eastAsia"/>
      </w:rPr>
      <w:t>XXXXX</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90124"/>
    <w:multiLevelType w:val="multilevel"/>
    <w:tmpl w:val="FF090124"/>
    <w:lvl w:ilvl="0" w:tentative="0">
      <w:start w:val="1"/>
      <w:numFmt w:val="decimal"/>
      <w:lvlText w:val="%1."/>
      <w:lvlJc w:val="left"/>
      <w:pPr>
        <w:ind w:left="425" w:hanging="425"/>
      </w:pPr>
      <w:rPr>
        <w:rFonts w:hint="default" w:ascii="黑体" w:hAnsi="黑体" w:eastAsia="黑体" w:cs="黑体"/>
        <w:color w:val="auto"/>
      </w:rPr>
    </w:lvl>
    <w:lvl w:ilvl="1" w:tentative="0">
      <w:start w:val="1"/>
      <w:numFmt w:val="decimal"/>
      <w:lvlText w:val="%1.%2."/>
      <w:lvlJc w:val="left"/>
      <w:pPr>
        <w:ind w:left="567" w:hanging="567"/>
      </w:pPr>
      <w:rPr>
        <w:rFonts w:hint="default" w:ascii="黑体" w:hAnsi="黑体" w:eastAsia="黑体" w:cs="黑体"/>
        <w:highlight w:val="none"/>
        <w:vertAlign w:val="baseline"/>
      </w:rPr>
    </w:lvl>
    <w:lvl w:ilvl="2" w:tentative="0">
      <w:start w:val="1"/>
      <w:numFmt w:val="decimal"/>
      <w:lvlText w:val="%1.%2.%3."/>
      <w:lvlJc w:val="left"/>
      <w:pPr>
        <w:ind w:left="709" w:hanging="709"/>
      </w:pPr>
      <w:rPr>
        <w:rFonts w:hint="default" w:ascii="黑体" w:hAnsi="黑体" w:eastAsia="黑体" w:cs="黑体"/>
        <w:vertAlign w:val="baseline"/>
      </w:rPr>
    </w:lvl>
    <w:lvl w:ilvl="3" w:tentative="0">
      <w:start w:val="1"/>
      <w:numFmt w:val="decimal"/>
      <w:lvlText w:val="%1.%2.%3.%4."/>
      <w:lvlJc w:val="left"/>
      <w:pPr>
        <w:ind w:left="1700" w:hanging="850"/>
      </w:pPr>
      <w:rPr>
        <w:rFonts w:hint="default"/>
      </w:rPr>
    </w:lvl>
    <w:lvl w:ilvl="4" w:tentative="0">
      <w:start w:val="1"/>
      <w:numFmt w:val="decimal"/>
      <w:lvlText w:val="%1.%2.%3.%4.%5."/>
      <w:lvlJc w:val="left"/>
      <w:pPr>
        <w:ind w:left="1841" w:hanging="991"/>
      </w:pPr>
      <w:rPr>
        <w:rFonts w:hint="default"/>
      </w:rPr>
    </w:lvl>
    <w:lvl w:ilvl="5" w:tentative="0">
      <w:start w:val="1"/>
      <w:numFmt w:val="decimal"/>
      <w:lvlText w:val="%1.%2.%3.%4.%5.%6."/>
      <w:lvlJc w:val="left"/>
      <w:pPr>
        <w:ind w:left="1984" w:hanging="1134"/>
      </w:pPr>
      <w:rPr>
        <w:rFonts w:hint="default"/>
      </w:rPr>
    </w:lvl>
    <w:lvl w:ilvl="6" w:tentative="0">
      <w:start w:val="1"/>
      <w:numFmt w:val="decimal"/>
      <w:lvlText w:val="%1.%2.%3.%4.%5.%6.%7."/>
      <w:lvlJc w:val="left"/>
      <w:pPr>
        <w:ind w:left="2125" w:hanging="1275"/>
      </w:pPr>
      <w:rPr>
        <w:rFonts w:hint="default"/>
      </w:rPr>
    </w:lvl>
    <w:lvl w:ilvl="7" w:tentative="0">
      <w:start w:val="1"/>
      <w:numFmt w:val="decimal"/>
      <w:lvlText w:val="%1.%2.%3.%4.%5.%6.%7.%8."/>
      <w:lvlJc w:val="left"/>
      <w:pPr>
        <w:ind w:left="2268" w:hanging="1418"/>
      </w:pPr>
      <w:rPr>
        <w:rFonts w:hint="default"/>
      </w:rPr>
    </w:lvl>
    <w:lvl w:ilvl="8" w:tentative="0">
      <w:start w:val="1"/>
      <w:numFmt w:val="decimal"/>
      <w:lvlText w:val="%1.%2.%3.%4.%5.%6.%7.%8.%9."/>
      <w:lvlJc w:val="left"/>
      <w:pPr>
        <w:ind w:left="2408" w:hanging="1558"/>
      </w:pPr>
      <w:rPr>
        <w:rFonts w:hint="default"/>
      </w:rPr>
    </w:lvl>
  </w:abstractNum>
  <w:abstractNum w:abstractNumId="1">
    <w:nsid w:val="06CF6282"/>
    <w:multiLevelType w:val="multilevel"/>
    <w:tmpl w:val="06CF628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color w:val="000000" w:themeColor="text1"/>
        <w:sz w:val="21"/>
        <w:szCs w:val="21"/>
        <w14:textFill>
          <w14:solidFill>
            <w14:schemeClr w14:val="tx1"/>
          </w14:solidFill>
        </w14:textFill>
      </w:rPr>
    </w:lvl>
    <w:lvl w:ilvl="1" w:tentative="0">
      <w:start w:val="1"/>
      <w:numFmt w:val="decimal"/>
      <w:pStyle w:val="45"/>
      <w:suff w:val="nothing"/>
      <w:lvlText w:val="%1.%2　"/>
      <w:lvlJc w:val="left"/>
      <w:pPr>
        <w:ind w:left="21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1"/>
      <w:suff w:val="nothing"/>
      <w:lvlText w:val="%1——"/>
      <w:lvlJc w:val="left"/>
      <w:pPr>
        <w:ind w:left="976" w:hanging="408"/>
      </w:pPr>
      <w:rPr>
        <w:rFonts w:hint="eastAsia"/>
        <w:lang w:val="en-US"/>
      </w:rPr>
    </w:lvl>
    <w:lvl w:ilvl="1" w:tentative="0">
      <w:start w:val="1"/>
      <w:numFmt w:val="bullet"/>
      <w:pStyle w:val="52"/>
      <w:lvlText w:val=""/>
      <w:lvlJc w:val="left"/>
      <w:pPr>
        <w:tabs>
          <w:tab w:val="left" w:pos="903"/>
        </w:tabs>
        <w:ind w:left="1407" w:hanging="413"/>
      </w:pPr>
      <w:rPr>
        <w:rFonts w:hint="default" w:ascii="Symbol" w:hAnsi="Symbol"/>
        <w:color w:val="auto"/>
      </w:rPr>
    </w:lvl>
    <w:lvl w:ilvl="2" w:tentative="0">
      <w:start w:val="1"/>
      <w:numFmt w:val="bullet"/>
      <w:pStyle w:val="63"/>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7"/>
  </w:num>
  <w:num w:numId="3">
    <w:abstractNumId w:val="9"/>
  </w:num>
  <w:num w:numId="4">
    <w:abstractNumId w:val="4"/>
  </w:num>
  <w:num w:numId="5">
    <w:abstractNumId w:val="11"/>
  </w:num>
  <w:num w:numId="6">
    <w:abstractNumId w:val="18"/>
  </w:num>
  <w:num w:numId="7">
    <w:abstractNumId w:val="2"/>
  </w:num>
  <w:num w:numId="8">
    <w:abstractNumId w:val="12"/>
  </w:num>
  <w:num w:numId="9">
    <w:abstractNumId w:val="6"/>
  </w:num>
  <w:num w:numId="10">
    <w:abstractNumId w:val="16"/>
  </w:num>
  <w:num w:numId="11">
    <w:abstractNumId w:val="14"/>
  </w:num>
  <w:num w:numId="12">
    <w:abstractNumId w:val="17"/>
  </w:num>
  <w:num w:numId="13">
    <w:abstractNumId w:val="8"/>
  </w:num>
  <w:num w:numId="14">
    <w:abstractNumId w:val="3"/>
  </w:num>
  <w:num w:numId="15">
    <w:abstractNumId w:val="5"/>
  </w:num>
  <w:num w:numId="16">
    <w:abstractNumId w:val="15"/>
  </w:num>
  <w:num w:numId="17">
    <w:abstractNumId w:val="13"/>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mMTUzZjZlOTA0ZDUyMTg1ZTg5MDhiMDc5NGM1MDUifQ=="/>
    <w:docVar w:name="KSO_WPS_MARK_KEY" w:val="c25e0c38-b6a3-4881-a338-cc1bf1636992"/>
  </w:docVars>
  <w:rsids>
    <w:rsidRoot w:val="008E3BB5"/>
    <w:rsid w:val="00000244"/>
    <w:rsid w:val="0000185F"/>
    <w:rsid w:val="0000586F"/>
    <w:rsid w:val="00011107"/>
    <w:rsid w:val="00013D86"/>
    <w:rsid w:val="00013E02"/>
    <w:rsid w:val="0002143C"/>
    <w:rsid w:val="00025A65"/>
    <w:rsid w:val="00026C31"/>
    <w:rsid w:val="00027280"/>
    <w:rsid w:val="00027646"/>
    <w:rsid w:val="00030653"/>
    <w:rsid w:val="00031BDE"/>
    <w:rsid w:val="000320A7"/>
    <w:rsid w:val="00033EAC"/>
    <w:rsid w:val="00035925"/>
    <w:rsid w:val="00035EA5"/>
    <w:rsid w:val="000406F0"/>
    <w:rsid w:val="00042D0E"/>
    <w:rsid w:val="00045AEA"/>
    <w:rsid w:val="00057C16"/>
    <w:rsid w:val="00067B30"/>
    <w:rsid w:val="00067CDF"/>
    <w:rsid w:val="00072A37"/>
    <w:rsid w:val="000735D3"/>
    <w:rsid w:val="00074FBE"/>
    <w:rsid w:val="00077059"/>
    <w:rsid w:val="00077998"/>
    <w:rsid w:val="00082335"/>
    <w:rsid w:val="00083A09"/>
    <w:rsid w:val="0009005E"/>
    <w:rsid w:val="000911B0"/>
    <w:rsid w:val="00092857"/>
    <w:rsid w:val="000973C3"/>
    <w:rsid w:val="000973DA"/>
    <w:rsid w:val="000976FF"/>
    <w:rsid w:val="000A0483"/>
    <w:rsid w:val="000A16EB"/>
    <w:rsid w:val="000A1B6D"/>
    <w:rsid w:val="000A20A9"/>
    <w:rsid w:val="000A48B1"/>
    <w:rsid w:val="000B2103"/>
    <w:rsid w:val="000B3143"/>
    <w:rsid w:val="000B5D17"/>
    <w:rsid w:val="000C6B05"/>
    <w:rsid w:val="000C6DD6"/>
    <w:rsid w:val="000C73D4"/>
    <w:rsid w:val="000D3D4C"/>
    <w:rsid w:val="000D4F51"/>
    <w:rsid w:val="000D703C"/>
    <w:rsid w:val="000D718B"/>
    <w:rsid w:val="000E0C46"/>
    <w:rsid w:val="000E108A"/>
    <w:rsid w:val="000E3CFA"/>
    <w:rsid w:val="000E6F73"/>
    <w:rsid w:val="000F030C"/>
    <w:rsid w:val="000F129C"/>
    <w:rsid w:val="000F5E7C"/>
    <w:rsid w:val="000F6B60"/>
    <w:rsid w:val="00102B74"/>
    <w:rsid w:val="001056DE"/>
    <w:rsid w:val="00107C50"/>
    <w:rsid w:val="001124C0"/>
    <w:rsid w:val="00113192"/>
    <w:rsid w:val="001176B7"/>
    <w:rsid w:val="0013175F"/>
    <w:rsid w:val="001344B8"/>
    <w:rsid w:val="001511E1"/>
    <w:rsid w:val="001512B4"/>
    <w:rsid w:val="001521B0"/>
    <w:rsid w:val="001620A5"/>
    <w:rsid w:val="0016318F"/>
    <w:rsid w:val="0016370D"/>
    <w:rsid w:val="00164B49"/>
    <w:rsid w:val="00164DA8"/>
    <w:rsid w:val="00164E53"/>
    <w:rsid w:val="0016699D"/>
    <w:rsid w:val="001723B3"/>
    <w:rsid w:val="00175159"/>
    <w:rsid w:val="00176208"/>
    <w:rsid w:val="00177569"/>
    <w:rsid w:val="00177653"/>
    <w:rsid w:val="0018211B"/>
    <w:rsid w:val="0018274A"/>
    <w:rsid w:val="00183020"/>
    <w:rsid w:val="001840D3"/>
    <w:rsid w:val="001855C6"/>
    <w:rsid w:val="00185BDB"/>
    <w:rsid w:val="00187FE9"/>
    <w:rsid w:val="001900F8"/>
    <w:rsid w:val="001902AE"/>
    <w:rsid w:val="00191258"/>
    <w:rsid w:val="001922DF"/>
    <w:rsid w:val="00192680"/>
    <w:rsid w:val="00193037"/>
    <w:rsid w:val="00193A2C"/>
    <w:rsid w:val="001A288E"/>
    <w:rsid w:val="001A3A91"/>
    <w:rsid w:val="001B11C3"/>
    <w:rsid w:val="001B2D5C"/>
    <w:rsid w:val="001B4D70"/>
    <w:rsid w:val="001B6DC2"/>
    <w:rsid w:val="001B79DA"/>
    <w:rsid w:val="001C0D55"/>
    <w:rsid w:val="001C149C"/>
    <w:rsid w:val="001C21AC"/>
    <w:rsid w:val="001C2B54"/>
    <w:rsid w:val="001C3333"/>
    <w:rsid w:val="001C47BA"/>
    <w:rsid w:val="001C59EA"/>
    <w:rsid w:val="001D406C"/>
    <w:rsid w:val="001D41EE"/>
    <w:rsid w:val="001E0380"/>
    <w:rsid w:val="001E13B1"/>
    <w:rsid w:val="001E2F7E"/>
    <w:rsid w:val="001E4BE3"/>
    <w:rsid w:val="001E636D"/>
    <w:rsid w:val="001F04C8"/>
    <w:rsid w:val="001F2E61"/>
    <w:rsid w:val="001F3A19"/>
    <w:rsid w:val="001F4178"/>
    <w:rsid w:val="001F45BB"/>
    <w:rsid w:val="00213EFD"/>
    <w:rsid w:val="00216646"/>
    <w:rsid w:val="00216D2A"/>
    <w:rsid w:val="00221113"/>
    <w:rsid w:val="00234467"/>
    <w:rsid w:val="00237D8D"/>
    <w:rsid w:val="00241DA2"/>
    <w:rsid w:val="00247FEE"/>
    <w:rsid w:val="002503A7"/>
    <w:rsid w:val="00250E7D"/>
    <w:rsid w:val="002565D5"/>
    <w:rsid w:val="00260BCB"/>
    <w:rsid w:val="002622C0"/>
    <w:rsid w:val="00262777"/>
    <w:rsid w:val="00263ECE"/>
    <w:rsid w:val="002674DC"/>
    <w:rsid w:val="00267AB1"/>
    <w:rsid w:val="00270637"/>
    <w:rsid w:val="00273653"/>
    <w:rsid w:val="002778AE"/>
    <w:rsid w:val="00280A52"/>
    <w:rsid w:val="0028269A"/>
    <w:rsid w:val="00283590"/>
    <w:rsid w:val="002838FB"/>
    <w:rsid w:val="002847B5"/>
    <w:rsid w:val="00284D2E"/>
    <w:rsid w:val="00286973"/>
    <w:rsid w:val="00287386"/>
    <w:rsid w:val="00294E70"/>
    <w:rsid w:val="002A07FA"/>
    <w:rsid w:val="002A1528"/>
    <w:rsid w:val="002A1924"/>
    <w:rsid w:val="002A222A"/>
    <w:rsid w:val="002A3BEC"/>
    <w:rsid w:val="002A7420"/>
    <w:rsid w:val="002B003B"/>
    <w:rsid w:val="002B023D"/>
    <w:rsid w:val="002B0F12"/>
    <w:rsid w:val="002B1308"/>
    <w:rsid w:val="002B4554"/>
    <w:rsid w:val="002B5A91"/>
    <w:rsid w:val="002C3891"/>
    <w:rsid w:val="002C5773"/>
    <w:rsid w:val="002C7146"/>
    <w:rsid w:val="002C72D8"/>
    <w:rsid w:val="002D11FA"/>
    <w:rsid w:val="002D39DC"/>
    <w:rsid w:val="002D4067"/>
    <w:rsid w:val="002D51DA"/>
    <w:rsid w:val="002D67C9"/>
    <w:rsid w:val="002D6A44"/>
    <w:rsid w:val="002D7CCB"/>
    <w:rsid w:val="002E0DDF"/>
    <w:rsid w:val="002E2906"/>
    <w:rsid w:val="002E5635"/>
    <w:rsid w:val="002E64C3"/>
    <w:rsid w:val="002E6A2C"/>
    <w:rsid w:val="002F1D8C"/>
    <w:rsid w:val="002F21DA"/>
    <w:rsid w:val="002F3DF0"/>
    <w:rsid w:val="002F45A5"/>
    <w:rsid w:val="002F4B8A"/>
    <w:rsid w:val="002F61D5"/>
    <w:rsid w:val="00301F39"/>
    <w:rsid w:val="00310900"/>
    <w:rsid w:val="00313C8E"/>
    <w:rsid w:val="00316218"/>
    <w:rsid w:val="00325926"/>
    <w:rsid w:val="00327A8A"/>
    <w:rsid w:val="00333B21"/>
    <w:rsid w:val="00335692"/>
    <w:rsid w:val="00336610"/>
    <w:rsid w:val="00343F73"/>
    <w:rsid w:val="00344571"/>
    <w:rsid w:val="00345060"/>
    <w:rsid w:val="00345846"/>
    <w:rsid w:val="00352ABD"/>
    <w:rsid w:val="0035323B"/>
    <w:rsid w:val="003609D2"/>
    <w:rsid w:val="003632BA"/>
    <w:rsid w:val="00363F22"/>
    <w:rsid w:val="00375017"/>
    <w:rsid w:val="00375564"/>
    <w:rsid w:val="00380AF8"/>
    <w:rsid w:val="00381344"/>
    <w:rsid w:val="00383191"/>
    <w:rsid w:val="00384A68"/>
    <w:rsid w:val="00386DED"/>
    <w:rsid w:val="0038798C"/>
    <w:rsid w:val="003912E7"/>
    <w:rsid w:val="003924C0"/>
    <w:rsid w:val="00393947"/>
    <w:rsid w:val="00396E56"/>
    <w:rsid w:val="003A0183"/>
    <w:rsid w:val="003A2275"/>
    <w:rsid w:val="003A6A4F"/>
    <w:rsid w:val="003A7088"/>
    <w:rsid w:val="003A770D"/>
    <w:rsid w:val="003B00DF"/>
    <w:rsid w:val="003B1275"/>
    <w:rsid w:val="003B1778"/>
    <w:rsid w:val="003C11CB"/>
    <w:rsid w:val="003C519A"/>
    <w:rsid w:val="003C75F3"/>
    <w:rsid w:val="003C78A3"/>
    <w:rsid w:val="003D0C53"/>
    <w:rsid w:val="003E1867"/>
    <w:rsid w:val="003E361A"/>
    <w:rsid w:val="003E5729"/>
    <w:rsid w:val="003F4EA1"/>
    <w:rsid w:val="003F4EE0"/>
    <w:rsid w:val="00402153"/>
    <w:rsid w:val="004027F9"/>
    <w:rsid w:val="00402FC1"/>
    <w:rsid w:val="004058EB"/>
    <w:rsid w:val="00407859"/>
    <w:rsid w:val="004123FB"/>
    <w:rsid w:val="00420C77"/>
    <w:rsid w:val="00425082"/>
    <w:rsid w:val="00431DEB"/>
    <w:rsid w:val="00434213"/>
    <w:rsid w:val="004356AF"/>
    <w:rsid w:val="00441961"/>
    <w:rsid w:val="00443AE6"/>
    <w:rsid w:val="0044584E"/>
    <w:rsid w:val="00446B29"/>
    <w:rsid w:val="00450B0B"/>
    <w:rsid w:val="00451865"/>
    <w:rsid w:val="00453616"/>
    <w:rsid w:val="00453F9A"/>
    <w:rsid w:val="00455125"/>
    <w:rsid w:val="00462CAA"/>
    <w:rsid w:val="00467D09"/>
    <w:rsid w:val="00470549"/>
    <w:rsid w:val="00471E91"/>
    <w:rsid w:val="00471F35"/>
    <w:rsid w:val="00474675"/>
    <w:rsid w:val="0047470C"/>
    <w:rsid w:val="00474D32"/>
    <w:rsid w:val="00483E82"/>
    <w:rsid w:val="00485C11"/>
    <w:rsid w:val="00495C02"/>
    <w:rsid w:val="004A35F9"/>
    <w:rsid w:val="004A5953"/>
    <w:rsid w:val="004A705F"/>
    <w:rsid w:val="004B24C1"/>
    <w:rsid w:val="004B6191"/>
    <w:rsid w:val="004B7C77"/>
    <w:rsid w:val="004C0154"/>
    <w:rsid w:val="004C1B03"/>
    <w:rsid w:val="004C1F96"/>
    <w:rsid w:val="004C292F"/>
    <w:rsid w:val="004C3D9A"/>
    <w:rsid w:val="004C5980"/>
    <w:rsid w:val="004D3ACC"/>
    <w:rsid w:val="004D645E"/>
    <w:rsid w:val="004D79BF"/>
    <w:rsid w:val="004E045B"/>
    <w:rsid w:val="004E3F0E"/>
    <w:rsid w:val="004E490D"/>
    <w:rsid w:val="004E568C"/>
    <w:rsid w:val="004E6AED"/>
    <w:rsid w:val="004F26E2"/>
    <w:rsid w:val="004F52CE"/>
    <w:rsid w:val="00510280"/>
    <w:rsid w:val="00511118"/>
    <w:rsid w:val="00511BA9"/>
    <w:rsid w:val="00513D73"/>
    <w:rsid w:val="00514A43"/>
    <w:rsid w:val="0051543B"/>
    <w:rsid w:val="005174E5"/>
    <w:rsid w:val="00521E4F"/>
    <w:rsid w:val="00522393"/>
    <w:rsid w:val="00522620"/>
    <w:rsid w:val="00525656"/>
    <w:rsid w:val="00527A35"/>
    <w:rsid w:val="00534A1B"/>
    <w:rsid w:val="00534C02"/>
    <w:rsid w:val="005408A7"/>
    <w:rsid w:val="0054264B"/>
    <w:rsid w:val="00542B40"/>
    <w:rsid w:val="00543786"/>
    <w:rsid w:val="005474BB"/>
    <w:rsid w:val="00547603"/>
    <w:rsid w:val="00551DBD"/>
    <w:rsid w:val="005533D7"/>
    <w:rsid w:val="00561208"/>
    <w:rsid w:val="005619A5"/>
    <w:rsid w:val="0056358E"/>
    <w:rsid w:val="00563BFD"/>
    <w:rsid w:val="0056738D"/>
    <w:rsid w:val="005703DE"/>
    <w:rsid w:val="00576508"/>
    <w:rsid w:val="0057762F"/>
    <w:rsid w:val="00582165"/>
    <w:rsid w:val="005823BA"/>
    <w:rsid w:val="00582841"/>
    <w:rsid w:val="0058464E"/>
    <w:rsid w:val="005862BE"/>
    <w:rsid w:val="005912C1"/>
    <w:rsid w:val="005A01CB"/>
    <w:rsid w:val="005A28F3"/>
    <w:rsid w:val="005A3B3F"/>
    <w:rsid w:val="005A58FF"/>
    <w:rsid w:val="005A59B4"/>
    <w:rsid w:val="005A5EAF"/>
    <w:rsid w:val="005A604B"/>
    <w:rsid w:val="005A64C0"/>
    <w:rsid w:val="005A73B2"/>
    <w:rsid w:val="005A779D"/>
    <w:rsid w:val="005A7D86"/>
    <w:rsid w:val="005A7F2C"/>
    <w:rsid w:val="005B3A29"/>
    <w:rsid w:val="005B3A76"/>
    <w:rsid w:val="005B3C11"/>
    <w:rsid w:val="005B65AC"/>
    <w:rsid w:val="005C177F"/>
    <w:rsid w:val="005C18EE"/>
    <w:rsid w:val="005C1C28"/>
    <w:rsid w:val="005C25F5"/>
    <w:rsid w:val="005C27B9"/>
    <w:rsid w:val="005C6DB5"/>
    <w:rsid w:val="005D0F7E"/>
    <w:rsid w:val="005D677A"/>
    <w:rsid w:val="005E0EB7"/>
    <w:rsid w:val="005E19E7"/>
    <w:rsid w:val="005E1DA2"/>
    <w:rsid w:val="005E6AAE"/>
    <w:rsid w:val="005F068F"/>
    <w:rsid w:val="005F2275"/>
    <w:rsid w:val="005F281E"/>
    <w:rsid w:val="005F7580"/>
    <w:rsid w:val="0061571C"/>
    <w:rsid w:val="0061716C"/>
    <w:rsid w:val="00621809"/>
    <w:rsid w:val="006230EA"/>
    <w:rsid w:val="006239DF"/>
    <w:rsid w:val="00623C93"/>
    <w:rsid w:val="006243A1"/>
    <w:rsid w:val="00625EEE"/>
    <w:rsid w:val="00632864"/>
    <w:rsid w:val="00632E56"/>
    <w:rsid w:val="0063315E"/>
    <w:rsid w:val="00633869"/>
    <w:rsid w:val="00635CBA"/>
    <w:rsid w:val="00637A59"/>
    <w:rsid w:val="0064338B"/>
    <w:rsid w:val="00645C38"/>
    <w:rsid w:val="00646542"/>
    <w:rsid w:val="006504F4"/>
    <w:rsid w:val="006536B0"/>
    <w:rsid w:val="00654BC9"/>
    <w:rsid w:val="006552FD"/>
    <w:rsid w:val="006601B3"/>
    <w:rsid w:val="00660BCE"/>
    <w:rsid w:val="00661749"/>
    <w:rsid w:val="00663AF3"/>
    <w:rsid w:val="00663F38"/>
    <w:rsid w:val="00666B6C"/>
    <w:rsid w:val="006704D9"/>
    <w:rsid w:val="00671F31"/>
    <w:rsid w:val="00672CFB"/>
    <w:rsid w:val="00674527"/>
    <w:rsid w:val="0068237B"/>
    <w:rsid w:val="00682682"/>
    <w:rsid w:val="00682702"/>
    <w:rsid w:val="00692368"/>
    <w:rsid w:val="006945FB"/>
    <w:rsid w:val="006A2EBC"/>
    <w:rsid w:val="006A5EA0"/>
    <w:rsid w:val="006A6F64"/>
    <w:rsid w:val="006A783B"/>
    <w:rsid w:val="006A78C1"/>
    <w:rsid w:val="006A7B33"/>
    <w:rsid w:val="006A7FE6"/>
    <w:rsid w:val="006B4BE6"/>
    <w:rsid w:val="006B4E13"/>
    <w:rsid w:val="006B75DD"/>
    <w:rsid w:val="006C149F"/>
    <w:rsid w:val="006C67E0"/>
    <w:rsid w:val="006C7ABA"/>
    <w:rsid w:val="006C7D7F"/>
    <w:rsid w:val="006D0578"/>
    <w:rsid w:val="006D0D60"/>
    <w:rsid w:val="006D1122"/>
    <w:rsid w:val="006D1933"/>
    <w:rsid w:val="006D3C00"/>
    <w:rsid w:val="006D66C6"/>
    <w:rsid w:val="006D719D"/>
    <w:rsid w:val="006E3675"/>
    <w:rsid w:val="006E4A7F"/>
    <w:rsid w:val="006E546B"/>
    <w:rsid w:val="006E5CFA"/>
    <w:rsid w:val="006F2A4C"/>
    <w:rsid w:val="006F3B58"/>
    <w:rsid w:val="006F44D6"/>
    <w:rsid w:val="0070045B"/>
    <w:rsid w:val="00700E9C"/>
    <w:rsid w:val="007028BF"/>
    <w:rsid w:val="00704DF6"/>
    <w:rsid w:val="00705356"/>
    <w:rsid w:val="0070651C"/>
    <w:rsid w:val="007132A3"/>
    <w:rsid w:val="0071546E"/>
    <w:rsid w:val="00716421"/>
    <w:rsid w:val="00720CA9"/>
    <w:rsid w:val="00722A7F"/>
    <w:rsid w:val="007238BF"/>
    <w:rsid w:val="00724EFB"/>
    <w:rsid w:val="0072604B"/>
    <w:rsid w:val="007268BE"/>
    <w:rsid w:val="00731DA3"/>
    <w:rsid w:val="00736739"/>
    <w:rsid w:val="007413EF"/>
    <w:rsid w:val="007419C3"/>
    <w:rsid w:val="00744215"/>
    <w:rsid w:val="00744D61"/>
    <w:rsid w:val="007467A7"/>
    <w:rsid w:val="007468B5"/>
    <w:rsid w:val="007469DD"/>
    <w:rsid w:val="0074741B"/>
    <w:rsid w:val="0074759E"/>
    <w:rsid w:val="007478EA"/>
    <w:rsid w:val="00752D10"/>
    <w:rsid w:val="0075415C"/>
    <w:rsid w:val="007572B2"/>
    <w:rsid w:val="007618CC"/>
    <w:rsid w:val="00761F71"/>
    <w:rsid w:val="007625E4"/>
    <w:rsid w:val="007626BC"/>
    <w:rsid w:val="00762AAA"/>
    <w:rsid w:val="00763502"/>
    <w:rsid w:val="00765E2B"/>
    <w:rsid w:val="00770C0D"/>
    <w:rsid w:val="00774FB3"/>
    <w:rsid w:val="00781056"/>
    <w:rsid w:val="007826C9"/>
    <w:rsid w:val="0078639F"/>
    <w:rsid w:val="007913AB"/>
    <w:rsid w:val="007914F7"/>
    <w:rsid w:val="00792BE8"/>
    <w:rsid w:val="007964D0"/>
    <w:rsid w:val="007965B0"/>
    <w:rsid w:val="007A1EFF"/>
    <w:rsid w:val="007A3233"/>
    <w:rsid w:val="007A5A87"/>
    <w:rsid w:val="007A6016"/>
    <w:rsid w:val="007A670E"/>
    <w:rsid w:val="007A73E4"/>
    <w:rsid w:val="007B1625"/>
    <w:rsid w:val="007B6129"/>
    <w:rsid w:val="007B61DC"/>
    <w:rsid w:val="007B706E"/>
    <w:rsid w:val="007B71EB"/>
    <w:rsid w:val="007C506B"/>
    <w:rsid w:val="007C6205"/>
    <w:rsid w:val="007C686A"/>
    <w:rsid w:val="007C728E"/>
    <w:rsid w:val="007C78DB"/>
    <w:rsid w:val="007D0325"/>
    <w:rsid w:val="007D13D6"/>
    <w:rsid w:val="007D2C53"/>
    <w:rsid w:val="007D3D60"/>
    <w:rsid w:val="007D4A44"/>
    <w:rsid w:val="007D5176"/>
    <w:rsid w:val="007E1980"/>
    <w:rsid w:val="007E4B76"/>
    <w:rsid w:val="007E5EA8"/>
    <w:rsid w:val="007E68D6"/>
    <w:rsid w:val="007F0514"/>
    <w:rsid w:val="007F0CF1"/>
    <w:rsid w:val="007F12A5"/>
    <w:rsid w:val="007F25D7"/>
    <w:rsid w:val="007F2EEB"/>
    <w:rsid w:val="007F4CF1"/>
    <w:rsid w:val="007F5AF3"/>
    <w:rsid w:val="007F6C72"/>
    <w:rsid w:val="007F758D"/>
    <w:rsid w:val="007F7D52"/>
    <w:rsid w:val="00800530"/>
    <w:rsid w:val="0080399C"/>
    <w:rsid w:val="0080654C"/>
    <w:rsid w:val="008071C6"/>
    <w:rsid w:val="00817A00"/>
    <w:rsid w:val="008205A9"/>
    <w:rsid w:val="0082323D"/>
    <w:rsid w:val="008236EF"/>
    <w:rsid w:val="00824CBB"/>
    <w:rsid w:val="00830F44"/>
    <w:rsid w:val="00835DB3"/>
    <w:rsid w:val="00835DE7"/>
    <w:rsid w:val="0083617B"/>
    <w:rsid w:val="008371BD"/>
    <w:rsid w:val="008504A8"/>
    <w:rsid w:val="0085282E"/>
    <w:rsid w:val="00864F47"/>
    <w:rsid w:val="0087186C"/>
    <w:rsid w:val="0087198C"/>
    <w:rsid w:val="008724BA"/>
    <w:rsid w:val="00872C1F"/>
    <w:rsid w:val="00873B42"/>
    <w:rsid w:val="008749E4"/>
    <w:rsid w:val="00877D2E"/>
    <w:rsid w:val="008856D8"/>
    <w:rsid w:val="00892E82"/>
    <w:rsid w:val="00894FFC"/>
    <w:rsid w:val="008A495C"/>
    <w:rsid w:val="008A62C1"/>
    <w:rsid w:val="008A70E1"/>
    <w:rsid w:val="008B5DC2"/>
    <w:rsid w:val="008B7AE0"/>
    <w:rsid w:val="008C0FFC"/>
    <w:rsid w:val="008C1B58"/>
    <w:rsid w:val="008C1D10"/>
    <w:rsid w:val="008C29CC"/>
    <w:rsid w:val="008C35F6"/>
    <w:rsid w:val="008C39AE"/>
    <w:rsid w:val="008C590D"/>
    <w:rsid w:val="008C7F1C"/>
    <w:rsid w:val="008D3787"/>
    <w:rsid w:val="008E031B"/>
    <w:rsid w:val="008E3BB5"/>
    <w:rsid w:val="008E7029"/>
    <w:rsid w:val="008E7EF6"/>
    <w:rsid w:val="008F0E16"/>
    <w:rsid w:val="008F12CE"/>
    <w:rsid w:val="008F1F98"/>
    <w:rsid w:val="008F586A"/>
    <w:rsid w:val="008F6758"/>
    <w:rsid w:val="008F7587"/>
    <w:rsid w:val="009040DD"/>
    <w:rsid w:val="00905B47"/>
    <w:rsid w:val="009130C8"/>
    <w:rsid w:val="0091331C"/>
    <w:rsid w:val="0091631F"/>
    <w:rsid w:val="00922267"/>
    <w:rsid w:val="009279DE"/>
    <w:rsid w:val="00930116"/>
    <w:rsid w:val="0093240A"/>
    <w:rsid w:val="009335B9"/>
    <w:rsid w:val="0093436D"/>
    <w:rsid w:val="00936969"/>
    <w:rsid w:val="00941E47"/>
    <w:rsid w:val="0094212C"/>
    <w:rsid w:val="009437F7"/>
    <w:rsid w:val="0095244D"/>
    <w:rsid w:val="00954689"/>
    <w:rsid w:val="00955B6F"/>
    <w:rsid w:val="009569CB"/>
    <w:rsid w:val="009617C9"/>
    <w:rsid w:val="00961C93"/>
    <w:rsid w:val="00965324"/>
    <w:rsid w:val="00966ECF"/>
    <w:rsid w:val="0097091E"/>
    <w:rsid w:val="00971D0F"/>
    <w:rsid w:val="00973EEE"/>
    <w:rsid w:val="00974AF6"/>
    <w:rsid w:val="009760D3"/>
    <w:rsid w:val="00977132"/>
    <w:rsid w:val="0098169E"/>
    <w:rsid w:val="00981A4B"/>
    <w:rsid w:val="00982501"/>
    <w:rsid w:val="009877D3"/>
    <w:rsid w:val="00987B50"/>
    <w:rsid w:val="00990A46"/>
    <w:rsid w:val="00994E8F"/>
    <w:rsid w:val="009951DC"/>
    <w:rsid w:val="009959BB"/>
    <w:rsid w:val="00997158"/>
    <w:rsid w:val="009A0785"/>
    <w:rsid w:val="009A3A7C"/>
    <w:rsid w:val="009A5E2C"/>
    <w:rsid w:val="009B2ADB"/>
    <w:rsid w:val="009B3A05"/>
    <w:rsid w:val="009B4382"/>
    <w:rsid w:val="009B603A"/>
    <w:rsid w:val="009C0A29"/>
    <w:rsid w:val="009C116A"/>
    <w:rsid w:val="009C2AE0"/>
    <w:rsid w:val="009C2D0E"/>
    <w:rsid w:val="009C3DAC"/>
    <w:rsid w:val="009C4138"/>
    <w:rsid w:val="009C42E0"/>
    <w:rsid w:val="009C669B"/>
    <w:rsid w:val="009C7192"/>
    <w:rsid w:val="009D31DC"/>
    <w:rsid w:val="009D3DF4"/>
    <w:rsid w:val="009D5362"/>
    <w:rsid w:val="009D66FB"/>
    <w:rsid w:val="009E1415"/>
    <w:rsid w:val="009E3061"/>
    <w:rsid w:val="009E529B"/>
    <w:rsid w:val="009E5686"/>
    <w:rsid w:val="009E6116"/>
    <w:rsid w:val="009E6A54"/>
    <w:rsid w:val="009F1D28"/>
    <w:rsid w:val="009F3F9E"/>
    <w:rsid w:val="009F7AF9"/>
    <w:rsid w:val="00A02E43"/>
    <w:rsid w:val="00A0431C"/>
    <w:rsid w:val="00A065F9"/>
    <w:rsid w:val="00A069CB"/>
    <w:rsid w:val="00A07F34"/>
    <w:rsid w:val="00A1297D"/>
    <w:rsid w:val="00A14AE9"/>
    <w:rsid w:val="00A156E5"/>
    <w:rsid w:val="00A22154"/>
    <w:rsid w:val="00A23012"/>
    <w:rsid w:val="00A25C38"/>
    <w:rsid w:val="00A31629"/>
    <w:rsid w:val="00A35532"/>
    <w:rsid w:val="00A36BBE"/>
    <w:rsid w:val="00A376E9"/>
    <w:rsid w:val="00A4307A"/>
    <w:rsid w:val="00A43806"/>
    <w:rsid w:val="00A4470A"/>
    <w:rsid w:val="00A479AB"/>
    <w:rsid w:val="00A47EBB"/>
    <w:rsid w:val="00A51CDD"/>
    <w:rsid w:val="00A525C7"/>
    <w:rsid w:val="00A53329"/>
    <w:rsid w:val="00A55DD2"/>
    <w:rsid w:val="00A6730D"/>
    <w:rsid w:val="00A71625"/>
    <w:rsid w:val="00A71659"/>
    <w:rsid w:val="00A71B9B"/>
    <w:rsid w:val="00A73CDE"/>
    <w:rsid w:val="00A751C7"/>
    <w:rsid w:val="00A7543C"/>
    <w:rsid w:val="00A819FD"/>
    <w:rsid w:val="00A87844"/>
    <w:rsid w:val="00A92259"/>
    <w:rsid w:val="00A94293"/>
    <w:rsid w:val="00A9443E"/>
    <w:rsid w:val="00A9784C"/>
    <w:rsid w:val="00A97EA3"/>
    <w:rsid w:val="00AA038C"/>
    <w:rsid w:val="00AA3849"/>
    <w:rsid w:val="00AA7A09"/>
    <w:rsid w:val="00AB0858"/>
    <w:rsid w:val="00AB3B50"/>
    <w:rsid w:val="00AB4277"/>
    <w:rsid w:val="00AB5386"/>
    <w:rsid w:val="00AC05B1"/>
    <w:rsid w:val="00AD356C"/>
    <w:rsid w:val="00AE09E2"/>
    <w:rsid w:val="00AE2914"/>
    <w:rsid w:val="00AE6D15"/>
    <w:rsid w:val="00AF2115"/>
    <w:rsid w:val="00AF6772"/>
    <w:rsid w:val="00AF70C4"/>
    <w:rsid w:val="00AF76C9"/>
    <w:rsid w:val="00B01302"/>
    <w:rsid w:val="00B04182"/>
    <w:rsid w:val="00B07AE3"/>
    <w:rsid w:val="00B11430"/>
    <w:rsid w:val="00B16079"/>
    <w:rsid w:val="00B163C3"/>
    <w:rsid w:val="00B23180"/>
    <w:rsid w:val="00B2474C"/>
    <w:rsid w:val="00B253D3"/>
    <w:rsid w:val="00B337D5"/>
    <w:rsid w:val="00B3515F"/>
    <w:rsid w:val="00B353EB"/>
    <w:rsid w:val="00B3780B"/>
    <w:rsid w:val="00B4324D"/>
    <w:rsid w:val="00B439C4"/>
    <w:rsid w:val="00B43EB6"/>
    <w:rsid w:val="00B4420A"/>
    <w:rsid w:val="00B442D3"/>
    <w:rsid w:val="00B44869"/>
    <w:rsid w:val="00B449F1"/>
    <w:rsid w:val="00B4535E"/>
    <w:rsid w:val="00B47BF0"/>
    <w:rsid w:val="00B52A8C"/>
    <w:rsid w:val="00B636A8"/>
    <w:rsid w:val="00B665C6"/>
    <w:rsid w:val="00B73889"/>
    <w:rsid w:val="00B76494"/>
    <w:rsid w:val="00B76C59"/>
    <w:rsid w:val="00B805AF"/>
    <w:rsid w:val="00B80F3B"/>
    <w:rsid w:val="00B81093"/>
    <w:rsid w:val="00B859CD"/>
    <w:rsid w:val="00B869EC"/>
    <w:rsid w:val="00B9397A"/>
    <w:rsid w:val="00B95A5C"/>
    <w:rsid w:val="00B9633D"/>
    <w:rsid w:val="00BA1CA0"/>
    <w:rsid w:val="00BA2EBE"/>
    <w:rsid w:val="00BA5AEB"/>
    <w:rsid w:val="00BB0F28"/>
    <w:rsid w:val="00BB1CF7"/>
    <w:rsid w:val="00BB291D"/>
    <w:rsid w:val="00BB2BBE"/>
    <w:rsid w:val="00BB458A"/>
    <w:rsid w:val="00BB4591"/>
    <w:rsid w:val="00BB49D5"/>
    <w:rsid w:val="00BB4C8D"/>
    <w:rsid w:val="00BC094F"/>
    <w:rsid w:val="00BC09EE"/>
    <w:rsid w:val="00BC3490"/>
    <w:rsid w:val="00BC5BAC"/>
    <w:rsid w:val="00BC64F8"/>
    <w:rsid w:val="00BD00D3"/>
    <w:rsid w:val="00BD1659"/>
    <w:rsid w:val="00BD3AA9"/>
    <w:rsid w:val="00BD4A18"/>
    <w:rsid w:val="00BD6DB2"/>
    <w:rsid w:val="00BD7E65"/>
    <w:rsid w:val="00BE11CF"/>
    <w:rsid w:val="00BE21AB"/>
    <w:rsid w:val="00BE55CB"/>
    <w:rsid w:val="00BE7105"/>
    <w:rsid w:val="00BF617A"/>
    <w:rsid w:val="00C02136"/>
    <w:rsid w:val="00C02915"/>
    <w:rsid w:val="00C0379D"/>
    <w:rsid w:val="00C03931"/>
    <w:rsid w:val="00C05FE3"/>
    <w:rsid w:val="00C1014A"/>
    <w:rsid w:val="00C17BC8"/>
    <w:rsid w:val="00C2136D"/>
    <w:rsid w:val="00C214EE"/>
    <w:rsid w:val="00C2174F"/>
    <w:rsid w:val="00C2314B"/>
    <w:rsid w:val="00C243B9"/>
    <w:rsid w:val="00C24971"/>
    <w:rsid w:val="00C26BE5"/>
    <w:rsid w:val="00C26E4D"/>
    <w:rsid w:val="00C272B8"/>
    <w:rsid w:val="00C27909"/>
    <w:rsid w:val="00C27B03"/>
    <w:rsid w:val="00C30F22"/>
    <w:rsid w:val="00C314E1"/>
    <w:rsid w:val="00C332D6"/>
    <w:rsid w:val="00C34011"/>
    <w:rsid w:val="00C34397"/>
    <w:rsid w:val="00C34578"/>
    <w:rsid w:val="00C35341"/>
    <w:rsid w:val="00C36506"/>
    <w:rsid w:val="00C4095D"/>
    <w:rsid w:val="00C51358"/>
    <w:rsid w:val="00C52689"/>
    <w:rsid w:val="00C543ED"/>
    <w:rsid w:val="00C54C8A"/>
    <w:rsid w:val="00C554F3"/>
    <w:rsid w:val="00C601D2"/>
    <w:rsid w:val="00C654FC"/>
    <w:rsid w:val="00C657AB"/>
    <w:rsid w:val="00C65BCC"/>
    <w:rsid w:val="00C66970"/>
    <w:rsid w:val="00C8691C"/>
    <w:rsid w:val="00C9297E"/>
    <w:rsid w:val="00C94300"/>
    <w:rsid w:val="00C9754B"/>
    <w:rsid w:val="00CA112C"/>
    <w:rsid w:val="00CA168A"/>
    <w:rsid w:val="00CA357E"/>
    <w:rsid w:val="00CA3C44"/>
    <w:rsid w:val="00CA41A0"/>
    <w:rsid w:val="00CA44F9"/>
    <w:rsid w:val="00CA4A69"/>
    <w:rsid w:val="00CB0AFE"/>
    <w:rsid w:val="00CB23A1"/>
    <w:rsid w:val="00CB3617"/>
    <w:rsid w:val="00CB6135"/>
    <w:rsid w:val="00CC3E0C"/>
    <w:rsid w:val="00CC58D3"/>
    <w:rsid w:val="00CC784D"/>
    <w:rsid w:val="00CD2167"/>
    <w:rsid w:val="00CD6300"/>
    <w:rsid w:val="00CD7B6C"/>
    <w:rsid w:val="00CE2137"/>
    <w:rsid w:val="00CE5ED9"/>
    <w:rsid w:val="00CE6B9D"/>
    <w:rsid w:val="00CF1D1D"/>
    <w:rsid w:val="00CF361A"/>
    <w:rsid w:val="00CF36BC"/>
    <w:rsid w:val="00D0337B"/>
    <w:rsid w:val="00D079B2"/>
    <w:rsid w:val="00D11478"/>
    <w:rsid w:val="00D114E9"/>
    <w:rsid w:val="00D160ED"/>
    <w:rsid w:val="00D16676"/>
    <w:rsid w:val="00D20699"/>
    <w:rsid w:val="00D22141"/>
    <w:rsid w:val="00D22845"/>
    <w:rsid w:val="00D24F68"/>
    <w:rsid w:val="00D429C6"/>
    <w:rsid w:val="00D45B96"/>
    <w:rsid w:val="00D47748"/>
    <w:rsid w:val="00D47F36"/>
    <w:rsid w:val="00D51AF0"/>
    <w:rsid w:val="00D5311A"/>
    <w:rsid w:val="00D54CC3"/>
    <w:rsid w:val="00D6041A"/>
    <w:rsid w:val="00D62005"/>
    <w:rsid w:val="00D633EB"/>
    <w:rsid w:val="00D67DA6"/>
    <w:rsid w:val="00D725BA"/>
    <w:rsid w:val="00D72BB1"/>
    <w:rsid w:val="00D72BF8"/>
    <w:rsid w:val="00D82FF7"/>
    <w:rsid w:val="00D847FE"/>
    <w:rsid w:val="00D955CA"/>
    <w:rsid w:val="00D964EA"/>
    <w:rsid w:val="00D966D0"/>
    <w:rsid w:val="00D973CC"/>
    <w:rsid w:val="00DA0C59"/>
    <w:rsid w:val="00DA15AC"/>
    <w:rsid w:val="00DA3991"/>
    <w:rsid w:val="00DB7E6C"/>
    <w:rsid w:val="00DC224E"/>
    <w:rsid w:val="00DC5AAD"/>
    <w:rsid w:val="00DC5E6F"/>
    <w:rsid w:val="00DD5A29"/>
    <w:rsid w:val="00DD5D9D"/>
    <w:rsid w:val="00DE2C79"/>
    <w:rsid w:val="00DE35CB"/>
    <w:rsid w:val="00DF13E9"/>
    <w:rsid w:val="00DF16B4"/>
    <w:rsid w:val="00DF1E24"/>
    <w:rsid w:val="00DF21E9"/>
    <w:rsid w:val="00DF3C26"/>
    <w:rsid w:val="00DF4669"/>
    <w:rsid w:val="00DF6822"/>
    <w:rsid w:val="00E00F14"/>
    <w:rsid w:val="00E01F68"/>
    <w:rsid w:val="00E0347D"/>
    <w:rsid w:val="00E06386"/>
    <w:rsid w:val="00E16AC7"/>
    <w:rsid w:val="00E1782A"/>
    <w:rsid w:val="00E2398E"/>
    <w:rsid w:val="00E24EB4"/>
    <w:rsid w:val="00E26F38"/>
    <w:rsid w:val="00E320ED"/>
    <w:rsid w:val="00E33650"/>
    <w:rsid w:val="00E33AFB"/>
    <w:rsid w:val="00E34218"/>
    <w:rsid w:val="00E35F8A"/>
    <w:rsid w:val="00E361EC"/>
    <w:rsid w:val="00E45228"/>
    <w:rsid w:val="00E46282"/>
    <w:rsid w:val="00E5216E"/>
    <w:rsid w:val="00E6480F"/>
    <w:rsid w:val="00E7041C"/>
    <w:rsid w:val="00E81929"/>
    <w:rsid w:val="00E82344"/>
    <w:rsid w:val="00E84C82"/>
    <w:rsid w:val="00E84D64"/>
    <w:rsid w:val="00E870F2"/>
    <w:rsid w:val="00E87408"/>
    <w:rsid w:val="00E91096"/>
    <w:rsid w:val="00E914C4"/>
    <w:rsid w:val="00E91CD2"/>
    <w:rsid w:val="00E934F5"/>
    <w:rsid w:val="00E95CAC"/>
    <w:rsid w:val="00E96961"/>
    <w:rsid w:val="00EA092A"/>
    <w:rsid w:val="00EA146C"/>
    <w:rsid w:val="00EA5285"/>
    <w:rsid w:val="00EA72EC"/>
    <w:rsid w:val="00EB11CB"/>
    <w:rsid w:val="00EB275A"/>
    <w:rsid w:val="00EB6E41"/>
    <w:rsid w:val="00EB786A"/>
    <w:rsid w:val="00EC1578"/>
    <w:rsid w:val="00EC1C72"/>
    <w:rsid w:val="00EC22D9"/>
    <w:rsid w:val="00EC3CC9"/>
    <w:rsid w:val="00EC680A"/>
    <w:rsid w:val="00EC7FD5"/>
    <w:rsid w:val="00ED2242"/>
    <w:rsid w:val="00ED794E"/>
    <w:rsid w:val="00EE0A6A"/>
    <w:rsid w:val="00EE2819"/>
    <w:rsid w:val="00EE2BED"/>
    <w:rsid w:val="00EE374B"/>
    <w:rsid w:val="00EE5A7F"/>
    <w:rsid w:val="00EE7133"/>
    <w:rsid w:val="00EE73D2"/>
    <w:rsid w:val="00EE7636"/>
    <w:rsid w:val="00EF2DD3"/>
    <w:rsid w:val="00EF2FAD"/>
    <w:rsid w:val="00EF768F"/>
    <w:rsid w:val="00F00158"/>
    <w:rsid w:val="00F0124A"/>
    <w:rsid w:val="00F06FC1"/>
    <w:rsid w:val="00F1075A"/>
    <w:rsid w:val="00F10C4D"/>
    <w:rsid w:val="00F11BB5"/>
    <w:rsid w:val="00F11F9F"/>
    <w:rsid w:val="00F1417B"/>
    <w:rsid w:val="00F20323"/>
    <w:rsid w:val="00F3175B"/>
    <w:rsid w:val="00F31B08"/>
    <w:rsid w:val="00F33816"/>
    <w:rsid w:val="00F34B99"/>
    <w:rsid w:val="00F36EC3"/>
    <w:rsid w:val="00F4096E"/>
    <w:rsid w:val="00F43BA1"/>
    <w:rsid w:val="00F52DAB"/>
    <w:rsid w:val="00F543F0"/>
    <w:rsid w:val="00F62EDF"/>
    <w:rsid w:val="00F64441"/>
    <w:rsid w:val="00F65976"/>
    <w:rsid w:val="00F660E6"/>
    <w:rsid w:val="00F70CB1"/>
    <w:rsid w:val="00F737BC"/>
    <w:rsid w:val="00F73BBC"/>
    <w:rsid w:val="00F74608"/>
    <w:rsid w:val="00F805CB"/>
    <w:rsid w:val="00F80E29"/>
    <w:rsid w:val="00F81D29"/>
    <w:rsid w:val="00F871AD"/>
    <w:rsid w:val="00F91C4D"/>
    <w:rsid w:val="00F92FD9"/>
    <w:rsid w:val="00F934B5"/>
    <w:rsid w:val="00F936EC"/>
    <w:rsid w:val="00F94DE0"/>
    <w:rsid w:val="00F9590A"/>
    <w:rsid w:val="00FA3021"/>
    <w:rsid w:val="00FA6684"/>
    <w:rsid w:val="00FA731E"/>
    <w:rsid w:val="00FB2B38"/>
    <w:rsid w:val="00FB2C8B"/>
    <w:rsid w:val="00FB2F7C"/>
    <w:rsid w:val="00FC1921"/>
    <w:rsid w:val="00FC3326"/>
    <w:rsid w:val="00FC6358"/>
    <w:rsid w:val="00FC7E22"/>
    <w:rsid w:val="00FD217A"/>
    <w:rsid w:val="00FD2E56"/>
    <w:rsid w:val="00FD320D"/>
    <w:rsid w:val="00FE10CE"/>
    <w:rsid w:val="00FE23DE"/>
    <w:rsid w:val="00FE531F"/>
    <w:rsid w:val="014337F8"/>
    <w:rsid w:val="01802C9E"/>
    <w:rsid w:val="019B195C"/>
    <w:rsid w:val="01A1152F"/>
    <w:rsid w:val="01A27D66"/>
    <w:rsid w:val="01C50129"/>
    <w:rsid w:val="01D46DBB"/>
    <w:rsid w:val="01D858F5"/>
    <w:rsid w:val="01EC20E2"/>
    <w:rsid w:val="01F228C0"/>
    <w:rsid w:val="023C34C8"/>
    <w:rsid w:val="02497534"/>
    <w:rsid w:val="02661E94"/>
    <w:rsid w:val="027F1079"/>
    <w:rsid w:val="02B41E59"/>
    <w:rsid w:val="02E5292E"/>
    <w:rsid w:val="030948A6"/>
    <w:rsid w:val="030D7D35"/>
    <w:rsid w:val="033C0982"/>
    <w:rsid w:val="03B45254"/>
    <w:rsid w:val="03BA0190"/>
    <w:rsid w:val="04207E21"/>
    <w:rsid w:val="043B3587"/>
    <w:rsid w:val="04411CF2"/>
    <w:rsid w:val="04583A5F"/>
    <w:rsid w:val="04846602"/>
    <w:rsid w:val="048A790E"/>
    <w:rsid w:val="04B702BF"/>
    <w:rsid w:val="04CE1F73"/>
    <w:rsid w:val="05030840"/>
    <w:rsid w:val="051200B1"/>
    <w:rsid w:val="051468CF"/>
    <w:rsid w:val="05CB32C5"/>
    <w:rsid w:val="05E25CD6"/>
    <w:rsid w:val="0616597F"/>
    <w:rsid w:val="061E4834"/>
    <w:rsid w:val="063D0489"/>
    <w:rsid w:val="06511303"/>
    <w:rsid w:val="06D27AF8"/>
    <w:rsid w:val="06D364FB"/>
    <w:rsid w:val="073A569E"/>
    <w:rsid w:val="075458CB"/>
    <w:rsid w:val="075C776E"/>
    <w:rsid w:val="07813B6E"/>
    <w:rsid w:val="07944077"/>
    <w:rsid w:val="0796331C"/>
    <w:rsid w:val="07A11279"/>
    <w:rsid w:val="07ED14C2"/>
    <w:rsid w:val="08014F16"/>
    <w:rsid w:val="080E352C"/>
    <w:rsid w:val="08395955"/>
    <w:rsid w:val="087D3A94"/>
    <w:rsid w:val="08907424"/>
    <w:rsid w:val="093747C6"/>
    <w:rsid w:val="093B63AC"/>
    <w:rsid w:val="09661DB3"/>
    <w:rsid w:val="0A252635"/>
    <w:rsid w:val="0A285BA9"/>
    <w:rsid w:val="0A3259F6"/>
    <w:rsid w:val="0A3C6E47"/>
    <w:rsid w:val="0A60043B"/>
    <w:rsid w:val="0A8F5D00"/>
    <w:rsid w:val="0ACF2ABB"/>
    <w:rsid w:val="0AF838A6"/>
    <w:rsid w:val="0AFA761E"/>
    <w:rsid w:val="0B065FC2"/>
    <w:rsid w:val="0B11403D"/>
    <w:rsid w:val="0B5C0200"/>
    <w:rsid w:val="0B8B471A"/>
    <w:rsid w:val="0BEC6DB0"/>
    <w:rsid w:val="0C1110C3"/>
    <w:rsid w:val="0C204D29"/>
    <w:rsid w:val="0C635794"/>
    <w:rsid w:val="0C7A019F"/>
    <w:rsid w:val="0CA5133B"/>
    <w:rsid w:val="0CB90E13"/>
    <w:rsid w:val="0CDD71F7"/>
    <w:rsid w:val="0CE81666"/>
    <w:rsid w:val="0D274486"/>
    <w:rsid w:val="0D611BD6"/>
    <w:rsid w:val="0D6E1132"/>
    <w:rsid w:val="0D8D3030"/>
    <w:rsid w:val="0DB74AC1"/>
    <w:rsid w:val="0DE83A0F"/>
    <w:rsid w:val="0E105B1B"/>
    <w:rsid w:val="0E140E5E"/>
    <w:rsid w:val="0E26697C"/>
    <w:rsid w:val="0E40538D"/>
    <w:rsid w:val="0E8611C8"/>
    <w:rsid w:val="0E980DF0"/>
    <w:rsid w:val="0EC77410"/>
    <w:rsid w:val="0EDD0C18"/>
    <w:rsid w:val="0EE966FA"/>
    <w:rsid w:val="0EF44235"/>
    <w:rsid w:val="0F503F37"/>
    <w:rsid w:val="0FBA55CD"/>
    <w:rsid w:val="0FEC6762"/>
    <w:rsid w:val="0FF369DE"/>
    <w:rsid w:val="10345380"/>
    <w:rsid w:val="10410D6B"/>
    <w:rsid w:val="107E65FB"/>
    <w:rsid w:val="10D54B61"/>
    <w:rsid w:val="10E70644"/>
    <w:rsid w:val="10E86CF0"/>
    <w:rsid w:val="11081F58"/>
    <w:rsid w:val="118346E5"/>
    <w:rsid w:val="11970CE8"/>
    <w:rsid w:val="11D706B9"/>
    <w:rsid w:val="121852ED"/>
    <w:rsid w:val="12325AB2"/>
    <w:rsid w:val="12A55086"/>
    <w:rsid w:val="12AD44C9"/>
    <w:rsid w:val="12DA2848"/>
    <w:rsid w:val="135C1146"/>
    <w:rsid w:val="136516EA"/>
    <w:rsid w:val="13655850"/>
    <w:rsid w:val="1370366E"/>
    <w:rsid w:val="14916E06"/>
    <w:rsid w:val="14AB0B2E"/>
    <w:rsid w:val="14B906BB"/>
    <w:rsid w:val="14CD5DA3"/>
    <w:rsid w:val="15082937"/>
    <w:rsid w:val="150C0679"/>
    <w:rsid w:val="1562473D"/>
    <w:rsid w:val="156E7814"/>
    <w:rsid w:val="1574621E"/>
    <w:rsid w:val="1585042C"/>
    <w:rsid w:val="1592077B"/>
    <w:rsid w:val="166718DF"/>
    <w:rsid w:val="167A0809"/>
    <w:rsid w:val="167A658A"/>
    <w:rsid w:val="168C7748"/>
    <w:rsid w:val="16FC64CC"/>
    <w:rsid w:val="17111733"/>
    <w:rsid w:val="17417419"/>
    <w:rsid w:val="174D53F9"/>
    <w:rsid w:val="17CF1E32"/>
    <w:rsid w:val="17D223CE"/>
    <w:rsid w:val="17DF22F2"/>
    <w:rsid w:val="17EE3C26"/>
    <w:rsid w:val="17F10502"/>
    <w:rsid w:val="18181067"/>
    <w:rsid w:val="1826200B"/>
    <w:rsid w:val="186645D4"/>
    <w:rsid w:val="19BF386A"/>
    <w:rsid w:val="19D11E91"/>
    <w:rsid w:val="19F10F35"/>
    <w:rsid w:val="1A0C613E"/>
    <w:rsid w:val="1A0F2C8D"/>
    <w:rsid w:val="1A754EF4"/>
    <w:rsid w:val="1AFA3D58"/>
    <w:rsid w:val="1B4A3CA9"/>
    <w:rsid w:val="1B55264E"/>
    <w:rsid w:val="1B5E7755"/>
    <w:rsid w:val="1B645114"/>
    <w:rsid w:val="1B943177"/>
    <w:rsid w:val="1BB713F3"/>
    <w:rsid w:val="1C732034"/>
    <w:rsid w:val="1C74479E"/>
    <w:rsid w:val="1CAE42DA"/>
    <w:rsid w:val="1CBF4223"/>
    <w:rsid w:val="1CCD76E8"/>
    <w:rsid w:val="1CDA132C"/>
    <w:rsid w:val="1CEB66BE"/>
    <w:rsid w:val="1D3210F6"/>
    <w:rsid w:val="1D330588"/>
    <w:rsid w:val="1D473D0A"/>
    <w:rsid w:val="1D85101B"/>
    <w:rsid w:val="1D962DBA"/>
    <w:rsid w:val="1E066299"/>
    <w:rsid w:val="1E251514"/>
    <w:rsid w:val="1E261385"/>
    <w:rsid w:val="1E4E5F75"/>
    <w:rsid w:val="1E7E5089"/>
    <w:rsid w:val="1EB572B0"/>
    <w:rsid w:val="1EBA0ECB"/>
    <w:rsid w:val="1EC33021"/>
    <w:rsid w:val="1ED02990"/>
    <w:rsid w:val="1ED63942"/>
    <w:rsid w:val="1F8D685B"/>
    <w:rsid w:val="1FA2677A"/>
    <w:rsid w:val="1FB5190D"/>
    <w:rsid w:val="1FB90315"/>
    <w:rsid w:val="1FE079AC"/>
    <w:rsid w:val="20424696"/>
    <w:rsid w:val="206460D4"/>
    <w:rsid w:val="2067071A"/>
    <w:rsid w:val="20897942"/>
    <w:rsid w:val="20AC37BC"/>
    <w:rsid w:val="20AF06F6"/>
    <w:rsid w:val="20B120D5"/>
    <w:rsid w:val="20C55B80"/>
    <w:rsid w:val="20D1757A"/>
    <w:rsid w:val="20DF4E94"/>
    <w:rsid w:val="20F14BC7"/>
    <w:rsid w:val="2121133C"/>
    <w:rsid w:val="21387A91"/>
    <w:rsid w:val="215B12CB"/>
    <w:rsid w:val="21891615"/>
    <w:rsid w:val="21B3155B"/>
    <w:rsid w:val="21BC3427"/>
    <w:rsid w:val="220F6497"/>
    <w:rsid w:val="22423217"/>
    <w:rsid w:val="22A429BA"/>
    <w:rsid w:val="22C23202"/>
    <w:rsid w:val="22E11DBF"/>
    <w:rsid w:val="22E319F0"/>
    <w:rsid w:val="23007343"/>
    <w:rsid w:val="23263F0B"/>
    <w:rsid w:val="23403BE4"/>
    <w:rsid w:val="23531B69"/>
    <w:rsid w:val="23A128D5"/>
    <w:rsid w:val="23CD6314"/>
    <w:rsid w:val="25961422"/>
    <w:rsid w:val="259D531E"/>
    <w:rsid w:val="260030AA"/>
    <w:rsid w:val="260B04D9"/>
    <w:rsid w:val="269C3A26"/>
    <w:rsid w:val="269C3E99"/>
    <w:rsid w:val="26A644DA"/>
    <w:rsid w:val="26C640F4"/>
    <w:rsid w:val="26D3374E"/>
    <w:rsid w:val="270F7B55"/>
    <w:rsid w:val="272F15D4"/>
    <w:rsid w:val="273B7A3B"/>
    <w:rsid w:val="274F030F"/>
    <w:rsid w:val="27A20AE6"/>
    <w:rsid w:val="27B9058C"/>
    <w:rsid w:val="27CB7F20"/>
    <w:rsid w:val="27D363C4"/>
    <w:rsid w:val="27EA3474"/>
    <w:rsid w:val="27EF4EE9"/>
    <w:rsid w:val="280F111D"/>
    <w:rsid w:val="281752F4"/>
    <w:rsid w:val="28377363"/>
    <w:rsid w:val="284B18E0"/>
    <w:rsid w:val="286363AA"/>
    <w:rsid w:val="28911A08"/>
    <w:rsid w:val="28A075FF"/>
    <w:rsid w:val="28ED6D05"/>
    <w:rsid w:val="292F35C8"/>
    <w:rsid w:val="29662955"/>
    <w:rsid w:val="29B32FC2"/>
    <w:rsid w:val="29BB6787"/>
    <w:rsid w:val="2A0258D8"/>
    <w:rsid w:val="2A807B98"/>
    <w:rsid w:val="2AAE58D7"/>
    <w:rsid w:val="2AD4666E"/>
    <w:rsid w:val="2ADC282C"/>
    <w:rsid w:val="2B042C66"/>
    <w:rsid w:val="2B0A1C25"/>
    <w:rsid w:val="2B49154A"/>
    <w:rsid w:val="2B7465DD"/>
    <w:rsid w:val="2BF923AB"/>
    <w:rsid w:val="2C8A10D0"/>
    <w:rsid w:val="2CBB7CE4"/>
    <w:rsid w:val="2CC51169"/>
    <w:rsid w:val="2CC87124"/>
    <w:rsid w:val="2CCB6C14"/>
    <w:rsid w:val="2D377E06"/>
    <w:rsid w:val="2D440367"/>
    <w:rsid w:val="2D6E3766"/>
    <w:rsid w:val="2DC06892"/>
    <w:rsid w:val="2DF45085"/>
    <w:rsid w:val="2DF53E26"/>
    <w:rsid w:val="2E940BEC"/>
    <w:rsid w:val="2EA74B17"/>
    <w:rsid w:val="2EC743E9"/>
    <w:rsid w:val="2EE63891"/>
    <w:rsid w:val="2EFE6599"/>
    <w:rsid w:val="2F153782"/>
    <w:rsid w:val="2F69602A"/>
    <w:rsid w:val="2F9410B1"/>
    <w:rsid w:val="302B4303"/>
    <w:rsid w:val="304E0A21"/>
    <w:rsid w:val="306A3B45"/>
    <w:rsid w:val="308B2942"/>
    <w:rsid w:val="30CF5A0D"/>
    <w:rsid w:val="30E05C33"/>
    <w:rsid w:val="313275D8"/>
    <w:rsid w:val="314B20D2"/>
    <w:rsid w:val="31587E3F"/>
    <w:rsid w:val="31600889"/>
    <w:rsid w:val="31745184"/>
    <w:rsid w:val="317F5B6E"/>
    <w:rsid w:val="318B72FA"/>
    <w:rsid w:val="31D90578"/>
    <w:rsid w:val="321C0291"/>
    <w:rsid w:val="323872F1"/>
    <w:rsid w:val="32720159"/>
    <w:rsid w:val="32935ADE"/>
    <w:rsid w:val="329655CE"/>
    <w:rsid w:val="32DC7E71"/>
    <w:rsid w:val="335D73D4"/>
    <w:rsid w:val="33D55C70"/>
    <w:rsid w:val="33E505BB"/>
    <w:rsid w:val="33FF623A"/>
    <w:rsid w:val="3417242D"/>
    <w:rsid w:val="341F0714"/>
    <w:rsid w:val="34422573"/>
    <w:rsid w:val="346019FD"/>
    <w:rsid w:val="3470383A"/>
    <w:rsid w:val="349973E4"/>
    <w:rsid w:val="34D170D2"/>
    <w:rsid w:val="34DF2620"/>
    <w:rsid w:val="34FF0E30"/>
    <w:rsid w:val="35230E5B"/>
    <w:rsid w:val="35282C82"/>
    <w:rsid w:val="35373099"/>
    <w:rsid w:val="353816DE"/>
    <w:rsid w:val="354322E3"/>
    <w:rsid w:val="35455A40"/>
    <w:rsid w:val="35AB5B58"/>
    <w:rsid w:val="35B53FBD"/>
    <w:rsid w:val="35BF4E3C"/>
    <w:rsid w:val="360D3DFA"/>
    <w:rsid w:val="360E6B32"/>
    <w:rsid w:val="364C7853"/>
    <w:rsid w:val="36BA155E"/>
    <w:rsid w:val="36C941B5"/>
    <w:rsid w:val="36CA5695"/>
    <w:rsid w:val="36F71004"/>
    <w:rsid w:val="3721599A"/>
    <w:rsid w:val="37366BAE"/>
    <w:rsid w:val="37555A58"/>
    <w:rsid w:val="37A31E67"/>
    <w:rsid w:val="37A662B4"/>
    <w:rsid w:val="38013D91"/>
    <w:rsid w:val="388D2107"/>
    <w:rsid w:val="38A04AB1"/>
    <w:rsid w:val="38AD101F"/>
    <w:rsid w:val="38EE5CF3"/>
    <w:rsid w:val="39143E78"/>
    <w:rsid w:val="392751D2"/>
    <w:rsid w:val="39481B4E"/>
    <w:rsid w:val="395D10B4"/>
    <w:rsid w:val="39981D7D"/>
    <w:rsid w:val="39A74D48"/>
    <w:rsid w:val="39E800B8"/>
    <w:rsid w:val="3A241712"/>
    <w:rsid w:val="3A520C9F"/>
    <w:rsid w:val="3A554034"/>
    <w:rsid w:val="3AB854E3"/>
    <w:rsid w:val="3AC0143A"/>
    <w:rsid w:val="3AD802D9"/>
    <w:rsid w:val="3AF37B52"/>
    <w:rsid w:val="3B247C1B"/>
    <w:rsid w:val="3B4C56A1"/>
    <w:rsid w:val="3B664A6D"/>
    <w:rsid w:val="3B7B1805"/>
    <w:rsid w:val="3B8532AC"/>
    <w:rsid w:val="3B9C3C56"/>
    <w:rsid w:val="3BBA5B2D"/>
    <w:rsid w:val="3C047A4D"/>
    <w:rsid w:val="3C074E47"/>
    <w:rsid w:val="3C1D1D56"/>
    <w:rsid w:val="3C2B4FD9"/>
    <w:rsid w:val="3C6F3355"/>
    <w:rsid w:val="3C8C02EC"/>
    <w:rsid w:val="3C9A4F71"/>
    <w:rsid w:val="3CB542FA"/>
    <w:rsid w:val="3CC35212"/>
    <w:rsid w:val="3CF16B6C"/>
    <w:rsid w:val="3D1E2FA0"/>
    <w:rsid w:val="3D221548"/>
    <w:rsid w:val="3D796F78"/>
    <w:rsid w:val="3D8D7B92"/>
    <w:rsid w:val="3DDA0A65"/>
    <w:rsid w:val="3DE10046"/>
    <w:rsid w:val="3DEE647A"/>
    <w:rsid w:val="3E383C8B"/>
    <w:rsid w:val="3E3F4D6C"/>
    <w:rsid w:val="3E4406EB"/>
    <w:rsid w:val="3E5720B6"/>
    <w:rsid w:val="3EBA5C7A"/>
    <w:rsid w:val="3F136A3E"/>
    <w:rsid w:val="3F43586A"/>
    <w:rsid w:val="3F4563B2"/>
    <w:rsid w:val="3F6946FA"/>
    <w:rsid w:val="3F8B3161"/>
    <w:rsid w:val="3FBD094A"/>
    <w:rsid w:val="3FBD1327"/>
    <w:rsid w:val="3FD30B2E"/>
    <w:rsid w:val="3FEE139D"/>
    <w:rsid w:val="3FFD4EDF"/>
    <w:rsid w:val="403B4B09"/>
    <w:rsid w:val="40664832"/>
    <w:rsid w:val="40723F60"/>
    <w:rsid w:val="40DD2E2D"/>
    <w:rsid w:val="4162324B"/>
    <w:rsid w:val="41666652"/>
    <w:rsid w:val="41706924"/>
    <w:rsid w:val="417E3DFD"/>
    <w:rsid w:val="41887EEA"/>
    <w:rsid w:val="41B16C01"/>
    <w:rsid w:val="41BD0482"/>
    <w:rsid w:val="41DA6C43"/>
    <w:rsid w:val="41DB5042"/>
    <w:rsid w:val="41E362E9"/>
    <w:rsid w:val="41ED1E6E"/>
    <w:rsid w:val="41FA487C"/>
    <w:rsid w:val="41FF0E62"/>
    <w:rsid w:val="422239DF"/>
    <w:rsid w:val="422E6543"/>
    <w:rsid w:val="42BF0370"/>
    <w:rsid w:val="42C734B4"/>
    <w:rsid w:val="432219B4"/>
    <w:rsid w:val="433A4A4F"/>
    <w:rsid w:val="43721A0C"/>
    <w:rsid w:val="4379487C"/>
    <w:rsid w:val="441529E5"/>
    <w:rsid w:val="446C2633"/>
    <w:rsid w:val="447F4114"/>
    <w:rsid w:val="448E6105"/>
    <w:rsid w:val="44A27DCA"/>
    <w:rsid w:val="44A50B99"/>
    <w:rsid w:val="44AD072E"/>
    <w:rsid w:val="44DB4CB5"/>
    <w:rsid w:val="44DF7119"/>
    <w:rsid w:val="44EA2588"/>
    <w:rsid w:val="44F12341"/>
    <w:rsid w:val="453A003B"/>
    <w:rsid w:val="453B7243"/>
    <w:rsid w:val="454F60F7"/>
    <w:rsid w:val="456826EB"/>
    <w:rsid w:val="45870AC1"/>
    <w:rsid w:val="45AA225C"/>
    <w:rsid w:val="45CE5ED0"/>
    <w:rsid w:val="46550728"/>
    <w:rsid w:val="4699726F"/>
    <w:rsid w:val="46DF3AC1"/>
    <w:rsid w:val="46EF4978"/>
    <w:rsid w:val="47086643"/>
    <w:rsid w:val="471B47BD"/>
    <w:rsid w:val="47266AC9"/>
    <w:rsid w:val="4732546E"/>
    <w:rsid w:val="473B6BCB"/>
    <w:rsid w:val="47437CEB"/>
    <w:rsid w:val="47A46847"/>
    <w:rsid w:val="486B62AB"/>
    <w:rsid w:val="48923617"/>
    <w:rsid w:val="48BA4A19"/>
    <w:rsid w:val="48D46373"/>
    <w:rsid w:val="48DA400F"/>
    <w:rsid w:val="48DD3AFF"/>
    <w:rsid w:val="48DD58AD"/>
    <w:rsid w:val="4941408E"/>
    <w:rsid w:val="497C50C6"/>
    <w:rsid w:val="49CB75CA"/>
    <w:rsid w:val="49D81BCD"/>
    <w:rsid w:val="49D92107"/>
    <w:rsid w:val="49E439F7"/>
    <w:rsid w:val="49EB5DA8"/>
    <w:rsid w:val="49F56D1D"/>
    <w:rsid w:val="4A3734D4"/>
    <w:rsid w:val="4A827766"/>
    <w:rsid w:val="4A9B157C"/>
    <w:rsid w:val="4AAA7A11"/>
    <w:rsid w:val="4ABF2F0C"/>
    <w:rsid w:val="4AFC64BF"/>
    <w:rsid w:val="4B0940DB"/>
    <w:rsid w:val="4B1F21AD"/>
    <w:rsid w:val="4BCA5233"/>
    <w:rsid w:val="4C1E2135"/>
    <w:rsid w:val="4C69467E"/>
    <w:rsid w:val="4C885B30"/>
    <w:rsid w:val="4CBD35CB"/>
    <w:rsid w:val="4CF42B37"/>
    <w:rsid w:val="4D03250C"/>
    <w:rsid w:val="4D261EAC"/>
    <w:rsid w:val="4D697BCF"/>
    <w:rsid w:val="4D6F4991"/>
    <w:rsid w:val="4D827AEA"/>
    <w:rsid w:val="4D896004"/>
    <w:rsid w:val="4DBC7135"/>
    <w:rsid w:val="4E131240"/>
    <w:rsid w:val="4E192EE4"/>
    <w:rsid w:val="4E2A3039"/>
    <w:rsid w:val="4E4F6905"/>
    <w:rsid w:val="4E593C28"/>
    <w:rsid w:val="4E791D33"/>
    <w:rsid w:val="4E9B55A6"/>
    <w:rsid w:val="4EA33670"/>
    <w:rsid w:val="4ECA77D7"/>
    <w:rsid w:val="4F416B96"/>
    <w:rsid w:val="4F8D1CDA"/>
    <w:rsid w:val="4F9C5585"/>
    <w:rsid w:val="4FF825ED"/>
    <w:rsid w:val="501D7113"/>
    <w:rsid w:val="50302767"/>
    <w:rsid w:val="505923D5"/>
    <w:rsid w:val="507467B6"/>
    <w:rsid w:val="507F7D38"/>
    <w:rsid w:val="508F56DF"/>
    <w:rsid w:val="50AA2519"/>
    <w:rsid w:val="50B213CE"/>
    <w:rsid w:val="50ED2406"/>
    <w:rsid w:val="510A120A"/>
    <w:rsid w:val="513C54F9"/>
    <w:rsid w:val="514F6805"/>
    <w:rsid w:val="51647A75"/>
    <w:rsid w:val="518C1C1F"/>
    <w:rsid w:val="518D2F05"/>
    <w:rsid w:val="519F321B"/>
    <w:rsid w:val="51A04CFD"/>
    <w:rsid w:val="51CE0489"/>
    <w:rsid w:val="520F5843"/>
    <w:rsid w:val="5227518C"/>
    <w:rsid w:val="524B69FC"/>
    <w:rsid w:val="529E7E5B"/>
    <w:rsid w:val="52B611EC"/>
    <w:rsid w:val="52B72401"/>
    <w:rsid w:val="52C11F4B"/>
    <w:rsid w:val="532A7941"/>
    <w:rsid w:val="53337873"/>
    <w:rsid w:val="536A1505"/>
    <w:rsid w:val="538F73BD"/>
    <w:rsid w:val="5399681D"/>
    <w:rsid w:val="53AE5432"/>
    <w:rsid w:val="53D77AC9"/>
    <w:rsid w:val="53EC095D"/>
    <w:rsid w:val="53F4198D"/>
    <w:rsid w:val="54074500"/>
    <w:rsid w:val="54114B24"/>
    <w:rsid w:val="54341A5A"/>
    <w:rsid w:val="5470594F"/>
    <w:rsid w:val="54843081"/>
    <w:rsid w:val="55175CA3"/>
    <w:rsid w:val="554708D4"/>
    <w:rsid w:val="55FF50B5"/>
    <w:rsid w:val="560619ED"/>
    <w:rsid w:val="560C305F"/>
    <w:rsid w:val="56431446"/>
    <w:rsid w:val="567F73CC"/>
    <w:rsid w:val="56870F88"/>
    <w:rsid w:val="568C3695"/>
    <w:rsid w:val="56A92FF0"/>
    <w:rsid w:val="56D66A66"/>
    <w:rsid w:val="5705097D"/>
    <w:rsid w:val="57254B00"/>
    <w:rsid w:val="57286C0D"/>
    <w:rsid w:val="573640C7"/>
    <w:rsid w:val="57452F9B"/>
    <w:rsid w:val="57860583"/>
    <w:rsid w:val="57956A7D"/>
    <w:rsid w:val="57BF5CE7"/>
    <w:rsid w:val="57EE74CC"/>
    <w:rsid w:val="57FA145F"/>
    <w:rsid w:val="589E0A00"/>
    <w:rsid w:val="58A65CBC"/>
    <w:rsid w:val="592F3F03"/>
    <w:rsid w:val="593C2BB3"/>
    <w:rsid w:val="594C23D2"/>
    <w:rsid w:val="59973E65"/>
    <w:rsid w:val="59A50982"/>
    <w:rsid w:val="59DF76D7"/>
    <w:rsid w:val="59F96BFA"/>
    <w:rsid w:val="5A0E6360"/>
    <w:rsid w:val="5A2D3B18"/>
    <w:rsid w:val="5A4259C2"/>
    <w:rsid w:val="5A643915"/>
    <w:rsid w:val="5A6D61ED"/>
    <w:rsid w:val="5A902780"/>
    <w:rsid w:val="5AC8100B"/>
    <w:rsid w:val="5B043723"/>
    <w:rsid w:val="5B36404D"/>
    <w:rsid w:val="5B503792"/>
    <w:rsid w:val="5B687CDC"/>
    <w:rsid w:val="5B8878FB"/>
    <w:rsid w:val="5BB810F9"/>
    <w:rsid w:val="5BBE4C46"/>
    <w:rsid w:val="5BC32084"/>
    <w:rsid w:val="5BC747AF"/>
    <w:rsid w:val="5BE508A9"/>
    <w:rsid w:val="5C007942"/>
    <w:rsid w:val="5C031721"/>
    <w:rsid w:val="5C137226"/>
    <w:rsid w:val="5C545A2F"/>
    <w:rsid w:val="5C6B45A6"/>
    <w:rsid w:val="5C8D4CC0"/>
    <w:rsid w:val="5CE1285C"/>
    <w:rsid w:val="5CF54B1C"/>
    <w:rsid w:val="5CFC0DD9"/>
    <w:rsid w:val="5D1A27D4"/>
    <w:rsid w:val="5D374E30"/>
    <w:rsid w:val="5D8D2E25"/>
    <w:rsid w:val="5DE162E6"/>
    <w:rsid w:val="5E092EE7"/>
    <w:rsid w:val="5E5B7653"/>
    <w:rsid w:val="5EA8011B"/>
    <w:rsid w:val="5F0E28C8"/>
    <w:rsid w:val="5F172775"/>
    <w:rsid w:val="5F4902BB"/>
    <w:rsid w:val="5F702B80"/>
    <w:rsid w:val="5F8A76AB"/>
    <w:rsid w:val="5FAB3BB8"/>
    <w:rsid w:val="5FE83459"/>
    <w:rsid w:val="601F19B4"/>
    <w:rsid w:val="608267C3"/>
    <w:rsid w:val="60917251"/>
    <w:rsid w:val="60B72CAC"/>
    <w:rsid w:val="60E23101"/>
    <w:rsid w:val="6138554E"/>
    <w:rsid w:val="61400C83"/>
    <w:rsid w:val="615564D1"/>
    <w:rsid w:val="61582B6E"/>
    <w:rsid w:val="616C731B"/>
    <w:rsid w:val="618B4ADF"/>
    <w:rsid w:val="62280D9C"/>
    <w:rsid w:val="623D73FE"/>
    <w:rsid w:val="6282108F"/>
    <w:rsid w:val="62B03526"/>
    <w:rsid w:val="62BA2A06"/>
    <w:rsid w:val="62E573E1"/>
    <w:rsid w:val="630C248B"/>
    <w:rsid w:val="63330C1B"/>
    <w:rsid w:val="635F310A"/>
    <w:rsid w:val="63613D40"/>
    <w:rsid w:val="636C5706"/>
    <w:rsid w:val="63995DCF"/>
    <w:rsid w:val="63A728E8"/>
    <w:rsid w:val="63D904D5"/>
    <w:rsid w:val="644D44A5"/>
    <w:rsid w:val="647C3B67"/>
    <w:rsid w:val="64953E0A"/>
    <w:rsid w:val="64A532CB"/>
    <w:rsid w:val="64AC4A17"/>
    <w:rsid w:val="64B81251"/>
    <w:rsid w:val="64D92F75"/>
    <w:rsid w:val="65334AEB"/>
    <w:rsid w:val="653A1C66"/>
    <w:rsid w:val="6591114B"/>
    <w:rsid w:val="65D247C1"/>
    <w:rsid w:val="65DA0D53"/>
    <w:rsid w:val="65DD6778"/>
    <w:rsid w:val="661C7036"/>
    <w:rsid w:val="66214BD4"/>
    <w:rsid w:val="66362C13"/>
    <w:rsid w:val="66524D8D"/>
    <w:rsid w:val="6660108A"/>
    <w:rsid w:val="667B779F"/>
    <w:rsid w:val="66D37F7F"/>
    <w:rsid w:val="671B1EAC"/>
    <w:rsid w:val="675E52C5"/>
    <w:rsid w:val="67866B80"/>
    <w:rsid w:val="67EE4F89"/>
    <w:rsid w:val="67F35D17"/>
    <w:rsid w:val="683A1F7D"/>
    <w:rsid w:val="68746AB8"/>
    <w:rsid w:val="68BC1E35"/>
    <w:rsid w:val="68C10194"/>
    <w:rsid w:val="691F21A2"/>
    <w:rsid w:val="694330B3"/>
    <w:rsid w:val="69650F5C"/>
    <w:rsid w:val="6987078D"/>
    <w:rsid w:val="69B144C0"/>
    <w:rsid w:val="69DE27A6"/>
    <w:rsid w:val="6A4175F2"/>
    <w:rsid w:val="6A4D5043"/>
    <w:rsid w:val="6A5E4ADB"/>
    <w:rsid w:val="6A7605FF"/>
    <w:rsid w:val="6B0D1BCA"/>
    <w:rsid w:val="6B256F14"/>
    <w:rsid w:val="6B9419A4"/>
    <w:rsid w:val="6BA6149E"/>
    <w:rsid w:val="6BC87A18"/>
    <w:rsid w:val="6BF863D7"/>
    <w:rsid w:val="6C0570C8"/>
    <w:rsid w:val="6C25135D"/>
    <w:rsid w:val="6C5A0E3F"/>
    <w:rsid w:val="6C651626"/>
    <w:rsid w:val="6C7B4FD3"/>
    <w:rsid w:val="6C8B0FF9"/>
    <w:rsid w:val="6C9F0ECD"/>
    <w:rsid w:val="6CC14A1B"/>
    <w:rsid w:val="6CD21184"/>
    <w:rsid w:val="6CF44DF0"/>
    <w:rsid w:val="6D82064E"/>
    <w:rsid w:val="6DA4153C"/>
    <w:rsid w:val="6DCC3B75"/>
    <w:rsid w:val="6DD72FF8"/>
    <w:rsid w:val="6E5D4C17"/>
    <w:rsid w:val="6E6C3F9F"/>
    <w:rsid w:val="6E8D72AA"/>
    <w:rsid w:val="6EF92E8C"/>
    <w:rsid w:val="6F3F108A"/>
    <w:rsid w:val="6F7831DB"/>
    <w:rsid w:val="6FBC340F"/>
    <w:rsid w:val="6FD90F60"/>
    <w:rsid w:val="6FF96915"/>
    <w:rsid w:val="701B1D66"/>
    <w:rsid w:val="707756B6"/>
    <w:rsid w:val="70A74FC8"/>
    <w:rsid w:val="70AB5820"/>
    <w:rsid w:val="70B7060E"/>
    <w:rsid w:val="70C03214"/>
    <w:rsid w:val="70EA747F"/>
    <w:rsid w:val="70F213B5"/>
    <w:rsid w:val="70F84F35"/>
    <w:rsid w:val="710F6FBF"/>
    <w:rsid w:val="712B2DAA"/>
    <w:rsid w:val="718805A8"/>
    <w:rsid w:val="7195265A"/>
    <w:rsid w:val="71BC393F"/>
    <w:rsid w:val="71CA5452"/>
    <w:rsid w:val="71FE5DB7"/>
    <w:rsid w:val="72191BC1"/>
    <w:rsid w:val="72273572"/>
    <w:rsid w:val="72280BBB"/>
    <w:rsid w:val="723E08BB"/>
    <w:rsid w:val="72560C06"/>
    <w:rsid w:val="72A64A55"/>
    <w:rsid w:val="72B172DF"/>
    <w:rsid w:val="72C139C6"/>
    <w:rsid w:val="73023A1E"/>
    <w:rsid w:val="7309711B"/>
    <w:rsid w:val="731A1328"/>
    <w:rsid w:val="731E7C4A"/>
    <w:rsid w:val="736C0F18"/>
    <w:rsid w:val="739423CD"/>
    <w:rsid w:val="743156E1"/>
    <w:rsid w:val="744346F5"/>
    <w:rsid w:val="744D727B"/>
    <w:rsid w:val="744F5002"/>
    <w:rsid w:val="747D391D"/>
    <w:rsid w:val="74B002BC"/>
    <w:rsid w:val="74D774D1"/>
    <w:rsid w:val="752E10BB"/>
    <w:rsid w:val="753A35BC"/>
    <w:rsid w:val="754A0E3A"/>
    <w:rsid w:val="757C275D"/>
    <w:rsid w:val="75E3095A"/>
    <w:rsid w:val="7610256F"/>
    <w:rsid w:val="76126841"/>
    <w:rsid w:val="763D6F62"/>
    <w:rsid w:val="769431A0"/>
    <w:rsid w:val="76BA7EEF"/>
    <w:rsid w:val="76C538F7"/>
    <w:rsid w:val="76C55B2B"/>
    <w:rsid w:val="76E137A7"/>
    <w:rsid w:val="76E33ABF"/>
    <w:rsid w:val="77364257"/>
    <w:rsid w:val="77397BF8"/>
    <w:rsid w:val="77BF6EE4"/>
    <w:rsid w:val="77CE623E"/>
    <w:rsid w:val="780305DD"/>
    <w:rsid w:val="78085BF3"/>
    <w:rsid w:val="783A61E8"/>
    <w:rsid w:val="787F569D"/>
    <w:rsid w:val="789D79AA"/>
    <w:rsid w:val="78C104EF"/>
    <w:rsid w:val="78FF19DC"/>
    <w:rsid w:val="790E0FE8"/>
    <w:rsid w:val="795B13C3"/>
    <w:rsid w:val="79775F41"/>
    <w:rsid w:val="79822780"/>
    <w:rsid w:val="79CB6B85"/>
    <w:rsid w:val="79E32474"/>
    <w:rsid w:val="79EF0F1A"/>
    <w:rsid w:val="7A0372D1"/>
    <w:rsid w:val="7A2B5BC9"/>
    <w:rsid w:val="7A7C4677"/>
    <w:rsid w:val="7A8D2FB5"/>
    <w:rsid w:val="7AD95625"/>
    <w:rsid w:val="7AF973D5"/>
    <w:rsid w:val="7B093745"/>
    <w:rsid w:val="7B0F7299"/>
    <w:rsid w:val="7B310FBD"/>
    <w:rsid w:val="7B80110E"/>
    <w:rsid w:val="7B87670A"/>
    <w:rsid w:val="7B9C6964"/>
    <w:rsid w:val="7BD62F27"/>
    <w:rsid w:val="7C0B180E"/>
    <w:rsid w:val="7C111D6C"/>
    <w:rsid w:val="7C1E49DB"/>
    <w:rsid w:val="7C23124E"/>
    <w:rsid w:val="7C290556"/>
    <w:rsid w:val="7C49574E"/>
    <w:rsid w:val="7C5533D1"/>
    <w:rsid w:val="7C8617DD"/>
    <w:rsid w:val="7C982AA1"/>
    <w:rsid w:val="7C991510"/>
    <w:rsid w:val="7CB33B83"/>
    <w:rsid w:val="7D2707BF"/>
    <w:rsid w:val="7DC2073A"/>
    <w:rsid w:val="7DCC76C3"/>
    <w:rsid w:val="7DD712BC"/>
    <w:rsid w:val="7DDA574F"/>
    <w:rsid w:val="7DF060CF"/>
    <w:rsid w:val="7E1D1CCD"/>
    <w:rsid w:val="7E4B683A"/>
    <w:rsid w:val="7E5729C7"/>
    <w:rsid w:val="7E8B6C36"/>
    <w:rsid w:val="7EC04BC3"/>
    <w:rsid w:val="7ECD4834"/>
    <w:rsid w:val="7EEE70DD"/>
    <w:rsid w:val="7EF96296"/>
    <w:rsid w:val="7F3C62C2"/>
    <w:rsid w:val="7F67318D"/>
    <w:rsid w:val="7F687F40"/>
    <w:rsid w:val="7F6C7321"/>
    <w:rsid w:val="7F9F508F"/>
    <w:rsid w:val="7FB77684"/>
    <w:rsid w:val="7FD5285F"/>
    <w:rsid w:val="7FDA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semiHidden="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0"/>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qFormat/>
    <w:uiPriority w:val="1"/>
    <w:rPr>
      <w:rFonts w:ascii="宋体" w:hAnsi="宋体" w:cs="宋体"/>
      <w:sz w:val="24"/>
    </w:rPr>
  </w:style>
  <w:style w:type="paragraph" w:styleId="11">
    <w:name w:val="Body Text Indent"/>
    <w:basedOn w:val="1"/>
    <w:qFormat/>
    <w:uiPriority w:val="0"/>
    <w:pPr>
      <w:spacing w:line="300" w:lineRule="exact"/>
      <w:ind w:firstLine="418" w:firstLineChars="203"/>
    </w:pPr>
    <w:rPr>
      <w:rFonts w:ascii="宋体"/>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semiHidden/>
    <w:qFormat/>
    <w:uiPriority w:val="0"/>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semiHidden/>
    <w:qFormat/>
    <w:uiPriority w:val="0"/>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2"/>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141"/>
    <w:qFormat/>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uiPriority w:val="0"/>
    <w:rPr>
      <w:b/>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qFormat/>
    <w:uiPriority w:val="0"/>
    <w:rPr>
      <w:color w:val="0000FF"/>
      <w:spacing w:val="0"/>
      <w:w w:val="100"/>
      <w:szCs w:val="21"/>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段 Char"/>
    <w:link w:val="25"/>
    <w:qFormat/>
    <w:uiPriority w:val="0"/>
    <w:rPr>
      <w:rFonts w:ascii="宋体"/>
      <w:sz w:val="21"/>
      <w:lang w:val="en-US" w:eastAsia="zh-CN" w:bidi="ar-SA"/>
    </w:rPr>
  </w:style>
  <w:style w:type="paragraph" w:customStyle="1" w:styleId="45">
    <w:name w:val="一级条标题"/>
    <w:basedOn w:val="46"/>
    <w:next w:val="25"/>
    <w:qFormat/>
    <w:uiPriority w:val="0"/>
    <w:pPr>
      <w:numPr>
        <w:ilvl w:val="1"/>
      </w:numPr>
      <w:spacing w:beforeLines="50" w:afterLines="50"/>
      <w:outlineLvl w:val="2"/>
    </w:pPr>
    <w:rPr>
      <w:szCs w:val="21"/>
    </w:rPr>
  </w:style>
  <w:style w:type="paragraph" w:customStyle="1" w:styleId="46">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二级条标题"/>
    <w:basedOn w:val="45"/>
    <w:next w:val="25"/>
    <w:qFormat/>
    <w:uiPriority w:val="0"/>
    <w:pPr>
      <w:numPr>
        <w:ilvl w:val="2"/>
      </w:numPr>
      <w:spacing w:before="50" w:after="50"/>
      <w:outlineLvl w:val="3"/>
    </w:pPr>
  </w:style>
  <w:style w:type="paragraph" w:customStyle="1" w:styleId="5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5"/>
    <w:qFormat/>
    <w:uiPriority w:val="0"/>
    <w:pPr>
      <w:numPr>
        <w:ilvl w:val="3"/>
      </w:numPr>
      <w:outlineLvl w:val="4"/>
    </w:pPr>
  </w:style>
  <w:style w:type="paragraph" w:customStyle="1" w:styleId="55">
    <w:name w:val="示例"/>
    <w:next w:val="56"/>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8">
    <w:name w:val="四级条标题"/>
    <w:basedOn w:val="54"/>
    <w:next w:val="25"/>
    <w:qFormat/>
    <w:uiPriority w:val="0"/>
    <w:pPr>
      <w:numPr>
        <w:ilvl w:val="4"/>
      </w:numPr>
      <w:outlineLvl w:val="5"/>
    </w:pPr>
  </w:style>
  <w:style w:type="paragraph" w:customStyle="1" w:styleId="59">
    <w:name w:val="五级条标题"/>
    <w:basedOn w:val="58"/>
    <w:next w:val="25"/>
    <w:qFormat/>
    <w:uiPriority w:val="0"/>
    <w:pPr>
      <w:numPr>
        <w:ilvl w:val="5"/>
      </w:numPr>
      <w:outlineLvl w:val="6"/>
    </w:pPr>
  </w:style>
  <w:style w:type="paragraph" w:customStyle="1" w:styleId="60">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3"/>
      </w:numPr>
    </w:pPr>
    <w:rPr>
      <w:rFonts w:ascii="宋体"/>
      <w:szCs w:val="21"/>
    </w:rPr>
  </w:style>
  <w:style w:type="paragraph" w:customStyle="1" w:styleId="64">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5">
    <w:name w:val="示例×："/>
    <w:basedOn w:val="46"/>
    <w:qFormat/>
    <w:uiPriority w:val="0"/>
    <w:pPr>
      <w:numPr>
        <w:numId w:val="8"/>
      </w:numPr>
      <w:spacing w:beforeLines="0" w:afterLines="0"/>
      <w:outlineLvl w:val="9"/>
    </w:pPr>
    <w:rPr>
      <w:rFonts w:ascii="宋体" w:eastAsia="宋体"/>
      <w:sz w:val="18"/>
      <w:szCs w:val="18"/>
    </w:rPr>
  </w:style>
  <w:style w:type="paragraph" w:customStyle="1" w:styleId="66">
    <w:name w:val="二级无"/>
    <w:basedOn w:val="49"/>
    <w:qFormat/>
    <w:uiPriority w:val="0"/>
    <w:pPr>
      <w:spacing w:beforeLines="0" w:afterLines="0"/>
    </w:pPr>
    <w:rPr>
      <w:rFonts w:ascii="宋体" w:eastAsia="宋体"/>
    </w:rPr>
  </w:style>
  <w:style w:type="paragraph" w:customStyle="1" w:styleId="67">
    <w:name w:val="注：（正文）"/>
    <w:basedOn w:val="60"/>
    <w:next w:val="25"/>
    <w:qFormat/>
    <w:uiPriority w:val="0"/>
  </w:style>
  <w:style w:type="paragraph" w:customStyle="1" w:styleId="68">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8"/>
    <w:next w:val="1"/>
    <w:qFormat/>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qFormat/>
    <w:uiPriority w:val="0"/>
    <w:rPr>
      <w:rFonts w:ascii="黑体" w:eastAsia="黑体"/>
      <w:spacing w:val="85"/>
      <w:w w:val="100"/>
      <w:position w:val="3"/>
      <w:sz w:val="28"/>
      <w:szCs w:val="28"/>
    </w:rPr>
  </w:style>
  <w:style w:type="paragraph" w:customStyle="1" w:styleId="77">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framePr w:wrap="around"/>
      <w:spacing w:before="370" w:line="400" w:lineRule="exact"/>
    </w:pPr>
    <w:rPr>
      <w:rFonts w:ascii="Times New Roman"/>
      <w:sz w:val="28"/>
      <w:szCs w:val="28"/>
    </w:rPr>
  </w:style>
  <w:style w:type="paragraph" w:customStyle="1" w:styleId="83">
    <w:name w:val="封面一致性程度标识"/>
    <w:basedOn w:val="82"/>
    <w:qFormat/>
    <w:uiPriority w:val="0"/>
    <w:pPr>
      <w:framePr w:wrap="around"/>
      <w:spacing w:before="440"/>
    </w:pPr>
    <w:rPr>
      <w:rFonts w:ascii="宋体" w:eastAsia="宋体"/>
    </w:rPr>
  </w:style>
  <w:style w:type="paragraph" w:customStyle="1" w:styleId="84">
    <w:name w:val="封面标准文稿类别"/>
    <w:basedOn w:val="83"/>
    <w:qFormat/>
    <w:uiPriority w:val="0"/>
    <w:pPr>
      <w:framePr w:wrap="around"/>
      <w:spacing w:after="160" w:line="240" w:lineRule="auto"/>
    </w:pPr>
    <w:rPr>
      <w:sz w:val="24"/>
    </w:rPr>
  </w:style>
  <w:style w:type="paragraph" w:customStyle="1" w:styleId="85">
    <w:name w:val="封面标准文稿编辑信息"/>
    <w:basedOn w:val="84"/>
    <w:qFormat/>
    <w:uiPriority w:val="0"/>
    <w:pPr>
      <w:framePr w:wrap="around"/>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5"/>
    <w:next w:val="25"/>
    <w:qFormat/>
    <w:uiPriority w:val="0"/>
    <w:pPr>
      <w:ind w:firstLine="0" w:firstLineChars="0"/>
      <w:jc w:val="center"/>
    </w:pPr>
    <w:rPr>
      <w:rFonts w:ascii="黑体" w:eastAsia="黑体"/>
    </w:rPr>
  </w:style>
  <w:style w:type="paragraph" w:customStyle="1" w:styleId="89">
    <w:name w:val="附录表标号"/>
    <w:basedOn w:val="1"/>
    <w:next w:val="25"/>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0">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25"/>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qFormat/>
    <w:uiPriority w:val="0"/>
    <w:pPr>
      <w:tabs>
        <w:tab w:val="clear" w:pos="360"/>
      </w:tabs>
      <w:spacing w:beforeLines="0" w:afterLines="0"/>
    </w:pPr>
    <w:rPr>
      <w:rFonts w:ascii="宋体" w:eastAsia="宋体"/>
      <w:szCs w:val="21"/>
    </w:rPr>
  </w:style>
  <w:style w:type="paragraph" w:customStyle="1" w:styleId="93">
    <w:name w:val="附录公式"/>
    <w:basedOn w:val="25"/>
    <w:next w:val="25"/>
    <w:link w:val="94"/>
    <w:qFormat/>
    <w:uiPriority w:val="0"/>
  </w:style>
  <w:style w:type="character" w:customStyle="1" w:styleId="94">
    <w:name w:val="附录公式 Char"/>
    <w:basedOn w:val="44"/>
    <w:link w:val="93"/>
    <w:qFormat/>
    <w:uiPriority w:val="0"/>
    <w:rPr>
      <w:rFonts w:ascii="宋体"/>
      <w:sz w:val="21"/>
      <w:lang w:val="en-US" w:eastAsia="zh-CN" w:bidi="ar-SA"/>
    </w:rPr>
  </w:style>
  <w:style w:type="paragraph" w:customStyle="1" w:styleId="95">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5"/>
    <w:qFormat/>
    <w:uiPriority w:val="0"/>
    <w:pPr>
      <w:numPr>
        <w:ilvl w:val="4"/>
      </w:numPr>
      <w:outlineLvl w:val="4"/>
    </w:pPr>
  </w:style>
  <w:style w:type="paragraph" w:customStyle="1" w:styleId="97">
    <w:name w:val="附录三级无"/>
    <w:basedOn w:val="96"/>
    <w:qFormat/>
    <w:uiPriority w:val="0"/>
    <w:pPr>
      <w:tabs>
        <w:tab w:val="clear" w:pos="360"/>
      </w:tabs>
      <w:spacing w:beforeLines="0" w:afterLines="0"/>
    </w:pPr>
    <w:rPr>
      <w:rFonts w:ascii="宋体" w:eastAsia="宋体"/>
      <w:szCs w:val="21"/>
    </w:rPr>
  </w:style>
  <w:style w:type="paragraph" w:customStyle="1" w:styleId="98">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9">
    <w:name w:val="附录四级条标题"/>
    <w:basedOn w:val="96"/>
    <w:next w:val="25"/>
    <w:qFormat/>
    <w:uiPriority w:val="0"/>
    <w:pPr>
      <w:numPr>
        <w:ilvl w:val="5"/>
      </w:numPr>
      <w:outlineLvl w:val="5"/>
    </w:pPr>
  </w:style>
  <w:style w:type="paragraph" w:customStyle="1" w:styleId="100">
    <w:name w:val="附录四级无"/>
    <w:basedOn w:val="99"/>
    <w:qFormat/>
    <w:uiPriority w:val="0"/>
    <w:pPr>
      <w:tabs>
        <w:tab w:val="clear" w:pos="360"/>
      </w:tabs>
      <w:spacing w:beforeLines="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2">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3">
    <w:name w:val="附录五级条标题"/>
    <w:basedOn w:val="99"/>
    <w:next w:val="25"/>
    <w:qFormat/>
    <w:uiPriority w:val="0"/>
    <w:pPr>
      <w:numPr>
        <w:ilvl w:val="6"/>
      </w:numPr>
      <w:outlineLvl w:val="6"/>
    </w:pPr>
  </w:style>
  <w:style w:type="paragraph" w:customStyle="1" w:styleId="104">
    <w:name w:val="附录五级无"/>
    <w:basedOn w:val="103"/>
    <w:qFormat/>
    <w:uiPriority w:val="0"/>
    <w:pPr>
      <w:tabs>
        <w:tab w:val="clear" w:pos="360"/>
      </w:tabs>
      <w:spacing w:beforeLines="0" w:afterLines="0"/>
    </w:pPr>
    <w:rPr>
      <w:rFonts w:ascii="宋体" w:eastAsia="宋体"/>
      <w:szCs w:val="21"/>
    </w:rPr>
  </w:style>
  <w:style w:type="paragraph" w:customStyle="1" w:styleId="105">
    <w:name w:val="附录章标题"/>
    <w:next w:val="25"/>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5"/>
    <w:qFormat/>
    <w:uiPriority w:val="0"/>
    <w:pPr>
      <w:numPr>
        <w:ilvl w:val="2"/>
      </w:numPr>
      <w:autoSpaceDN w:val="0"/>
      <w:spacing w:beforeLines="50" w:afterLines="50"/>
      <w:outlineLvl w:val="2"/>
    </w:pPr>
  </w:style>
  <w:style w:type="paragraph" w:customStyle="1" w:styleId="107">
    <w:name w:val="附录一级无"/>
    <w:basedOn w:val="106"/>
    <w:qFormat/>
    <w:uiPriority w:val="0"/>
    <w:pPr>
      <w:tabs>
        <w:tab w:val="clear" w:pos="360"/>
      </w:tabs>
      <w:spacing w:beforeLines="0" w:afterLines="0"/>
    </w:pPr>
    <w:rPr>
      <w:rFonts w:ascii="宋体" w:eastAsia="宋体"/>
      <w:szCs w:val="21"/>
    </w:rPr>
  </w:style>
  <w:style w:type="paragraph" w:customStyle="1" w:styleId="10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qFormat/>
    <w:uiPriority w:val="0"/>
    <w:pPr>
      <w:framePr w:w="6101" w:wrap="around"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qFormat/>
    <w:uiPriority w:val="0"/>
    <w:pPr>
      <w:framePr w:wrap="around" w:y="15310"/>
      <w:spacing w:line="0" w:lineRule="atLeast"/>
    </w:pPr>
    <w:rPr>
      <w:rFonts w:ascii="黑体" w:eastAsia="黑体"/>
      <w:b w:val="0"/>
    </w:rPr>
  </w:style>
  <w:style w:type="paragraph" w:customStyle="1" w:styleId="115">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qFormat/>
    <w:uiPriority w:val="0"/>
    <w:pPr>
      <w:spacing w:beforeLines="0" w:afterLines="0"/>
    </w:pPr>
    <w:rPr>
      <w:rFonts w:ascii="宋体" w:eastAsia="宋体"/>
    </w:rPr>
  </w:style>
  <w:style w:type="paragraph" w:customStyle="1" w:styleId="117">
    <w:name w:val="实施日期"/>
    <w:basedOn w:val="78"/>
    <w:qFormat/>
    <w:uiPriority w:val="0"/>
    <w:pPr>
      <w:framePr w:wrap="around" w:vAnchor="page" w:hAnchor="text"/>
      <w:jc w:val="right"/>
    </w:pPr>
  </w:style>
  <w:style w:type="paragraph" w:customStyle="1" w:styleId="118">
    <w:name w:val="示例后文字"/>
    <w:basedOn w:val="25"/>
    <w:next w:val="25"/>
    <w:qFormat/>
    <w:uiPriority w:val="0"/>
    <w:pPr>
      <w:ind w:firstLine="360"/>
    </w:pPr>
    <w:rPr>
      <w:sz w:val="18"/>
    </w:rPr>
  </w:style>
  <w:style w:type="paragraph" w:customStyle="1" w:styleId="119">
    <w:name w:val="首示例"/>
    <w:next w:val="25"/>
    <w:link w:val="120"/>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rPr>
  </w:style>
  <w:style w:type="paragraph" w:customStyle="1" w:styleId="121">
    <w:name w:val="四级无"/>
    <w:basedOn w:val="58"/>
    <w:qFormat/>
    <w:uiPriority w:val="0"/>
    <w:pPr>
      <w:spacing w:beforeLines="0" w:afterLines="0"/>
    </w:pPr>
    <w:rPr>
      <w:rFonts w:ascii="宋体" w:eastAsia="宋体"/>
    </w:rPr>
  </w:style>
  <w:style w:type="paragraph" w:customStyle="1" w:styleId="122">
    <w:name w:val="条文脚注"/>
    <w:basedOn w:val="26"/>
    <w:qFormat/>
    <w:uiPriority w:val="0"/>
    <w:pPr>
      <w:numPr>
        <w:numId w:val="0"/>
      </w:numPr>
      <w:jc w:val="both"/>
    </w:pPr>
  </w:style>
  <w:style w:type="paragraph" w:customStyle="1" w:styleId="123">
    <w:name w:val="图标脚注说明"/>
    <w:basedOn w:val="25"/>
    <w:qFormat/>
    <w:uiPriority w:val="0"/>
    <w:pPr>
      <w:ind w:left="840" w:hanging="420" w:firstLineChars="0"/>
    </w:pPr>
    <w:rPr>
      <w:sz w:val="18"/>
      <w:szCs w:val="18"/>
    </w:rPr>
  </w:style>
  <w:style w:type="paragraph" w:customStyle="1" w:styleId="124">
    <w:name w:val="图表脚注说明"/>
    <w:basedOn w:val="1"/>
    <w:qFormat/>
    <w:uiPriority w:val="0"/>
    <w:pPr>
      <w:numPr>
        <w:ilvl w:val="0"/>
        <w:numId w:val="15"/>
      </w:numPr>
    </w:pPr>
    <w:rPr>
      <w:rFonts w:ascii="宋体"/>
      <w:sz w:val="18"/>
      <w:szCs w:val="18"/>
    </w:rPr>
  </w:style>
  <w:style w:type="paragraph" w:customStyle="1" w:styleId="125">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qFormat/>
    <w:uiPriority w:val="0"/>
    <w:pPr>
      <w:spacing w:beforeLines="0" w:afterLines="0"/>
    </w:pPr>
    <w:rPr>
      <w:rFonts w:ascii="宋体" w:eastAsia="宋体"/>
    </w:rPr>
  </w:style>
  <w:style w:type="paragraph" w:customStyle="1" w:styleId="128">
    <w:name w:val="一级无"/>
    <w:basedOn w:val="45"/>
    <w:qFormat/>
    <w:uiPriority w:val="0"/>
    <w:pPr>
      <w:spacing w:beforeLines="0" w:afterLines="0"/>
    </w:pPr>
    <w:rPr>
      <w:rFonts w:ascii="宋体" w:eastAsia="宋体"/>
    </w:rPr>
  </w:style>
  <w:style w:type="paragraph" w:customStyle="1" w:styleId="129">
    <w:name w:val="正文表标题"/>
    <w:next w:val="25"/>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5"/>
    <w:next w:val="25"/>
    <w:qFormat/>
    <w:uiPriority w:val="0"/>
    <w:pPr>
      <w:ind w:firstLine="0" w:firstLineChars="0"/>
    </w:pPr>
  </w:style>
  <w:style w:type="paragraph" w:customStyle="1" w:styleId="131">
    <w:name w:val="正文图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8"/>
    <w:qFormat/>
    <w:uiPriority w:val="0"/>
    <w:pPr>
      <w:framePr w:wrap="around" w:vAnchor="page" w:hAnchor="text" w:x="1419"/>
    </w:pPr>
  </w:style>
  <w:style w:type="paragraph" w:customStyle="1" w:styleId="134">
    <w:name w:val="其他实施日期"/>
    <w:basedOn w:val="117"/>
    <w:qFormat/>
    <w:uiPriority w:val="0"/>
    <w:pPr>
      <w:framePr w:wrap="around"/>
    </w:pPr>
  </w:style>
  <w:style w:type="paragraph" w:customStyle="1" w:styleId="135">
    <w:name w:val="封面标准名称2"/>
    <w:basedOn w:val="81"/>
    <w:qFormat/>
    <w:uiPriority w:val="0"/>
    <w:pPr>
      <w:framePr w:wrap="around" w:y="4469"/>
      <w:spacing w:beforeLines="630"/>
    </w:pPr>
  </w:style>
  <w:style w:type="paragraph" w:customStyle="1" w:styleId="136">
    <w:name w:val="封面标准英文名称2"/>
    <w:basedOn w:val="82"/>
    <w:qFormat/>
    <w:uiPriority w:val="0"/>
    <w:pPr>
      <w:framePr w:wrap="around" w:y="4469"/>
    </w:pPr>
  </w:style>
  <w:style w:type="paragraph" w:customStyle="1" w:styleId="137">
    <w:name w:val="封面一致性程度标识2"/>
    <w:basedOn w:val="83"/>
    <w:qFormat/>
    <w:uiPriority w:val="0"/>
    <w:pPr>
      <w:framePr w:wrap="around" w:y="4469"/>
    </w:pPr>
  </w:style>
  <w:style w:type="paragraph" w:customStyle="1" w:styleId="138">
    <w:name w:val="封面标准文稿类别2"/>
    <w:basedOn w:val="84"/>
    <w:qFormat/>
    <w:uiPriority w:val="0"/>
    <w:pPr>
      <w:framePr w:wrap="around" w:y="4469"/>
    </w:pPr>
  </w:style>
  <w:style w:type="paragraph" w:customStyle="1" w:styleId="139">
    <w:name w:val="封面标准文稿编辑信息2"/>
    <w:basedOn w:val="85"/>
    <w:qFormat/>
    <w:uiPriority w:val="0"/>
    <w:pPr>
      <w:framePr w:wrap="around" w:y="4469"/>
    </w:pPr>
  </w:style>
  <w:style w:type="character" w:customStyle="1" w:styleId="140">
    <w:name w:val="批注文字 字符"/>
    <w:link w:val="8"/>
    <w:qFormat/>
    <w:uiPriority w:val="0"/>
    <w:rPr>
      <w:kern w:val="2"/>
      <w:sz w:val="21"/>
      <w:szCs w:val="24"/>
    </w:rPr>
  </w:style>
  <w:style w:type="character" w:customStyle="1" w:styleId="141">
    <w:name w:val="批注主题 字符"/>
    <w:link w:val="33"/>
    <w:qFormat/>
    <w:uiPriority w:val="0"/>
    <w:rPr>
      <w:b/>
      <w:bCs/>
      <w:kern w:val="2"/>
      <w:sz w:val="21"/>
      <w:szCs w:val="24"/>
    </w:rPr>
  </w:style>
  <w:style w:type="character" w:customStyle="1" w:styleId="142">
    <w:name w:val="批注框文本 字符"/>
    <w:link w:val="18"/>
    <w:qFormat/>
    <w:uiPriority w:val="0"/>
    <w:rPr>
      <w:kern w:val="2"/>
      <w:sz w:val="18"/>
      <w:szCs w:val="18"/>
    </w:rPr>
  </w:style>
  <w:style w:type="paragraph" w:customStyle="1" w:styleId="143">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44">
    <w:name w:val="StdsHead1"/>
    <w:qFormat/>
    <w:uiPriority w:val="0"/>
    <w:pPr>
      <w:keepNext/>
      <w:spacing w:before="180" w:after="60"/>
    </w:pPr>
    <w:rPr>
      <w:rFonts w:ascii="Arial" w:hAnsi="Arial" w:eastAsia="Arial Unicode MS" w:cs="Times New Roman"/>
      <w:b/>
      <w:lang w:val="en-US" w:eastAsia="ja-JP" w:bidi="ar-SA"/>
    </w:rPr>
  </w:style>
  <w:style w:type="paragraph" w:customStyle="1" w:styleId="145">
    <w:name w:val="StdsHead2"/>
    <w:link w:val="161"/>
    <w:qFormat/>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 H1"/>
    <w:qFormat/>
    <w:uiPriority w:val="0"/>
    <w:pPr>
      <w:keepNext/>
      <w:spacing w:before="180" w:after="60"/>
    </w:pPr>
    <w:rPr>
      <w:rFonts w:ascii="Arial" w:hAnsi="Arial" w:eastAsia="Arial Unicode MS" w:cs="Times New Roman"/>
      <w:b/>
      <w:lang w:val="en-US" w:eastAsia="ja-JP" w:bidi="ar-SA"/>
    </w:rPr>
  </w:style>
  <w:style w:type="paragraph" w:customStyle="1" w:styleId="152">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8">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9">
    <w:name w:val="StdsText Char"/>
    <w:link w:val="160"/>
    <w:qFormat/>
    <w:locked/>
    <w:uiPriority w:val="0"/>
    <w:rPr>
      <w:lang w:eastAsia="ja-JP"/>
    </w:rPr>
  </w:style>
  <w:style w:type="paragraph" w:customStyle="1" w:styleId="160">
    <w:name w:val="StdsText"/>
    <w:link w:val="159"/>
    <w:qFormat/>
    <w:uiPriority w:val="0"/>
    <w:pPr>
      <w:spacing w:before="120" w:after="120"/>
      <w:jc w:val="both"/>
    </w:pPr>
    <w:rPr>
      <w:rFonts w:ascii="Times New Roman" w:hAnsi="Times New Roman" w:eastAsia="宋体" w:cs="Times New Roman"/>
      <w:lang w:val="en-US" w:eastAsia="ja-JP" w:bidi="ar-SA"/>
    </w:rPr>
  </w:style>
  <w:style w:type="character" w:customStyle="1" w:styleId="161">
    <w:name w:val="StdsHead2 Char"/>
    <w:link w:val="145"/>
    <w:qFormat/>
    <w:locked/>
    <w:uiPriority w:val="0"/>
    <w:rPr>
      <w:rFonts w:eastAsia="MS Mincho"/>
      <w:lang w:eastAsia="ja-JP"/>
    </w:rPr>
  </w:style>
  <w:style w:type="paragraph" w:styleId="162">
    <w:name w:val="List Paragraph"/>
    <w:basedOn w:val="1"/>
    <w:qFormat/>
    <w:uiPriority w:val="34"/>
    <w:pPr>
      <w:ind w:firstLine="420" w:firstLineChars="200"/>
    </w:pPr>
  </w:style>
  <w:style w:type="paragraph" w:customStyle="1" w:styleId="163">
    <w:name w:val="样式1"/>
    <w:basedOn w:val="1"/>
    <w:qFormat/>
    <w:uiPriority w:val="0"/>
    <w:pPr>
      <w:ind w:firstLine="640" w:firstLineChars="200"/>
    </w:pPr>
    <w:rPr>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5B56B-5264-450A-8AA0-7A204B6505E9}">
  <ds:schemaRefs/>
</ds:datastoreItem>
</file>

<file path=docProps/app.xml><?xml version="1.0" encoding="utf-8"?>
<Properties xmlns="http://schemas.openxmlformats.org/officeDocument/2006/extended-properties" xmlns:vt="http://schemas.openxmlformats.org/officeDocument/2006/docPropsVTypes">
  <Template>太阳能电池用多晶硅片草案.dot</Template>
  <Pages>8</Pages>
  <Words>3689</Words>
  <Characters>4398</Characters>
  <Lines>35</Lines>
  <Paragraphs>9</Paragraphs>
  <TotalTime>1</TotalTime>
  <ScaleCrop>false</ScaleCrop>
  <LinksUpToDate>false</LinksUpToDate>
  <CharactersWithSpaces>4485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2021-09-06T00:50:00Z</dcterms:created>
  <cp:lastPrinted>2021-09-14T01:18:00Z</cp:lastPrinted>
  <dcterms:modified xsi:type="dcterms:W3CDTF">2024-09-19T02:05:54Z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7A2A0E5A2CD64584BD78FA860A5BA5B1</vt:lpwstr>
  </property>
</Properties>
</file>