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1DAC3">
      <w:pPr>
        <w:pStyle w:val="38"/>
        <w:topLinePunct/>
        <w:spacing w:beforeLines="0" w:afterLines="0" w:line="276" w:lineRule="auto"/>
        <w:rPr>
          <w:rFonts w:ascii="Times New Roman" w:hAnsi="Times New Roman"/>
        </w:rPr>
      </w:pPr>
    </w:p>
    <w:p w14:paraId="13324DF9">
      <w:pPr>
        <w:pStyle w:val="38"/>
        <w:topLinePunct/>
        <w:spacing w:beforeLines="0" w:afterLines="0" w:line="276" w:lineRule="auto"/>
        <w:rPr>
          <w:rFonts w:ascii="Times New Roman" w:hAnsi="Times New Roman"/>
        </w:rPr>
      </w:pPr>
    </w:p>
    <w:p w14:paraId="0BE608DA">
      <w:pPr>
        <w:pStyle w:val="38"/>
        <w:topLinePunct/>
        <w:spacing w:beforeLines="0" w:afterLines="0" w:line="276" w:lineRule="auto"/>
        <w:rPr>
          <w:rFonts w:ascii="Times New Roman" w:hAnsi="Times New Roman"/>
        </w:rPr>
      </w:pPr>
    </w:p>
    <w:p w14:paraId="12EE39F0">
      <w:pPr>
        <w:pStyle w:val="38"/>
        <w:topLinePunct/>
        <w:spacing w:beforeLines="0" w:afterLines="0" w:line="276" w:lineRule="auto"/>
        <w:rPr>
          <w:rFonts w:ascii="Times New Roman" w:hAnsi="Times New Roman"/>
        </w:rPr>
      </w:pPr>
    </w:p>
    <w:p w14:paraId="58315C24">
      <w:pPr>
        <w:pStyle w:val="38"/>
        <w:topLinePunct/>
        <w:spacing w:beforeLines="0" w:afterLines="0" w:line="276" w:lineRule="auto"/>
        <w:rPr>
          <w:rFonts w:ascii="Times New Roman" w:hAnsi="Times New Roman"/>
        </w:rPr>
      </w:pPr>
    </w:p>
    <w:p w14:paraId="78A8B481">
      <w:pPr>
        <w:pStyle w:val="38"/>
        <w:topLinePunct/>
        <w:spacing w:beforeLines="0" w:afterLines="0" w:line="276" w:lineRule="auto"/>
        <w:rPr>
          <w:rFonts w:ascii="Times New Roman" w:hAnsi="Times New Roman"/>
        </w:rPr>
      </w:pPr>
    </w:p>
    <w:p w14:paraId="7B21BA7C">
      <w:pPr>
        <w:spacing w:line="720" w:lineRule="auto"/>
        <w:jc w:val="center"/>
        <w:rPr>
          <w:rFonts w:eastAsia="黑体"/>
          <w:sz w:val="44"/>
          <w:szCs w:val="44"/>
        </w:rPr>
      </w:pPr>
      <w:bookmarkStart w:id="0" w:name="OLE_LINK1"/>
      <w:bookmarkStart w:id="1" w:name="OLE_LINK2"/>
      <w:r>
        <w:rPr>
          <w:rFonts w:eastAsia="黑体"/>
          <w:sz w:val="36"/>
          <w:szCs w:val="36"/>
        </w:rPr>
        <w:t>《温室气体 产品碳足迹量化方法与要求 硅多晶》</w:t>
      </w:r>
    </w:p>
    <w:p w14:paraId="57FC308A">
      <w:pPr>
        <w:spacing w:line="720" w:lineRule="auto"/>
        <w:jc w:val="center"/>
        <w:rPr>
          <w:rFonts w:eastAsia="黑体"/>
          <w:sz w:val="44"/>
          <w:szCs w:val="44"/>
        </w:rPr>
      </w:pPr>
      <w:r>
        <w:rPr>
          <w:rFonts w:eastAsia="黑体"/>
          <w:sz w:val="44"/>
          <w:szCs w:val="44"/>
        </w:rPr>
        <w:t>编制说明</w:t>
      </w:r>
      <w:bookmarkEnd w:id="0"/>
      <w:bookmarkEnd w:id="1"/>
    </w:p>
    <w:p w14:paraId="00DF03F7">
      <w:pPr>
        <w:pStyle w:val="38"/>
        <w:topLinePunct/>
        <w:spacing w:beforeLines="0" w:afterLines="0" w:line="720" w:lineRule="auto"/>
        <w:rPr>
          <w:rFonts w:ascii="Times New Roman" w:hAnsi="Times New Roman"/>
          <w:kern w:val="10"/>
        </w:rPr>
      </w:pPr>
      <w:r>
        <w:rPr>
          <w:rFonts w:ascii="Times New Roman" w:hAnsi="Times New Roman"/>
          <w:kern w:val="10"/>
        </w:rPr>
        <w:t>(</w:t>
      </w:r>
      <w:r>
        <w:rPr>
          <w:rFonts w:hint="eastAsia" w:ascii="Times New Roman" w:hAnsi="Times New Roman"/>
          <w:kern w:val="10"/>
        </w:rPr>
        <w:t>征求意见</w:t>
      </w:r>
      <w:r>
        <w:rPr>
          <w:rFonts w:ascii="Times New Roman" w:hAnsi="Times New Roman"/>
          <w:kern w:val="10"/>
        </w:rPr>
        <w:t>稿)</w:t>
      </w:r>
    </w:p>
    <w:p w14:paraId="06A7C871">
      <w:pPr>
        <w:pStyle w:val="38"/>
        <w:topLinePunct/>
        <w:spacing w:beforeLines="0" w:afterLines="0" w:line="276" w:lineRule="auto"/>
        <w:rPr>
          <w:rFonts w:ascii="Times New Roman" w:hAnsi="Times New Roman"/>
          <w:kern w:val="10"/>
        </w:rPr>
      </w:pPr>
    </w:p>
    <w:p w14:paraId="6DC142E2">
      <w:pPr>
        <w:pStyle w:val="38"/>
        <w:topLinePunct/>
        <w:spacing w:beforeLines="0" w:afterLines="0" w:line="276" w:lineRule="auto"/>
        <w:rPr>
          <w:rFonts w:ascii="Times New Roman" w:hAnsi="Times New Roman"/>
          <w:kern w:val="10"/>
        </w:rPr>
      </w:pPr>
    </w:p>
    <w:p w14:paraId="2A2FC768">
      <w:pPr>
        <w:pStyle w:val="38"/>
        <w:topLinePunct/>
        <w:spacing w:beforeLines="0" w:afterLines="0" w:line="276" w:lineRule="auto"/>
        <w:rPr>
          <w:rFonts w:ascii="Times New Roman" w:hAnsi="Times New Roman"/>
          <w:kern w:val="10"/>
        </w:rPr>
      </w:pPr>
    </w:p>
    <w:p w14:paraId="06019935">
      <w:pPr>
        <w:pStyle w:val="38"/>
        <w:topLinePunct/>
        <w:spacing w:beforeLines="0" w:afterLines="0" w:line="276" w:lineRule="auto"/>
        <w:rPr>
          <w:rFonts w:ascii="Times New Roman" w:hAnsi="Times New Roman"/>
          <w:kern w:val="10"/>
        </w:rPr>
      </w:pPr>
    </w:p>
    <w:p w14:paraId="065F311E">
      <w:pPr>
        <w:pStyle w:val="38"/>
        <w:topLinePunct/>
        <w:spacing w:beforeLines="0" w:afterLines="0" w:line="276" w:lineRule="auto"/>
        <w:rPr>
          <w:rFonts w:ascii="Times New Roman" w:hAnsi="Times New Roman"/>
          <w:kern w:val="10"/>
        </w:rPr>
      </w:pPr>
    </w:p>
    <w:p w14:paraId="0CEBFB7B">
      <w:pPr>
        <w:pStyle w:val="38"/>
        <w:topLinePunct/>
        <w:spacing w:beforeLines="0" w:afterLines="0" w:line="276" w:lineRule="auto"/>
        <w:rPr>
          <w:rFonts w:ascii="Times New Roman" w:hAnsi="Times New Roman"/>
          <w:kern w:val="10"/>
        </w:rPr>
      </w:pPr>
    </w:p>
    <w:p w14:paraId="541B5E45">
      <w:pPr>
        <w:pStyle w:val="38"/>
        <w:topLinePunct/>
        <w:spacing w:beforeLines="0" w:afterLines="0" w:line="276" w:lineRule="auto"/>
        <w:rPr>
          <w:rFonts w:ascii="Times New Roman" w:hAnsi="Times New Roman"/>
          <w:kern w:val="10"/>
        </w:rPr>
      </w:pPr>
    </w:p>
    <w:p w14:paraId="38FC6CEF">
      <w:pPr>
        <w:pStyle w:val="38"/>
        <w:topLinePunct/>
        <w:spacing w:beforeLines="0" w:afterLines="0" w:line="276" w:lineRule="auto"/>
        <w:rPr>
          <w:rFonts w:ascii="Times New Roman" w:hAnsi="Times New Roman"/>
          <w:kern w:val="10"/>
        </w:rPr>
      </w:pPr>
    </w:p>
    <w:p w14:paraId="46EBEDEE">
      <w:pPr>
        <w:pStyle w:val="38"/>
        <w:topLinePunct/>
        <w:spacing w:beforeLines="0" w:afterLines="0" w:line="276" w:lineRule="auto"/>
        <w:rPr>
          <w:rFonts w:ascii="Times New Roman" w:hAnsi="Times New Roman"/>
          <w:kern w:val="10"/>
        </w:rPr>
      </w:pPr>
    </w:p>
    <w:p w14:paraId="6413ACE2">
      <w:pPr>
        <w:pStyle w:val="38"/>
        <w:topLinePunct/>
        <w:spacing w:beforeLines="0" w:afterLines="0" w:line="276" w:lineRule="auto"/>
        <w:rPr>
          <w:rFonts w:ascii="Times New Roman" w:hAnsi="Times New Roman"/>
          <w:kern w:val="10"/>
        </w:rPr>
      </w:pPr>
    </w:p>
    <w:p w14:paraId="61DC49BE">
      <w:pPr>
        <w:pStyle w:val="38"/>
        <w:topLinePunct/>
        <w:spacing w:beforeLines="0" w:afterLines="0" w:line="276" w:lineRule="auto"/>
        <w:rPr>
          <w:rFonts w:ascii="Times New Roman" w:hAnsi="Times New Roman"/>
          <w:kern w:val="10"/>
        </w:rPr>
      </w:pPr>
    </w:p>
    <w:p w14:paraId="5B05F096">
      <w:pPr>
        <w:pStyle w:val="38"/>
        <w:topLinePunct/>
        <w:spacing w:beforeLines="0" w:afterLines="0" w:line="276" w:lineRule="auto"/>
        <w:rPr>
          <w:rFonts w:ascii="Times New Roman" w:hAnsi="Times New Roman"/>
          <w:kern w:val="10"/>
        </w:rPr>
      </w:pPr>
    </w:p>
    <w:p w14:paraId="0DEBA048">
      <w:pPr>
        <w:pStyle w:val="38"/>
        <w:topLinePunct/>
        <w:spacing w:beforeLines="0" w:afterLines="0" w:line="276" w:lineRule="auto"/>
        <w:rPr>
          <w:rFonts w:ascii="Times New Roman" w:hAnsi="Times New Roman"/>
          <w:kern w:val="10"/>
        </w:rPr>
      </w:pPr>
    </w:p>
    <w:p w14:paraId="2370B250">
      <w:pPr>
        <w:pStyle w:val="38"/>
        <w:topLinePunct/>
        <w:spacing w:beforeLines="0" w:afterLines="0" w:line="276" w:lineRule="auto"/>
        <w:rPr>
          <w:rFonts w:ascii="Times New Roman" w:hAnsi="Times New Roman"/>
          <w:kern w:val="10"/>
        </w:rPr>
      </w:pPr>
    </w:p>
    <w:p w14:paraId="35757DD5">
      <w:pPr>
        <w:pStyle w:val="38"/>
        <w:topLinePunct/>
        <w:spacing w:beforeLines="0" w:afterLines="0" w:line="276" w:lineRule="auto"/>
        <w:rPr>
          <w:rFonts w:ascii="Times New Roman" w:hAnsi="Times New Roman"/>
          <w:kern w:val="10"/>
        </w:rPr>
      </w:pPr>
    </w:p>
    <w:p w14:paraId="776914E4">
      <w:pPr>
        <w:pStyle w:val="38"/>
        <w:topLinePunct/>
        <w:spacing w:beforeLines="0" w:afterLines="0" w:line="276" w:lineRule="auto"/>
        <w:rPr>
          <w:rFonts w:ascii="Times New Roman" w:hAnsi="Times New Roman"/>
          <w:kern w:val="10"/>
          <w:szCs w:val="32"/>
        </w:rPr>
      </w:pPr>
      <w:r>
        <w:rPr>
          <w:rFonts w:ascii="Times New Roman" w:hAnsi="Times New Roman"/>
          <w:kern w:val="0"/>
          <w:szCs w:val="32"/>
        </w:rPr>
        <w:t>标准编制组</w:t>
      </w:r>
    </w:p>
    <w:p w14:paraId="155357BB">
      <w:pPr>
        <w:pStyle w:val="38"/>
        <w:topLinePunct/>
        <w:spacing w:beforeLines="0" w:afterLines="0" w:line="276" w:lineRule="auto"/>
        <w:rPr>
          <w:rFonts w:ascii="Times New Roman" w:hAnsi="Times New Roman"/>
          <w:kern w:val="10"/>
        </w:rPr>
      </w:pPr>
      <w:r>
        <w:rPr>
          <w:rFonts w:ascii="Times New Roman" w:hAnsi="Times New Roman"/>
          <w:kern w:val="0"/>
        </w:rPr>
        <w:t>2024年0</w:t>
      </w:r>
      <w:r>
        <w:rPr>
          <w:rFonts w:hint="eastAsia" w:ascii="Times New Roman" w:hAnsi="Times New Roman"/>
          <w:kern w:val="0"/>
        </w:rPr>
        <w:t>9</w:t>
      </w:r>
      <w:r>
        <w:rPr>
          <w:rFonts w:ascii="Times New Roman" w:hAnsi="Times New Roman"/>
          <w:spacing w:val="8"/>
          <w:kern w:val="0"/>
        </w:rPr>
        <w:t>月</w:t>
      </w:r>
    </w:p>
    <w:p w14:paraId="519B7023">
      <w:pPr>
        <w:widowControl/>
        <w:topLinePunct/>
        <w:spacing w:line="276" w:lineRule="auto"/>
        <w:jc w:val="left"/>
        <w:rPr>
          <w:kern w:val="10"/>
        </w:rPr>
        <w:sectPr>
          <w:headerReference r:id="rId3" w:type="default"/>
          <w:footerReference r:id="rId5" w:type="default"/>
          <w:headerReference r:id="rId4" w:type="even"/>
          <w:pgSz w:w="11906" w:h="16838"/>
          <w:pgMar w:top="1440" w:right="1800" w:bottom="1440" w:left="1800" w:header="737" w:footer="737" w:gutter="0"/>
          <w:cols w:space="720" w:num="1"/>
          <w:formProt w:val="0"/>
          <w:docGrid w:type="lines" w:linePitch="312" w:charSpace="0"/>
        </w:sectPr>
      </w:pPr>
      <w:r>
        <w:rPr>
          <w:kern w:val="10"/>
        </w:rPr>
        <w:br w:type="page"/>
      </w:r>
    </w:p>
    <w:sdt>
      <w:sdtPr>
        <w:rPr>
          <w:rFonts w:ascii="宋体" w:hAnsi="宋体"/>
        </w:rPr>
        <w:id w:val="147467075"/>
        <w15:color w:val="DBDBDB"/>
        <w:docPartObj>
          <w:docPartGallery w:val="Table of Contents"/>
          <w:docPartUnique/>
        </w:docPartObj>
      </w:sdtPr>
      <w:sdtEndPr>
        <w:rPr>
          <w:rFonts w:ascii="宋体" w:hAnsi="宋体"/>
        </w:rPr>
      </w:sdtEndPr>
      <w:sdtContent>
        <w:p w14:paraId="3D303E58">
          <w:bookmarkStart w:id="2" w:name="_Toc10197"/>
          <w:bookmarkStart w:id="3" w:name="_Toc371511493"/>
          <w:bookmarkStart w:id="4" w:name="_Toc17352"/>
          <w:bookmarkStart w:id="5" w:name="_Toc15499"/>
          <w:bookmarkStart w:id="6" w:name="_Toc3101"/>
          <w:bookmarkStart w:id="7" w:name="_Toc36132040"/>
          <w:bookmarkStart w:id="8" w:name="_Toc19649"/>
          <w:bookmarkStart w:id="9" w:name="_Toc16869"/>
          <w:bookmarkStart w:id="10" w:name="_Toc20133"/>
          <w:bookmarkStart w:id="11" w:name="_Toc59059078"/>
          <w:bookmarkStart w:id="12" w:name="_Toc22674"/>
          <w:bookmarkStart w:id="13" w:name="_Toc1831"/>
          <w:bookmarkStart w:id="14" w:name="_Toc16918"/>
        </w:p>
      </w:sdtContent>
    </w:sdt>
    <w:p w14:paraId="38E05DF6">
      <w:pPr>
        <w:pStyle w:val="35"/>
        <w:tabs>
          <w:tab w:val="left" w:pos="420"/>
        </w:tabs>
        <w:spacing w:before="156" w:after="156" w:line="276" w:lineRule="auto"/>
        <w:outlineLvl w:val="9"/>
        <w:sectPr>
          <w:footerReference r:id="rId6" w:type="default"/>
          <w:pgSz w:w="11906" w:h="16838"/>
          <w:pgMar w:top="1474" w:right="1134" w:bottom="1418" w:left="1134" w:header="851" w:footer="851" w:gutter="0"/>
          <w:pgNumType w:start="1"/>
          <w:cols w:space="425" w:num="1"/>
          <w:docGrid w:type="lines" w:linePitch="312" w:charSpace="0"/>
        </w:sectPr>
      </w:pPr>
      <w:bookmarkStart w:id="15" w:name="_Toc31563"/>
    </w:p>
    <w:p w14:paraId="382E3172">
      <w:pPr>
        <w:pStyle w:val="35"/>
        <w:numPr>
          <w:ilvl w:val="0"/>
          <w:numId w:val="1"/>
        </w:numPr>
        <w:tabs>
          <w:tab w:val="left" w:pos="420"/>
          <w:tab w:val="clear" w:pos="0"/>
        </w:tabs>
        <w:spacing w:before="156" w:after="156" w:line="276" w:lineRule="auto"/>
      </w:pPr>
      <w:r>
        <w:t>任务来源及编制背景</w:t>
      </w:r>
      <w:bookmarkEnd w:id="2"/>
      <w:bookmarkEnd w:id="3"/>
      <w:bookmarkEnd w:id="4"/>
      <w:bookmarkEnd w:id="5"/>
      <w:bookmarkEnd w:id="6"/>
      <w:bookmarkEnd w:id="7"/>
      <w:bookmarkEnd w:id="8"/>
      <w:bookmarkEnd w:id="9"/>
      <w:bookmarkEnd w:id="10"/>
      <w:bookmarkEnd w:id="11"/>
      <w:bookmarkEnd w:id="12"/>
      <w:bookmarkEnd w:id="13"/>
      <w:bookmarkEnd w:id="14"/>
      <w:bookmarkEnd w:id="15"/>
    </w:p>
    <w:p w14:paraId="5F2BB6DB">
      <w:pPr>
        <w:pStyle w:val="35"/>
        <w:numPr>
          <w:ilvl w:val="1"/>
          <w:numId w:val="1"/>
        </w:numPr>
        <w:spacing w:before="156" w:after="156" w:line="276" w:lineRule="auto"/>
        <w:outlineLvl w:val="1"/>
      </w:pPr>
      <w:bookmarkStart w:id="16" w:name="_Toc21993"/>
      <w:bookmarkStart w:id="17" w:name="_Toc371511494"/>
      <w:bookmarkStart w:id="18" w:name="_Toc31527"/>
      <w:bookmarkStart w:id="19" w:name="_Toc36132041"/>
      <w:bookmarkStart w:id="20" w:name="_Toc10290"/>
      <w:bookmarkStart w:id="21" w:name="_Toc30418"/>
      <w:bookmarkStart w:id="22" w:name="_Toc21617"/>
      <w:bookmarkStart w:id="23" w:name="_Toc12767"/>
      <w:bookmarkStart w:id="24" w:name="_Toc32315"/>
      <w:bookmarkStart w:id="25" w:name="_Toc27295"/>
      <w:bookmarkStart w:id="26" w:name="_Toc18342"/>
      <w:bookmarkStart w:id="27" w:name="_Toc22840"/>
      <w:bookmarkStart w:id="28" w:name="_Toc59059079"/>
      <w:bookmarkStart w:id="29" w:name="_Toc222553786"/>
      <w:bookmarkStart w:id="30" w:name="_Toc242585740"/>
      <w:r>
        <w:t>任务来源</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B12E499">
      <w:pPr>
        <w:topLinePunct/>
        <w:spacing w:line="360" w:lineRule="auto"/>
        <w:ind w:firstLine="420" w:firstLineChars="200"/>
      </w:pPr>
      <w:r>
        <w:t>根据</w:t>
      </w:r>
      <w:r>
        <w:rPr>
          <w:rFonts w:hint="eastAsia"/>
        </w:rPr>
        <w:t>《关于下达2024年第五批协会团体标准制修订计划的通知》 （中色协科字〔2024〕80号）</w:t>
      </w:r>
      <w:r>
        <w:t>的要求，《</w:t>
      </w:r>
      <w:r>
        <w:rPr>
          <w:rFonts w:hint="eastAsia"/>
        </w:rPr>
        <w:t>温室气体 产品碳足迹量化方法与要求 硅多晶</w:t>
      </w:r>
      <w:r>
        <w:t>》（计划号：2024-</w:t>
      </w:r>
      <w:r>
        <w:rPr>
          <w:rFonts w:hint="eastAsia"/>
        </w:rPr>
        <w:t>046</w:t>
      </w:r>
      <w:r>
        <w:t>-</w:t>
      </w:r>
      <w:r>
        <w:rPr>
          <w:rFonts w:hint="eastAsia"/>
        </w:rPr>
        <w:t>T/CNIA</w:t>
      </w:r>
      <w:r>
        <w:t>）立项，标准由</w:t>
      </w:r>
      <w:r>
        <w:rPr>
          <w:rFonts w:hint="eastAsia"/>
        </w:rPr>
        <w:t>全国有色金属标准化技术委员会（SAC/TC 243）、全国半导体设备和材料标准化技术委员会材料分技术委员会（SAC/TC 203/SC2）</w:t>
      </w:r>
      <w:r>
        <w:t>提出</w:t>
      </w:r>
      <w:r>
        <w:rPr>
          <w:rFonts w:hint="eastAsia"/>
        </w:rPr>
        <w:t>和</w:t>
      </w:r>
      <w:r>
        <w:t>归口</w:t>
      </w:r>
      <w:r>
        <w:rPr>
          <w:rFonts w:hint="eastAsia"/>
        </w:rPr>
        <w:t>，</w:t>
      </w:r>
      <w:r>
        <w:t>编制工作由</w:t>
      </w:r>
      <w:r>
        <w:rPr>
          <w:rFonts w:hint="eastAsia"/>
        </w:rPr>
        <w:t>四川永祥股份有限公司、中国大唐集团绿色低碳发展有限公司</w:t>
      </w:r>
      <w:r>
        <w:t>等单位负责</w:t>
      </w:r>
      <w:r>
        <w:rPr>
          <w:rFonts w:hint="eastAsia"/>
        </w:rPr>
        <w:t>。</w:t>
      </w:r>
    </w:p>
    <w:p w14:paraId="0ED890C9">
      <w:pPr>
        <w:pStyle w:val="35"/>
        <w:numPr>
          <w:ilvl w:val="1"/>
          <w:numId w:val="1"/>
        </w:numPr>
        <w:spacing w:before="156" w:after="156" w:line="276" w:lineRule="auto"/>
        <w:outlineLvl w:val="1"/>
      </w:pPr>
      <w:bookmarkStart w:id="31" w:name="_Toc36132042"/>
      <w:bookmarkStart w:id="32" w:name="_Toc27908"/>
      <w:bookmarkStart w:id="33" w:name="_Toc702"/>
      <w:bookmarkStart w:id="34" w:name="_Toc19129"/>
      <w:bookmarkStart w:id="35" w:name="_Toc3963"/>
      <w:bookmarkStart w:id="36" w:name="_Toc31941"/>
      <w:bookmarkStart w:id="37" w:name="_Toc19427"/>
      <w:bookmarkStart w:id="38" w:name="_Toc4728"/>
      <w:bookmarkStart w:id="39" w:name="_Toc59059080"/>
      <w:bookmarkStart w:id="40" w:name="_Toc6546"/>
      <w:bookmarkStart w:id="41" w:name="_Toc20853"/>
      <w:bookmarkStart w:id="42" w:name="_Toc19815"/>
      <w:r>
        <w:t>背景和意义</w:t>
      </w:r>
      <w:bookmarkEnd w:id="31"/>
      <w:bookmarkEnd w:id="32"/>
      <w:bookmarkEnd w:id="33"/>
      <w:bookmarkEnd w:id="34"/>
      <w:bookmarkEnd w:id="35"/>
      <w:bookmarkEnd w:id="36"/>
      <w:bookmarkEnd w:id="37"/>
      <w:bookmarkEnd w:id="38"/>
      <w:bookmarkEnd w:id="39"/>
      <w:bookmarkEnd w:id="40"/>
      <w:bookmarkEnd w:id="41"/>
      <w:bookmarkEnd w:id="42"/>
    </w:p>
    <w:p w14:paraId="25372246">
      <w:pPr>
        <w:topLinePunct/>
        <w:spacing w:line="360" w:lineRule="auto"/>
        <w:ind w:firstLine="420" w:firstLineChars="200"/>
      </w:pPr>
      <w:bookmarkStart w:id="43" w:name="_Toc36132043"/>
      <w:r>
        <w:t>气候变化是当今人类社会面临的共同挑战。积极应对气候变化，加快推进清洁能源与低碳发展，已经成为国际社会的普遍共识。我国政府高度重视低碳发展与应对气候变化工作，在提交联合国的《强化应对气候变化行动—中国国家自主贡献》中提出：将于2030年左右使二氧化碳排放达到峰值并争取尽早实现，2030年单位国内生产总值二氧化碳排放比2005年下降60%~65%，非化石能源占一次能源消费比重达20%左右，森林蓄积量比2005年增加45亿立方米左右。产品碳足迹评价是基于生命周期评价的方法对于一个产品系统温室气体排放和吸收的汇总，以二氧化碳当量这种形式来表述。可以帮助个人和组织评估其对温室气体环境因素的影响，为环境报告提供有效信息。对于企业而言，是社会责任的一种体现。可根据确定的产品碳足迹来减少企业碳排放行为，并由此采取可行的措施来控制和减少碳排放，提高声誉并强化品牌，改善内部运营，节能减排，获得竞争优势。此外，产品碳足迹评价也是引导消费者环保行为的有效标识，引导消费决策。我国开展碳足迹研究相对较晚，尚未形成完善的标准体系，目前国内外主要碳足迹、碳中和规范有：PAS 2050：2008《商品和服务在生命周期内的温室气体排放评价规范》，ISO14040：2006《环境管理  生命周期评估：原则与框架》，ISO14044：2006《环境管理  产品生命周期评价  要求和导则》，PAS 2060：2010《碳中和证明规范》，ISO14067：2013《温室气体排放 产品碳足迹 量化要求和指南》、深圳产品碳足迹评价通则等，随着全球应对气候变化进程不断加快，产品碳足迹评价规范势必为成为引领绿色消费的利剑，具有重要的现实意义和深远的历史意义。</w:t>
      </w:r>
    </w:p>
    <w:p w14:paraId="4F2A9432">
      <w:pPr>
        <w:topLinePunct/>
        <w:spacing w:line="360" w:lineRule="auto"/>
        <w:ind w:firstLine="420" w:firstLineChars="200"/>
      </w:pPr>
      <w:r>
        <w:rPr>
          <w:rFonts w:hint="eastAsia"/>
        </w:rPr>
        <w:t>硅多晶是光伏产业和半导体产业所必需的基础性原材料，在全球范围内被广泛应用。我国硅多晶产量处于世界领先水平，2023年我国硅多晶产量约147.2万吨，占全球硅多晶产量的91.5%。在双碳背景下，硅多晶生产企业正在面临国内外来自政府端和市场端的组织与产品等多层面的降碳压力，如在组织碳层面，硅多晶行业作为耗能较大，生产企业被列为重点排放单位；产品碳层面，随着欧盟《新电池法》正式实施，未雨绸缪“《新光伏法》”相当必要，同时已实施的法国ECS碳足迹对中国光伏产业影响深远。因此，硅多晶行业企业识别硅多晶产品碳足迹的分布情况，对于促进硅多晶产品及行业的节能降耗和循环经济发展具有重要现实意义。此外，硅多晶作为光伏产业、硅基半导体产业的主要原材料以及主要碳排放源之一，定量评价硅多晶产品的温室气体排放尤为重要，可以规范产品碳足迹评价统一的基本规则和要求，为支撑硅多晶产品的生态设计、下游产品的绿色供应链选择等相关认证工作提供可操作的方法。</w:t>
      </w:r>
    </w:p>
    <w:p w14:paraId="2F8427EB">
      <w:pPr>
        <w:pStyle w:val="35"/>
        <w:numPr>
          <w:ilvl w:val="0"/>
          <w:numId w:val="1"/>
        </w:numPr>
        <w:tabs>
          <w:tab w:val="left" w:pos="420"/>
          <w:tab w:val="clear" w:pos="0"/>
        </w:tabs>
        <w:spacing w:before="156" w:after="156" w:line="276" w:lineRule="auto"/>
      </w:pPr>
      <w:bookmarkStart w:id="44" w:name="_Toc15277"/>
      <w:bookmarkStart w:id="45" w:name="_Toc15905"/>
      <w:bookmarkStart w:id="46" w:name="_Toc24728"/>
      <w:bookmarkStart w:id="47" w:name="_Toc7251"/>
      <w:bookmarkStart w:id="48" w:name="_Toc59059081"/>
      <w:bookmarkStart w:id="49" w:name="_Toc22878"/>
      <w:bookmarkStart w:id="50" w:name="_Toc22199"/>
      <w:bookmarkStart w:id="51" w:name="_Toc22126"/>
      <w:bookmarkStart w:id="52" w:name="_Toc26710"/>
      <w:bookmarkStart w:id="53" w:name="_Toc32683"/>
      <w:bookmarkStart w:id="54" w:name="_Toc8779"/>
      <w:bookmarkStart w:id="55" w:name="_Toc31813"/>
      <w:r>
        <w:t>工作简况</w:t>
      </w:r>
      <w:bookmarkEnd w:id="43"/>
      <w:bookmarkEnd w:id="44"/>
      <w:bookmarkEnd w:id="45"/>
      <w:bookmarkEnd w:id="46"/>
      <w:bookmarkEnd w:id="47"/>
      <w:bookmarkEnd w:id="48"/>
      <w:bookmarkEnd w:id="49"/>
      <w:bookmarkEnd w:id="50"/>
      <w:bookmarkEnd w:id="51"/>
      <w:bookmarkEnd w:id="52"/>
      <w:bookmarkEnd w:id="53"/>
      <w:bookmarkEnd w:id="54"/>
      <w:bookmarkEnd w:id="55"/>
    </w:p>
    <w:p w14:paraId="7BFC2F78">
      <w:pPr>
        <w:topLinePunct/>
        <w:spacing w:line="360" w:lineRule="auto"/>
        <w:ind w:firstLine="420" w:firstLineChars="200"/>
      </w:pPr>
      <w:r>
        <w:t>本标准遵循生命周期的基本指导思想，在广泛收集</w:t>
      </w:r>
      <w:r>
        <w:rPr>
          <w:rFonts w:hint="eastAsia"/>
        </w:rPr>
        <w:t>硅多晶</w:t>
      </w:r>
      <w:r>
        <w:t>行业碳排放等相关的政策、法律法规、技术导则、标准等文献，选择典型企业开展系统深入地实地调研，结合我国</w:t>
      </w:r>
      <w:r>
        <w:rPr>
          <w:rFonts w:hint="eastAsia"/>
        </w:rPr>
        <w:t>硅多晶</w:t>
      </w:r>
      <w:r>
        <w:t>的现状，进行全面系统研究的基础上，完成了本标准草案的撰写。该标准给出了</w:t>
      </w:r>
      <w:r>
        <w:rPr>
          <w:rFonts w:hint="eastAsia"/>
        </w:rPr>
        <w:t>硅多晶</w:t>
      </w:r>
      <w:r>
        <w:t>碳足迹的量化、报告等内容。</w:t>
      </w:r>
    </w:p>
    <w:p w14:paraId="14B60B47">
      <w:pPr>
        <w:pStyle w:val="35"/>
        <w:numPr>
          <w:ilvl w:val="1"/>
          <w:numId w:val="1"/>
        </w:numPr>
        <w:spacing w:before="156" w:after="156" w:line="276" w:lineRule="auto"/>
        <w:outlineLvl w:val="1"/>
      </w:pPr>
      <w:bookmarkStart w:id="56" w:name="_Toc19144"/>
      <w:bookmarkStart w:id="57" w:name="_Toc28377975"/>
      <w:r>
        <w:t>参编单位及任务分工</w:t>
      </w:r>
      <w:bookmarkEnd w:id="56"/>
      <w:bookmarkEnd w:id="57"/>
    </w:p>
    <w:p w14:paraId="26DB5FDD">
      <w:pPr>
        <w:spacing w:line="360" w:lineRule="auto"/>
        <w:ind w:firstLine="420" w:firstLineChars="200"/>
      </w:pPr>
      <w:r>
        <w:t>本标准主要起草单位为</w:t>
      </w:r>
      <w:r>
        <w:rPr>
          <w:rFonts w:hint="eastAsia"/>
        </w:rPr>
        <w:t>四川永祥股份有限公司</w:t>
      </w:r>
      <w:r>
        <w:t>等，</w:t>
      </w:r>
      <w:r>
        <w:rPr>
          <w:rFonts w:hint="eastAsia"/>
        </w:rPr>
        <w:t>还</w:t>
      </w:r>
      <w:r>
        <w:t>涵盖不同产品企业、科研院所、大专院校和行业协会，具有广泛的代表性。本标准主要起草人为：</w:t>
      </w:r>
      <w:r>
        <w:rPr>
          <w:rFonts w:hint="eastAsia"/>
        </w:rPr>
        <w:t>谭思宇</w:t>
      </w:r>
      <w:r>
        <w:t>、</w:t>
      </w:r>
      <w:r>
        <w:rPr>
          <w:rFonts w:hint="eastAsia"/>
        </w:rPr>
        <w:t>田野</w:t>
      </w:r>
      <w:r>
        <w:t>等。</w:t>
      </w:r>
    </w:p>
    <w:p w14:paraId="48F9562F">
      <w:pPr>
        <w:pStyle w:val="35"/>
        <w:numPr>
          <w:ilvl w:val="1"/>
          <w:numId w:val="1"/>
        </w:numPr>
        <w:spacing w:before="156" w:after="156" w:line="276" w:lineRule="auto"/>
        <w:outlineLvl w:val="1"/>
      </w:pPr>
      <w:bookmarkStart w:id="58" w:name="_Toc4098"/>
      <w:r>
        <w:t>具体编制过程</w:t>
      </w:r>
      <w:bookmarkEnd w:id="58"/>
    </w:p>
    <w:p w14:paraId="206C2C0F">
      <w:pPr>
        <w:topLinePunct/>
        <w:spacing w:line="360" w:lineRule="auto"/>
        <w:ind w:firstLine="420" w:firstLineChars="200"/>
      </w:pPr>
      <w:r>
        <w:rPr>
          <w:rFonts w:hint="eastAsia"/>
        </w:rPr>
        <w:t>2024年</w:t>
      </w:r>
      <w:r>
        <w:t>，标准计划任务下达后，负责起草单位组织了本领域产品生产企业、科研院等单位，组成了标准编制组，同时初步开展了行业调研，搜集并分析了行业情况、相关标准及数据等，作为标准评价指标提出的科学参考依据，编制形成标准草案提交标准工作会；</w:t>
      </w:r>
    </w:p>
    <w:p w14:paraId="70E2ECE6">
      <w:pPr>
        <w:topLinePunct/>
        <w:spacing w:line="360" w:lineRule="auto"/>
        <w:ind w:firstLine="420" w:firstLineChars="200"/>
      </w:pPr>
      <w:bookmarkStart w:id="59" w:name="_Toc351215567"/>
      <w:r>
        <w:rPr>
          <w:rFonts w:hint="eastAsia"/>
        </w:rPr>
        <w:t>2024年8月，全国半导体设备和材料标准化技术委员会材料分技术委员会在徐州组织召开标准审查会，本标准依据审查会意见进行修改，形成标准征求意见稿。</w:t>
      </w:r>
    </w:p>
    <w:p w14:paraId="4CA72F43">
      <w:pPr>
        <w:pStyle w:val="35"/>
        <w:numPr>
          <w:ilvl w:val="1"/>
          <w:numId w:val="1"/>
        </w:numPr>
        <w:spacing w:before="156" w:after="156" w:line="276" w:lineRule="auto"/>
        <w:outlineLvl w:val="1"/>
      </w:pPr>
      <w:bookmarkStart w:id="60" w:name="_Toc5430"/>
      <w:r>
        <w:t>标准相关产品国内外情况调研</w:t>
      </w:r>
      <w:bookmarkEnd w:id="60"/>
    </w:p>
    <w:p w14:paraId="44CCF2FC">
      <w:pPr>
        <w:snapToGrid w:val="0"/>
        <w:spacing w:line="360" w:lineRule="auto"/>
        <w:ind w:firstLine="420" w:firstLineChars="200"/>
      </w:pPr>
      <w:r>
        <w:t>碳足迹是以生命周期评价方法评估研究对象在其生命周期中直接或间接产生的温室气体排放；对于同一对象而言，碳足迹的核算难度和范围要大于碳排放，其核算结果包含碳排放的信息。由于许多国家或组织均开发并出台了针对不同系统层级的碳足迹核算标准，所以目前碳足迹标准种类较多。首先根据评估对象的系统层级，碳足迹标准大致可以分为了三个层级：</w:t>
      </w:r>
    </w:p>
    <w:p w14:paraId="059278A1">
      <w:pPr>
        <w:snapToGrid w:val="0"/>
        <w:spacing w:line="360" w:lineRule="auto"/>
        <w:ind w:firstLine="420" w:firstLineChars="200"/>
      </w:pPr>
      <w:r>
        <w:t>（1）国家、部门或者地域层级：国际上比较通用的主要有《IPCC国家温室气体清单指南》以及《ICLEI城市温室气体排放清单指南》。</w:t>
      </w:r>
    </w:p>
    <w:p w14:paraId="5F2A6C1D">
      <w:pPr>
        <w:snapToGrid w:val="0"/>
        <w:spacing w:line="360" w:lineRule="auto"/>
        <w:ind w:firstLine="420" w:firstLineChars="200"/>
      </w:pPr>
      <w:r>
        <w:t>（2）企业、组织活动层级：主要包括GHG Protocol《企业核算与报告标准》以及 ISO 14064《标准系列》。</w:t>
      </w:r>
    </w:p>
    <w:p w14:paraId="79827424">
      <w:pPr>
        <w:snapToGrid w:val="0"/>
        <w:spacing w:line="360" w:lineRule="auto"/>
        <w:ind w:firstLine="420" w:firstLineChars="200"/>
      </w:pPr>
      <w:r>
        <w:t>（3）产品层级：国际标准主要有三个：PAS 2050《产品与服务生命周期温室气体排放的评价规范》、GHG Protocol《产品生命周期核算和报告标准》以及 GB/T 24067-2024《温室气体 产品的碳足迹 量化的要求和指南》。</w:t>
      </w:r>
    </w:p>
    <w:p w14:paraId="1CAE8097">
      <w:pPr>
        <w:snapToGrid w:val="0"/>
        <w:spacing w:line="360" w:lineRule="auto"/>
        <w:ind w:firstLine="420" w:firstLineChars="200"/>
      </w:pPr>
      <w:r>
        <w:t>其中，PAS2050：2008是全世界第一个产品碳足迹核算标准， GHG protocol（2011）是世界资源研究所和世界可持续发展工商理事会正式发布的标准，是要求最为详细的碳足迹核算标准。ISO14067是由国际标准化组织发布，该标准被认为是更具普遍性的标准，提供了最近的要求和指导。</w:t>
      </w:r>
    </w:p>
    <w:p w14:paraId="6D87EFE7">
      <w:pPr>
        <w:snapToGrid w:val="0"/>
        <w:spacing w:line="360" w:lineRule="auto"/>
        <w:ind w:firstLine="420" w:firstLineChars="200"/>
      </w:pPr>
      <w:r>
        <w:t>PAS 2050《商品和服务在生命周期内的温室气体排放评价规范》是第一个产品碳足迹核算标准，也是GB/T 24067-2024《温室气体排放 产品碳足迹 量化要求和指南》正式出台前应用最广的产品碳足迹评价规范，于2008年10月公布，旨在对评估产品和服务生命周期内温室气体排放的要求做出明确的规定，使公司、客户和其他利益相关方通过对产品碳足迹的核算，在第一时间采取对于环境有益的恰当决策。PAS 2050在2011年进行了更新，更新后的版本对产品碳足迹核算提供了更加详细的要求和指导。参考ISO14040/44和PAS2050，世界其它国纷纷兴起制定适合本国的产品碳足迹（CFP） 计算标准，如世界资源研究所和世界可持续发展工商理事会（WRI/WBCSD）共同发起制定的“温室气体议定书”，日本标准TS Q0010-2009《日本温室气体排放评价指南》，以及BP X30-323《碳标识计划一般性准则文件》。随之而来的是不同碳足迹评价标准引发了国际上对不同计算标准建立的CFP信息不能进行有意义比较的疑虑。因此，尽快建立一套全球统一的产品碳足迹标准势在必行。</w:t>
      </w:r>
    </w:p>
    <w:p w14:paraId="130B62F6">
      <w:pPr>
        <w:snapToGrid w:val="0"/>
        <w:spacing w:line="360" w:lineRule="auto"/>
        <w:ind w:firstLine="420" w:firstLineChars="200"/>
      </w:pPr>
      <w:r>
        <w:t>2008 年 1 月，国际标准化组织（ISO）成立工作组并着手编制产品碳足迹的国际标准 GB/T 24067-2024《温室气体排放 产品碳足迹 量化要求和指南》。新标准主要是基于现存的 ISO标准：ISO 14040/44（生命周期评估）及 ISO 14025（环境标签） 《环境标志和声明  III型环境声明  原则和程序》。2012年 10 月，GB/T 24067-2024（2012）国际标准草案版公布。2013 年 5 月，其作为技术规范（technical specification）发表，全称为 ISO/TS 14067: 2013 温室气体 - 产品碳足迹-量化与沟通的规则与指南（ISO/TS14067:2013 Greenhouse gases - carbon footprint of products Require-ments and guidelines for quantification and communication）。为产品整个生命周期中的温室气体排放量的评估提供标准，令产品碳足迹能有效地在供应链、顾客及其他利益相关者之间沟通，并且为基于比较目的的计算结果提供了一个公认的根据GB/T 24067-2024将首次实现产品和服务生命周期中二氧化碳排放量化，并确保相关数值可以在全球范围比较。</w:t>
      </w:r>
      <w:r>
        <w:rPr>
          <w:rFonts w:hint="eastAsia"/>
        </w:rPr>
        <w:t>该标准</w:t>
      </w:r>
      <w:r>
        <w:t>于2018年进行了更新和修订，形成了《GB/T 24067-2024：2018温室气体-产品碳足迹-量化要求及指南》</w:t>
      </w:r>
      <w:r>
        <w:rPr>
          <w:rFonts w:hint="eastAsia"/>
        </w:rPr>
        <w:t>。</w:t>
      </w:r>
    </w:p>
    <w:p w14:paraId="36E03C87">
      <w:pPr>
        <w:snapToGrid w:val="0"/>
        <w:spacing w:line="360" w:lineRule="auto"/>
        <w:ind w:firstLine="420" w:firstLineChars="200"/>
      </w:pPr>
      <w:r>
        <w:t>本标准的标准框架及计算方法可参考国内出台的产品碳足迹相关的标准，包括SJ/T 11717-2018《产品碳足迹 产品种类规则 液晶显示器》、SJ/T 11718-2018《产品碳足迹 产品种类规则 液晶电视机》、SJ/T 11735-2019《产品碳足迹 产品种类规则 便携式计算机》、SJ/T 11736-2019《产品碳足迹 产品种类规则 台式微型计算机》、DB31/T 1071-2017《产品碳足迹核算通则》、DB11/T 1860-2021《电子信息产品碳足迹核算指南》等。此外，</w:t>
      </w:r>
      <w:r>
        <w:rPr>
          <w:rFonts w:hint="eastAsia"/>
        </w:rPr>
        <w:t>有色</w:t>
      </w:r>
      <w:r>
        <w:t>行业已立项编制的</w:t>
      </w:r>
      <w:r>
        <w:rPr>
          <w:rFonts w:hint="eastAsia"/>
        </w:rPr>
        <w:t>国家</w:t>
      </w:r>
      <w:r>
        <w:t>标准有：《</w:t>
      </w:r>
      <w:r>
        <w:rPr>
          <w:rFonts w:hint="eastAsia"/>
        </w:rPr>
        <w:t>温室气体 产品碳足迹量化方法与要求 电解铝</w:t>
      </w:r>
      <w:r>
        <w:t>》（20</w:t>
      </w:r>
      <w:r>
        <w:rPr>
          <w:rFonts w:hint="eastAsia"/>
        </w:rPr>
        <w:t>240020-T-610</w:t>
      </w:r>
      <w:r>
        <w:t>），已立项编制的</w:t>
      </w:r>
      <w:r>
        <w:rPr>
          <w:rFonts w:hint="eastAsia"/>
        </w:rPr>
        <w:t>有色行业</w:t>
      </w:r>
      <w:r>
        <w:t>标准有：《</w:t>
      </w:r>
      <w:r>
        <w:rPr>
          <w:rFonts w:hint="eastAsia"/>
        </w:rPr>
        <w:t>温室气体 产品碳足迹量化方法与要求 阴极铜</w:t>
      </w:r>
      <w:r>
        <w:t>》（</w:t>
      </w:r>
      <w:r>
        <w:rPr>
          <w:rFonts w:hint="eastAsia"/>
        </w:rPr>
        <w:t>2023-1431T-YS</w:t>
      </w:r>
      <w:r>
        <w:t>）</w:t>
      </w:r>
      <w:r>
        <w:rPr>
          <w:rFonts w:hint="eastAsia"/>
        </w:rPr>
        <w:t>、</w:t>
      </w:r>
      <w:r>
        <w:t>《</w:t>
      </w:r>
      <w:r>
        <w:rPr>
          <w:rFonts w:hint="eastAsia"/>
        </w:rPr>
        <w:t>温室气体 产品碳足迹量化方法与要求 铅锭</w:t>
      </w:r>
      <w:r>
        <w:t>》（</w:t>
      </w:r>
      <w:r>
        <w:rPr>
          <w:rFonts w:hint="eastAsia"/>
        </w:rPr>
        <w:t>2023-1429T-YS</w:t>
      </w:r>
      <w:r>
        <w:t>）</w:t>
      </w:r>
      <w:r>
        <w:rPr>
          <w:rFonts w:hint="eastAsia"/>
        </w:rPr>
        <w:t>、</w:t>
      </w:r>
      <w:r>
        <w:t>《</w:t>
      </w:r>
      <w:r>
        <w:rPr>
          <w:rFonts w:hint="eastAsia"/>
        </w:rPr>
        <w:t>温室气体 产品碳足迹量化方法与要求 锌锭</w:t>
      </w:r>
      <w:r>
        <w:t>》（</w:t>
      </w:r>
      <w:r>
        <w:rPr>
          <w:rFonts w:hint="eastAsia"/>
        </w:rPr>
        <w:t>2023-1430T-YS</w:t>
      </w:r>
      <w:r>
        <w:t>）</w:t>
      </w:r>
      <w:r>
        <w:rPr>
          <w:rFonts w:hint="eastAsia"/>
        </w:rPr>
        <w:t>,</w:t>
      </w:r>
      <w:r>
        <w:t>已立项编制的</w:t>
      </w:r>
      <w:r>
        <w:rPr>
          <w:rFonts w:hint="eastAsia"/>
        </w:rPr>
        <w:t>有色团体</w:t>
      </w:r>
      <w:r>
        <w:t>标准有：《</w:t>
      </w:r>
      <w:r>
        <w:rPr>
          <w:rFonts w:hint="eastAsia"/>
        </w:rPr>
        <w:t>温室气体 产品碳足迹量化方法与要求 工业硅</w:t>
      </w:r>
      <w:r>
        <w:t>》（</w:t>
      </w:r>
      <w:r>
        <w:rPr>
          <w:rFonts w:hint="eastAsia"/>
        </w:rPr>
        <w:t>2024-041-T/CNIA</w:t>
      </w:r>
      <w:r>
        <w:t>）</w:t>
      </w:r>
      <w:r>
        <w:rPr>
          <w:rFonts w:hint="eastAsia"/>
        </w:rPr>
        <w:t>等</w:t>
      </w:r>
      <w:r>
        <w:t>，上述标准均可为本标准的制定提供参考。</w:t>
      </w:r>
    </w:p>
    <w:bookmarkEnd w:id="59"/>
    <w:p w14:paraId="537ED39E">
      <w:pPr>
        <w:pStyle w:val="35"/>
        <w:numPr>
          <w:ilvl w:val="0"/>
          <w:numId w:val="1"/>
        </w:numPr>
        <w:tabs>
          <w:tab w:val="left" w:pos="420"/>
          <w:tab w:val="clear" w:pos="0"/>
        </w:tabs>
        <w:spacing w:before="156" w:after="156" w:line="276" w:lineRule="auto"/>
      </w:pPr>
      <w:bookmarkStart w:id="61" w:name="_Toc23736"/>
      <w:bookmarkStart w:id="62" w:name="_Toc21180"/>
      <w:bookmarkStart w:id="63" w:name="_Toc10924"/>
      <w:bookmarkStart w:id="64" w:name="_Toc59059082"/>
      <w:bookmarkStart w:id="65" w:name="_Toc28358"/>
      <w:bookmarkStart w:id="66" w:name="_Toc3860"/>
      <w:bookmarkStart w:id="67" w:name="_Toc11568"/>
      <w:bookmarkStart w:id="68" w:name="_Toc15020"/>
      <w:bookmarkStart w:id="69" w:name="_Toc36132044"/>
      <w:bookmarkStart w:id="70" w:name="_Toc5003"/>
      <w:bookmarkStart w:id="71" w:name="_Toc1061"/>
      <w:bookmarkStart w:id="72" w:name="_Toc25858"/>
      <w:bookmarkStart w:id="73" w:name="_Toc13818"/>
      <w:bookmarkStart w:id="74" w:name="_Toc222553790"/>
      <w:bookmarkStart w:id="75" w:name="_Toc251577422"/>
      <w:bookmarkStart w:id="76" w:name="_Toc242585748"/>
      <w:r>
        <w:t>编制原则及标准的主要技术内容说明</w:t>
      </w:r>
      <w:bookmarkEnd w:id="61"/>
      <w:bookmarkEnd w:id="62"/>
      <w:bookmarkEnd w:id="63"/>
      <w:bookmarkEnd w:id="64"/>
      <w:bookmarkEnd w:id="65"/>
      <w:bookmarkEnd w:id="66"/>
      <w:bookmarkEnd w:id="67"/>
      <w:bookmarkEnd w:id="68"/>
      <w:bookmarkEnd w:id="69"/>
      <w:bookmarkEnd w:id="70"/>
      <w:bookmarkEnd w:id="71"/>
      <w:bookmarkEnd w:id="72"/>
      <w:bookmarkEnd w:id="73"/>
      <w:r>
        <w:t xml:space="preserve"> </w:t>
      </w:r>
    </w:p>
    <w:p w14:paraId="438946AA">
      <w:pPr>
        <w:pStyle w:val="35"/>
        <w:numPr>
          <w:ilvl w:val="1"/>
          <w:numId w:val="1"/>
        </w:numPr>
        <w:spacing w:before="156" w:after="156" w:line="276" w:lineRule="auto"/>
        <w:outlineLvl w:val="1"/>
      </w:pPr>
      <w:bookmarkStart w:id="77" w:name="_Toc59059083"/>
      <w:bookmarkStart w:id="78" w:name="_Toc16478"/>
      <w:bookmarkStart w:id="79" w:name="_Toc26526"/>
      <w:bookmarkStart w:id="80" w:name="_Toc3842"/>
      <w:bookmarkStart w:id="81" w:name="_Toc36132045"/>
      <w:bookmarkStart w:id="82" w:name="_Toc25706"/>
      <w:bookmarkStart w:id="83" w:name="_Toc22513"/>
      <w:bookmarkStart w:id="84" w:name="_Toc31104"/>
      <w:bookmarkStart w:id="85" w:name="_Toc10475"/>
      <w:bookmarkStart w:id="86" w:name="_Toc31868"/>
      <w:bookmarkStart w:id="87" w:name="_Toc1357"/>
      <w:bookmarkStart w:id="88" w:name="_Toc9678"/>
      <w:r>
        <w:t>本标准的编制原则</w:t>
      </w:r>
      <w:bookmarkEnd w:id="77"/>
      <w:bookmarkEnd w:id="78"/>
      <w:bookmarkEnd w:id="79"/>
      <w:bookmarkEnd w:id="80"/>
      <w:bookmarkEnd w:id="81"/>
      <w:bookmarkEnd w:id="82"/>
      <w:bookmarkEnd w:id="83"/>
      <w:bookmarkEnd w:id="84"/>
      <w:bookmarkEnd w:id="85"/>
      <w:bookmarkEnd w:id="86"/>
      <w:bookmarkEnd w:id="87"/>
      <w:bookmarkEnd w:id="88"/>
    </w:p>
    <w:p w14:paraId="0468C1AD">
      <w:pPr>
        <w:spacing w:line="360" w:lineRule="auto"/>
        <w:ind w:firstLine="420" w:firstLineChars="200"/>
      </w:pPr>
      <w:r>
        <w:t>遵循标准编制先进性、科学性、一致性和可行性的原则。在编制过程中以GB/T 1.1-2020《标准化工作导则 第1部分：标准化文件的结构和起草规则》为指导，在符合国家现行法律、法规的前提下，本文件依据GB/T 24067-2024《温室气体 产品碳足迹 量化要求和指南》编制。</w:t>
      </w:r>
    </w:p>
    <w:p w14:paraId="41DABC20">
      <w:pPr>
        <w:spacing w:line="360" w:lineRule="auto"/>
        <w:ind w:firstLine="420" w:firstLineChars="200"/>
      </w:pPr>
      <w:r>
        <w:t>依据生命周期评价方法，考虑到</w:t>
      </w:r>
      <w:r>
        <w:rPr>
          <w:rFonts w:hint="eastAsia"/>
        </w:rPr>
        <w:t>硅多晶</w:t>
      </w:r>
      <w:r>
        <w:t>产品的整个生命周期，从设计开发、原材料获取、生产等阶段，深入分析各阶段的对全球变暖的影响，将分析结果作为碳足迹目的和范围划分的重要参考依据，以体现标准的系统性、科学性和可操作性。</w:t>
      </w:r>
    </w:p>
    <w:p w14:paraId="7F6FECE4">
      <w:pPr>
        <w:pStyle w:val="35"/>
        <w:numPr>
          <w:ilvl w:val="1"/>
          <w:numId w:val="1"/>
        </w:numPr>
        <w:spacing w:before="156" w:after="156" w:line="276" w:lineRule="auto"/>
        <w:outlineLvl w:val="1"/>
      </w:pPr>
      <w:bookmarkStart w:id="89" w:name="_Toc26861"/>
      <w:bookmarkStart w:id="90" w:name="_Toc23302"/>
      <w:bookmarkStart w:id="91" w:name="_Toc15789"/>
      <w:bookmarkStart w:id="92" w:name="_Toc25624"/>
      <w:bookmarkStart w:id="93" w:name="_Toc32128"/>
      <w:bookmarkStart w:id="94" w:name="_Toc59059084"/>
      <w:bookmarkStart w:id="95" w:name="_Toc1215"/>
      <w:bookmarkStart w:id="96" w:name="_Toc36132046"/>
      <w:bookmarkStart w:id="97" w:name="_Toc18901"/>
      <w:bookmarkStart w:id="98" w:name="_Toc30010"/>
      <w:bookmarkStart w:id="99" w:name="_Toc4516"/>
      <w:bookmarkStart w:id="100" w:name="_Toc3769"/>
      <w:r>
        <w:t>标准的主要内容及说明</w:t>
      </w:r>
      <w:bookmarkEnd w:id="89"/>
      <w:bookmarkEnd w:id="90"/>
      <w:bookmarkEnd w:id="91"/>
      <w:bookmarkEnd w:id="92"/>
      <w:bookmarkEnd w:id="93"/>
      <w:bookmarkEnd w:id="94"/>
      <w:bookmarkEnd w:id="95"/>
      <w:bookmarkEnd w:id="96"/>
      <w:bookmarkEnd w:id="97"/>
      <w:bookmarkEnd w:id="98"/>
      <w:bookmarkEnd w:id="99"/>
      <w:bookmarkEnd w:id="100"/>
      <w:r>
        <w:t xml:space="preserve"> </w:t>
      </w:r>
    </w:p>
    <w:p w14:paraId="03DFDBCC">
      <w:pPr>
        <w:pStyle w:val="35"/>
        <w:numPr>
          <w:ilvl w:val="2"/>
          <w:numId w:val="1"/>
        </w:numPr>
        <w:spacing w:before="156" w:after="156" w:line="276" w:lineRule="auto"/>
        <w:outlineLvl w:val="2"/>
      </w:pPr>
      <w:bookmarkStart w:id="101" w:name="_Toc59059085"/>
      <w:bookmarkStart w:id="102" w:name="_Toc12924"/>
      <w:bookmarkStart w:id="103" w:name="_Toc28940"/>
      <w:bookmarkStart w:id="104" w:name="_Toc23204"/>
      <w:bookmarkStart w:id="105" w:name="_Toc9772"/>
      <w:bookmarkStart w:id="106" w:name="_Toc23118"/>
      <w:bookmarkStart w:id="107" w:name="_Toc12393"/>
      <w:bookmarkStart w:id="108" w:name="_Toc16559"/>
      <w:bookmarkStart w:id="109" w:name="_Toc31589"/>
      <w:bookmarkStart w:id="110" w:name="_Toc30311"/>
      <w:bookmarkStart w:id="111" w:name="_Toc2186"/>
      <w:r>
        <w:t>范围</w:t>
      </w:r>
      <w:bookmarkEnd w:id="101"/>
      <w:bookmarkEnd w:id="102"/>
      <w:bookmarkEnd w:id="103"/>
      <w:bookmarkEnd w:id="104"/>
      <w:bookmarkEnd w:id="105"/>
      <w:bookmarkEnd w:id="106"/>
      <w:bookmarkEnd w:id="107"/>
      <w:bookmarkEnd w:id="108"/>
      <w:bookmarkEnd w:id="109"/>
      <w:bookmarkEnd w:id="110"/>
      <w:bookmarkEnd w:id="111"/>
    </w:p>
    <w:p w14:paraId="3DFFC30D">
      <w:pPr>
        <w:autoSpaceDE w:val="0"/>
        <w:autoSpaceDN w:val="0"/>
        <w:adjustRightInd w:val="0"/>
        <w:spacing w:line="360" w:lineRule="auto"/>
        <w:ind w:firstLine="420" w:firstLineChars="200"/>
        <w:rPr>
          <w:color w:val="000000"/>
          <w:kern w:val="0"/>
          <w:szCs w:val="21"/>
        </w:rPr>
      </w:pPr>
      <w:bookmarkStart w:id="112" w:name="_Toc42087772"/>
      <w:r>
        <w:rPr>
          <w:color w:val="000000"/>
          <w:kern w:val="0"/>
          <w:szCs w:val="21"/>
        </w:rPr>
        <w:t>为了更准确的界定</w:t>
      </w:r>
      <w:r>
        <w:rPr>
          <w:rFonts w:hint="eastAsia"/>
          <w:color w:val="000000"/>
          <w:kern w:val="0"/>
          <w:szCs w:val="21"/>
        </w:rPr>
        <w:t>硅多晶</w:t>
      </w:r>
      <w:r>
        <w:rPr>
          <w:color w:val="000000"/>
          <w:kern w:val="0"/>
          <w:szCs w:val="21"/>
        </w:rPr>
        <w:t>行业碳足迹量化的应用范围以及本文件的适用范围，在标准制订过程中，标准起草组查阅了现有发布和已立项的相关标准，确认本文件的使用范围：适用于</w:t>
      </w:r>
      <w:r>
        <w:rPr>
          <w:rFonts w:hint="eastAsia"/>
          <w:szCs w:val="21"/>
        </w:rPr>
        <w:t>硅多晶</w:t>
      </w:r>
      <w:r>
        <w:rPr>
          <w:szCs w:val="21"/>
        </w:rPr>
        <w:t>的产品碳足迹</w:t>
      </w:r>
      <w:r>
        <w:rPr>
          <w:rFonts w:hint="eastAsia"/>
          <w:szCs w:val="21"/>
        </w:rPr>
        <w:t>量化与评价</w:t>
      </w:r>
      <w:r>
        <w:rPr>
          <w:color w:val="000000"/>
          <w:kern w:val="0"/>
          <w:szCs w:val="21"/>
        </w:rPr>
        <w:t>。</w:t>
      </w:r>
    </w:p>
    <w:p w14:paraId="17EAAE6E">
      <w:pPr>
        <w:pStyle w:val="35"/>
        <w:numPr>
          <w:ilvl w:val="2"/>
          <w:numId w:val="1"/>
        </w:numPr>
        <w:spacing w:before="156" w:after="156" w:line="276" w:lineRule="auto"/>
        <w:outlineLvl w:val="2"/>
      </w:pPr>
      <w:bookmarkStart w:id="113" w:name="_Toc20940"/>
      <w:bookmarkStart w:id="114" w:name="_Toc6220"/>
      <w:bookmarkStart w:id="115" w:name="_Toc12825"/>
      <w:bookmarkStart w:id="116" w:name="_Toc19894"/>
      <w:bookmarkStart w:id="117" w:name="_Toc13914"/>
      <w:bookmarkStart w:id="118" w:name="_Toc31440"/>
      <w:bookmarkStart w:id="119" w:name="_Toc59059086"/>
      <w:bookmarkStart w:id="120" w:name="_Toc16762"/>
      <w:bookmarkStart w:id="121" w:name="_Toc2233"/>
      <w:bookmarkStart w:id="122" w:name="_Toc31069"/>
      <w:bookmarkStart w:id="123" w:name="_Toc9638"/>
      <w:r>
        <w:t>规范性引用文件</w:t>
      </w:r>
      <w:bookmarkEnd w:id="113"/>
    </w:p>
    <w:p w14:paraId="21326A3C">
      <w:pPr>
        <w:spacing w:line="360" w:lineRule="auto"/>
        <w:ind w:firstLine="420" w:firstLineChars="200"/>
      </w:pPr>
      <w:r>
        <w:t>给出了本文件引用的相关标准、文件名称及文号，凡不注日期的引用文件，其有效版本适用与本文件。</w:t>
      </w:r>
    </w:p>
    <w:p w14:paraId="26224316">
      <w:pPr>
        <w:spacing w:line="360" w:lineRule="auto"/>
        <w:ind w:firstLine="420" w:firstLineChars="200"/>
      </w:pPr>
      <w:r>
        <w:t>本文件引用文件除国家标准外，还引用了部分行业标准以及参考了行业协会发布的文件等资料：</w:t>
      </w:r>
    </w:p>
    <w:p w14:paraId="0B745AD1">
      <w:pPr>
        <w:spacing w:line="360" w:lineRule="auto"/>
        <w:ind w:firstLine="420" w:firstLineChars="200"/>
      </w:pPr>
      <w:r>
        <w:t>GB/T 24067-2024 温室气体 产品碳足迹 量化要求和指南</w:t>
      </w:r>
    </w:p>
    <w:p w14:paraId="09CCC3C5">
      <w:pPr>
        <w:spacing w:line="360" w:lineRule="auto"/>
        <w:ind w:firstLine="420" w:firstLineChars="200"/>
      </w:pPr>
      <w:r>
        <w:t>ISO/TS 14071 环境管理 生命周期评价 鉴定性评审过程和评审员能力：ISO 14044:2006 的附加要求和 指 南 (Environmental management-Life cycle assessment - Critical review processes and reviewer competencies: Additional requirements and guidelines to ISO 14044:2006)</w:t>
      </w:r>
    </w:p>
    <w:p w14:paraId="0F7F06C1">
      <w:pPr>
        <w:pStyle w:val="35"/>
        <w:numPr>
          <w:ilvl w:val="2"/>
          <w:numId w:val="1"/>
        </w:numPr>
        <w:spacing w:before="156" w:after="156" w:line="276" w:lineRule="auto"/>
        <w:outlineLvl w:val="2"/>
      </w:pPr>
      <w:bookmarkStart w:id="124" w:name="_Toc26956"/>
      <w:r>
        <w:t>术语和定义</w:t>
      </w:r>
      <w:bookmarkEnd w:id="112"/>
      <w:bookmarkEnd w:id="114"/>
      <w:bookmarkEnd w:id="115"/>
      <w:bookmarkEnd w:id="116"/>
      <w:bookmarkEnd w:id="117"/>
      <w:bookmarkEnd w:id="118"/>
      <w:bookmarkEnd w:id="119"/>
      <w:bookmarkEnd w:id="120"/>
      <w:bookmarkEnd w:id="121"/>
      <w:bookmarkEnd w:id="122"/>
      <w:bookmarkEnd w:id="123"/>
      <w:bookmarkEnd w:id="124"/>
    </w:p>
    <w:p w14:paraId="1732D7B5">
      <w:pPr>
        <w:spacing w:line="360" w:lineRule="auto"/>
        <w:ind w:firstLine="420" w:firstLineChars="200"/>
      </w:pPr>
      <w:r>
        <w:t>在充分考虑本标准适用范围以及参考其他相关标准定义的基础上给出本标准的术语和定义。</w:t>
      </w:r>
    </w:p>
    <w:p w14:paraId="1489FA12">
      <w:pPr>
        <w:spacing w:line="360" w:lineRule="auto"/>
        <w:ind w:firstLine="420" w:firstLineChars="200"/>
      </w:pPr>
      <w:r>
        <w:t>参考国家现行相关标准，对产品碳足迹、产品种类规则、温室气体、二氧化碳当量等关键性术语作相关定义。使标准的使用者更为便捷的获取其含义。主要术语和定义来自于以下标准：</w:t>
      </w:r>
      <w:r>
        <w:rPr>
          <w:szCs w:val="21"/>
        </w:rPr>
        <w:t>GB/T</w:t>
      </w:r>
      <w:r>
        <w:rPr>
          <w:rFonts w:hint="eastAsia"/>
          <w:szCs w:val="21"/>
        </w:rPr>
        <w:t xml:space="preserve"> 18259</w:t>
      </w:r>
      <w:r>
        <w:rPr>
          <w:szCs w:val="21"/>
        </w:rPr>
        <w:t>、</w:t>
      </w:r>
      <w:r>
        <w:rPr>
          <w:rFonts w:hint="eastAsia"/>
          <w:szCs w:val="21"/>
        </w:rPr>
        <w:t>GB/T 35601</w:t>
      </w:r>
      <w:r>
        <w:rPr>
          <w:szCs w:val="21"/>
        </w:rPr>
        <w:t>和</w:t>
      </w:r>
      <w:r>
        <w:t>GB/T 24067-2024。</w:t>
      </w:r>
    </w:p>
    <w:p w14:paraId="0C4B4AAD">
      <w:pPr>
        <w:pStyle w:val="35"/>
        <w:numPr>
          <w:ilvl w:val="2"/>
          <w:numId w:val="1"/>
        </w:numPr>
        <w:spacing w:before="156" w:after="156" w:line="276" w:lineRule="auto"/>
        <w:outlineLvl w:val="2"/>
      </w:pPr>
      <w:bookmarkStart w:id="125" w:name="_Toc17107"/>
      <w:r>
        <w:t>量化目的</w:t>
      </w:r>
      <w:bookmarkEnd w:id="125"/>
    </w:p>
    <w:p w14:paraId="3F7C82EC">
      <w:pPr>
        <w:spacing w:line="360" w:lineRule="auto"/>
        <w:ind w:firstLine="420" w:firstLineChars="200"/>
      </w:pPr>
      <w:r>
        <w:t>依据GB/T 24040中规定的生命周期评价方法，其框架包括目的与范围的确定（goal and scope definition）、清单分析（inventory analysis）、影响评价（impact assessment）和结果解释（life cycle interpretation）。碳足迹量化基于生命周期评价方法，因此，在总则中规定了碳足迹量化的实施步骤。</w:t>
      </w:r>
    </w:p>
    <w:p w14:paraId="26B77ACB">
      <w:pPr>
        <w:spacing w:line="360" w:lineRule="auto"/>
        <w:ind w:firstLine="420" w:firstLineChars="200"/>
      </w:pPr>
      <w:r>
        <w:t>目的与范围的确定是生命周期评价中的第一步，也是至为重要的一步，其重要性在于它决定为何要进行某项生命周期评价（包括对其结果的应用意图），并表述所要研究的系统和数据类型。研究的目的、范围和应用意图涉及研究的地域广度、时间跨度和所需数据的质量等因素，它们将影响研究的方向和深度。</w:t>
      </w:r>
    </w:p>
    <w:p w14:paraId="67EE762A">
      <w:pPr>
        <w:spacing w:line="360" w:lineRule="auto"/>
        <w:ind w:firstLine="420" w:firstLineChars="200"/>
      </w:pPr>
      <w:r>
        <w:t>LCA研究目的中须明确陈述其应用意图，开展该项研究的理由以及它的使用对象，即研究结果的接收者或预期交流对象。本标准旨在从生命周期的角度出发，对</w:t>
      </w:r>
      <w:r>
        <w:rPr>
          <w:rFonts w:hint="eastAsia"/>
        </w:rPr>
        <w:t>硅多晶</w:t>
      </w:r>
      <w:r>
        <w:t>产品的温室气体排放量和清除量进行量化评估，以二氧化碳当量（CO</w:t>
      </w:r>
      <w:r>
        <w:rPr>
          <w:vertAlign w:val="subscript"/>
        </w:rPr>
        <w:t>2</w:t>
      </w:r>
      <w:r>
        <w:t>e）表示，进而评价这些产品在气候变化方面的潜在影响。产品碳足迹目的可包括：</w:t>
      </w:r>
    </w:p>
    <w:p w14:paraId="423820D8">
      <w:pPr>
        <w:spacing w:line="360" w:lineRule="auto"/>
        <w:ind w:firstLine="420" w:firstLineChars="200"/>
      </w:pPr>
      <w:r>
        <w:t>a) 促进生产者与上下游供应链以及消费者之间就温室气体排放进行有效的信息沟通，提高透明度；</w:t>
      </w:r>
    </w:p>
    <w:p w14:paraId="7E50D468">
      <w:pPr>
        <w:spacing w:line="360" w:lineRule="auto"/>
        <w:ind w:firstLine="420" w:firstLineChars="200"/>
      </w:pPr>
      <w:r>
        <w:t>b) 指导生产者在产品设计和制造过程中采取措施，以降低产品的碳足迹，推动实现更加环保和可持续的生产方式。</w:t>
      </w:r>
    </w:p>
    <w:p w14:paraId="7DF1A718">
      <w:pPr>
        <w:pStyle w:val="35"/>
        <w:numPr>
          <w:ilvl w:val="2"/>
          <w:numId w:val="1"/>
        </w:numPr>
        <w:spacing w:before="156" w:after="156" w:line="276" w:lineRule="auto"/>
        <w:outlineLvl w:val="2"/>
      </w:pPr>
      <w:bookmarkStart w:id="126" w:name="_Toc20830"/>
      <w:r>
        <w:t>量化范围</w:t>
      </w:r>
      <w:bookmarkEnd w:id="126"/>
    </w:p>
    <w:p w14:paraId="3AA433BD">
      <w:pPr>
        <w:pStyle w:val="32"/>
        <w:spacing w:line="360" w:lineRule="auto"/>
        <w:ind w:firstLine="315" w:firstLineChars="150"/>
        <w:rPr>
          <w:rFonts w:ascii="Times New Roman"/>
          <w:kern w:val="2"/>
          <w:szCs w:val="24"/>
        </w:rPr>
      </w:pPr>
      <w:bookmarkStart w:id="127" w:name="_Toc436234466"/>
      <w:bookmarkStart w:id="128" w:name="_Toc459106415"/>
      <w:bookmarkStart w:id="129" w:name="_Toc462063258"/>
      <w:r>
        <w:rPr>
          <w:rFonts w:ascii="Times New Roman"/>
          <w:kern w:val="2"/>
          <w:szCs w:val="24"/>
        </w:rPr>
        <w:t>LCA的范围根据为评价所确定的目标，在确定生命周期评价研究范围时需要分析的因素主要有：研究范围的修改及论证、功能、功能单位、系统边界、数据类型、输入输出初步选择准则、数据质量要求等。</w:t>
      </w:r>
    </w:p>
    <w:p w14:paraId="4861A26A">
      <w:pPr>
        <w:pStyle w:val="32"/>
        <w:spacing w:line="360" w:lineRule="auto"/>
        <w:ind w:firstLine="315" w:firstLineChars="150"/>
        <w:rPr>
          <w:rFonts w:ascii="Times New Roman"/>
          <w:kern w:val="2"/>
          <w:szCs w:val="24"/>
        </w:rPr>
      </w:pPr>
      <w:r>
        <w:rPr>
          <w:rFonts w:ascii="Times New Roman"/>
          <w:kern w:val="2"/>
          <w:szCs w:val="24"/>
        </w:rPr>
        <w:t>因此，本文件应按照GB/T 24044-2008中4.2的要求确定建材产品生命周期评价的目的和范围。同时，产品生命周期评价用于进行比较研究时，应基于系统的可比性确定研究范围，并应在解释结果之前评价被比较产品系统在清单分析和影响评价阶段是否采用相同的功能单位和等同的方法学（如系统边界、数据质量、分配程序等）。任何参数的差异都应识别并报告。</w:t>
      </w:r>
    </w:p>
    <w:p w14:paraId="64A0A4A8">
      <w:pPr>
        <w:pStyle w:val="32"/>
        <w:spacing w:line="360" w:lineRule="auto"/>
        <w:ind w:firstLine="0" w:firstLineChars="0"/>
        <w:rPr>
          <w:rFonts w:ascii="Times New Roman"/>
          <w:kern w:val="2"/>
          <w:szCs w:val="24"/>
        </w:rPr>
      </w:pPr>
      <w:r>
        <w:rPr>
          <w:rFonts w:ascii="Times New Roman"/>
          <w:kern w:val="2"/>
          <w:szCs w:val="24"/>
        </w:rPr>
        <w:t>（1）系统边界</w:t>
      </w:r>
    </w:p>
    <w:p w14:paraId="01D9AD4F">
      <w:pPr>
        <w:pStyle w:val="32"/>
        <w:spacing w:line="360" w:lineRule="auto"/>
        <w:rPr>
          <w:rFonts w:ascii="Times New Roman"/>
          <w:kern w:val="2"/>
          <w:szCs w:val="24"/>
        </w:rPr>
      </w:pPr>
      <w:r>
        <w:rPr>
          <w:rFonts w:ascii="Times New Roman"/>
          <w:kern w:val="2"/>
          <w:szCs w:val="24"/>
        </w:rPr>
        <w:t>确定系统边界，即确定要纳入到模型化系统的单元过程。本文件依据GB/T 24067-2024中产品碳足迹和产品部分碳足迹的规定，将</w:t>
      </w:r>
      <w:r>
        <w:rPr>
          <w:rFonts w:hint="eastAsia" w:ascii="Times New Roman"/>
          <w:kern w:val="2"/>
          <w:szCs w:val="24"/>
        </w:rPr>
        <w:t>硅多晶</w:t>
      </w:r>
      <w:r>
        <w:rPr>
          <w:rFonts w:ascii="Times New Roman"/>
          <w:kern w:val="2"/>
          <w:szCs w:val="24"/>
        </w:rPr>
        <w:t>的系统边界界定为原材料</w:t>
      </w:r>
      <w:r>
        <w:rPr>
          <w:rFonts w:hint="eastAsia" w:ascii="Times New Roman"/>
          <w:kern w:val="2"/>
          <w:szCs w:val="24"/>
        </w:rPr>
        <w:t>和能源获取</w:t>
      </w:r>
      <w:r>
        <w:rPr>
          <w:rFonts w:ascii="Times New Roman"/>
          <w:kern w:val="2"/>
          <w:szCs w:val="24"/>
        </w:rPr>
        <w:t>阶段、原材料</w:t>
      </w:r>
      <w:r>
        <w:rPr>
          <w:rFonts w:hint="eastAsia" w:ascii="Times New Roman"/>
          <w:kern w:val="2"/>
          <w:szCs w:val="24"/>
        </w:rPr>
        <w:t>和能源运输阶段、</w:t>
      </w:r>
      <w:r>
        <w:rPr>
          <w:rFonts w:ascii="Times New Roman"/>
          <w:kern w:val="2"/>
          <w:szCs w:val="24"/>
        </w:rPr>
        <w:t>生产阶段。</w:t>
      </w:r>
    </w:p>
    <w:p w14:paraId="16DA4EDF">
      <w:pPr>
        <w:pStyle w:val="32"/>
        <w:spacing w:line="360" w:lineRule="auto"/>
        <w:ind w:firstLine="0" w:firstLineChars="0"/>
        <w:jc w:val="center"/>
        <w:rPr>
          <w:rFonts w:ascii="Times New Roman"/>
        </w:rPr>
      </w:pPr>
      <w:r>
        <w:rPr>
          <w:rFonts w:ascii="Times New Roman"/>
        </w:rPr>
        <w:t>图</w:t>
      </w:r>
      <w:r>
        <w:rPr>
          <w:rFonts w:hint="eastAsia" w:ascii="Times New Roman"/>
        </w:rPr>
        <w:t>1 改良西门子法硅多晶产品生命周期系统边界图</w:t>
      </w:r>
    </w:p>
    <w:p w14:paraId="541B3A4A">
      <w:pPr>
        <w:jc w:val="center"/>
      </w:pPr>
      <w:r>
        <w:object>
          <v:shape id="_x0000_i1025" o:spt="75" type="#_x0000_t75" style="height:276.3pt;width:422.2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14:paraId="1FE65BB3">
      <w:pPr>
        <w:pStyle w:val="32"/>
        <w:spacing w:line="360" w:lineRule="auto"/>
        <w:ind w:firstLine="0" w:firstLineChars="0"/>
        <w:jc w:val="center"/>
        <w:rPr>
          <w:rFonts w:ascii="Times New Roman"/>
        </w:rPr>
      </w:pPr>
    </w:p>
    <w:p w14:paraId="5835A9FE">
      <w:pPr>
        <w:pStyle w:val="32"/>
        <w:spacing w:line="360" w:lineRule="auto"/>
        <w:ind w:firstLine="0" w:firstLineChars="0"/>
        <w:jc w:val="center"/>
        <w:rPr>
          <w:rFonts w:ascii="Times New Roman"/>
        </w:rPr>
      </w:pPr>
    </w:p>
    <w:p w14:paraId="025DFB45">
      <w:pPr>
        <w:pStyle w:val="32"/>
        <w:spacing w:line="360" w:lineRule="auto"/>
        <w:ind w:firstLine="0" w:firstLineChars="0"/>
        <w:jc w:val="center"/>
        <w:rPr>
          <w:rFonts w:ascii="Times New Roman"/>
        </w:rPr>
      </w:pPr>
    </w:p>
    <w:p w14:paraId="214B8012">
      <w:pPr>
        <w:pStyle w:val="32"/>
        <w:spacing w:line="360" w:lineRule="auto"/>
        <w:ind w:firstLine="0" w:firstLineChars="0"/>
        <w:jc w:val="center"/>
        <w:rPr>
          <w:rFonts w:ascii="Times New Roman"/>
        </w:rPr>
      </w:pPr>
      <w:r>
        <w:rPr>
          <w:rFonts w:ascii="Times New Roman"/>
        </w:rPr>
        <w:t>图</w:t>
      </w:r>
      <w:r>
        <w:rPr>
          <w:rFonts w:hint="eastAsia" w:ascii="Times New Roman"/>
        </w:rPr>
        <w:t>2 流化床法硅多晶产品生命周期系统边界图</w:t>
      </w:r>
    </w:p>
    <w:p w14:paraId="12A3384B">
      <w:pPr>
        <w:jc w:val="center"/>
      </w:pPr>
      <w:r>
        <w:object>
          <v:shape id="_x0000_i1026" o:spt="75" type="#_x0000_t75" style="height:296.65pt;width:423.35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14:paraId="2BFB19C6">
      <w:pPr>
        <w:pStyle w:val="32"/>
        <w:spacing w:line="360" w:lineRule="auto"/>
        <w:ind w:firstLine="0" w:firstLineChars="0"/>
        <w:rPr>
          <w:rFonts w:ascii="Times New Roman"/>
          <w:kern w:val="2"/>
          <w:szCs w:val="24"/>
        </w:rPr>
      </w:pPr>
      <w:r>
        <w:rPr>
          <w:rFonts w:ascii="Times New Roman"/>
          <w:kern w:val="2"/>
          <w:szCs w:val="24"/>
        </w:rPr>
        <w:t>（2）声明单位</w:t>
      </w:r>
    </w:p>
    <w:p w14:paraId="5B188FE7">
      <w:pPr>
        <w:pStyle w:val="32"/>
        <w:spacing w:line="360" w:lineRule="auto"/>
        <w:ind w:firstLine="315" w:firstLineChars="150"/>
        <w:rPr>
          <w:rFonts w:ascii="Times New Roman"/>
          <w:kern w:val="2"/>
          <w:szCs w:val="24"/>
        </w:rPr>
      </w:pPr>
      <w:r>
        <w:rPr>
          <w:rFonts w:ascii="Times New Roman"/>
          <w:kern w:val="2"/>
          <w:szCs w:val="24"/>
        </w:rPr>
        <w:t>由于LCA方法是一种基于定量计算的评价方法，所以产品系统各方面情况的描述就需要以一定的功能为基准，是对产品系统输出功能的量度，关系到环境清单数据的具体数值。</w:t>
      </w:r>
    </w:p>
    <w:p w14:paraId="58557BFD">
      <w:pPr>
        <w:pStyle w:val="32"/>
        <w:spacing w:line="360" w:lineRule="auto"/>
        <w:ind w:firstLine="315" w:firstLineChars="150"/>
        <w:rPr>
          <w:rFonts w:ascii="Times New Roman"/>
          <w:kern w:val="2"/>
          <w:szCs w:val="24"/>
        </w:rPr>
      </w:pPr>
      <w:r>
        <w:rPr>
          <w:rFonts w:hint="eastAsia" w:ascii="Times New Roman"/>
          <w:kern w:val="2"/>
          <w:szCs w:val="24"/>
        </w:rPr>
        <w:t>由于硅多晶产品为光伏产业和半导体产业原料，位于供应链上游。</w:t>
      </w:r>
      <w:r>
        <w:rPr>
          <w:rFonts w:hint="eastAsia" w:ascii="Times New Roman"/>
        </w:rPr>
        <w:t>因此，系统边界为“摇篮到大门”，</w:t>
      </w:r>
      <w:r>
        <w:rPr>
          <w:rFonts w:hint="eastAsia" w:ascii="Times New Roman"/>
          <w:kern w:val="2"/>
          <w:szCs w:val="24"/>
        </w:rPr>
        <w:t>且采用</w:t>
      </w:r>
      <w:r>
        <w:rPr>
          <w:rFonts w:ascii="Times New Roman"/>
          <w:kern w:val="2"/>
          <w:szCs w:val="24"/>
        </w:rPr>
        <w:t>声明单位</w:t>
      </w:r>
      <w:r>
        <w:rPr>
          <w:rFonts w:hint="eastAsia" w:ascii="Times New Roman"/>
          <w:kern w:val="2"/>
          <w:szCs w:val="24"/>
        </w:rPr>
        <w:t>，其</w:t>
      </w:r>
      <w:r>
        <w:rPr>
          <w:rFonts w:ascii="Times New Roman"/>
          <w:kern w:val="2"/>
          <w:szCs w:val="24"/>
        </w:rPr>
        <w:t>选择应与研究目的和范围保持一致，为输入和输出数据的归一化提供基准。</w:t>
      </w:r>
    </w:p>
    <w:p w14:paraId="62828867">
      <w:pPr>
        <w:spacing w:line="360" w:lineRule="auto"/>
        <w:rPr>
          <w:color w:val="000000"/>
          <w:kern w:val="0"/>
          <w:szCs w:val="21"/>
        </w:rPr>
      </w:pPr>
      <w:r>
        <w:rPr>
          <w:color w:val="000000"/>
          <w:kern w:val="0"/>
          <w:szCs w:val="21"/>
        </w:rPr>
        <w:t>（3）取舍准则</w:t>
      </w:r>
    </w:p>
    <w:p w14:paraId="44B7BC0C">
      <w:pPr>
        <w:spacing w:line="360" w:lineRule="auto"/>
        <w:ind w:firstLine="420" w:firstLineChars="200"/>
        <w:rPr>
          <w:color w:val="000000"/>
          <w:kern w:val="0"/>
          <w:szCs w:val="21"/>
        </w:rPr>
      </w:pPr>
      <w:r>
        <w:rPr>
          <w:color w:val="000000"/>
          <w:kern w:val="0"/>
          <w:szCs w:val="21"/>
        </w:rPr>
        <w:t>反复性是LCA的固有特性，必须根据由敏感性分析所判定的数据重要性来决定数据的取舍。初始产品系统边界必须依据确定范围时规定的边界准则进行适当的修改。</w:t>
      </w:r>
    </w:p>
    <w:p w14:paraId="57B5F006">
      <w:pPr>
        <w:spacing w:line="360" w:lineRule="auto"/>
        <w:ind w:firstLine="420" w:firstLineChars="200"/>
        <w:rPr>
          <w:color w:val="000000"/>
          <w:kern w:val="0"/>
          <w:szCs w:val="21"/>
        </w:rPr>
      </w:pPr>
      <w:r>
        <w:rPr>
          <w:color w:val="000000"/>
          <w:kern w:val="0"/>
          <w:szCs w:val="21"/>
        </w:rPr>
        <w:t>因此，本文件规定，依据本文件编制相应产品生命周期评价技术规范，应对输入输出的取舍准则作出规定。同时，输入输出的取舍准则应在产品生命周期评价报告中明确说明。除此之外，产品生命周期评价报告中所涉及的物质（能量）数据的取舍应遵循如下准则：</w:t>
      </w:r>
    </w:p>
    <w:p w14:paraId="79C603F2">
      <w:pPr>
        <w:spacing w:line="360" w:lineRule="auto"/>
        <w:ind w:firstLine="420" w:firstLineChars="200"/>
        <w:rPr>
          <w:color w:val="000000"/>
          <w:kern w:val="0"/>
          <w:szCs w:val="21"/>
        </w:rPr>
      </w:pPr>
      <w:r>
        <w:rPr>
          <w:color w:val="000000"/>
          <w:kern w:val="0"/>
          <w:szCs w:val="21"/>
        </w:rPr>
        <w:t>a)应包含所有能源输入，包括使用的含能废弃物；</w:t>
      </w:r>
    </w:p>
    <w:p w14:paraId="3C925F17">
      <w:pPr>
        <w:spacing w:line="360" w:lineRule="auto"/>
        <w:ind w:firstLine="420" w:firstLineChars="200"/>
        <w:rPr>
          <w:color w:val="000000"/>
          <w:kern w:val="0"/>
          <w:szCs w:val="21"/>
        </w:rPr>
      </w:pPr>
      <w:r>
        <w:rPr>
          <w:color w:val="000000"/>
          <w:kern w:val="0"/>
          <w:szCs w:val="21"/>
        </w:rPr>
        <w:t>b)应包含主要原材料及利废原料输入，如单项物质（能量）流或单元过程对产品碳足迹的贡献不超过1%可予以忽略，但所有忽略的物质（能量）流与单元过程对产品碳足迹的贡献总和不得超过5%。</w:t>
      </w:r>
    </w:p>
    <w:p w14:paraId="5656B8B7">
      <w:pPr>
        <w:spacing w:line="360" w:lineRule="auto"/>
        <w:ind w:firstLine="420" w:firstLineChars="200"/>
        <w:rPr>
          <w:color w:val="000000"/>
          <w:kern w:val="0"/>
          <w:szCs w:val="21"/>
        </w:rPr>
      </w:pPr>
      <w:r>
        <w:rPr>
          <w:color w:val="000000"/>
          <w:kern w:val="0"/>
          <w:szCs w:val="21"/>
        </w:rPr>
        <w:t>c)道路与厂房的基础设施、各工序的设备、厂区内人员及生活设施的消耗和排放，均忽略。</w:t>
      </w:r>
    </w:p>
    <w:bookmarkEnd w:id="127"/>
    <w:bookmarkEnd w:id="128"/>
    <w:bookmarkEnd w:id="129"/>
    <w:p w14:paraId="57F929A2">
      <w:pPr>
        <w:pStyle w:val="35"/>
        <w:numPr>
          <w:ilvl w:val="2"/>
          <w:numId w:val="1"/>
        </w:numPr>
        <w:spacing w:before="156" w:after="156" w:line="276" w:lineRule="auto"/>
        <w:outlineLvl w:val="2"/>
      </w:pPr>
      <w:bookmarkStart w:id="130" w:name="_Toc8906"/>
      <w:r>
        <w:t>清单分析</w:t>
      </w:r>
      <w:bookmarkEnd w:id="130"/>
    </w:p>
    <w:p w14:paraId="0CBF0DF0">
      <w:pPr>
        <w:spacing w:line="360" w:lineRule="auto"/>
        <w:ind w:firstLine="420" w:firstLineChars="200"/>
        <w:rPr>
          <w:color w:val="000000"/>
          <w:kern w:val="0"/>
          <w:szCs w:val="21"/>
        </w:rPr>
      </w:pPr>
      <w:r>
        <w:rPr>
          <w:color w:val="000000"/>
          <w:kern w:val="0"/>
          <w:szCs w:val="21"/>
        </w:rPr>
        <w:t>生命周期清单分析是生命周期评价中对所研究产品系统整个生命周期中输入和输出进行汇编和量化的阶段，即收集产品系统中定量或定性的输入输出数据，计算并量化的过程。后面介绍的环境影响评价阶段就是建立在清单分析的数据结果基础上的。另外，LCA实践者也可以直接从生命周期清单分析中得到评估结论，并做出解释。</w:t>
      </w:r>
    </w:p>
    <w:p w14:paraId="18865AC0">
      <w:pPr>
        <w:spacing w:line="360" w:lineRule="auto"/>
        <w:ind w:firstLine="420" w:firstLineChars="200"/>
        <w:rPr>
          <w:color w:val="000000"/>
          <w:kern w:val="0"/>
          <w:szCs w:val="21"/>
        </w:rPr>
      </w:pPr>
      <w:r>
        <w:rPr>
          <w:color w:val="000000"/>
          <w:kern w:val="0"/>
          <w:szCs w:val="21"/>
        </w:rPr>
        <w:t>清单分析的目的是对产品系统的有关输入和输出进行量化。输入和输出可包括与该系统有关的对资源的使用，以及向空气、水体和土地的排放。可根据预先确定的LCA目的和范围需要，依据上述数据做出解释。同时这些数据还是进行生命周期影响评价输入的组成部分。</w:t>
      </w:r>
    </w:p>
    <w:p w14:paraId="755431D1">
      <w:pPr>
        <w:spacing w:line="360" w:lineRule="auto"/>
        <w:ind w:firstLine="420" w:firstLineChars="200"/>
        <w:rPr>
          <w:color w:val="000000"/>
          <w:kern w:val="0"/>
          <w:szCs w:val="21"/>
        </w:rPr>
      </w:pPr>
      <w:r>
        <w:rPr>
          <w:color w:val="000000"/>
          <w:kern w:val="0"/>
          <w:szCs w:val="21"/>
        </w:rPr>
        <w:t>进行清单分析也是一个反复的过程。当取得了一批数据，并对系统有进一步的认识后，可能会出现新的数据要求，或发现原有的局限性，因而要求对数据收集程序作出修改，以适应研究目的，有时也会要求对研究目的或范围加以修改。</w:t>
      </w:r>
    </w:p>
    <w:p w14:paraId="3A08165D">
      <w:pPr>
        <w:numPr>
          <w:ilvl w:val="0"/>
          <w:numId w:val="2"/>
        </w:numPr>
        <w:spacing w:line="360" w:lineRule="auto"/>
        <w:rPr>
          <w:color w:val="000000"/>
          <w:kern w:val="0"/>
          <w:szCs w:val="21"/>
        </w:rPr>
      </w:pPr>
      <w:r>
        <w:rPr>
          <w:color w:val="000000"/>
          <w:kern w:val="0"/>
          <w:szCs w:val="21"/>
        </w:rPr>
        <w:t>数据的收集和确认</w:t>
      </w:r>
    </w:p>
    <w:p w14:paraId="634EB5F0">
      <w:pPr>
        <w:spacing w:line="360" w:lineRule="auto"/>
        <w:ind w:firstLine="420" w:firstLineChars="200"/>
        <w:rPr>
          <w:color w:val="000000"/>
          <w:kern w:val="0"/>
          <w:szCs w:val="21"/>
        </w:rPr>
      </w:pPr>
      <w:r>
        <w:rPr>
          <w:color w:val="000000"/>
          <w:kern w:val="0"/>
          <w:szCs w:val="21"/>
        </w:rPr>
        <w:t>本文件规定根据产品生命周期评价的目的，应收集包含系统边界中每一个单元过程的定性和定量数据。数据包括现场数据和次级数据；对数据的获得方式和来源均应予以说明。在采集过程中，应对缺失的数据进行合理填补，并说明数据填补方法。</w:t>
      </w:r>
    </w:p>
    <w:p w14:paraId="5DA6B551">
      <w:pPr>
        <w:spacing w:line="360" w:lineRule="auto"/>
        <w:ind w:firstLine="420" w:firstLineChars="200"/>
        <w:rPr>
          <w:color w:val="000000"/>
          <w:kern w:val="0"/>
          <w:szCs w:val="21"/>
        </w:rPr>
      </w:pPr>
      <w:r>
        <w:rPr>
          <w:color w:val="000000"/>
          <w:kern w:val="0"/>
          <w:szCs w:val="21"/>
        </w:rPr>
        <w:t>为了增加标准的实用性和适用性，文件中对</w:t>
      </w:r>
      <w:r>
        <w:rPr>
          <w:rFonts w:hint="eastAsia"/>
        </w:rPr>
        <w:t>原料和能源获取阶段、原料和能源运输阶段、硅多晶生产阶段</w:t>
      </w:r>
      <w:r>
        <w:rPr>
          <w:color w:val="000000"/>
          <w:kern w:val="0"/>
          <w:szCs w:val="21"/>
        </w:rPr>
        <w:t>中需要获取的数据项目分析进行罗列，同时规定了哪些数据应该优先采用初级数据，哪些数据可采用次级数据。</w:t>
      </w:r>
    </w:p>
    <w:p w14:paraId="5F86CB4D">
      <w:pPr>
        <w:numPr>
          <w:ilvl w:val="0"/>
          <w:numId w:val="2"/>
        </w:numPr>
        <w:spacing w:line="360" w:lineRule="auto"/>
        <w:rPr>
          <w:color w:val="000000"/>
          <w:kern w:val="0"/>
          <w:szCs w:val="21"/>
        </w:rPr>
      </w:pPr>
      <w:r>
        <w:rPr>
          <w:color w:val="000000"/>
          <w:kern w:val="0"/>
          <w:szCs w:val="21"/>
        </w:rPr>
        <w:t>数据质量要求</w:t>
      </w:r>
    </w:p>
    <w:p w14:paraId="513231DF">
      <w:pPr>
        <w:spacing w:line="360" w:lineRule="auto"/>
        <w:ind w:firstLine="420" w:firstLineChars="200"/>
        <w:rPr>
          <w:color w:val="000000"/>
          <w:kern w:val="0"/>
          <w:szCs w:val="21"/>
        </w:rPr>
      </w:pPr>
      <w:r>
        <w:rPr>
          <w:color w:val="000000"/>
          <w:kern w:val="0"/>
          <w:szCs w:val="21"/>
        </w:rPr>
        <w:t>数据质量要求是LCA评估可信度的保障。这里的数据是指在LCA评估中用到的所有定性和定量的数值或信息，这些数据可能来自测量到的环境清单数据，也可以是中间的处理结果。数据质量要求规定研究中所需数据的总体特征，这些要求须保证LCA研究的目的与范围得到满足，数据质量要求应考虑数据的时间跨度、地域广度、技术覆盖面、准确性、覆盖率、代表性、一致性及可再现性等。</w:t>
      </w:r>
    </w:p>
    <w:p w14:paraId="0DB01D3E">
      <w:pPr>
        <w:spacing w:line="360" w:lineRule="auto"/>
        <w:ind w:firstLine="420" w:firstLineChars="200"/>
        <w:rPr>
          <w:color w:val="000000"/>
          <w:kern w:val="0"/>
          <w:szCs w:val="21"/>
        </w:rPr>
      </w:pPr>
      <w:r>
        <w:rPr>
          <w:color w:val="000000"/>
          <w:kern w:val="0"/>
          <w:szCs w:val="21"/>
        </w:rPr>
        <w:t>因此，本文件规定企业现场数据的数据质量应满足下列要求：</w:t>
      </w:r>
    </w:p>
    <w:p w14:paraId="385E9636">
      <w:pPr>
        <w:spacing w:line="360" w:lineRule="auto"/>
        <w:ind w:firstLine="420" w:firstLineChars="200"/>
        <w:rPr>
          <w:color w:val="000000"/>
          <w:kern w:val="0"/>
          <w:szCs w:val="21"/>
        </w:rPr>
      </w:pPr>
      <w:r>
        <w:rPr>
          <w:color w:val="000000"/>
          <w:kern w:val="0"/>
          <w:szCs w:val="21"/>
        </w:rPr>
        <w:t>初级活动水平数据应详细记录相关原始数据、数据来源与计算过程，可按附录A中表A.1</w:t>
      </w:r>
      <w:r>
        <w:rPr>
          <w:rFonts w:hint="eastAsia"/>
          <w:color w:val="000000"/>
          <w:kern w:val="0"/>
          <w:szCs w:val="21"/>
        </w:rPr>
        <w:t>、A.2</w:t>
      </w:r>
      <w:r>
        <w:rPr>
          <w:color w:val="000000"/>
          <w:kern w:val="0"/>
          <w:szCs w:val="21"/>
        </w:rPr>
        <w:t>格式采集，应满足以下数据质量要求，</w:t>
      </w:r>
    </w:p>
    <w:p w14:paraId="1FB5626C">
      <w:pPr>
        <w:spacing w:line="360" w:lineRule="auto"/>
        <w:ind w:firstLine="420" w:firstLineChars="200"/>
        <w:rPr>
          <w:color w:val="000000"/>
          <w:kern w:val="0"/>
          <w:szCs w:val="21"/>
        </w:rPr>
      </w:pPr>
      <w:r>
        <w:rPr>
          <w:color w:val="000000"/>
          <w:kern w:val="0"/>
          <w:szCs w:val="21"/>
        </w:rPr>
        <w:t>a)完整性。初级活动水平数据宜采集企业一个自然年内的生产统计数据，应根据取舍准则检查是否有缺失的过程、消耗和排放；</w:t>
      </w:r>
    </w:p>
    <w:p w14:paraId="0C8D83AF">
      <w:pPr>
        <w:spacing w:line="360" w:lineRule="auto"/>
        <w:ind w:firstLine="420" w:firstLineChars="200"/>
        <w:rPr>
          <w:color w:val="000000"/>
          <w:kern w:val="0"/>
          <w:szCs w:val="21"/>
        </w:rPr>
      </w:pPr>
      <w:r>
        <w:rPr>
          <w:color w:val="000000"/>
          <w:kern w:val="0"/>
          <w:szCs w:val="21"/>
        </w:rPr>
        <w:t>b)准确性。初级活动水平数据中的能源、原材料消耗数据应来自企业的实际生产统计记录；环境排放数据优先选择相关的在线监测系统数据（CO2应选择企业碳核查数据）、环境监测报告，或由排污因子或物料平衡公式计算获得。</w:t>
      </w:r>
    </w:p>
    <w:p w14:paraId="2C0177C3">
      <w:pPr>
        <w:spacing w:line="360" w:lineRule="auto"/>
        <w:ind w:firstLine="420" w:firstLineChars="200"/>
        <w:rPr>
          <w:color w:val="000000"/>
          <w:kern w:val="0"/>
          <w:szCs w:val="21"/>
        </w:rPr>
      </w:pPr>
      <w:r>
        <w:rPr>
          <w:color w:val="000000"/>
          <w:kern w:val="0"/>
          <w:szCs w:val="21"/>
        </w:rPr>
        <w:t>c)一致性。初级活动水平数据采集时同类数据应保持相同的数据来源、统计口径、处理规则等。</w:t>
      </w:r>
    </w:p>
    <w:p w14:paraId="4F5C4D9A">
      <w:pPr>
        <w:spacing w:line="360" w:lineRule="auto"/>
        <w:ind w:firstLine="420" w:firstLineChars="200"/>
        <w:rPr>
          <w:color w:val="000000"/>
          <w:kern w:val="0"/>
          <w:szCs w:val="21"/>
        </w:rPr>
      </w:pPr>
      <w:r>
        <w:rPr>
          <w:color w:val="000000"/>
          <w:kern w:val="0"/>
          <w:szCs w:val="21"/>
        </w:rPr>
        <w:t>次级数据包括通过上下游供应商、商业数据库、统计数据或文献研究等途径获取的支撑产品碳足迹核算的数据，可按附录B中表B.1格式采集。采集的次级数据应满足以下数据质量要求：</w:t>
      </w:r>
    </w:p>
    <w:p w14:paraId="2319FE04">
      <w:pPr>
        <w:spacing w:line="360" w:lineRule="auto"/>
        <w:ind w:firstLine="420" w:firstLineChars="200"/>
        <w:rPr>
          <w:color w:val="000000"/>
          <w:kern w:val="0"/>
          <w:szCs w:val="21"/>
        </w:rPr>
      </w:pPr>
      <w:r>
        <w:rPr>
          <w:color w:val="000000"/>
          <w:kern w:val="0"/>
          <w:szCs w:val="21"/>
        </w:rPr>
        <w:t>a)代表性。优先选择原材料供应商提供的数据，其次选择相近年份代表国内及行业平均水平的公开生命周期数据，再次选择代表国外同类技术水平的生命周期数据；</w:t>
      </w:r>
    </w:p>
    <w:p w14:paraId="3732969A">
      <w:pPr>
        <w:spacing w:line="360" w:lineRule="auto"/>
        <w:ind w:firstLine="420" w:firstLineChars="200"/>
        <w:rPr>
          <w:color w:val="000000"/>
          <w:kern w:val="0"/>
          <w:szCs w:val="21"/>
        </w:rPr>
      </w:pPr>
      <w:r>
        <w:rPr>
          <w:color w:val="000000"/>
          <w:kern w:val="0"/>
          <w:szCs w:val="21"/>
        </w:rPr>
        <w:t>b)完整性。碳足迹研究应收集完整的次级数据，应包含系统边界内的所有与温室气体排放相关的生命周期清单项目；</w:t>
      </w:r>
    </w:p>
    <w:p w14:paraId="2AC85FCC">
      <w:pPr>
        <w:spacing w:line="360" w:lineRule="auto"/>
        <w:ind w:firstLine="420" w:firstLineChars="200"/>
        <w:rPr>
          <w:color w:val="000000"/>
          <w:kern w:val="0"/>
          <w:szCs w:val="21"/>
        </w:rPr>
      </w:pPr>
      <w:r>
        <w:rPr>
          <w:color w:val="000000"/>
          <w:kern w:val="0"/>
          <w:szCs w:val="21"/>
        </w:rPr>
        <w:t>c)一致性。同一机构对同类产品次级数据的选择应保持一致，如果次级数据更新，则产品碳足迹报告也应更新。</w:t>
      </w:r>
    </w:p>
    <w:p w14:paraId="640FE462">
      <w:pPr>
        <w:numPr>
          <w:ilvl w:val="0"/>
          <w:numId w:val="2"/>
        </w:numPr>
        <w:spacing w:line="360" w:lineRule="auto"/>
        <w:rPr>
          <w:color w:val="000000"/>
          <w:kern w:val="0"/>
          <w:szCs w:val="21"/>
        </w:rPr>
      </w:pPr>
      <w:r>
        <w:rPr>
          <w:color w:val="000000"/>
          <w:kern w:val="0"/>
          <w:szCs w:val="21"/>
        </w:rPr>
        <w:t>数据审定</w:t>
      </w:r>
    </w:p>
    <w:p w14:paraId="50B9642F">
      <w:pPr>
        <w:spacing w:line="360" w:lineRule="auto"/>
        <w:ind w:firstLine="420" w:firstLineChars="200"/>
        <w:rPr>
          <w:color w:val="000000"/>
          <w:kern w:val="0"/>
          <w:szCs w:val="21"/>
        </w:rPr>
      </w:pPr>
      <w:r>
        <w:rPr>
          <w:color w:val="000000"/>
          <w:kern w:val="0"/>
          <w:szCs w:val="21"/>
        </w:rPr>
        <w:t>数据验证：通过实施物料平衡和能量平衡的计算方法，确保数据的内部一致性和逻辑合理性。数据对比：将采集到的数据与历史数据以及类似工艺条件下的行业数据进行比较，以验证其合理性。异常数据处理：对于在验证过程中发现的异常数据，必须进行深入分析，找出原因，并根据5.3节中规定数据质量要求进行必要的数据替换或调整。数据质量保证：替换或调整后的数据必须满足本标准第5.3条所规定的数据质量标准，包括但不限于准确性、可靠性和代表性。</w:t>
      </w:r>
    </w:p>
    <w:p w14:paraId="73453E15">
      <w:pPr>
        <w:rPr>
          <w:b/>
          <w:bCs/>
          <w:sz w:val="23"/>
          <w:szCs w:val="28"/>
        </w:rPr>
      </w:pPr>
      <w:r>
        <w:rPr>
          <w:b/>
          <w:bCs/>
          <w:sz w:val="23"/>
          <w:szCs w:val="28"/>
        </w:rPr>
        <w:t>3.2.3.4 分配</w:t>
      </w:r>
    </w:p>
    <w:p w14:paraId="426B91C2">
      <w:pPr>
        <w:spacing w:line="360" w:lineRule="auto"/>
        <w:ind w:firstLine="420" w:firstLineChars="200"/>
      </w:pPr>
      <w:r>
        <w:t>生命周期清单分析有赖于将产品系统中的单元过程以简单的物流或能量流相联系。实际上，只产出单一产品、或者其原材料输入与输出仅体现为一种线性关系的工业过程极为少见。大部分工业过程都是产出多种产品，并将中间产品和弃置的产品通过再循环用作原材料。当环境负荷要用其中一种或部分产品来表征时，就产生了输入输出数据如何在多个产品或多个系统之间分配的问题。将过程或产品系统中的输入和输出流划分到所研究的产品系统以及一个或更多的其他产品系统中，GB/T 24040《环境管理 生命周期评价 原则与框架》将其定义为分配（allocation）。</w:t>
      </w:r>
    </w:p>
    <w:p w14:paraId="33C38922">
      <w:pPr>
        <w:spacing w:line="360" w:lineRule="auto"/>
        <w:ind w:firstLine="420" w:firstLineChars="200"/>
      </w:pPr>
      <w:r>
        <w:t>因此，本文件规定了应依据GB/T24044-2008中4.3.4的要求将物流、能量流和环境排放分配到各个产品。在评价过程中涉及的共生产品清单分配方法应在产品生命周期评价报告中予以明确说明。</w:t>
      </w:r>
      <w:r>
        <w:rPr>
          <w:rFonts w:hint="eastAsia"/>
        </w:rPr>
        <w:t>硅多晶</w:t>
      </w:r>
      <w:r>
        <w:t>产品分配程序宜优先采用质量分配法，若质量分配法不可行，则可采用经济价值分配法。对于闭环里循环使用的共生产品，不需要分配。</w:t>
      </w:r>
    </w:p>
    <w:p w14:paraId="6F70A608">
      <w:pPr>
        <w:pStyle w:val="35"/>
        <w:numPr>
          <w:ilvl w:val="2"/>
          <w:numId w:val="1"/>
        </w:numPr>
        <w:spacing w:before="156" w:after="156" w:line="276" w:lineRule="auto"/>
        <w:outlineLvl w:val="2"/>
      </w:pPr>
      <w:bookmarkStart w:id="131" w:name="_Toc3086"/>
      <w:r>
        <w:t>影响评价</w:t>
      </w:r>
      <w:bookmarkEnd w:id="131"/>
    </w:p>
    <w:p w14:paraId="4F9E6216">
      <w:pPr>
        <w:spacing w:line="360" w:lineRule="auto"/>
        <w:ind w:firstLine="420" w:firstLineChars="200"/>
      </w:pPr>
      <w:r>
        <w:t>碳足迹影响评价是生命周期评价的第三个阶段，是其中理解和评价产品系统潜在环境影响的大小和重要性的阶段。其目的是评估产品系统的生命周期清单结果，将生命周期清单分析结果转化为全球变暖方面的潜在环境影响，以更能了解该产品系统影响程度。碳足迹影响评价阶段将所选择的环境问题（称之为影响类型）模型化，并使用类型参数来精简与解释生命周期清单结果。类型参数用于表示每项影响类型的总污染排放或资源消耗量。这些类型参数代表潜在的环境影响。</w:t>
      </w:r>
    </w:p>
    <w:p w14:paraId="0A25D677">
      <w:pPr>
        <w:spacing w:line="360" w:lineRule="auto"/>
        <w:ind w:firstLine="420" w:firstLineChars="200"/>
      </w:pPr>
      <w:r>
        <w:t>碳足迹影响评价作为整体生命周期评价的一部分，可用于：识别产品系统的改善机会并协助排定其优先顺序；描述产品系统与其单元过程在某一时间段内的特征或制定其比较基准；依据所选定的类型参数，进行产品系统间的相关比较；通过其他技术来提供对决策者有用的辅助性环境数据与信息。</w:t>
      </w:r>
    </w:p>
    <w:p w14:paraId="68A138FE">
      <w:pPr>
        <w:spacing w:line="360" w:lineRule="auto"/>
        <w:ind w:firstLine="420" w:firstLineChars="200"/>
      </w:pPr>
      <w:r>
        <w:t>本文件为了增强实用性，给出各阶段计算碳足迹的方法。</w:t>
      </w:r>
    </w:p>
    <w:p w14:paraId="0C145719">
      <w:pPr>
        <w:spacing w:line="360" w:lineRule="auto"/>
        <w:ind w:firstLine="420" w:firstLineChars="200"/>
        <w:jc w:val="left"/>
        <w:rPr>
          <w:kern w:val="0"/>
          <w:szCs w:val="21"/>
        </w:rPr>
      </w:pPr>
      <w:r>
        <w:rPr>
          <w:kern w:val="0"/>
          <w:szCs w:val="21"/>
        </w:rPr>
        <w:t>除本文件中要求的碳排放相关指标外，附加环境信息应在相应产品碳足迹报告中予以罗列和描述。附加环境信息包括但不限于</w:t>
      </w:r>
      <w:r>
        <w:rPr>
          <w:rFonts w:hint="eastAsia"/>
          <w:kern w:val="0"/>
          <w:szCs w:val="21"/>
        </w:rPr>
        <w:t>硅多晶</w:t>
      </w:r>
      <w:r>
        <w:rPr>
          <w:kern w:val="0"/>
          <w:szCs w:val="21"/>
        </w:rPr>
        <w:t>产品在使用过程中对碳足迹造成较大影响的性能指标。</w:t>
      </w:r>
    </w:p>
    <w:p w14:paraId="035E0000">
      <w:pPr>
        <w:pStyle w:val="35"/>
        <w:numPr>
          <w:ilvl w:val="2"/>
          <w:numId w:val="1"/>
        </w:numPr>
        <w:spacing w:before="156" w:after="156" w:line="276" w:lineRule="auto"/>
        <w:outlineLvl w:val="2"/>
      </w:pPr>
      <w:bookmarkStart w:id="132" w:name="_Toc31131"/>
      <w:r>
        <w:t>结果解释</w:t>
      </w:r>
      <w:bookmarkEnd w:id="132"/>
    </w:p>
    <w:p w14:paraId="4832B007">
      <w:pPr>
        <w:spacing w:line="360" w:lineRule="auto"/>
        <w:ind w:firstLine="420" w:firstLineChars="200"/>
      </w:pPr>
      <w:r>
        <w:t>本章为生命周期评价解释阶段，是生命周期评价中根据规定的目的和范围的要求对清单分析和（或）影响评价的结果进行归纳以形成结论和建议的阶段。包括产品生命周期模型的稳健性评价、特点问题识别与改进方案确定以及结论、建议和限制。</w:t>
      </w:r>
    </w:p>
    <w:p w14:paraId="5B97E6F1">
      <w:pPr>
        <w:spacing w:line="360" w:lineRule="auto"/>
        <w:ind w:firstLine="420" w:firstLineChars="200"/>
      </w:pPr>
      <w:r>
        <w:t>产品生命周期模型的稳健性评价用于评价系统边界、数据来源、分配选择和生命周期影响类型等方法选择对结果的影响程度。宜用于评价</w:t>
      </w:r>
      <w:r>
        <w:rPr>
          <w:rFonts w:hint="eastAsia"/>
        </w:rPr>
        <w:t>硅多晶</w:t>
      </w:r>
      <w:r>
        <w:t>产品生命周期模型稳健性的工具包括、完整性检查、敏感性检查和一致性检查。</w:t>
      </w:r>
    </w:p>
    <w:p w14:paraId="6D8382B1">
      <w:pPr>
        <w:spacing w:line="360" w:lineRule="auto"/>
        <w:ind w:firstLine="420" w:firstLineChars="200"/>
      </w:pPr>
      <w:r>
        <w:t>特点问题识别与改进方案确定是为了产生环境效益或至少将环境责任降至最低，根据清单分析和影响评价阶段的信息提出一系列与产品相关的绿色设计改进方案。</w:t>
      </w:r>
    </w:p>
    <w:p w14:paraId="6939A3A7">
      <w:pPr>
        <w:spacing w:line="360" w:lineRule="auto"/>
        <w:ind w:firstLine="420" w:firstLineChars="200"/>
      </w:pPr>
      <w:r>
        <w:t>结论、建议和限制则是根据确定的产品生命周期评价的目的和范围阐述结论、建议和限制。结论宜包括评价结果、热点问题摘要和方案。</w:t>
      </w:r>
    </w:p>
    <w:p w14:paraId="63483879">
      <w:pPr>
        <w:pStyle w:val="35"/>
        <w:numPr>
          <w:ilvl w:val="2"/>
          <w:numId w:val="1"/>
        </w:numPr>
        <w:spacing w:before="156" w:after="156" w:line="276" w:lineRule="auto"/>
        <w:outlineLvl w:val="2"/>
      </w:pPr>
      <w:bookmarkStart w:id="133" w:name="_Toc12058"/>
      <w:r>
        <w:t>可比性</w:t>
      </w:r>
      <w:bookmarkEnd w:id="133"/>
    </w:p>
    <w:p w14:paraId="64AB6EFE">
      <w:pPr>
        <w:spacing w:line="360" w:lineRule="auto"/>
        <w:ind w:firstLine="420" w:firstLineChars="200"/>
      </w:pPr>
      <w:r>
        <w:t>产品碳足迹可以是经由第三方验证的、科学的、可比的、国际认可的产品整个生命周期的环境影响的气候变化信息披露。其可比必须要基于一定前提下，因此本文件对可比性做出了要求。首先，比较的产品必须在功能、技术性能和用途上保持一致；其次，它们的功能单位和系统边界的选取应当是相同的，以确保评估的范围和基准一致；再者，数据的收集和确认过程也必须是等效的，这包括数据的详细描述、取舍准则以及数据质量要求的一致性；最后，产品碳足迹的量化方法需要统一，包括数据的审定、分配和对产品碳足迹影响的评价方法。只有当这些条件得到满足时，不同产品或同类产品在不同时间点的碳足迹数据才具有可比性，从而可以进行公正和准确的环境影响评估。</w:t>
      </w:r>
    </w:p>
    <w:p w14:paraId="1FCDFBD7">
      <w:pPr>
        <w:pStyle w:val="35"/>
        <w:numPr>
          <w:ilvl w:val="2"/>
          <w:numId w:val="1"/>
        </w:numPr>
        <w:spacing w:before="156" w:after="156" w:line="276" w:lineRule="auto"/>
        <w:outlineLvl w:val="2"/>
      </w:pPr>
      <w:bookmarkStart w:id="134" w:name="_Toc26011"/>
      <w:r>
        <w:t>产品碳足迹绩效追踪</w:t>
      </w:r>
      <w:bookmarkEnd w:id="134"/>
    </w:p>
    <w:p w14:paraId="3C431A5B">
      <w:pPr>
        <w:spacing w:line="360" w:lineRule="auto"/>
        <w:ind w:firstLine="420" w:firstLineChars="200"/>
      </w:pPr>
      <w:r>
        <w:t>在持续改进和提高</w:t>
      </w:r>
      <w:r>
        <w:rPr>
          <w:rFonts w:hint="eastAsia"/>
        </w:rPr>
        <w:t>硅多晶</w:t>
      </w:r>
      <w:r>
        <w:t>产品的环境绩效的过程中，组织应当依据本文件的指导，对同一特定产品的碳足迹进行定期和连续的数据统计与分析。通过这种绩效追踪，组织可以监测产品在不同时间周期内对全球变暖潜在影响的变化，进而采取有效措施，不断优化产品设计、生产过程和供应链管理，以减少温室气体排放，提升产品的环境可持续性。这种基于数据的追踪和评估方法，不仅有助于实现组织的碳减排目标，也为消费者提供了更加透明和可靠的产品环境信息。</w:t>
      </w:r>
    </w:p>
    <w:p w14:paraId="7556F830">
      <w:pPr>
        <w:pStyle w:val="35"/>
        <w:numPr>
          <w:ilvl w:val="2"/>
          <w:numId w:val="1"/>
        </w:numPr>
        <w:spacing w:before="156" w:after="156" w:line="276" w:lineRule="auto"/>
        <w:outlineLvl w:val="2"/>
      </w:pPr>
      <w:bookmarkStart w:id="135" w:name="_Toc2251"/>
      <w:r>
        <w:t>产品碳足迹报告</w:t>
      </w:r>
      <w:bookmarkEnd w:id="135"/>
    </w:p>
    <w:p w14:paraId="247C2F31">
      <w:pPr>
        <w:spacing w:line="360" w:lineRule="auto"/>
        <w:ind w:firstLine="420" w:firstLineChars="200"/>
      </w:pPr>
      <w:r>
        <w:t>产品碳足迹的量化结果应当以透明和标准化的方式呈现，通常采用报告、声明、证书和/或标签等形式来描述。这些表述应明确指出每功能单位对应的二氧化碳当量，确保信息的清晰和一致性。如果使用产品碳足迹证书和/或标签，必须附上详尽的产品碳足迹报告，以提供完整的背景信息和数据支持。此外，当碳足迹量化结果用于下游供应链管理时，应详细报告每个产品阶段的碳足迹数据，这样做可以防止在供应链中对同一碳排放源的重复计算，从而确保整个供应链的碳足迹评估既准确又高效。</w:t>
      </w:r>
    </w:p>
    <w:p w14:paraId="4B2B380D">
      <w:pPr>
        <w:spacing w:line="360" w:lineRule="auto"/>
        <w:ind w:firstLine="420" w:firstLineChars="200"/>
      </w:pPr>
      <w:r>
        <w:t>根据本文件编制的产品碳足迹报告应全面而详细，涵盖以下关键内容：首先，报告应包含基本信息，如报告编号、编制与审核人员、发布与有效日期，以及所使用的产品类别规则；其次，应明确声明企业的基本信息，包括公司全称、统一社会信用代码、地址、联系人及方式、以及公司概况；接着，报告核心部分应详细描述产品碳足迹的评价目的和范围，包括产品描述、功能单位和系统边界，并进行生命周期清单分析，涵盖数据采集和取舍准则；进一步，报告应展示产品碳足迹的量化过程，包括数据计算和分配方法，并明确给出量化结果；此外，还应提供附加环境信息、可比性分析以及产品碳足迹绩效追踪（如适用）；最后，报告还应包括其他必要信息，如报告编制及验证机构的详细信息。附录F提供了报告的具体形式和结构，以确保信息的透明度和一致性。</w:t>
      </w:r>
    </w:p>
    <w:p w14:paraId="34BD10BD">
      <w:pPr>
        <w:pStyle w:val="35"/>
        <w:numPr>
          <w:ilvl w:val="2"/>
          <w:numId w:val="1"/>
        </w:numPr>
        <w:spacing w:before="156" w:after="156" w:line="276" w:lineRule="auto"/>
        <w:outlineLvl w:val="2"/>
      </w:pPr>
      <w:bookmarkStart w:id="136" w:name="_Toc22755"/>
      <w:r>
        <w:t>附录</w:t>
      </w:r>
      <w:bookmarkEnd w:id="136"/>
      <w:r>
        <w:rPr>
          <w:rFonts w:hint="eastAsia"/>
        </w:rPr>
        <w:t>A</w:t>
      </w:r>
    </w:p>
    <w:p w14:paraId="5437FE99">
      <w:pPr>
        <w:spacing w:line="360" w:lineRule="auto"/>
        <w:ind w:firstLine="420" w:firstLineChars="200"/>
        <w:rPr>
          <w:szCs w:val="21"/>
        </w:rPr>
      </w:pPr>
      <w:r>
        <w:t>附录</w:t>
      </w:r>
      <w:r>
        <w:rPr>
          <w:rFonts w:hint="eastAsia"/>
        </w:rPr>
        <w:t>A</w:t>
      </w:r>
      <w:r>
        <w:t>为资料性附录，是现场数据收集信息，包括</w:t>
      </w:r>
      <w:r>
        <w:rPr>
          <w:szCs w:val="21"/>
        </w:rPr>
        <w:t>现场数据采集质量要求以及格式。主要包括：基本信息、产品信息、资源消耗及综合利用、能源消耗、污染物现场数据等不同类数据进行收集，编制依据来源于系统边界划分而定。现场收集表宜按照不同种类产品统计。如能源消耗和污染物排放部分无法拆分，则应按照分配原则对数据进行分配。</w:t>
      </w:r>
    </w:p>
    <w:p w14:paraId="032F088E">
      <w:pPr>
        <w:pStyle w:val="35"/>
        <w:numPr>
          <w:ilvl w:val="2"/>
          <w:numId w:val="1"/>
        </w:numPr>
        <w:spacing w:before="156" w:after="156" w:line="276" w:lineRule="auto"/>
        <w:outlineLvl w:val="2"/>
      </w:pPr>
      <w:bookmarkStart w:id="137" w:name="_Toc5450"/>
      <w:bookmarkStart w:id="138" w:name="_Toc29765"/>
      <w:bookmarkStart w:id="139" w:name="_Toc25251"/>
      <w:bookmarkStart w:id="140" w:name="_Toc14991"/>
      <w:bookmarkStart w:id="141" w:name="_Toc24303"/>
      <w:bookmarkStart w:id="142" w:name="_Toc10799"/>
      <w:bookmarkStart w:id="143" w:name="_Toc6415"/>
      <w:bookmarkStart w:id="144" w:name="_Toc6667"/>
      <w:bookmarkStart w:id="145" w:name="_Toc15333"/>
      <w:bookmarkStart w:id="146" w:name="_Toc59059093"/>
      <w:bookmarkStart w:id="147" w:name="_Toc32120"/>
      <w:r>
        <w:t>附录</w:t>
      </w:r>
      <w:bookmarkEnd w:id="137"/>
      <w:bookmarkEnd w:id="138"/>
      <w:bookmarkEnd w:id="139"/>
      <w:bookmarkEnd w:id="140"/>
      <w:bookmarkEnd w:id="141"/>
      <w:bookmarkEnd w:id="142"/>
      <w:bookmarkEnd w:id="143"/>
      <w:bookmarkEnd w:id="144"/>
      <w:bookmarkEnd w:id="145"/>
      <w:bookmarkEnd w:id="146"/>
      <w:bookmarkEnd w:id="147"/>
      <w:r>
        <w:rPr>
          <w:rFonts w:hint="eastAsia"/>
        </w:rPr>
        <w:t>B</w:t>
      </w:r>
    </w:p>
    <w:p w14:paraId="3E67E250">
      <w:pPr>
        <w:spacing w:line="360" w:lineRule="auto"/>
        <w:ind w:firstLine="420" w:firstLineChars="200"/>
        <w:rPr>
          <w:szCs w:val="21"/>
        </w:rPr>
      </w:pPr>
      <w:r>
        <w:t>附录</w:t>
      </w:r>
      <w:r>
        <w:rPr>
          <w:rFonts w:hint="eastAsia"/>
        </w:rPr>
        <w:t>B</w:t>
      </w:r>
      <w:r>
        <w:t>为资料性附录，是次级数据收集信息，包括</w:t>
      </w:r>
      <w:r>
        <w:rPr>
          <w:szCs w:val="21"/>
        </w:rPr>
        <w:t>次级数据采集质量要求以及格式。一般情况下，现场数据无法获取，才可采用次级数据。数据收集前先要识别系统所有的工艺步骤，对每一个工艺步骤的原能量使用、产品和共生产品的比率、环境排放等都必须量化。一般这些数据都无法从文献中获得，必须依赖产业部门提供，有的数据还需要到具体地点调查后再计算得到，还有些需要通过模拟试验才能得到。</w:t>
      </w:r>
    </w:p>
    <w:p w14:paraId="3261EFC8">
      <w:pPr>
        <w:spacing w:line="360" w:lineRule="auto"/>
        <w:ind w:firstLine="420" w:firstLineChars="200"/>
        <w:rPr>
          <w:szCs w:val="21"/>
        </w:rPr>
      </w:pPr>
      <w:r>
        <w:rPr>
          <w:szCs w:val="21"/>
        </w:rPr>
        <w:t>如果数据是从公开出版物中收集的，必须标明出处。对于从文字资料中收集到的对研究结论作用重大的数据，必须详细说明这些数据的收集过程、收集时间以及其他数据质量参数的公开来源。如果这些数据不能满足初始质量的要求，必须予以声明。</w:t>
      </w:r>
    </w:p>
    <w:p w14:paraId="72389888">
      <w:pPr>
        <w:spacing w:line="360" w:lineRule="auto"/>
        <w:ind w:firstLine="420" w:firstLineChars="200"/>
        <w:rPr>
          <w:szCs w:val="21"/>
        </w:rPr>
      </w:pPr>
      <w:r>
        <w:rPr>
          <w:szCs w:val="21"/>
        </w:rPr>
        <w:t>进行数据收集时，需对对个数据进行以下几种表述：（1）获取的方法；（2）进行数据确认的方法；（3）数据收集的地点和时间，以及它们在整体中的代表性；（4）在地域上数据的代表性；（5）数据收集过程中所使用的技术方法和技术水平的代表性。</w:t>
      </w:r>
    </w:p>
    <w:p w14:paraId="00408130">
      <w:pPr>
        <w:pStyle w:val="35"/>
        <w:numPr>
          <w:ilvl w:val="2"/>
          <w:numId w:val="1"/>
        </w:numPr>
        <w:spacing w:before="156" w:after="156" w:line="276" w:lineRule="auto"/>
        <w:outlineLvl w:val="2"/>
      </w:pPr>
      <w:bookmarkStart w:id="148" w:name="_Toc22095"/>
      <w:bookmarkStart w:id="149" w:name="_Toc32124"/>
      <w:bookmarkStart w:id="150" w:name="_Toc10377"/>
      <w:bookmarkStart w:id="151" w:name="_Toc21948"/>
      <w:bookmarkStart w:id="152" w:name="_Toc30212"/>
      <w:bookmarkStart w:id="153" w:name="_Toc2757"/>
      <w:bookmarkStart w:id="154" w:name="_Toc23816"/>
      <w:bookmarkStart w:id="155" w:name="_Toc29463"/>
      <w:bookmarkStart w:id="156" w:name="_Toc17767"/>
      <w:bookmarkStart w:id="157" w:name="_Toc26009"/>
      <w:bookmarkStart w:id="158" w:name="_Toc59059094"/>
      <w:r>
        <w:t>附录</w:t>
      </w:r>
      <w:bookmarkEnd w:id="148"/>
      <w:bookmarkEnd w:id="149"/>
      <w:bookmarkEnd w:id="150"/>
      <w:bookmarkEnd w:id="151"/>
      <w:bookmarkEnd w:id="152"/>
      <w:bookmarkEnd w:id="153"/>
      <w:bookmarkEnd w:id="154"/>
      <w:bookmarkEnd w:id="155"/>
      <w:bookmarkEnd w:id="156"/>
      <w:bookmarkEnd w:id="157"/>
      <w:bookmarkEnd w:id="158"/>
      <w:r>
        <w:rPr>
          <w:rFonts w:hint="eastAsia"/>
        </w:rPr>
        <w:t>C</w:t>
      </w:r>
    </w:p>
    <w:p w14:paraId="45A8B194">
      <w:pPr>
        <w:spacing w:line="360" w:lineRule="auto"/>
        <w:ind w:firstLine="420" w:firstLineChars="200"/>
      </w:pPr>
      <w:r>
        <w:t>附录</w:t>
      </w:r>
      <w:r>
        <w:rPr>
          <w:rFonts w:hint="eastAsia"/>
        </w:rPr>
        <w:t>C</w:t>
      </w:r>
      <w:r>
        <w:t>为资料性附录，来自GB/T 24067-2024</w:t>
      </w:r>
      <w:r>
        <w:rPr>
          <w:rFonts w:hint="eastAsia"/>
        </w:rPr>
        <w:t xml:space="preserve"> </w:t>
      </w:r>
      <w:r>
        <w:t>《温室气体 产品碳足迹 量化要求和指南》中的附录F。</w:t>
      </w:r>
    </w:p>
    <w:p w14:paraId="73B15BDF">
      <w:pPr>
        <w:pStyle w:val="35"/>
        <w:numPr>
          <w:ilvl w:val="2"/>
          <w:numId w:val="1"/>
        </w:numPr>
        <w:spacing w:before="156" w:after="156" w:line="276" w:lineRule="auto"/>
        <w:outlineLvl w:val="2"/>
      </w:pPr>
      <w:bookmarkStart w:id="159" w:name="_Toc7434"/>
      <w:bookmarkStart w:id="160" w:name="_Toc15963"/>
      <w:bookmarkStart w:id="161" w:name="_Toc17276"/>
      <w:bookmarkStart w:id="162" w:name="_Toc14427"/>
      <w:bookmarkStart w:id="163" w:name="_Toc13673"/>
      <w:bookmarkStart w:id="164" w:name="_Toc27855"/>
      <w:bookmarkStart w:id="165" w:name="_Toc3826"/>
      <w:bookmarkStart w:id="166" w:name="_Toc28918"/>
      <w:bookmarkStart w:id="167" w:name="_Toc59059095"/>
      <w:bookmarkStart w:id="168" w:name="_Toc36132047"/>
      <w:r>
        <w:t>附录</w:t>
      </w:r>
      <w:bookmarkEnd w:id="159"/>
      <w:r>
        <w:rPr>
          <w:rFonts w:hint="eastAsia"/>
        </w:rPr>
        <w:t>D</w:t>
      </w:r>
    </w:p>
    <w:p w14:paraId="761E71D2">
      <w:pPr>
        <w:spacing w:line="360" w:lineRule="auto"/>
        <w:ind w:firstLine="420" w:firstLineChars="200"/>
      </w:pPr>
      <w:r>
        <w:rPr>
          <w:rFonts w:hint="eastAsia"/>
        </w:rPr>
        <w:t>附录D为资料性附录，来自相关数据库，具体包括中国产品全生命周期温室气体排放系数库、</w:t>
      </w:r>
      <w:r>
        <w:t>S</w:t>
      </w:r>
      <w:r>
        <w:rPr>
          <w:rFonts w:hint="eastAsia"/>
        </w:rPr>
        <w:t>imapro数据库、Ecoinvent数据库等。</w:t>
      </w:r>
    </w:p>
    <w:p w14:paraId="495CE10E">
      <w:pPr>
        <w:pStyle w:val="35"/>
        <w:numPr>
          <w:ilvl w:val="2"/>
          <w:numId w:val="1"/>
        </w:numPr>
        <w:spacing w:before="156" w:after="156" w:line="276" w:lineRule="auto"/>
        <w:outlineLvl w:val="2"/>
      </w:pPr>
      <w:bookmarkStart w:id="169" w:name="_Toc27483"/>
      <w:bookmarkStart w:id="170" w:name="_Toc8600"/>
      <w:r>
        <w:t>附录</w:t>
      </w:r>
      <w:r>
        <w:rPr>
          <w:rFonts w:hint="eastAsia"/>
        </w:rPr>
        <w:t>E</w:t>
      </w:r>
    </w:p>
    <w:p w14:paraId="39C5782D">
      <w:pPr>
        <w:spacing w:line="360" w:lineRule="auto"/>
        <w:ind w:firstLine="420" w:firstLineChars="200"/>
      </w:pPr>
      <w:r>
        <w:t>附录</w:t>
      </w:r>
      <w:r>
        <w:rPr>
          <w:rFonts w:hint="eastAsia"/>
        </w:rPr>
        <w:t>E</w:t>
      </w:r>
      <w:r>
        <w:t>为资料性附录，参考GB/T 24067-2024</w:t>
      </w:r>
      <w:r>
        <w:rPr>
          <w:rFonts w:hint="eastAsia"/>
        </w:rPr>
        <w:t xml:space="preserve"> </w:t>
      </w:r>
      <w:r>
        <w:t>《温室气体 产品碳足迹 量化要求和指南》中的附录G，同时结合本文件中对</w:t>
      </w:r>
      <w:r>
        <w:rPr>
          <w:rFonts w:hint="eastAsia"/>
        </w:rPr>
        <w:t>硅多晶</w:t>
      </w:r>
      <w:r>
        <w:t>提出的特定要求，给出碳足迹报告模板。</w:t>
      </w:r>
    </w:p>
    <w:p w14:paraId="09017037">
      <w:pPr>
        <w:pStyle w:val="35"/>
        <w:numPr>
          <w:ilvl w:val="0"/>
          <w:numId w:val="1"/>
        </w:numPr>
        <w:tabs>
          <w:tab w:val="left" w:pos="420"/>
          <w:tab w:val="clear" w:pos="0"/>
        </w:tabs>
        <w:spacing w:before="156" w:after="156" w:line="276" w:lineRule="auto"/>
      </w:pPr>
      <w:r>
        <w:t>主要验证情况分析</w:t>
      </w:r>
      <w:bookmarkEnd w:id="160"/>
      <w:bookmarkEnd w:id="161"/>
      <w:bookmarkEnd w:id="162"/>
      <w:bookmarkEnd w:id="163"/>
      <w:bookmarkEnd w:id="164"/>
      <w:bookmarkEnd w:id="165"/>
      <w:bookmarkEnd w:id="166"/>
      <w:bookmarkEnd w:id="167"/>
      <w:bookmarkEnd w:id="169"/>
      <w:bookmarkEnd w:id="170"/>
    </w:p>
    <w:p w14:paraId="173AA940">
      <w:pPr>
        <w:spacing w:line="276" w:lineRule="auto"/>
        <w:ind w:firstLine="420" w:firstLineChars="200"/>
      </w:pPr>
      <w:bookmarkStart w:id="171" w:name="_Toc25533"/>
      <w:bookmarkStart w:id="172" w:name="_Toc25760"/>
      <w:bookmarkStart w:id="173" w:name="_Toc28250"/>
      <w:bookmarkStart w:id="174" w:name="_Toc13062"/>
      <w:bookmarkStart w:id="175" w:name="_Toc30191"/>
      <w:bookmarkStart w:id="176" w:name="_Toc32320"/>
      <w:r>
        <w:t>标准选取了</w:t>
      </w:r>
      <w:r>
        <w:rPr>
          <w:rFonts w:hint="eastAsia"/>
        </w:rPr>
        <w:t>硅多晶企业</w:t>
      </w:r>
      <w:r>
        <w:t>进行调研和验证，</w:t>
      </w:r>
      <w:bookmarkEnd w:id="171"/>
      <w:bookmarkEnd w:id="172"/>
      <w:bookmarkEnd w:id="173"/>
      <w:bookmarkEnd w:id="174"/>
      <w:bookmarkEnd w:id="175"/>
      <w:bookmarkEnd w:id="176"/>
      <w:bookmarkStart w:id="177" w:name="_Toc59059096"/>
      <w:r>
        <w:rPr>
          <w:rFonts w:hint="eastAsia"/>
        </w:rPr>
        <w:t>收集了企业生产数据，包括产品生产阶段的原材料消耗、能源消耗、污染物排放以及运输（运输方式、运输距离、运输量）等直接调研的清单数据，生产数据采用企业现场调研的方式获取，数据统计时间周期为2023年1月至2023年12月，收集到的原料消耗与能源消耗数据以声明单位进行核算。</w:t>
      </w:r>
    </w:p>
    <w:bookmarkEnd w:id="177"/>
    <w:p w14:paraId="27D595CD">
      <w:pPr>
        <w:pStyle w:val="35"/>
        <w:numPr>
          <w:ilvl w:val="0"/>
          <w:numId w:val="1"/>
        </w:numPr>
        <w:tabs>
          <w:tab w:val="left" w:pos="420"/>
          <w:tab w:val="clear" w:pos="0"/>
        </w:tabs>
        <w:spacing w:before="156" w:after="156" w:line="276" w:lineRule="auto"/>
      </w:pPr>
      <w:bookmarkStart w:id="178" w:name="_Toc30016"/>
      <w:bookmarkStart w:id="179" w:name="_Toc26164"/>
      <w:bookmarkStart w:id="180" w:name="_Toc24193"/>
      <w:bookmarkStart w:id="181" w:name="_Toc8861"/>
      <w:bookmarkStart w:id="182" w:name="_Toc4022"/>
      <w:bookmarkStart w:id="183" w:name="_Toc6273"/>
      <w:bookmarkStart w:id="184" w:name="_Toc2237"/>
      <w:bookmarkStart w:id="185" w:name="_Toc59059103"/>
      <w:bookmarkStart w:id="186" w:name="_Toc25326"/>
      <w:bookmarkStart w:id="187" w:name="_Toc12754"/>
      <w:bookmarkStart w:id="188" w:name="_Toc23917"/>
      <w:bookmarkStart w:id="189" w:name="_Toc24862"/>
      <w:r>
        <w:t>标准中涉及专利情况</w:t>
      </w:r>
      <w:bookmarkEnd w:id="178"/>
      <w:bookmarkEnd w:id="179"/>
      <w:bookmarkEnd w:id="180"/>
      <w:bookmarkEnd w:id="181"/>
      <w:bookmarkEnd w:id="182"/>
      <w:bookmarkEnd w:id="183"/>
      <w:bookmarkEnd w:id="184"/>
      <w:bookmarkEnd w:id="185"/>
      <w:bookmarkEnd w:id="186"/>
      <w:bookmarkEnd w:id="187"/>
      <w:bookmarkEnd w:id="188"/>
      <w:bookmarkEnd w:id="189"/>
    </w:p>
    <w:p w14:paraId="47E09830">
      <w:pPr>
        <w:spacing w:line="276" w:lineRule="auto"/>
        <w:ind w:firstLine="420" w:firstLineChars="200"/>
        <w:jc w:val="left"/>
        <w:rPr>
          <w:kern w:val="0"/>
          <w:szCs w:val="21"/>
        </w:rPr>
      </w:pPr>
      <w:r>
        <w:rPr>
          <w:kern w:val="0"/>
          <w:szCs w:val="21"/>
        </w:rPr>
        <w:t>本标准不涉及专利。</w:t>
      </w:r>
    </w:p>
    <w:p w14:paraId="0E3B448E">
      <w:pPr>
        <w:pStyle w:val="35"/>
        <w:numPr>
          <w:ilvl w:val="0"/>
          <w:numId w:val="1"/>
        </w:numPr>
        <w:tabs>
          <w:tab w:val="left" w:pos="420"/>
          <w:tab w:val="clear" w:pos="0"/>
        </w:tabs>
        <w:spacing w:before="156" w:after="156" w:line="276" w:lineRule="auto"/>
      </w:pPr>
      <w:bookmarkStart w:id="190" w:name="_Toc20263"/>
      <w:bookmarkStart w:id="191" w:name="_Toc13849"/>
      <w:bookmarkStart w:id="192" w:name="_Toc28242"/>
      <w:bookmarkStart w:id="193" w:name="_Toc31560"/>
      <w:bookmarkStart w:id="194" w:name="_Toc31978"/>
      <w:bookmarkStart w:id="195" w:name="_Toc6818"/>
      <w:bookmarkStart w:id="196" w:name="_Toc176"/>
      <w:bookmarkStart w:id="197" w:name="_Toc23318"/>
      <w:bookmarkStart w:id="198" w:name="_Toc27412"/>
      <w:bookmarkStart w:id="199" w:name="_Toc26394"/>
      <w:bookmarkStart w:id="200" w:name="_Toc14347"/>
      <w:bookmarkStart w:id="201" w:name="_Toc59059104"/>
      <w:r>
        <w:t>标准实施后预期的经济和社会效益</w:t>
      </w:r>
      <w:bookmarkEnd w:id="74"/>
      <w:bookmarkEnd w:id="75"/>
      <w:bookmarkEnd w:id="76"/>
      <w:bookmarkEnd w:id="168"/>
      <w:bookmarkEnd w:id="190"/>
      <w:bookmarkEnd w:id="191"/>
      <w:bookmarkEnd w:id="192"/>
      <w:bookmarkEnd w:id="193"/>
      <w:bookmarkEnd w:id="194"/>
      <w:bookmarkEnd w:id="195"/>
      <w:bookmarkEnd w:id="196"/>
      <w:bookmarkEnd w:id="197"/>
      <w:bookmarkEnd w:id="198"/>
      <w:bookmarkEnd w:id="199"/>
      <w:bookmarkEnd w:id="200"/>
      <w:bookmarkEnd w:id="201"/>
    </w:p>
    <w:p w14:paraId="12C1AA45">
      <w:pPr>
        <w:spacing w:line="360" w:lineRule="auto"/>
        <w:ind w:firstLine="420" w:firstLineChars="200"/>
        <w:rPr>
          <w:szCs w:val="21"/>
        </w:rPr>
      </w:pPr>
      <w:r>
        <w:rPr>
          <w:szCs w:val="21"/>
        </w:rPr>
        <w:t>由温室气体引起的气候变暖给人类和自然系统带来重大影响，是人类社会所面临的最大挑战之一。因而受到国际社会的高度重视与关注，并为此做出了持续的努力。如标准及计划的制定、注重产品的环保设计等方面，旨在限制地球大气中温室气体（GHG）的排放。碳足迹是基于生命周期评价的方法对于一个产品系统温室气体排放和吸收的汇总，以二氧化碳当量这种形式来表述。可以帮助个人和组织评估其对温室气体环境因素的影响，为环境报告提供有效信息。对于企业而言，是社会责任的一种体现。可根据确定的产品碳足迹来减少企业碳排放行为，并由此采取可行的措施来控制和减少碳排放，提高声誉并强化品牌，改善内部运营，节能减排，获得竞争优势。此外，碳足迹也是引导消费者环保行为的有效标识，引导消费决策。该标准实施之后将产生明显的环保效益和社会效益。</w:t>
      </w:r>
    </w:p>
    <w:p w14:paraId="2AADD2C3">
      <w:pPr>
        <w:pStyle w:val="35"/>
        <w:numPr>
          <w:ilvl w:val="0"/>
          <w:numId w:val="1"/>
        </w:numPr>
        <w:tabs>
          <w:tab w:val="left" w:pos="420"/>
          <w:tab w:val="clear" w:pos="0"/>
        </w:tabs>
        <w:spacing w:before="156" w:after="156" w:line="276" w:lineRule="auto"/>
      </w:pPr>
      <w:bookmarkStart w:id="202" w:name="_Toc28729"/>
      <w:bookmarkStart w:id="203" w:name="_Toc12427"/>
      <w:bookmarkStart w:id="204" w:name="_Toc529605006"/>
      <w:bookmarkStart w:id="205" w:name="_Toc59059105"/>
      <w:bookmarkStart w:id="206" w:name="_Toc17432"/>
      <w:bookmarkStart w:id="207" w:name="_Toc19520"/>
      <w:bookmarkStart w:id="208" w:name="_Toc12983"/>
      <w:bookmarkStart w:id="209" w:name="_Toc21778"/>
      <w:bookmarkStart w:id="210" w:name="_Toc25514"/>
      <w:bookmarkStart w:id="211" w:name="_Toc6883"/>
      <w:bookmarkStart w:id="212" w:name="_Toc1139492"/>
      <w:bookmarkStart w:id="213" w:name="_Toc3670"/>
      <w:bookmarkStart w:id="214" w:name="_Toc24876"/>
      <w:bookmarkStart w:id="215" w:name="_Toc4223"/>
      <w:r>
        <w:t>采用国际标准和国外先进标准情况，与国际、国外同类标准水平的对比情况，国内外关键指标对比分析或与测试的国外样品、样机的相关数据对比情况</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97B576F">
      <w:pPr>
        <w:spacing w:line="360" w:lineRule="auto"/>
        <w:ind w:firstLine="420" w:firstLineChars="200"/>
      </w:pPr>
      <w:r>
        <w:t>碳足迹标准大致可以分为了三个层级：</w:t>
      </w:r>
    </w:p>
    <w:p w14:paraId="3BD619F0">
      <w:pPr>
        <w:spacing w:line="360" w:lineRule="auto"/>
        <w:ind w:firstLine="420" w:firstLineChars="200"/>
      </w:pPr>
      <w:r>
        <w:t>（1）国家、部门或者地域层级：国际上比较通用的主要有《IPCC国家温室气体清单指南》以及《ICLEI城市温室气体排放清单指南》。</w:t>
      </w:r>
    </w:p>
    <w:p w14:paraId="1FADD326">
      <w:pPr>
        <w:spacing w:line="360" w:lineRule="auto"/>
        <w:ind w:firstLine="420" w:firstLineChars="200"/>
      </w:pPr>
      <w:r>
        <w:t>（2）企业、组织活动层级：主要包括GHG Protocol《企业核算与报告标准》以及 ISO 14064《标准系列》。</w:t>
      </w:r>
    </w:p>
    <w:p w14:paraId="6A8A0CCD">
      <w:pPr>
        <w:spacing w:line="360" w:lineRule="auto"/>
        <w:ind w:firstLine="420" w:firstLineChars="200"/>
      </w:pPr>
      <w:r>
        <w:t>（3）产品层级：国际标准主要有三个：PAS 2050《产品与服务生命周期温室气体排放的评价规范》、GHG Protocol《产品生命周期核算和报告标准》以及 GB/T 24067-2024《温室气体 产品的碳足迹 量化的要求和指南》。</w:t>
      </w:r>
    </w:p>
    <w:p w14:paraId="4D1A16EC">
      <w:pPr>
        <w:spacing w:line="360" w:lineRule="auto"/>
        <w:ind w:firstLine="420" w:firstLineChars="200"/>
      </w:pPr>
      <w:r>
        <w:t>其中，PAS 2050：2008是全世界第一个产品碳足迹核算标准， GHG protocol（2011）是世界资源研究所和世界可持续发展工商理事会正式发布的标准，是要求最为详细的碳足迹核算标准。ISO14067是由国际标准化组织发布，该标准被认为是更具普遍性的标准，提供了最近的要求和指导。</w:t>
      </w:r>
    </w:p>
    <w:p w14:paraId="7CEE3EA3">
      <w:pPr>
        <w:spacing w:line="360" w:lineRule="auto"/>
        <w:ind w:firstLine="420" w:firstLineChars="200"/>
      </w:pPr>
      <w:r>
        <w:t>PAS 2050《商品和服务在生命周期内的温室气体排放评价规范》是第一个产品碳足迹核算标准，也是GB/T 24067-2024《温室气体排放 产品碳足迹 量化要求和指南》正式出台前应用最广的产品碳足迹评价规范，于2008年10月公布，旨在对评估产品和服务生命周期内温室气体排放的要求做出明确的规定，使公司、客户和其他利益相关方通过对产品碳足迹的核算，在第一时间采取对于环境有益的恰当决策。PAS 2050在2011年进行了更新，更新后的版本对产品碳足迹核算提供了更加详细的要求和指导。参考ISO14040/44和PAS2050，世界其它国纷纷兴起制定适合本国的产品碳足迹（CFP） 计算标准，如世界资源研究所和世界可持续发展工商理事会（WRI/WBCSD）共同发起制定的“温室气体议定书”，日本标准TS Q0010-2009《日本温室气体排放评价指南》，以及BP X30-323《碳标识计划一般性准则文件》。</w:t>
      </w:r>
    </w:p>
    <w:p w14:paraId="5AE5EA6D">
      <w:pPr>
        <w:spacing w:line="360" w:lineRule="auto"/>
        <w:ind w:firstLine="420" w:firstLineChars="200"/>
      </w:pPr>
      <w:r>
        <w:t>2008 年 1 月，国际标准化组织（ISO）成立工作组并着手编制产品碳足迹的国际标准 GB/T 24067-2024《温室气体排放 产品碳足迹 量化要求和指南》。新标准主要是基于现存的 ISO标准：ISO 14040/44（生命周期评估）及 ISO 14025（环境标签） 《环境标志和声明  III型环境声明  原则和程序》。2012年 10 月，GB/T 24067-2024（2012）国际标准草案版公布。2013 年 5 月，其作为技术规范（technical specification）发表，全称为 ISO/TS 14067: 2013 温室气体 - 产品碳足迹-量化与沟通的规则与指南（ISO/TS14067:2013 Greenhouse gases - carbon footprint of products Require-ments and guidelines for quantification and communication）。为产品整个生命周期中的温室气体排放量的评估提供标准，令产品碳足迹能有效地在供应链、顾客及其他利益相关者之间沟通，并且为基于比较目的的计算结果提供了一个公认的根据ISO14067将首次实现产品和服务生命周期中二氧化碳排放量化，并确保相关数值可以在全球范围比较。</w:t>
      </w:r>
    </w:p>
    <w:p w14:paraId="415F3123">
      <w:pPr>
        <w:snapToGrid w:val="0"/>
        <w:spacing w:line="360" w:lineRule="auto"/>
        <w:ind w:firstLine="420" w:firstLineChars="200"/>
      </w:pPr>
      <w:r>
        <w:t>国内出台的产品碳足迹相关的标准，包括SJ/T 11717-2018《产品碳足迹 产品种类规则 液晶显示器》、SJ/T 11718-2018《产品碳足迹 产品种类规则 液晶电视机》、SJ/T 11735-2019《产品碳足迹 产品种类规则 便携式计算机》、SJ/T 11736-2019《产品碳足迹 产品种类规则 台式微型计算机》、DB31/T 1071-2017《产品碳足迹核算通则》、DB11/T 1860-2021《电子信息产品碳足迹核算指南》等。本标准的标准框架及计算方法可参考国内出台的产品碳足迹相关的标准，包括SJ/T 11717-2018《产品碳足迹 产品种类规则 液晶显示器》、SJ/T 11718-2018《产品碳足迹 产品种类规则 液晶电视机》、SJ/T 11735-2019《产品碳足迹 产品种类规则 便携式计算机》、SJ/T 11736-2019《产品碳足迹 产品种类规则 台式微型计算机》、DB31/T 1071-2017《产品碳足迹核算通则》、DB11/T 1860-2021《电子信息产品碳足迹核算指南》等。此外，</w:t>
      </w:r>
      <w:r>
        <w:rPr>
          <w:rFonts w:hint="eastAsia"/>
        </w:rPr>
        <w:t>有色</w:t>
      </w:r>
      <w:r>
        <w:t>行业已立项编制的</w:t>
      </w:r>
      <w:r>
        <w:rPr>
          <w:rFonts w:hint="eastAsia"/>
        </w:rPr>
        <w:t>国家</w:t>
      </w:r>
      <w:r>
        <w:t>标准有：《</w:t>
      </w:r>
      <w:r>
        <w:rPr>
          <w:rFonts w:hint="eastAsia"/>
        </w:rPr>
        <w:t>温室气体 产品碳足迹量化方法与要求 电解铝</w:t>
      </w:r>
      <w:r>
        <w:t>》（20</w:t>
      </w:r>
      <w:r>
        <w:rPr>
          <w:rFonts w:hint="eastAsia"/>
        </w:rPr>
        <w:t>240020-T-610</w:t>
      </w:r>
      <w:r>
        <w:t>），已立项编制的</w:t>
      </w:r>
      <w:r>
        <w:rPr>
          <w:rFonts w:hint="eastAsia"/>
        </w:rPr>
        <w:t>有色行业</w:t>
      </w:r>
      <w:r>
        <w:t>标准有：《</w:t>
      </w:r>
      <w:r>
        <w:rPr>
          <w:rFonts w:hint="eastAsia"/>
        </w:rPr>
        <w:t>温室气体 产品碳足迹量化方法与要求 阴极铜</w:t>
      </w:r>
      <w:r>
        <w:t>》（</w:t>
      </w:r>
      <w:r>
        <w:rPr>
          <w:rFonts w:hint="eastAsia"/>
        </w:rPr>
        <w:t>2023-1431T-YS</w:t>
      </w:r>
      <w:r>
        <w:t>）</w:t>
      </w:r>
      <w:r>
        <w:rPr>
          <w:rFonts w:hint="eastAsia"/>
        </w:rPr>
        <w:t>、</w:t>
      </w:r>
      <w:r>
        <w:t>《</w:t>
      </w:r>
      <w:r>
        <w:rPr>
          <w:rFonts w:hint="eastAsia"/>
        </w:rPr>
        <w:t>温室气体 产品碳足迹量化方法与要求 铅锭</w:t>
      </w:r>
      <w:r>
        <w:t>》（</w:t>
      </w:r>
      <w:r>
        <w:rPr>
          <w:rFonts w:hint="eastAsia"/>
        </w:rPr>
        <w:t>2023-1429T-YS</w:t>
      </w:r>
      <w:r>
        <w:t>）</w:t>
      </w:r>
      <w:r>
        <w:rPr>
          <w:rFonts w:hint="eastAsia"/>
        </w:rPr>
        <w:t>、</w:t>
      </w:r>
      <w:r>
        <w:t>《</w:t>
      </w:r>
      <w:r>
        <w:rPr>
          <w:rFonts w:hint="eastAsia"/>
        </w:rPr>
        <w:t>温室气体 产品碳足迹量化方法与要求 锌锭</w:t>
      </w:r>
      <w:r>
        <w:t>》（</w:t>
      </w:r>
      <w:r>
        <w:rPr>
          <w:rFonts w:hint="eastAsia"/>
        </w:rPr>
        <w:t>2023-1430T-YS</w:t>
      </w:r>
      <w:r>
        <w:t>）</w:t>
      </w:r>
      <w:r>
        <w:rPr>
          <w:rFonts w:hint="eastAsia"/>
        </w:rPr>
        <w:t>,</w:t>
      </w:r>
      <w:r>
        <w:t>已立项编制的</w:t>
      </w:r>
      <w:r>
        <w:rPr>
          <w:rFonts w:hint="eastAsia"/>
        </w:rPr>
        <w:t>有色团体</w:t>
      </w:r>
      <w:r>
        <w:t>标准有：《</w:t>
      </w:r>
      <w:r>
        <w:rPr>
          <w:rFonts w:hint="eastAsia"/>
        </w:rPr>
        <w:t>温室气体 产品碳足迹量化方法与要求 工业硅</w:t>
      </w:r>
      <w:r>
        <w:t>》（</w:t>
      </w:r>
      <w:r>
        <w:rPr>
          <w:rFonts w:hint="eastAsia"/>
        </w:rPr>
        <w:t>2024-041-T/CNIA</w:t>
      </w:r>
      <w:r>
        <w:t>）</w:t>
      </w:r>
      <w:r>
        <w:rPr>
          <w:rFonts w:hint="eastAsia"/>
        </w:rPr>
        <w:t>等</w:t>
      </w:r>
      <w:r>
        <w:t>，上述标准均可为本标准的制定提供参考。</w:t>
      </w:r>
    </w:p>
    <w:p w14:paraId="7BECE7E0">
      <w:pPr>
        <w:pStyle w:val="35"/>
        <w:numPr>
          <w:ilvl w:val="0"/>
          <w:numId w:val="1"/>
        </w:numPr>
        <w:tabs>
          <w:tab w:val="left" w:pos="420"/>
          <w:tab w:val="clear" w:pos="0"/>
        </w:tabs>
        <w:spacing w:before="156" w:after="156" w:line="276" w:lineRule="auto"/>
      </w:pPr>
      <w:bookmarkStart w:id="216" w:name="_Toc29125"/>
      <w:bookmarkStart w:id="217" w:name="_Toc24771"/>
      <w:bookmarkStart w:id="218" w:name="_Toc59059106"/>
      <w:bookmarkStart w:id="219" w:name="_Toc28134"/>
      <w:bookmarkStart w:id="220" w:name="_Toc15410"/>
      <w:bookmarkStart w:id="221" w:name="_Toc17514"/>
      <w:bookmarkStart w:id="222" w:name="_Toc529605007"/>
      <w:bookmarkStart w:id="223" w:name="_Toc24094"/>
      <w:bookmarkStart w:id="224" w:name="_Toc13457"/>
      <w:bookmarkStart w:id="225" w:name="_Toc29663"/>
      <w:bookmarkStart w:id="226" w:name="_Toc1139493"/>
      <w:bookmarkStart w:id="227" w:name="_Toc209"/>
      <w:bookmarkStart w:id="228" w:name="_Toc7184"/>
      <w:bookmarkStart w:id="229" w:name="_Toc10560"/>
      <w:r>
        <w:t>与现行相关法律、法规、规章及相关标准，特别是强制性标准的协调性</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A886640">
      <w:pPr>
        <w:spacing w:line="360" w:lineRule="auto"/>
        <w:ind w:firstLine="420" w:firstLineChars="200"/>
      </w:pPr>
      <w:r>
        <w:t>本标准与现行相关法律、法规、规章及相关标准协调一致。</w:t>
      </w:r>
    </w:p>
    <w:p w14:paraId="6DC7720D">
      <w:pPr>
        <w:pStyle w:val="35"/>
        <w:numPr>
          <w:ilvl w:val="0"/>
          <w:numId w:val="1"/>
        </w:numPr>
        <w:tabs>
          <w:tab w:val="left" w:pos="420"/>
          <w:tab w:val="clear" w:pos="0"/>
        </w:tabs>
        <w:spacing w:before="156" w:after="156" w:line="276" w:lineRule="auto"/>
      </w:pPr>
      <w:bookmarkStart w:id="230" w:name="_Toc28313"/>
      <w:bookmarkStart w:id="231" w:name="_Toc1139494"/>
      <w:bookmarkStart w:id="232" w:name="_Toc20550"/>
      <w:bookmarkStart w:id="233" w:name="_Toc18942"/>
      <w:bookmarkStart w:id="234" w:name="_Toc2198"/>
      <w:bookmarkStart w:id="235" w:name="_Toc32174"/>
      <w:bookmarkStart w:id="236" w:name="_Toc1486"/>
      <w:bookmarkStart w:id="237" w:name="_Toc529605008"/>
      <w:bookmarkStart w:id="238" w:name="_Toc10129"/>
      <w:bookmarkStart w:id="239" w:name="_Toc6860"/>
      <w:bookmarkStart w:id="240" w:name="_Toc29201"/>
      <w:bookmarkStart w:id="241" w:name="_Toc59059107"/>
      <w:bookmarkStart w:id="242" w:name="_Toc24833"/>
      <w:bookmarkStart w:id="243" w:name="_Toc30656"/>
      <w:r>
        <w:t>重大分歧意见的处理经过和依据</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76F3D88">
      <w:pPr>
        <w:spacing w:line="360" w:lineRule="auto"/>
        <w:ind w:firstLine="420" w:firstLineChars="200"/>
      </w:pPr>
      <w:r>
        <w:rPr>
          <w:rFonts w:hint="eastAsia"/>
        </w:rPr>
        <w:t>无。</w:t>
      </w:r>
    </w:p>
    <w:p w14:paraId="219857F6">
      <w:pPr>
        <w:pStyle w:val="35"/>
        <w:numPr>
          <w:ilvl w:val="0"/>
          <w:numId w:val="1"/>
        </w:numPr>
        <w:tabs>
          <w:tab w:val="left" w:pos="420"/>
          <w:tab w:val="clear" w:pos="0"/>
        </w:tabs>
        <w:spacing w:before="156" w:after="156" w:line="276" w:lineRule="auto"/>
      </w:pPr>
      <w:bookmarkStart w:id="244" w:name="_Toc26263"/>
      <w:bookmarkStart w:id="245" w:name="_Toc1139495"/>
      <w:bookmarkStart w:id="246" w:name="_Toc29826"/>
      <w:bookmarkStart w:id="247" w:name="_Toc15340"/>
      <w:bookmarkStart w:id="248" w:name="_Toc32301"/>
      <w:bookmarkStart w:id="249" w:name="_Toc529605009"/>
      <w:bookmarkStart w:id="250" w:name="_Toc28404"/>
      <w:bookmarkStart w:id="251" w:name="_Toc29819"/>
      <w:bookmarkStart w:id="252" w:name="_Toc9350"/>
      <w:bookmarkStart w:id="253" w:name="_Toc4615"/>
      <w:bookmarkStart w:id="254" w:name="_Toc59059108"/>
      <w:bookmarkStart w:id="255" w:name="_Toc3833"/>
      <w:bookmarkStart w:id="256" w:name="_Toc11003"/>
      <w:bookmarkStart w:id="257" w:name="_Toc15732"/>
      <w:r>
        <w:t>标准性质的建议说明</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C732BC4">
      <w:pPr>
        <w:spacing w:line="276" w:lineRule="auto"/>
        <w:ind w:firstLine="420" w:firstLineChars="200"/>
      </w:pPr>
      <w:r>
        <w:t>建议本标准作为推荐性</w:t>
      </w:r>
      <w:r>
        <w:rPr>
          <w:rFonts w:hint="eastAsia"/>
          <w:lang w:val="en-US" w:eastAsia="zh-CN"/>
        </w:rPr>
        <w:t>团体</w:t>
      </w:r>
      <w:bookmarkStart w:id="300" w:name="_GoBack"/>
      <w:bookmarkEnd w:id="300"/>
      <w:r>
        <w:t>标准发布。</w:t>
      </w:r>
    </w:p>
    <w:p w14:paraId="1962EF46">
      <w:pPr>
        <w:pStyle w:val="35"/>
        <w:numPr>
          <w:ilvl w:val="0"/>
          <w:numId w:val="1"/>
        </w:numPr>
        <w:tabs>
          <w:tab w:val="left" w:pos="420"/>
          <w:tab w:val="clear" w:pos="0"/>
        </w:tabs>
        <w:spacing w:before="156" w:after="156" w:line="276" w:lineRule="auto"/>
      </w:pPr>
      <w:bookmarkStart w:id="258" w:name="_Toc31044"/>
      <w:bookmarkStart w:id="259" w:name="_Toc529605010"/>
      <w:bookmarkStart w:id="260" w:name="_Toc3113"/>
      <w:bookmarkStart w:id="261" w:name="_Toc27864"/>
      <w:bookmarkStart w:id="262" w:name="_Toc1139496"/>
      <w:bookmarkStart w:id="263" w:name="_Toc29623"/>
      <w:bookmarkStart w:id="264" w:name="_Toc32499"/>
      <w:bookmarkStart w:id="265" w:name="_Toc1558"/>
      <w:bookmarkStart w:id="266" w:name="_Toc26964"/>
      <w:bookmarkStart w:id="267" w:name="_Toc27299"/>
      <w:bookmarkStart w:id="268" w:name="_Toc3649"/>
      <w:bookmarkStart w:id="269" w:name="_Toc2777"/>
      <w:bookmarkStart w:id="270" w:name="_Toc59059109"/>
      <w:bookmarkStart w:id="271" w:name="_Toc9791"/>
      <w:r>
        <w:t>贯彻标准的要求和措施建议（包括组织措施、技术措施、过度办法、实施日期等）</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38207A8">
      <w:pPr>
        <w:spacing w:line="276" w:lineRule="auto"/>
        <w:ind w:firstLine="420" w:firstLineChars="200"/>
      </w:pPr>
      <w:r>
        <w:t>建议按照标准报批计划确定实施日期。</w:t>
      </w:r>
    </w:p>
    <w:p w14:paraId="2E6C667D">
      <w:pPr>
        <w:pStyle w:val="35"/>
        <w:numPr>
          <w:ilvl w:val="0"/>
          <w:numId w:val="1"/>
        </w:numPr>
        <w:tabs>
          <w:tab w:val="left" w:pos="420"/>
          <w:tab w:val="clear" w:pos="0"/>
        </w:tabs>
        <w:spacing w:before="156" w:after="156" w:line="276" w:lineRule="auto"/>
      </w:pPr>
      <w:bookmarkStart w:id="272" w:name="_Toc13323"/>
      <w:bookmarkStart w:id="273" w:name="_Toc19030"/>
      <w:bookmarkStart w:id="274" w:name="_Toc29951"/>
      <w:bookmarkStart w:id="275" w:name="_Toc4994"/>
      <w:bookmarkStart w:id="276" w:name="_Toc4074"/>
      <w:bookmarkStart w:id="277" w:name="_Toc4267"/>
      <w:bookmarkStart w:id="278" w:name="_Toc31455"/>
      <w:bookmarkStart w:id="279" w:name="_Toc529605011"/>
      <w:bookmarkStart w:id="280" w:name="_Toc12699"/>
      <w:bookmarkStart w:id="281" w:name="_Toc1892"/>
      <w:bookmarkStart w:id="282" w:name="_Toc11324"/>
      <w:bookmarkStart w:id="283" w:name="_Toc482"/>
      <w:bookmarkStart w:id="284" w:name="_Toc59059110"/>
      <w:bookmarkStart w:id="285" w:name="_Toc1139497"/>
      <w:r>
        <w:t>废止现行相关标准的建议</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FA49491">
      <w:pPr>
        <w:spacing w:line="276" w:lineRule="auto"/>
        <w:ind w:firstLine="420" w:firstLineChars="200"/>
      </w:pPr>
      <w:r>
        <w:t>无。</w:t>
      </w:r>
    </w:p>
    <w:p w14:paraId="37E43945">
      <w:pPr>
        <w:pStyle w:val="35"/>
        <w:numPr>
          <w:ilvl w:val="0"/>
          <w:numId w:val="1"/>
        </w:numPr>
        <w:tabs>
          <w:tab w:val="left" w:pos="420"/>
          <w:tab w:val="clear" w:pos="0"/>
        </w:tabs>
        <w:spacing w:before="156" w:after="156" w:line="276" w:lineRule="auto"/>
      </w:pPr>
      <w:bookmarkStart w:id="286" w:name="_Toc4500"/>
      <w:bookmarkStart w:id="287" w:name="_Toc59059111"/>
      <w:bookmarkStart w:id="288" w:name="_Toc26395"/>
      <w:bookmarkStart w:id="289" w:name="_Toc28062"/>
      <w:bookmarkStart w:id="290" w:name="_Toc4559"/>
      <w:bookmarkStart w:id="291" w:name="_Toc20669"/>
      <w:bookmarkStart w:id="292" w:name="_Toc529605012"/>
      <w:bookmarkStart w:id="293" w:name="_Toc21435"/>
      <w:bookmarkStart w:id="294" w:name="_Toc16876"/>
      <w:bookmarkStart w:id="295" w:name="_Toc1139498"/>
      <w:bookmarkStart w:id="296" w:name="_Toc9213"/>
      <w:bookmarkStart w:id="297" w:name="_Toc21500"/>
      <w:bookmarkStart w:id="298" w:name="_Toc13362"/>
      <w:bookmarkStart w:id="299" w:name="_Toc8421"/>
      <w:r>
        <w:t>其它应予说明的事项</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4975E78E">
      <w:pPr>
        <w:spacing w:line="276" w:lineRule="auto"/>
        <w:ind w:firstLine="420" w:firstLineChars="200"/>
      </w:pPr>
      <w:r>
        <w:t>无。</w:t>
      </w:r>
    </w:p>
    <w:sectPr>
      <w:footerReference r:id="rId7" w:type="default"/>
      <w:pgSz w:w="11906" w:h="16838"/>
      <w:pgMar w:top="1440" w:right="1800" w:bottom="1440" w:left="1800" w:header="737" w:footer="737"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B0C6">
    <w:pPr>
      <w:pStyle w:val="36"/>
      <w:jc w:val="center"/>
      <w:rPr>
        <w:rFonts w:asci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34276"/>
    </w:sdtPr>
    <w:sdtContent>
      <w:p w14:paraId="684302B6">
        <w:pPr>
          <w:pStyle w:val="15"/>
          <w:jc w:val="center"/>
        </w:pPr>
        <w:r>
          <w:t>-</w:t>
        </w:r>
        <w:r>
          <w:rPr>
            <w:w w:val="50"/>
          </w:rPr>
          <w:t xml:space="preserve"> </w:t>
        </w:r>
        <w:r>
          <w:fldChar w:fldCharType="begin"/>
        </w:r>
        <w:r>
          <w:instrText xml:space="preserve">PAGE   \* MERGEFORMAT</w:instrText>
        </w:r>
        <w:r>
          <w:fldChar w:fldCharType="separate"/>
        </w:r>
        <w:r>
          <w:rPr>
            <w:lang w:val="zh-CN"/>
          </w:rPr>
          <w:t>6</w:t>
        </w:r>
        <w:r>
          <w:fldChar w:fldCharType="end"/>
        </w:r>
        <w:r>
          <w:rPr>
            <w:w w:val="50"/>
          </w:rPr>
          <w:t xml:space="preserve"> </w:t>
        </w:r>
        <w: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1006">
    <w:pPr>
      <w:pStyle w:val="36"/>
      <w:jc w:val="center"/>
      <w:rPr>
        <w:rFonts w:asci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0FB47">
                          <w:pPr>
                            <w:pStyle w:val="36"/>
                            <w:jc w:val="cente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40</w:t>
                          </w:r>
                          <w:r>
                            <w:rPr>
                              <w:rFonts w:ascii="Times New Roman"/>
                              <w:sz w:val="21"/>
                              <w:szCs w:val="21"/>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B5FMQBAACQ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Vj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NB5FMQBAACQAwAADgAAAAAAAAABACAAAAAeAQAAZHJzL2Uyb0RvYy54bWxQ&#10;SwUGAAAAAAYABgBZAQAAVAUAAAAA&#10;">
              <v:fill on="f" focussize="0,0"/>
              <v:stroke on="f"/>
              <v:imagedata o:title=""/>
              <o:lock v:ext="edit" aspectratio="f"/>
              <v:textbox inset="0mm,0mm,0mm,0mm" style="mso-fit-shape-to-text:t;">
                <w:txbxContent>
                  <w:p w14:paraId="3E10FB47">
                    <w:pPr>
                      <w:pStyle w:val="36"/>
                      <w:jc w:val="cente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40</w:t>
                    </w:r>
                    <w:r>
                      <w:rPr>
                        <w:rFonts w:ascii="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E3E3">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7521">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45D91"/>
    <w:multiLevelType w:val="multilevel"/>
    <w:tmpl w:val="54445D91"/>
    <w:lvl w:ilvl="0" w:tentative="0">
      <w:start w:val="1"/>
      <w:numFmt w:val="chineseCounting"/>
      <w:suff w:val="nothing"/>
      <w:lvlText w:val="%1、"/>
      <w:lvlJc w:val="left"/>
      <w:pPr>
        <w:tabs>
          <w:tab w:val="left" w:pos="0"/>
        </w:tabs>
        <w:ind w:left="425" w:hanging="425"/>
      </w:pPr>
      <w:rPr>
        <w:rFonts w:hint="eastAsia"/>
      </w:rPr>
    </w:lvl>
    <w:lvl w:ilvl="1" w:tentative="0">
      <w:start w:val="1"/>
      <w:numFmt w:val="decimal"/>
      <w:isLgl/>
      <w:lvlText w:val="%1.%2."/>
      <w:lvlJc w:val="left"/>
      <w:pPr>
        <w:tabs>
          <w:tab w:val="left" w:pos="420"/>
        </w:tabs>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6E395AA5"/>
    <w:multiLevelType w:val="multilevel"/>
    <w:tmpl w:val="6E395A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9C30D0"/>
    <w:rsid w:val="000001EB"/>
    <w:rsid w:val="000011B9"/>
    <w:rsid w:val="00006873"/>
    <w:rsid w:val="00010727"/>
    <w:rsid w:val="00020FF4"/>
    <w:rsid w:val="00021776"/>
    <w:rsid w:val="000362B6"/>
    <w:rsid w:val="00042E85"/>
    <w:rsid w:val="00046F34"/>
    <w:rsid w:val="000534B2"/>
    <w:rsid w:val="00053E90"/>
    <w:rsid w:val="00054751"/>
    <w:rsid w:val="000575D3"/>
    <w:rsid w:val="000620E9"/>
    <w:rsid w:val="00062543"/>
    <w:rsid w:val="00073121"/>
    <w:rsid w:val="000753E9"/>
    <w:rsid w:val="000778AC"/>
    <w:rsid w:val="00081032"/>
    <w:rsid w:val="00083C87"/>
    <w:rsid w:val="000911CC"/>
    <w:rsid w:val="000B69D3"/>
    <w:rsid w:val="000C6080"/>
    <w:rsid w:val="000F6843"/>
    <w:rsid w:val="00102A33"/>
    <w:rsid w:val="00104E4C"/>
    <w:rsid w:val="00105E72"/>
    <w:rsid w:val="00106511"/>
    <w:rsid w:val="00112A5F"/>
    <w:rsid w:val="00113A15"/>
    <w:rsid w:val="001146E4"/>
    <w:rsid w:val="00116DA5"/>
    <w:rsid w:val="00122E58"/>
    <w:rsid w:val="001258F8"/>
    <w:rsid w:val="001323FF"/>
    <w:rsid w:val="001366A9"/>
    <w:rsid w:val="00137D72"/>
    <w:rsid w:val="00141106"/>
    <w:rsid w:val="00141330"/>
    <w:rsid w:val="00147CA6"/>
    <w:rsid w:val="001535C7"/>
    <w:rsid w:val="00153719"/>
    <w:rsid w:val="0015492B"/>
    <w:rsid w:val="001709F3"/>
    <w:rsid w:val="00185698"/>
    <w:rsid w:val="00185FCA"/>
    <w:rsid w:val="001959B5"/>
    <w:rsid w:val="001A17B8"/>
    <w:rsid w:val="001A17F5"/>
    <w:rsid w:val="001A3F25"/>
    <w:rsid w:val="001B6084"/>
    <w:rsid w:val="001C0805"/>
    <w:rsid w:val="001C605F"/>
    <w:rsid w:val="001D16BE"/>
    <w:rsid w:val="001D426C"/>
    <w:rsid w:val="001D42E8"/>
    <w:rsid w:val="001E3404"/>
    <w:rsid w:val="001E6DDC"/>
    <w:rsid w:val="001F2252"/>
    <w:rsid w:val="001F59C5"/>
    <w:rsid w:val="00204667"/>
    <w:rsid w:val="00205BA7"/>
    <w:rsid w:val="00210BFB"/>
    <w:rsid w:val="00225613"/>
    <w:rsid w:val="002318C6"/>
    <w:rsid w:val="00233615"/>
    <w:rsid w:val="0023377E"/>
    <w:rsid w:val="0023625C"/>
    <w:rsid w:val="00242B95"/>
    <w:rsid w:val="002465B3"/>
    <w:rsid w:val="00250B7E"/>
    <w:rsid w:val="0025336F"/>
    <w:rsid w:val="00262C6F"/>
    <w:rsid w:val="00262F94"/>
    <w:rsid w:val="00272BB7"/>
    <w:rsid w:val="00274182"/>
    <w:rsid w:val="00275EB4"/>
    <w:rsid w:val="00276477"/>
    <w:rsid w:val="002779BC"/>
    <w:rsid w:val="00283EDC"/>
    <w:rsid w:val="00287897"/>
    <w:rsid w:val="002A16D9"/>
    <w:rsid w:val="002A3CD3"/>
    <w:rsid w:val="002B7C1C"/>
    <w:rsid w:val="002C467F"/>
    <w:rsid w:val="002C5EFF"/>
    <w:rsid w:val="002C736F"/>
    <w:rsid w:val="002D00E8"/>
    <w:rsid w:val="002D40EE"/>
    <w:rsid w:val="002D6125"/>
    <w:rsid w:val="002E20C1"/>
    <w:rsid w:val="002F066E"/>
    <w:rsid w:val="002F1468"/>
    <w:rsid w:val="002F5418"/>
    <w:rsid w:val="00304B7C"/>
    <w:rsid w:val="00306675"/>
    <w:rsid w:val="00314902"/>
    <w:rsid w:val="00333371"/>
    <w:rsid w:val="00336DD2"/>
    <w:rsid w:val="00337AC8"/>
    <w:rsid w:val="00340635"/>
    <w:rsid w:val="00341C16"/>
    <w:rsid w:val="0035107A"/>
    <w:rsid w:val="00352874"/>
    <w:rsid w:val="00352F96"/>
    <w:rsid w:val="0035391B"/>
    <w:rsid w:val="00377334"/>
    <w:rsid w:val="00390E1F"/>
    <w:rsid w:val="003A0046"/>
    <w:rsid w:val="003A13F1"/>
    <w:rsid w:val="003B1C08"/>
    <w:rsid w:val="003B1C14"/>
    <w:rsid w:val="003B206F"/>
    <w:rsid w:val="003B4865"/>
    <w:rsid w:val="003C2DFE"/>
    <w:rsid w:val="003C3074"/>
    <w:rsid w:val="003C3550"/>
    <w:rsid w:val="003C4708"/>
    <w:rsid w:val="003C7EB4"/>
    <w:rsid w:val="003D01C6"/>
    <w:rsid w:val="003D568A"/>
    <w:rsid w:val="003D6107"/>
    <w:rsid w:val="003D7E41"/>
    <w:rsid w:val="003E01E7"/>
    <w:rsid w:val="003E2A9B"/>
    <w:rsid w:val="003E3D40"/>
    <w:rsid w:val="003E42C5"/>
    <w:rsid w:val="003F346D"/>
    <w:rsid w:val="003F3584"/>
    <w:rsid w:val="003F562D"/>
    <w:rsid w:val="003F5F8B"/>
    <w:rsid w:val="004018EC"/>
    <w:rsid w:val="004070E7"/>
    <w:rsid w:val="00413E41"/>
    <w:rsid w:val="00415C95"/>
    <w:rsid w:val="004342D4"/>
    <w:rsid w:val="00442065"/>
    <w:rsid w:val="004465B1"/>
    <w:rsid w:val="004544F3"/>
    <w:rsid w:val="00456729"/>
    <w:rsid w:val="00456B24"/>
    <w:rsid w:val="00461020"/>
    <w:rsid w:val="00462225"/>
    <w:rsid w:val="004655F7"/>
    <w:rsid w:val="00474EAD"/>
    <w:rsid w:val="00477778"/>
    <w:rsid w:val="00486EA7"/>
    <w:rsid w:val="00492AA2"/>
    <w:rsid w:val="004943E5"/>
    <w:rsid w:val="00494B49"/>
    <w:rsid w:val="00497099"/>
    <w:rsid w:val="004A2A7F"/>
    <w:rsid w:val="004A3A9F"/>
    <w:rsid w:val="004A434D"/>
    <w:rsid w:val="004A5162"/>
    <w:rsid w:val="004A55FE"/>
    <w:rsid w:val="004A6950"/>
    <w:rsid w:val="004A72AD"/>
    <w:rsid w:val="004B77A4"/>
    <w:rsid w:val="004C4C85"/>
    <w:rsid w:val="004D11BA"/>
    <w:rsid w:val="004D2585"/>
    <w:rsid w:val="004D3D72"/>
    <w:rsid w:val="004D434D"/>
    <w:rsid w:val="004D61B6"/>
    <w:rsid w:val="004E3EBF"/>
    <w:rsid w:val="004E7EC3"/>
    <w:rsid w:val="004F025C"/>
    <w:rsid w:val="004F3DA0"/>
    <w:rsid w:val="004F4658"/>
    <w:rsid w:val="0050224F"/>
    <w:rsid w:val="00502513"/>
    <w:rsid w:val="00502D64"/>
    <w:rsid w:val="00502DEC"/>
    <w:rsid w:val="00504102"/>
    <w:rsid w:val="00506676"/>
    <w:rsid w:val="00513D33"/>
    <w:rsid w:val="005142D7"/>
    <w:rsid w:val="0052090D"/>
    <w:rsid w:val="005215E8"/>
    <w:rsid w:val="005302B2"/>
    <w:rsid w:val="00535357"/>
    <w:rsid w:val="005366DD"/>
    <w:rsid w:val="005419FE"/>
    <w:rsid w:val="0054325F"/>
    <w:rsid w:val="00546BC3"/>
    <w:rsid w:val="00550664"/>
    <w:rsid w:val="00550FA2"/>
    <w:rsid w:val="005540FE"/>
    <w:rsid w:val="00564966"/>
    <w:rsid w:val="00566EF1"/>
    <w:rsid w:val="00571A4D"/>
    <w:rsid w:val="005778D9"/>
    <w:rsid w:val="005779D0"/>
    <w:rsid w:val="00577E70"/>
    <w:rsid w:val="00583FD6"/>
    <w:rsid w:val="005A01F9"/>
    <w:rsid w:val="005A1F83"/>
    <w:rsid w:val="005A3585"/>
    <w:rsid w:val="005A6780"/>
    <w:rsid w:val="005A729B"/>
    <w:rsid w:val="005A7941"/>
    <w:rsid w:val="005B12DC"/>
    <w:rsid w:val="005B3368"/>
    <w:rsid w:val="005B6DBC"/>
    <w:rsid w:val="005C00EE"/>
    <w:rsid w:val="005C179A"/>
    <w:rsid w:val="005C2C74"/>
    <w:rsid w:val="005D293F"/>
    <w:rsid w:val="005E235A"/>
    <w:rsid w:val="005E36C5"/>
    <w:rsid w:val="005E558A"/>
    <w:rsid w:val="005E6B3D"/>
    <w:rsid w:val="005F1D26"/>
    <w:rsid w:val="005F2270"/>
    <w:rsid w:val="005F3266"/>
    <w:rsid w:val="005F45C9"/>
    <w:rsid w:val="005F6A21"/>
    <w:rsid w:val="005F6D75"/>
    <w:rsid w:val="0061029A"/>
    <w:rsid w:val="00612F30"/>
    <w:rsid w:val="0061645B"/>
    <w:rsid w:val="00622CDD"/>
    <w:rsid w:val="006269AB"/>
    <w:rsid w:val="006429EA"/>
    <w:rsid w:val="00651670"/>
    <w:rsid w:val="00653168"/>
    <w:rsid w:val="00653D28"/>
    <w:rsid w:val="00654B7A"/>
    <w:rsid w:val="006572C6"/>
    <w:rsid w:val="006573E1"/>
    <w:rsid w:val="00660047"/>
    <w:rsid w:val="00661DF9"/>
    <w:rsid w:val="00666496"/>
    <w:rsid w:val="00670ABC"/>
    <w:rsid w:val="0067424B"/>
    <w:rsid w:val="0068257E"/>
    <w:rsid w:val="006A1842"/>
    <w:rsid w:val="006A2E32"/>
    <w:rsid w:val="006B7715"/>
    <w:rsid w:val="006D5BF8"/>
    <w:rsid w:val="006D6C24"/>
    <w:rsid w:val="006E2AF8"/>
    <w:rsid w:val="006E683B"/>
    <w:rsid w:val="006E706A"/>
    <w:rsid w:val="006F01A3"/>
    <w:rsid w:val="006F35EC"/>
    <w:rsid w:val="006F4150"/>
    <w:rsid w:val="006F4855"/>
    <w:rsid w:val="006F65B2"/>
    <w:rsid w:val="0070009F"/>
    <w:rsid w:val="00700121"/>
    <w:rsid w:val="007010E1"/>
    <w:rsid w:val="00703333"/>
    <w:rsid w:val="007115D2"/>
    <w:rsid w:val="00711668"/>
    <w:rsid w:val="00712C1F"/>
    <w:rsid w:val="007163F8"/>
    <w:rsid w:val="007255E0"/>
    <w:rsid w:val="007270EB"/>
    <w:rsid w:val="00731ABE"/>
    <w:rsid w:val="007361CF"/>
    <w:rsid w:val="0074266D"/>
    <w:rsid w:val="00747B44"/>
    <w:rsid w:val="0075275F"/>
    <w:rsid w:val="00753514"/>
    <w:rsid w:val="00755AA0"/>
    <w:rsid w:val="00757492"/>
    <w:rsid w:val="007631B1"/>
    <w:rsid w:val="007655AC"/>
    <w:rsid w:val="00767A70"/>
    <w:rsid w:val="00774FAE"/>
    <w:rsid w:val="00776372"/>
    <w:rsid w:val="00784095"/>
    <w:rsid w:val="00792CDC"/>
    <w:rsid w:val="00794463"/>
    <w:rsid w:val="0079652D"/>
    <w:rsid w:val="00796B91"/>
    <w:rsid w:val="007A0325"/>
    <w:rsid w:val="007A12DF"/>
    <w:rsid w:val="007A5AD3"/>
    <w:rsid w:val="007B1886"/>
    <w:rsid w:val="007B6D59"/>
    <w:rsid w:val="007C09EF"/>
    <w:rsid w:val="007C0AC6"/>
    <w:rsid w:val="007C11EE"/>
    <w:rsid w:val="007C215C"/>
    <w:rsid w:val="007C35B0"/>
    <w:rsid w:val="007C7356"/>
    <w:rsid w:val="007D253B"/>
    <w:rsid w:val="007E0CB1"/>
    <w:rsid w:val="007F3B58"/>
    <w:rsid w:val="007F7044"/>
    <w:rsid w:val="008079FE"/>
    <w:rsid w:val="00807FC9"/>
    <w:rsid w:val="00810383"/>
    <w:rsid w:val="00811E20"/>
    <w:rsid w:val="00812E52"/>
    <w:rsid w:val="00813515"/>
    <w:rsid w:val="00816F69"/>
    <w:rsid w:val="008170D8"/>
    <w:rsid w:val="008178F1"/>
    <w:rsid w:val="00817976"/>
    <w:rsid w:val="00817B9D"/>
    <w:rsid w:val="0082095C"/>
    <w:rsid w:val="0083581F"/>
    <w:rsid w:val="008402B2"/>
    <w:rsid w:val="00842BB6"/>
    <w:rsid w:val="00844176"/>
    <w:rsid w:val="0084428B"/>
    <w:rsid w:val="00844647"/>
    <w:rsid w:val="008464C4"/>
    <w:rsid w:val="00853307"/>
    <w:rsid w:val="00860DE0"/>
    <w:rsid w:val="00867113"/>
    <w:rsid w:val="00874CCA"/>
    <w:rsid w:val="0087759D"/>
    <w:rsid w:val="0088050F"/>
    <w:rsid w:val="00884EED"/>
    <w:rsid w:val="00890C58"/>
    <w:rsid w:val="00891CE2"/>
    <w:rsid w:val="00892285"/>
    <w:rsid w:val="0089496B"/>
    <w:rsid w:val="008954B9"/>
    <w:rsid w:val="00895DFE"/>
    <w:rsid w:val="00897660"/>
    <w:rsid w:val="008A4236"/>
    <w:rsid w:val="008A4606"/>
    <w:rsid w:val="008A503D"/>
    <w:rsid w:val="008A52F4"/>
    <w:rsid w:val="008B19C7"/>
    <w:rsid w:val="008B6021"/>
    <w:rsid w:val="008C19FB"/>
    <w:rsid w:val="008C2388"/>
    <w:rsid w:val="008C4A2A"/>
    <w:rsid w:val="008C7ABD"/>
    <w:rsid w:val="008E6EEF"/>
    <w:rsid w:val="008F390F"/>
    <w:rsid w:val="0091204A"/>
    <w:rsid w:val="00914222"/>
    <w:rsid w:val="00921755"/>
    <w:rsid w:val="009273F6"/>
    <w:rsid w:val="0092747F"/>
    <w:rsid w:val="00927E92"/>
    <w:rsid w:val="0093089A"/>
    <w:rsid w:val="00930B34"/>
    <w:rsid w:val="00931F8C"/>
    <w:rsid w:val="00941393"/>
    <w:rsid w:val="00955EFF"/>
    <w:rsid w:val="00956273"/>
    <w:rsid w:val="0096371D"/>
    <w:rsid w:val="00970BD0"/>
    <w:rsid w:val="0097119A"/>
    <w:rsid w:val="00973E2D"/>
    <w:rsid w:val="00983A68"/>
    <w:rsid w:val="009944EC"/>
    <w:rsid w:val="009A525D"/>
    <w:rsid w:val="009A6112"/>
    <w:rsid w:val="009A746B"/>
    <w:rsid w:val="009B14D1"/>
    <w:rsid w:val="009B1A23"/>
    <w:rsid w:val="009B2916"/>
    <w:rsid w:val="009C30D0"/>
    <w:rsid w:val="009C5D0C"/>
    <w:rsid w:val="009D0C72"/>
    <w:rsid w:val="009E5BC1"/>
    <w:rsid w:val="009F1068"/>
    <w:rsid w:val="009F1850"/>
    <w:rsid w:val="009F28BA"/>
    <w:rsid w:val="00A0145D"/>
    <w:rsid w:val="00A02CD8"/>
    <w:rsid w:val="00A17CE0"/>
    <w:rsid w:val="00A20D16"/>
    <w:rsid w:val="00A35A9C"/>
    <w:rsid w:val="00A40889"/>
    <w:rsid w:val="00A47C93"/>
    <w:rsid w:val="00A50068"/>
    <w:rsid w:val="00A65DD4"/>
    <w:rsid w:val="00A66EAC"/>
    <w:rsid w:val="00A67F9D"/>
    <w:rsid w:val="00A72A0A"/>
    <w:rsid w:val="00A738AE"/>
    <w:rsid w:val="00A75186"/>
    <w:rsid w:val="00A77331"/>
    <w:rsid w:val="00A803D2"/>
    <w:rsid w:val="00A866BF"/>
    <w:rsid w:val="00A93799"/>
    <w:rsid w:val="00A968D5"/>
    <w:rsid w:val="00AA016F"/>
    <w:rsid w:val="00AA2D6E"/>
    <w:rsid w:val="00AA6FE8"/>
    <w:rsid w:val="00AB1DE7"/>
    <w:rsid w:val="00AB2CD1"/>
    <w:rsid w:val="00AB7237"/>
    <w:rsid w:val="00AC0F9E"/>
    <w:rsid w:val="00AD3350"/>
    <w:rsid w:val="00AD50EA"/>
    <w:rsid w:val="00AD5531"/>
    <w:rsid w:val="00AE0784"/>
    <w:rsid w:val="00AF7762"/>
    <w:rsid w:val="00B0367D"/>
    <w:rsid w:val="00B11AD2"/>
    <w:rsid w:val="00B30155"/>
    <w:rsid w:val="00B3504B"/>
    <w:rsid w:val="00B4167D"/>
    <w:rsid w:val="00B41801"/>
    <w:rsid w:val="00B4315C"/>
    <w:rsid w:val="00B43CE7"/>
    <w:rsid w:val="00B463F1"/>
    <w:rsid w:val="00B534DC"/>
    <w:rsid w:val="00B62978"/>
    <w:rsid w:val="00B8443A"/>
    <w:rsid w:val="00B904A2"/>
    <w:rsid w:val="00BA03EC"/>
    <w:rsid w:val="00BA2421"/>
    <w:rsid w:val="00BA736F"/>
    <w:rsid w:val="00BC2B80"/>
    <w:rsid w:val="00BC2CE2"/>
    <w:rsid w:val="00BC37A5"/>
    <w:rsid w:val="00BC60C3"/>
    <w:rsid w:val="00BD209F"/>
    <w:rsid w:val="00BD3C12"/>
    <w:rsid w:val="00BE2677"/>
    <w:rsid w:val="00BE7019"/>
    <w:rsid w:val="00BF49B7"/>
    <w:rsid w:val="00BF7A77"/>
    <w:rsid w:val="00C03A20"/>
    <w:rsid w:val="00C10162"/>
    <w:rsid w:val="00C134AF"/>
    <w:rsid w:val="00C16188"/>
    <w:rsid w:val="00C16688"/>
    <w:rsid w:val="00C16C9F"/>
    <w:rsid w:val="00C17544"/>
    <w:rsid w:val="00C244F0"/>
    <w:rsid w:val="00C26F35"/>
    <w:rsid w:val="00C30A88"/>
    <w:rsid w:val="00C3390D"/>
    <w:rsid w:val="00C41E07"/>
    <w:rsid w:val="00C47EE7"/>
    <w:rsid w:val="00C53088"/>
    <w:rsid w:val="00C5540E"/>
    <w:rsid w:val="00C74229"/>
    <w:rsid w:val="00C773A4"/>
    <w:rsid w:val="00C83DA6"/>
    <w:rsid w:val="00C9409B"/>
    <w:rsid w:val="00CA0DAB"/>
    <w:rsid w:val="00CA5A67"/>
    <w:rsid w:val="00CA7544"/>
    <w:rsid w:val="00CB246F"/>
    <w:rsid w:val="00CC0433"/>
    <w:rsid w:val="00CC202C"/>
    <w:rsid w:val="00CD428E"/>
    <w:rsid w:val="00CD4B66"/>
    <w:rsid w:val="00CD707F"/>
    <w:rsid w:val="00CD7E46"/>
    <w:rsid w:val="00CE2FBF"/>
    <w:rsid w:val="00CE3A60"/>
    <w:rsid w:val="00CE66E2"/>
    <w:rsid w:val="00CF2CC1"/>
    <w:rsid w:val="00CF34E8"/>
    <w:rsid w:val="00D03B3C"/>
    <w:rsid w:val="00D03BF8"/>
    <w:rsid w:val="00D06460"/>
    <w:rsid w:val="00D1062F"/>
    <w:rsid w:val="00D27F11"/>
    <w:rsid w:val="00D30056"/>
    <w:rsid w:val="00D30402"/>
    <w:rsid w:val="00D31D1A"/>
    <w:rsid w:val="00D35033"/>
    <w:rsid w:val="00D40A89"/>
    <w:rsid w:val="00D40AE4"/>
    <w:rsid w:val="00D4678B"/>
    <w:rsid w:val="00D5269F"/>
    <w:rsid w:val="00D54D2C"/>
    <w:rsid w:val="00D56683"/>
    <w:rsid w:val="00D650DD"/>
    <w:rsid w:val="00D70119"/>
    <w:rsid w:val="00D74A15"/>
    <w:rsid w:val="00D842E4"/>
    <w:rsid w:val="00D849BD"/>
    <w:rsid w:val="00D86E9E"/>
    <w:rsid w:val="00D957B8"/>
    <w:rsid w:val="00D97D57"/>
    <w:rsid w:val="00DC02B1"/>
    <w:rsid w:val="00DC04B0"/>
    <w:rsid w:val="00DC1348"/>
    <w:rsid w:val="00DC2C8B"/>
    <w:rsid w:val="00DC3603"/>
    <w:rsid w:val="00DC5379"/>
    <w:rsid w:val="00DD7C02"/>
    <w:rsid w:val="00DE2742"/>
    <w:rsid w:val="00DF118E"/>
    <w:rsid w:val="00DF1CA7"/>
    <w:rsid w:val="00DF5193"/>
    <w:rsid w:val="00DF77F0"/>
    <w:rsid w:val="00E1047A"/>
    <w:rsid w:val="00E13F34"/>
    <w:rsid w:val="00E26849"/>
    <w:rsid w:val="00E34E2F"/>
    <w:rsid w:val="00E35E73"/>
    <w:rsid w:val="00E42BFD"/>
    <w:rsid w:val="00E508B2"/>
    <w:rsid w:val="00E519A6"/>
    <w:rsid w:val="00E519D1"/>
    <w:rsid w:val="00E54254"/>
    <w:rsid w:val="00E630FD"/>
    <w:rsid w:val="00E81388"/>
    <w:rsid w:val="00E828AD"/>
    <w:rsid w:val="00E8625A"/>
    <w:rsid w:val="00E904E8"/>
    <w:rsid w:val="00E95A46"/>
    <w:rsid w:val="00EA12AA"/>
    <w:rsid w:val="00EA542E"/>
    <w:rsid w:val="00EA693C"/>
    <w:rsid w:val="00EC390E"/>
    <w:rsid w:val="00ED086E"/>
    <w:rsid w:val="00ED704D"/>
    <w:rsid w:val="00EE4D8B"/>
    <w:rsid w:val="00EF15E9"/>
    <w:rsid w:val="00EF37D3"/>
    <w:rsid w:val="00EF578E"/>
    <w:rsid w:val="00F02B0B"/>
    <w:rsid w:val="00F04409"/>
    <w:rsid w:val="00F049E1"/>
    <w:rsid w:val="00F07C7B"/>
    <w:rsid w:val="00F1575E"/>
    <w:rsid w:val="00F169E8"/>
    <w:rsid w:val="00F22BF2"/>
    <w:rsid w:val="00F27121"/>
    <w:rsid w:val="00F31984"/>
    <w:rsid w:val="00F32A18"/>
    <w:rsid w:val="00F32FF9"/>
    <w:rsid w:val="00F366BB"/>
    <w:rsid w:val="00F37ADF"/>
    <w:rsid w:val="00F40061"/>
    <w:rsid w:val="00F51D9A"/>
    <w:rsid w:val="00F54692"/>
    <w:rsid w:val="00F57355"/>
    <w:rsid w:val="00F57667"/>
    <w:rsid w:val="00F60F37"/>
    <w:rsid w:val="00F704BB"/>
    <w:rsid w:val="00F80AE0"/>
    <w:rsid w:val="00F81AB4"/>
    <w:rsid w:val="00F92177"/>
    <w:rsid w:val="00F9520E"/>
    <w:rsid w:val="00FA2DDA"/>
    <w:rsid w:val="00FA4521"/>
    <w:rsid w:val="00FA70F4"/>
    <w:rsid w:val="00FB665E"/>
    <w:rsid w:val="00FC19F2"/>
    <w:rsid w:val="00FC2ACF"/>
    <w:rsid w:val="00FD7A0D"/>
    <w:rsid w:val="00FE0EE2"/>
    <w:rsid w:val="00FE2D41"/>
    <w:rsid w:val="00FE5F61"/>
    <w:rsid w:val="00FF0062"/>
    <w:rsid w:val="011375A8"/>
    <w:rsid w:val="01664743"/>
    <w:rsid w:val="01A5234F"/>
    <w:rsid w:val="023271FA"/>
    <w:rsid w:val="035D6DC5"/>
    <w:rsid w:val="036D26EF"/>
    <w:rsid w:val="03DE684E"/>
    <w:rsid w:val="03E72B61"/>
    <w:rsid w:val="03F914B2"/>
    <w:rsid w:val="0469394E"/>
    <w:rsid w:val="04C0433E"/>
    <w:rsid w:val="04E14131"/>
    <w:rsid w:val="051171FD"/>
    <w:rsid w:val="05647F6F"/>
    <w:rsid w:val="05887E07"/>
    <w:rsid w:val="05A20BFC"/>
    <w:rsid w:val="05F25272"/>
    <w:rsid w:val="0642431F"/>
    <w:rsid w:val="06F32700"/>
    <w:rsid w:val="07605CB6"/>
    <w:rsid w:val="07CB0EB6"/>
    <w:rsid w:val="07E15BD3"/>
    <w:rsid w:val="08102EC6"/>
    <w:rsid w:val="089A71E6"/>
    <w:rsid w:val="08E44987"/>
    <w:rsid w:val="08EE00FB"/>
    <w:rsid w:val="094402D8"/>
    <w:rsid w:val="09730E8F"/>
    <w:rsid w:val="0990755E"/>
    <w:rsid w:val="0A3D5E32"/>
    <w:rsid w:val="0A6F22B3"/>
    <w:rsid w:val="0A853850"/>
    <w:rsid w:val="0B024A9B"/>
    <w:rsid w:val="0BEC5972"/>
    <w:rsid w:val="0C8106BD"/>
    <w:rsid w:val="0CAA2B6E"/>
    <w:rsid w:val="0CE1722F"/>
    <w:rsid w:val="0D7D1AE1"/>
    <w:rsid w:val="0D9642F0"/>
    <w:rsid w:val="0DBA5423"/>
    <w:rsid w:val="0DE26AAE"/>
    <w:rsid w:val="0E224D7D"/>
    <w:rsid w:val="0EF67916"/>
    <w:rsid w:val="0F423341"/>
    <w:rsid w:val="0F5C3B30"/>
    <w:rsid w:val="0F805160"/>
    <w:rsid w:val="1082242A"/>
    <w:rsid w:val="1088747A"/>
    <w:rsid w:val="114B682E"/>
    <w:rsid w:val="115349B0"/>
    <w:rsid w:val="119566BA"/>
    <w:rsid w:val="12492345"/>
    <w:rsid w:val="12492C39"/>
    <w:rsid w:val="12922E42"/>
    <w:rsid w:val="12D47F8E"/>
    <w:rsid w:val="130B063D"/>
    <w:rsid w:val="13572EFD"/>
    <w:rsid w:val="13B77439"/>
    <w:rsid w:val="13FA79FE"/>
    <w:rsid w:val="141B5141"/>
    <w:rsid w:val="14792401"/>
    <w:rsid w:val="15231D0C"/>
    <w:rsid w:val="15604438"/>
    <w:rsid w:val="161455EE"/>
    <w:rsid w:val="167969DD"/>
    <w:rsid w:val="17B9626F"/>
    <w:rsid w:val="1821268E"/>
    <w:rsid w:val="18615571"/>
    <w:rsid w:val="188877B0"/>
    <w:rsid w:val="19422A47"/>
    <w:rsid w:val="1964413C"/>
    <w:rsid w:val="19950F40"/>
    <w:rsid w:val="19DF6872"/>
    <w:rsid w:val="1A134FCE"/>
    <w:rsid w:val="1A5905CD"/>
    <w:rsid w:val="1B242B7B"/>
    <w:rsid w:val="1B6C2C88"/>
    <w:rsid w:val="1BA8182B"/>
    <w:rsid w:val="1C305101"/>
    <w:rsid w:val="1C88693A"/>
    <w:rsid w:val="1D0425A2"/>
    <w:rsid w:val="1D0460DA"/>
    <w:rsid w:val="1D867A74"/>
    <w:rsid w:val="1DC11BA0"/>
    <w:rsid w:val="1DF71875"/>
    <w:rsid w:val="1E142122"/>
    <w:rsid w:val="1E6058EF"/>
    <w:rsid w:val="1E9B4EC9"/>
    <w:rsid w:val="1F037161"/>
    <w:rsid w:val="1FA55DB1"/>
    <w:rsid w:val="20182BD0"/>
    <w:rsid w:val="203B260C"/>
    <w:rsid w:val="204750FD"/>
    <w:rsid w:val="20C54BCB"/>
    <w:rsid w:val="210172EA"/>
    <w:rsid w:val="21186CA9"/>
    <w:rsid w:val="21C527A2"/>
    <w:rsid w:val="21D41512"/>
    <w:rsid w:val="221D6C29"/>
    <w:rsid w:val="226C12D2"/>
    <w:rsid w:val="22F80095"/>
    <w:rsid w:val="231A15C5"/>
    <w:rsid w:val="23533577"/>
    <w:rsid w:val="235D52BC"/>
    <w:rsid w:val="2415200F"/>
    <w:rsid w:val="24A54462"/>
    <w:rsid w:val="24D35C2C"/>
    <w:rsid w:val="259E35AA"/>
    <w:rsid w:val="25A2609B"/>
    <w:rsid w:val="25B21B8A"/>
    <w:rsid w:val="26E921BE"/>
    <w:rsid w:val="27042DFE"/>
    <w:rsid w:val="27956C21"/>
    <w:rsid w:val="27DD0CC3"/>
    <w:rsid w:val="280A391D"/>
    <w:rsid w:val="28214015"/>
    <w:rsid w:val="28752728"/>
    <w:rsid w:val="288B29E7"/>
    <w:rsid w:val="288C6249"/>
    <w:rsid w:val="29C33815"/>
    <w:rsid w:val="2A066E57"/>
    <w:rsid w:val="2A810C3D"/>
    <w:rsid w:val="2A9F0F97"/>
    <w:rsid w:val="2AD83BB6"/>
    <w:rsid w:val="2AE232B1"/>
    <w:rsid w:val="2B103AB4"/>
    <w:rsid w:val="2B991C74"/>
    <w:rsid w:val="2BB13721"/>
    <w:rsid w:val="2BFF522B"/>
    <w:rsid w:val="2C005C05"/>
    <w:rsid w:val="2C166504"/>
    <w:rsid w:val="2CBD0633"/>
    <w:rsid w:val="2D1C6606"/>
    <w:rsid w:val="2D763685"/>
    <w:rsid w:val="2D9F7247"/>
    <w:rsid w:val="2DC16C9C"/>
    <w:rsid w:val="2E0F16E3"/>
    <w:rsid w:val="2E2B0799"/>
    <w:rsid w:val="2ED721EA"/>
    <w:rsid w:val="2F53021D"/>
    <w:rsid w:val="2F566308"/>
    <w:rsid w:val="2F5836E9"/>
    <w:rsid w:val="2FCE1F78"/>
    <w:rsid w:val="303D4EA7"/>
    <w:rsid w:val="307450F8"/>
    <w:rsid w:val="307A07CD"/>
    <w:rsid w:val="30954C40"/>
    <w:rsid w:val="30D07DE1"/>
    <w:rsid w:val="3108787F"/>
    <w:rsid w:val="310F3DA8"/>
    <w:rsid w:val="31593C23"/>
    <w:rsid w:val="317A7736"/>
    <w:rsid w:val="31D60AC4"/>
    <w:rsid w:val="328F0206"/>
    <w:rsid w:val="333D1567"/>
    <w:rsid w:val="339C6CC6"/>
    <w:rsid w:val="3409704A"/>
    <w:rsid w:val="345A624E"/>
    <w:rsid w:val="34CB716C"/>
    <w:rsid w:val="34DC1FAB"/>
    <w:rsid w:val="34DD3524"/>
    <w:rsid w:val="352E5399"/>
    <w:rsid w:val="35607FBA"/>
    <w:rsid w:val="35DE5B6F"/>
    <w:rsid w:val="36230175"/>
    <w:rsid w:val="36501E81"/>
    <w:rsid w:val="36AB59B5"/>
    <w:rsid w:val="36C418A2"/>
    <w:rsid w:val="37135C58"/>
    <w:rsid w:val="3729447F"/>
    <w:rsid w:val="37397DA9"/>
    <w:rsid w:val="37B07013"/>
    <w:rsid w:val="38A10B77"/>
    <w:rsid w:val="38A7447A"/>
    <w:rsid w:val="39030A9D"/>
    <w:rsid w:val="391136BA"/>
    <w:rsid w:val="39AD5700"/>
    <w:rsid w:val="39C600D4"/>
    <w:rsid w:val="3A1852C1"/>
    <w:rsid w:val="3A444AE5"/>
    <w:rsid w:val="3A5164BC"/>
    <w:rsid w:val="3A806CA2"/>
    <w:rsid w:val="3B6E0271"/>
    <w:rsid w:val="3B892174"/>
    <w:rsid w:val="3C98083D"/>
    <w:rsid w:val="3D87344A"/>
    <w:rsid w:val="3D8E20D4"/>
    <w:rsid w:val="3D9236A0"/>
    <w:rsid w:val="3DB33860"/>
    <w:rsid w:val="3DC47D28"/>
    <w:rsid w:val="3E6933F2"/>
    <w:rsid w:val="3E77440F"/>
    <w:rsid w:val="3ED8395B"/>
    <w:rsid w:val="3EE1552C"/>
    <w:rsid w:val="3EF50E21"/>
    <w:rsid w:val="3F90296F"/>
    <w:rsid w:val="40364CA5"/>
    <w:rsid w:val="40885F49"/>
    <w:rsid w:val="411022B6"/>
    <w:rsid w:val="41140064"/>
    <w:rsid w:val="41355441"/>
    <w:rsid w:val="4193668B"/>
    <w:rsid w:val="41CA09E3"/>
    <w:rsid w:val="41EF2D7C"/>
    <w:rsid w:val="42144B18"/>
    <w:rsid w:val="423931A7"/>
    <w:rsid w:val="42674891"/>
    <w:rsid w:val="42CC3CF1"/>
    <w:rsid w:val="42D14538"/>
    <w:rsid w:val="42E34DC3"/>
    <w:rsid w:val="42F21DF3"/>
    <w:rsid w:val="43547DFD"/>
    <w:rsid w:val="43610766"/>
    <w:rsid w:val="43650B67"/>
    <w:rsid w:val="447163AA"/>
    <w:rsid w:val="448939E8"/>
    <w:rsid w:val="448E07FB"/>
    <w:rsid w:val="4525645E"/>
    <w:rsid w:val="45597275"/>
    <w:rsid w:val="457B14E8"/>
    <w:rsid w:val="45941563"/>
    <w:rsid w:val="45BF71EC"/>
    <w:rsid w:val="45DA4898"/>
    <w:rsid w:val="45EC0586"/>
    <w:rsid w:val="45F27F58"/>
    <w:rsid w:val="46555C55"/>
    <w:rsid w:val="470F656B"/>
    <w:rsid w:val="47690CE9"/>
    <w:rsid w:val="478A0CA0"/>
    <w:rsid w:val="47C12D39"/>
    <w:rsid w:val="47DD35FA"/>
    <w:rsid w:val="47FA3E9F"/>
    <w:rsid w:val="484469FE"/>
    <w:rsid w:val="48FF3FE4"/>
    <w:rsid w:val="494F64C8"/>
    <w:rsid w:val="4A3F641B"/>
    <w:rsid w:val="4A7B31CD"/>
    <w:rsid w:val="4A916AB7"/>
    <w:rsid w:val="4AB2111F"/>
    <w:rsid w:val="4AE36E73"/>
    <w:rsid w:val="4AE41C19"/>
    <w:rsid w:val="4BC66911"/>
    <w:rsid w:val="4C06606A"/>
    <w:rsid w:val="4C07281A"/>
    <w:rsid w:val="4C4B1734"/>
    <w:rsid w:val="4C515916"/>
    <w:rsid w:val="4C7042D7"/>
    <w:rsid w:val="4CF50EF4"/>
    <w:rsid w:val="4D963E19"/>
    <w:rsid w:val="4DF62F44"/>
    <w:rsid w:val="4E761D08"/>
    <w:rsid w:val="4E984750"/>
    <w:rsid w:val="4EBA2F55"/>
    <w:rsid w:val="4ED10696"/>
    <w:rsid w:val="4F1E35EF"/>
    <w:rsid w:val="4F814471"/>
    <w:rsid w:val="4FBA6CCD"/>
    <w:rsid w:val="503A5994"/>
    <w:rsid w:val="50650450"/>
    <w:rsid w:val="50AC11E4"/>
    <w:rsid w:val="510425AE"/>
    <w:rsid w:val="519A0650"/>
    <w:rsid w:val="520E5D83"/>
    <w:rsid w:val="52352B08"/>
    <w:rsid w:val="52413940"/>
    <w:rsid w:val="526D3D56"/>
    <w:rsid w:val="5344250C"/>
    <w:rsid w:val="53F975CD"/>
    <w:rsid w:val="544E58B1"/>
    <w:rsid w:val="54A23856"/>
    <w:rsid w:val="54F71DA5"/>
    <w:rsid w:val="552300AC"/>
    <w:rsid w:val="5525178C"/>
    <w:rsid w:val="553E4F3F"/>
    <w:rsid w:val="55A416BE"/>
    <w:rsid w:val="55B859B2"/>
    <w:rsid w:val="56341757"/>
    <w:rsid w:val="56614C8A"/>
    <w:rsid w:val="567A72D5"/>
    <w:rsid w:val="56D15287"/>
    <w:rsid w:val="56DE0AFD"/>
    <w:rsid w:val="56FD5506"/>
    <w:rsid w:val="57044CE4"/>
    <w:rsid w:val="57222B83"/>
    <w:rsid w:val="573828A1"/>
    <w:rsid w:val="57476390"/>
    <w:rsid w:val="576109DB"/>
    <w:rsid w:val="57675079"/>
    <w:rsid w:val="57E20EBB"/>
    <w:rsid w:val="586345C7"/>
    <w:rsid w:val="589E1D6D"/>
    <w:rsid w:val="58B63BA2"/>
    <w:rsid w:val="59215726"/>
    <w:rsid w:val="59957B00"/>
    <w:rsid w:val="599A3D2F"/>
    <w:rsid w:val="5A052B3B"/>
    <w:rsid w:val="5A2E22FE"/>
    <w:rsid w:val="5A83754C"/>
    <w:rsid w:val="5AAA42D2"/>
    <w:rsid w:val="5B1C738F"/>
    <w:rsid w:val="5B3062C7"/>
    <w:rsid w:val="5B4526F9"/>
    <w:rsid w:val="5C7559A0"/>
    <w:rsid w:val="5CEA65A2"/>
    <w:rsid w:val="5D120C2C"/>
    <w:rsid w:val="5D2814E8"/>
    <w:rsid w:val="5D900DEC"/>
    <w:rsid w:val="5D962247"/>
    <w:rsid w:val="5DF6174F"/>
    <w:rsid w:val="5E175D30"/>
    <w:rsid w:val="5E1D7B0C"/>
    <w:rsid w:val="5E2C14A2"/>
    <w:rsid w:val="5F870252"/>
    <w:rsid w:val="5F8A3178"/>
    <w:rsid w:val="5FA77E3C"/>
    <w:rsid w:val="604326ED"/>
    <w:rsid w:val="60570CCE"/>
    <w:rsid w:val="607C6FD9"/>
    <w:rsid w:val="60B91957"/>
    <w:rsid w:val="614D408B"/>
    <w:rsid w:val="61671270"/>
    <w:rsid w:val="6172174A"/>
    <w:rsid w:val="61A44D62"/>
    <w:rsid w:val="61F94C3C"/>
    <w:rsid w:val="62411979"/>
    <w:rsid w:val="62422518"/>
    <w:rsid w:val="627F6C32"/>
    <w:rsid w:val="62D96C3F"/>
    <w:rsid w:val="631D691D"/>
    <w:rsid w:val="63387548"/>
    <w:rsid w:val="637575FD"/>
    <w:rsid w:val="63825E0F"/>
    <w:rsid w:val="638F6480"/>
    <w:rsid w:val="63A979C1"/>
    <w:rsid w:val="63E46486"/>
    <w:rsid w:val="643716EA"/>
    <w:rsid w:val="64C64337"/>
    <w:rsid w:val="657F4273"/>
    <w:rsid w:val="659D2AED"/>
    <w:rsid w:val="65AA44C4"/>
    <w:rsid w:val="65DC0B09"/>
    <w:rsid w:val="662B2E29"/>
    <w:rsid w:val="66486475"/>
    <w:rsid w:val="66D82907"/>
    <w:rsid w:val="670A0C32"/>
    <w:rsid w:val="6714680B"/>
    <w:rsid w:val="671A2875"/>
    <w:rsid w:val="6754503C"/>
    <w:rsid w:val="676C7036"/>
    <w:rsid w:val="683C7E7F"/>
    <w:rsid w:val="68A7198D"/>
    <w:rsid w:val="68CB194B"/>
    <w:rsid w:val="68D70080"/>
    <w:rsid w:val="69264077"/>
    <w:rsid w:val="693D530D"/>
    <w:rsid w:val="6976772C"/>
    <w:rsid w:val="699F53F8"/>
    <w:rsid w:val="6A0B4BDE"/>
    <w:rsid w:val="6B1E70C6"/>
    <w:rsid w:val="6B393020"/>
    <w:rsid w:val="6B631EBD"/>
    <w:rsid w:val="6C447F32"/>
    <w:rsid w:val="6CAB36AD"/>
    <w:rsid w:val="6CD514A3"/>
    <w:rsid w:val="6CD52386"/>
    <w:rsid w:val="6CE30793"/>
    <w:rsid w:val="6CE764EC"/>
    <w:rsid w:val="6D582FC7"/>
    <w:rsid w:val="6D7F71AD"/>
    <w:rsid w:val="6D885538"/>
    <w:rsid w:val="6DE17C72"/>
    <w:rsid w:val="6DF777CB"/>
    <w:rsid w:val="6E262897"/>
    <w:rsid w:val="6E50156F"/>
    <w:rsid w:val="6E743803"/>
    <w:rsid w:val="6E9F307A"/>
    <w:rsid w:val="6EAE6B68"/>
    <w:rsid w:val="6EB66DB8"/>
    <w:rsid w:val="6F0C35C3"/>
    <w:rsid w:val="6F901C8B"/>
    <w:rsid w:val="6F9821C1"/>
    <w:rsid w:val="6FB92EDC"/>
    <w:rsid w:val="6FF21491"/>
    <w:rsid w:val="702A1CFF"/>
    <w:rsid w:val="702E23C7"/>
    <w:rsid w:val="70AE736D"/>
    <w:rsid w:val="70D85E3C"/>
    <w:rsid w:val="71091F9B"/>
    <w:rsid w:val="71B26AD7"/>
    <w:rsid w:val="72850298"/>
    <w:rsid w:val="72987BC6"/>
    <w:rsid w:val="733E463E"/>
    <w:rsid w:val="736B313E"/>
    <w:rsid w:val="73F3724A"/>
    <w:rsid w:val="7581454C"/>
    <w:rsid w:val="75982815"/>
    <w:rsid w:val="759929D8"/>
    <w:rsid w:val="76211766"/>
    <w:rsid w:val="762F1AAB"/>
    <w:rsid w:val="76304000"/>
    <w:rsid w:val="765006B2"/>
    <w:rsid w:val="773A0865"/>
    <w:rsid w:val="774730C2"/>
    <w:rsid w:val="77C222EA"/>
    <w:rsid w:val="77FC72FD"/>
    <w:rsid w:val="78141133"/>
    <w:rsid w:val="789711D5"/>
    <w:rsid w:val="78C83F3F"/>
    <w:rsid w:val="78E72E27"/>
    <w:rsid w:val="78F02F79"/>
    <w:rsid w:val="79440AEE"/>
    <w:rsid w:val="798B5F65"/>
    <w:rsid w:val="79A2762F"/>
    <w:rsid w:val="79F24BEB"/>
    <w:rsid w:val="7ADA1F82"/>
    <w:rsid w:val="7B3C3631"/>
    <w:rsid w:val="7B455260"/>
    <w:rsid w:val="7B840A4C"/>
    <w:rsid w:val="7B965B91"/>
    <w:rsid w:val="7BCB508C"/>
    <w:rsid w:val="7C280240"/>
    <w:rsid w:val="7C8810E5"/>
    <w:rsid w:val="7C9212DF"/>
    <w:rsid w:val="7D1E5AD5"/>
    <w:rsid w:val="7D21384E"/>
    <w:rsid w:val="7D955719"/>
    <w:rsid w:val="7DD54CAE"/>
    <w:rsid w:val="7DF438B1"/>
    <w:rsid w:val="7E6E4AB0"/>
    <w:rsid w:val="7F63591A"/>
    <w:rsid w:val="7F9562A7"/>
    <w:rsid w:val="7FC8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caption"/>
    <w:basedOn w:val="1"/>
    <w:next w:val="1"/>
    <w:semiHidden/>
    <w:unhideWhenUsed/>
    <w:qFormat/>
    <w:uiPriority w:val="35"/>
    <w:rPr>
      <w:rFonts w:ascii="Arial" w:hAnsi="Arial" w:eastAsia="黑体"/>
      <w:sz w:val="20"/>
    </w:rPr>
  </w:style>
  <w:style w:type="paragraph" w:styleId="8">
    <w:name w:val="Document Map"/>
    <w:basedOn w:val="1"/>
    <w:link w:val="59"/>
    <w:semiHidden/>
    <w:unhideWhenUsed/>
    <w:qFormat/>
    <w:uiPriority w:val="99"/>
    <w:rPr>
      <w:rFonts w:ascii="宋体"/>
      <w:sz w:val="18"/>
      <w:szCs w:val="18"/>
    </w:rPr>
  </w:style>
  <w:style w:type="paragraph" w:styleId="9">
    <w:name w:val="annotation text"/>
    <w:basedOn w:val="1"/>
    <w:link w:val="50"/>
    <w:unhideWhenUsed/>
    <w:qFormat/>
    <w:uiPriority w:val="99"/>
    <w:pPr>
      <w:jc w:val="left"/>
    </w:pPr>
    <w:rPr>
      <w:rFonts w:asciiTheme="minorHAnsi" w:hAnsiTheme="minorHAnsi" w:eastAsiaTheme="minorEastAsia" w:cstheme="minorBidi"/>
      <w:szCs w:val="22"/>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tabs>
        <w:tab w:val="right" w:leader="dot" w:pos="8296"/>
      </w:tabs>
      <w:ind w:left="630" w:leftChars="300"/>
    </w:p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link w:val="55"/>
    <w:semiHidden/>
    <w:unhideWhenUsed/>
    <w:qFormat/>
    <w:uiPriority w:val="99"/>
    <w:pPr>
      <w:ind w:left="100" w:leftChars="2500"/>
    </w:pPr>
    <w:rPr>
      <w:rFonts w:asciiTheme="minorHAnsi" w:hAnsiTheme="minorHAnsi" w:eastAsiaTheme="minorEastAsia" w:cstheme="minorBidi"/>
      <w:szCs w:val="22"/>
    </w:rPr>
  </w:style>
  <w:style w:type="paragraph" w:styleId="14">
    <w:name w:val="Balloon Text"/>
    <w:basedOn w:val="1"/>
    <w:link w:val="57"/>
    <w:semiHidden/>
    <w:unhideWhenUsed/>
    <w:qFormat/>
    <w:uiPriority w:val="99"/>
    <w:rPr>
      <w:sz w:val="18"/>
      <w:szCs w:val="18"/>
    </w:rPr>
  </w:style>
  <w:style w:type="paragraph" w:styleId="15">
    <w:name w:val="footer"/>
    <w:basedOn w:val="1"/>
    <w:link w:val="49"/>
    <w:unhideWhenUsed/>
    <w:qFormat/>
    <w:uiPriority w:val="99"/>
    <w:pPr>
      <w:tabs>
        <w:tab w:val="center" w:pos="4153"/>
        <w:tab w:val="right" w:pos="8306"/>
      </w:tabs>
      <w:snapToGrid w:val="0"/>
      <w:jc w:val="left"/>
    </w:pPr>
    <w:rPr>
      <w:sz w:val="18"/>
      <w:szCs w:val="18"/>
    </w:rPr>
  </w:style>
  <w:style w:type="paragraph" w:styleId="16">
    <w:name w:val="header"/>
    <w:basedOn w:val="1"/>
    <w:link w:val="3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0">
    <w:name w:val="toc 2"/>
    <w:basedOn w:val="1"/>
    <w:next w:val="1"/>
    <w:qFormat/>
    <w:uiPriority w:val="39"/>
    <w:pPr>
      <w:tabs>
        <w:tab w:val="right" w:leader="dot" w:pos="9241"/>
      </w:tabs>
    </w:pPr>
    <w:rPr>
      <w:rFonts w:ascii="宋体"/>
      <w:szCs w:val="21"/>
    </w:r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2">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9"/>
    <w:next w:val="9"/>
    <w:link w:val="53"/>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Hyperlink"/>
    <w:qFormat/>
    <w:uiPriority w:val="99"/>
    <w:rPr>
      <w:color w:val="0000FF"/>
      <w:spacing w:val="0"/>
      <w:w w:val="100"/>
      <w:szCs w:val="21"/>
      <w:u w:val="single"/>
      <w:lang w:val="en-US" w:eastAsia="zh-CN"/>
    </w:rPr>
  </w:style>
  <w:style w:type="character" w:styleId="30">
    <w:name w:val="annotation reference"/>
    <w:basedOn w:val="27"/>
    <w:semiHidden/>
    <w:unhideWhenUsed/>
    <w:qFormat/>
    <w:uiPriority w:val="99"/>
    <w:rPr>
      <w:sz w:val="21"/>
      <w:szCs w:val="21"/>
    </w:rPr>
  </w:style>
  <w:style w:type="character" w:customStyle="1" w:styleId="31">
    <w:name w:val="页眉 字符"/>
    <w:basedOn w:val="27"/>
    <w:link w:val="16"/>
    <w:qFormat/>
    <w:uiPriority w:val="0"/>
    <w:rPr>
      <w:rFonts w:ascii="Times New Roman" w:hAnsi="Times New Roman" w:eastAsia="宋体" w:cs="Times New Roman"/>
      <w:sz w:val="18"/>
      <w:szCs w:val="18"/>
    </w:rPr>
  </w:style>
  <w:style w:type="paragraph" w:customStyle="1" w:styleId="32">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HTML 预设格式 字符"/>
    <w:basedOn w:val="27"/>
    <w:link w:val="22"/>
    <w:qFormat/>
    <w:uiPriority w:val="99"/>
    <w:rPr>
      <w:rFonts w:ascii="宋体" w:hAnsi="宋体" w:eastAsia="宋体" w:cs="宋体"/>
      <w:kern w:val="0"/>
      <w:sz w:val="24"/>
      <w:szCs w:val="24"/>
    </w:rPr>
  </w:style>
  <w:style w:type="character" w:customStyle="1" w:styleId="34">
    <w:name w:val="段 Char"/>
    <w:link w:val="32"/>
    <w:qFormat/>
    <w:uiPriority w:val="0"/>
    <w:rPr>
      <w:rFonts w:ascii="宋体" w:hAnsi="Times New Roman" w:eastAsia="宋体" w:cs="Times New Roman"/>
      <w:kern w:val="0"/>
      <w:szCs w:val="20"/>
    </w:rPr>
  </w:style>
  <w:style w:type="paragraph" w:customStyle="1" w:styleId="35">
    <w:name w:val="样式1"/>
    <w:basedOn w:val="2"/>
    <w:qFormat/>
    <w:uiPriority w:val="0"/>
    <w:pPr>
      <w:spacing w:beforeLines="50" w:afterLines="50" w:line="288" w:lineRule="auto"/>
    </w:pPr>
    <w:rPr>
      <w:sz w:val="24"/>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7">
    <w:name w:val="样式2"/>
    <w:basedOn w:val="3"/>
    <w:link w:val="44"/>
    <w:qFormat/>
    <w:uiPriority w:val="0"/>
    <w:pPr>
      <w:spacing w:beforeLines="50" w:afterLines="50" w:line="288" w:lineRule="auto"/>
    </w:pPr>
    <w:rPr>
      <w:rFonts w:eastAsia="宋体"/>
      <w:sz w:val="21"/>
    </w:rPr>
  </w:style>
  <w:style w:type="paragraph" w:customStyle="1" w:styleId="38">
    <w:name w:val="大标题"/>
    <w:basedOn w:val="1"/>
    <w:qFormat/>
    <w:uiPriority w:val="99"/>
    <w:pPr>
      <w:tabs>
        <w:tab w:val="left" w:pos="5220"/>
      </w:tabs>
      <w:adjustRightInd w:val="0"/>
      <w:snapToGrid w:val="0"/>
      <w:spacing w:beforeLines="200" w:afterLines="200"/>
      <w:jc w:val="center"/>
      <w:textAlignment w:val="center"/>
    </w:pPr>
    <w:rPr>
      <w:rFonts w:ascii="Arial" w:hAnsi="Arial" w:eastAsia="黑体"/>
      <w:sz w:val="32"/>
      <w:szCs w:val="20"/>
    </w:rPr>
  </w:style>
  <w:style w:type="paragraph" w:customStyle="1" w:styleId="3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40">
    <w:name w:val="标题 1 字符"/>
    <w:basedOn w:val="27"/>
    <w:link w:val="2"/>
    <w:qFormat/>
    <w:uiPriority w:val="9"/>
    <w:rPr>
      <w:rFonts w:ascii="Times New Roman" w:hAnsi="Times New Roman" w:eastAsia="宋体" w:cs="Times New Roman"/>
      <w:b/>
      <w:bCs/>
      <w:kern w:val="44"/>
      <w:sz w:val="44"/>
      <w:szCs w:val="44"/>
    </w:rPr>
  </w:style>
  <w:style w:type="character" w:customStyle="1" w:styleId="41">
    <w:name w:val="标题 2 字符"/>
    <w:basedOn w:val="27"/>
    <w:link w:val="3"/>
    <w:qFormat/>
    <w:uiPriority w:val="9"/>
    <w:rPr>
      <w:rFonts w:asciiTheme="majorHAnsi" w:hAnsiTheme="majorHAnsi" w:eastAsiaTheme="majorEastAsia" w:cstheme="majorBidi"/>
      <w:b/>
      <w:bCs/>
      <w:sz w:val="32"/>
      <w:szCs w:val="32"/>
    </w:rPr>
  </w:style>
  <w:style w:type="paragraph" w:customStyle="1" w:styleId="42">
    <w:name w:val="样式3"/>
    <w:basedOn w:val="4"/>
    <w:next w:val="1"/>
    <w:link w:val="45"/>
    <w:qFormat/>
    <w:uiPriority w:val="0"/>
    <w:pPr>
      <w:spacing w:before="100" w:beforeAutospacing="1" w:after="100" w:afterAutospacing="1" w:line="415" w:lineRule="auto"/>
    </w:pPr>
    <w:rPr>
      <w:rFonts w:cstheme="minorBidi"/>
      <w:sz w:val="23"/>
      <w:szCs w:val="23"/>
    </w:rPr>
  </w:style>
  <w:style w:type="paragraph" w:customStyle="1" w:styleId="43">
    <w:name w:val="样式4"/>
    <w:basedOn w:val="5"/>
    <w:link w:val="48"/>
    <w:qFormat/>
    <w:uiPriority w:val="0"/>
    <w:pPr>
      <w:keepNext w:val="0"/>
      <w:spacing w:before="100" w:beforeAutospacing="1" w:after="100" w:afterAutospacing="1" w:line="360" w:lineRule="auto"/>
    </w:pPr>
    <w:rPr>
      <w:rFonts w:eastAsia="宋体"/>
      <w:sz w:val="23"/>
    </w:rPr>
  </w:style>
  <w:style w:type="character" w:customStyle="1" w:styleId="44">
    <w:name w:val="样式2 字符"/>
    <w:basedOn w:val="41"/>
    <w:link w:val="37"/>
    <w:qFormat/>
    <w:uiPriority w:val="0"/>
    <w:rPr>
      <w:rFonts w:eastAsia="宋体" w:asciiTheme="majorHAnsi" w:hAnsiTheme="majorHAnsi" w:cstheme="majorBidi"/>
      <w:sz w:val="32"/>
      <w:szCs w:val="32"/>
    </w:rPr>
  </w:style>
  <w:style w:type="character" w:customStyle="1" w:styleId="45">
    <w:name w:val="样式3 字符"/>
    <w:basedOn w:val="44"/>
    <w:link w:val="42"/>
    <w:qFormat/>
    <w:uiPriority w:val="0"/>
    <w:rPr>
      <w:rFonts w:ascii="Times New Roman" w:hAnsi="Times New Roman" w:eastAsia="宋体" w:cstheme="majorBidi"/>
      <w:sz w:val="23"/>
      <w:szCs w:val="23"/>
    </w:rPr>
  </w:style>
  <w:style w:type="character" w:customStyle="1" w:styleId="46">
    <w:name w:val="标题 3 字符"/>
    <w:basedOn w:val="27"/>
    <w:link w:val="4"/>
    <w:semiHidden/>
    <w:qFormat/>
    <w:uiPriority w:val="9"/>
    <w:rPr>
      <w:rFonts w:ascii="Times New Roman" w:hAnsi="Times New Roman" w:eastAsia="宋体" w:cs="Times New Roman"/>
      <w:b/>
      <w:bCs/>
      <w:sz w:val="32"/>
      <w:szCs w:val="32"/>
    </w:rPr>
  </w:style>
  <w:style w:type="character" w:customStyle="1" w:styleId="47">
    <w:name w:val="标题 4 字符"/>
    <w:basedOn w:val="27"/>
    <w:link w:val="5"/>
    <w:semiHidden/>
    <w:qFormat/>
    <w:uiPriority w:val="9"/>
    <w:rPr>
      <w:rFonts w:asciiTheme="majorHAnsi" w:hAnsiTheme="majorHAnsi" w:eastAsiaTheme="majorEastAsia" w:cstheme="majorBidi"/>
      <w:b/>
      <w:bCs/>
      <w:sz w:val="28"/>
      <w:szCs w:val="28"/>
    </w:rPr>
  </w:style>
  <w:style w:type="character" w:customStyle="1" w:styleId="48">
    <w:name w:val="样式4 字符"/>
    <w:basedOn w:val="47"/>
    <w:link w:val="43"/>
    <w:qFormat/>
    <w:uiPriority w:val="0"/>
    <w:rPr>
      <w:rFonts w:eastAsia="宋体" w:asciiTheme="majorHAnsi" w:hAnsiTheme="majorHAnsi" w:cstheme="majorBidi"/>
      <w:sz w:val="23"/>
      <w:szCs w:val="28"/>
    </w:rPr>
  </w:style>
  <w:style w:type="character" w:customStyle="1" w:styleId="49">
    <w:name w:val="页脚 字符"/>
    <w:basedOn w:val="27"/>
    <w:link w:val="15"/>
    <w:qFormat/>
    <w:uiPriority w:val="99"/>
    <w:rPr>
      <w:rFonts w:ascii="Times New Roman" w:hAnsi="Times New Roman" w:eastAsia="宋体" w:cs="Times New Roman"/>
      <w:sz w:val="18"/>
      <w:szCs w:val="18"/>
    </w:rPr>
  </w:style>
  <w:style w:type="character" w:customStyle="1" w:styleId="50">
    <w:name w:val="批注文字 字符"/>
    <w:basedOn w:val="27"/>
    <w:link w:val="9"/>
    <w:qFormat/>
    <w:uiPriority w:val="99"/>
  </w:style>
  <w:style w:type="paragraph" w:customStyle="1" w:styleId="51">
    <w:name w:val="二级条标题"/>
    <w:basedOn w:val="1"/>
    <w:next w:val="1"/>
    <w:qFormat/>
    <w:uiPriority w:val="0"/>
    <w:pPr>
      <w:widowControl/>
      <w:spacing w:beforeLines="50"/>
      <w:jc w:val="left"/>
      <w:outlineLvl w:val="3"/>
    </w:pPr>
    <w:rPr>
      <w:rFonts w:ascii="黑体" w:eastAsia="黑体"/>
      <w:kern w:val="0"/>
      <w:szCs w:val="21"/>
    </w:rPr>
  </w:style>
  <w:style w:type="paragraph" w:styleId="52">
    <w:name w:val="List Paragraph"/>
    <w:basedOn w:val="1"/>
    <w:qFormat/>
    <w:uiPriority w:val="34"/>
    <w:pPr>
      <w:ind w:firstLine="420" w:firstLineChars="200"/>
    </w:pPr>
  </w:style>
  <w:style w:type="character" w:customStyle="1" w:styleId="53">
    <w:name w:val="批注主题 字符"/>
    <w:basedOn w:val="50"/>
    <w:link w:val="24"/>
    <w:semiHidden/>
    <w:qFormat/>
    <w:uiPriority w:val="99"/>
    <w:rPr>
      <w:b/>
      <w:bCs/>
    </w:rPr>
  </w:style>
  <w:style w:type="paragraph" w:customStyle="1" w:styleId="54">
    <w:name w:val="标准表题"/>
    <w:basedOn w:val="1"/>
    <w:next w:val="32"/>
    <w:qFormat/>
    <w:uiPriority w:val="0"/>
    <w:pPr>
      <w:widowControl/>
      <w:jc w:val="center"/>
    </w:pPr>
    <w:rPr>
      <w:rFonts w:ascii="黑体" w:eastAsia="黑体"/>
      <w:kern w:val="21"/>
      <w:szCs w:val="20"/>
    </w:rPr>
  </w:style>
  <w:style w:type="character" w:customStyle="1" w:styleId="55">
    <w:name w:val="日期 字符"/>
    <w:basedOn w:val="27"/>
    <w:link w:val="13"/>
    <w:semiHidden/>
    <w:qFormat/>
    <w:uiPriority w:val="99"/>
  </w:style>
  <w:style w:type="paragraph" w:customStyle="1" w:styleId="5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批注框文本 字符"/>
    <w:basedOn w:val="27"/>
    <w:link w:val="14"/>
    <w:semiHidden/>
    <w:qFormat/>
    <w:uiPriority w:val="99"/>
    <w:rPr>
      <w:rFonts w:ascii="Times New Roman" w:hAnsi="Times New Roman" w:eastAsia="宋体" w:cs="Times New Roman"/>
      <w:sz w:val="18"/>
      <w:szCs w:val="18"/>
    </w:rPr>
  </w:style>
  <w:style w:type="character" w:customStyle="1" w:styleId="58">
    <w:name w:val="段 Char Char"/>
    <w:qFormat/>
    <w:locked/>
    <w:uiPriority w:val="99"/>
    <w:rPr>
      <w:rFonts w:ascii="宋体" w:hAnsi="Calibri" w:cs="宋体"/>
      <w:szCs w:val="21"/>
    </w:rPr>
  </w:style>
  <w:style w:type="character" w:customStyle="1" w:styleId="59">
    <w:name w:val="文档结构图 字符"/>
    <w:basedOn w:val="27"/>
    <w:link w:val="8"/>
    <w:semiHidden/>
    <w:qFormat/>
    <w:uiPriority w:val="99"/>
    <w:rPr>
      <w:rFonts w:ascii="宋体" w:hAnsi="Times New Roman" w:eastAsia="宋体" w:cs="Times New Roman"/>
      <w:sz w:val="18"/>
      <w:szCs w:val="18"/>
    </w:rPr>
  </w:style>
  <w:style w:type="character" w:customStyle="1" w:styleId="60">
    <w:name w:val="en-code1"/>
    <w:basedOn w:val="27"/>
    <w:qFormat/>
    <w:uiPriority w:val="0"/>
    <w:rPr>
      <w:b/>
      <w:bCs/>
      <w:color w:val="0A5CA8"/>
      <w:sz w:val="26"/>
      <w:szCs w:val="26"/>
    </w:rPr>
  </w:style>
  <w:style w:type="paragraph" w:customStyle="1" w:styleId="61">
    <w:name w:val="表 1"/>
    <w:basedOn w:val="1"/>
    <w:qFormat/>
    <w:uiPriority w:val="0"/>
    <w:pPr>
      <w:jc w:val="center"/>
    </w:pPr>
    <w:rPr>
      <w:sz w:val="20"/>
    </w:rPr>
  </w:style>
  <w:style w:type="character" w:customStyle="1" w:styleId="62">
    <w:name w:val="font41"/>
    <w:basedOn w:val="27"/>
    <w:qFormat/>
    <w:uiPriority w:val="0"/>
    <w:rPr>
      <w:rFonts w:hint="eastAsia" w:ascii="宋体" w:hAnsi="宋体" w:eastAsia="宋体" w:cs="宋体"/>
      <w:b/>
      <w:bCs/>
      <w:color w:val="000000"/>
      <w:sz w:val="20"/>
      <w:szCs w:val="20"/>
      <w:u w:val="none"/>
    </w:rPr>
  </w:style>
  <w:style w:type="character" w:customStyle="1" w:styleId="63">
    <w:name w:val="font51"/>
    <w:basedOn w:val="27"/>
    <w:qFormat/>
    <w:uiPriority w:val="0"/>
    <w:rPr>
      <w:rFonts w:hint="eastAsia" w:ascii="宋体" w:hAnsi="宋体" w:eastAsia="宋体" w:cs="宋体"/>
      <w:color w:val="000000"/>
      <w:sz w:val="20"/>
      <w:szCs w:val="20"/>
      <w:u w:val="none"/>
    </w:rPr>
  </w:style>
  <w:style w:type="character" w:customStyle="1" w:styleId="64">
    <w:name w:val="font31"/>
    <w:basedOn w:val="27"/>
    <w:qFormat/>
    <w:uiPriority w:val="0"/>
    <w:rPr>
      <w:rFonts w:hint="eastAsia" w:ascii="宋体" w:hAnsi="宋体" w:eastAsia="宋体" w:cs="宋体"/>
      <w:color w:val="000000"/>
      <w:sz w:val="20"/>
      <w:szCs w:val="20"/>
      <w:u w:val="none"/>
    </w:rPr>
  </w:style>
  <w:style w:type="character" w:customStyle="1" w:styleId="65">
    <w:name w:val="font81"/>
    <w:basedOn w:val="27"/>
    <w:qFormat/>
    <w:uiPriority w:val="0"/>
    <w:rPr>
      <w:rFonts w:hint="default" w:ascii="Times New Roman" w:hAnsi="Times New Roman" w:cs="Times New Roman"/>
      <w:color w:val="000000"/>
      <w:sz w:val="20"/>
      <w:szCs w:val="20"/>
      <w:u w:val="none"/>
    </w:rPr>
  </w:style>
  <w:style w:type="paragraph" w:customStyle="1" w:styleId="66">
    <w:name w:val="WPSOffice手动目录 1"/>
    <w:qFormat/>
    <w:uiPriority w:val="0"/>
    <w:rPr>
      <w:rFonts w:ascii="Times New Roman" w:hAnsi="Times New Roman" w:eastAsia="宋体" w:cs="Times New Roman"/>
      <w:lang w:val="en-US" w:eastAsia="zh-CN" w:bidi="ar-SA"/>
    </w:rPr>
  </w:style>
  <w:style w:type="character" w:customStyle="1" w:styleId="67">
    <w:name w:val="font01"/>
    <w:basedOn w:val="27"/>
    <w:qFormat/>
    <w:uiPriority w:val="0"/>
    <w:rPr>
      <w:rFonts w:hint="eastAsia" w:ascii="宋体" w:hAnsi="宋体" w:eastAsia="宋体" w:cs="宋体"/>
      <w:color w:val="000000"/>
      <w:sz w:val="22"/>
      <w:szCs w:val="22"/>
      <w:u w:val="none"/>
    </w:rPr>
  </w:style>
  <w:style w:type="character" w:customStyle="1" w:styleId="68">
    <w:name w:val="font11"/>
    <w:basedOn w:val="2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8035B-EDF0-4BA2-B5EA-B5CF9627B2D0}">
  <ds:schemaRefs/>
</ds:datastoreItem>
</file>

<file path=docProps/app.xml><?xml version="1.0" encoding="utf-8"?>
<Properties xmlns="http://schemas.openxmlformats.org/officeDocument/2006/extended-properties" xmlns:vt="http://schemas.openxmlformats.org/officeDocument/2006/docPropsVTypes">
  <Template>Normal</Template>
  <Pages>17</Pages>
  <Words>12243</Words>
  <Characters>13885</Characters>
  <Lines>107</Lines>
  <Paragraphs>30</Paragraphs>
  <TotalTime>85</TotalTime>
  <ScaleCrop>false</ScaleCrop>
  <LinksUpToDate>false</LinksUpToDate>
  <CharactersWithSpaces>14212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2024-08-19T08:06:00Z</dcterms:created>
  <dc:creator>Hu Zhiying</dc:creator>
  <cp:lastModifiedBy>素素</cp:lastModifiedBy>
  <dcterms:modified xsi:type="dcterms:W3CDTF">2024-09-18T03:15:12Z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6B8AC3188B5B4822AD3BA009ADF19479_13</vt:lpwstr>
  </property>
</Properties>
</file>